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5D72">
      <w:pPr>
        <w:rPr>
          <w:rFonts w:ascii="Times New Roman" w:hAnsi="Times New Roman" w:cs="Times New Roman"/>
        </w:rPr>
      </w:pPr>
    </w:p>
    <w:p w:rsidR="00B65D7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A1010F" w:rsidRPr="002279B4" w:rsidP="009C5D80">
            <w:pPr>
              <w:jc w:val="center"/>
              <w:rPr>
                <w:rFonts w:ascii="Arial" w:hAnsi="Arial" w:cs="Arial"/>
                <w:b/>
              </w:rPr>
            </w:pPr>
            <w:r w:rsidRPr="002279B4">
              <w:rPr>
                <w:rFonts w:ascii="Arial" w:hAnsi="Arial" w:cs="Arial"/>
                <w:b/>
              </w:rPr>
              <w:t>N Á R O D N Á    R A D A   S L O V E N S K E J    R E P U B L I K 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1010F" w:rsidRPr="002279B4" w:rsidP="009C5D80">
            <w:pPr>
              <w:jc w:val="center"/>
              <w:rPr>
                <w:rFonts w:ascii="Arial" w:hAnsi="Arial" w:cs="Arial"/>
                <w:b/>
              </w:rPr>
            </w:pPr>
          </w:p>
          <w:p w:rsidR="00A1010F" w:rsidRPr="002279B4" w:rsidP="009C5D80">
            <w:pPr>
              <w:jc w:val="center"/>
              <w:rPr>
                <w:rFonts w:ascii="Arial" w:hAnsi="Arial" w:cs="Arial"/>
                <w:b/>
              </w:rPr>
            </w:pPr>
            <w:r w:rsidRPr="002279B4">
              <w:rPr>
                <w:rFonts w:ascii="Arial" w:hAnsi="Arial" w:cs="Arial"/>
                <w:b/>
              </w:rPr>
              <w:t>IV. volebné obdobie</w:t>
            </w:r>
          </w:p>
        </w:tc>
      </w:tr>
    </w:tbl>
    <w:p w:rsidR="00A1010F" w:rsidRPr="00ED10AF" w:rsidP="00A1010F">
      <w:pPr>
        <w:rPr>
          <w:rFonts w:ascii="Times New Roman" w:hAnsi="Times New Roman" w:cs="Times New Roman"/>
        </w:rPr>
      </w:pPr>
    </w:p>
    <w:p w:rsidR="00A1010F" w:rsidRPr="00ED10AF" w:rsidP="00A1010F">
      <w:pPr>
        <w:rPr>
          <w:rFonts w:ascii="Times New Roman" w:hAnsi="Times New Roman" w:cs="Times New Roman"/>
        </w:rPr>
      </w:pPr>
    </w:p>
    <w:p w:rsidR="00A1010F" w:rsidRPr="00ED10AF" w:rsidP="00A1010F">
      <w:pPr>
        <w:rPr>
          <w:rFonts w:ascii="Times New Roman" w:hAnsi="Times New Roman" w:cs="Times New Roman"/>
        </w:rPr>
      </w:pPr>
    </w:p>
    <w:p w:rsidR="00A1010F" w:rsidRPr="005F5F8D" w:rsidP="00A1010F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F5F8D">
        <w:rPr>
          <w:rFonts w:ascii="Times New Roman" w:hAnsi="Times New Roman" w:cs="Times New Roman"/>
          <w:b/>
          <w:bCs/>
        </w:rPr>
        <w:t>Návrh</w:t>
      </w:r>
    </w:p>
    <w:p w:rsidR="00A1010F" w:rsidRPr="005F5F8D" w:rsidP="00A1010F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1010F" w:rsidRPr="005F5F8D" w:rsidP="00A1010F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F5F8D">
        <w:rPr>
          <w:rFonts w:ascii="Times New Roman" w:hAnsi="Times New Roman" w:cs="Times New Roman"/>
          <w:b/>
          <w:bCs/>
        </w:rPr>
        <w:t>ZÁKON</w:t>
      </w:r>
    </w:p>
    <w:p w:rsidR="00A1010F" w:rsidRPr="005F5F8D" w:rsidP="00A1010F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1010F" w:rsidRPr="00B6203F" w:rsidP="00A1010F">
      <w:pPr>
        <w:autoSpaceDE/>
        <w:autoSpaceDN/>
        <w:spacing w:line="360" w:lineRule="auto"/>
        <w:jc w:val="center"/>
        <w:rPr>
          <w:rFonts w:ascii="Times New Roman" w:hAnsi="Times New Roman" w:cs="Times New Roman"/>
          <w:bCs/>
        </w:rPr>
      </w:pPr>
      <w:r w:rsidRPr="00B6203F">
        <w:rPr>
          <w:rFonts w:ascii="Times New Roman" w:hAnsi="Times New Roman" w:cs="Times New Roman"/>
          <w:bCs/>
        </w:rPr>
        <w:t>z....................................................</w:t>
      </w:r>
      <w:r w:rsidRPr="00B6203F" w:rsidR="002548E3">
        <w:rPr>
          <w:rFonts w:ascii="Times New Roman" w:hAnsi="Times New Roman" w:cs="Times New Roman"/>
          <w:bCs/>
        </w:rPr>
        <w:t>2010</w:t>
      </w:r>
      <w:r w:rsidRPr="00B6203F">
        <w:rPr>
          <w:rFonts w:ascii="Times New Roman" w:hAnsi="Times New Roman" w:cs="Times New Roman"/>
          <w:bCs/>
        </w:rPr>
        <w:t>,</w:t>
      </w:r>
    </w:p>
    <w:p w:rsidR="00A1010F" w:rsidRPr="005F5F8D" w:rsidP="00A1010F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1010F" w:rsidRPr="005F5F8D" w:rsidP="005F5F8D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5F5F8D" w:rsidR="002548E3">
        <w:rPr>
          <w:rFonts w:ascii="Times New Roman" w:hAnsi="Times New Roman" w:cs="Times New Roman"/>
          <w:bCs/>
        </w:rPr>
        <w:t>kt</w:t>
      </w:r>
      <w:r w:rsidRPr="005F5F8D" w:rsidR="006B53E6">
        <w:rPr>
          <w:rFonts w:ascii="Times New Roman" w:hAnsi="Times New Roman" w:cs="Times New Roman"/>
          <w:bCs/>
        </w:rPr>
        <w:t xml:space="preserve">orým sa mení a dopĺňa zákon </w:t>
      </w:r>
      <w:r w:rsidRPr="005F5F8D" w:rsidR="005F5F8D">
        <w:rPr>
          <w:rFonts w:ascii="Times New Roman" w:hAnsi="Times New Roman" w:cs="Times New Roman"/>
          <w:bCs/>
        </w:rPr>
        <w:t xml:space="preserve">Národnej rady Slovenskej republiky </w:t>
      </w:r>
      <w:r w:rsidRPr="005F5F8D" w:rsidR="006B53E6">
        <w:rPr>
          <w:rFonts w:ascii="Times New Roman" w:hAnsi="Times New Roman" w:cs="Times New Roman"/>
          <w:bCs/>
        </w:rPr>
        <w:t>č. 36</w:t>
      </w:r>
      <w:r w:rsidRPr="005F5F8D" w:rsidR="002548E3">
        <w:rPr>
          <w:rFonts w:ascii="Times New Roman" w:hAnsi="Times New Roman" w:cs="Times New Roman"/>
          <w:bCs/>
        </w:rPr>
        <w:t>/</w:t>
      </w:r>
      <w:r w:rsidRPr="005F5F8D" w:rsidR="006B53E6">
        <w:rPr>
          <w:rFonts w:ascii="Times New Roman" w:hAnsi="Times New Roman" w:cs="Times New Roman"/>
          <w:bCs/>
        </w:rPr>
        <w:t>2005</w:t>
      </w:r>
      <w:r w:rsidRPr="005F5F8D" w:rsidR="002548E3">
        <w:rPr>
          <w:rFonts w:ascii="Times New Roman" w:hAnsi="Times New Roman" w:cs="Times New Roman"/>
          <w:bCs/>
        </w:rPr>
        <w:t xml:space="preserve"> Z</w:t>
      </w:r>
      <w:r w:rsidRPr="005F5F8D" w:rsidR="005F250A">
        <w:rPr>
          <w:rFonts w:ascii="Times New Roman" w:hAnsi="Times New Roman" w:cs="Times New Roman"/>
          <w:bCs/>
        </w:rPr>
        <w:t xml:space="preserve">. </w:t>
      </w:r>
      <w:r w:rsidRPr="005F5F8D" w:rsidR="006B53E6">
        <w:rPr>
          <w:rFonts w:ascii="Times New Roman" w:hAnsi="Times New Roman" w:cs="Times New Roman"/>
          <w:bCs/>
        </w:rPr>
        <w:t>z.</w:t>
      </w:r>
      <w:r w:rsidRPr="005F5F8D" w:rsidR="002548E3">
        <w:rPr>
          <w:rFonts w:ascii="Times New Roman" w:hAnsi="Times New Roman" w:cs="Times New Roman"/>
          <w:bCs/>
        </w:rPr>
        <w:t xml:space="preserve"> </w:t>
      </w:r>
      <w:r w:rsidRPr="005F5F8D" w:rsidR="006B53E6">
        <w:rPr>
          <w:rFonts w:ascii="Times New Roman" w:hAnsi="Times New Roman" w:cs="Times New Roman"/>
          <w:bCs/>
        </w:rPr>
        <w:t xml:space="preserve"> o r</w:t>
      </w:r>
      <w:r w:rsidRPr="005F5F8D" w:rsidR="006B53E6">
        <w:rPr>
          <w:rFonts w:ascii="Times New Roman" w:hAnsi="Times New Roman" w:cs="Times New Roman"/>
          <w:bCs/>
        </w:rPr>
        <w:t>odine</w:t>
      </w:r>
      <w:r w:rsidRPr="005F5F8D" w:rsidR="002548E3">
        <w:rPr>
          <w:rFonts w:ascii="Times New Roman" w:hAnsi="Times New Roman" w:cs="Times New Roman"/>
          <w:bCs/>
        </w:rPr>
        <w:t xml:space="preserve"> v znení neskorších</w:t>
      </w:r>
      <w:r w:rsidRPr="005F5F8D" w:rsidR="006A7A2B">
        <w:rPr>
          <w:rFonts w:ascii="Times New Roman" w:hAnsi="Times New Roman" w:cs="Times New Roman"/>
          <w:bCs/>
        </w:rPr>
        <w:t xml:space="preserve"> predpisov</w:t>
      </w:r>
    </w:p>
    <w:p w:rsidR="005F5F8D" w:rsidRPr="005F5F8D" w:rsidP="005F5F8D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A1010F" w:rsidRPr="005F5F8D" w:rsidP="006123F2">
      <w:pPr>
        <w:rPr>
          <w:rFonts w:ascii="Times New Roman" w:hAnsi="Times New Roman" w:cs="Times New Roman"/>
          <w:b/>
          <w:bCs/>
        </w:rPr>
      </w:pPr>
    </w:p>
    <w:p w:rsidR="00A1010F" w:rsidRPr="005F5F8D" w:rsidP="00A1010F">
      <w:pPr>
        <w:jc w:val="both"/>
        <w:rPr>
          <w:rFonts w:ascii="Times New Roman" w:hAnsi="Times New Roman" w:cs="Times New Roman"/>
        </w:rPr>
      </w:pPr>
      <w:r w:rsidRPr="005F5F8D">
        <w:rPr>
          <w:rFonts w:ascii="Times New Roman" w:hAnsi="Times New Roman" w:cs="Times New Roman"/>
        </w:rPr>
        <w:t>Národná rada Slovenskej republiky sa uzniesla na tomto zákone:</w:t>
      </w:r>
    </w:p>
    <w:p w:rsidR="00A1010F" w:rsidRPr="005F5F8D" w:rsidP="00A1010F">
      <w:pPr>
        <w:jc w:val="center"/>
        <w:rPr>
          <w:rFonts w:ascii="Times New Roman" w:hAnsi="Times New Roman" w:cs="Times New Roman"/>
        </w:rPr>
      </w:pPr>
    </w:p>
    <w:p w:rsidR="005F5F8D" w:rsidRPr="005F5F8D" w:rsidP="002548E3">
      <w:pPr>
        <w:jc w:val="center"/>
        <w:rPr>
          <w:rFonts w:ascii="Times New Roman" w:hAnsi="Times New Roman" w:cs="Times New Roman"/>
          <w:b/>
          <w:bCs/>
        </w:rPr>
      </w:pPr>
    </w:p>
    <w:p w:rsidR="002548E3" w:rsidRPr="005F5F8D" w:rsidP="002548E3">
      <w:pPr>
        <w:jc w:val="center"/>
        <w:rPr>
          <w:rFonts w:ascii="Times New Roman" w:hAnsi="Times New Roman" w:cs="Times New Roman"/>
          <w:b/>
          <w:bCs/>
        </w:rPr>
      </w:pPr>
      <w:r w:rsidRPr="005F5F8D">
        <w:rPr>
          <w:rFonts w:ascii="Times New Roman" w:hAnsi="Times New Roman" w:cs="Times New Roman"/>
          <w:b/>
          <w:bCs/>
        </w:rPr>
        <w:t>Čl. I</w:t>
      </w:r>
    </w:p>
    <w:p w:rsidR="002548E3" w:rsidRPr="005F5F8D" w:rsidP="002548E3">
      <w:pPr>
        <w:jc w:val="center"/>
        <w:rPr>
          <w:rFonts w:ascii="Times New Roman" w:hAnsi="Times New Roman" w:cs="Times New Roman"/>
        </w:rPr>
      </w:pPr>
    </w:p>
    <w:p w:rsidR="002548E3" w:rsidRPr="005F5F8D" w:rsidP="005F5F8D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5F5F8D">
        <w:rPr>
          <w:rFonts w:ascii="Times New Roman" w:hAnsi="Times New Roman" w:cs="Times New Roman"/>
        </w:rPr>
        <w:tab/>
      </w:r>
      <w:r w:rsidRPr="005F5F8D" w:rsidR="006B53E6">
        <w:rPr>
          <w:rFonts w:ascii="Times New Roman" w:hAnsi="Times New Roman" w:cs="Times New Roman"/>
          <w:bCs/>
        </w:rPr>
        <w:t xml:space="preserve">Zákon </w:t>
      </w:r>
      <w:r w:rsidRPr="005F5F8D" w:rsidR="005F250A">
        <w:rPr>
          <w:rFonts w:ascii="Times New Roman" w:hAnsi="Times New Roman" w:cs="Times New Roman"/>
          <w:bCs/>
        </w:rPr>
        <w:t xml:space="preserve">Národnej rady Slovenskej republiky </w:t>
      </w:r>
      <w:r w:rsidRPr="005F5F8D" w:rsidR="006B53E6">
        <w:rPr>
          <w:rFonts w:ascii="Times New Roman" w:hAnsi="Times New Roman" w:cs="Times New Roman"/>
          <w:bCs/>
        </w:rPr>
        <w:t>č. 36</w:t>
      </w:r>
      <w:r w:rsidRPr="005F5F8D">
        <w:rPr>
          <w:rFonts w:ascii="Times New Roman" w:hAnsi="Times New Roman" w:cs="Times New Roman"/>
          <w:bCs/>
        </w:rPr>
        <w:t>/</w:t>
      </w:r>
      <w:r w:rsidRPr="005F5F8D" w:rsidR="006B53E6">
        <w:rPr>
          <w:rFonts w:ascii="Times New Roman" w:hAnsi="Times New Roman" w:cs="Times New Roman"/>
          <w:bCs/>
        </w:rPr>
        <w:t>2005</w:t>
      </w:r>
      <w:r w:rsidRPr="005F5F8D" w:rsidR="005F250A">
        <w:rPr>
          <w:rFonts w:ascii="Times New Roman" w:hAnsi="Times New Roman" w:cs="Times New Roman"/>
          <w:bCs/>
        </w:rPr>
        <w:t xml:space="preserve"> Z</w:t>
      </w:r>
      <w:r w:rsidRPr="005F5F8D">
        <w:rPr>
          <w:rFonts w:ascii="Times New Roman" w:hAnsi="Times New Roman" w:cs="Times New Roman"/>
          <w:bCs/>
        </w:rPr>
        <w:t>.</w:t>
      </w:r>
      <w:r w:rsidRPr="005F5F8D" w:rsidR="005F250A">
        <w:rPr>
          <w:rFonts w:ascii="Times New Roman" w:hAnsi="Times New Roman" w:cs="Times New Roman"/>
          <w:bCs/>
        </w:rPr>
        <w:t xml:space="preserve"> </w:t>
      </w:r>
      <w:r w:rsidRPr="005F5F8D" w:rsidR="006B53E6">
        <w:rPr>
          <w:rFonts w:ascii="Times New Roman" w:hAnsi="Times New Roman" w:cs="Times New Roman"/>
          <w:bCs/>
        </w:rPr>
        <w:t>z.</w:t>
      </w:r>
      <w:r w:rsidRPr="005F5F8D">
        <w:rPr>
          <w:rFonts w:ascii="Times New Roman" w:hAnsi="Times New Roman" w:cs="Times New Roman"/>
          <w:bCs/>
        </w:rPr>
        <w:t xml:space="preserve"> </w:t>
      </w:r>
      <w:r w:rsidRPr="005F5F8D" w:rsidR="006B53E6">
        <w:rPr>
          <w:rFonts w:ascii="Times New Roman" w:hAnsi="Times New Roman" w:cs="Times New Roman"/>
          <w:bCs/>
        </w:rPr>
        <w:t xml:space="preserve"> o rodine</w:t>
      </w:r>
      <w:r w:rsidRPr="005F5F8D">
        <w:rPr>
          <w:rFonts w:ascii="Times New Roman" w:hAnsi="Times New Roman" w:cs="Times New Roman"/>
          <w:bCs/>
        </w:rPr>
        <w:t xml:space="preserve"> v znení </w:t>
      </w:r>
      <w:r w:rsidRPr="005F5F8D" w:rsidR="005F250A">
        <w:rPr>
          <w:rFonts w:ascii="Times New Roman" w:hAnsi="Times New Roman" w:cs="Times New Roman"/>
          <w:bCs/>
        </w:rPr>
        <w:t xml:space="preserve"> zákona Národnej rady Slovenskej republiky č. </w:t>
      </w:r>
      <w:r w:rsidR="005F5F8D">
        <w:rPr>
          <w:rFonts w:ascii="Times New Roman" w:hAnsi="Times New Roman" w:cs="Times New Roman"/>
          <w:bCs/>
        </w:rPr>
        <w:t xml:space="preserve">297/2005 Z. </w:t>
      </w:r>
      <w:r w:rsidRPr="005F5F8D" w:rsidR="005F250A">
        <w:rPr>
          <w:rFonts w:ascii="Times New Roman" w:hAnsi="Times New Roman" w:cs="Times New Roman"/>
          <w:bCs/>
        </w:rPr>
        <w:t>z., zákona Národnej rady Slovenskej republiky č. 615/2006 Z. z. a</w:t>
      </w:r>
      <w:r w:rsidR="00B6203F">
        <w:rPr>
          <w:rFonts w:ascii="Times New Roman" w:hAnsi="Times New Roman" w:cs="Times New Roman"/>
          <w:bCs/>
        </w:rPr>
        <w:t xml:space="preserve"> </w:t>
      </w:r>
      <w:r w:rsidRPr="005F5F8D" w:rsidR="005F250A">
        <w:rPr>
          <w:rFonts w:ascii="Times New Roman" w:hAnsi="Times New Roman" w:cs="Times New Roman"/>
          <w:bCs/>
        </w:rPr>
        <w:t xml:space="preserve"> zákona Národnej rady Slovenskej republiky č. 201/2008 Z. z. </w:t>
      </w:r>
      <w:r w:rsidR="00B6203F">
        <w:rPr>
          <w:rFonts w:ascii="Times New Roman" w:hAnsi="Times New Roman" w:cs="Times New Roman"/>
          <w:bCs/>
        </w:rPr>
        <w:t xml:space="preserve"> sa </w:t>
      </w:r>
      <w:r w:rsidRPr="005F5F8D">
        <w:rPr>
          <w:rFonts w:ascii="Times New Roman" w:hAnsi="Times New Roman" w:cs="Times New Roman"/>
          <w:bCs/>
        </w:rPr>
        <w:t> dopĺňa takto:</w:t>
      </w:r>
    </w:p>
    <w:p w:rsidR="002548E3" w:rsidRPr="005F5F8D" w:rsidP="002548E3">
      <w:pPr>
        <w:rPr>
          <w:rFonts w:ascii="Times New Roman" w:hAnsi="Times New Roman" w:cs="Times New Roman"/>
        </w:rPr>
      </w:pPr>
    </w:p>
    <w:p w:rsidR="002548E3" w:rsidP="00B264B5">
      <w:pPr>
        <w:tabs>
          <w:tab w:val="left" w:pos="240"/>
          <w:tab w:val="left" w:pos="480"/>
        </w:tabs>
        <w:autoSpaceDE/>
        <w:autoSpaceDN/>
        <w:jc w:val="both"/>
        <w:outlineLvl w:val="0"/>
        <w:rPr>
          <w:rFonts w:ascii="Times New Roman" w:hAnsi="Times New Roman" w:cs="Times New Roman"/>
        </w:rPr>
      </w:pPr>
      <w:r w:rsidRPr="005F5F8D">
        <w:rPr>
          <w:rFonts w:ascii="Times New Roman" w:hAnsi="Times New Roman" w:cs="Times New Roman"/>
          <w:b/>
        </w:rPr>
        <w:t>1.</w:t>
      </w:r>
      <w:r w:rsidRPr="005F5F8D">
        <w:rPr>
          <w:rFonts w:ascii="Times New Roman" w:hAnsi="Times New Roman" w:cs="Times New Roman"/>
        </w:rPr>
        <w:t xml:space="preserve"> </w:t>
      </w:r>
      <w:r w:rsidRPr="005F5F8D" w:rsidR="005055F6">
        <w:rPr>
          <w:rFonts w:ascii="Times New Roman" w:hAnsi="Times New Roman" w:cs="Times New Roman"/>
        </w:rPr>
        <w:t xml:space="preserve">V </w:t>
      </w:r>
      <w:r w:rsidRPr="005F5F8D" w:rsidR="000C30CF">
        <w:rPr>
          <w:rFonts w:ascii="Times New Roman" w:hAnsi="Times New Roman" w:cs="Times New Roman"/>
        </w:rPr>
        <w:t xml:space="preserve"> § 24</w:t>
      </w:r>
      <w:r w:rsidRPr="005F5F8D" w:rsidR="00CA62B0">
        <w:rPr>
          <w:rFonts w:ascii="Times New Roman" w:hAnsi="Times New Roman" w:cs="Times New Roman"/>
        </w:rPr>
        <w:t xml:space="preserve"> </w:t>
      </w:r>
      <w:r w:rsidRPr="005F5F8D" w:rsidR="005055F6">
        <w:rPr>
          <w:rFonts w:ascii="Times New Roman" w:hAnsi="Times New Roman" w:cs="Times New Roman"/>
        </w:rPr>
        <w:t xml:space="preserve"> sa za </w:t>
      </w:r>
      <w:r w:rsidRPr="005F5F8D" w:rsidR="00CA62B0">
        <w:rPr>
          <w:rFonts w:ascii="Times New Roman" w:hAnsi="Times New Roman" w:cs="Times New Roman"/>
        </w:rPr>
        <w:t>odsek 1</w:t>
      </w:r>
      <w:r w:rsidRPr="005F5F8D" w:rsidR="00D975A7">
        <w:rPr>
          <w:rFonts w:ascii="Times New Roman" w:hAnsi="Times New Roman" w:cs="Times New Roman"/>
        </w:rPr>
        <w:t xml:space="preserve"> </w:t>
      </w:r>
      <w:r w:rsidRPr="005F5F8D" w:rsidR="005055F6">
        <w:rPr>
          <w:rFonts w:ascii="Times New Roman" w:hAnsi="Times New Roman" w:cs="Times New Roman"/>
        </w:rPr>
        <w:t xml:space="preserve"> vkladá nový </w:t>
      </w:r>
      <w:r w:rsidRPr="005F5F8D" w:rsidR="00D975A7">
        <w:rPr>
          <w:rFonts w:ascii="Times New Roman" w:hAnsi="Times New Roman" w:cs="Times New Roman"/>
        </w:rPr>
        <w:t xml:space="preserve"> odsek 2</w:t>
      </w:r>
      <w:r w:rsidRPr="005F5F8D" w:rsidR="005055F6">
        <w:rPr>
          <w:rFonts w:ascii="Times New Roman" w:hAnsi="Times New Roman" w:cs="Times New Roman"/>
        </w:rPr>
        <w:t xml:space="preserve">, </w:t>
      </w:r>
      <w:r w:rsidRPr="005F5F8D" w:rsidR="00CA62B0">
        <w:rPr>
          <w:rFonts w:ascii="Times New Roman" w:hAnsi="Times New Roman" w:cs="Times New Roman"/>
        </w:rPr>
        <w:t>ktorý znie:</w:t>
      </w:r>
    </w:p>
    <w:p w:rsidR="005F5F8D" w:rsidRPr="005F5F8D" w:rsidP="00B264B5">
      <w:pPr>
        <w:tabs>
          <w:tab w:val="left" w:pos="240"/>
          <w:tab w:val="left" w:pos="480"/>
        </w:tabs>
        <w:autoSpaceDE/>
        <w:autoSpaceDN/>
        <w:jc w:val="both"/>
        <w:outlineLvl w:val="0"/>
        <w:rPr>
          <w:rFonts w:ascii="Times New Roman" w:hAnsi="Times New Roman" w:cs="Times New Roman"/>
        </w:rPr>
      </w:pPr>
    </w:p>
    <w:p w:rsidR="00CA62B0" w:rsidRPr="005F5F8D" w:rsidP="00CA62B0">
      <w:pPr>
        <w:autoSpaceDE/>
        <w:autoSpaceDN/>
        <w:rPr>
          <w:rFonts w:ascii="Times New Roman" w:hAnsi="Times New Roman" w:cs="Times New Roman"/>
        </w:rPr>
      </w:pPr>
    </w:p>
    <w:p w:rsidR="002548E3" w:rsidRPr="005F5F8D" w:rsidP="005F5F8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5F5F8D" w:rsidR="005055F6">
        <w:rPr>
          <w:rFonts w:ascii="Times New Roman" w:hAnsi="Times New Roman" w:cs="Times New Roman"/>
        </w:rPr>
        <w:t xml:space="preserve">„ (2) </w:t>
      </w:r>
      <w:r w:rsidRPr="005F5F8D" w:rsidR="00CA62B0">
        <w:rPr>
          <w:rFonts w:ascii="Times New Roman" w:hAnsi="Times New Roman" w:cs="Times New Roman"/>
        </w:rPr>
        <w:t>Ak sú obidvaja rodičia spôsobilí dieťa vychovávať a ak majú o</w:t>
      </w:r>
      <w:r w:rsidRPr="005F5F8D" w:rsidR="007C0A51">
        <w:rPr>
          <w:rFonts w:ascii="Times New Roman" w:hAnsi="Times New Roman" w:cs="Times New Roman"/>
        </w:rPr>
        <w:t xml:space="preserve"> starostlivosť o </w:t>
      </w:r>
      <w:r w:rsidRPr="005F5F8D" w:rsidR="003578D6">
        <w:rPr>
          <w:rFonts w:ascii="Times New Roman" w:hAnsi="Times New Roman" w:cs="Times New Roman"/>
        </w:rPr>
        <w:t>dieťa obidvaja rodičia záujem</w:t>
      </w:r>
      <w:r w:rsidRPr="005F5F8D" w:rsidR="002D1B8A">
        <w:rPr>
          <w:rFonts w:ascii="Times New Roman" w:hAnsi="Times New Roman" w:cs="Times New Roman"/>
        </w:rPr>
        <w:t xml:space="preserve">, tak súd </w:t>
      </w:r>
      <w:r w:rsidRPr="005F5F8D" w:rsidR="00B80F95">
        <w:rPr>
          <w:rFonts w:ascii="Times New Roman" w:hAnsi="Times New Roman" w:cs="Times New Roman"/>
        </w:rPr>
        <w:t>môže zveriť</w:t>
      </w:r>
      <w:r w:rsidRPr="005F5F8D" w:rsidR="002D1B8A">
        <w:rPr>
          <w:rFonts w:ascii="Times New Roman" w:hAnsi="Times New Roman" w:cs="Times New Roman"/>
        </w:rPr>
        <w:t xml:space="preserve"> dieťa do striedavej starostlivosti obidvoch rodičov</w:t>
      </w:r>
      <w:r w:rsidRPr="005F5F8D" w:rsidR="0040048E">
        <w:rPr>
          <w:rFonts w:ascii="Times New Roman" w:hAnsi="Times New Roman" w:cs="Times New Roman"/>
        </w:rPr>
        <w:t xml:space="preserve"> ak je to v záujme dieťaťa a ak budú takto lepšie zaistené potreby dieťaťa</w:t>
      </w:r>
      <w:r w:rsidRPr="005F5F8D" w:rsidR="00683A89">
        <w:rPr>
          <w:rFonts w:ascii="Times New Roman" w:hAnsi="Times New Roman" w:cs="Times New Roman"/>
        </w:rPr>
        <w:t xml:space="preserve">. </w:t>
      </w:r>
      <w:r w:rsidRPr="005F5F8D" w:rsidR="00B80F95">
        <w:rPr>
          <w:rFonts w:ascii="Times New Roman" w:hAnsi="Times New Roman" w:cs="Times New Roman"/>
        </w:rPr>
        <w:t>Ak so striedavou starostlivosťou súhlasí aspoň jeden z rodičov</w:t>
      </w:r>
      <w:r w:rsidRPr="005F5F8D" w:rsidR="00CA62B0">
        <w:rPr>
          <w:rFonts w:ascii="Times New Roman" w:hAnsi="Times New Roman" w:cs="Times New Roman"/>
        </w:rPr>
        <w:t xml:space="preserve"> dieťaťa</w:t>
      </w:r>
      <w:r w:rsidRPr="005F5F8D" w:rsidR="006D57C2">
        <w:rPr>
          <w:rFonts w:ascii="Times New Roman" w:hAnsi="Times New Roman" w:cs="Times New Roman"/>
        </w:rPr>
        <w:t xml:space="preserve"> </w:t>
      </w:r>
      <w:r w:rsidRPr="005F5F8D" w:rsidR="00B80F95">
        <w:rPr>
          <w:rFonts w:ascii="Times New Roman" w:hAnsi="Times New Roman" w:cs="Times New Roman"/>
        </w:rPr>
        <w:t>t</w:t>
      </w:r>
      <w:r w:rsidRPr="005F5F8D" w:rsidR="006D57C2">
        <w:rPr>
          <w:rFonts w:ascii="Times New Roman" w:hAnsi="Times New Roman" w:cs="Times New Roman"/>
        </w:rPr>
        <w:t>a</w:t>
      </w:r>
      <w:r w:rsidRPr="005F5F8D" w:rsidR="00B80F95">
        <w:rPr>
          <w:rFonts w:ascii="Times New Roman" w:hAnsi="Times New Roman" w:cs="Times New Roman"/>
        </w:rPr>
        <w:t>k</w:t>
      </w:r>
      <w:r w:rsidRPr="005F5F8D" w:rsidR="006D57C2">
        <w:rPr>
          <w:rFonts w:ascii="Times New Roman" w:hAnsi="Times New Roman" w:cs="Times New Roman"/>
        </w:rPr>
        <w:t> </w:t>
      </w:r>
      <w:r w:rsidRPr="005F5F8D" w:rsidR="002F6113">
        <w:rPr>
          <w:rFonts w:ascii="Times New Roman" w:hAnsi="Times New Roman" w:cs="Times New Roman"/>
        </w:rPr>
        <w:t>súd musí skúmať, či bude takáto</w:t>
      </w:r>
      <w:r w:rsidRPr="005F5F8D" w:rsidR="00973011">
        <w:rPr>
          <w:rFonts w:ascii="Times New Roman" w:hAnsi="Times New Roman" w:cs="Times New Roman"/>
        </w:rPr>
        <w:t xml:space="preserve"> </w:t>
      </w:r>
      <w:r w:rsidRPr="005F5F8D" w:rsidR="007C0A51">
        <w:rPr>
          <w:rFonts w:ascii="Times New Roman" w:hAnsi="Times New Roman" w:cs="Times New Roman"/>
        </w:rPr>
        <w:t>starostlivosť</w:t>
      </w:r>
      <w:r w:rsidRPr="005F5F8D" w:rsidR="006D57C2">
        <w:rPr>
          <w:rFonts w:ascii="Times New Roman" w:hAnsi="Times New Roman" w:cs="Times New Roman"/>
        </w:rPr>
        <w:t xml:space="preserve"> v záujme dieťaťa</w:t>
      </w:r>
      <w:r w:rsidRPr="005F5F8D" w:rsidR="00B80F95">
        <w:rPr>
          <w:rFonts w:ascii="Times New Roman" w:hAnsi="Times New Roman" w:cs="Times New Roman"/>
        </w:rPr>
        <w:t>.</w:t>
      </w:r>
      <w:r w:rsidRPr="005F5F8D" w:rsidR="00CE59DA">
        <w:rPr>
          <w:rFonts w:ascii="Times New Roman" w:hAnsi="Times New Roman" w:cs="Times New Roman"/>
        </w:rPr>
        <w:t>“</w:t>
      </w:r>
    </w:p>
    <w:p w:rsidR="00AC6E43" w:rsidRPr="005F5F8D" w:rsidP="00DE23C1">
      <w:pPr>
        <w:jc w:val="both"/>
        <w:rPr>
          <w:rFonts w:ascii="Times New Roman" w:hAnsi="Times New Roman" w:cs="Times New Roman"/>
        </w:rPr>
      </w:pPr>
    </w:p>
    <w:p w:rsidR="00DE23C1" w:rsidRPr="005F5F8D" w:rsidP="00DE23C1">
      <w:pPr>
        <w:jc w:val="both"/>
        <w:rPr>
          <w:rFonts w:ascii="Times New Roman" w:hAnsi="Times New Roman" w:cs="Times New Roman"/>
        </w:rPr>
      </w:pPr>
      <w:r w:rsidRPr="005F5F8D" w:rsidR="005055F6">
        <w:rPr>
          <w:rFonts w:ascii="Times New Roman" w:hAnsi="Times New Roman" w:cs="Times New Roman"/>
        </w:rPr>
        <w:tab/>
        <w:t xml:space="preserve">Doterajšie  odseky 2 – 4 sa označujú ako odseky 3 až 5. </w:t>
      </w:r>
    </w:p>
    <w:p w:rsidR="005E2A71" w:rsidP="00DE23C1">
      <w:pPr>
        <w:jc w:val="both"/>
        <w:rPr>
          <w:rFonts w:ascii="Times New Roman" w:hAnsi="Times New Roman" w:cs="Times New Roman"/>
        </w:rPr>
      </w:pPr>
    </w:p>
    <w:p w:rsidR="005F5F8D" w:rsidRPr="005F5F8D" w:rsidP="00DE23C1">
      <w:pPr>
        <w:jc w:val="both"/>
        <w:rPr>
          <w:rFonts w:ascii="Times New Roman" w:hAnsi="Times New Roman" w:cs="Times New Roman"/>
        </w:rPr>
      </w:pPr>
    </w:p>
    <w:p w:rsidR="005F5F8D" w:rsidP="00DE23C1">
      <w:pPr>
        <w:autoSpaceDE/>
        <w:autoSpaceDN/>
        <w:jc w:val="both"/>
        <w:outlineLvl w:val="0"/>
        <w:rPr>
          <w:rFonts w:ascii="Times New Roman" w:hAnsi="Times New Roman" w:cs="Times New Roman"/>
          <w:b/>
        </w:rPr>
      </w:pPr>
    </w:p>
    <w:p w:rsidR="005F5F8D" w:rsidP="00DE23C1">
      <w:pPr>
        <w:autoSpaceDE/>
        <w:autoSpaceDN/>
        <w:jc w:val="both"/>
        <w:outlineLvl w:val="0"/>
        <w:rPr>
          <w:rFonts w:ascii="Times New Roman" w:hAnsi="Times New Roman" w:cs="Times New Roman"/>
          <w:b/>
        </w:rPr>
      </w:pPr>
    </w:p>
    <w:p w:rsidR="005F5F8D" w:rsidP="00DE23C1">
      <w:pPr>
        <w:autoSpaceDE/>
        <w:autoSpaceDN/>
        <w:jc w:val="both"/>
        <w:outlineLvl w:val="0"/>
        <w:rPr>
          <w:rFonts w:ascii="Times New Roman" w:hAnsi="Times New Roman" w:cs="Times New Roman"/>
          <w:b/>
        </w:rPr>
      </w:pPr>
    </w:p>
    <w:p w:rsidR="00DE23C1" w:rsidRPr="005F5F8D" w:rsidP="00DE23C1">
      <w:pPr>
        <w:autoSpaceDE/>
        <w:autoSpaceDN/>
        <w:jc w:val="both"/>
        <w:outlineLvl w:val="0"/>
        <w:rPr>
          <w:rFonts w:ascii="Times New Roman" w:hAnsi="Times New Roman" w:cs="Times New Roman"/>
          <w:b/>
        </w:rPr>
      </w:pPr>
      <w:r w:rsidRPr="005F5F8D">
        <w:rPr>
          <w:rFonts w:ascii="Times New Roman" w:hAnsi="Times New Roman" w:cs="Times New Roman"/>
          <w:b/>
        </w:rPr>
        <w:t>2.</w:t>
      </w:r>
      <w:r w:rsidRPr="005F5F8D">
        <w:rPr>
          <w:rFonts w:ascii="Times New Roman" w:hAnsi="Times New Roman" w:cs="Times New Roman"/>
        </w:rPr>
        <w:t xml:space="preserve"> </w:t>
      </w:r>
      <w:r w:rsidRPr="005F5F8D" w:rsidR="001935FD">
        <w:rPr>
          <w:rFonts w:ascii="Times New Roman" w:hAnsi="Times New Roman" w:cs="Times New Roman"/>
        </w:rPr>
        <w:t>V</w:t>
      </w:r>
      <w:r w:rsidRPr="005F5F8D" w:rsidR="005055F6">
        <w:rPr>
          <w:rFonts w:ascii="Times New Roman" w:hAnsi="Times New Roman" w:cs="Times New Roman"/>
        </w:rPr>
        <w:t xml:space="preserve"> </w:t>
      </w:r>
      <w:r w:rsidRPr="005F5F8D">
        <w:rPr>
          <w:rFonts w:ascii="Times New Roman" w:hAnsi="Times New Roman" w:cs="Times New Roman"/>
        </w:rPr>
        <w:t xml:space="preserve">§ 24 </w:t>
      </w:r>
      <w:r w:rsidRPr="005F5F8D" w:rsidR="001935FD">
        <w:rPr>
          <w:rFonts w:ascii="Times New Roman" w:hAnsi="Times New Roman" w:cs="Times New Roman"/>
        </w:rPr>
        <w:t>odsek 3</w:t>
      </w:r>
      <w:r w:rsidRPr="005F5F8D">
        <w:rPr>
          <w:rFonts w:ascii="Times New Roman" w:hAnsi="Times New Roman" w:cs="Times New Roman"/>
        </w:rPr>
        <w:t xml:space="preserve"> </w:t>
      </w:r>
      <w:r w:rsidRPr="005F5F8D" w:rsidR="005055F6">
        <w:rPr>
          <w:rFonts w:ascii="Times New Roman" w:hAnsi="Times New Roman" w:cs="Times New Roman"/>
        </w:rPr>
        <w:t xml:space="preserve"> znie:</w:t>
      </w:r>
    </w:p>
    <w:p w:rsidR="00CE59DA" w:rsidRPr="005F5F8D" w:rsidP="00CE59DA">
      <w:pPr>
        <w:autoSpaceDE/>
        <w:autoSpaceDN/>
        <w:jc w:val="center"/>
        <w:rPr>
          <w:rFonts w:ascii="Times New Roman" w:hAnsi="Times New Roman" w:cs="Times New Roman"/>
        </w:rPr>
      </w:pPr>
    </w:p>
    <w:p w:rsidR="00CE59DA" w:rsidRPr="005F5F8D" w:rsidP="005F5F8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5F5F8D" w:rsidR="005055F6">
        <w:rPr>
          <w:rFonts w:ascii="Times New Roman" w:hAnsi="Times New Roman" w:cs="Times New Roman"/>
        </w:rPr>
        <w:t xml:space="preserve">„(3) </w:t>
      </w:r>
      <w:r w:rsidRPr="005F5F8D">
        <w:rPr>
          <w:rFonts w:ascii="Times New Roman" w:hAnsi="Times New Roman" w:cs="Times New Roman"/>
        </w:rPr>
        <w:t>Súd pri rozhodovaní</w:t>
      </w:r>
      <w:r w:rsidRPr="005F5F8D" w:rsidR="0027190F">
        <w:rPr>
          <w:rFonts w:ascii="Times New Roman" w:hAnsi="Times New Roman" w:cs="Times New Roman"/>
        </w:rPr>
        <w:t xml:space="preserve"> o</w:t>
      </w:r>
      <w:r w:rsidRPr="005F5F8D">
        <w:rPr>
          <w:rFonts w:ascii="Times New Roman" w:hAnsi="Times New Roman" w:cs="Times New Roman"/>
        </w:rPr>
        <w:t xml:space="preserve"> výkone rodičovských práv a povinností alebo pri schvaľovaní dohody rodičov</w:t>
      </w:r>
      <w:r w:rsidRPr="005F5F8D" w:rsidR="00575704">
        <w:rPr>
          <w:rFonts w:ascii="Times New Roman" w:hAnsi="Times New Roman" w:cs="Times New Roman"/>
        </w:rPr>
        <w:t xml:space="preserve"> rešpektuje právo maloletého dieťaťa na zachovanie jeho vzťahu k obidvom rodičom a</w:t>
      </w:r>
      <w:r w:rsidRPr="005F5F8D">
        <w:rPr>
          <w:rFonts w:ascii="Times New Roman" w:hAnsi="Times New Roman" w:cs="Times New Roman"/>
        </w:rPr>
        <w:t xml:space="preserve"> vždy prihliadne na záujem maloletého dieťaťa, najmä na jeho citové väzby</w:t>
      </w:r>
      <w:r w:rsidRPr="005F5F8D" w:rsidR="001F18BD">
        <w:rPr>
          <w:rFonts w:ascii="Times New Roman" w:hAnsi="Times New Roman" w:cs="Times New Roman"/>
        </w:rPr>
        <w:t>,</w:t>
      </w:r>
      <w:r w:rsidRPr="005F5F8D">
        <w:rPr>
          <w:rFonts w:ascii="Times New Roman" w:hAnsi="Times New Roman" w:cs="Times New Roman"/>
        </w:rPr>
        <w:t xml:space="preserve"> vývinové potreby</w:t>
      </w:r>
      <w:r w:rsidRPr="005F5F8D" w:rsidR="001F18BD">
        <w:rPr>
          <w:rFonts w:ascii="Times New Roman" w:hAnsi="Times New Roman" w:cs="Times New Roman"/>
        </w:rPr>
        <w:t>,</w:t>
      </w:r>
      <w:r w:rsidRPr="005F5F8D">
        <w:rPr>
          <w:rFonts w:ascii="Times New Roman" w:hAnsi="Times New Roman" w:cs="Times New Roman"/>
        </w:rPr>
        <w:t xml:space="preserve"> stabilitu budúceho výchovného prostredia</w:t>
      </w:r>
      <w:r w:rsidRPr="005F5F8D" w:rsidR="005E2A71">
        <w:rPr>
          <w:rFonts w:ascii="Times New Roman" w:hAnsi="Times New Roman" w:cs="Times New Roman"/>
        </w:rPr>
        <w:t xml:space="preserve"> a</w:t>
      </w:r>
      <w:r w:rsidRPr="005F5F8D" w:rsidR="001F18BD">
        <w:rPr>
          <w:rFonts w:ascii="Times New Roman" w:hAnsi="Times New Roman" w:cs="Times New Roman"/>
        </w:rPr>
        <w:t xml:space="preserve"> ku schopnosti rodiča dohodnúť sa na výchove </w:t>
      </w:r>
      <w:r w:rsidRPr="005F5F8D" w:rsidR="007C0A51">
        <w:rPr>
          <w:rFonts w:ascii="Times New Roman" w:hAnsi="Times New Roman" w:cs="Times New Roman"/>
        </w:rPr>
        <w:t xml:space="preserve">a starostlivosti o </w:t>
      </w:r>
      <w:r w:rsidRPr="005F5F8D" w:rsidR="001F18BD">
        <w:rPr>
          <w:rFonts w:ascii="Times New Roman" w:hAnsi="Times New Roman" w:cs="Times New Roman"/>
        </w:rPr>
        <w:t>dieťa s druhým rodičom</w:t>
      </w:r>
      <w:r w:rsidRPr="005F5F8D">
        <w:rPr>
          <w:rFonts w:ascii="Times New Roman" w:hAnsi="Times New Roman" w:cs="Times New Roman"/>
        </w:rPr>
        <w:t>.</w:t>
      </w:r>
      <w:r w:rsidRPr="005F5F8D" w:rsidR="005C0A91">
        <w:rPr>
          <w:rFonts w:ascii="Times New Roman" w:hAnsi="Times New Roman" w:cs="Times New Roman"/>
        </w:rPr>
        <w:t xml:space="preserve"> Súd dbá, aby bolo rešpektované právo dieťaťa na výchovu</w:t>
      </w:r>
      <w:r w:rsidRPr="005F5F8D" w:rsidR="00817B7F">
        <w:rPr>
          <w:rFonts w:ascii="Times New Roman" w:hAnsi="Times New Roman" w:cs="Times New Roman"/>
        </w:rPr>
        <w:t xml:space="preserve"> a starostlivosť</w:t>
      </w:r>
      <w:r w:rsidRPr="005F5F8D" w:rsidR="005C0A91">
        <w:rPr>
          <w:rFonts w:ascii="Times New Roman" w:hAnsi="Times New Roman" w:cs="Times New Roman"/>
        </w:rPr>
        <w:t xml:space="preserve"> zo strany obidvoch rodičov a aby bolo rešpektované právo dieťaťa na udržovania pravidelného</w:t>
      </w:r>
      <w:r w:rsidRPr="005F5F8D" w:rsidR="00DC372B">
        <w:rPr>
          <w:rFonts w:ascii="Times New Roman" w:hAnsi="Times New Roman" w:cs="Times New Roman"/>
        </w:rPr>
        <w:t>,</w:t>
      </w:r>
      <w:r w:rsidRPr="005F5F8D" w:rsidR="005C0A91">
        <w:rPr>
          <w:rFonts w:ascii="Times New Roman" w:hAnsi="Times New Roman" w:cs="Times New Roman"/>
        </w:rPr>
        <w:t xml:space="preserve"> rovnocenného</w:t>
      </w:r>
      <w:r w:rsidRPr="005F5F8D" w:rsidR="00DC372B">
        <w:rPr>
          <w:rFonts w:ascii="Times New Roman" w:hAnsi="Times New Roman" w:cs="Times New Roman"/>
        </w:rPr>
        <w:t xml:space="preserve"> a rovn</w:t>
      </w:r>
      <w:r w:rsidRPr="005F5F8D" w:rsidR="00DC372B">
        <w:rPr>
          <w:rFonts w:ascii="Times New Roman" w:hAnsi="Times New Roman" w:cs="Times New Roman"/>
        </w:rPr>
        <w:t>oprávneho</w:t>
      </w:r>
      <w:r w:rsidRPr="005F5F8D" w:rsidR="005C0A91">
        <w:rPr>
          <w:rFonts w:ascii="Times New Roman" w:hAnsi="Times New Roman" w:cs="Times New Roman"/>
        </w:rPr>
        <w:t xml:space="preserve"> osobného styku s obidvomi rodičmi</w:t>
      </w:r>
      <w:r w:rsidRPr="005F5F8D" w:rsidR="00AC403B">
        <w:rPr>
          <w:rFonts w:ascii="Times New Roman" w:hAnsi="Times New Roman" w:cs="Times New Roman"/>
        </w:rPr>
        <w:t>.</w:t>
      </w:r>
      <w:r w:rsidRPr="005F5F8D">
        <w:rPr>
          <w:rFonts w:ascii="Times New Roman" w:hAnsi="Times New Roman" w:cs="Times New Roman"/>
        </w:rPr>
        <w:t>“</w:t>
      </w:r>
    </w:p>
    <w:p w:rsidR="006D57C2" w:rsidRPr="005F5F8D" w:rsidP="005F5F8D">
      <w:pPr>
        <w:autoSpaceDE/>
        <w:autoSpaceDN/>
        <w:spacing w:line="360" w:lineRule="auto"/>
        <w:jc w:val="center"/>
        <w:rPr>
          <w:rFonts w:ascii="Times New Roman" w:hAnsi="Times New Roman" w:cs="Times New Roman"/>
        </w:rPr>
      </w:pPr>
    </w:p>
    <w:p w:rsidR="00B264B5" w:rsidRPr="006D57C2" w:rsidP="002548E3">
      <w:pPr>
        <w:autoSpaceDE/>
        <w:autoSpaceDN/>
        <w:jc w:val="both"/>
        <w:rPr>
          <w:rFonts w:ascii="Arial" w:hAnsi="Arial" w:cs="Arial"/>
        </w:rPr>
      </w:pPr>
    </w:p>
    <w:p w:rsidR="002548E3" w:rsidRPr="00A94723" w:rsidP="002548E3">
      <w:pPr>
        <w:autoSpaceDE/>
        <w:autoSpaceDN/>
        <w:jc w:val="both"/>
        <w:outlineLvl w:val="0"/>
        <w:rPr>
          <w:rFonts w:ascii="Times New Roman" w:hAnsi="Times New Roman" w:cs="Times New Roman"/>
        </w:rPr>
      </w:pPr>
      <w:r w:rsidRPr="00A94723" w:rsidR="00DE23C1">
        <w:rPr>
          <w:rFonts w:ascii="Times New Roman" w:hAnsi="Times New Roman" w:cs="Times New Roman"/>
          <w:b/>
        </w:rPr>
        <w:t>3</w:t>
      </w:r>
      <w:r w:rsidRPr="00A94723">
        <w:rPr>
          <w:rFonts w:ascii="Times New Roman" w:hAnsi="Times New Roman" w:cs="Times New Roman"/>
          <w:b/>
        </w:rPr>
        <w:t>.</w:t>
      </w:r>
      <w:r w:rsidRPr="00A94723">
        <w:rPr>
          <w:rFonts w:ascii="Times New Roman" w:hAnsi="Times New Roman" w:cs="Times New Roman"/>
        </w:rPr>
        <w:t xml:space="preserve"> </w:t>
      </w:r>
      <w:r w:rsidRPr="00A94723" w:rsidR="001935FD">
        <w:rPr>
          <w:rFonts w:ascii="Times New Roman" w:hAnsi="Times New Roman" w:cs="Times New Roman"/>
        </w:rPr>
        <w:t>V</w:t>
      </w:r>
      <w:r w:rsidRPr="00A94723" w:rsidR="005055F6">
        <w:rPr>
          <w:rFonts w:ascii="Times New Roman" w:hAnsi="Times New Roman" w:cs="Times New Roman"/>
        </w:rPr>
        <w:t xml:space="preserve"> </w:t>
      </w:r>
      <w:r w:rsidRPr="00A94723" w:rsidR="00651DA8">
        <w:rPr>
          <w:rFonts w:ascii="Times New Roman" w:hAnsi="Times New Roman" w:cs="Times New Roman"/>
        </w:rPr>
        <w:t xml:space="preserve">§ 24 </w:t>
      </w:r>
      <w:r w:rsidRPr="00A94723" w:rsidR="005055F6">
        <w:rPr>
          <w:rFonts w:ascii="Times New Roman" w:hAnsi="Times New Roman" w:cs="Times New Roman"/>
        </w:rPr>
        <w:t>o</w:t>
      </w:r>
      <w:r w:rsidRPr="00A94723" w:rsidR="001935FD">
        <w:rPr>
          <w:rFonts w:ascii="Times New Roman" w:hAnsi="Times New Roman" w:cs="Times New Roman"/>
        </w:rPr>
        <w:t>dsek 4</w:t>
      </w:r>
      <w:r w:rsidRPr="00A94723" w:rsidR="005055F6">
        <w:rPr>
          <w:rFonts w:ascii="Times New Roman" w:hAnsi="Times New Roman" w:cs="Times New Roman"/>
        </w:rPr>
        <w:t xml:space="preserve"> znie</w:t>
      </w:r>
      <w:r w:rsidRPr="00A94723" w:rsidR="005B397A">
        <w:rPr>
          <w:rFonts w:ascii="Times New Roman" w:hAnsi="Times New Roman" w:cs="Times New Roman"/>
        </w:rPr>
        <w:t>:</w:t>
      </w:r>
    </w:p>
    <w:p w:rsidR="002548E3" w:rsidRPr="00B264B5" w:rsidP="002548E3">
      <w:pPr>
        <w:autoSpaceDE/>
        <w:autoSpaceDN/>
        <w:jc w:val="center"/>
        <w:rPr>
          <w:rFonts w:ascii="Arial" w:hAnsi="Arial" w:cs="Arial"/>
        </w:rPr>
      </w:pPr>
    </w:p>
    <w:p w:rsidR="00C67254" w:rsidRPr="00A94723" w:rsidP="00A9472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94723" w:rsidR="00A94723">
        <w:rPr>
          <w:rFonts w:ascii="Times New Roman" w:hAnsi="Times New Roman" w:cs="Times New Roman"/>
        </w:rPr>
        <w:t xml:space="preserve">„ </w:t>
      </w:r>
      <w:r w:rsidRPr="00A94723" w:rsidR="005055F6">
        <w:rPr>
          <w:rFonts w:ascii="Times New Roman" w:hAnsi="Times New Roman" w:cs="Times New Roman"/>
        </w:rPr>
        <w:t xml:space="preserve">(4) </w:t>
      </w:r>
      <w:r w:rsidRPr="00A94723" w:rsidR="00575704">
        <w:rPr>
          <w:rFonts w:ascii="Times New Roman" w:hAnsi="Times New Roman" w:cs="Times New Roman"/>
        </w:rPr>
        <w:t>Súd pri rozhodovaní o zverení maloletého dieťaťa do osobnej starostlivosti jedného z</w:t>
      </w:r>
      <w:r w:rsidRPr="00A94723" w:rsidR="008018BB">
        <w:rPr>
          <w:rFonts w:ascii="Times New Roman" w:hAnsi="Times New Roman" w:cs="Times New Roman"/>
        </w:rPr>
        <w:t> rodičov dbá na</w:t>
      </w:r>
      <w:r w:rsidRPr="00A94723" w:rsidR="00575704">
        <w:rPr>
          <w:rFonts w:ascii="Times New Roman" w:hAnsi="Times New Roman" w:cs="Times New Roman"/>
        </w:rPr>
        <w:t xml:space="preserve"> právo toho rodiča, ktorému nebude maloleté dieťa zverené do osobnej starostlivosti, na pravidelné informovanie sa o maloletom dieťati. Rodič, ktorému nebolo maloleté dieťa zverené do osobnej starostlivosti, môže sa práva na pravidelné informovanie sa o maloletom dieťati domáhať na súde.“</w:t>
      </w:r>
    </w:p>
    <w:p w:rsidR="001935FD" w:rsidRPr="00A94723" w:rsidP="00A9472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5055F6" w:rsidP="00B264B5">
      <w:pPr>
        <w:ind w:firstLine="720"/>
        <w:jc w:val="both"/>
        <w:rPr>
          <w:rFonts w:ascii="Arial" w:hAnsi="Arial" w:cs="Arial"/>
        </w:rPr>
      </w:pPr>
    </w:p>
    <w:p w:rsidR="005055F6" w:rsidRPr="00B264B5" w:rsidP="00B264B5">
      <w:pPr>
        <w:ind w:firstLine="720"/>
        <w:jc w:val="both"/>
        <w:rPr>
          <w:rFonts w:ascii="Arial" w:hAnsi="Arial" w:cs="Arial"/>
        </w:rPr>
      </w:pPr>
    </w:p>
    <w:p w:rsidR="002548E3" w:rsidRPr="00A94723" w:rsidP="002548E3">
      <w:pPr>
        <w:jc w:val="center"/>
        <w:rPr>
          <w:rFonts w:ascii="Times New Roman" w:hAnsi="Times New Roman" w:cs="Times New Roman"/>
          <w:b/>
          <w:bCs/>
        </w:rPr>
      </w:pPr>
      <w:r w:rsidRPr="00A94723">
        <w:rPr>
          <w:rFonts w:ascii="Times New Roman" w:hAnsi="Times New Roman" w:cs="Times New Roman"/>
          <w:b/>
          <w:bCs/>
        </w:rPr>
        <w:t>Čl. II</w:t>
      </w:r>
    </w:p>
    <w:p w:rsidR="002548E3" w:rsidRPr="00A94723" w:rsidP="002548E3">
      <w:pPr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8B23E7" w:rsidRPr="00A94723" w:rsidP="00A618B4">
      <w:pPr>
        <w:rPr>
          <w:rFonts w:ascii="Times New Roman" w:hAnsi="Times New Roman" w:cs="Times New Roman"/>
          <w:bCs/>
        </w:rPr>
      </w:pPr>
      <w:r w:rsidRPr="00A94723" w:rsidR="002548E3">
        <w:rPr>
          <w:rFonts w:ascii="Times New Roman" w:hAnsi="Times New Roman" w:cs="Times New Roman"/>
          <w:bCs/>
        </w:rPr>
        <w:t xml:space="preserve">Tento zákon nadobúda účinnosť </w:t>
      </w:r>
      <w:r w:rsidR="00A94723">
        <w:rPr>
          <w:rFonts w:ascii="Times New Roman" w:hAnsi="Times New Roman" w:cs="Times New Roman"/>
          <w:bCs/>
        </w:rPr>
        <w:t xml:space="preserve"> 1.</w:t>
      </w:r>
      <w:r w:rsidR="00A94723">
        <w:rPr>
          <w:rFonts w:ascii="Times New Roman" w:hAnsi="Times New Roman" w:cs="Times New Roman"/>
          <w:bCs/>
        </w:rPr>
        <w:t xml:space="preserve"> júla 2010.</w:t>
      </w:r>
    </w:p>
    <w:p w:rsidR="008B23E7" w:rsidRPr="00A94723" w:rsidP="00A618B4">
      <w:pPr>
        <w:rPr>
          <w:rFonts w:ascii="Times New Roman" w:hAnsi="Times New Roman" w:cs="Times New Roman"/>
          <w:bCs/>
        </w:rPr>
      </w:pPr>
    </w:p>
    <w:p w:rsidR="008B23E7" w:rsidP="00A618B4">
      <w:pPr>
        <w:rPr>
          <w:rFonts w:ascii="Times New Roman" w:hAnsi="Times New Roman" w:cs="Times New Roman"/>
          <w:bCs/>
        </w:rPr>
      </w:pPr>
    </w:p>
    <w:p w:rsidR="00A94723" w:rsidP="00A618B4">
      <w:pPr>
        <w:rPr>
          <w:rFonts w:ascii="Times New Roman" w:hAnsi="Times New Roman" w:cs="Times New Roman"/>
          <w:bCs/>
        </w:rPr>
      </w:pPr>
    </w:p>
    <w:p w:rsidR="00A94723" w:rsidP="00A618B4">
      <w:pPr>
        <w:rPr>
          <w:rFonts w:ascii="Times New Roman" w:hAnsi="Times New Roman" w:cs="Times New Roman"/>
          <w:bCs/>
        </w:rPr>
      </w:pPr>
    </w:p>
    <w:p w:rsidR="00A94723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A95CB6" w:rsidP="00A618B4">
      <w:pPr>
        <w:rPr>
          <w:rFonts w:ascii="Times New Roman" w:hAnsi="Times New Roman" w:cs="Times New Roman"/>
          <w:bCs/>
        </w:rPr>
      </w:pPr>
    </w:p>
    <w:p w:rsidR="00385C19" w:rsidP="00385C1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123F2">
        <w:rPr>
          <w:rFonts w:ascii="Arial" w:hAnsi="Arial" w:cs="Arial"/>
          <w:b/>
          <w:sz w:val="28"/>
          <w:szCs w:val="28"/>
        </w:rPr>
        <w:t xml:space="preserve">ôvodová správa </w:t>
      </w:r>
    </w:p>
    <w:p w:rsidR="00DC271D" w:rsidRPr="006123F2" w:rsidP="00385C19">
      <w:pPr>
        <w:jc w:val="center"/>
        <w:rPr>
          <w:rFonts w:ascii="Arial" w:hAnsi="Arial" w:cs="Arial"/>
          <w:b/>
          <w:sz w:val="28"/>
          <w:szCs w:val="28"/>
        </w:rPr>
      </w:pPr>
    </w:p>
    <w:p w:rsidR="00385C19" w:rsidRPr="006123F2" w:rsidP="00385C19">
      <w:pPr>
        <w:jc w:val="center"/>
        <w:rPr>
          <w:rFonts w:ascii="Arial" w:hAnsi="Arial" w:cs="Arial"/>
          <w:b/>
          <w:sz w:val="28"/>
          <w:szCs w:val="28"/>
        </w:rPr>
      </w:pPr>
    </w:p>
    <w:p w:rsidR="00385C19" w:rsidRPr="00DC271D" w:rsidP="00385C1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DC271D">
        <w:rPr>
          <w:rFonts w:ascii="Times New Roman" w:hAnsi="Times New Roman" w:cs="Times New Roman"/>
          <w:b/>
        </w:rPr>
        <w:t xml:space="preserve">Všeobecná časť: </w:t>
      </w:r>
    </w:p>
    <w:p w:rsidR="00385C19" w:rsidRPr="001B4AFB" w:rsidP="00385C19">
      <w:pPr>
        <w:rPr>
          <w:rFonts w:ascii="Times New Roman" w:hAnsi="Times New Roman" w:cs="Times New Roman"/>
          <w:b/>
          <w:u w:val="single"/>
        </w:rPr>
      </w:pPr>
    </w:p>
    <w:p w:rsidR="00385C19" w:rsidP="00385C19">
      <w:pPr>
        <w:ind w:firstLine="36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Cieľom novelizácie zákona o rodine  je zaviesť do praxe slovenských súdov a porozvodovej starostlivosti osvedčený systém striedavej starostlivosti o deti po rozvode rodičov. Striedavá starostlivosť zabezpečuje  dieťaťu primeraný kontakt s obidvoma rodičmi, redukuje porozvodovú traumatizáciu detí, prispieva k citovej vyrovnanosti a zdravému psychickému vývoju detí.  Striedavá starostlivosť sa na základe skúseností viacerých krajín, ako USA, SRN,  Nórsko a Česká republika ukazuje ako najlepšia a najefektívnejšia forma porozvodovej starostlivosti o deti.</w:t>
      </w:r>
    </w:p>
    <w:p w:rsidR="00DC271D" w:rsidRPr="001B4AFB" w:rsidP="00385C19">
      <w:pPr>
        <w:ind w:firstLine="360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ind w:firstLine="360"/>
        <w:jc w:val="both"/>
        <w:rPr>
          <w:rFonts w:ascii="Times New Roman" w:hAnsi="Times New Roman" w:cs="Times New Roman"/>
          <w:i/>
        </w:rPr>
      </w:pPr>
      <w:r w:rsidRPr="001B4AFB">
        <w:rPr>
          <w:rFonts w:ascii="Times New Roman" w:hAnsi="Times New Roman" w:cs="Times New Roman"/>
        </w:rPr>
        <w:t xml:space="preserve"> V USA jednotlivé štáty uplatňujú striedavú starostlivosť temer 25rokov, V SRN bola striedavá starostlivosť upravená v príslušnom zákone v roku 1998 ako základná východisková starostlivosť, ktorá pretrváva aj po rozvode rodičov.  Podobne v Českej republike sa novelizácia zákona o rodine v roku 1998 zamerala na zavedenie striedavej</w:t>
      </w:r>
      <w:r w:rsidRPr="001B4AFB">
        <w:rPr>
          <w:rFonts w:ascii="Times New Roman" w:hAnsi="Times New Roman" w:cs="Times New Roman"/>
          <w:i/>
        </w:rPr>
        <w:t xml:space="preserve"> starostlivosti do právneho poriadku  ČR. </w:t>
      </w:r>
    </w:p>
    <w:p w:rsidR="00385C19" w:rsidRPr="001B4AFB" w:rsidP="00385C19">
      <w:pPr>
        <w:ind w:firstLine="360"/>
        <w:jc w:val="both"/>
        <w:rPr>
          <w:rFonts w:ascii="Times New Roman" w:hAnsi="Times New Roman" w:cs="Times New Roman"/>
          <w:i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  <w:i/>
        </w:rPr>
      </w:pPr>
      <w:r w:rsidRPr="005E107A">
        <w:rPr>
          <w:rFonts w:ascii="Times New Roman" w:hAnsi="Times New Roman" w:cs="Times New Roman"/>
        </w:rPr>
        <w:t xml:space="preserve">Podľa čl. 3 ods. 1 Dohovoru o právach dieťaťa: </w:t>
      </w:r>
      <w:r w:rsidRPr="005E107A">
        <w:rPr>
          <w:rFonts w:ascii="Times New Roman" w:hAnsi="Times New Roman" w:cs="Times New Roman"/>
          <w:i/>
        </w:rPr>
        <w:t>„Záujem dieťaťa musí byť prvoradým hľadiskom pri akejkoľvek činnosti týkajúcej sa detí, nech už uskutočňovanej verejnými alebo súkromnými zariadeniami sociálnej starostlivosti, súdmi, správnymi alebo zákonodarnými orgánmi.“</w:t>
      </w:r>
    </w:p>
    <w:p w:rsidR="00DC271D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  <w:i/>
        </w:rPr>
      </w:pPr>
      <w:r w:rsidRPr="005E107A">
        <w:rPr>
          <w:rFonts w:ascii="Times New Roman" w:hAnsi="Times New Roman" w:cs="Times New Roman"/>
        </w:rPr>
        <w:t xml:space="preserve">Podľa čl. 18 ods. 1 Dohovoru o právach dieťaťa: </w:t>
      </w:r>
      <w:r w:rsidRPr="005E107A">
        <w:rPr>
          <w:rFonts w:ascii="Times New Roman" w:hAnsi="Times New Roman" w:cs="Times New Roman"/>
          <w:i/>
        </w:rPr>
        <w:t>„Štáty, ktoré sú zmluvnou stranou Dohovoru, vynaložia všetko úsilie na to, aby sa uznala zásada, že obaja rodičia majú spoločnú zodpovednosť za výchovu a vývoj dieťaťa. Rodičia, alebo v zodpovedajúcich prípadoch zákonní zástupcovia, majú prvotnú zodpovednosť za výchovu a vývoj dieťaťa. Základným zmyslom ich starostlivosti musí pritom byť záujem dieťaťa.“</w:t>
      </w:r>
    </w:p>
    <w:p w:rsidR="00DC271D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  <w:u w:val="single"/>
        </w:rPr>
        <w:t>Striedavá starostlivosť</w:t>
      </w:r>
      <w:r w:rsidRPr="005E107A">
        <w:rPr>
          <w:rFonts w:ascii="Times New Roman" w:hAnsi="Times New Roman" w:cs="Times New Roman"/>
        </w:rPr>
        <w:t xml:space="preserve"> o dieťa znamená, že dieťa sa zverí do starostlivosti striedavo jednému a druhému rodičovi na presne stanovené časové obdobie opakovane. Súd zároveň vymedzí práva a povinnosti rodičov uplatňujúce sa počas týchto časových období. </w:t>
      </w:r>
    </w:p>
    <w:p w:rsidR="00DC271D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  <w:bookmarkStart w:id="0" w:name="_Toc223931443"/>
      <w:r w:rsidRPr="005E107A">
        <w:rPr>
          <w:rFonts w:ascii="Times New Roman" w:hAnsi="Times New Roman" w:cs="Times New Roman"/>
        </w:rPr>
        <w:t>V súhrnnej Správe o stave rodovej rovnosti na Slovensku a o činnosti Rady vlády SR pre rodovú rovnosť</w:t>
      </w:r>
      <w:bookmarkEnd w:id="0"/>
      <w:r w:rsidRPr="005E107A">
        <w:rPr>
          <w:rFonts w:ascii="Times New Roman" w:hAnsi="Times New Roman" w:cs="Times New Roman"/>
        </w:rPr>
        <w:t xml:space="preserve"> za rok 2008, ktorá bola schválená vládou 8.4.2009  a Národná rada SR túto správu odobrila na svojej 44. schôdzi, sa uvádza: „</w:t>
      </w:r>
      <w:r w:rsidRPr="005E107A">
        <w:rPr>
          <w:rFonts w:ascii="Times New Roman" w:hAnsi="Times New Roman" w:cs="Times New Roman"/>
          <w:i/>
        </w:rPr>
        <w:t xml:space="preserve">Rodová rovnosť je základným atribútom právnej a sociálne spravodlivej demokratickej spoločnosti a jej dosiahnutý stupeň je ukazovateľom uplatňovania demokratických princípov ... vzhľadom aj na zvyšujúcu sa rozvodovosť je dôležitým ukazovateľom rodovej rovnosti v oblasti rodiny počet jednorodičovských rodín. Väčšina detí býva po rozvode pridelená  matkám, pričom  </w:t>
      </w:r>
      <w:r w:rsidRPr="005E107A">
        <w:rPr>
          <w:rFonts w:ascii="Times New Roman" w:hAnsi="Times New Roman" w:cs="Times New Roman"/>
          <w:i/>
          <w:u w:val="single"/>
        </w:rPr>
        <w:t>zákon o rodine  neumožňuje striedavú starostlivosť</w:t>
      </w:r>
      <w:r w:rsidRPr="005E107A">
        <w:rPr>
          <w:rFonts w:ascii="Times New Roman" w:hAnsi="Times New Roman" w:cs="Times New Roman"/>
        </w:rPr>
        <w:t xml:space="preserve">“ koniec citátu. </w:t>
      </w:r>
      <w:bookmarkStart w:id="1" w:name="_Toc222830564"/>
      <w:bookmarkStart w:id="2" w:name="_Toc223092314"/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rPr>
          <w:rFonts w:ascii="Times New Roman" w:hAnsi="Times New Roman" w:cs="Times New Roman"/>
          <w:b/>
          <w:bCs/>
        </w:rPr>
      </w:pPr>
      <w:r w:rsidRPr="005E107A">
        <w:rPr>
          <w:rFonts w:ascii="Times New Roman" w:hAnsi="Times New Roman" w:cs="Times New Roman"/>
          <w:b/>
          <w:bCs/>
        </w:rPr>
        <w:t>Jednorodičovské rodiny podľa pohlavia  (1990, 2001)</w:t>
      </w:r>
      <w:bookmarkEnd w:id="1"/>
      <w:bookmarkEnd w:id="2"/>
    </w:p>
    <w:tbl>
      <w:tblPr>
        <w:tblW w:w="9879" w:type="dxa"/>
        <w:tblInd w:w="55" w:type="dxa"/>
        <w:tblCellMar>
          <w:left w:w="70" w:type="dxa"/>
          <w:right w:w="70" w:type="dxa"/>
        </w:tblCellMar>
      </w:tblPr>
      <w:tblGrid>
        <w:gridCol w:w="4785"/>
        <w:gridCol w:w="1350"/>
        <w:gridCol w:w="1920"/>
        <w:gridCol w:w="1824"/>
      </w:tblGrid>
      <w:tr>
        <w:tblPrEx>
          <w:tblW w:w="9879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center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center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07A">
              <w:rPr>
                <w:rFonts w:ascii="Times New Roman" w:hAnsi="Times New Roman" w:cs="Times New Roman"/>
                <w:b/>
              </w:rPr>
              <w:t>1990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07A">
              <w:rPr>
                <w:rFonts w:ascii="Times New Roman" w:hAnsi="Times New Roman" w:cs="Times New Roman"/>
                <w:b/>
              </w:rPr>
              <w:t>2001</w:t>
            </w:r>
          </w:p>
        </w:tc>
      </w:tr>
      <w:tr>
        <w:tblPrEx>
          <w:tblW w:w="9879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Počet rodín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Matka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159342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213983</w:t>
            </w:r>
          </w:p>
        </w:tc>
      </w:tr>
      <w:tr>
        <w:tblPrEx>
          <w:tblW w:w="9879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textDirection w:val="lrTb"/>
            <w:vAlign w:val="center"/>
          </w:tcPr>
          <w:p w:rsidR="00385C19" w:rsidRPr="005E107A" w:rsidP="00F2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Otec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31589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32375</w:t>
            </w:r>
          </w:p>
        </w:tc>
      </w:tr>
      <w:tr>
        <w:tblPrEx>
          <w:tblW w:w="9879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Podiel zo všetkých jednorodičovských rodín v 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Matka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83,50%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</w:rPr>
            </w:pPr>
            <w:r w:rsidRPr="005E107A">
              <w:rPr>
                <w:rFonts w:ascii="Times New Roman" w:hAnsi="Times New Roman" w:cs="Times New Roman"/>
              </w:rPr>
              <w:t>86,90%</w:t>
            </w:r>
          </w:p>
        </w:tc>
      </w:tr>
      <w:tr>
        <w:tblPrEx>
          <w:tblW w:w="9879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textDirection w:val="lrTb"/>
            <w:vAlign w:val="center"/>
          </w:tcPr>
          <w:p w:rsidR="00385C19" w:rsidRPr="005E107A" w:rsidP="00F2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rPr>
                <w:rFonts w:ascii="Times New Roman" w:hAnsi="Times New Roman" w:cs="Times New Roman"/>
                <w:b/>
              </w:rPr>
            </w:pPr>
            <w:r w:rsidRPr="005E107A">
              <w:rPr>
                <w:rFonts w:ascii="Times New Roman" w:hAnsi="Times New Roman" w:cs="Times New Roman"/>
                <w:b/>
              </w:rPr>
              <w:t>Otec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107A">
              <w:rPr>
                <w:rFonts w:ascii="Times New Roman" w:hAnsi="Times New Roman" w:cs="Times New Roman"/>
                <w:b/>
              </w:rPr>
              <w:t>16,50%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385C19" w:rsidRPr="005E107A" w:rsidP="00F228F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107A">
              <w:rPr>
                <w:rFonts w:ascii="Times New Roman" w:hAnsi="Times New Roman" w:cs="Times New Roman"/>
                <w:b/>
              </w:rPr>
              <w:t>13,10%</w:t>
            </w:r>
          </w:p>
        </w:tc>
      </w:tr>
    </w:tbl>
    <w:p w:rsidR="00385C19" w:rsidRPr="005E107A" w:rsidP="00385C19">
      <w:pPr>
        <w:pStyle w:val="Odstavecseseznamem"/>
        <w:rPr>
          <w:rFonts w:ascii="Times New Roman" w:hAnsi="Times New Roman" w:cs="Times New Roman"/>
          <w:sz w:val="24"/>
          <w:szCs w:val="24"/>
          <w:lang w:eastAsia="sk-SK" w:bidi="ar-SA"/>
        </w:rPr>
      </w:pPr>
      <w:r w:rsidRPr="005E107A">
        <w:rPr>
          <w:rFonts w:ascii="Times New Roman" w:hAnsi="Times New Roman" w:cs="Times New Roman"/>
          <w:sz w:val="24"/>
          <w:szCs w:val="24"/>
          <w:lang w:eastAsia="sk-SK" w:bidi="ar-SA"/>
        </w:rPr>
        <w:t>Zdroj: UNEC</w:t>
      </w:r>
      <w:r w:rsidRPr="005E107A">
        <w:rPr>
          <w:rFonts w:ascii="Times New Roman" w:hAnsi="Times New Roman" w:cs="Times New Roman"/>
          <w:sz w:val="24"/>
          <w:szCs w:val="24"/>
          <w:lang w:eastAsia="sk-SK" w:bidi="ar-SA"/>
        </w:rPr>
        <w:t xml:space="preserve">E – gender statistics </w:t>
      </w: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Štatistické údaje Hospodárskej komisie OSN pre Európu (UNECE) hovoria jasnou rečou - z porovnania rokov 1990 a 2001 je zrejmé, že trend zverovania detí do starostlivosti otcom bol za sledované obdobie v Slovenskej republike výrazne klesajúci, čo by samo o sebe neznamenalo katastrofu, keby súčasne s týmto trendom súdy umožňovali deťom styk s obidvomi rodičmi v dostatočne pravidelnom, rovnocennom a rovnoprávnom rozsahu.</w:t>
      </w:r>
      <w:r w:rsidRPr="001B4AFB">
        <w:rPr>
          <w:rFonts w:ascii="Times New Roman" w:hAnsi="Times New Roman" w:cs="Times New Roman"/>
        </w:rPr>
        <w:t xml:space="preserve"> </w:t>
      </w:r>
    </w:p>
    <w:p w:rsidR="00DC271D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 xml:space="preserve">Otcovia v Slovenskej republike majú záujem o porozvodovú starostlivosť o dieťa. Prax súdov v Slovenskej republike je žiaľ taká, že rodič, ktorému nie je dieťa zverené do starostlivosti (v drvivej väčšine otec), sa môže s dieťaťom stýkať, na základe súdneho rozhodnutia, väčšinou 2x do mesiaca cez víkend. Otcovia nesúhlasia s tým, aby boli práva ich detí a rodičovské práva a povinnosti otcov zdeformované na pár dní do mesiaca za situácie, že dieťa je zverené do osobnej starostlivosti matky. Stretávanie sa otca s dieťaťom 2x do mesiaca cez víkend je iba o tom, aby dieťa úplne na otca nezabudlo a aby mal otec aspoň minimálnu motiváciu platiť na dieťa výživné – tu sa v žiadnom prípade nedá hovoriť o tom, </w:t>
      </w:r>
      <w:r w:rsidRPr="005E107A">
        <w:rPr>
          <w:rFonts w:ascii="Times New Roman" w:hAnsi="Times New Roman" w:cs="Times New Roman"/>
        </w:rPr>
        <w:t>že by takýto otec mal možnosť dieťa vychovávať. U detí vzniká riziko syndrómu zavrhnutého rodiča (The Parental Alienation Syndrome).</w:t>
      </w: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Byť dobrým otcom je nepochybne silný motív, ktorý motivuje mužov k úsiliu o rovnosť. V súčasnosti si aj na Slovensku stále viac mužov uvedomuje, že sú pre svoje deti dôležití a chcú s tým niečo urobiť.</w:t>
      </w:r>
    </w:p>
    <w:p w:rsidR="00DC271D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  <w:u w:val="single"/>
        </w:rPr>
      </w:pPr>
      <w:r w:rsidRPr="005E107A">
        <w:rPr>
          <w:rFonts w:ascii="Times New Roman" w:hAnsi="Times New Roman" w:cs="Times New Roman"/>
        </w:rPr>
        <w:t>Medzi odporúčaniami, ktoré sú uvedené v prílohe (2,d) Národnej stratégie rodovej rovnosti na roky 2009 – 2013 sa uvádza: „</w:t>
      </w:r>
      <w:r w:rsidRPr="005E107A">
        <w:rPr>
          <w:rFonts w:ascii="Times New Roman" w:hAnsi="Times New Roman" w:cs="Times New Roman"/>
          <w:i/>
        </w:rPr>
        <w:t>V záujme prekonania rodových rozdielov v domácej sfére treba prepracovať a nanovo definovať rodinnú politiku v SR a zosúladiť ju s politikou a princípmi rodovej rovnosti.“</w:t>
      </w: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  <w:i/>
        </w:rPr>
      </w:pPr>
      <w:r w:rsidRPr="005E107A">
        <w:rPr>
          <w:rFonts w:ascii="Times New Roman" w:hAnsi="Times New Roman" w:cs="Times New Roman"/>
        </w:rPr>
        <w:t xml:space="preserve">V Programovom vyhlásení vlády SR z augusta 2006 sa v bode 3. Sociálna oblasť v podkapitole 3.5 Podpora rodovej rovnosti uvádza: </w:t>
      </w:r>
      <w:r w:rsidRPr="005E107A">
        <w:rPr>
          <w:rFonts w:ascii="Times New Roman" w:hAnsi="Times New Roman" w:cs="Times New Roman"/>
          <w:i/>
        </w:rPr>
        <w:t>„Vláda pri realizovaní svojej politiky bude striktne dodržiavať zásadu rovnakého zaobchádzania s mužmi a ženami a realizovať kroky k eliminácii akýchkoľvek foriem diskriminácie z dôvodu pohlavia, náboženského vyznania alebo viery, rasového pôvodu, národnostného alebo etnického pôvodu, zdravotného postihnutia, veku alebo sexuálnej orientácie.“</w:t>
      </w:r>
    </w:p>
    <w:p w:rsidR="00DC271D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V článku 41  Ústavy SR je vymedzený rámec ústavnej ochrany manželstva, rodiny a rodičovstva. Zákon o rodine č. 36/2005 Zb.z. je jeden z rozhodujúcich zákonov, ktorými sa čl. 41 Ústavy SR vykonáva. Zákon o rodine už žiaľ nedostatočne reaguje na vývoj a zmeny, ktoré nastávajú v spoločnosti.</w:t>
      </w: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 xml:space="preserve">Aj vedecká konferencia Dieťa v ohrození XVIII., ktorá sa konala v Bratislave v decembri 2009, poukázala na potrebu novelizovať Zákon o rodine. Predkladaný návrh zmeny zákona reaguje na Dohovor o právach dieťaťa. Využité bolo porovnanie s úpravou zákona o rodine v Českej republike. Inšpiráciou bol aj nemecký </w:t>
      </w:r>
      <w:r w:rsidRPr="005E107A">
        <w:rPr>
          <w:rFonts w:ascii="Times New Roman" w:hAnsi="Times New Roman" w:cs="Times New Roman"/>
          <w:i/>
        </w:rPr>
        <w:t>Cochemský model opatrovníckeho súdu</w:t>
      </w:r>
      <w:r w:rsidRPr="005E107A">
        <w:rPr>
          <w:rFonts w:ascii="Times New Roman" w:hAnsi="Times New Roman" w:cs="Times New Roman"/>
        </w:rPr>
        <w:t xml:space="preserve"> - podstatou tohto modelu je prevrátenie logiky opatrovníckej regulácie: </w:t>
      </w:r>
      <w:r w:rsidRPr="005E107A">
        <w:rPr>
          <w:rFonts w:ascii="Times New Roman" w:hAnsi="Times New Roman" w:cs="Times New Roman"/>
          <w:i/>
        </w:rPr>
        <w:t>namiesto vybalancovávania práva dieťaťa na obidvoch rodičov a práva rodičov na výchovu, je sudcovský imperatív, že je spoločnou rodičovskou povinnosťou dieťa aj po rozchode vychovávať.</w:t>
      </w: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Navrhovaná zmena Zákona o rodine poskytuje súdom možnosť využiť striedavú starostlivosť a tým tlmiť rozvodové a porozvodové súboje o deti medzi rodičmi. Je žiaľ bežnou praxou, že rodič, ktorému bolo dieťa zverené do osobnej starostlivosti bráni druhému rodičovi v styku s dieťaťom a je žiaľ bežné i to, že rodič, ktorému bolo dieťa zverené do starostlivosti, dieťa proti druhému rodičovi štve, ohovára druhého rodiča, či inak psychicky vplýva na dieťa, aby toto dieťa nemalo rado druhého rodiča. Súčasná situácia</w:t>
      </w:r>
      <w:r w:rsidRPr="001B4AFB">
        <w:rPr>
          <w:rFonts w:ascii="Times New Roman" w:hAnsi="Times New Roman" w:cs="Times New Roman"/>
        </w:rPr>
        <w:t xml:space="preserve"> pri vykonateľnosti rozhodnutí o styku s deťmi je katastrofálna, prieťahy v samotnom konaní a prieťahy pri výkone rozhodnutia spôsobujú, že vzťah medzi rodičom, ktorý má záujem sa so svojím dieťaťom stretávať a týmto dieťaťom úplne zanikne, resp. oslabí sa tak, že rodič a dieťa stratia záujem tento vzťah vôbec ešte riešiť, pokračovať v ňom, či rozvíjať ho. Zároveň však stratia ďalšiu dôležitú vec - presvedčenie, že štát, ktorého sú občanmi, je pripravený a schopný poskytnúť akúkoľvek ochranu ich zákonným právam. Navrhovaná zmena zákona minimalizuje uvedené riziká - skúsenosti z krajín, kde je v praxi aplikovaná striedavá starostlivosť to potvrdzujú.</w:t>
      </w:r>
    </w:p>
    <w:p w:rsidR="00DC271D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 xml:space="preserve">V USA sa dlhodobo pohybuje štatistika rozhodnutí súdov o zverení detí do striedavej starostlivosti okolo 20% - striedavá starostlivosť nie je vhodná pre každé dieťa, či pre </w:t>
      </w:r>
      <w:r w:rsidRPr="005E107A">
        <w:rPr>
          <w:rFonts w:ascii="Times New Roman" w:hAnsi="Times New Roman" w:cs="Times New Roman"/>
        </w:rPr>
        <w:t>každého rodiča a preto je asi úroveň 20% možným „stropom“. V Českej republike bolo v roku 2008 iba 4,5% detí zverených do striedavej starostlivosti, avšak toto percento veľmi dynamicky z roka na rok rastie! Na Slovensku bolo v roku 2008 rozhodnutím súdu o zverení dieťaťa do osobnej starostlivosti ovplyvnený život 11172 detí. Ak by sme vytvorili interval</w:t>
      </w:r>
      <w:r w:rsidRPr="001B4AFB">
        <w:rPr>
          <w:rFonts w:ascii="Times New Roman" w:hAnsi="Times New Roman" w:cs="Times New Roman"/>
        </w:rPr>
        <w:t xml:space="preserve"> počtu detí, ktorých sa bude približne striedavá starostlivosť na Slovensku každoročne týkať, tak môžeme hovoriť o intervale 4,5% až 20% ročne s tým, že údaj z ČR je stále rastúci! </w:t>
      </w:r>
    </w:p>
    <w:p w:rsidR="00DC271D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 xml:space="preserve">Rozsah navrhovaných zmien nevyžaduje zmeniť pôvodnú systematiku zákona, ani prijatie nového zákona. </w:t>
      </w:r>
    </w:p>
    <w:p w:rsidR="00DC271D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Návrh novelizácie zákona je v súlade s Ústavou, inými zákonmi, medzinárodnými zmluvami a inými medzinárodnými dokumentmi, ktorými je Slovenská republika viazaná.</w:t>
      </w:r>
    </w:p>
    <w:p w:rsidR="00DC271D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Predkladaný návrh novelizácie zákona nepredpokladá zvýšenie nárokov na finančné prostriedky zo štátneho rozpočtu ani rozpočtov obcí a nezakladá nároky na pracovné sily a organizačné zabezpečenie.</w:t>
      </w:r>
    </w:p>
    <w:p w:rsidR="00385C19" w:rsidRPr="001B4AFB" w:rsidP="00385C19">
      <w:pPr>
        <w:pStyle w:val="Heading1"/>
        <w:spacing w:before="0" w:after="0"/>
        <w:rPr>
          <w:rFonts w:ascii="Times New Roman" w:hAnsi="Times New Roman" w:cs="Times New Roman"/>
        </w:rPr>
      </w:pPr>
    </w:p>
    <w:p w:rsidR="00385C19" w:rsidRPr="001B4AFB" w:rsidP="00385C19">
      <w:pPr>
        <w:pStyle w:val="Heading1"/>
        <w:spacing w:before="0" w:after="0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7" w:h="16840" w:code="9"/>
          <w:pgMar w:top="1191" w:right="1418" w:bottom="1021" w:left="1418" w:header="0" w:footer="0" w:gutter="0"/>
          <w:paperSrc w:first="4"/>
          <w:cols w:space="708"/>
          <w:titlePg/>
          <w:bidi w:val="0"/>
          <w:docGrid w:linePitch="326"/>
        </w:sectPr>
      </w:pPr>
    </w:p>
    <w:p w:rsidR="00385C19" w:rsidRPr="001B4AFB" w:rsidP="00385C19">
      <w:pPr>
        <w:pStyle w:val="Heading1"/>
        <w:spacing w:before="0" w:after="0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Doložka zlučiteľnosti</w:t>
      </w:r>
    </w:p>
    <w:p w:rsidR="00385C19" w:rsidP="00385C19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1B4AFB">
        <w:rPr>
          <w:rFonts w:ascii="Times New Roman" w:hAnsi="Times New Roman" w:cs="Times New Roman"/>
          <w:sz w:val="24"/>
          <w:szCs w:val="24"/>
        </w:rPr>
        <w:t>právneho predpisu s právom Európskych spoločenstiev a právom Európskej únie</w:t>
      </w:r>
    </w:p>
    <w:p w:rsidR="00922322" w:rsidRPr="001B4AFB" w:rsidP="00385C19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85C19" w:rsidRPr="001B4AFB" w:rsidP="00385C19">
      <w:pPr>
        <w:rPr>
          <w:rFonts w:ascii="Times New Roman" w:hAnsi="Times New Roman" w:cs="Times New Roman"/>
        </w:rPr>
      </w:pPr>
    </w:p>
    <w:p w:rsidR="00385C19" w:rsidRPr="001B4AFB" w:rsidP="00385C19">
      <w:pPr>
        <w:rPr>
          <w:rFonts w:ascii="Times New Roman" w:hAnsi="Times New Roman" w:cs="Times New Roman"/>
          <w:b/>
          <w:bCs/>
        </w:rPr>
      </w:pPr>
      <w:r w:rsidRPr="001B4AFB">
        <w:rPr>
          <w:rFonts w:ascii="Times New Roman" w:hAnsi="Times New Roman" w:cs="Times New Roman"/>
          <w:b/>
          <w:bCs/>
        </w:rPr>
        <w:t>1.</w:t>
      </w:r>
      <w:r w:rsidR="00922322">
        <w:rPr>
          <w:rFonts w:ascii="Times New Roman" w:hAnsi="Times New Roman" w:cs="Times New Roman"/>
          <w:b/>
          <w:bCs/>
        </w:rPr>
        <w:t xml:space="preserve">   </w:t>
      </w:r>
      <w:r w:rsidRPr="001B4AFB">
        <w:rPr>
          <w:rFonts w:ascii="Times New Roman" w:hAnsi="Times New Roman" w:cs="Times New Roman"/>
          <w:b/>
          <w:bCs/>
        </w:rPr>
        <w:t xml:space="preserve">Predkladateľ právneho predpisu: </w:t>
      </w:r>
    </w:p>
    <w:p w:rsidR="00385C19" w:rsidRPr="001B4AFB" w:rsidP="00385C19">
      <w:pPr>
        <w:ind w:firstLine="360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 xml:space="preserve">Poslanec Národnej rady Slovenskej republiky </w:t>
      </w:r>
    </w:p>
    <w:p w:rsidR="00385C19" w:rsidRPr="001B4AFB" w:rsidP="00385C19">
      <w:pPr>
        <w:rPr>
          <w:rFonts w:ascii="Times New Roman" w:hAnsi="Times New Roman" w:cs="Times New Roman"/>
          <w:b/>
          <w:bCs/>
        </w:rPr>
      </w:pPr>
    </w:p>
    <w:p w:rsidR="00385C19" w:rsidRPr="001B4AFB" w:rsidP="00385C19">
      <w:pPr>
        <w:ind w:left="360" w:hanging="360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  <w:b/>
        </w:rPr>
        <w:t>2.</w:t>
      </w:r>
      <w:r w:rsidR="00922322">
        <w:rPr>
          <w:rFonts w:ascii="Times New Roman" w:hAnsi="Times New Roman" w:cs="Times New Roman"/>
          <w:b/>
        </w:rPr>
        <w:t xml:space="preserve">   </w:t>
      </w:r>
      <w:r w:rsidRPr="001B4AFB">
        <w:rPr>
          <w:rFonts w:ascii="Times New Roman" w:hAnsi="Times New Roman" w:cs="Times New Roman"/>
          <w:b/>
        </w:rPr>
        <w:t>Názov právneho predpisu</w:t>
      </w:r>
      <w:r w:rsidRPr="001B4AFB">
        <w:rPr>
          <w:rFonts w:ascii="Times New Roman" w:hAnsi="Times New Roman" w:cs="Times New Roman"/>
        </w:rPr>
        <w:t xml:space="preserve">: </w:t>
      </w:r>
    </w:p>
    <w:p w:rsidR="00385C19" w:rsidRPr="001B4AFB" w:rsidP="00385C19">
      <w:pPr>
        <w:ind w:left="360"/>
        <w:rPr>
          <w:rFonts w:ascii="Times New Roman" w:hAnsi="Times New Roman" w:cs="Times New Roman"/>
          <w:b/>
          <w:bCs/>
        </w:rPr>
      </w:pPr>
      <w:r w:rsidRPr="001B4AFB">
        <w:rPr>
          <w:rFonts w:ascii="Times New Roman" w:hAnsi="Times New Roman" w:cs="Times New Roman"/>
        </w:rPr>
        <w:t>Návrh novelizácie zákona 36/2005 Z. z. Zákon o rodine v znení neskorších predpisov</w:t>
      </w:r>
      <w:r w:rsidRPr="001B4AFB">
        <w:rPr>
          <w:rFonts w:ascii="Times New Roman" w:hAnsi="Times New Roman" w:cs="Times New Roman"/>
          <w:b/>
          <w:bCs/>
        </w:rPr>
        <w:t xml:space="preserve"> </w:t>
      </w:r>
    </w:p>
    <w:p w:rsidR="00385C19" w:rsidRPr="001B4AFB" w:rsidP="00385C19">
      <w:pPr>
        <w:rPr>
          <w:rFonts w:ascii="Times New Roman" w:hAnsi="Times New Roman" w:cs="Times New Roman"/>
          <w:highlight w:val="cyan"/>
          <w:lang w:val="cs-CZ"/>
        </w:rPr>
      </w:pPr>
    </w:p>
    <w:p w:rsidR="00385C19" w:rsidRPr="005E107A" w:rsidP="00385C19">
      <w:pPr>
        <w:ind w:left="360" w:hanging="360"/>
        <w:rPr>
          <w:rFonts w:ascii="Times New Roman" w:hAnsi="Times New Roman" w:cs="Times New Roman"/>
          <w:b/>
          <w:bCs/>
        </w:rPr>
      </w:pPr>
      <w:r w:rsidRPr="005E107A">
        <w:rPr>
          <w:rFonts w:ascii="Times New Roman" w:hAnsi="Times New Roman" w:cs="Times New Roman"/>
          <w:b/>
          <w:bCs/>
        </w:rPr>
        <w:t>3.</w:t>
      </w:r>
      <w:r w:rsidR="00922322">
        <w:rPr>
          <w:rFonts w:ascii="Times New Roman" w:hAnsi="Times New Roman" w:cs="Times New Roman"/>
          <w:b/>
          <w:bCs/>
        </w:rPr>
        <w:t xml:space="preserve">   </w:t>
      </w:r>
      <w:r w:rsidRPr="005E107A">
        <w:rPr>
          <w:rFonts w:ascii="Times New Roman" w:hAnsi="Times New Roman" w:cs="Times New Roman"/>
          <w:b/>
          <w:bCs/>
        </w:rPr>
        <w:t>Problematika návrhu právneho predpisu:</w:t>
      </w:r>
    </w:p>
    <w:p w:rsidR="00385C19" w:rsidRPr="005E107A" w:rsidP="00385C19">
      <w:pPr>
        <w:tabs>
          <w:tab w:val="left" w:pos="360"/>
        </w:tabs>
        <w:rPr>
          <w:rFonts w:ascii="Times New Roman" w:hAnsi="Times New Roman" w:cs="Times New Roman"/>
        </w:rPr>
      </w:pPr>
    </w:p>
    <w:p w:rsidR="00385C19" w:rsidRPr="005E107A" w:rsidP="00385C19">
      <w:pPr>
        <w:numPr>
          <w:ilvl w:val="0"/>
          <w:numId w:val="4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je upravená v práve Európskych spoločenstiev:</w:t>
      </w:r>
    </w:p>
    <w:p w:rsidR="00385C19" w:rsidRPr="005E107A" w:rsidP="00385C1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385C19" w:rsidRPr="005E107A" w:rsidP="00385C19">
      <w:pPr>
        <w:ind w:firstLine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  <w:i/>
        </w:rPr>
        <w:t>sekundárne právo</w:t>
      </w:r>
      <w:r w:rsidRPr="005E107A">
        <w:rPr>
          <w:rFonts w:ascii="Times New Roman" w:hAnsi="Times New Roman" w:cs="Times New Roman"/>
        </w:rPr>
        <w:t>,</w:t>
      </w:r>
    </w:p>
    <w:p w:rsidR="00385C19" w:rsidRPr="005E107A" w:rsidP="00385C19">
      <w:pPr>
        <w:ind w:firstLine="360"/>
        <w:rPr>
          <w:rFonts w:ascii="Times New Roman" w:hAnsi="Times New Roman" w:cs="Times New Roman"/>
        </w:rPr>
      </w:pPr>
    </w:p>
    <w:p w:rsidR="00385C19" w:rsidRPr="005E107A" w:rsidP="00385C19">
      <w:pPr>
        <w:ind w:firstLine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ktoré predstavujú nasledovné nariadenia Rady:</w:t>
      </w:r>
    </w:p>
    <w:p w:rsidR="00385C19" w:rsidRPr="005E107A" w:rsidP="00385C19">
      <w:pPr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Nariadenie Rady (ES) č. 2201/2003 z 27. novembra 2003 o právomoci a uznávaní a výkone rozsudkov v manželských veciach a vo veciach rodičovských práv a povinností, ktorým sa zrušuje nariadenie (ES) č. 1347/2000</w:t>
      </w:r>
    </w:p>
    <w:p w:rsidR="00385C19" w:rsidRPr="005E107A" w:rsidP="00385C19">
      <w:pPr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Nariadenie Rady (ES) č. 1347/2000 z 29. mája 2000 o súdnej právomoci a uznávaní a vykonávaní súdnych rozhodnutí v manželských veciach a vo veciach rodičovskej zodpovednosti oboch manželov za deti</w:t>
      </w:r>
    </w:p>
    <w:p w:rsidR="00385C19" w:rsidRPr="005E107A" w:rsidP="00385C19">
      <w:pPr>
        <w:numPr>
          <w:ilvl w:val="0"/>
          <w:numId w:val="4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</w:rPr>
      </w:pPr>
    </w:p>
    <w:p w:rsidR="00385C19" w:rsidRPr="005E107A" w:rsidP="00385C19">
      <w:pPr>
        <w:numPr>
          <w:ilvl w:val="0"/>
          <w:numId w:val="4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</w:rPr>
      </w:pPr>
    </w:p>
    <w:p w:rsidR="00385C19" w:rsidRPr="005E107A" w:rsidP="00385C19">
      <w:pPr>
        <w:numPr>
          <w:ilvl w:val="0"/>
          <w:numId w:val="4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nie je upravená v práve Európskej únie</w:t>
      </w:r>
    </w:p>
    <w:p w:rsidR="00385C19" w:rsidRPr="005E107A" w:rsidP="00385C19">
      <w:pPr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br/>
        <w:t> </w:t>
      </w:r>
    </w:p>
    <w:p w:rsidR="00385C19" w:rsidRPr="005E107A" w:rsidP="00385C19">
      <w:pPr>
        <w:ind w:left="360" w:hanging="360"/>
        <w:rPr>
          <w:rFonts w:ascii="Times New Roman" w:hAnsi="Times New Roman" w:cs="Times New Roman"/>
          <w:b/>
          <w:bCs/>
        </w:rPr>
      </w:pPr>
      <w:r w:rsidRPr="005E107A">
        <w:rPr>
          <w:rFonts w:ascii="Times New Roman" w:hAnsi="Times New Roman" w:cs="Times New Roman"/>
          <w:b/>
          <w:bCs/>
        </w:rPr>
        <w:t>4.</w:t>
        <w:tab/>
        <w:t xml:space="preserve">Záväzky Slovenskej republiky vo vzťahu k Európskym spoločenstvám a Európskej únii: </w:t>
      </w:r>
    </w:p>
    <w:p w:rsidR="00385C19" w:rsidRPr="005E107A" w:rsidP="00385C19">
      <w:pPr>
        <w:rPr>
          <w:rFonts w:ascii="Times New Roman" w:hAnsi="Times New Roman" w:cs="Times New Roman"/>
        </w:rPr>
      </w:pPr>
    </w:p>
    <w:p w:rsidR="00385C19" w:rsidRPr="005E107A" w:rsidP="00385C19">
      <w:pPr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Návrh novelizácie zákona svojou problematikou:</w:t>
      </w:r>
    </w:p>
    <w:p w:rsidR="00385C19" w:rsidRPr="005E107A" w:rsidP="00385C19">
      <w:pPr>
        <w:numPr>
          <w:ilvl w:val="1"/>
          <w:numId w:val="8"/>
        </w:numPr>
        <w:tabs>
          <w:tab w:val="left" w:pos="1080"/>
          <w:tab w:val="clear" w:pos="1440"/>
        </w:tabs>
        <w:ind w:left="108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nepatrí medzi prioritné oblasti aproximácie práva uvedené v článku 70    Európskej dohody o pridružení,</w:t>
      </w:r>
    </w:p>
    <w:p w:rsidR="00385C19" w:rsidRPr="005E107A" w:rsidP="00385C19">
      <w:pPr>
        <w:ind w:left="349" w:hanging="349"/>
        <w:rPr>
          <w:rFonts w:ascii="Times New Roman" w:hAnsi="Times New Roman" w:cs="Times New Roman"/>
        </w:rPr>
      </w:pPr>
    </w:p>
    <w:p w:rsidR="00385C19" w:rsidRPr="005E107A" w:rsidP="00385C19">
      <w:pPr>
        <w:ind w:firstLine="708"/>
        <w:rPr>
          <w:rFonts w:ascii="Times New Roman" w:hAnsi="Times New Roman" w:cs="Times New Roman"/>
        </w:rPr>
      </w:pPr>
    </w:p>
    <w:p w:rsidR="00385C19" w:rsidRPr="005E107A" w:rsidP="00385C19">
      <w:pPr>
        <w:ind w:left="360" w:hanging="360"/>
        <w:rPr>
          <w:rFonts w:ascii="Times New Roman" w:hAnsi="Times New Roman" w:cs="Times New Roman"/>
          <w:b/>
          <w:bCs/>
        </w:rPr>
      </w:pPr>
      <w:r w:rsidRPr="005E107A">
        <w:rPr>
          <w:rFonts w:ascii="Times New Roman" w:hAnsi="Times New Roman" w:cs="Times New Roman"/>
          <w:b/>
          <w:bCs/>
        </w:rPr>
        <w:t>5.</w:t>
        <w:tab/>
        <w:t>Stupeň zlučiteľnosti návrhu právneho predpisu s právom Európskych spoločenstiev alebo právom Európskej únie:</w:t>
      </w:r>
    </w:p>
    <w:p w:rsidR="00385C19" w:rsidRPr="005E107A" w:rsidP="00385C19">
      <w:pPr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ind w:firstLine="360"/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Stupeň zlučiteľnosti - úplný </w:t>
      </w:r>
    </w:p>
    <w:p w:rsidR="00385C19" w:rsidRPr="005E107A" w:rsidP="00385C19">
      <w:pPr>
        <w:rPr>
          <w:rFonts w:ascii="Times New Roman" w:hAnsi="Times New Roman" w:cs="Times New Roman"/>
        </w:rPr>
      </w:pPr>
    </w:p>
    <w:p w:rsidR="00385C19" w:rsidRPr="005E107A" w:rsidP="00385C19">
      <w:pPr>
        <w:rPr>
          <w:rFonts w:ascii="Times New Roman" w:hAnsi="Times New Roman" w:cs="Times New Roman"/>
        </w:rPr>
      </w:pPr>
    </w:p>
    <w:p w:rsidR="00385C19" w:rsidRPr="005E107A" w:rsidP="00385C19">
      <w:pPr>
        <w:ind w:left="360" w:hanging="360"/>
        <w:rPr>
          <w:rFonts w:ascii="Times New Roman" w:hAnsi="Times New Roman" w:cs="Times New Roman"/>
          <w:b/>
          <w:bCs/>
        </w:rPr>
      </w:pPr>
      <w:r w:rsidRPr="005E107A">
        <w:rPr>
          <w:rFonts w:ascii="Times New Roman" w:hAnsi="Times New Roman" w:cs="Times New Roman"/>
          <w:b/>
          <w:bCs/>
        </w:rPr>
        <w:t>6.</w:t>
        <w:tab/>
        <w:t xml:space="preserve">Gestor a spolupracujúce rezorty: </w:t>
      </w:r>
    </w:p>
    <w:p w:rsidR="00385C19" w:rsidRPr="005E107A" w:rsidP="00385C19">
      <w:pPr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rPr>
          <w:rFonts w:ascii="Times New Roman" w:hAnsi="Times New Roman" w:cs="Times New Roman"/>
        </w:rPr>
      </w:pPr>
    </w:p>
    <w:p w:rsidR="00385C19" w:rsidRPr="005E107A" w:rsidP="00385C19">
      <w:pPr>
        <w:numPr>
          <w:ilvl w:val="2"/>
          <w:numId w:val="4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Pr="005E107A">
        <w:rPr>
          <w:rFonts w:ascii="Times New Roman" w:hAnsi="Times New Roman" w:cs="Times New Roman"/>
          <w:b/>
          <w:bCs/>
        </w:rPr>
        <w:t>Účasť expertov pri príprave návrhu zákona a ich stanovisko k zlučiteľnosti návrhu zákona s právom Európskych spoločenstiev a právom Európskej únie (špecifikácia úrovne a spôsobu expertnej účasti, napr. konzultácie a pod.):</w:t>
      </w:r>
    </w:p>
    <w:p w:rsidR="00385C19" w:rsidRPr="005E107A" w:rsidP="00385C19">
      <w:pPr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rPr>
          <w:rFonts w:ascii="Times New Roman" w:hAnsi="Times New Roman" w:cs="Times New Roman"/>
        </w:rPr>
      </w:pPr>
    </w:p>
    <w:p w:rsidR="00385C19" w:rsidRPr="005E107A" w:rsidP="00385C19">
      <w:pPr>
        <w:rPr>
          <w:rFonts w:ascii="Times New Roman" w:hAnsi="Times New Roman" w:cs="Times New Roman"/>
        </w:rPr>
      </w:pPr>
    </w:p>
    <w:p w:rsidR="00385C19" w:rsidRPr="005E107A" w:rsidP="00385C19">
      <w:pPr>
        <w:tabs>
          <w:tab w:val="left" w:pos="200"/>
        </w:tabs>
        <w:jc w:val="center"/>
        <w:rPr>
          <w:rFonts w:ascii="Times New Roman" w:hAnsi="Times New Roman" w:cs="Times New Roman"/>
          <w:b/>
        </w:rPr>
        <w:sectPr>
          <w:pgSz w:w="11907" w:h="16840" w:code="9"/>
          <w:pgMar w:top="1191" w:right="1418" w:bottom="1021" w:left="1418" w:header="0" w:footer="0" w:gutter="0"/>
          <w:paperSrc w:first="4"/>
          <w:cols w:space="708"/>
          <w:bidi w:val="0"/>
          <w:docGrid w:linePitch="326"/>
        </w:sectPr>
      </w:pPr>
    </w:p>
    <w:p w:rsidR="00385C19" w:rsidRPr="005E107A" w:rsidP="00385C19">
      <w:pPr>
        <w:tabs>
          <w:tab w:val="left" w:pos="200"/>
        </w:tabs>
        <w:jc w:val="center"/>
        <w:rPr>
          <w:rFonts w:ascii="Times New Roman" w:hAnsi="Times New Roman" w:cs="Times New Roman"/>
          <w:b/>
        </w:rPr>
      </w:pPr>
      <w:r w:rsidRPr="005E107A">
        <w:rPr>
          <w:rFonts w:ascii="Times New Roman" w:hAnsi="Times New Roman" w:cs="Times New Roman"/>
          <w:b/>
        </w:rPr>
        <w:t xml:space="preserve">Doložka finančných, ekonomických a environmentálnych vplyvov </w:t>
      </w:r>
    </w:p>
    <w:p w:rsidR="00385C19" w:rsidP="00385C19">
      <w:pPr>
        <w:tabs>
          <w:tab w:val="left" w:pos="200"/>
        </w:tabs>
        <w:jc w:val="center"/>
        <w:rPr>
          <w:rFonts w:ascii="Times New Roman" w:hAnsi="Times New Roman" w:cs="Times New Roman"/>
          <w:b/>
        </w:rPr>
      </w:pPr>
      <w:r w:rsidRPr="005E107A">
        <w:rPr>
          <w:rFonts w:ascii="Times New Roman" w:hAnsi="Times New Roman" w:cs="Times New Roman"/>
          <w:b/>
        </w:rPr>
        <w:t>a vplyvov na zamestnanosť a podnikateľské prostredie</w:t>
      </w:r>
    </w:p>
    <w:p w:rsidR="00146FC4" w:rsidRPr="005E107A" w:rsidP="00385C19">
      <w:pPr>
        <w:tabs>
          <w:tab w:val="left" w:pos="200"/>
        </w:tabs>
        <w:jc w:val="center"/>
        <w:rPr>
          <w:rFonts w:ascii="Times New Roman" w:hAnsi="Times New Roman" w:cs="Times New Roman"/>
          <w:b/>
        </w:rPr>
      </w:pPr>
    </w:p>
    <w:p w:rsidR="00385C19" w:rsidRPr="005E107A" w:rsidP="00385C19">
      <w:pPr>
        <w:tabs>
          <w:tab w:val="left" w:pos="200"/>
        </w:tabs>
        <w:rPr>
          <w:rFonts w:ascii="Times New Roman" w:hAnsi="Times New Roman" w:cs="Times New Roman"/>
        </w:rPr>
      </w:pPr>
    </w:p>
    <w:p w:rsidR="00385C19" w:rsidRPr="005E107A" w:rsidP="00385C19">
      <w:pPr>
        <w:tabs>
          <w:tab w:val="left" w:pos="200"/>
        </w:tabs>
        <w:rPr>
          <w:rFonts w:ascii="Times New Roman" w:hAnsi="Times New Roman" w:cs="Times New Roman"/>
          <w:b/>
        </w:rPr>
      </w:pPr>
      <w:r w:rsidRPr="005E107A">
        <w:rPr>
          <w:rFonts w:ascii="Times New Roman" w:hAnsi="Times New Roman" w:cs="Times New Roman"/>
          <w:b/>
        </w:rPr>
        <w:t>Prvá časť: Odhad dopadov na verejné financie:</w:t>
      </w:r>
    </w:p>
    <w:p w:rsidR="00385C19" w:rsidRPr="005E107A" w:rsidP="00385C19">
      <w:pPr>
        <w:ind w:left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Návrh zákona v súvislosti s jeho realizáciou nepredpokladá finančný dopad na verejné financie.</w:t>
      </w: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tabs>
          <w:tab w:val="left" w:pos="200"/>
        </w:tabs>
        <w:jc w:val="both"/>
        <w:rPr>
          <w:rFonts w:ascii="Times New Roman" w:hAnsi="Times New Roman" w:cs="Times New Roman"/>
          <w:b/>
        </w:rPr>
      </w:pPr>
      <w:r w:rsidRPr="005E107A">
        <w:rPr>
          <w:rFonts w:ascii="Times New Roman" w:hAnsi="Times New Roman" w:cs="Times New Roman"/>
          <w:b/>
        </w:rPr>
        <w:t>Druhá časť: Odhad dopadov na obyvateľov, hospodárenie podnikateľskej sféry a iných právnických osôb</w:t>
      </w:r>
    </w:p>
    <w:p w:rsidR="00385C19" w:rsidRPr="005E107A" w:rsidP="00385C19">
      <w:pPr>
        <w:ind w:left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Návrh zákona nebude mať negatívny dopad na hospodárenie obyvateľov, ani na hospodárenie podnikateľskej sféry a iných právnických osôb.</w:t>
      </w: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tabs>
          <w:tab w:val="left" w:pos="200"/>
        </w:tabs>
        <w:jc w:val="both"/>
        <w:rPr>
          <w:rFonts w:ascii="Times New Roman" w:hAnsi="Times New Roman" w:cs="Times New Roman"/>
          <w:b/>
        </w:rPr>
      </w:pPr>
      <w:r w:rsidRPr="005E107A">
        <w:rPr>
          <w:rFonts w:ascii="Times New Roman" w:hAnsi="Times New Roman" w:cs="Times New Roman"/>
          <w:b/>
        </w:rPr>
        <w:t>Tretia časť: Odhad dopadov na životné prostredie</w:t>
      </w:r>
    </w:p>
    <w:p w:rsidR="00385C19" w:rsidRPr="005E107A" w:rsidP="00385C19">
      <w:pPr>
        <w:ind w:left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Návrh zákona nebude mať negatívny dopad na životné prostredie.</w:t>
      </w:r>
    </w:p>
    <w:p w:rsidR="00385C19" w:rsidRPr="005E107A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5E107A" w:rsidP="00385C19">
      <w:pPr>
        <w:tabs>
          <w:tab w:val="left" w:pos="200"/>
        </w:tabs>
        <w:jc w:val="both"/>
        <w:rPr>
          <w:rFonts w:ascii="Times New Roman" w:hAnsi="Times New Roman" w:cs="Times New Roman"/>
          <w:b/>
        </w:rPr>
      </w:pPr>
      <w:r w:rsidRPr="005E107A">
        <w:rPr>
          <w:rFonts w:ascii="Times New Roman" w:hAnsi="Times New Roman" w:cs="Times New Roman"/>
          <w:b/>
        </w:rPr>
        <w:t xml:space="preserve">Štvrtá časť: Odhad dopadov na zamestnanosť </w:t>
      </w:r>
    </w:p>
    <w:p w:rsidR="00385C19" w:rsidRPr="005E107A" w:rsidP="00385C19">
      <w:pPr>
        <w:ind w:left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Návrh zákona nebude mať negatívny dopad na tvorbu pracovných miest.</w:t>
      </w:r>
    </w:p>
    <w:p w:rsidR="00385C19" w:rsidRPr="005E107A" w:rsidP="00385C19">
      <w:pPr>
        <w:pStyle w:val="odsek"/>
        <w:spacing w:before="0" w:after="0"/>
        <w:rPr>
          <w:rFonts w:ascii="Times New Roman" w:hAnsi="Times New Roman" w:cs="Times New Roman"/>
        </w:rPr>
      </w:pPr>
    </w:p>
    <w:p w:rsidR="00385C19" w:rsidRPr="005E107A" w:rsidP="00385C19">
      <w:pPr>
        <w:tabs>
          <w:tab w:val="left" w:pos="200"/>
        </w:tabs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  <w:b/>
        </w:rPr>
        <w:t xml:space="preserve">Piata časť: Vplyv na podnikateľské prostredie </w:t>
      </w:r>
    </w:p>
    <w:p w:rsidR="00385C19" w:rsidRPr="001B4AFB" w:rsidP="00385C19">
      <w:pPr>
        <w:ind w:left="360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>Návrh zákona nebude mať negatívny dopad na podnikateľské prostredie.</w:t>
      </w:r>
    </w:p>
    <w:p w:rsidR="00385C19" w:rsidRPr="001B4AFB" w:rsidP="00385C19">
      <w:pPr>
        <w:rPr>
          <w:rFonts w:ascii="Times New Roman" w:hAnsi="Times New Roman" w:cs="Times New Roman"/>
        </w:rPr>
      </w:pPr>
    </w:p>
    <w:p w:rsidR="00385C19" w:rsidRPr="001B4AFB" w:rsidP="00385C19">
      <w:pPr>
        <w:jc w:val="both"/>
        <w:rPr>
          <w:rFonts w:ascii="Times New Roman" w:hAnsi="Times New Roman" w:cs="Times New Roman"/>
          <w:b/>
          <w:bCs/>
          <w:u w:val="single"/>
        </w:rPr>
        <w:sectPr>
          <w:pgSz w:w="11907" w:h="16840" w:code="9"/>
          <w:pgMar w:top="1191" w:right="1418" w:bottom="1021" w:left="1418" w:header="0" w:footer="0" w:gutter="0"/>
          <w:paperSrc w:first="4"/>
          <w:cols w:space="708"/>
          <w:bidi w:val="0"/>
          <w:docGrid w:linePitch="326"/>
        </w:sectPr>
      </w:pPr>
    </w:p>
    <w:p w:rsidR="00385C19" w:rsidRPr="00DC271D" w:rsidP="00385C19">
      <w:pPr>
        <w:jc w:val="both"/>
        <w:rPr>
          <w:rFonts w:ascii="Times New Roman" w:hAnsi="Times New Roman" w:cs="Times New Roman"/>
        </w:rPr>
      </w:pPr>
      <w:r w:rsidRPr="00DC271D">
        <w:rPr>
          <w:rFonts w:ascii="Times New Roman" w:hAnsi="Times New Roman" w:cs="Times New Roman"/>
          <w:b/>
          <w:bCs/>
        </w:rPr>
        <w:t>B. Osobitná časť</w:t>
      </w:r>
    </w:p>
    <w:p w:rsidR="00385C19" w:rsidRPr="00DC271D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DC271D" w:rsidP="00385C1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C271D">
        <w:rPr>
          <w:rFonts w:ascii="Times New Roman" w:hAnsi="Times New Roman" w:cs="Times New Roman"/>
          <w:b/>
          <w:bCs/>
        </w:rPr>
        <w:t>K Čl. I</w:t>
      </w:r>
    </w:p>
    <w:p w:rsidR="00385C19" w:rsidRPr="00DC271D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1B4AFB">
        <w:rPr>
          <w:rFonts w:ascii="Times New Roman" w:hAnsi="Times New Roman" w:cs="Times New Roman"/>
        </w:rPr>
        <w:t> </w:t>
      </w:r>
      <w:r w:rsidRPr="001B4AFB">
        <w:rPr>
          <w:rFonts w:ascii="Times New Roman" w:hAnsi="Times New Roman" w:cs="Times New Roman"/>
          <w:b/>
          <w:bCs/>
        </w:rPr>
        <w:t>K bodu 1 - § 24 ods. 2</w:t>
      </w:r>
    </w:p>
    <w:p w:rsidR="00DC271D" w:rsidRPr="001B4AFB" w:rsidP="00385C1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5E107A">
        <w:rPr>
          <w:rFonts w:ascii="Times New Roman" w:hAnsi="Times New Roman" w:cs="Times New Roman"/>
        </w:rPr>
        <w:t xml:space="preserve">Navrhované nové ustanovenie odseku 2 explicitne zakotvuje právo dieťaťa na starostlivosť a výchovu obidvoch rodičov aj po rozvode, či rozpade rodiny. Právo dieťaťa na starostlivosť obidvoch rodičov má svoj základ v článkoch </w:t>
      </w:r>
      <w:smartTag w:uri="urn:schemas-microsoft-com:office:smarttags" w:element="metricconverter">
        <w:smartTagPr>
          <w:attr w:name="ProductID" w:val="3 a"/>
        </w:smartTagPr>
        <w:r w:rsidRPr="005E107A">
          <w:rPr>
            <w:rFonts w:ascii="Times New Roman" w:hAnsi="Times New Roman" w:cs="Times New Roman"/>
          </w:rPr>
          <w:t>3 a</w:t>
        </w:r>
      </w:smartTag>
      <w:r w:rsidRPr="005E107A">
        <w:rPr>
          <w:rFonts w:ascii="Times New Roman" w:hAnsi="Times New Roman" w:cs="Times New Roman"/>
        </w:rPr>
        <w:t xml:space="preserve"> 18 Dohovoru o právach dieťaťa s cieľom vytvoriť pre dieťa stabilné pozitívne prostredie aj po rozvode, či rozpade rodiny. Doteraz mohli rodičia realizovať určitú formu striedavej starostlivosti o dieťa iba vtedy, ak uzatvorili medzi sebou dohodu rodičov a súd ju schválil podľa stále platného § 24 odsek (2) Zákona o rodine: „</w:t>
      </w:r>
      <w:r w:rsidRPr="005E107A">
        <w:rPr>
          <w:rFonts w:ascii="Times New Roman" w:hAnsi="Times New Roman" w:cs="Times New Roman"/>
          <w:i/>
        </w:rPr>
        <w:t>Rozhodnutie o úprave výkonu rodičovských práv a povinností možno nahradiť dohodou rodičov. Dohoda musí byť schválená súdom, inak je nevykonateľná.“</w:t>
      </w:r>
      <w:r w:rsidRPr="001B4AFB">
        <w:rPr>
          <w:rFonts w:ascii="Times New Roman" w:hAnsi="Times New Roman" w:cs="Times New Roman"/>
          <w:i/>
        </w:rPr>
        <w:t xml:space="preserve"> </w:t>
      </w:r>
      <w:r w:rsidRPr="001B4AFB">
        <w:rPr>
          <w:rFonts w:ascii="Times New Roman" w:hAnsi="Times New Roman" w:cs="Times New Roman"/>
        </w:rPr>
        <w:t>Oproti pôvodnej úprave bude  priamo v zákone uvedená striedavá starostlivosť o dieťa, čím bude umožnená striedavá starostlivosť aj vtedy, ak jeden z rodičov blokuje snahu druhého rodiča o uzatvorenie dohody rodičov tým, že s ňou nesúhlasí</w:t>
      </w:r>
      <w:r>
        <w:rPr>
          <w:rFonts w:ascii="Times New Roman" w:hAnsi="Times New Roman" w:cs="Times New Roman"/>
        </w:rPr>
        <w:t>. Väčšinou je dôvod to</w:t>
      </w:r>
      <w:r w:rsidRPr="001B4AFB">
        <w:rPr>
          <w:rFonts w:ascii="Times New Roman" w:hAnsi="Times New Roman" w:cs="Times New Roman"/>
        </w:rPr>
        <w:t>, že sa chce pomstiť bývalému partnerovi (ak majú obidvaja rodičia záujem o zverenie dieťaťa do osobnej starostlivosti a súčasne jeden z rodičov nesúhlasí so striedavou starostlivosťou bez toho, že by predložil súdu dôkazy, ktoré by potvrdili škodlivosť striedavej výchovy na dieťa, tak sa jedná s vysokou pravdepodobnosťou o snahu o pomstu druhému rodičovi). Cez striedavú starostlivosť rodič, ktorému by v súčasnosti súd dieťa nezveril do osobnej starostlivosti podľa ešte stále platných „zvykov“, bude môcť v budúcnosti svoje dieťa aj naďalej vychovávať tak, aby to bolo v záujme dieťaťa a aby tak boli lepšie naplnené potreby dieťaťa!</w:t>
      </w:r>
    </w:p>
    <w:p w:rsidR="002911C9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 xml:space="preserve">Navrhované ustanovenie odseku 2  je formulované tak, aby mal súd možnosť zveriť dieťa do striedavej starostlivosti. Skúsenosti z Českej republiky hovoria o tom, že súdy iba postupne zvyšujú percento rozhodnutí, ktorými zverujú deti do striedavej starostlivosti. </w:t>
      </w:r>
      <w:r>
        <w:rPr>
          <w:rFonts w:ascii="Times New Roman" w:hAnsi="Times New Roman" w:cs="Times New Roman"/>
        </w:rPr>
        <w:t>S</w:t>
      </w:r>
      <w:r w:rsidRPr="001B4AFB">
        <w:rPr>
          <w:rFonts w:ascii="Times New Roman" w:hAnsi="Times New Roman" w:cs="Times New Roman"/>
        </w:rPr>
        <w:t>údy postupne opúšťajú zastarané myslenie, že matky sú dobrými rodičmi a otcovia sú zlými rodičmi. K tomuto posunu v myslení súdov pomáha i to, že otcovia v Českej republike sa obracajú so svojimi podaniami aj na Európsky súdny dvor v Štrasburgu.</w:t>
      </w:r>
    </w:p>
    <w:p w:rsidR="007F76B7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 xml:space="preserve">Formulácia </w:t>
      </w:r>
      <w:r w:rsidRPr="001B4AFB">
        <w:rPr>
          <w:rFonts w:ascii="Times New Roman" w:hAnsi="Times New Roman" w:cs="Times New Roman"/>
          <w:i/>
        </w:rPr>
        <w:t>„Ak so striedavou starostlivosťou súhlasí aspoň jeden z rodičov dieťaťa tak súd musí skúmať, či bude takáto starostlivosť v záujme dieťaťa“</w:t>
      </w:r>
      <w:r w:rsidRPr="001B4AFB">
        <w:rPr>
          <w:rFonts w:ascii="Times New Roman" w:hAnsi="Times New Roman" w:cs="Times New Roman"/>
        </w:rPr>
        <w:t xml:space="preserve"> núti súd, aby vždy skúmal, či striedavá starostlivosť o dieťa bude v záujme dieťaťa, či by nedošlo k citovému strádaniu dieťaťa, či by rozvoj dieťaťa bol úplný, najmä po stránke citovej, rozumovej a mravnej, pokiaľ by dieťaťu nebola umožnená striedavá starostlivosť. Súd sa musí odvrátiť od sledovania rodových stereotypov u rodičov, či pohlavia rodičov a musí sa vždy zamerať iba na potreby dieťaťa a na to, či budú tieto potreby dieťaťa striedavou starostlivosťou naplnené. </w:t>
      </w: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bCs/>
        </w:rPr>
      </w:pPr>
      <w:r w:rsidRPr="001B4AFB">
        <w:rPr>
          <w:rFonts w:ascii="Times New Roman" w:hAnsi="Times New Roman" w:cs="Times New Roman"/>
        </w:rPr>
        <w:t> </w:t>
      </w:r>
      <w:r w:rsidRPr="001B4AFB">
        <w:rPr>
          <w:rFonts w:ascii="Times New Roman" w:hAnsi="Times New Roman" w:cs="Times New Roman"/>
          <w:b/>
          <w:bCs/>
        </w:rPr>
        <w:t>K bodu 2 - § 24 ods. 3</w:t>
      </w:r>
    </w:p>
    <w:p w:rsidR="00BD0EE8" w:rsidRPr="001B4AFB" w:rsidP="00385C19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Navrhované ustanovenie odseku 3,   vedie obidvoch rodičov k tomu, aby aktívne hľadali vzájomnú dohodu o výchove a starostlivosti o dieťa.  Rodič, ktorý nebude ochotný, alebo schopný dohodnúť sa na výchove a starostlivosti o dieťa (pred, či po rozpade rodiny), dáva  týmto svojim správaním priestor na vlastnú diskvalifikáciu v konaní pred súdom. Táto formulácia dáva súdom a aj rodičom návod na výkon rodičovstva v tom, že dohoda rodičov je lepšia, než súdne pojednávanie. Očakávaným efektom je i to, že rodičia by mali aktívne hľadať dohodu rodičov o porozvodovej výchove detí za pomoci mediátora, alebo psychológa a mal by postupne pribúdať počet dohôd rodičov, ktoré budú súdu predložené na schválenie, čím sa zjednoduší a skráti súdne konanie.</w:t>
      </w: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P="00385C1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 </w:t>
        <w:tab/>
        <w:t xml:space="preserve">Navrhované ustanovenie explicitne zakotvuje do zákona právo dieťaťa na výchovu a starostlivosť zo strany obidvoch rodičov aj po rozvode, či rozpade rodiny, čo je v súlade s čl. 18 ods. 1 Dohovoru o právach dieťaťa. Vychovávať dieťa je možné iba vtedy, ak sú otec a </w:t>
      </w:r>
      <w:r w:rsidRPr="005E107A">
        <w:rPr>
          <w:rFonts w:ascii="Times New Roman" w:hAnsi="Times New Roman" w:cs="Times New Roman"/>
        </w:rPr>
        <w:t>matka dostatočne často a dostatočne dlho s dieťaťom. V navrhovanej zmene zákona je zámerne použité spojenie „udržovania pravidelného, rovnocenného a rovnoprávneho osobného styku s obidvomi rodičmi“ pretože súčasná súdna prax v rozhodovaniach vo veci styku otca s dieťaťom nie je o rovnocennom, či rovnoprávnom osobnom styku dieťaťa s obidvomi rodičmi.</w:t>
      </w:r>
    </w:p>
    <w:p w:rsidR="00A028E6" w:rsidRPr="001B4AFB" w:rsidP="00385C1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>Je dôležité dať súdu možnosť, aby o striedavej starostlivosti mohol rozhodnúť aj z moci úradnej. Ak je výchova a starostlivosť o dieťa nielen právom, ale aj prvoradou povinnosťou každého z rodičov, tak potom je na mieste, aby súd s prihliadnutím na záujem dieťaťa (alebo ku konkrétnej jeho potrebe byť vychovávané obidvomi rodičmi) mal možnosť v odôvodnených prípadoch o striedavej starostlivosti rozhodnúť aj autoritatívne.</w:t>
      </w: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</w:p>
    <w:p w:rsidR="00385C19" w:rsidRPr="001B4AFB" w:rsidP="00385C1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1B4AFB">
        <w:rPr>
          <w:rFonts w:ascii="Times New Roman" w:hAnsi="Times New Roman" w:cs="Times New Roman"/>
        </w:rPr>
        <w:t> </w:t>
      </w:r>
      <w:r w:rsidRPr="001B4AFB">
        <w:rPr>
          <w:rFonts w:ascii="Times New Roman" w:hAnsi="Times New Roman" w:cs="Times New Roman"/>
          <w:b/>
          <w:bCs/>
        </w:rPr>
        <w:t>K bodu 3 - § 24 ods. 4</w:t>
      </w:r>
    </w:p>
    <w:p w:rsidR="00385C19" w:rsidRPr="001B4AFB" w:rsidP="00385C1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  <w:bCs/>
        </w:rPr>
        <w:tab/>
        <w:t>Uvedené ustanovenie iba formálne spresňuje už v zákone zakotvené právo obidvoch rodičov na primerané informovanie o dieťati. Informácie sa týkajú zdravotného stavu, školských výsledkov a pod.</w:t>
      </w:r>
    </w:p>
    <w:p w:rsidR="00385C19" w:rsidRPr="001B4AFB" w:rsidP="00385C19">
      <w:pPr>
        <w:ind w:firstLine="720"/>
        <w:jc w:val="both"/>
        <w:rPr>
          <w:rFonts w:ascii="Times New Roman" w:hAnsi="Times New Roman" w:cs="Times New Roman"/>
        </w:rPr>
      </w:pPr>
      <w:r w:rsidRPr="001B4AFB">
        <w:rPr>
          <w:rFonts w:ascii="Times New Roman" w:hAnsi="Times New Roman" w:cs="Times New Roman"/>
        </w:rPr>
        <w:t xml:space="preserve"> </w:t>
      </w:r>
    </w:p>
    <w:p w:rsidR="00385C19" w:rsidRPr="00A94723" w:rsidP="00A618B4">
      <w:pPr>
        <w:rPr>
          <w:rFonts w:ascii="Times New Roman" w:hAnsi="Times New Roman" w:cs="Times New Roman"/>
          <w:bCs/>
        </w:rPr>
      </w:pPr>
    </w:p>
    <w:sectPr>
      <w:pgSz w:w="11907" w:h="16840" w:code="9"/>
      <w:pgMar w:top="1191" w:right="1418" w:bottom="1021" w:left="1418" w:header="0" w:footer="0" w:gutter="0"/>
      <w:paperSrc w:first="4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HGIECA+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E6" w:rsidP="00F228F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028E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E6" w:rsidP="00385C19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EF5287"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6375"/>
    <w:multiLevelType w:val="hybrid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5145F"/>
    <w:multiLevelType w:val="hybridMultilevel"/>
    <w:tmpl w:val="6A7A5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C1BE0"/>
    <w:multiLevelType w:val="multilevel"/>
    <w:tmpl w:val="71D471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262A0"/>
    <w:multiLevelType w:val="hybridMultilevel"/>
    <w:tmpl w:val="CDD025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1473BC"/>
    <w:multiLevelType w:val="hybridMultilevel"/>
    <w:tmpl w:val="6AA4AC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63266"/>
    <w:multiLevelType w:val="hybridMultilevel"/>
    <w:tmpl w:val="5EE4C7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B43FB2"/>
    <w:multiLevelType w:val="hybridMultilevel"/>
    <w:tmpl w:val="7E867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3411B8"/>
    <w:multiLevelType w:val="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4E1759"/>
    <w:multiLevelType w:val="hybridMultilevel"/>
    <w:tmpl w:val="43629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27790"/>
    <w:multiLevelType w:val="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A63002"/>
    <w:multiLevelType w:val="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B4691"/>
    <w:multiLevelType w:val="hybridMultilevel"/>
    <w:tmpl w:val="F112DC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8B320D"/>
    <w:multiLevelType w:val="multilevel"/>
    <w:tmpl w:val="6A7A5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7730AF"/>
    <w:multiLevelType w:val="hybridMultilevel"/>
    <w:tmpl w:val="BF8CD6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rtl w:val="0"/>
      </w:rPr>
    </w:lvl>
  </w:abstractNum>
  <w:abstractNum w:abstractNumId="14">
    <w:nsid w:val="6FED1F73"/>
    <w:multiLevelType w:val="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52FCF"/>
    <w:multiLevelType w:val="hybridMultilevel"/>
    <w:tmpl w:val="E766DF5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  <w:rtl w:val="0"/>
      </w:rPr>
    </w:lvl>
  </w:abstractNum>
  <w:abstractNum w:abstractNumId="17">
    <w:nsid w:val="75CB37AE"/>
    <w:multiLevelType w:val="hybridMultilevel"/>
    <w:tmpl w:val="7B9A54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C937A0"/>
    <w:multiLevelType w:val="hybridMultilevel"/>
    <w:tmpl w:val="902C50C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8"/>
  </w:num>
  <w:num w:numId="10">
    <w:abstractNumId w:val="6"/>
  </w:num>
  <w:num w:numId="11">
    <w:abstractNumId w:val="13"/>
  </w:num>
  <w:num w:numId="12">
    <w:abstractNumId w:val="18"/>
  </w:num>
  <w:num w:numId="13">
    <w:abstractNumId w:val="7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163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30CF"/>
    <w:rsid w:val="00146FC4"/>
    <w:rsid w:val="001935FD"/>
    <w:rsid w:val="001B4AFB"/>
    <w:rsid w:val="001F18BD"/>
    <w:rsid w:val="002279B4"/>
    <w:rsid w:val="002548E3"/>
    <w:rsid w:val="0027190F"/>
    <w:rsid w:val="002911C9"/>
    <w:rsid w:val="002D1B8A"/>
    <w:rsid w:val="002F6113"/>
    <w:rsid w:val="003578D6"/>
    <w:rsid w:val="00385C19"/>
    <w:rsid w:val="0040048E"/>
    <w:rsid w:val="005055F6"/>
    <w:rsid w:val="00575704"/>
    <w:rsid w:val="005B397A"/>
    <w:rsid w:val="005C0A91"/>
    <w:rsid w:val="005E107A"/>
    <w:rsid w:val="005E2A71"/>
    <w:rsid w:val="005F250A"/>
    <w:rsid w:val="005F5F8D"/>
    <w:rsid w:val="006123F2"/>
    <w:rsid w:val="00651DA8"/>
    <w:rsid w:val="00683A89"/>
    <w:rsid w:val="006A7A2B"/>
    <w:rsid w:val="006B53E6"/>
    <w:rsid w:val="006D57C2"/>
    <w:rsid w:val="007C0A51"/>
    <w:rsid w:val="007F76B7"/>
    <w:rsid w:val="008018BB"/>
    <w:rsid w:val="00817B7F"/>
    <w:rsid w:val="008B23E7"/>
    <w:rsid w:val="00922322"/>
    <w:rsid w:val="00973011"/>
    <w:rsid w:val="009C5D80"/>
    <w:rsid w:val="00A028E6"/>
    <w:rsid w:val="00A1010F"/>
    <w:rsid w:val="00A618B4"/>
    <w:rsid w:val="00A94723"/>
    <w:rsid w:val="00A95CB6"/>
    <w:rsid w:val="00AC403B"/>
    <w:rsid w:val="00AC6E43"/>
    <w:rsid w:val="00B264B5"/>
    <w:rsid w:val="00B6203F"/>
    <w:rsid w:val="00B65D72"/>
    <w:rsid w:val="00B80F95"/>
    <w:rsid w:val="00BD0EE8"/>
    <w:rsid w:val="00C67254"/>
    <w:rsid w:val="00CA62B0"/>
    <w:rsid w:val="00CE59DA"/>
    <w:rsid w:val="00D975A7"/>
    <w:rsid w:val="00DC271D"/>
    <w:rsid w:val="00DC372B"/>
    <w:rsid w:val="00DE23C1"/>
    <w:rsid w:val="00ED10AF"/>
    <w:rsid w:val="00EF5287"/>
    <w:rsid w:val="00F228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0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548E3"/>
    <w:pPr>
      <w:keepNext/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4F409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1010F"/>
    <w:rPr>
      <w:color w:val="auto"/>
      <w:u w:val="single"/>
    </w:rPr>
  </w:style>
  <w:style w:type="paragraph" w:customStyle="1" w:styleId="odsek">
    <w:name w:val="odsek"/>
    <w:basedOn w:val="Normal"/>
    <w:rsid w:val="002548E3"/>
    <w:pPr>
      <w:keepNext/>
      <w:spacing w:before="120" w:after="120"/>
      <w:ind w:firstLine="709"/>
      <w:jc w:val="both"/>
    </w:pPr>
  </w:style>
  <w:style w:type="paragraph" w:styleId="Title">
    <w:name w:val="Title"/>
    <w:basedOn w:val="Normal"/>
    <w:qFormat/>
    <w:rsid w:val="002548E3"/>
    <w:pPr>
      <w:keepNext/>
      <w:spacing w:before="60" w:after="60"/>
      <w:jc w:val="center"/>
    </w:pPr>
    <w:rPr>
      <w:b/>
      <w:sz w:val="28"/>
      <w:szCs w:val="20"/>
    </w:rPr>
  </w:style>
  <w:style w:type="paragraph" w:styleId="NormalWeb">
    <w:name w:val="Normal (Web)"/>
    <w:basedOn w:val="Normal"/>
    <w:rsid w:val="006C17E8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qFormat/>
    <w:rsid w:val="006C17E8"/>
    <w:rPr>
      <w:b/>
      <w:bCs/>
      <w:rtl w:val="0"/>
    </w:rPr>
  </w:style>
  <w:style w:type="paragraph" w:styleId="Caption">
    <w:name w:val="caption"/>
    <w:basedOn w:val="Normal"/>
    <w:next w:val="Normal"/>
    <w:qFormat/>
    <w:rsid w:val="004F4094"/>
    <w:pPr>
      <w:spacing w:before="200" w:after="200"/>
      <w:jc w:val="center"/>
    </w:pPr>
    <w:rPr>
      <w:b/>
      <w:bCs/>
      <w:sz w:val="22"/>
      <w:szCs w:val="16"/>
      <w:lang w:bidi="en-US"/>
    </w:rPr>
  </w:style>
  <w:style w:type="paragraph" w:customStyle="1" w:styleId="Odstavecseseznamem">
    <w:name w:val="Odstavec se seznamem"/>
    <w:basedOn w:val="Normal"/>
    <w:qFormat/>
    <w:rsid w:val="004F4094"/>
    <w:pPr>
      <w:spacing w:before="200" w:after="200"/>
      <w:contextualSpacing/>
      <w:jc w:val="both"/>
    </w:pPr>
    <w:rPr>
      <w:sz w:val="22"/>
      <w:szCs w:val="20"/>
      <w:lang w:bidi="en-US"/>
    </w:rPr>
  </w:style>
  <w:style w:type="paragraph" w:styleId="FootnoteText">
    <w:name w:val="footnote text"/>
    <w:aliases w:val="Text poznámky pod čiarou 007"/>
    <w:basedOn w:val="Normal"/>
    <w:link w:val="TextpoznmkypodiarouChar"/>
    <w:semiHidden/>
    <w:rsid w:val="004F409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DefaultParagraphFont"/>
    <w:link w:val="FootnoteText"/>
    <w:semiHidden/>
    <w:rsid w:val="004F4094"/>
    <w:rPr>
      <w:rtl w:val="0"/>
      <w:lang w:val="sk-SK" w:bidi="ar-SA"/>
    </w:rPr>
  </w:style>
  <w:style w:type="character" w:styleId="FootnoteReference">
    <w:name w:val="footnote reference"/>
    <w:basedOn w:val="DefaultParagraphFont"/>
    <w:semiHidden/>
    <w:rsid w:val="004F4094"/>
    <w:rPr>
      <w:rFonts w:cs="Times New Roman"/>
      <w:vertAlign w:val="superscript"/>
      <w:rtl w:val="0"/>
    </w:rPr>
  </w:style>
  <w:style w:type="paragraph" w:customStyle="1" w:styleId="Default">
    <w:name w:val="Default"/>
    <w:rsid w:val="00D8101B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HGIECA+TimesNewRoman" w:hAnsi="HGIECA+TimesNewRoman" w:cs="HGIECA+TimesNewRoman"/>
      <w:color w:val="000000"/>
      <w:sz w:val="24"/>
      <w:szCs w:val="24"/>
      <w:rtl w:val="0"/>
      <w:lang w:val="sk-SK" w:bidi="ar-SA"/>
    </w:rPr>
  </w:style>
  <w:style w:type="paragraph" w:styleId="BodyText">
    <w:name w:val="Body Text"/>
    <w:basedOn w:val="Normal"/>
    <w:rsid w:val="00674611"/>
    <w:pPr>
      <w:jc w:val="both"/>
    </w:pPr>
  </w:style>
  <w:style w:type="paragraph" w:styleId="Header">
    <w:name w:val="header"/>
    <w:basedOn w:val="Normal"/>
    <w:rsid w:val="008B23E7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8B23E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85C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127</TotalTime>
  <Pages>9</Pages>
  <Words>2664</Words>
  <Characters>15189</Characters>
  <Application>Microsoft Office Word</Application>
  <DocSecurity>0</DocSecurity>
  <Lines>0</Lines>
  <Paragraphs>0</Paragraphs>
  <ScaleCrop>false</ScaleCrop>
  <Company>Kancelaria NR SR</Company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Jana_Valova</dc:creator>
  <cp:lastModifiedBy>GaspJarm</cp:lastModifiedBy>
  <cp:revision>22</cp:revision>
  <cp:lastPrinted>2010-02-11T11:43:00Z</cp:lastPrinted>
  <dcterms:created xsi:type="dcterms:W3CDTF">2010-02-11T08:41:00Z</dcterms:created>
  <dcterms:modified xsi:type="dcterms:W3CDTF">2010-02-12T12:38:00Z</dcterms:modified>
</cp:coreProperties>
</file>