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73CC" w:rsidP="002C73CC">
      <w:pPr>
        <w:pStyle w:val="Heading3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NÁRODNÁ RADA SLOVENSKEJ REPUBLIKY</w:t>
      </w:r>
    </w:p>
    <w:p w:rsidR="002C73CC" w:rsidP="002C73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2C73CC" w:rsidRPr="00A6409D" w:rsidP="002C73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</w:p>
    <w:p w:rsidR="002C73CC" w:rsidP="002C73CC">
      <w:pPr>
        <w:pStyle w:val="Heading3"/>
        <w:rPr>
          <w:rFonts w:ascii="Times New Roman" w:hAnsi="Times New Roman" w:cs="Times New Roman"/>
          <w:sz w:val="28"/>
        </w:rPr>
      </w:pPr>
    </w:p>
    <w:p w:rsidR="002C73CC" w:rsidP="002C73CC">
      <w:pPr>
        <w:pStyle w:val="Heading3"/>
        <w:jc w:val="left"/>
        <w:rPr>
          <w:rFonts w:ascii="Times New Roman" w:hAnsi="Times New Roman" w:cs="Times New Roman"/>
          <w:sz w:val="28"/>
        </w:rPr>
      </w:pPr>
    </w:p>
    <w:p w:rsidR="002C73CC" w:rsidP="002C73CC">
      <w:pPr>
        <w:pStyle w:val="Heading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1415</w:t>
      </w:r>
    </w:p>
    <w:p w:rsidR="002C73CC" w:rsidRPr="00A6409D" w:rsidP="002C73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</w:t>
      </w:r>
    </w:p>
    <w:p w:rsidR="002C73CC" w:rsidRPr="009B39BF" w:rsidP="002C73CC">
      <w:pPr>
        <w:rPr>
          <w:rFonts w:ascii="Times New Roman" w:hAnsi="Times New Roman" w:cs="Times New Roman"/>
        </w:rPr>
      </w:pPr>
    </w:p>
    <w:p w:rsidR="002C73CC" w:rsidRPr="008102B5" w:rsidP="002C73CC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02B5">
        <w:rPr>
          <w:rFonts w:ascii="Times New Roman" w:hAnsi="Times New Roman" w:cs="Times New Roman"/>
          <w:bCs/>
          <w:sz w:val="28"/>
          <w:szCs w:val="28"/>
        </w:rPr>
        <w:t>ZÁKON</w:t>
      </w:r>
    </w:p>
    <w:p w:rsidR="002C73CC" w:rsidRPr="008102B5" w:rsidP="002C73CC">
      <w:pPr>
        <w:spacing w:before="100" w:beforeAutospacing="1" w:after="100" w:afterAutospacing="1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02B5">
        <w:rPr>
          <w:rFonts w:ascii="Times New Roman" w:hAnsi="Times New Roman" w:cs="Times New Roman"/>
          <w:bCs/>
          <w:sz w:val="28"/>
          <w:szCs w:val="28"/>
        </w:rPr>
        <w:t>z ......... 2010</w:t>
      </w:r>
    </w:p>
    <w:p w:rsidR="002C73CC" w:rsidP="002C73C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8102B5">
        <w:rPr>
          <w:rFonts w:ascii="Times New Roman" w:hAnsi="Times New Roman" w:cs="Times New Roman"/>
          <w:bCs/>
          <w:sz w:val="28"/>
          <w:szCs w:val="28"/>
        </w:rPr>
        <w:t>o preukazovaní pôvodu majetku</w:t>
      </w:r>
      <w:r w:rsidRPr="002C7898">
        <w:rPr>
          <w:rFonts w:ascii="Times New Roman" w:hAnsi="Times New Roman" w:cs="Times New Roman"/>
          <w:sz w:val="28"/>
          <w:szCs w:val="28"/>
        </w:rPr>
        <w:br/>
      </w:r>
    </w:p>
    <w:p w:rsidR="002C73CC" w:rsidRPr="002F6B84" w:rsidP="002C73C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br/>
        <w:t>Národná rada Slovenskej republiky sa uzniesla na tomto zákone:</w:t>
      </w:r>
    </w:p>
    <w:p w:rsidR="002C73CC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:rsidR="002C73CC" w:rsidRPr="002F6B84" w:rsidP="002C73CC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Úč</w:t>
      </w:r>
      <w:r>
        <w:rPr>
          <w:rFonts w:ascii="Times New Roman" w:hAnsi="Times New Roman" w:cs="Times New Roman"/>
          <w:sz w:val="28"/>
          <w:szCs w:val="28"/>
        </w:rPr>
        <w:t>elom tohto zákona je upraviť pod</w:t>
      </w:r>
      <w:r w:rsidRPr="002C7898">
        <w:rPr>
          <w:rFonts w:ascii="Times New Roman" w:hAnsi="Times New Roman" w:cs="Times New Roman"/>
          <w:sz w:val="28"/>
          <w:szCs w:val="28"/>
        </w:rPr>
        <w:t>mienky a postup orgánov verejnej moci pri odnímaní nehnuteľného majetku, hnuteľného majetku, bytov a nebytových priestorov, iných majetkových práv a iných majetkových hodnôt, peňažných prost</w:t>
      </w:r>
      <w:r>
        <w:rPr>
          <w:rFonts w:ascii="Times New Roman" w:hAnsi="Times New Roman" w:cs="Times New Roman"/>
          <w:sz w:val="28"/>
          <w:szCs w:val="28"/>
        </w:rPr>
        <w:t>riedkov v hotovosti v eurách</w:t>
      </w:r>
      <w:r w:rsidRPr="002C7898">
        <w:rPr>
          <w:rFonts w:ascii="Times New Roman" w:hAnsi="Times New Roman" w:cs="Times New Roman"/>
          <w:sz w:val="28"/>
          <w:szCs w:val="28"/>
        </w:rPr>
        <w:t xml:space="preserve"> a v cudzej mene, vkladov v bankách a v pobočkách zahraničný</w:t>
      </w:r>
      <w:r>
        <w:rPr>
          <w:rFonts w:ascii="Times New Roman" w:hAnsi="Times New Roman" w:cs="Times New Roman"/>
          <w:sz w:val="28"/>
          <w:szCs w:val="28"/>
        </w:rPr>
        <w:t>ch bánk v eurách</w:t>
      </w:r>
      <w:r w:rsidRPr="002C7898">
        <w:rPr>
          <w:rFonts w:ascii="Times New Roman" w:hAnsi="Times New Roman" w:cs="Times New Roman"/>
          <w:sz w:val="28"/>
          <w:szCs w:val="28"/>
        </w:rPr>
        <w:t xml:space="preserve"> a v cudzej mene a vkladov v bankách so sídlom v zahraničí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majetok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2C7898">
        <w:rPr>
          <w:rFonts w:ascii="Times New Roman" w:hAnsi="Times New Roman" w:cs="Times New Roman"/>
          <w:sz w:val="28"/>
          <w:szCs w:val="28"/>
        </w:rPr>
        <w:t xml:space="preserve">) fyzickým osobám a právnickým osobám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osoba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2C7898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o ktorých súd v konaní podľa tohto zákona vyslovil, že majetok </w:t>
      </w:r>
      <w:r>
        <w:rPr>
          <w:rFonts w:ascii="Times New Roman" w:hAnsi="Times New Roman" w:cs="Times New Roman"/>
          <w:sz w:val="28"/>
          <w:szCs w:val="28"/>
        </w:rPr>
        <w:t>nadobudli z nelegálnych príjmov.</w:t>
      </w:r>
    </w:p>
    <w:p w:rsidR="002C73CC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:rsidR="002C73CC" w:rsidRPr="002F6B84" w:rsidP="002C73CC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Podľa tohto zákona sa postupuje aj v prípade, ak osobe bol uložený peňažný trest, trest prepadnutia veci alebo ak súd rozho</w:t>
      </w:r>
      <w:r>
        <w:rPr>
          <w:rFonts w:ascii="Times New Roman" w:hAnsi="Times New Roman" w:cs="Times New Roman"/>
          <w:sz w:val="28"/>
          <w:szCs w:val="28"/>
        </w:rPr>
        <w:t>dol o prepadnutí časti majetku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1)</w:t>
      </w:r>
      <w:r w:rsidRPr="002C7898">
        <w:rPr>
          <w:rFonts w:ascii="Times New Roman" w:hAnsi="Times New Roman" w:cs="Times New Roman"/>
          <w:sz w:val="28"/>
          <w:szCs w:val="28"/>
        </w:rPr>
        <w:t xml:space="preserve"> osoby a tá vlastní ďalší majetok uvedený v ustanovení § 1, ktorý nemožno postihnúť podľa Trestného zákona.</w:t>
      </w: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(1) Ak má orgán verejnej moci dôvodné podozrenie, že majetok osoby bol nadobudnutý z nelegálnych príjmov, je to povinný bezodkladne písomne oznámiť službe finančnej polície Policajného zboru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finančná polícia</w:t>
      </w:r>
      <w:r>
        <w:rPr>
          <w:rFonts w:ascii="Times New Roman" w:hAnsi="Times New Roman" w:cs="Times New Roman"/>
          <w:sz w:val="28"/>
          <w:szCs w:val="28"/>
        </w:rPr>
        <w:t>“).</w:t>
      </w:r>
      <w:r w:rsidRPr="002C7898">
        <w:rPr>
          <w:rFonts w:ascii="Times New Roman" w:hAnsi="Times New Roman" w:cs="Times New Roman"/>
          <w:sz w:val="28"/>
          <w:szCs w:val="28"/>
        </w:rPr>
        <w:t xml:space="preserve"> Ak skutočnosti podľa prvej vety zistí pri výkone svojich právomocí finančná polícia, začne konať podľa tohto zákona z vlastného podnetu.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(2) Finančná polícia prijíma písomné oznámenia fyzických osôb alebo právnických osôb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oznamovateľ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2C7898">
        <w:rPr>
          <w:rFonts w:ascii="Times New Roman" w:hAnsi="Times New Roman" w:cs="Times New Roman"/>
          <w:sz w:val="28"/>
          <w:szCs w:val="28"/>
        </w:rPr>
        <w:t>) o odôvodnených podozreniach nasvedčujúcich nadobudnutie majetku z nelegálnych príjmov v rozsahu ustanovenom týmto zákonom. Z oznámenia musí byť zrejmé, kto ho podáva, akej veci sa týka, proti ktorej osobe smeruje a čo sa oznamuje. Oznámenie musí byť podpísané, a ak ho podáva právnická osoba, opatrené odtlačkom pečiatky.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(3) Finančná polícia overuje totožnosť oznamovateľa. Finančná polícia neprihliada na písomné oznámenia podľa odseku 2, v ktorých nie je uvedené </w:t>
      </w:r>
    </w:p>
    <w:p w:rsidR="002C73CC" w:rsidP="002C73CC">
      <w:pPr>
        <w:numPr>
          <w:ilvl w:val="0"/>
          <w:numId w:val="1"/>
        </w:numPr>
        <w:tabs>
          <w:tab w:val="left" w:pos="360"/>
          <w:tab w:val="clear" w:pos="735"/>
        </w:tabs>
        <w:ind w:left="357" w:hanging="374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meno, priezvisko a b</w:t>
      </w:r>
      <w:r w:rsidRPr="002C7898">
        <w:rPr>
          <w:rFonts w:ascii="Times New Roman" w:hAnsi="Times New Roman" w:cs="Times New Roman"/>
          <w:sz w:val="28"/>
          <w:szCs w:val="28"/>
        </w:rPr>
        <w:t>ydlisko alebo obchodné meno a</w:t>
      </w:r>
      <w:r>
        <w:rPr>
          <w:rFonts w:ascii="Times New Roman" w:hAnsi="Times New Roman" w:cs="Times New Roman"/>
          <w:sz w:val="28"/>
          <w:szCs w:val="28"/>
        </w:rPr>
        <w:t xml:space="preserve">lebo názov a sídlo oznamovateľa, </w:t>
      </w:r>
    </w:p>
    <w:p w:rsidR="002C73CC" w:rsidP="002C73CC">
      <w:pPr>
        <w:numPr>
          <w:ilvl w:val="0"/>
          <w:numId w:val="1"/>
        </w:numPr>
        <w:tabs>
          <w:tab w:val="left" w:pos="360"/>
          <w:tab w:val="clear" w:pos="735"/>
        </w:tabs>
        <w:spacing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proti ktorej osobe oznámenie smeruje a čoho sa </w:t>
      </w:r>
      <w:r w:rsidRPr="002C7898">
        <w:rPr>
          <w:rFonts w:ascii="Times New Roman" w:hAnsi="Times New Roman" w:cs="Times New Roman"/>
          <w:sz w:val="28"/>
          <w:szCs w:val="28"/>
        </w:rPr>
        <w:t>týka.</w:t>
      </w:r>
    </w:p>
    <w:p w:rsidR="002C73CC" w:rsidRPr="00B4394F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(4) A</w:t>
      </w:r>
      <w:r>
        <w:rPr>
          <w:rFonts w:ascii="Times New Roman" w:hAnsi="Times New Roman" w:cs="Times New Roman"/>
          <w:sz w:val="28"/>
          <w:szCs w:val="28"/>
        </w:rPr>
        <w:t>k písomné oznámenie podľa odsekov</w:t>
      </w:r>
      <w:r w:rsidRPr="002C7898">
        <w:rPr>
          <w:rFonts w:ascii="Times New Roman" w:hAnsi="Times New Roman" w:cs="Times New Roman"/>
          <w:sz w:val="28"/>
          <w:szCs w:val="28"/>
        </w:rPr>
        <w:t xml:space="preserve"> 1 alebo 2 bolo doručené inej službe Policajného zboru alebo inému orgánu verejnej moci ako finančnej polícii, ten bezodkladne postúpi vec finančnej polícii a upovedomí o tom oznamovateľa.</w:t>
      </w: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4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(1) Finančná polícia na základe písomného oznámenia alebo z vlastného podnetu podľa § 3 preskúma príjmy, hodnotu majetku a spôsob nadobudnutia majetku osoby, proti k</w:t>
      </w:r>
      <w:r w:rsidRPr="002C7898">
        <w:rPr>
          <w:rFonts w:ascii="Times New Roman" w:hAnsi="Times New Roman" w:cs="Times New Roman"/>
          <w:sz w:val="28"/>
          <w:szCs w:val="28"/>
        </w:rPr>
        <w:t xml:space="preserve">torej </w:t>
      </w:r>
      <w:r>
        <w:rPr>
          <w:rFonts w:ascii="Times New Roman" w:hAnsi="Times New Roman" w:cs="Times New Roman"/>
          <w:sz w:val="28"/>
          <w:szCs w:val="28"/>
        </w:rPr>
        <w:t xml:space="preserve">podané oznámenie smeruje, </w:t>
      </w:r>
      <w:r w:rsidRPr="002C7898">
        <w:rPr>
          <w:rFonts w:ascii="Times New Roman" w:hAnsi="Times New Roman" w:cs="Times New Roman"/>
          <w:sz w:val="28"/>
          <w:szCs w:val="28"/>
        </w:rPr>
        <w:t xml:space="preserve">obstaráva podklady, požaduje vysvetlenia, zisťuje a zabezpečuje dôkazy potrebné na podanie podnetu podľa § 6 a vykonáva iné potrebné opatrenia. 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(2) Pri preskúmavaní podľa odseku 1 spolupracuje finančná polícia s inými orgánmi verejnej moci, právnickými osobami a fyzickými osobami. Tieto orgány a osoby sú povinné poskytnúť finančnej polícii v určenej l</w:t>
      </w:r>
      <w:r>
        <w:rPr>
          <w:rFonts w:ascii="Times New Roman" w:hAnsi="Times New Roman" w:cs="Times New Roman"/>
          <w:sz w:val="28"/>
          <w:szCs w:val="28"/>
        </w:rPr>
        <w:t xml:space="preserve">ehote potrebnú súčinnosť, </w:t>
      </w:r>
      <w:r w:rsidRPr="002C7898">
        <w:rPr>
          <w:rFonts w:ascii="Times New Roman" w:hAnsi="Times New Roman" w:cs="Times New Roman"/>
          <w:sz w:val="28"/>
          <w:szCs w:val="28"/>
        </w:rPr>
        <w:t>vybavovať jej dožiadania a oznamovať jej požadované údaje; povinnosť vybavovať dožiadania sa nevzťah</w:t>
      </w:r>
      <w:r w:rsidRPr="002C7898">
        <w:rPr>
          <w:rFonts w:ascii="Times New Roman" w:hAnsi="Times New Roman" w:cs="Times New Roman"/>
          <w:sz w:val="28"/>
          <w:szCs w:val="28"/>
        </w:rPr>
        <w:t>uje na fyzické osoby.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(3) Finančná polícia je oprávnená požadovať vysvetlenie od každého, kto môže prispieť k objasneniu spôsobu nadobudnutia majetku. Vysvetlenie môže odmietnuť ten, kto by ním spô</w:t>
      </w:r>
      <w:r>
        <w:rPr>
          <w:rFonts w:ascii="Times New Roman" w:hAnsi="Times New Roman" w:cs="Times New Roman"/>
          <w:sz w:val="28"/>
          <w:szCs w:val="28"/>
        </w:rPr>
        <w:t>sobil sebe alebo blízkej osobe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2)</w:t>
      </w:r>
      <w:r w:rsidRPr="002C7898">
        <w:rPr>
          <w:rFonts w:ascii="Times New Roman" w:hAnsi="Times New Roman" w:cs="Times New Roman"/>
          <w:sz w:val="28"/>
          <w:szCs w:val="28"/>
        </w:rPr>
        <w:t xml:space="preserve"> nebezpečenstvo trestného stíhania alebo nebezpečenstvo postihu za priestupok. O podaní vysvetlenia alebo o odmietnutí podať vysvetlenie urobí finančná polícia úradný záznam.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(4) Pri preskúmavaní podľa odseku 1 je fi</w:t>
      </w:r>
      <w:r>
        <w:rPr>
          <w:rFonts w:ascii="Times New Roman" w:hAnsi="Times New Roman" w:cs="Times New Roman"/>
          <w:sz w:val="28"/>
          <w:szCs w:val="28"/>
        </w:rPr>
        <w:t>nančná polícia ďalej oprávnená</w:t>
      </w:r>
    </w:p>
    <w:p w:rsidR="002C73CC" w:rsidP="002C73CC">
      <w:pPr>
        <w:numPr>
          <w:ilvl w:val="0"/>
          <w:numId w:val="2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vstupovať do každej prevádzkovej budovy, miestnosti alebo miesta slúžiaceho na podnikanie alebo inú hospodársku činnosť, ako aj do dopravných prostriedkov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898">
        <w:rPr>
          <w:rFonts w:ascii="Times New Roman" w:hAnsi="Times New Roman" w:cs="Times New Roman"/>
          <w:sz w:val="28"/>
          <w:szCs w:val="28"/>
        </w:rPr>
        <w:t>používaných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podnikanie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>účel</w:t>
      </w:r>
      <w:r>
        <w:rPr>
          <w:rFonts w:ascii="Times New Roman" w:hAnsi="Times New Roman" w:cs="Times New Roman"/>
          <w:sz w:val="28"/>
          <w:szCs w:val="28"/>
        </w:rPr>
        <w:t>y nazerania do dokumentov podľa písmena b),</w:t>
      </w:r>
      <w:r w:rsidRPr="002C7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3CC" w:rsidP="002C73CC">
      <w:pPr>
        <w:numPr>
          <w:ilvl w:val="0"/>
          <w:numId w:val="2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nazerať do evidencií, účtovných písomností, listín a iných dokladov, spisov a záznamov na technickom nosiči dát, robiť si z nich výpisy, odpisy a kópie, </w:t>
      </w:r>
    </w:p>
    <w:p w:rsidR="002C73CC" w:rsidRPr="002F6B84" w:rsidP="002C73CC">
      <w:pPr>
        <w:numPr>
          <w:ilvl w:val="0"/>
          <w:numId w:val="2"/>
        </w:numPr>
        <w:tabs>
          <w:tab w:val="left" w:pos="360"/>
          <w:tab w:val="clear" w:pos="1080"/>
        </w:tabs>
        <w:spacing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písomne žiadať od bánk a pobočiek zahraničných bánk správy, ktoré sa týkajú klientov bánk alebo pobočiek zahraničných bánk, aj keď sú </w:t>
      </w:r>
      <w:r>
        <w:rPr>
          <w:rFonts w:ascii="Times New Roman" w:hAnsi="Times New Roman" w:cs="Times New Roman"/>
          <w:sz w:val="28"/>
          <w:szCs w:val="28"/>
        </w:rPr>
        <w:t xml:space="preserve">predmetom bankového </w:t>
      </w:r>
      <w:r>
        <w:rPr>
          <w:rFonts w:ascii="Times New Roman" w:hAnsi="Times New Roman" w:cs="Times New Roman"/>
          <w:sz w:val="28"/>
          <w:szCs w:val="28"/>
        </w:rPr>
        <w:t>tajomstva.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3)</w:t>
      </w: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5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(1) Plnenie oznamovacej povinnosti podľa § 3 ods. 1 a povinnosti poskytnúť súčinnosť podľa § 4 nie je obmedzené zákonom ustanovenou povinnosťou zachovávať mlčanliv</w:t>
      </w:r>
      <w:r>
        <w:rPr>
          <w:rFonts w:ascii="Times New Roman" w:hAnsi="Times New Roman" w:cs="Times New Roman"/>
          <w:sz w:val="28"/>
          <w:szCs w:val="28"/>
        </w:rPr>
        <w:t>osť podľa osobitných predpisov,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4)</w:t>
      </w:r>
      <w:r w:rsidRPr="002C7898">
        <w:rPr>
          <w:rFonts w:ascii="Times New Roman" w:hAnsi="Times New Roman" w:cs="Times New Roman"/>
          <w:sz w:val="28"/>
          <w:szCs w:val="28"/>
        </w:rPr>
        <w:t xml:space="preserve"> ak tento zákon neustanovuje inak.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(2) Oznamovacia povinnosť podľa § 3 ods. 1 a povinnosť poskytnúť súčinnosť podľa § 4 sa na osobu nevzťahuje, ak ide o informáciu, ktorú získala o klientovi v súvislosti s poskytovaním právnej p</w:t>
      </w:r>
      <w:r>
        <w:rPr>
          <w:rFonts w:ascii="Times New Roman" w:hAnsi="Times New Roman" w:cs="Times New Roman"/>
          <w:sz w:val="28"/>
          <w:szCs w:val="28"/>
        </w:rPr>
        <w:t>omoci podľa osobitného predpisu, alebo ak by poskytnutie tejto informácie bolo v rozpore so záväzkami Slovenskej republiky podľa medzinárodnej zmluvy, ktorá bola vyhlásená spôsobom ustanoveným zákonom alebo s právne záväznými aktmi Európskej únie.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5)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(3) Odmietnuť súčinnosť podľa § 4 môže aj osoba, ktorá by tým porušila spovedné tajomstvo alebo tajomstvo informácie, ktorá jej bola ako osobe poverenej pastoračnou starostlivosťou zverená ústne alebo písomne pod podmienkou, že zachová o nej mlčanlivosť. </w:t>
      </w: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6</w:t>
      </w:r>
    </w:p>
    <w:p w:rsidR="002C73CC" w:rsidP="002C7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(1) Finančná polícia podá prokurátorovi príslušnému podľa odseku 3 podnet</w:t>
      </w:r>
      <w:r w:rsidRPr="002C7898">
        <w:rPr>
          <w:rFonts w:ascii="Times New Roman" w:hAnsi="Times New Roman" w:cs="Times New Roman"/>
          <w:sz w:val="28"/>
          <w:szCs w:val="28"/>
        </w:rPr>
        <w:t xml:space="preserve"> na podanie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898">
        <w:rPr>
          <w:rFonts w:ascii="Times New Roman" w:hAnsi="Times New Roman" w:cs="Times New Roman"/>
          <w:sz w:val="28"/>
          <w:szCs w:val="28"/>
        </w:rPr>
        <w:t>návrhu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na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>začatie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C7898">
        <w:rPr>
          <w:rFonts w:ascii="Times New Roman" w:hAnsi="Times New Roman" w:cs="Times New Roman"/>
          <w:sz w:val="28"/>
          <w:szCs w:val="28"/>
        </w:rPr>
        <w:t xml:space="preserve"> konania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2C7898">
        <w:rPr>
          <w:rFonts w:ascii="Times New Roman" w:hAnsi="Times New Roman" w:cs="Times New Roman"/>
          <w:sz w:val="28"/>
          <w:szCs w:val="28"/>
        </w:rPr>
        <w:t>vyslovenie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toho,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>že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majetok </w:t>
      </w:r>
      <w:r w:rsidRPr="002C7898">
        <w:rPr>
          <w:rFonts w:ascii="Times New Roman" w:hAnsi="Times New Roman" w:cs="Times New Roman"/>
          <w:sz w:val="28"/>
          <w:szCs w:val="28"/>
        </w:rPr>
        <w:t>bol</w:t>
      </w:r>
      <w:r>
        <w:rPr>
          <w:rFonts w:ascii="Times New Roman" w:hAnsi="Times New Roman" w:cs="Times New Roman"/>
          <w:sz w:val="28"/>
          <w:szCs w:val="28"/>
        </w:rPr>
        <w:t xml:space="preserve"> najmenej o 15</w:t>
      </w:r>
      <w:r w:rsidRPr="002C7898">
        <w:rPr>
          <w:rFonts w:ascii="Times New Roman" w:hAnsi="Times New Roman" w:cs="Times New Roman"/>
          <w:sz w:val="28"/>
          <w:szCs w:val="28"/>
        </w:rPr>
        <w:t>00-násobok minimálnej mz</w:t>
      </w:r>
      <w:r>
        <w:rPr>
          <w:rFonts w:ascii="Times New Roman" w:hAnsi="Times New Roman" w:cs="Times New Roman"/>
          <w:sz w:val="28"/>
          <w:szCs w:val="28"/>
        </w:rPr>
        <w:t>dy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vyšší, ako preukázateľné príjmy.</w:t>
      </w:r>
    </w:p>
    <w:p w:rsidR="002C73CC" w:rsidP="002C73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r w:rsidRPr="002C7898">
        <w:rPr>
          <w:rFonts w:ascii="Times New Roman" w:hAnsi="Times New Roman" w:cs="Times New Roman"/>
          <w:sz w:val="28"/>
          <w:szCs w:val="28"/>
        </w:rPr>
        <w:t>Podnet podľa odseku 1 obsahuje</w:t>
      </w:r>
    </w:p>
    <w:p w:rsidR="002C73CC" w:rsidP="002C73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numPr>
          <w:ilvl w:val="0"/>
          <w:numId w:val="3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označenie orgánu, ktorý ho podáva, </w:t>
      </w:r>
    </w:p>
    <w:p w:rsidR="002C73CC" w:rsidP="002C73CC">
      <w:pPr>
        <w:numPr>
          <w:ilvl w:val="0"/>
          <w:numId w:val="3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meno, priezvisko, adre</w:t>
      </w:r>
      <w:r w:rsidRPr="002C7898">
        <w:rPr>
          <w:rFonts w:ascii="Times New Roman" w:hAnsi="Times New Roman" w:cs="Times New Roman"/>
          <w:sz w:val="28"/>
          <w:szCs w:val="28"/>
        </w:rPr>
        <w:t>su pobytu a dátum narodenia fyzickej osoby alebo obchodné meno alebo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názov, sídlo a identifikačné číslo právnickej osoby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identifikačné údaje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2C7898">
        <w:rPr>
          <w:rFonts w:ascii="Times New Roman" w:hAnsi="Times New Roman" w:cs="Times New Roman"/>
          <w:sz w:val="28"/>
          <w:szCs w:val="28"/>
        </w:rPr>
        <w:t xml:space="preserve">), ktorej majetok má byť vyhlásený za nadobudnutý z nelegálnych príjmov, </w:t>
      </w:r>
    </w:p>
    <w:p w:rsidR="002C73CC" w:rsidP="002C73CC">
      <w:pPr>
        <w:numPr>
          <w:ilvl w:val="0"/>
          <w:numId w:val="3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výsledok preskúmania príjmov,</w:t>
      </w:r>
      <w:r w:rsidRPr="002C7898">
        <w:rPr>
          <w:rFonts w:ascii="Times New Roman" w:hAnsi="Times New Roman" w:cs="Times New Roman"/>
          <w:sz w:val="28"/>
          <w:szCs w:val="28"/>
        </w:rPr>
        <w:t xml:space="preserve"> hodnoty majetku a spôsobu nadobudnutia majetku osoby, </w:t>
      </w:r>
    </w:p>
    <w:p w:rsidR="002C73CC" w:rsidP="002C73CC">
      <w:pPr>
        <w:numPr>
          <w:ilvl w:val="0"/>
          <w:numId w:val="3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uvedenie skutočností a označenie dôkazov nasvedčujúcich tomu, že hodnota majetk</w:t>
      </w:r>
      <w:r>
        <w:rPr>
          <w:rFonts w:ascii="Times New Roman" w:hAnsi="Times New Roman" w:cs="Times New Roman"/>
          <w:sz w:val="28"/>
          <w:szCs w:val="28"/>
        </w:rPr>
        <w:t>u osoby presahuje najmenej o 15</w:t>
      </w:r>
      <w:r w:rsidRPr="002C7898">
        <w:rPr>
          <w:rFonts w:ascii="Times New Roman" w:hAnsi="Times New Roman" w:cs="Times New Roman"/>
          <w:sz w:val="28"/>
          <w:szCs w:val="28"/>
        </w:rPr>
        <w:t>00-násobok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minimálnej mzdy preukázateľné príjmy, </w:t>
      </w:r>
    </w:p>
    <w:p w:rsidR="002C73CC" w:rsidP="002C73CC">
      <w:pPr>
        <w:numPr>
          <w:ilvl w:val="0"/>
          <w:numId w:val="3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dátum a miesto podania, </w:t>
      </w:r>
    </w:p>
    <w:p w:rsidR="002C73CC" w:rsidP="002C73CC">
      <w:pPr>
        <w:numPr>
          <w:ilvl w:val="0"/>
          <w:numId w:val="3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podpis oprávneného príslušníka finančnej polície.</w:t>
      </w:r>
    </w:p>
    <w:p w:rsidR="002C73CC" w:rsidP="002C73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3CC" w:rsidRPr="002C7898" w:rsidP="002C7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(3) Na konanie podľa tohto zákona je príslušný prokurátor, v ktorého obvode sa nachádza súd, ktorý je podľa všeobecného predpisu o konaní pred súdom príslušný na konanie o návrhu podľa § 8.</w:t>
      </w:r>
    </w:p>
    <w:p w:rsidR="002C73CC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7</w:t>
      </w:r>
    </w:p>
    <w:p w:rsidR="002C73CC" w:rsidP="002C73CC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(1) Prokurátor preskúma p</w:t>
      </w:r>
      <w:r w:rsidRPr="002C7898">
        <w:rPr>
          <w:rFonts w:ascii="Times New Roman" w:hAnsi="Times New Roman" w:cs="Times New Roman"/>
          <w:sz w:val="28"/>
          <w:szCs w:val="28"/>
        </w:rPr>
        <w:t>odnet podaný podľa § 6, najmä preskúma údaje a dôkazy podľa § 6 ods. 2 písm. c) a d). Ak prokurátor považuje za potrebné podnet doplniť alebo vykonať ďalšie preskúmavanie príjmov, hodnoty majetku a spôsobu nadobudnutia majetku osoby, požiada o doplnenie alebo ďalšie preskúmanie finančnú políciu. Finančná polícia je</w:t>
      </w:r>
      <w:r>
        <w:rPr>
          <w:rFonts w:ascii="Times New Roman" w:hAnsi="Times New Roman" w:cs="Times New Roman"/>
          <w:sz w:val="28"/>
          <w:szCs w:val="28"/>
        </w:rPr>
        <w:t xml:space="preserve"> povinná žiadosti prokurátora v určenej lehote </w:t>
      </w:r>
      <w:r w:rsidRPr="002C7898">
        <w:rPr>
          <w:rFonts w:ascii="Times New Roman" w:hAnsi="Times New Roman" w:cs="Times New Roman"/>
          <w:sz w:val="28"/>
          <w:szCs w:val="28"/>
        </w:rPr>
        <w:t>vyhovieť.</w:t>
      </w:r>
    </w:p>
    <w:p w:rsidR="002C73CC" w:rsidRPr="00B4394F" w:rsidP="002C73CC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(2) Prokurátor požiada osobu označenú v podnete o podanie vysvetlenia alebo predloženie dôkazov o tom, akým spôs</w:t>
      </w:r>
      <w:r>
        <w:rPr>
          <w:rFonts w:ascii="Times New Roman" w:hAnsi="Times New Roman" w:cs="Times New Roman"/>
          <w:sz w:val="28"/>
          <w:szCs w:val="28"/>
        </w:rPr>
        <w:t xml:space="preserve">obom nadobudla majetok uvedený v </w:t>
      </w:r>
      <w:r w:rsidRPr="002C7898">
        <w:rPr>
          <w:rFonts w:ascii="Times New Roman" w:hAnsi="Times New Roman" w:cs="Times New Roman"/>
          <w:sz w:val="28"/>
          <w:szCs w:val="28"/>
        </w:rPr>
        <w:t xml:space="preserve">podnete; táto osoba je povinná žiadosti prokurátora vyhovieť do 30 dní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>odo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 dňa doručenia žiadosti. Vysvetlením sa rozumie najmä predloženie listín a označenie iných dôkazov potvrdzujúcich spôsob nadobudnutia majetku.</w:t>
      </w:r>
    </w:p>
    <w:p w:rsidR="002C73CC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8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(1) Prokurátor podá súdu návrh na začatie konania o vyslovenie nadobudnutia majetku z nelegálnych príjmov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návrh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2C7898">
        <w:rPr>
          <w:rFonts w:ascii="Times New Roman" w:hAnsi="Times New Roman" w:cs="Times New Roman"/>
          <w:sz w:val="28"/>
          <w:szCs w:val="28"/>
        </w:rPr>
        <w:t xml:space="preserve">), ak </w:t>
      </w:r>
    </w:p>
    <w:p w:rsidR="002C73CC" w:rsidP="002C73CC">
      <w:pPr>
        <w:numPr>
          <w:ilvl w:val="0"/>
          <w:numId w:val="4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zo zistených skutočností odôvodnene usudzuje, že hodnota majetku osoby označenej v </w:t>
      </w:r>
      <w:r>
        <w:rPr>
          <w:rFonts w:ascii="Times New Roman" w:hAnsi="Times New Roman" w:cs="Times New Roman"/>
          <w:sz w:val="28"/>
          <w:szCs w:val="28"/>
        </w:rPr>
        <w:t>podnete presahuje najmenej o 15</w:t>
      </w:r>
      <w:r w:rsidRPr="002C7898">
        <w:rPr>
          <w:rFonts w:ascii="Times New Roman" w:hAnsi="Times New Roman" w:cs="Times New Roman"/>
          <w:sz w:val="28"/>
          <w:szCs w:val="28"/>
        </w:rPr>
        <w:t xml:space="preserve">00-násobok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minimálnej mzdy preukázateľné príjmy, ktoré táto osoba mohla dosiahnuť, a </w:t>
      </w:r>
    </w:p>
    <w:p w:rsidR="002C73CC" w:rsidP="002C73CC">
      <w:pPr>
        <w:numPr>
          <w:ilvl w:val="0"/>
          <w:numId w:val="4"/>
        </w:numPr>
        <w:tabs>
          <w:tab w:val="left" w:pos="360"/>
          <w:tab w:val="clear" w:pos="1080"/>
        </w:tabs>
        <w:spacing w:after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osoba označená v podnete nepodá vysvetlenie podľa § 7 ods. 2, alebo jej vysvetlenie prokurátor nepovažuje za dostatočné.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(2) Návrhom sa prokurátor domáha rozhodnutia o vyslovení nadobudnutia majetku z nelegálnych príjmov. V návrhu prokurátor okrem náležitostí podľa všeobecnéh</w:t>
      </w:r>
      <w:r>
        <w:rPr>
          <w:rFonts w:ascii="Times New Roman" w:hAnsi="Times New Roman" w:cs="Times New Roman"/>
          <w:sz w:val="28"/>
          <w:szCs w:val="28"/>
        </w:rPr>
        <w:t>o predpisu o konaní pred súdom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7)</w:t>
      </w:r>
      <w:r w:rsidRPr="002C7898">
        <w:rPr>
          <w:rFonts w:ascii="Times New Roman" w:hAnsi="Times New Roman" w:cs="Times New Roman"/>
          <w:sz w:val="28"/>
          <w:szCs w:val="28"/>
        </w:rPr>
        <w:t xml:space="preserve"> uvedie identifikačné údaje osoby, proti ktorej návrh smeruje (ďalej len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2C7898">
        <w:rPr>
          <w:rFonts w:ascii="Times New Roman" w:hAnsi="Times New Roman" w:cs="Times New Roman"/>
          <w:sz w:val="28"/>
          <w:szCs w:val="28"/>
        </w:rPr>
        <w:t>odporca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2C7898">
        <w:rPr>
          <w:rFonts w:ascii="Times New Roman" w:hAnsi="Times New Roman" w:cs="Times New Roman"/>
          <w:sz w:val="28"/>
          <w:szCs w:val="28"/>
        </w:rPr>
        <w:t>), a hodnotu majetku, ktorý má byť rozhodnutím vyslovený za majetok nadobudnutý z nelegálnych príjmov.</w:t>
      </w:r>
    </w:p>
    <w:p w:rsidR="002C73CC" w:rsidRPr="002C7898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(3) Súd môže na návrh prokurátora predbežným opatrením podľa všeobecného predpisu o</w:t>
      </w:r>
      <w:r>
        <w:rPr>
          <w:rFonts w:ascii="Times New Roman" w:hAnsi="Times New Roman" w:cs="Times New Roman"/>
          <w:sz w:val="28"/>
          <w:szCs w:val="28"/>
        </w:rPr>
        <w:t xml:space="preserve"> konaní pred súdom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8)</w:t>
      </w:r>
      <w:r w:rsidRPr="002C7898">
        <w:rPr>
          <w:rFonts w:ascii="Times New Roman" w:hAnsi="Times New Roman" w:cs="Times New Roman"/>
          <w:sz w:val="28"/>
          <w:szCs w:val="28"/>
        </w:rPr>
        <w:t xml:space="preserve"> uložiť odporcovi, aby nenakladal s určitým majetkom v hodnote uvedenej prokurátorom v návrhu. </w:t>
      </w: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2C7898">
        <w:rPr>
          <w:rFonts w:ascii="Times New Roman" w:hAnsi="Times New Roman" w:cs="Times New Roman"/>
          <w:b/>
          <w:bCs/>
          <w:sz w:val="28"/>
          <w:szCs w:val="28"/>
        </w:rPr>
        <w:t>§ 9</w:t>
      </w:r>
    </w:p>
    <w:p w:rsidR="002C73CC" w:rsidP="002C73CC">
      <w:pPr>
        <w:spacing w:after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Ak prokurátor v konaní pred súdom preukáže existenciu</w:t>
      </w:r>
      <w:r>
        <w:rPr>
          <w:rFonts w:ascii="Times New Roman" w:hAnsi="Times New Roman" w:cs="Times New Roman"/>
          <w:sz w:val="28"/>
          <w:szCs w:val="28"/>
        </w:rPr>
        <w:t xml:space="preserve"> rozdielu vo výške minimálne 15</w:t>
      </w:r>
      <w:r w:rsidRPr="002C7898">
        <w:rPr>
          <w:rFonts w:ascii="Times New Roman" w:hAnsi="Times New Roman" w:cs="Times New Roman"/>
          <w:sz w:val="28"/>
          <w:szCs w:val="28"/>
        </w:rPr>
        <w:t>00-násobku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7898">
        <w:rPr>
          <w:rFonts w:ascii="Times New Roman" w:hAnsi="Times New Roman" w:cs="Times New Roman"/>
          <w:sz w:val="28"/>
          <w:szCs w:val="28"/>
        </w:rPr>
        <w:t xml:space="preserve"> minimálnej mzdy medzi preukázateľnými príjmami odporcu, ktoré mohol dosiahnuť, a jeho skutočným majetkom, súd rozhodnutím vysloví, že tento majetkový rozdiel uvedený v návrhu podľa § 8 ods. 2 odporca nadobudol z nelegálnych príjmov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prepadá v prospech štátu. Ak v konaní pred súdom odporca preukáže opak, súd návrh podľa § 8 ods. 2 zamietne. </w:t>
      </w:r>
    </w:p>
    <w:p w:rsidR="002C73CC" w:rsidRPr="00A93212" w:rsidP="002C7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212">
        <w:rPr>
          <w:rFonts w:ascii="Times New Roman" w:hAnsi="Times New Roman" w:cs="Times New Roman"/>
          <w:b/>
          <w:sz w:val="28"/>
          <w:szCs w:val="28"/>
        </w:rPr>
        <w:t>§ 10</w:t>
      </w:r>
    </w:p>
    <w:p w:rsidR="002C73CC" w:rsidRPr="004D497F" w:rsidP="002C73CC">
      <w:pPr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Rozhodnutie súdu podľa § 9 zašle súd tomu orgánu, ktorý podľa osobitného predpisu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 xml:space="preserve"> vykonáva správu majetku štátu, a to v rovnopise tohto rozhodnutia bez odôvodnenia. </w:t>
        <w:tab/>
      </w:r>
    </w:p>
    <w:p w:rsidR="002C73CC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</w:p>
    <w:p w:rsidR="002C73CC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11</w:t>
      </w:r>
    </w:p>
    <w:p w:rsidR="002C73CC" w:rsidP="002C73CC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(1) Ak tento zákon neustanovuje inak, na konanie podľa</w:t>
      </w:r>
      <w:r>
        <w:rPr>
          <w:rFonts w:ascii="Times New Roman" w:hAnsi="Times New Roman" w:cs="Times New Roman"/>
          <w:sz w:val="28"/>
          <w:szCs w:val="28"/>
        </w:rPr>
        <w:t xml:space="preserve"> § 8 až 10 sa použijú ustanovenia </w:t>
      </w:r>
      <w:r w:rsidRPr="002C7898">
        <w:rPr>
          <w:rFonts w:ascii="Times New Roman" w:hAnsi="Times New Roman" w:cs="Times New Roman"/>
          <w:sz w:val="28"/>
          <w:szCs w:val="28"/>
        </w:rPr>
        <w:t>všeobecného</w:t>
      </w:r>
      <w:r>
        <w:rPr>
          <w:rFonts w:ascii="Times New Roman" w:hAnsi="Times New Roman" w:cs="Times New Roman"/>
          <w:sz w:val="28"/>
          <w:szCs w:val="28"/>
        </w:rPr>
        <w:t xml:space="preserve"> predpisu o konaní pred súdom.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10)</w:t>
      </w:r>
    </w:p>
    <w:p w:rsidR="002C73CC" w:rsidP="002C73CC">
      <w:pPr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ind w:firstLine="708"/>
        <w:jc w:val="both"/>
        <w:outlineLvl w:val="4"/>
        <w:rPr>
          <w:rFonts w:ascii="Times New Roman" w:hAnsi="Times New Roman" w:cs="Times New Roman"/>
        </w:rPr>
      </w:pPr>
      <w:r w:rsidRPr="002C7898">
        <w:rPr>
          <w:rFonts w:ascii="Times New Roman" w:hAnsi="Times New Roman" w:cs="Times New Roman"/>
          <w:sz w:val="28"/>
          <w:szCs w:val="28"/>
        </w:rPr>
        <w:t xml:space="preserve">(2) </w:t>
      </w:r>
      <w:r w:rsidRPr="009F3E82">
        <w:rPr>
          <w:rFonts w:ascii="Times New Roman" w:hAnsi="Times New Roman" w:cs="Times New Roman"/>
          <w:sz w:val="28"/>
          <w:szCs w:val="28"/>
        </w:rPr>
        <w:t>Ak tento zákon neustanovuje inak, na postup prokurátora podľa § 7 sa použijú</w:t>
      </w:r>
      <w:r>
        <w:rPr>
          <w:rFonts w:ascii="Times New Roman" w:hAnsi="Times New Roman" w:cs="Times New Roman"/>
          <w:sz w:val="28"/>
          <w:szCs w:val="28"/>
        </w:rPr>
        <w:t xml:space="preserve"> ustanovenia osobitného zákona.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11)</w:t>
      </w:r>
      <w:r w:rsidRPr="009F3E82">
        <w:rPr>
          <w:rFonts w:ascii="Times New Roman" w:hAnsi="Times New Roman" w:cs="Times New Roman"/>
          <w:sz w:val="28"/>
          <w:szCs w:val="28"/>
        </w:rPr>
        <w:t xml:space="preserve"> Ustanovenia osobitného zákona o vybavovaní podnetu sa nepoužijú</w:t>
      </w:r>
      <w:r w:rsidRPr="009F3E82">
        <w:rPr>
          <w:rFonts w:ascii="Times New Roman" w:hAnsi="Times New Roman" w:cs="Times New Roman"/>
        </w:rPr>
        <w:t>.</w:t>
      </w:r>
    </w:p>
    <w:p w:rsidR="002C73CC" w:rsidP="002C73CC">
      <w:pPr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(3) Postupom podľa tohto zákona nie je dotknutá zodpovednosť fyzickej osoby alebo právnickej osoby za protiprávne konanie postihnute</w:t>
      </w:r>
      <w:r>
        <w:rPr>
          <w:rFonts w:ascii="Times New Roman" w:hAnsi="Times New Roman" w:cs="Times New Roman"/>
          <w:sz w:val="28"/>
          <w:szCs w:val="28"/>
        </w:rPr>
        <w:t>ľné podľa osobitného predpisu.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12)</w:t>
      </w:r>
    </w:p>
    <w:p w:rsidR="002C73CC" w:rsidP="002C73CC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(4) Na zodpovednosť štátu za škodu spôsobenú nezákonným rozhodnutím alebo nesprávnym úradným postupom podľa tohto zákona</w:t>
      </w:r>
      <w:r>
        <w:rPr>
          <w:rFonts w:ascii="Times New Roman" w:hAnsi="Times New Roman" w:cs="Times New Roman"/>
          <w:sz w:val="28"/>
          <w:szCs w:val="28"/>
        </w:rPr>
        <w:t xml:space="preserve"> sa vzťahuje osobitný predpis.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13)</w:t>
      </w:r>
    </w:p>
    <w:p w:rsidR="002C73CC" w:rsidP="002C73CC">
      <w:pPr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C73CC" w:rsidP="002C73CC">
      <w:pPr>
        <w:ind w:firstLine="708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2C7898">
        <w:rPr>
          <w:rFonts w:ascii="Times New Roman" w:hAnsi="Times New Roman" w:cs="Times New Roman"/>
          <w:sz w:val="28"/>
          <w:szCs w:val="28"/>
        </w:rPr>
        <w:t>(5) Ak po podaní návrhu podľa § 8 ods. 1 bolo začaté voči tomu istému odporcovi konanie pred súdom podľa osobitného predpi</w:t>
      </w:r>
      <w:r>
        <w:rPr>
          <w:rFonts w:ascii="Times New Roman" w:hAnsi="Times New Roman" w:cs="Times New Roman"/>
          <w:sz w:val="28"/>
          <w:szCs w:val="28"/>
        </w:rPr>
        <w:t>su,14</w:t>
      </w:r>
      <w:r w:rsidRPr="002C7898">
        <w:rPr>
          <w:rFonts w:ascii="Times New Roman" w:hAnsi="Times New Roman" w:cs="Times New Roman"/>
          <w:sz w:val="28"/>
          <w:szCs w:val="28"/>
        </w:rPr>
        <w:t xml:space="preserve">) ktoré sa týka spôsobu nadobudnutia majetku, voči ktorému návrh podľa § 8 ods. 1 smeruje, súd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uznesením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konanie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podľa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898">
        <w:rPr>
          <w:rFonts w:ascii="Times New Roman" w:hAnsi="Times New Roman" w:cs="Times New Roman"/>
          <w:sz w:val="28"/>
          <w:szCs w:val="28"/>
        </w:rPr>
        <w:t xml:space="preserve">§ 9 preruší až do právoplatného skončenia </w:t>
      </w:r>
      <w:r>
        <w:rPr>
          <w:rFonts w:ascii="Times New Roman" w:hAnsi="Times New Roman" w:cs="Times New Roman"/>
          <w:sz w:val="28"/>
          <w:szCs w:val="28"/>
        </w:rPr>
        <w:t xml:space="preserve">tohto </w:t>
      </w:r>
    </w:p>
    <w:p w:rsidR="002C73CC" w:rsidRPr="00272DBB" w:rsidP="002C7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272DBB">
        <w:rPr>
          <w:rFonts w:ascii="Times New Roman" w:hAnsi="Times New Roman" w:cs="Times New Roman"/>
          <w:sz w:val="28"/>
          <w:szCs w:val="28"/>
        </w:rPr>
        <w:t>onania</w:t>
      </w:r>
      <w:r>
        <w:rPr>
          <w:rFonts w:ascii="Times New Roman" w:hAnsi="Times New Roman" w:cs="Times New Roman"/>
          <w:sz w:val="28"/>
          <w:szCs w:val="28"/>
        </w:rPr>
        <w:t xml:space="preserve"> podľa osobitného predpisu.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t>14)</w:t>
      </w:r>
    </w:p>
    <w:p w:rsidR="002C73CC" w:rsidRPr="002C7898" w:rsidP="002C73CC">
      <w:pPr>
        <w:spacing w:before="100" w:beforeAutospacing="1" w:after="100" w:afterAutospacing="1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12</w:t>
      </w:r>
    </w:p>
    <w:p w:rsidR="003F7D78" w:rsidP="002C73CC">
      <w:pPr>
        <w:rPr>
          <w:rFonts w:ascii="Times New Roman" w:hAnsi="Times New Roman" w:cs="Times New Roman"/>
        </w:rPr>
      </w:pPr>
      <w:r w:rsidRPr="00765288" w:rsidR="002C73CC">
        <w:rPr>
          <w:rFonts w:ascii="Times New Roman" w:hAnsi="Times New Roman" w:cs="Times New Roman"/>
          <w:sz w:val="28"/>
          <w:szCs w:val="28"/>
        </w:rPr>
        <w:t>Tento zákon nadobúda účinnosť 1. januára 2011.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3CC" w:rsidP="00275C0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C73CC" w:rsidP="002C73CC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3CC" w:rsidP="00275C02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C73CC" w:rsidP="002C73CC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87C87"/>
    <w:multiLevelType w:val="hybridMultilevel"/>
    <w:tmpl w:val="1C66CAC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916A9C"/>
    <w:multiLevelType w:val="hybridMultilevel"/>
    <w:tmpl w:val="3F9EEF7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485D9D"/>
    <w:multiLevelType w:val="hybridMultilevel"/>
    <w:tmpl w:val="326A750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CC0ACC"/>
    <w:multiLevelType w:val="hybridMultilevel"/>
    <w:tmpl w:val="591C22E4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2DBB"/>
    <w:rsid w:val="00275C02"/>
    <w:rsid w:val="002C73CC"/>
    <w:rsid w:val="002C7898"/>
    <w:rsid w:val="002F6B84"/>
    <w:rsid w:val="003F7D78"/>
    <w:rsid w:val="004D497F"/>
    <w:rsid w:val="00765288"/>
    <w:rsid w:val="008102B5"/>
    <w:rsid w:val="009B39BF"/>
    <w:rsid w:val="009F3E82"/>
    <w:rsid w:val="00A6409D"/>
    <w:rsid w:val="00A93212"/>
    <w:rsid w:val="00B4394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73C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2C73CC"/>
    <w:pPr>
      <w:keepNext/>
      <w:spacing w:after="80"/>
      <w:jc w:val="center"/>
      <w:outlineLvl w:val="2"/>
    </w:pPr>
    <w:rPr>
      <w:rFonts w:ascii="Bookman Old Style" w:hAnsi="Bookman Old Style"/>
      <w:b/>
      <w:szCs w:val="20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sid w:val="002C73CC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C73CC"/>
    <w:rPr>
      <w:vertAlign w:val="superscript"/>
    </w:rPr>
  </w:style>
  <w:style w:type="paragraph" w:styleId="Footer">
    <w:name w:val="footer"/>
    <w:basedOn w:val="Normal"/>
    <w:rsid w:val="002C73C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2C73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1427</Words>
  <Characters>8137</Characters>
  <Application>Microsoft Office Word</Application>
  <DocSecurity>0</DocSecurity>
  <Lines>0</Lines>
  <Paragraphs>0</Paragraphs>
  <ScaleCrop>false</ScaleCrop>
  <Company>UVSR</Company>
  <LinksUpToDate>false</LinksUpToDate>
  <CharactersWithSpaces>9545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kanka</dc:creator>
  <cp:lastModifiedBy>kanka</cp:lastModifiedBy>
  <cp:revision>1</cp:revision>
  <dcterms:created xsi:type="dcterms:W3CDTF">2010-01-14T10:33:00Z</dcterms:created>
  <dcterms:modified xsi:type="dcterms:W3CDTF">2010-01-14T10:35:00Z</dcterms:modified>
</cp:coreProperties>
</file>