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0433" w:rsidRPr="000A0433" w:rsidP="000A0433">
      <w:pPr>
        <w:rPr>
          <w:rFonts w:ascii="Arial" w:hAnsi="Arial" w:cs="Arial"/>
          <w:b/>
        </w:rPr>
      </w:pPr>
    </w:p>
    <w:p w:rsidR="000A0433" w:rsidRPr="000A0433" w:rsidP="007A2A71">
      <w:pPr>
        <w:jc w:val="center"/>
        <w:rPr>
          <w:rFonts w:ascii="Arial" w:hAnsi="Arial" w:cs="Arial"/>
          <w:b/>
        </w:rPr>
      </w:pPr>
    </w:p>
    <w:p w:rsidR="007A2A71" w:rsidRPr="000A0433" w:rsidP="007A2A71">
      <w:pPr>
        <w:jc w:val="center"/>
        <w:rPr>
          <w:rFonts w:ascii="Arial" w:hAnsi="Arial" w:cs="Arial"/>
          <w:b/>
        </w:rPr>
      </w:pPr>
      <w:r w:rsidRPr="000A0433">
        <w:rPr>
          <w:rFonts w:ascii="Arial" w:hAnsi="Arial" w:cs="Arial"/>
          <w:b/>
        </w:rPr>
        <w:t>NÁRODNÁ RADA SLOVENSKEJ REPUBLIKY</w:t>
      </w:r>
    </w:p>
    <w:p w:rsidR="007A2A71" w:rsidRPr="000A0433" w:rsidP="007A2A71">
      <w:pPr>
        <w:jc w:val="center"/>
        <w:rPr>
          <w:rFonts w:ascii="Arial" w:hAnsi="Arial" w:cs="Arial"/>
          <w:b/>
        </w:rPr>
      </w:pPr>
      <w:r w:rsidRPr="000A0433">
        <w:rPr>
          <w:rFonts w:ascii="Arial" w:hAnsi="Arial" w:cs="Arial"/>
          <w:b/>
        </w:rPr>
        <w:t>IV. volebné odbobie</w:t>
      </w:r>
    </w:p>
    <w:p w:rsidR="007A2A71" w:rsidRPr="000A0433" w:rsidP="007A2A71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jc w:val="both"/>
        <w:rPr>
          <w:rFonts w:ascii="Arial" w:hAnsi="Arial" w:cs="Arial"/>
          <w:b/>
        </w:rPr>
      </w:pPr>
    </w:p>
    <w:p w:rsidR="007A2A71" w:rsidRPr="000A0433" w:rsidP="007A2A71">
      <w:pPr>
        <w:jc w:val="center"/>
        <w:rPr>
          <w:rFonts w:ascii="Arial" w:hAnsi="Arial" w:cs="Arial"/>
          <w:b/>
        </w:rPr>
      </w:pPr>
      <w:r w:rsidRPr="000A0433">
        <w:rPr>
          <w:rFonts w:ascii="Arial" w:hAnsi="Arial" w:cs="Arial"/>
          <w:b/>
        </w:rPr>
        <w:t>Návrh</w:t>
      </w:r>
    </w:p>
    <w:p w:rsidR="007A2A71" w:rsidRPr="000A0433" w:rsidP="007A2A71">
      <w:pPr>
        <w:jc w:val="center"/>
        <w:rPr>
          <w:rFonts w:ascii="Arial" w:hAnsi="Arial" w:cs="Arial"/>
          <w:b/>
        </w:rPr>
      </w:pPr>
      <w:r w:rsidRPr="000A0433">
        <w:rPr>
          <w:rFonts w:ascii="Arial" w:hAnsi="Arial" w:cs="Arial"/>
          <w:b/>
        </w:rPr>
        <w:t>zákona z .....</w:t>
      </w:r>
      <w:r w:rsidR="000A0433">
        <w:rPr>
          <w:rFonts w:ascii="Arial" w:hAnsi="Arial" w:cs="Arial"/>
          <w:b/>
        </w:rPr>
        <w:t xml:space="preserve">  </w:t>
      </w:r>
      <w:r w:rsidRPr="000A0433">
        <w:rPr>
          <w:rFonts w:ascii="Arial" w:hAnsi="Arial" w:cs="Arial"/>
          <w:b/>
        </w:rPr>
        <w:t>2010</w:t>
      </w:r>
    </w:p>
    <w:p w:rsidR="007A2A71" w:rsidRPr="000A0433" w:rsidP="007A2A71">
      <w:pPr>
        <w:jc w:val="center"/>
        <w:rPr>
          <w:rFonts w:ascii="Arial" w:hAnsi="Arial" w:cs="Arial"/>
          <w:b/>
        </w:rPr>
      </w:pPr>
    </w:p>
    <w:p w:rsidR="007A2A71" w:rsidRPr="000A0433" w:rsidP="007A2A71">
      <w:pPr>
        <w:jc w:val="center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</w:rPr>
      </w:pPr>
      <w:r w:rsidRPr="000A0433">
        <w:rPr>
          <w:rFonts w:ascii="Arial" w:hAnsi="Arial" w:cs="Arial"/>
        </w:rPr>
        <w:t>ktorým sa dopĺňa zákon č. 300/2005 Z.z. Trestný zákon v znení</w:t>
      </w:r>
    </w:p>
    <w:p w:rsidR="007A2A71" w:rsidRPr="000A0433" w:rsidP="007A2A71">
      <w:pPr>
        <w:jc w:val="center"/>
        <w:rPr>
          <w:rFonts w:ascii="Arial" w:hAnsi="Arial" w:cs="Arial"/>
        </w:rPr>
      </w:pPr>
      <w:r w:rsidRPr="000A0433">
        <w:rPr>
          <w:rFonts w:ascii="Arial" w:hAnsi="Arial" w:cs="Arial"/>
        </w:rPr>
        <w:t>neskorších predpisov.</w:t>
      </w:r>
    </w:p>
    <w:p w:rsidR="007A2A71" w:rsidRPr="000A0433" w:rsidP="007A2A71">
      <w:pPr>
        <w:jc w:val="center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</w:rPr>
      </w:pPr>
      <w:r w:rsidRPr="000A0433">
        <w:rPr>
          <w:rFonts w:ascii="Arial" w:hAnsi="Arial" w:cs="Arial"/>
        </w:rPr>
        <w:t>Národná rada Slovenskej republiky sa uzniesla na tomto zákone:</w:t>
      </w:r>
    </w:p>
    <w:p w:rsidR="007A2A71" w:rsidRPr="000A0433" w:rsidP="007A2A71">
      <w:pPr>
        <w:jc w:val="center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  <w:b/>
        </w:rPr>
      </w:pPr>
      <w:r w:rsidRPr="000A0433">
        <w:rPr>
          <w:rFonts w:ascii="Arial" w:hAnsi="Arial" w:cs="Arial"/>
          <w:b/>
        </w:rPr>
        <w:t>Čl. I</w:t>
      </w: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Zákon č. 300/2005 Z.z. Trtestný zákon v znení zákona č. 650/2005 Z.z., zákona č. 692/2006 Z.z., č. 218/2007 Z.z., zákona č. 491/2008 Z.z., zákona č. 497/2008 Z.z., zákona č. 498/2008 Z.z., zákona č. 59/2009 Z.z., zákona č. 257/2009 Z.z. sa mení sa dopĺňa takto: </w:t>
      </w: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jc w:val="both"/>
        <w:rPr>
          <w:rFonts w:ascii="Arial" w:hAnsi="Arial" w:cs="Arial"/>
          <w:lang w:val="sk-SK" w:eastAsia="cs-CZ"/>
        </w:rPr>
      </w:pP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1. V § 311 sa za slová „Slovenskej republike“ vkladajú slová  „podľa § 312“. </w:t>
      </w: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2. V § 311 sa vkladá § 311a, ktorý vrátane nadpisu znie: </w:t>
      </w: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</w:rPr>
      </w:pPr>
      <w:r w:rsidRPr="000A0433">
        <w:rPr>
          <w:rFonts w:ascii="Arial" w:hAnsi="Arial" w:cs="Arial"/>
        </w:rPr>
        <w:t>„Úklady proti Slovenskej republike</w:t>
      </w: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jc w:val="center"/>
        <w:rPr>
          <w:rFonts w:ascii="Arial" w:hAnsi="Arial" w:cs="Arial"/>
        </w:rPr>
      </w:pPr>
      <w:r w:rsidRPr="000A0433">
        <w:rPr>
          <w:rFonts w:ascii="Arial" w:hAnsi="Arial" w:cs="Arial"/>
        </w:rPr>
        <w:t>§ 311a</w:t>
      </w: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pStyle w:val="BodyTextIndent"/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r w:rsidRPr="000A0433">
        <w:rPr>
          <w:rFonts w:ascii="Arial" w:hAnsi="Arial" w:cs="Arial"/>
        </w:rPr>
        <w:t>Kto v úmysle dosiahnuť zmenu alebo narušenie ústavného zriadenia Slovenskej republiky alebo jej územnej celistvosti, obranyschopnosti, zvrchovanosti alebo jej dôležitých medzinárodných záujmov</w:t>
      </w:r>
    </w:p>
    <w:p w:rsidR="007A2A71" w:rsidRPr="000A0433" w:rsidP="007A2A71">
      <w:pPr>
        <w:numPr>
          <w:ilvl w:val="1"/>
          <w:numId w:val="1"/>
        </w:numPr>
        <w:tabs>
          <w:tab w:val="left" w:pos="1452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verejne popiera alebo verejne spochybňuje mierové zmluvy vyhlásené spôsobom ustanoveným zákonom a súvisiace zákony alebo dekréty o mierovom usporiadaní po prvej alebo po druhej svetovej vojne, vrátane na ich základe uznaných štátnych hraníc Slovenskej republiky a prijatých denacifikačných zákonov, dekrétov alebo iných dokumentov, </w:t>
      </w:r>
    </w:p>
    <w:p w:rsidR="007A2A71" w:rsidRPr="000A0433" w:rsidP="007A2A71">
      <w:pPr>
        <w:numPr>
          <w:ilvl w:val="1"/>
          <w:numId w:val="1"/>
        </w:numPr>
        <w:tabs>
          <w:tab w:val="left" w:pos="1452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propaguje alebo verejne ospravedlňuje historický štátny útvar, ktorý potláčal národné práva Slovákov, alebo </w:t>
      </w:r>
    </w:p>
    <w:p w:rsidR="007A2A71" w:rsidRPr="000A0433" w:rsidP="007A2A71">
      <w:pPr>
        <w:numPr>
          <w:ilvl w:val="1"/>
          <w:numId w:val="1"/>
        </w:numPr>
        <w:tabs>
          <w:tab w:val="left" w:pos="1452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vykonáva inú činnosť v uvedenom úmysle, </w:t>
      </w: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potrestá sa odňatím slobody na jeden rok až päť rokov. </w:t>
      </w: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 w:rsidP="007A2A71">
      <w:pPr>
        <w:pStyle w:val="BodyTextIndent2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2) </w:t>
        <w:tab/>
        <w:t>Odňatím slobody na tri roky až desať rokov sa potrestá, kto spácha čin uvedený v odseku 1</w:t>
      </w:r>
    </w:p>
    <w:p w:rsidR="007A2A71" w:rsidRPr="000A0433" w:rsidP="007A2A71">
      <w:pPr>
        <w:numPr>
          <w:ilvl w:val="0"/>
          <w:numId w:val="2"/>
        </w:numPr>
        <w:tabs>
          <w:tab w:val="left" w:pos="744"/>
          <w:tab w:val="left" w:pos="110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porušením dôležitej povinnosti vyplývajúcej z páchateľovho zamestnania, postavenia alebo funkcie alebo uloženému podľa zákona, </w:t>
      </w:r>
    </w:p>
    <w:p w:rsidR="007A2A71" w:rsidRPr="000A0433" w:rsidP="007A2A71">
      <w:pPr>
        <w:numPr>
          <w:ilvl w:val="0"/>
          <w:numId w:val="2"/>
        </w:numPr>
        <w:tabs>
          <w:tab w:val="left" w:pos="744"/>
          <w:tab w:val="left" w:pos="110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ako člen organizovanej skupiny, </w:t>
      </w:r>
    </w:p>
    <w:p w:rsidR="007A2A71" w:rsidRPr="000A0433" w:rsidP="007A2A71">
      <w:pPr>
        <w:numPr>
          <w:ilvl w:val="0"/>
          <w:numId w:val="2"/>
        </w:numPr>
        <w:tabs>
          <w:tab w:val="left" w:pos="744"/>
          <w:tab w:val="left" w:pos="110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za krízovej situácie, alebo </w:t>
      </w:r>
    </w:p>
    <w:p w:rsidR="007A2A71" w:rsidRPr="000A0433" w:rsidP="007A2A71">
      <w:pPr>
        <w:numPr>
          <w:ilvl w:val="0"/>
          <w:numId w:val="2"/>
        </w:numPr>
        <w:tabs>
          <w:tab w:val="left" w:pos="744"/>
          <w:tab w:val="left" w:pos="110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>v spojení s cudzou mocou alebo cudzím činiteľom.“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>3. Nadpis v § 312 sa vypúšťa.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center"/>
        <w:rPr>
          <w:rFonts w:ascii="Arial" w:hAnsi="Arial" w:cs="Arial"/>
          <w:b/>
        </w:rPr>
      </w:pPr>
      <w:r w:rsidRPr="000A0433">
        <w:rPr>
          <w:rFonts w:ascii="Arial" w:hAnsi="Arial" w:cs="Arial"/>
          <w:b/>
        </w:rPr>
        <w:t>Čl. II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center"/>
        <w:rPr>
          <w:rFonts w:ascii="Arial" w:hAnsi="Arial" w:cs="Arial"/>
        </w:rPr>
      </w:pPr>
      <w:r w:rsidRPr="000A0433">
        <w:rPr>
          <w:rFonts w:ascii="Arial" w:hAnsi="Arial" w:cs="Arial"/>
        </w:rPr>
        <w:t>Tento zákon nadobúda účinnosť 1. mája 2010.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center"/>
        <w:rPr>
          <w:rFonts w:ascii="Arial" w:hAnsi="Arial" w:cs="Arial"/>
          <w:b/>
        </w:rPr>
      </w:pPr>
      <w:r w:rsidRPr="000A0433">
        <w:rPr>
          <w:rFonts w:ascii="Arial" w:hAnsi="Arial" w:cs="Arial"/>
          <w:b/>
        </w:rPr>
        <w:t>Dôvodová správa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  <w:u w:val="single"/>
        </w:rPr>
      </w:pPr>
      <w:r w:rsidRPr="000A0433">
        <w:rPr>
          <w:rFonts w:ascii="Arial" w:hAnsi="Arial" w:cs="Arial"/>
          <w:u w:val="single"/>
        </w:rPr>
        <w:t>Všeobecná časť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Udalosti po vzniku samostatného a zvrchovaného štátu – Slovenskej republiky, vstupu Maďarskej republiky a Slovenskej republiky do NATO a Európskej únie neviedli ku kvalitatívnej vyššej úrovni bilaterálnych vzťahov medzi Maďarskou republikou  a  Slovenskou republikou, ale neočakávane majú práve opačný efekt. Vývoj v posledných rokoch jasne ukazuje, že maďarská rozpínavosť a iredentizmus má svoje hlboké korene, sú exaktne a systematicky živené a koncentrované na mladú generáciu. V uvedenom druhu realizované aktivity sú podporované väčšinou maďarských politických strán a ich predstaviteľmi, maďarskou emigráciou, aktívnymi politikmi a čiatočne aj vládnymi činiteľmi Maďarskej republiky. Radikalizácia extrémizmu v Maďarsku, jeho vývoz do sudených štátov v podobe návodov, filozofie, ideológie, ale aj prostredníctvom politických strán, rôznych združení a spolkov, všade tam, kde žije maďarská národnostná menšina, systematické provokácie už paramilitantných a uniformovaných gárd nielen symbolmi uznávajúcimi veľkomaďarské idey a sentimenty, ale konkrétnymi aktivitami sú reálnymi hrozbami nielen pre štáty bezprostredne hraničiace s Maďarskou republikou, ale – ako naša historická pamäť a skúsenosti ukazujú – aj pre bezpečnosť a slobodu v celej Európe.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>Podporovanie územných požiadaviek či územných autonómií, najmä národnou televíziou vysiel</w:t>
      </w:r>
      <w:r w:rsidRPr="000A0433" w:rsidR="001C0970">
        <w:rPr>
          <w:rFonts w:ascii="Arial" w:hAnsi="Arial" w:cs="Arial"/>
        </w:rPr>
        <w:t>ajúcou pre „Karpatskú kotlinu“, t.j. pre bývalé „</w:t>
      </w:r>
      <w:r w:rsidRPr="000A0433">
        <w:rPr>
          <w:rFonts w:ascii="Arial" w:hAnsi="Arial" w:cs="Arial"/>
        </w:rPr>
        <w:t>Veľké Maďarsko“ vyvoláva nielen vojnu ideí, ale aj reálnu hrozb</w:t>
      </w:r>
      <w:r w:rsidRPr="000A0433" w:rsidR="001C0970">
        <w:rPr>
          <w:rFonts w:ascii="Arial" w:hAnsi="Arial" w:cs="Arial"/>
        </w:rPr>
        <w:t>u možných násilných konfliktov a vnútorný rozvrat demokratických štátov v strednej Európe, vrátane Slovenska.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Navrhovatelia cítia povinnosť reagovať na tieto hrozby a iniciatívy, verejne podporované aj niektorými politikmi, občanmi SR maďarskej národnosti. Slovenský národ reprezentovaný svojim zvrchovaným štátom má neodňateľnú zodpovednosť za zachovanie výsledkov svojho emancipačného úsilia a svojej štátnosti i pre budúcnosť. Je to zodpovednosť predovšetkým poslancov, vlády a prezidenta republiky. A je našou povinnosťou k tejto zodpovednosti sa aj verejne hlásiť. Aby sme raz nestálil pred súdom histórie, lebo sme poznali tieto hrozby a nebezpečenstvá, ale sme proti nim nezakročili.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1C0970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 w:rsidR="007A2A71">
        <w:rPr>
          <w:rFonts w:ascii="Arial" w:hAnsi="Arial" w:cs="Arial"/>
        </w:rPr>
        <w:tab/>
        <w:t>Vážnosť ohrozenia významných záujmov Slovenskej republiky objektívne vyvoláva potrebu doplniť normy upravujúce ústavné zriadenie S</w:t>
      </w:r>
      <w:r w:rsidRPr="000A0433">
        <w:rPr>
          <w:rFonts w:ascii="Arial" w:hAnsi="Arial" w:cs="Arial"/>
        </w:rPr>
        <w:t>lovenskej republiky</w:t>
      </w:r>
      <w:r w:rsidRPr="000A0433" w:rsidR="007A2A71">
        <w:rPr>
          <w:rFonts w:ascii="Arial" w:hAnsi="Arial" w:cs="Arial"/>
        </w:rPr>
        <w:t>, jej územnú celivosť, zvchovanosť, obranysc</w:t>
      </w:r>
      <w:r w:rsidRPr="000A0433">
        <w:rPr>
          <w:rFonts w:ascii="Arial" w:hAnsi="Arial" w:cs="Arial"/>
        </w:rPr>
        <w:t>hopnosť aj medzinárodné záujmy t</w:t>
      </w:r>
      <w:r w:rsidRPr="000A0433" w:rsidR="007A2A71">
        <w:rPr>
          <w:rFonts w:ascii="Arial" w:hAnsi="Arial" w:cs="Arial"/>
        </w:rPr>
        <w:t>restného práva v prvom diely siedmej hlavy druhej časti Trestného zákon</w:t>
      </w:r>
      <w:r w:rsidRPr="000A0433">
        <w:rPr>
          <w:rFonts w:ascii="Arial" w:hAnsi="Arial" w:cs="Arial"/>
        </w:rPr>
        <w:t>a</w:t>
      </w:r>
      <w:r w:rsidRPr="000A0433" w:rsidR="007A2A71">
        <w:rPr>
          <w:rFonts w:ascii="Arial" w:hAnsi="Arial" w:cs="Arial"/>
        </w:rPr>
        <w:t xml:space="preserve">, konkrétne ustanovenia o úkladoch proti Slovenskej republike. </w:t>
      </w:r>
    </w:p>
    <w:p w:rsidR="001C0970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>Navrhovaná úprava sa nedotkne nikoho, kto nebude konať v úmysle uvedenom v odseku prvom navrhovanej právnej úpravy. Neobmedzuje žiadne právo národnostných menšín, ani etník žujúcich na Slovensku a je v súlade aj s čl. 34 ods. 3 Ústavy Slovenskej republiky</w:t>
      </w:r>
      <w:r w:rsidRPr="000A0433" w:rsidR="001C0970">
        <w:rPr>
          <w:rFonts w:ascii="Arial" w:hAnsi="Arial" w:cs="Arial"/>
        </w:rPr>
        <w:t>, podľa ktorého „</w:t>
      </w:r>
      <w:r w:rsidRPr="000A0433">
        <w:rPr>
          <w:rFonts w:ascii="Arial" w:hAnsi="Arial" w:cs="Arial"/>
        </w:rPr>
        <w:t>výkon práv občanov patriacich k národnostným menšinám a etnickým skupinám zaručených v tejto ústave nesmie viesť k ohrozeniu zvrchovanosti a územnej celistvosti Slovenskej republiky a k diskriminá</w:t>
      </w:r>
      <w:r w:rsidR="000A0433">
        <w:rPr>
          <w:rFonts w:ascii="Arial" w:hAnsi="Arial" w:cs="Arial"/>
        </w:rPr>
        <w:t>cii jej ostatného obyvateľstva“</w:t>
      </w:r>
      <w:r w:rsidRPr="000A0433">
        <w:rPr>
          <w:rFonts w:ascii="Arial" w:hAnsi="Arial" w:cs="Arial"/>
        </w:rPr>
        <w:t xml:space="preserve">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1C0970" w:rsidRPr="000A0433" w:rsidP="007A2A71">
      <w:pPr>
        <w:tabs>
          <w:tab w:val="left" w:pos="744"/>
        </w:tabs>
        <w:jc w:val="both"/>
        <w:rPr>
          <w:rFonts w:ascii="Arial" w:hAnsi="Arial" w:cs="Arial"/>
          <w:b/>
          <w:u w:val="single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  <w:b/>
          <w:u w:val="single"/>
        </w:rPr>
      </w:pPr>
      <w:r w:rsidRPr="000A0433">
        <w:rPr>
          <w:rFonts w:ascii="Arial" w:hAnsi="Arial" w:cs="Arial"/>
          <w:b/>
          <w:u w:val="single"/>
        </w:rPr>
        <w:t>Osobitná časť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  <w:u w:val="single"/>
        </w:rPr>
      </w:pPr>
      <w:r w:rsidRPr="000A0433">
        <w:rPr>
          <w:rFonts w:ascii="Arial" w:hAnsi="Arial" w:cs="Arial"/>
          <w:u w:val="single"/>
        </w:rPr>
        <w:t xml:space="preserve">K bodu 1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>Úprava reaguje na vloženie § 311a vrátane na</w:t>
      </w:r>
      <w:r w:rsidRPr="000A0433" w:rsidR="001C0970">
        <w:rPr>
          <w:rFonts w:ascii="Arial" w:hAnsi="Arial" w:cs="Arial"/>
        </w:rPr>
        <w:t>dpisu za § 311, pričom nadpis „</w:t>
      </w:r>
      <w:r w:rsidRPr="000A0433">
        <w:rPr>
          <w:rFonts w:ascii="Arial" w:hAnsi="Arial" w:cs="Arial"/>
        </w:rPr>
        <w:t xml:space="preserve">Úklady proti Slovenskej republike“ pokrýva ako trestný čin podľa § 311a, </w:t>
      </w:r>
      <w:r w:rsidRPr="000A0433" w:rsidR="001C0970">
        <w:rPr>
          <w:rFonts w:ascii="Arial" w:hAnsi="Arial" w:cs="Arial"/>
        </w:rPr>
        <w:t>tak aj trestný čin podľa § 312 ustanovenie § 311 (trestný čin vlastizrady</w:t>
      </w:r>
      <w:r w:rsidRPr="000A0433">
        <w:rPr>
          <w:rFonts w:ascii="Arial" w:hAnsi="Arial" w:cs="Arial"/>
        </w:rPr>
        <w:t xml:space="preserve">) má však odkazovať len na návrhom nedotknuté ustanovenie § 312, nie na novozavádzanú skutkovú podstatu trestného činu Úkladov proti Slovenskej republike podľa § 311a.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  <w:u w:val="single"/>
        </w:rPr>
      </w:pPr>
      <w:r w:rsidRPr="000A0433">
        <w:rPr>
          <w:rFonts w:ascii="Arial" w:hAnsi="Arial" w:cs="Arial"/>
          <w:u w:val="single"/>
        </w:rPr>
        <w:t>K bodu 2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Navrhovaná úprava prináša do Trestného zákona nový trestný čin z dôvodov uvedených vo všeobecnej časti dôvodovej správy. Ide o postih nenásilných konaní proti hodnotám, záujmom a inštitúciám uvedeným v návetí odseku 1 a v tom spočíva nóvum oproti doterajším ustanoveniam § </w:t>
      </w:r>
      <w:smartTag w:uri="urn:schemas-microsoft-com:office:smarttags" w:element="metricconverter">
        <w:smartTagPr>
          <w:attr w:name="ProductID" w:val="311 a"/>
        </w:smartTagPr>
        <w:r w:rsidRPr="000A0433">
          <w:rPr>
            <w:rFonts w:ascii="Arial" w:hAnsi="Arial" w:cs="Arial"/>
          </w:rPr>
          <w:t>311 a</w:t>
        </w:r>
      </w:smartTag>
      <w:r w:rsidRPr="000A0433">
        <w:rPr>
          <w:rFonts w:ascii="Arial" w:hAnsi="Arial" w:cs="Arial"/>
        </w:rPr>
        <w:t xml:space="preserve"> § 312, pričom ide o miernejší trestný čin.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Pojem ústavné zriadenie podlieha pri jeho trestnoprávnej aplikácii legálnej definícii podľa § 134 ods. 1 Trestného zákona.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Pojmy samostatnosť, zvrchovanosť, územnú celistnosť a obranyschopnosť používa Trestný zákon v platnom a účinnom znení v §§ 312, 315 a 317, interpretovať ich je potrebné v kontexte s Ústavou Slovenskej republiky ( napr. čl. 3 ods. 1).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1C0970" w:rsidRPr="000A0433" w:rsidP="001C0970">
      <w:pPr>
        <w:tabs>
          <w:tab w:val="left" w:pos="744"/>
        </w:tabs>
        <w:jc w:val="both"/>
        <w:rPr>
          <w:rFonts w:ascii="Arial" w:hAnsi="Arial" w:cs="Arial"/>
        </w:rPr>
      </w:pPr>
      <w:r w:rsidRPr="000A0433" w:rsidR="007A2A71">
        <w:rPr>
          <w:rFonts w:ascii="Arial" w:hAnsi="Arial" w:cs="Arial"/>
        </w:rPr>
        <w:tab/>
        <w:t xml:space="preserve">V odseku 1 má tento trestný čin druhovú charakteristiku prečinu podľa § 10 ods. 1 písm. b) Trestného zákona, teda pri zohľadnení materiálneho korektívu </w:t>
      </w:r>
      <w:r w:rsidRPr="000A0433">
        <w:rPr>
          <w:rFonts w:ascii="Arial" w:hAnsi="Arial" w:cs="Arial"/>
        </w:rPr>
        <w:t xml:space="preserve">   </w:t>
      </w:r>
      <w:r w:rsidRPr="000A0433" w:rsidR="007A2A71">
        <w:rPr>
          <w:rFonts w:ascii="Arial" w:hAnsi="Arial" w:cs="Arial"/>
        </w:rPr>
        <w:t xml:space="preserve">podľa </w:t>
      </w:r>
    </w:p>
    <w:p w:rsidR="007A2A71" w:rsidRPr="000A0433" w:rsidP="001C0970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 xml:space="preserve">§ 10 ods. 2 nepôjde v prípade nepatrnej závažnosti konaní, popísaných v písmenách a) až c) odseku 1 o trestný čin.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>Z hľadiska objektívnej stránky skutkovej podstaty sú konania podľa odseku 1 písm. a) a b)</w:t>
      </w:r>
      <w:r w:rsidRPr="000A0433" w:rsidR="001C0970">
        <w:rPr>
          <w:rFonts w:ascii="Arial" w:hAnsi="Arial" w:cs="Arial"/>
        </w:rPr>
        <w:t xml:space="preserve"> popísané vyčerpávajúco, znak „</w:t>
      </w:r>
      <w:r w:rsidRPr="000A0433">
        <w:rPr>
          <w:rFonts w:ascii="Arial" w:hAnsi="Arial" w:cs="Arial"/>
        </w:rPr>
        <w:t xml:space="preserve">verejne“ je legálne definovaný v § 122 ods. 2 Trestného zákona. Právne akty subsumovateľné pod rozsah písmena a) v odseku 1 môžu byť súčasťou obsahu medzinárodného, ako aj vnútroštátneho práva. Konanie popísané v odseku 1 písm. c) je charakterizované ako všeobecný doplnok predchádzajúcich písmen, vždy však musí byť prítomný motív, definovaný v návetí a taktiež prvok protiprávnosti podľa požiadaviek § 8 ods. 1 a vo vzťahu k okolnosti, vylučujúcej protiprávnosť podľa § 28 Trestného zákona.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Z hľadiska subjektívnej stránky je potrebné úmyselné zavinenie podľa § 17 spojené s motívom, zadefinovaným v návetí odseku 1.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>Pri nastaní okolností podmieňujúcich použitie vyššej trestnej sadzby podľa odseku 2 pôjde o zločin podľa § 11 ods. 2, pričom vzhľadom na povahu konaní popísaných v odsekku 1 a okolností podľa § 311a ods. 2 bude prichá</w:t>
      </w:r>
      <w:r w:rsidRPr="000A0433" w:rsidR="001C0970">
        <w:rPr>
          <w:rFonts w:ascii="Arial" w:hAnsi="Arial" w:cs="Arial"/>
        </w:rPr>
        <w:t>dzať nedbanlivostné zavinenie (</w:t>
      </w:r>
      <w:r w:rsidRPr="000A0433">
        <w:rPr>
          <w:rFonts w:ascii="Arial" w:hAnsi="Arial" w:cs="Arial"/>
        </w:rPr>
        <w:t xml:space="preserve">§ 16) z hľadiska použitia § 18 písm. b) Trestného zákona do úvahy len výnimočne ( pri písmenách a) a c)).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Okolnosťou podľa § 311a ods. 2 písm. a) je závažnejší spôsob konania podľa § 138 písm. h) Trestného zákona. </w:t>
      </w:r>
      <w:r w:rsidRPr="000A0433" w:rsidR="001C0970">
        <w:rPr>
          <w:rFonts w:ascii="Arial" w:hAnsi="Arial" w:cs="Arial"/>
        </w:rPr>
        <w:t xml:space="preserve"> </w:t>
      </w:r>
      <w:r w:rsidRPr="000A0433">
        <w:rPr>
          <w:rFonts w:ascii="Arial" w:hAnsi="Arial" w:cs="Arial"/>
        </w:rPr>
        <w:t xml:space="preserve">Okolnosť podľa § 311a ods. 2 písm. b) sa viaže na legálnu definíciu § 129 ods. 2 Trestného zákona.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Okolnosť podľa § 311 ods. 2 písm. c) je všeobecným pojmom podľa § 134 ods. 2 Trestného zákona.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Okolnosti podľa § 311a ods. 2 písm. d) sú všeobecnými pojmami podľa § 133 ods. 1 a 2 trestného zákona. 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  <w:u w:val="single"/>
        </w:rPr>
      </w:pPr>
      <w:r w:rsidRPr="000A0433">
        <w:rPr>
          <w:rFonts w:ascii="Arial" w:hAnsi="Arial" w:cs="Arial"/>
          <w:u w:val="single"/>
        </w:rPr>
        <w:t>K bodu 3</w:t>
      </w: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P="007A2A71">
      <w:pPr>
        <w:tabs>
          <w:tab w:val="left" w:pos="744"/>
        </w:tabs>
        <w:jc w:val="both"/>
        <w:rPr>
          <w:rFonts w:ascii="Arial" w:hAnsi="Arial" w:cs="Arial"/>
        </w:rPr>
      </w:pPr>
      <w:r w:rsidRPr="000A0433">
        <w:rPr>
          <w:rFonts w:ascii="Arial" w:hAnsi="Arial" w:cs="Arial"/>
        </w:rPr>
        <w:tab/>
        <w:t xml:space="preserve">Vypustenie nadpisu v § 312 je dôsledkom vloženia nadpisu v tom istom znení nad § 311a ( bod 2). Tento nadpis pokrýva aj § 312. </w:t>
      </w: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B15847" w:rsidRPr="009B0EA4" w:rsidP="00B15847">
      <w:pPr>
        <w:pStyle w:val="Heading8"/>
        <w:keepNext/>
        <w:rPr>
          <w:rFonts w:ascii="Arial" w:hAnsi="Arial" w:cs="Arial"/>
          <w:b/>
          <w:bCs/>
          <w:i w:val="0"/>
        </w:rPr>
      </w:pPr>
      <w:r w:rsidRPr="009B0EA4">
        <w:rPr>
          <w:rFonts w:ascii="Arial" w:hAnsi="Arial" w:cs="Arial"/>
          <w:b/>
          <w:bCs/>
          <w:i w:val="0"/>
        </w:rPr>
        <w:t>Zhodnotenie</w:t>
      </w:r>
      <w:r w:rsidRPr="009B0EA4">
        <w:rPr>
          <w:rFonts w:ascii="Arial" w:hAnsi="Arial" w:cs="Arial"/>
          <w:b/>
          <w:bCs/>
          <w:i w:val="0"/>
          <w:lang w:val="sk-SK"/>
        </w:rPr>
        <w:t xml:space="preserve"> </w:t>
      </w:r>
      <w:r w:rsidRPr="009B0EA4">
        <w:rPr>
          <w:rFonts w:ascii="Arial" w:hAnsi="Arial" w:cs="Arial"/>
          <w:b/>
          <w:bCs/>
          <w:i w:val="0"/>
        </w:rPr>
        <w:t>finančných, ekonomických, environmentálnych vplyvov a vplyvov na zamestnanosť</w:t>
      </w:r>
    </w:p>
    <w:p w:rsidR="00B15847" w:rsidP="00B15847">
      <w:pPr>
        <w:jc w:val="both"/>
        <w:rPr>
          <w:rFonts w:ascii="Arial" w:hAnsi="Arial" w:cs="Arial"/>
        </w:rPr>
      </w:pPr>
      <w:r w:rsidRPr="009B0EA4">
        <w:rPr>
          <w:rFonts w:ascii="Arial" w:hAnsi="Arial" w:cs="Arial"/>
        </w:rPr>
        <w:tab/>
      </w:r>
    </w:p>
    <w:p w:rsidR="00B15847" w:rsidRPr="009B0EA4" w:rsidP="00B15847">
      <w:pPr>
        <w:jc w:val="both"/>
        <w:rPr>
          <w:rFonts w:ascii="Arial" w:hAnsi="Arial" w:cs="Arial"/>
        </w:rPr>
      </w:pPr>
    </w:p>
    <w:p w:rsidR="00B15847" w:rsidRPr="009B0EA4" w:rsidP="00B15847">
      <w:pPr>
        <w:ind w:firstLine="708"/>
        <w:jc w:val="both"/>
        <w:rPr>
          <w:rFonts w:ascii="Arial" w:hAnsi="Arial" w:cs="Arial"/>
        </w:rPr>
      </w:pPr>
      <w:r w:rsidRPr="009B0EA4">
        <w:rPr>
          <w:rFonts w:ascii="Arial" w:hAnsi="Arial" w:cs="Arial"/>
        </w:rPr>
        <w:t>Navrhovaná úprava neprináša zvýšenie výdavkov štátneho rozpočtu, rozpočtov územnej samosprávy, ani iných rozpočtov. Nebude mať nijaký vplyv na zamestnanosť, podnikateľské prostredie, ani na životné prostredie.</w:t>
      </w:r>
    </w:p>
    <w:p w:rsidR="00B15847" w:rsidRPr="009B0EA4" w:rsidP="00B15847">
      <w:pPr>
        <w:jc w:val="both"/>
        <w:rPr>
          <w:rFonts w:ascii="Arial" w:hAnsi="Arial" w:cs="Arial"/>
        </w:rPr>
      </w:pPr>
    </w:p>
    <w:p w:rsidR="00B15847" w:rsidRPr="009B0EA4" w:rsidP="00B15847">
      <w:pPr>
        <w:jc w:val="both"/>
        <w:rPr>
          <w:rFonts w:ascii="Arial" w:hAnsi="Arial" w:cs="Arial"/>
        </w:rPr>
      </w:pPr>
    </w:p>
    <w:p w:rsidR="00B15847" w:rsidRPr="009B0EA4" w:rsidP="00B15847">
      <w:pPr>
        <w:jc w:val="both"/>
        <w:rPr>
          <w:rFonts w:ascii="Arial" w:hAnsi="Arial" w:cs="Arial"/>
        </w:rPr>
      </w:pPr>
    </w:p>
    <w:p w:rsidR="00B15847" w:rsidRPr="009B0EA4" w:rsidP="00B15847">
      <w:pPr>
        <w:jc w:val="both"/>
        <w:rPr>
          <w:rFonts w:ascii="Arial" w:hAnsi="Arial" w:cs="Arial"/>
          <w:b/>
        </w:rPr>
      </w:pPr>
    </w:p>
    <w:p w:rsidR="00B15847" w:rsidRPr="009B0EA4" w:rsidP="00B15847">
      <w:pPr>
        <w:jc w:val="both"/>
        <w:rPr>
          <w:rFonts w:ascii="Arial" w:hAnsi="Arial" w:cs="Arial"/>
          <w:b/>
        </w:rPr>
      </w:pPr>
    </w:p>
    <w:p w:rsidR="00B15847" w:rsidRPr="009B0EA4" w:rsidP="00B15847">
      <w:pPr>
        <w:pStyle w:val="Heading1"/>
        <w:jc w:val="left"/>
        <w:rPr>
          <w:rFonts w:cs="Arial"/>
          <w:bCs/>
          <w:szCs w:val="24"/>
        </w:rPr>
      </w:pPr>
      <w:r w:rsidRPr="009B0EA4">
        <w:rPr>
          <w:rFonts w:cs="Arial"/>
          <w:szCs w:val="24"/>
        </w:rPr>
        <w:t>Doložka zlučiteľnosti návrhu zákona s právom Európskych spoločenstiev a právom Európskej únie</w:t>
      </w:r>
    </w:p>
    <w:p w:rsidR="00B15847" w:rsidRPr="009B0EA4" w:rsidP="00B15847">
      <w:pPr>
        <w:jc w:val="center"/>
        <w:rPr>
          <w:rFonts w:ascii="Arial" w:hAnsi="Arial" w:cs="Arial"/>
          <w:b/>
          <w:bCs/>
        </w:rPr>
      </w:pPr>
    </w:p>
    <w:p w:rsidR="00B15847" w:rsidRPr="009B0EA4" w:rsidP="00B15847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 w:rsidRPr="009B0EA4">
        <w:rPr>
          <w:rFonts w:ascii="Arial" w:hAnsi="Arial" w:cs="Arial"/>
          <w:b/>
          <w:bCs/>
        </w:rPr>
        <w:t>1.</w:t>
        <w:tab/>
        <w:t xml:space="preserve">Predkladateľ návrhu zákona: </w:t>
      </w:r>
    </w:p>
    <w:p w:rsidR="00B15847" w:rsidRPr="009B0EA4" w:rsidP="00B15847">
      <w:pPr>
        <w:pStyle w:val="Heading1"/>
        <w:spacing w:after="120" w:line="360" w:lineRule="auto"/>
        <w:jc w:val="both"/>
        <w:rPr>
          <w:rFonts w:cs="Arial"/>
          <w:b w:val="0"/>
          <w:szCs w:val="24"/>
        </w:rPr>
      </w:pPr>
      <w:r w:rsidRPr="009B0EA4">
        <w:rPr>
          <w:rFonts w:cs="Arial"/>
          <w:szCs w:val="24"/>
        </w:rPr>
        <w:t xml:space="preserve">       </w:t>
      </w:r>
      <w:r w:rsidRPr="009B0EA4">
        <w:rPr>
          <w:rFonts w:cs="Arial"/>
          <w:b w:val="0"/>
          <w:szCs w:val="24"/>
        </w:rPr>
        <w:t>Poslan</w:t>
      </w:r>
      <w:r>
        <w:rPr>
          <w:rFonts w:cs="Arial"/>
          <w:b w:val="0"/>
          <w:szCs w:val="24"/>
        </w:rPr>
        <w:t>ci</w:t>
      </w:r>
      <w:r w:rsidRPr="009B0EA4">
        <w:rPr>
          <w:rFonts w:cs="Arial"/>
          <w:b w:val="0"/>
          <w:szCs w:val="24"/>
        </w:rPr>
        <w:t xml:space="preserve"> Národnej rady Slovenskej republiky   </w:t>
        <w:tab/>
      </w:r>
    </w:p>
    <w:p w:rsidR="00B15847" w:rsidRPr="009B0EA4" w:rsidP="00B15847">
      <w:pPr>
        <w:tabs>
          <w:tab w:val="left" w:pos="432"/>
        </w:tabs>
        <w:ind w:left="432" w:hanging="432"/>
        <w:jc w:val="both"/>
        <w:rPr>
          <w:rFonts w:ascii="Arial" w:hAnsi="Arial" w:cs="Arial"/>
        </w:rPr>
      </w:pPr>
      <w:r w:rsidRPr="009B0EA4">
        <w:rPr>
          <w:rFonts w:ascii="Arial" w:hAnsi="Arial" w:cs="Arial"/>
          <w:b/>
          <w:bCs/>
        </w:rPr>
        <w:t>2.</w:t>
        <w:tab/>
        <w:t>Názov návrhu zákona:</w:t>
      </w:r>
      <w:r w:rsidRPr="009B0EA4">
        <w:rPr>
          <w:rFonts w:ascii="Arial" w:hAnsi="Arial" w:cs="Arial"/>
        </w:rPr>
        <w:t xml:space="preserve"> </w:t>
      </w:r>
    </w:p>
    <w:p w:rsidR="00B15847" w:rsidP="00B158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9B0EA4">
        <w:rPr>
          <w:rFonts w:ascii="Arial" w:hAnsi="Arial" w:cs="Arial"/>
        </w:rPr>
        <w:t xml:space="preserve">Zákon Národnej rady Slovenskej republiky </w:t>
      </w:r>
      <w:r>
        <w:rPr>
          <w:rFonts w:ascii="Arial" w:hAnsi="Arial" w:cs="Arial"/>
        </w:rPr>
        <w:t>č. 300/2005 Z.z. Trestný zákon</w:t>
      </w:r>
      <w:r w:rsidRPr="00B15847">
        <w:rPr>
          <w:rFonts w:ascii="Arial" w:hAnsi="Arial" w:cs="Arial"/>
        </w:rPr>
        <w:t xml:space="preserve">v znení </w:t>
      </w:r>
    </w:p>
    <w:p w:rsidR="00B15847" w:rsidRPr="00B15847" w:rsidP="00B15847">
      <w:pPr>
        <w:ind w:firstLine="450"/>
        <w:jc w:val="both"/>
        <w:rPr>
          <w:rFonts w:ascii="Arial" w:hAnsi="Arial" w:cs="Arial"/>
        </w:rPr>
      </w:pPr>
      <w:r w:rsidRPr="00B15847">
        <w:rPr>
          <w:rFonts w:ascii="Arial" w:hAnsi="Arial" w:cs="Arial"/>
        </w:rPr>
        <w:t>neskorších predpisov</w:t>
      </w:r>
    </w:p>
    <w:p w:rsidR="00B15847" w:rsidRPr="00B15847" w:rsidP="00B15847">
      <w:pPr>
        <w:ind w:left="432"/>
        <w:jc w:val="both"/>
        <w:rPr>
          <w:rFonts w:ascii="Arial" w:hAnsi="Arial" w:cs="Arial"/>
        </w:rPr>
      </w:pPr>
    </w:p>
    <w:p w:rsidR="00B15847" w:rsidRPr="009B0EA4" w:rsidP="00B15847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bCs/>
        </w:rPr>
      </w:pPr>
      <w:r w:rsidRPr="009B0EA4">
        <w:rPr>
          <w:rFonts w:ascii="Arial" w:hAnsi="Arial" w:cs="Arial"/>
          <w:b/>
          <w:bCs/>
        </w:rPr>
        <w:t>3.</w:t>
        <w:tab/>
        <w:t>Problematika návrhu zákona</w:t>
      </w:r>
    </w:p>
    <w:p w:rsidR="00B15847" w:rsidRPr="009B0EA4" w:rsidP="00B15847">
      <w:pPr>
        <w:numPr>
          <w:ilvl w:val="0"/>
          <w:numId w:val="3"/>
        </w:numPr>
        <w:tabs>
          <w:tab w:val="left" w:pos="786"/>
        </w:tabs>
        <w:autoSpaceDE/>
        <w:autoSpaceDN/>
        <w:ind w:left="786" w:hanging="360"/>
        <w:jc w:val="both"/>
        <w:rPr>
          <w:rFonts w:ascii="Arial" w:hAnsi="Arial" w:cs="Arial"/>
        </w:rPr>
      </w:pPr>
      <w:r w:rsidRPr="009B0EA4">
        <w:rPr>
          <w:rFonts w:ascii="Arial" w:hAnsi="Arial" w:cs="Arial"/>
        </w:rPr>
        <w:t>nie je upravená v práve Európskych spoločenstiev,</w:t>
      </w:r>
    </w:p>
    <w:p w:rsidR="00B15847" w:rsidRPr="009B0EA4" w:rsidP="00B15847">
      <w:pPr>
        <w:numPr>
          <w:ilvl w:val="0"/>
          <w:numId w:val="3"/>
        </w:numPr>
        <w:tabs>
          <w:tab w:val="left" w:pos="786"/>
        </w:tabs>
        <w:autoSpaceDE/>
        <w:autoSpaceDN/>
        <w:ind w:left="786" w:hanging="360"/>
        <w:jc w:val="both"/>
        <w:rPr>
          <w:rFonts w:ascii="Arial" w:hAnsi="Arial" w:cs="Arial"/>
        </w:rPr>
      </w:pPr>
      <w:r w:rsidRPr="009B0EA4">
        <w:rPr>
          <w:rFonts w:ascii="Arial" w:hAnsi="Arial" w:cs="Arial"/>
        </w:rPr>
        <w:t xml:space="preserve">nie je upravená v práve Európskej únie, </w:t>
      </w:r>
    </w:p>
    <w:p w:rsidR="00B15847" w:rsidRPr="009B0EA4" w:rsidP="00B15847">
      <w:pPr>
        <w:numPr>
          <w:ilvl w:val="0"/>
          <w:numId w:val="3"/>
        </w:numPr>
        <w:tabs>
          <w:tab w:val="left" w:pos="786"/>
        </w:tabs>
        <w:autoSpaceDE/>
        <w:autoSpaceDN/>
        <w:ind w:left="786" w:hanging="360"/>
        <w:jc w:val="both"/>
        <w:rPr>
          <w:rFonts w:ascii="Arial" w:hAnsi="Arial" w:cs="Arial"/>
        </w:rPr>
      </w:pPr>
      <w:r w:rsidRPr="009B0EA4">
        <w:rPr>
          <w:rFonts w:ascii="Arial" w:hAnsi="Arial" w:cs="Arial"/>
        </w:rPr>
        <w:t>nie je obsiahnutá v judikatúre Súdneho dvora Európskych spoločenstiev alebo Súdu prvého stupňa Európskych spoločenstiev.</w:t>
      </w:r>
    </w:p>
    <w:p w:rsidR="00B15847" w:rsidRPr="009B0EA4" w:rsidP="00B15847">
      <w:pPr>
        <w:ind w:firstLine="426"/>
        <w:jc w:val="both"/>
        <w:rPr>
          <w:rFonts w:ascii="Arial" w:hAnsi="Arial" w:cs="Arial"/>
        </w:rPr>
      </w:pPr>
    </w:p>
    <w:p w:rsidR="00B15847" w:rsidP="00B15847">
      <w:pPr>
        <w:jc w:val="both"/>
        <w:rPr>
          <w:rFonts w:ascii="Arial" w:hAnsi="Arial" w:cs="Arial"/>
        </w:rPr>
      </w:pPr>
    </w:p>
    <w:p w:rsidR="00B15847" w:rsidRPr="009B0EA4" w:rsidP="00B15847">
      <w:pPr>
        <w:jc w:val="both"/>
        <w:rPr>
          <w:rFonts w:ascii="Arial" w:hAnsi="Arial" w:cs="Arial"/>
        </w:rPr>
      </w:pPr>
      <w:r w:rsidRPr="009B0EA4">
        <w:rPr>
          <w:rFonts w:ascii="Arial" w:hAnsi="Arial" w:cs="Arial"/>
        </w:rPr>
        <w:t>Problematika nie je upravená v práve Európskych spoločenstiev a Európskej únie.</w:t>
      </w:r>
    </w:p>
    <w:p w:rsidR="00B15847" w:rsidRPr="009B0EA4" w:rsidP="00B15847">
      <w:pPr>
        <w:ind w:left="426"/>
        <w:jc w:val="both"/>
        <w:rPr>
          <w:rFonts w:ascii="Arial" w:hAnsi="Arial" w:cs="Arial"/>
        </w:rPr>
      </w:pPr>
    </w:p>
    <w:p w:rsidR="00B15847" w:rsidRPr="009B0EA4" w:rsidP="00B15847">
      <w:pPr>
        <w:ind w:left="426"/>
        <w:jc w:val="both"/>
        <w:rPr>
          <w:rFonts w:ascii="Arial" w:hAnsi="Arial" w:cs="Arial"/>
        </w:rPr>
      </w:pPr>
    </w:p>
    <w:p w:rsidR="00B15847" w:rsidRPr="009B0EA4" w:rsidP="00B15847">
      <w:pPr>
        <w:ind w:left="426"/>
        <w:jc w:val="both"/>
        <w:rPr>
          <w:rFonts w:ascii="Arial" w:hAnsi="Arial" w:cs="Arial"/>
        </w:rPr>
      </w:pPr>
    </w:p>
    <w:p w:rsidR="00B15847" w:rsidRPr="009B0EA4" w:rsidP="00B15847">
      <w:pPr>
        <w:ind w:left="426"/>
        <w:jc w:val="both"/>
        <w:rPr>
          <w:rFonts w:ascii="Arial" w:hAnsi="Arial" w:cs="Arial"/>
        </w:rPr>
      </w:pPr>
    </w:p>
    <w:p w:rsidR="00B15847" w:rsidRPr="009B0EA4" w:rsidP="00B15847">
      <w:pPr>
        <w:jc w:val="both"/>
        <w:rPr>
          <w:rFonts w:ascii="Arial" w:hAnsi="Arial" w:cs="Arial"/>
        </w:rPr>
      </w:pPr>
    </w:p>
    <w:p w:rsidR="00B15847" w:rsidRPr="009B0EA4" w:rsidP="00B15847">
      <w:pPr>
        <w:pStyle w:val="BodyTextIndent3"/>
        <w:spacing w:after="0"/>
        <w:ind w:left="0"/>
        <w:rPr>
          <w:rFonts w:ascii="Arial" w:hAnsi="Arial" w:cs="Arial"/>
          <w:sz w:val="24"/>
          <w:szCs w:val="24"/>
        </w:rPr>
      </w:pPr>
    </w:p>
    <w:p w:rsidR="00B15847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tabs>
          <w:tab w:val="left" w:pos="744"/>
        </w:tabs>
        <w:jc w:val="both"/>
        <w:rPr>
          <w:rFonts w:ascii="Arial" w:hAnsi="Arial" w:cs="Arial"/>
        </w:rPr>
      </w:pPr>
    </w:p>
    <w:p w:rsidR="007A2A71" w:rsidRPr="000A0433" w:rsidP="007A2A71">
      <w:pPr>
        <w:jc w:val="both"/>
        <w:rPr>
          <w:rFonts w:ascii="Arial" w:hAnsi="Arial" w:cs="Arial"/>
        </w:rPr>
      </w:pPr>
    </w:p>
    <w:p w:rsidR="007A2A71" w:rsidRPr="000A0433">
      <w:pPr>
        <w:rPr>
          <w:rFonts w:ascii="Arial" w:hAnsi="Arial" w:cs="Arial"/>
        </w:rPr>
      </w:pPr>
    </w:p>
    <w:sectPr>
      <w:pgSz w:w="11906" w:h="16838"/>
      <w:pgMar w:top="1418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C2E2C"/>
    <w:multiLevelType w:val="hybridMultilevel"/>
    <w:tmpl w:val="9AD2EC20"/>
    <w:lvl w:ilvl="0">
      <w:start w:val="1"/>
      <w:numFmt w:val="lowerLetter"/>
      <w:lvlText w:val="%1)"/>
      <w:lvlJc w:val="left"/>
      <w:pPr>
        <w:tabs>
          <w:tab w:val="num" w:pos="1104"/>
        </w:tabs>
        <w:ind w:left="1104" w:hanging="360"/>
      </w:pPr>
    </w:lvl>
    <w:lvl w:ilvl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1">
    <w:nsid w:val="2FF04636"/>
    <w:multiLevelType w:val="singleLevel"/>
    <w:tmpl w:val="942CC480"/>
    <w:lvl w:ilvl="0">
      <w:start w:val="1"/>
      <w:numFmt w:val="lowerLetter"/>
      <w:lvlText w:val="%1)"/>
      <w:legacy w:legacy="1" w:legacySpace="0" w:legacyIndent="360"/>
      <w:lvlJc w:val="left"/>
      <w:pPr>
        <w:ind w:left="0"/>
      </w:pPr>
      <w:rPr>
        <w:rFonts w:ascii="Times New Roman" w:hAnsi="Times New Roman" w:cs="Times New Roman"/>
        <w:rtl w:val="0"/>
      </w:rPr>
    </w:lvl>
  </w:abstractNum>
  <w:abstractNum w:abstractNumId="2">
    <w:nsid w:val="41F50CFB"/>
    <w:multiLevelType w:val="hybridMultilevel"/>
    <w:tmpl w:val="1E5AC7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0433"/>
    <w:rsid w:val="001C0970"/>
    <w:rsid w:val="007A2A71"/>
    <w:rsid w:val="009B0EA4"/>
    <w:rsid w:val="00B15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A7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noProof/>
      <w:sz w:val="24"/>
      <w:szCs w:val="24"/>
      <w:rtl w:val="0"/>
      <w:lang w:bidi="ar-SA"/>
    </w:rPr>
  </w:style>
  <w:style w:type="paragraph" w:styleId="Heading1">
    <w:name w:val="heading 1"/>
    <w:basedOn w:val="Normal"/>
    <w:next w:val="Normal"/>
    <w:qFormat/>
    <w:rsid w:val="00B15847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8">
    <w:name w:val="heading 8"/>
    <w:basedOn w:val="Normal"/>
    <w:next w:val="Normal"/>
    <w:qFormat/>
    <w:rsid w:val="00B15847"/>
    <w:pPr>
      <w:spacing w:before="240" w:after="60"/>
      <w:jc w:val="left"/>
      <w:outlineLvl w:val="7"/>
    </w:pPr>
    <w:rPr>
      <w:i/>
      <w:iCs/>
      <w:lang w:val="ru-RU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7A2A71"/>
    <w:pPr>
      <w:ind w:left="708" w:hanging="708"/>
      <w:jc w:val="both"/>
    </w:pPr>
  </w:style>
  <w:style w:type="paragraph" w:styleId="BodyTextIndent2">
    <w:name w:val="Body Text Indent 2"/>
    <w:basedOn w:val="Normal"/>
    <w:rsid w:val="007A2A71"/>
    <w:pPr>
      <w:tabs>
        <w:tab w:val="left" w:pos="744"/>
      </w:tabs>
      <w:ind w:left="780" w:hanging="384"/>
      <w:jc w:val="both"/>
    </w:pPr>
  </w:style>
  <w:style w:type="paragraph" w:styleId="Title">
    <w:name w:val="Title"/>
    <w:basedOn w:val="Normal"/>
    <w:qFormat/>
    <w:rsid w:val="000A0433"/>
    <w:pPr>
      <w:autoSpaceDE/>
      <w:autoSpaceDN/>
      <w:jc w:val="center"/>
    </w:pPr>
    <w:rPr>
      <w:b/>
      <w:bCs/>
      <w:caps/>
    </w:rPr>
  </w:style>
  <w:style w:type="paragraph" w:styleId="BodyTextIndent3">
    <w:name w:val="Body Text Indent 3"/>
    <w:basedOn w:val="Normal"/>
    <w:rsid w:val="00B15847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6</Pages>
  <Words>1342</Words>
  <Characters>7654</Characters>
  <Application>Microsoft Office Word</Application>
  <DocSecurity>0</DocSecurity>
  <Lines>0</Lines>
  <Paragraphs>0</Paragraphs>
  <ScaleCrop>false</ScaleCrop>
  <Company>Kancelaria NR SR</Company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Rafael.Rafaj</dc:creator>
  <cp:lastModifiedBy>GaspJarm</cp:lastModifiedBy>
  <cp:revision>4</cp:revision>
  <dcterms:created xsi:type="dcterms:W3CDTF">2010-01-13T19:57:00Z</dcterms:created>
  <dcterms:modified xsi:type="dcterms:W3CDTF">2010-01-15T09:08:00Z</dcterms:modified>
</cp:coreProperties>
</file>