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3104" w:rsidRPr="000C09F7" w:rsidP="006C3104">
      <w:pPr>
        <w:rPr>
          <w:rFonts w:ascii="Times New Roman" w:hAnsi="Times New Roman"/>
          <w:sz w:val="26"/>
          <w:szCs w:val="26"/>
        </w:rPr>
      </w:pPr>
    </w:p>
    <w:p w:rsidR="006C3104" w:rsidP="006C3104">
      <w:pPr>
        <w:pStyle w:val="Title"/>
        <w:tabs>
          <w:tab w:val="left" w:pos="1200"/>
          <w:tab w:val="center" w:pos="4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6C3104" w:rsidRPr="00D94F2A" w:rsidP="006C3104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 volebné obdobie</w:t>
      </w:r>
    </w:p>
    <w:p w:rsidR="006C3104" w:rsidP="006C3104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</w:t>
      </w:r>
    </w:p>
    <w:p w:rsidR="006C3104" w:rsidP="006C3104">
      <w:pPr>
        <w:spacing w:line="360" w:lineRule="auto"/>
        <w:jc w:val="center"/>
        <w:rPr>
          <w:rFonts w:ascii="Times New Roman" w:hAnsi="Times New Roman"/>
          <w:b/>
          <w:bCs/>
        </w:rPr>
      </w:pPr>
      <w:r w:rsidR="000A2FA1"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>ákon</w:t>
      </w:r>
    </w:p>
    <w:p w:rsidR="00990E56" w:rsidP="00990E56">
      <w:pPr>
        <w:jc w:val="center"/>
        <w:rPr>
          <w:rFonts w:ascii="Times New Roman" w:hAnsi="Times New Roman"/>
          <w:b/>
          <w:bCs/>
        </w:rPr>
      </w:pPr>
    </w:p>
    <w:p w:rsidR="00990E56" w:rsidP="00990E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 ..................2010,</w:t>
      </w:r>
    </w:p>
    <w:p w:rsidR="00990E56" w:rsidP="00990E56">
      <w:pPr>
        <w:jc w:val="center"/>
        <w:rPr>
          <w:rFonts w:ascii="Times New Roman" w:hAnsi="Times New Roman"/>
          <w:b/>
          <w:bCs/>
        </w:rPr>
      </w:pPr>
    </w:p>
    <w:p w:rsidR="00990E56" w:rsidP="00990E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ktorým sa mení zákon č. 171/2005 Z. z. o hazardných hrách a o zmene niektorých zákonov v znení neskorších predpisov a ktorým  sa  mení zákon  Národnej rady Slovenskej republiky č. </w:t>
      </w:r>
      <w:r>
        <w:rPr>
          <w:rFonts w:ascii="Times New Roman" w:hAnsi="Times New Roman"/>
          <w:b/>
          <w:bCs/>
          <w:color w:val="231F20"/>
        </w:rPr>
        <w:t>145/1995 Z. z. o správnych poplatkoch</w:t>
      </w:r>
      <w:r>
        <w:rPr>
          <w:rFonts w:ascii="Times New Roman" w:hAnsi="Times New Roman"/>
          <w:b/>
          <w:bCs/>
        </w:rPr>
        <w:t xml:space="preserve"> v znení neskorších predpisov</w:t>
      </w:r>
    </w:p>
    <w:p w:rsidR="00990E56" w:rsidP="00990E56">
      <w:pPr>
        <w:pStyle w:val="Heading3"/>
        <w:spacing w:before="0"/>
        <w:jc w:val="center"/>
        <w:rPr>
          <w:b w:val="0"/>
          <w:bCs w:val="0"/>
        </w:rPr>
      </w:pPr>
    </w:p>
    <w:p w:rsidR="00990E56" w:rsidP="00990E56">
      <w:pPr>
        <w:pStyle w:val="BodyText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Národná rada Slovenskej republiky sa uzniesla na tomto zákone:</w:t>
      </w:r>
    </w:p>
    <w:p w:rsidR="000A2FA1" w:rsidP="00990E56">
      <w:pPr>
        <w:pStyle w:val="BodyText"/>
        <w:spacing w:after="0"/>
        <w:rPr>
          <w:rFonts w:ascii="Times New Roman" w:hAnsi="Times New Roman"/>
          <w:sz w:val="22"/>
          <w:szCs w:val="22"/>
        </w:rPr>
      </w:pPr>
    </w:p>
    <w:p w:rsidR="00990E56" w:rsidP="00990E56">
      <w:pPr>
        <w:pStyle w:val="BodyText"/>
        <w:spacing w:after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Čl. I</w:t>
      </w:r>
    </w:p>
    <w:p w:rsidR="00990E56" w:rsidP="00990E5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  <w:t>Zákon č. 171/2005 Z. z. o hazardných hrách a o zmene a doplnení niektorých zákonov v znení zákona č. 659/2007 Z. z., zákona č. 70/2008 Z. z. a zákona č. 478/2009 Z. z. sa mení takto:</w:t>
      </w:r>
    </w:p>
    <w:p w:rsidR="00990E56" w:rsidP="00990E56">
      <w:pPr>
        <w:jc w:val="both"/>
        <w:rPr>
          <w:rFonts w:ascii="Times New Roman" w:hAnsi="Times New Roman"/>
        </w:rPr>
      </w:pPr>
    </w:p>
    <w:p w:rsidR="00990E56" w:rsidP="00990E5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 § 2 sa vypúšťa písmeno r).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990E56" w:rsidP="00990E5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16 písm. b) sa vypúšťa tretí bod.</w:t>
      </w:r>
    </w:p>
    <w:p w:rsidR="00990E56" w:rsidP="00990E56">
      <w:pPr>
        <w:ind w:left="708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</w:rPr>
        <w:t>Doterajšie body 4 až 10 sa označujú ako body 3 až 9.</w:t>
      </w:r>
    </w:p>
    <w:p w:rsidR="00990E56" w:rsidP="00990E56">
      <w:pPr>
        <w:pStyle w:val="ListParagraph"/>
        <w:jc w:val="both"/>
        <w:rPr>
          <w:rFonts w:ascii="Times New Roman" w:hAnsi="Times New Roman"/>
          <w:lang w:val="sk-SK"/>
        </w:rPr>
      </w:pPr>
    </w:p>
    <w:p w:rsidR="00990E56" w:rsidP="00990E5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20 ods. 2 sa vypúšťa písmeno h).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990E56" w:rsidP="00990E5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21 odse</w:t>
      </w:r>
      <w:r>
        <w:rPr>
          <w:rFonts w:ascii="Times New Roman" w:hAnsi="Times New Roman"/>
        </w:rPr>
        <w:t>k 5 znie:</w:t>
      </w:r>
    </w:p>
    <w:p w:rsidR="00990E56" w:rsidP="00990E56">
      <w:pPr>
        <w:ind w:left="708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</w:rPr>
        <w:t xml:space="preserve">„(5) K žiadosti o udelenie licencie na prevádzkovanie hazardných hier v kasíne musí žiadateľ okrem dokladov a skutočností uvedených v § 20 ods. 4, </w:t>
      </w:r>
      <w:smartTag w:uri="urn:schemas-microsoft-com:office:smarttags" w:element="metricconverter">
        <w:smartTagPr>
          <w:attr w:name="ProductID" w:val="6 a"/>
        </w:smartTagPr>
        <w:r>
          <w:rPr>
            <w:rFonts w:ascii="Times New Roman" w:hAnsi="Times New Roman"/>
          </w:rPr>
          <w:t>6 a</w:t>
        </w:r>
      </w:smartTag>
      <w:r>
        <w:rPr>
          <w:rFonts w:ascii="Times New Roman" w:hAnsi="Times New Roman"/>
        </w:rPr>
        <w:t xml:space="preserve"> 10 priložiť alebo v nej uviesť aj</w:t>
      </w:r>
    </w:p>
    <w:p w:rsidR="00990E56" w:rsidP="00990E56">
      <w:pPr>
        <w:ind w:left="10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druh hazardných hier, ktoré budú prevádzkované v kasíne,</w:t>
      </w:r>
    </w:p>
    <w:p w:rsidR="00990E56" w:rsidP="00990E56">
      <w:pPr>
        <w:ind w:left="10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) herný plán hazardných hier prevádzkovaných v kasíne,</w:t>
      </w:r>
    </w:p>
    <w:p w:rsidR="00990E56" w:rsidP="00990E56">
      <w:pPr>
        <w:ind w:left="708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prevádzkový poriadok kasína,</w:t>
      </w:r>
    </w:p>
    <w:p w:rsidR="00990E56" w:rsidP="00990E56">
      <w:pPr>
        <w:ind w:left="708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počet a druh hracích stolov,</w:t>
      </w:r>
    </w:p>
    <w:p w:rsidR="00990E56" w:rsidP="00990E56">
      <w:pPr>
        <w:ind w:left="708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vzor hracích žetónov,</w:t>
      </w:r>
    </w:p>
    <w:p w:rsidR="00990E56" w:rsidP="00990E56">
      <w:pPr>
        <w:ind w:left="708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hernú menu,</w:t>
      </w:r>
    </w:p>
    <w:p w:rsidR="00990E56" w:rsidP="00990E56">
      <w:pPr>
        <w:ind w:left="708" w:firstLine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adresu kasína,</w:t>
      </w:r>
    </w:p>
    <w:p w:rsidR="00990E56" w:rsidP="00990E56">
      <w:pPr>
        <w:ind w:left="10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h) vyjadrenie obce k umiestneniu kasína,</w:t>
      </w:r>
    </w:p>
    <w:p w:rsidR="00990E56" w:rsidP="00990E56">
      <w:pPr>
        <w:ind w:left="10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i) projekt monitorovacej techniky na účel kontroly priebehu hazardnej hry a denného vyúčtovania stávkových hier v kasíne,</w:t>
      </w:r>
    </w:p>
    <w:p w:rsidR="00990E56" w:rsidP="00990E56">
      <w:pPr>
        <w:ind w:left="10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j) odborné životopisy fyzických osôb uvedených v odseku 6 s prehľadom ukončeného vzdelania a jazykových znalostí vrátane dokladov o ukončenom vzdelaní, prehľadu odbornej praxe a absolvovania odborných výcvikov a stáží,</w:t>
      </w:r>
    </w:p>
    <w:p w:rsidR="00990E56" w:rsidP="00990E56">
      <w:pPr>
        <w:ind w:left="10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k) počet výherných prístrojov, technických zariadení obsluhovaných priamo  hráčmi a videohier.”.</w:t>
      </w:r>
    </w:p>
    <w:p w:rsidR="00990E56" w:rsidP="00990E56">
      <w:pPr>
        <w:tabs>
          <w:tab w:val="left" w:pos="2280"/>
        </w:tabs>
        <w:ind w:left="360" w:hanging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</w:r>
    </w:p>
    <w:p w:rsidR="00990E56" w:rsidP="00990E5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 § 22 ods. 4 sa vypúšťa písmeno i).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písmeno j) sa označuje ako písmeno i).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990E56" w:rsidP="00990E5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27a sa vypúšťa.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990E56" w:rsidP="00990E5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36 ods. 3 sa vypúšťa písmeno g).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písmená h) až j) sa označujú ako písmená g) až i).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990E56" w:rsidP="00990E5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37 ods. 1 písm. i) sa bodkočiarka nahrádza čiarkou a vypúšťajú sa slová „ak ide o hazardné  hry v kasíne v rekreačnom komplexe </w:t>
      </w:r>
    </w:p>
    <w:p w:rsidR="00990E56" w:rsidP="00990E56">
      <w:pPr>
        <w:pStyle w:val="AONormal"/>
        <w:spacing w:line="240" w:lineRule="auto"/>
        <w:ind w:left="1440" w:hanging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1.  27 % z hernej istiny, z toho 24 % z hernej istiny do štátneho rozpočtu a 3 % z hernej istiny do rozpočtu obce, v ktorej sa nachádza kasíno v rekreačnom komplexe, a to z časti súhrnnej výšky hernej istiny, ktorá za všetky hazardné hry v kasíne v rekreačnom komplexe dosiahne najviac sumu 20 000 000 eur za kalendárny rok,</w:t>
      </w:r>
    </w:p>
    <w:p w:rsidR="00990E56" w:rsidP="00990E56">
      <w:pPr>
        <w:pStyle w:val="AONormal"/>
        <w:spacing w:line="240" w:lineRule="auto"/>
        <w:ind w:left="1440" w:hanging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2.   15 % z hernej istiny, z toho 12 % z hernej istiny do štátneho rozpočtu a 3 % z hernej istiny do rozpočtu obce, v ktorej sa nachádza kasíno v rekreačnom komplexe, a to zo zvyšnej časti súhrnnej výšky hernej istiny, ktorá za všetky hazardné hry v kasíne v rekreačnom komplexe prevyšuje sumu podľa prvého bodu a dosiahne sumu najviac 40 000 000 eur za kalendárny rok,</w:t>
      </w:r>
    </w:p>
    <w:p w:rsidR="00990E56" w:rsidP="00990E56">
      <w:pPr>
        <w:pStyle w:val="AONormal"/>
        <w:spacing w:line="240" w:lineRule="auto"/>
        <w:ind w:left="1440" w:hanging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3. </w:t>
        <w:tab/>
        <w:t>8 % z hernej istiny, z toho 6 % z hernej istiny do štátneho rozpočtu a 2 % z hernej istiny do rozpočtu obce, v ktorej sa nachádza kasíno v rekreačnom komplexe, a to zo zvyšnej časti súhrnnej výšky hernej istiny, ktorá za všetky hazardné hry v kasíne v rekreačnom komplexe prevyšuje sumu podľa prvého bodu a zároveň sumu podľa druhého bodu za kalendárny rok,“.</w:t>
      </w:r>
    </w:p>
    <w:p w:rsidR="00DA53D7" w:rsidP="00990E56">
      <w:pPr>
        <w:pStyle w:val="AONormal"/>
        <w:spacing w:line="240" w:lineRule="auto"/>
        <w:ind w:left="1440" w:hanging="360"/>
        <w:jc w:val="both"/>
        <w:rPr>
          <w:rFonts w:ascii="Times New Roman" w:hAnsi="Times New Roman" w:cs="Times New Roman"/>
          <w:lang w:val="sk-SK"/>
        </w:rPr>
      </w:pPr>
    </w:p>
    <w:p w:rsidR="00DA53D7" w:rsidP="00990E56">
      <w:pPr>
        <w:pStyle w:val="AONormal"/>
        <w:spacing w:line="240" w:lineRule="auto"/>
        <w:ind w:left="1440" w:hanging="360"/>
        <w:jc w:val="both"/>
        <w:rPr>
          <w:rFonts w:ascii="Times New Roman" w:hAnsi="Times New Roman" w:cs="Times New Roman"/>
          <w:lang w:val="sk-SK"/>
        </w:rPr>
      </w:pPr>
    </w:p>
    <w:p w:rsidR="00DA53D7" w:rsidP="00DA53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9. § 49 znie:</w:t>
      </w:r>
    </w:p>
    <w:p w:rsidR="00DA53D7" w:rsidP="00DA53D7">
      <w:pPr>
        <w:jc w:val="both"/>
        <w:rPr>
          <w:rFonts w:ascii="Times New Roman" w:hAnsi="Times New Roman"/>
        </w:rPr>
      </w:pPr>
    </w:p>
    <w:p w:rsidR="00DA53D7" w:rsidP="00DA53D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49</w:t>
      </w:r>
    </w:p>
    <w:p w:rsidR="00DA53D7" w:rsidP="00DA53D7">
      <w:pPr>
        <w:jc w:val="both"/>
        <w:rPr>
          <w:rFonts w:ascii="Times New Roman" w:hAnsi="Times New Roman"/>
        </w:rPr>
      </w:pPr>
    </w:p>
    <w:p w:rsidR="00DA53D7" w:rsidP="00DA53D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Výherný prístroj je možné prevádzkovať iba v herni.</w:t>
      </w:r>
    </w:p>
    <w:p w:rsidR="00DA53D7" w:rsidP="00DA53D7">
      <w:pPr>
        <w:ind w:left="360"/>
        <w:jc w:val="both"/>
        <w:rPr>
          <w:rFonts w:ascii="Times New Roman" w:hAnsi="Times New Roman"/>
        </w:rPr>
      </w:pPr>
    </w:p>
    <w:p w:rsidR="00DA53D7" w:rsidP="00DA53D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herni, v ktorej sa prevádzkujú výherné prístroje a nie je kasínom, je zakázané konzumovať alkoholické nápoje.“</w:t>
      </w:r>
    </w:p>
    <w:p w:rsidR="00DA53D7" w:rsidP="00DA53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DA53D7" w:rsidP="00DA53D7">
      <w:pPr>
        <w:ind w:left="840" w:hanging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(3) V jednej herni môže byť najviac sedemdesiat miest s výhernými  prístrojmi alebo      </w:t>
      </w:r>
      <w:r w:rsidRPr="00CA315F">
        <w:rPr>
          <w:rFonts w:ascii="Times New Roman" w:hAnsi="Times New Roman"/>
        </w:rPr>
        <w:t>technick</w:t>
      </w:r>
      <w:r>
        <w:rPr>
          <w:rFonts w:ascii="Times New Roman" w:hAnsi="Times New Roman"/>
        </w:rPr>
        <w:t>ými</w:t>
      </w:r>
      <w:r w:rsidRPr="00CA315F">
        <w:rPr>
          <w:rFonts w:ascii="Times New Roman" w:hAnsi="Times New Roman"/>
        </w:rPr>
        <w:t xml:space="preserve"> zariadenia</w:t>
      </w:r>
      <w:r>
        <w:rPr>
          <w:rFonts w:ascii="Times New Roman" w:hAnsi="Times New Roman"/>
        </w:rPr>
        <w:t xml:space="preserve">mi obsluhovanými </w:t>
      </w:r>
      <w:r w:rsidRPr="00CA315F">
        <w:rPr>
          <w:rFonts w:ascii="Times New Roman" w:hAnsi="Times New Roman"/>
        </w:rPr>
        <w:t>priamo hráčmi</w:t>
      </w:r>
      <w:r>
        <w:rPr>
          <w:rFonts w:ascii="Times New Roman" w:hAnsi="Times New Roman"/>
        </w:rPr>
        <w:t>.</w:t>
      </w:r>
    </w:p>
    <w:p w:rsidR="00DA53D7" w:rsidP="00DA53D7">
      <w:pPr>
        <w:ind w:left="840" w:hanging="840"/>
        <w:jc w:val="both"/>
        <w:rPr>
          <w:rFonts w:ascii="Times New Roman" w:hAnsi="Times New Roman"/>
        </w:rPr>
      </w:pPr>
    </w:p>
    <w:p w:rsidR="00DA53D7" w:rsidP="00DA53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§ 58c vrátane nadpisu  znie:</w:t>
      </w:r>
    </w:p>
    <w:p w:rsidR="00DA53D7" w:rsidP="00DA53D7">
      <w:pPr>
        <w:ind w:left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58c</w:t>
      </w:r>
    </w:p>
    <w:p w:rsidR="00DA53D7" w:rsidP="00DA53D7">
      <w:pPr>
        <w:ind w:left="360"/>
        <w:jc w:val="both"/>
        <w:rPr>
          <w:rFonts w:ascii="Times New Roman" w:hAnsi="Times New Roman"/>
        </w:rPr>
      </w:pPr>
    </w:p>
    <w:p w:rsidR="00DA53D7" w:rsidP="00DA53D7">
      <w:pPr>
        <w:ind w:left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Prechodné ustanovenia k úpravám účinným od .... 2010</w:t>
      </w:r>
    </w:p>
    <w:p w:rsidR="00DA53D7" w:rsidP="00DA53D7">
      <w:pPr>
        <w:ind w:left="360"/>
        <w:jc w:val="center"/>
        <w:rPr>
          <w:rFonts w:ascii="Times New Roman" w:hAnsi="Times New Roman"/>
        </w:rPr>
      </w:pPr>
    </w:p>
    <w:p w:rsidR="00DA53D7" w:rsidP="00DA53D7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umiestnenie výherného prístroja, na ktorý bola vydaná licencia do  dňa účinnosti tohto zákona, sa obmedzenia  §49 nevzťahujú. “</w:t>
      </w:r>
    </w:p>
    <w:p w:rsidR="00DA53D7" w:rsidP="00DA53D7">
      <w:pPr>
        <w:spacing w:line="300" w:lineRule="atLeast"/>
        <w:rPr>
          <w:rFonts w:ascii="Times New Roman" w:hAnsi="Times New Roman"/>
        </w:rPr>
      </w:pPr>
    </w:p>
    <w:p w:rsidR="00DA53D7" w:rsidP="00DA53D7">
      <w:pPr>
        <w:spacing w:line="300" w:lineRule="atLeast"/>
        <w:rPr>
          <w:rFonts w:ascii="Times New Roman" w:hAnsi="Times New Roman"/>
        </w:rPr>
      </w:pPr>
    </w:p>
    <w:p w:rsidR="00DA53D7" w:rsidP="00DA53D7">
      <w:pPr>
        <w:ind w:left="360"/>
        <w:jc w:val="both"/>
        <w:rPr>
          <w:rFonts w:ascii="Times New Roman" w:hAnsi="Times New Roman"/>
        </w:rPr>
      </w:pPr>
    </w:p>
    <w:p w:rsidR="00990E56" w:rsidP="00990E56">
      <w:pPr>
        <w:jc w:val="both"/>
        <w:rPr>
          <w:rFonts w:ascii="Times New Roman" w:hAnsi="Times New Roman"/>
        </w:rPr>
      </w:pPr>
    </w:p>
    <w:p w:rsidR="00DA53D7" w:rsidP="00990E56">
      <w:pPr>
        <w:jc w:val="both"/>
        <w:rPr>
          <w:rFonts w:ascii="Times New Roman" w:hAnsi="Times New Roman"/>
        </w:rPr>
      </w:pPr>
    </w:p>
    <w:p w:rsidR="00DA53D7" w:rsidP="00990E56">
      <w:pPr>
        <w:jc w:val="both"/>
        <w:rPr>
          <w:rFonts w:ascii="Times New Roman" w:hAnsi="Times New Roman"/>
        </w:rPr>
      </w:pPr>
    </w:p>
    <w:p w:rsidR="00990E56" w:rsidP="00990E56">
      <w:pPr>
        <w:jc w:val="both"/>
        <w:rPr>
          <w:rFonts w:ascii="Times New Roman" w:hAnsi="Times New Roman"/>
        </w:rPr>
      </w:pPr>
    </w:p>
    <w:p w:rsidR="00990E56" w:rsidP="00990E5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II</w:t>
      </w:r>
    </w:p>
    <w:p w:rsidR="00990E56" w:rsidP="00990E56">
      <w:pPr>
        <w:ind w:firstLine="708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>Zákon Národnej rady Slovenskej republiky č. 145/1995 Z. z. o správnych poplatkoch v 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zákona č. 473/2005 Z. z., 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45/2009 Z. z., zákona č. 188/2009 Z. z., zákona č. 191/2009 Z. z., zákona č. 292/2009 Z.z., zákona č. 304/2009 Z.z., zákona č. 305/2009 Z.z. a zákona č. 307/2009 Z.z. sa mení  takto:</w:t>
      </w:r>
    </w:p>
    <w:p w:rsidR="00990E56" w:rsidP="00990E56">
      <w:pPr>
        <w:jc w:val="both"/>
        <w:rPr>
          <w:rFonts w:ascii="Times New Roman" w:hAnsi="Times New Roman"/>
          <w:color w:val="231F20"/>
        </w:rPr>
      </w:pPr>
    </w:p>
    <w:p w:rsidR="00990E56" w:rsidP="00990E5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 sadzobníku správnych poplatkov v položke 140 písm. a) sa vypúšťa ôsmy bod.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body 9 až 11 sa označujú ako body 8 až 10.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990E56" w:rsidP="00990E5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sadzobníku správnych poplatkov v položke 140 písm. a) desiatom bode sa slovo „desiatom“ nahrádza slovom „deviatom“.</w:t>
      </w:r>
    </w:p>
    <w:p w:rsidR="00990E56" w:rsidP="00990E56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990E56" w:rsidP="00990E5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sadzobníku správnych poplatkov v položke 140 písm. c) druhom bode sa slovo „jedenástom“ nahrádza slovom „desiatom“.</w:t>
      </w:r>
    </w:p>
    <w:p w:rsidR="00990E56" w:rsidP="00990E56">
      <w:pPr>
        <w:ind w:left="360" w:hanging="360"/>
        <w:jc w:val="both"/>
        <w:rPr>
          <w:rFonts w:ascii="Times New Roman" w:hAnsi="Times New Roman"/>
          <w:sz w:val="22"/>
          <w:szCs w:val="22"/>
          <w:lang w:eastAsia="en-US"/>
        </w:rPr>
      </w:pPr>
    </w:p>
    <w:p w:rsidR="00990E56" w:rsidP="00990E56">
      <w:pPr>
        <w:ind w:left="360" w:hanging="360"/>
        <w:jc w:val="both"/>
        <w:rPr>
          <w:rFonts w:ascii="Times New Roman" w:hAnsi="Times New Roman"/>
        </w:rPr>
      </w:pPr>
    </w:p>
    <w:p w:rsidR="00990E56" w:rsidP="00990E5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  <w:r w:rsidR="00BB1FF4">
        <w:rPr>
          <w:rFonts w:ascii="Times New Roman" w:hAnsi="Times New Roman"/>
          <w:b/>
          <w:bCs/>
        </w:rPr>
        <w:t>II</w:t>
      </w:r>
    </w:p>
    <w:p w:rsidR="00990E56" w:rsidP="00990E56">
      <w:pPr>
        <w:jc w:val="both"/>
        <w:rPr>
          <w:rFonts w:ascii="Times New Roman" w:hAnsi="Times New Roman"/>
        </w:rPr>
      </w:pPr>
    </w:p>
    <w:p w:rsidR="00990E56" w:rsidP="00990E56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Tento zákon nadobúda účinnosť dňom vyhlásenia v Zbierke zákonov Slovenskej republiky.</w:t>
      </w:r>
    </w:p>
    <w:p w:rsidR="00E00F4C" w:rsidP="00B063D2">
      <w:pPr>
        <w:jc w:val="both"/>
        <w:rPr>
          <w:rFonts w:ascii="Times New Roman" w:hAnsi="Times New Roman"/>
        </w:rPr>
      </w:pPr>
    </w:p>
    <w:p w:rsidR="00E00F4C" w:rsidP="00B063D2">
      <w:pPr>
        <w:jc w:val="both"/>
        <w:rPr>
          <w:rFonts w:ascii="Times New Roman" w:hAnsi="Times New Roman"/>
        </w:rPr>
      </w:pPr>
    </w:p>
    <w:p w:rsidR="00E00F4C" w:rsidP="00B063D2">
      <w:pPr>
        <w:jc w:val="both"/>
        <w:rPr>
          <w:rFonts w:ascii="Times New Roman" w:hAnsi="Times New Roman"/>
        </w:rPr>
      </w:pPr>
    </w:p>
    <w:p w:rsidR="00E00F4C" w:rsidP="00B063D2">
      <w:pPr>
        <w:jc w:val="both"/>
        <w:rPr>
          <w:rFonts w:ascii="Times New Roman" w:hAnsi="Times New Roman"/>
        </w:rPr>
      </w:pPr>
    </w:p>
    <w:p w:rsidR="00E00F4C" w:rsidP="00B063D2">
      <w:pPr>
        <w:jc w:val="both"/>
        <w:rPr>
          <w:rFonts w:ascii="Times New Roman" w:hAnsi="Times New Roman"/>
        </w:rPr>
      </w:pPr>
      <w:r w:rsidR="00AD08D6">
        <w:rPr>
          <w:rFonts w:ascii="Times New Roman" w:hAnsi="Times New Roman"/>
        </w:rPr>
        <w:br w:type="page"/>
      </w:r>
    </w:p>
    <w:p w:rsidR="00E00F4C" w:rsidP="00E00F4C">
      <w:pPr>
        <w:pStyle w:val="BodyText"/>
        <w:spacing w:before="60" w:after="6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DÔVODOVÁ SPRÁVA</w:t>
      </w:r>
    </w:p>
    <w:p w:rsidR="00E00F4C" w:rsidP="00E00F4C">
      <w:pPr>
        <w:pStyle w:val="BodyText"/>
        <w:spacing w:before="60" w:after="60"/>
        <w:jc w:val="center"/>
        <w:rPr>
          <w:rFonts w:ascii="Times New Roman" w:hAnsi="Times New Roman"/>
          <w:b/>
          <w:bCs/>
        </w:rPr>
      </w:pPr>
    </w:p>
    <w:p w:rsidR="00E95761" w:rsidP="00E95761">
      <w:pPr>
        <w:pStyle w:val="BodyText"/>
        <w:spacing w:before="60" w:after="60"/>
        <w:jc w:val="center"/>
        <w:outlineLvl w:val="0"/>
        <w:rPr>
          <w:rFonts w:ascii="Times New Roman" w:hAnsi="Times New Roman"/>
          <w:b/>
          <w:bCs/>
        </w:rPr>
      </w:pPr>
      <w:r w:rsidR="00E00F4C">
        <w:rPr>
          <w:rFonts w:ascii="Times New Roman" w:hAnsi="Times New Roman"/>
          <w:b/>
          <w:bCs/>
        </w:rPr>
        <w:t>Všeobecná časť</w:t>
      </w:r>
    </w:p>
    <w:p w:rsidR="00E95761" w:rsidP="00E95761">
      <w:pPr>
        <w:pStyle w:val="BodyText"/>
        <w:spacing w:before="60" w:after="60"/>
        <w:jc w:val="center"/>
        <w:outlineLvl w:val="0"/>
        <w:rPr>
          <w:rFonts w:ascii="Times New Roman" w:hAnsi="Times New Roman"/>
          <w:b/>
          <w:bCs/>
        </w:rPr>
      </w:pPr>
    </w:p>
    <w:p w:rsidR="00E00F4C" w:rsidP="00E00F4C">
      <w:pPr>
        <w:pStyle w:val="BodyText"/>
        <w:spacing w:before="60" w:after="60"/>
        <w:ind w:firstLine="360"/>
        <w:jc w:val="both"/>
        <w:rPr>
          <w:rFonts w:ascii="Times New Roman" w:hAnsi="Times New Roman"/>
        </w:rPr>
      </w:pPr>
      <w:r w:rsidR="00E95761">
        <w:rPr>
          <w:rFonts w:ascii="Times New Roman" w:hAnsi="Times New Roman"/>
        </w:rPr>
        <w:t>Súčasný zákon  171/2005 zo 16. marca 2005 o hazardných hrách a o zmene a doplnení niektorých zákonov je účinný  od  1. 5. 2005. Výrazne liberalizoval  prostredie hazardu, čo malo dva následky. Odstránilo sa korupčné prostredie pri povoľovaní, ale zároveň rýchlo rástli počty výherných prístrojov a obraty v odvetví. Ministerstvo na tento vývoj nereagovalo. Do roku  2008 sa prijali 3 skôr technické novely (prechod na euro, boj proti terorizmu – pranie špinavých peňazí, technické úpravy k odvodovým povinnostiam).</w:t>
      </w:r>
    </w:p>
    <w:p w:rsidR="00E95761" w:rsidP="00E00F4C">
      <w:pPr>
        <w:pStyle w:val="BodyText"/>
        <w:spacing w:before="60" w:after="6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roku 2009 prišli 3 návrhy na úpravu. Jeden vládny a dva poslanecké. Poslanci sa snažili o elimináciu, resp. väčšiu kontrolu hazardu. Ministerstvo predložilo novelu zavádzajúcu nový druh hazardu – kartový poker a niekoľko viac-menej technických úprav pre udeľovanie licencie, odvody a kontrolu. Nenavrhlo žiadne obmedzenie rozsahu hazardu, hoci z hlasovaní a diskusií poslancov tak opozičných ako i koaličných taká požiadavka vyplývala. </w:t>
      </w:r>
      <w:r w:rsidR="008D4915">
        <w:rPr>
          <w:rFonts w:ascii="Times New Roman" w:hAnsi="Times New Roman"/>
        </w:rPr>
        <w:t>Treba podotknúť</w:t>
      </w:r>
      <w:r w:rsidRPr="009118B0" w:rsidR="008D4915">
        <w:rPr>
          <w:rFonts w:ascii="Times New Roman" w:hAnsi="Times New Roman"/>
        </w:rPr>
        <w:t xml:space="preserve">, že </w:t>
      </w:r>
      <w:r w:rsidRPr="009118B0" w:rsidR="00761B35">
        <w:rPr>
          <w:rFonts w:ascii="Times New Roman" w:hAnsi="Times New Roman"/>
        </w:rPr>
        <w:t>svojim návrhom ministerstvo</w:t>
      </w:r>
      <w:r w:rsidR="009118B0">
        <w:rPr>
          <w:rFonts w:ascii="Times New Roman" w:hAnsi="Times New Roman"/>
        </w:rPr>
        <w:t xml:space="preserve"> </w:t>
      </w:r>
      <w:r w:rsidRPr="009118B0" w:rsidR="008D4915">
        <w:rPr>
          <w:rFonts w:ascii="Times New Roman" w:hAnsi="Times New Roman"/>
        </w:rPr>
        <w:t xml:space="preserve">zásadne </w:t>
      </w:r>
      <w:r w:rsidRPr="009118B0">
        <w:rPr>
          <w:rFonts w:ascii="Times New Roman" w:hAnsi="Times New Roman"/>
        </w:rPr>
        <w:t>nezhorš</w:t>
      </w:r>
      <w:r w:rsidRPr="009118B0" w:rsidR="008D4915">
        <w:rPr>
          <w:rFonts w:ascii="Times New Roman" w:hAnsi="Times New Roman"/>
        </w:rPr>
        <w:t>oval</w:t>
      </w:r>
      <w:r w:rsidR="009118B0">
        <w:rPr>
          <w:rFonts w:ascii="Times New Roman" w:hAnsi="Times New Roman"/>
        </w:rPr>
        <w:t>o</w:t>
      </w:r>
      <w:r w:rsidRPr="009118B0" w:rsidR="008D4915">
        <w:rPr>
          <w:rFonts w:ascii="Times New Roman" w:hAnsi="Times New Roman"/>
        </w:rPr>
        <w:t xml:space="preserve"> existujúci stav</w:t>
      </w:r>
      <w:r w:rsidR="008D4915">
        <w:rPr>
          <w:rFonts w:ascii="Times New Roman" w:hAnsi="Times New Roman"/>
        </w:rPr>
        <w:t>. Na gestorskom výbore (pre menu, financie a </w:t>
      </w:r>
      <w:r w:rsidR="003B46ED">
        <w:rPr>
          <w:rFonts w:ascii="Times New Roman" w:hAnsi="Times New Roman"/>
        </w:rPr>
        <w:t>rozpočet</w:t>
      </w:r>
      <w:r w:rsidR="008D4915">
        <w:rPr>
          <w:rFonts w:ascii="Times New Roman" w:hAnsi="Times New Roman"/>
        </w:rPr>
        <w:t xml:space="preserve">) boli </w:t>
      </w:r>
      <w:r w:rsidRPr="009118B0" w:rsidR="00761B35">
        <w:rPr>
          <w:rFonts w:ascii="Times New Roman" w:hAnsi="Times New Roman"/>
        </w:rPr>
        <w:t>však</w:t>
      </w:r>
      <w:r w:rsidR="00761B35">
        <w:rPr>
          <w:rFonts w:ascii="Times New Roman" w:hAnsi="Times New Roman"/>
        </w:rPr>
        <w:t xml:space="preserve"> </w:t>
      </w:r>
      <w:r w:rsidR="003B46ED">
        <w:rPr>
          <w:rFonts w:ascii="Times New Roman" w:hAnsi="Times New Roman"/>
        </w:rPr>
        <w:t>poslaneckým návrhom</w:t>
      </w:r>
      <w:r w:rsidR="008D4915">
        <w:rPr>
          <w:rFonts w:ascii="Times New Roman" w:hAnsi="Times New Roman"/>
        </w:rPr>
        <w:t xml:space="preserve"> </w:t>
      </w:r>
      <w:r w:rsidR="009118B0">
        <w:rPr>
          <w:rFonts w:ascii="Times New Roman" w:hAnsi="Times New Roman"/>
        </w:rPr>
        <w:t xml:space="preserve">doplnené </w:t>
      </w:r>
      <w:r w:rsidR="008D4915">
        <w:rPr>
          <w:rFonts w:ascii="Times New Roman" w:hAnsi="Times New Roman"/>
        </w:rPr>
        <w:t>dve  ucelené časti</w:t>
      </w:r>
      <w:r w:rsidR="003B46ED">
        <w:rPr>
          <w:rFonts w:ascii="Times New Roman" w:hAnsi="Times New Roman"/>
        </w:rPr>
        <w:t>. Jed</w:t>
      </w:r>
      <w:r w:rsidR="008D4915">
        <w:rPr>
          <w:rFonts w:ascii="Times New Roman" w:hAnsi="Times New Roman"/>
        </w:rPr>
        <w:t>n</w:t>
      </w:r>
      <w:r w:rsidR="003B46ED">
        <w:rPr>
          <w:rFonts w:ascii="Times New Roman" w:hAnsi="Times New Roman"/>
        </w:rPr>
        <w:t>a</w:t>
      </w:r>
      <w:r w:rsidR="008D4915">
        <w:rPr>
          <w:rFonts w:ascii="Times New Roman" w:hAnsi="Times New Roman"/>
        </w:rPr>
        <w:t xml:space="preserve"> o charitatívnych lotériách a</w:t>
      </w:r>
      <w:r w:rsidR="003B46ED">
        <w:rPr>
          <w:rFonts w:ascii="Times New Roman" w:hAnsi="Times New Roman"/>
        </w:rPr>
        <w:t xml:space="preserve"> druhá</w:t>
      </w:r>
      <w:r w:rsidR="00761B35">
        <w:rPr>
          <w:rFonts w:ascii="Times New Roman" w:hAnsi="Times New Roman"/>
        </w:rPr>
        <w:t> o </w:t>
      </w:r>
      <w:r w:rsidR="009118B0">
        <w:rPr>
          <w:rFonts w:ascii="Times New Roman" w:hAnsi="Times New Roman"/>
        </w:rPr>
        <w:t>„</w:t>
      </w:r>
      <w:r w:rsidRPr="009118B0" w:rsidR="00761B35">
        <w:rPr>
          <w:rFonts w:ascii="Times New Roman" w:hAnsi="Times New Roman"/>
        </w:rPr>
        <w:t>kasíne</w:t>
      </w:r>
      <w:r w:rsidR="008D4915">
        <w:rPr>
          <w:rFonts w:ascii="Times New Roman" w:hAnsi="Times New Roman"/>
        </w:rPr>
        <w:t xml:space="preserve"> v rekreačnom komplexe</w:t>
      </w:r>
      <w:r w:rsidR="009118B0">
        <w:rPr>
          <w:rFonts w:ascii="Times New Roman" w:hAnsi="Times New Roman"/>
        </w:rPr>
        <w:t>“</w:t>
      </w:r>
      <w:r w:rsidR="008D4915">
        <w:rPr>
          <w:rFonts w:ascii="Times New Roman" w:hAnsi="Times New Roman"/>
        </w:rPr>
        <w:t>.</w:t>
      </w:r>
      <w:r w:rsidR="003B46ED">
        <w:rPr>
          <w:rFonts w:ascii="Times New Roman" w:hAnsi="Times New Roman"/>
        </w:rPr>
        <w:t xml:space="preserve"> Rozsah a spôsob spracovania napovedajú, že ide o návrh, ktorý tiež vypracovalo MF.</w:t>
      </w:r>
      <w:r w:rsidR="008D4915">
        <w:rPr>
          <w:rFonts w:ascii="Times New Roman" w:hAnsi="Times New Roman"/>
        </w:rPr>
        <w:t xml:space="preserve">  Táto časť je akoby „šitá“ na </w:t>
      </w:r>
      <w:r w:rsidR="003B46ED">
        <w:rPr>
          <w:rFonts w:ascii="Times New Roman" w:hAnsi="Times New Roman"/>
        </w:rPr>
        <w:t xml:space="preserve">ministrom Počiatkom </w:t>
      </w:r>
      <w:r w:rsidR="008D4915">
        <w:rPr>
          <w:rFonts w:ascii="Times New Roman" w:hAnsi="Times New Roman"/>
        </w:rPr>
        <w:t xml:space="preserve">predstavený projekt </w:t>
      </w:r>
      <w:r w:rsidR="003B46ED">
        <w:rPr>
          <w:rFonts w:ascii="Times New Roman" w:hAnsi="Times New Roman"/>
        </w:rPr>
        <w:t xml:space="preserve">kasína </w:t>
      </w:r>
      <w:r w:rsidR="008D4915">
        <w:rPr>
          <w:rFonts w:ascii="Times New Roman" w:hAnsi="Times New Roman"/>
        </w:rPr>
        <w:t>Metropolis</w:t>
      </w:r>
      <w:r w:rsidR="003B46ED">
        <w:rPr>
          <w:rFonts w:ascii="Times New Roman" w:hAnsi="Times New Roman"/>
        </w:rPr>
        <w:t>. P</w:t>
      </w:r>
      <w:r w:rsidR="008D4915">
        <w:rPr>
          <w:rFonts w:ascii="Times New Roman" w:hAnsi="Times New Roman"/>
        </w:rPr>
        <w:t>rináša takémuto proje</w:t>
      </w:r>
      <w:r w:rsidR="00761B35">
        <w:rPr>
          <w:rFonts w:ascii="Times New Roman" w:hAnsi="Times New Roman"/>
        </w:rPr>
        <w:t xml:space="preserve">ktu rôzne zvýhodnenia. </w:t>
      </w:r>
      <w:r w:rsidRPr="009118B0" w:rsidR="00761B35">
        <w:rPr>
          <w:rFonts w:ascii="Times New Roman" w:hAnsi="Times New Roman"/>
        </w:rPr>
        <w:t xml:space="preserve">Najväčším je zvýhodnenie </w:t>
      </w:r>
      <w:r w:rsidRPr="009118B0" w:rsidR="008D4915">
        <w:rPr>
          <w:rFonts w:ascii="Times New Roman" w:hAnsi="Times New Roman"/>
        </w:rPr>
        <w:t>v odvodovej oblasti</w:t>
      </w:r>
      <w:r w:rsidRPr="009118B0" w:rsidR="00761B35">
        <w:rPr>
          <w:rFonts w:ascii="Times New Roman" w:hAnsi="Times New Roman"/>
        </w:rPr>
        <w:t xml:space="preserve"> cez </w:t>
      </w:r>
      <w:r w:rsidRPr="009118B0" w:rsidR="008D4915">
        <w:rPr>
          <w:rFonts w:ascii="Times New Roman" w:hAnsi="Times New Roman"/>
        </w:rPr>
        <w:t>degresívny odvod - keď štandardných 27% sa platí len z prvých 20 mil. € hernej istiny, z ďalších 20 mil. sa odvádza 15% a nad 40 mil. už len 8%; odvody z celého hazardu  v týchto komplexoch pôjdu z hernej istiny a nie ako inde pri individuálnych hracích miestach z miesta</w:t>
      </w:r>
      <w:r w:rsidR="008D4915">
        <w:rPr>
          <w:rFonts w:ascii="Times New Roman" w:hAnsi="Times New Roman"/>
        </w:rPr>
        <w:t xml:space="preserve">; </w:t>
      </w:r>
      <w:r w:rsidR="00761B35">
        <w:rPr>
          <w:rFonts w:ascii="Times New Roman" w:hAnsi="Times New Roman"/>
        </w:rPr>
        <w:t xml:space="preserve">ďalším zvýhodnením je vydávanie </w:t>
      </w:r>
      <w:r w:rsidR="008D4915">
        <w:rPr>
          <w:rFonts w:ascii="Times New Roman" w:hAnsi="Times New Roman"/>
        </w:rPr>
        <w:t>licenci</w:t>
      </w:r>
      <w:r w:rsidR="00761B35">
        <w:rPr>
          <w:rFonts w:ascii="Times New Roman" w:hAnsi="Times New Roman"/>
        </w:rPr>
        <w:t>e</w:t>
      </w:r>
      <w:r w:rsidR="008D4915">
        <w:rPr>
          <w:rFonts w:ascii="Times New Roman" w:hAnsi="Times New Roman"/>
        </w:rPr>
        <w:t xml:space="preserve"> na trojnásobne dlhšiu dobu t.j. na </w:t>
      </w:r>
      <w:r w:rsidR="009118B0">
        <w:rPr>
          <w:rFonts w:ascii="Times New Roman" w:hAnsi="Times New Roman"/>
        </w:rPr>
        <w:t xml:space="preserve">30 rokov a to iba za 100 000€. Výhoda je </w:t>
      </w:r>
      <w:r w:rsidRPr="009118B0" w:rsidR="008D4915">
        <w:rPr>
          <w:rFonts w:ascii="Times New Roman" w:hAnsi="Times New Roman"/>
        </w:rPr>
        <w:t xml:space="preserve">aj v stanovení minimálneho počtu hracích automatov (na 500) a hracích stolov  – odbúrava </w:t>
      </w:r>
      <w:r w:rsidRPr="009118B0" w:rsidR="003B46ED">
        <w:rPr>
          <w:rFonts w:ascii="Times New Roman" w:hAnsi="Times New Roman"/>
        </w:rPr>
        <w:t xml:space="preserve"> sa </w:t>
      </w:r>
      <w:r w:rsidR="009118B0">
        <w:rPr>
          <w:rFonts w:ascii="Times New Roman" w:hAnsi="Times New Roman"/>
        </w:rPr>
        <w:t>tak</w:t>
      </w:r>
      <w:r w:rsidRPr="009118B0" w:rsidR="009118B0">
        <w:rPr>
          <w:rFonts w:ascii="Times New Roman" w:hAnsi="Times New Roman"/>
        </w:rPr>
        <w:t xml:space="preserve"> </w:t>
      </w:r>
      <w:r w:rsidRPr="009118B0" w:rsidR="003B46ED">
        <w:rPr>
          <w:rFonts w:ascii="Times New Roman" w:hAnsi="Times New Roman"/>
        </w:rPr>
        <w:t>konkurencia</w:t>
      </w:r>
      <w:r w:rsidRPr="009118B0" w:rsidR="008D4915">
        <w:rPr>
          <w:rFonts w:ascii="Times New Roman" w:hAnsi="Times New Roman"/>
        </w:rPr>
        <w:t>.</w:t>
      </w:r>
      <w:r w:rsidR="008D4915">
        <w:rPr>
          <w:rFonts w:ascii="Times New Roman" w:hAnsi="Times New Roman"/>
        </w:rPr>
        <w:t xml:space="preserve">  Schválením týchto zmien vo výbore sa </w:t>
      </w:r>
      <w:r w:rsidR="003B46ED">
        <w:rPr>
          <w:rFonts w:ascii="Times New Roman" w:hAnsi="Times New Roman"/>
        </w:rPr>
        <w:t>návrh dostal</w:t>
      </w:r>
      <w:r w:rsidR="008D4915">
        <w:rPr>
          <w:rFonts w:ascii="Times New Roman" w:hAnsi="Times New Roman"/>
        </w:rPr>
        <w:t xml:space="preserve"> do spoločnej správy a preto to v pléne nemuselo byť prednesené</w:t>
      </w:r>
      <w:r w:rsidRPr="009118B0" w:rsidR="003B46ED">
        <w:rPr>
          <w:rFonts w:ascii="Times New Roman" w:hAnsi="Times New Roman"/>
        </w:rPr>
        <w:t xml:space="preserve">. Spoločnú správu </w:t>
      </w:r>
      <w:r w:rsidRPr="009118B0" w:rsidR="00761B35">
        <w:rPr>
          <w:rFonts w:ascii="Times New Roman" w:hAnsi="Times New Roman"/>
        </w:rPr>
        <w:t>výbor</w:t>
      </w:r>
      <w:r w:rsidR="003B46ED">
        <w:rPr>
          <w:rFonts w:ascii="Times New Roman" w:hAnsi="Times New Roman"/>
        </w:rPr>
        <w:t xml:space="preserve"> schválil v poslednom možnom termíne. Takýmto postupom sa ministerstvo vyhlo riadnemu pripomienkovaciemu </w:t>
      </w:r>
      <w:r w:rsidRPr="009118B0" w:rsidR="003B46ED">
        <w:rPr>
          <w:rFonts w:ascii="Times New Roman" w:hAnsi="Times New Roman"/>
        </w:rPr>
        <w:t>konaniu aj</w:t>
      </w:r>
      <w:r w:rsidR="003B46ED">
        <w:rPr>
          <w:rFonts w:ascii="Times New Roman" w:hAnsi="Times New Roman"/>
        </w:rPr>
        <w:t xml:space="preserve"> verejnej diskusii. Je zrejmé, že </w:t>
      </w:r>
      <w:r w:rsidR="00761B35">
        <w:rPr>
          <w:rFonts w:ascii="Times New Roman" w:hAnsi="Times New Roman"/>
        </w:rPr>
        <w:t xml:space="preserve">k </w:t>
      </w:r>
      <w:r w:rsidR="003B46ED">
        <w:rPr>
          <w:rFonts w:ascii="Times New Roman" w:hAnsi="Times New Roman"/>
        </w:rPr>
        <w:t xml:space="preserve">návrhu sa mali vyjadriť iné rezorty ako </w:t>
      </w:r>
      <w:r w:rsidRPr="009118B0" w:rsidR="003B46ED">
        <w:rPr>
          <w:rFonts w:ascii="Times New Roman" w:hAnsi="Times New Roman"/>
        </w:rPr>
        <w:t xml:space="preserve">aj verejnosť </w:t>
      </w:r>
      <w:r w:rsidR="009118B0">
        <w:rPr>
          <w:rFonts w:ascii="Times New Roman" w:hAnsi="Times New Roman"/>
        </w:rPr>
        <w:t xml:space="preserve">a to </w:t>
      </w:r>
      <w:r w:rsidRPr="009118B0" w:rsidR="003B46ED">
        <w:rPr>
          <w:rFonts w:ascii="Times New Roman" w:hAnsi="Times New Roman"/>
        </w:rPr>
        <w:t>aj</w:t>
      </w:r>
      <w:r w:rsidR="003B46ED">
        <w:rPr>
          <w:rFonts w:ascii="Times New Roman" w:hAnsi="Times New Roman"/>
        </w:rPr>
        <w:t xml:space="preserve"> vzhľadom na to, že negatívne dopady nebude riešiť rezort financií, ale </w:t>
      </w:r>
      <w:r w:rsidR="009118B0">
        <w:rPr>
          <w:rFonts w:ascii="Times New Roman" w:hAnsi="Times New Roman"/>
        </w:rPr>
        <w:t xml:space="preserve">rezorty vnútra, </w:t>
      </w:r>
      <w:r w:rsidR="003B46ED">
        <w:rPr>
          <w:rFonts w:ascii="Times New Roman" w:hAnsi="Times New Roman"/>
        </w:rPr>
        <w:t>zdravotníc</w:t>
      </w:r>
      <w:r w:rsidR="00F76811">
        <w:rPr>
          <w:rFonts w:ascii="Times New Roman" w:hAnsi="Times New Roman"/>
        </w:rPr>
        <w:t>t</w:t>
      </w:r>
      <w:r w:rsidR="003B46ED">
        <w:rPr>
          <w:rFonts w:ascii="Times New Roman" w:hAnsi="Times New Roman"/>
        </w:rPr>
        <w:t>va, jus</w:t>
      </w:r>
      <w:r w:rsidR="00F76811">
        <w:rPr>
          <w:rFonts w:ascii="Times New Roman" w:hAnsi="Times New Roman"/>
        </w:rPr>
        <w:t>t</w:t>
      </w:r>
      <w:r w:rsidR="00761B35">
        <w:rPr>
          <w:rFonts w:ascii="Times New Roman" w:hAnsi="Times New Roman"/>
        </w:rPr>
        <w:t>ície a prá</w:t>
      </w:r>
      <w:r w:rsidR="003B46ED">
        <w:rPr>
          <w:rFonts w:ascii="Times New Roman" w:hAnsi="Times New Roman"/>
        </w:rPr>
        <w:t xml:space="preserve">ce a sociálnych vecí.  </w:t>
      </w:r>
      <w:r w:rsidR="00F76811">
        <w:rPr>
          <w:rFonts w:ascii="Times New Roman" w:hAnsi="Times New Roman"/>
        </w:rPr>
        <w:t>Predkladaný návrh  zákona reaguje na tento mimoriadne nekorektný postup</w:t>
      </w:r>
      <w:r w:rsidR="009118B0">
        <w:rPr>
          <w:rFonts w:ascii="Times New Roman" w:hAnsi="Times New Roman"/>
        </w:rPr>
        <w:t xml:space="preserve"> ministerstva</w:t>
      </w:r>
      <w:r w:rsidR="00F76811">
        <w:rPr>
          <w:rFonts w:ascii="Times New Roman" w:hAnsi="Times New Roman"/>
        </w:rPr>
        <w:t xml:space="preserve"> a dáva poslancom možnosť diskusie a korekcie stavu vzniknutého zavedením </w:t>
      </w:r>
      <w:r w:rsidRPr="009118B0" w:rsidR="00F76811">
        <w:rPr>
          <w:rFonts w:ascii="Times New Roman" w:hAnsi="Times New Roman"/>
        </w:rPr>
        <w:t xml:space="preserve">pojmu </w:t>
      </w:r>
      <w:r w:rsidRPr="009118B0" w:rsidR="00761B35">
        <w:rPr>
          <w:rFonts w:ascii="Times New Roman" w:hAnsi="Times New Roman"/>
        </w:rPr>
        <w:t>„</w:t>
      </w:r>
      <w:r w:rsidRPr="009118B0" w:rsidR="00F76811">
        <w:rPr>
          <w:rFonts w:ascii="Times New Roman" w:hAnsi="Times New Roman"/>
        </w:rPr>
        <w:t>kasíno v rekreačnom komplexe</w:t>
      </w:r>
      <w:r w:rsidRPr="009118B0" w:rsidR="00761B35">
        <w:rPr>
          <w:rFonts w:ascii="Times New Roman" w:hAnsi="Times New Roman"/>
        </w:rPr>
        <w:t>“</w:t>
      </w:r>
      <w:r w:rsidRPr="009118B0" w:rsidR="00F76811">
        <w:rPr>
          <w:rFonts w:ascii="Times New Roman" w:hAnsi="Times New Roman"/>
        </w:rPr>
        <w:t>.</w:t>
      </w:r>
      <w:r w:rsidR="00F76811">
        <w:rPr>
          <w:rFonts w:ascii="Times New Roman" w:hAnsi="Times New Roman"/>
        </w:rPr>
        <w:t xml:space="preserve"> </w:t>
      </w:r>
    </w:p>
    <w:p w:rsidR="008D4915" w:rsidP="00E00F4C">
      <w:pPr>
        <w:pStyle w:val="BodyText"/>
        <w:spacing w:before="60" w:after="6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Predkladaný návrh sleduje dve zásadné línie. Odstránenie novozavedeného pojmu </w:t>
      </w:r>
      <w:r w:rsidR="009118B0">
        <w:rPr>
          <w:rFonts w:ascii="Times New Roman" w:hAnsi="Times New Roman"/>
        </w:rPr>
        <w:t>„</w:t>
      </w:r>
      <w:r>
        <w:rPr>
          <w:rFonts w:ascii="Times New Roman" w:hAnsi="Times New Roman"/>
        </w:rPr>
        <w:t>kasín</w:t>
      </w:r>
      <w:r w:rsidR="009118B0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v rekreačnom komplexe</w:t>
      </w:r>
      <w:r w:rsidR="009118B0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a jeho mimoriadnych zvýhodnení a reguláciu existujúceho rozsahu hazardu - hlavne na výherných prístrojoch.</w:t>
      </w:r>
    </w:p>
    <w:p w:rsidR="00E00F4C" w:rsidP="00E00F4C">
      <w:pPr>
        <w:pStyle w:val="BodyText"/>
        <w:spacing w:before="60" w:after="6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Predkladaný návrh zákon</w:t>
      </w:r>
      <w:r w:rsidR="009118B0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nenarušuje princíp nárokovateľnosti </w:t>
      </w:r>
      <w:r w:rsidR="008D4915">
        <w:rPr>
          <w:rFonts w:ascii="Times New Roman" w:hAnsi="Times New Roman"/>
        </w:rPr>
        <w:t xml:space="preserve">licencií </w:t>
      </w:r>
      <w:r>
        <w:rPr>
          <w:rFonts w:ascii="Times New Roman" w:hAnsi="Times New Roman"/>
        </w:rPr>
        <w:t>(ten vo svojej podstate podporuje „jasné pravidlá hry“ a znižuje aj mieru rizika korupčného správania), ktorý patrí medzi hlavné prínosy súča</w:t>
      </w:r>
      <w:r w:rsidR="008D4915">
        <w:rPr>
          <w:rFonts w:ascii="Times New Roman" w:hAnsi="Times New Roman"/>
        </w:rPr>
        <w:t>sného zákona o hazardných hrách.</w:t>
      </w:r>
      <w:r w:rsidR="00AB57DC">
        <w:rPr>
          <w:rFonts w:ascii="Times New Roman" w:hAnsi="Times New Roman"/>
        </w:rPr>
        <w:t xml:space="preserve"> N</w:t>
      </w:r>
      <w:r>
        <w:rPr>
          <w:rFonts w:ascii="Times New Roman" w:hAnsi="Times New Roman"/>
        </w:rPr>
        <w:t xml:space="preserve">ávrh zákona iba </w:t>
      </w:r>
      <w:r w:rsidR="00232322">
        <w:rPr>
          <w:rFonts w:ascii="Times New Roman" w:hAnsi="Times New Roman"/>
        </w:rPr>
        <w:t>obmedzuje miest</w:t>
      </w:r>
      <w:r w:rsidR="001B099D">
        <w:rPr>
          <w:rFonts w:ascii="Times New Roman" w:hAnsi="Times New Roman"/>
        </w:rPr>
        <w:t>o</w:t>
      </w:r>
      <w:r w:rsidR="00232322">
        <w:rPr>
          <w:rFonts w:ascii="Times New Roman" w:hAnsi="Times New Roman"/>
        </w:rPr>
        <w:t xml:space="preserve"> hrania </w:t>
      </w:r>
      <w:r w:rsidR="001B099D">
        <w:rPr>
          <w:rFonts w:ascii="Times New Roman" w:hAnsi="Times New Roman"/>
        </w:rPr>
        <w:t xml:space="preserve">na výherných prístrojoch na </w:t>
      </w:r>
      <w:r w:rsidR="00232322">
        <w:rPr>
          <w:rFonts w:ascii="Times New Roman" w:hAnsi="Times New Roman"/>
        </w:rPr>
        <w:t xml:space="preserve"> hern</w:t>
      </w:r>
      <w:r w:rsidR="001B099D">
        <w:rPr>
          <w:rFonts w:ascii="Times New Roman" w:hAnsi="Times New Roman"/>
        </w:rPr>
        <w:t>e</w:t>
      </w:r>
      <w:r w:rsidR="00AB57DC">
        <w:rPr>
          <w:rFonts w:ascii="Times New Roman" w:hAnsi="Times New Roman"/>
        </w:rPr>
        <w:t>, ktoré majú limitovaný počet hracích miest</w:t>
      </w:r>
      <w:r w:rsidR="00AD08D6">
        <w:rPr>
          <w:rFonts w:ascii="Times New Roman" w:hAnsi="Times New Roman"/>
        </w:rPr>
        <w:t xml:space="preserve"> </w:t>
      </w:r>
      <w:r w:rsidR="008D4915">
        <w:rPr>
          <w:rFonts w:ascii="Times New Roman" w:hAnsi="Times New Roman"/>
        </w:rPr>
        <w:t xml:space="preserve">a </w:t>
      </w:r>
      <w:r w:rsidR="00AD08D6">
        <w:rPr>
          <w:rFonts w:ascii="Times New Roman" w:hAnsi="Times New Roman"/>
        </w:rPr>
        <w:t xml:space="preserve">zakazuje </w:t>
      </w:r>
      <w:r w:rsidR="00E95761">
        <w:rPr>
          <w:rFonts w:ascii="Times New Roman" w:hAnsi="Times New Roman"/>
        </w:rPr>
        <w:t>mimo kasín kombináciu</w:t>
      </w:r>
      <w:r w:rsidR="008D4915">
        <w:rPr>
          <w:rFonts w:ascii="Times New Roman" w:hAnsi="Times New Roman"/>
        </w:rPr>
        <w:t xml:space="preserve"> hrania</w:t>
      </w:r>
      <w:r w:rsidR="00E95761">
        <w:rPr>
          <w:rFonts w:ascii="Times New Roman" w:hAnsi="Times New Roman"/>
        </w:rPr>
        <w:t xml:space="preserve"> s alkoholom.</w:t>
      </w:r>
      <w:r w:rsidR="00AD08D6">
        <w:rPr>
          <w:rFonts w:ascii="Times New Roman" w:hAnsi="Times New Roman"/>
        </w:rPr>
        <w:t xml:space="preserve"> </w:t>
      </w:r>
    </w:p>
    <w:p w:rsidR="00E00F4C" w:rsidP="00E00F4C">
      <w:pPr>
        <w:pStyle w:val="BodyText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Návrh zákona je v súlade s Ústavou SR a s citovanými medzinárodnými zmluvami, ktorými je Slovenská republika viazaná.</w:t>
      </w:r>
    </w:p>
    <w:p w:rsidR="006159F9" w:rsidP="00E00F4C">
      <w:pPr>
        <w:pStyle w:val="BodyText"/>
        <w:ind w:firstLine="708"/>
        <w:rPr>
          <w:rFonts w:ascii="Times New Roman" w:hAnsi="Times New Roman"/>
        </w:rPr>
      </w:pPr>
    </w:p>
    <w:p w:rsidR="00E00F4C" w:rsidRPr="003A7CDE" w:rsidP="00E00F4C">
      <w:pPr>
        <w:pStyle w:val="Title"/>
        <w:spacing w:before="60" w:after="60"/>
        <w:outlineLvl w:val="0"/>
        <w:rPr>
          <w:rFonts w:ascii="Times New Roman" w:hAnsi="Times New Roman"/>
        </w:rPr>
      </w:pPr>
      <w:r w:rsidRPr="003A7CDE">
        <w:rPr>
          <w:rFonts w:ascii="Times New Roman" w:hAnsi="Times New Roman"/>
          <w:bCs w:val="0"/>
        </w:rPr>
        <w:t>DOLOŽKA ZLUČlTEĽNOSTI</w:t>
      </w:r>
    </w:p>
    <w:p w:rsidR="00E00F4C" w:rsidRPr="003A7CDE" w:rsidP="00E00F4C">
      <w:pPr>
        <w:pStyle w:val="BodyText3"/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  <w:r w:rsidRPr="003A7CDE">
        <w:rPr>
          <w:rFonts w:ascii="Times New Roman" w:hAnsi="Times New Roman"/>
          <w:b/>
          <w:sz w:val="24"/>
          <w:szCs w:val="24"/>
        </w:rPr>
        <w:t>návrhu zákona, ktorým sa mení a dopĺňa zákon č. 171/2005 Z. z. o hazardných hrách a o zmene a doplnení niektorých zákonov</w:t>
      </w:r>
    </w:p>
    <w:p w:rsidR="00E00F4C" w:rsidRPr="003A7CDE" w:rsidP="00E00F4C">
      <w:pPr>
        <w:pBdr>
          <w:top w:val="single" w:sz="4" w:space="1" w:color="auto"/>
        </w:pBdr>
        <w:spacing w:before="60" w:after="60"/>
        <w:jc w:val="both"/>
        <w:rPr>
          <w:rFonts w:ascii="Times New Roman" w:hAnsi="Times New Roman"/>
          <w:lang w:eastAsia="cs-CZ"/>
        </w:rPr>
      </w:pPr>
    </w:p>
    <w:p w:rsidR="00E00F4C" w:rsidRPr="003A7CDE" w:rsidP="00E00F4C">
      <w:pPr>
        <w:tabs>
          <w:tab w:val="left" w:pos="360"/>
        </w:tabs>
        <w:spacing w:before="60" w:after="60"/>
        <w:ind w:left="360" w:hanging="360"/>
        <w:rPr>
          <w:rFonts w:ascii="Times New Roman" w:hAnsi="Times New Roman"/>
        </w:rPr>
      </w:pPr>
      <w:r w:rsidRPr="003A7CDE">
        <w:rPr>
          <w:rFonts w:ascii="Times New Roman" w:hAnsi="Times New Roman"/>
          <w:b/>
          <w:bCs/>
        </w:rPr>
        <w:t>1.</w:t>
        <w:tab/>
        <w:t xml:space="preserve">Navrhovateľ zákona: </w:t>
      </w:r>
      <w:r w:rsidRPr="003A7CDE">
        <w:rPr>
          <w:rFonts w:ascii="Times New Roman" w:hAnsi="Times New Roman"/>
        </w:rPr>
        <w:t>poslanec Národnej rady Slovenskej republiky</w:t>
      </w:r>
    </w:p>
    <w:p w:rsidR="00E00F4C" w:rsidRPr="003A7CDE" w:rsidP="00E00F4C">
      <w:pPr>
        <w:tabs>
          <w:tab w:val="left" w:pos="360"/>
        </w:tabs>
        <w:spacing w:before="60" w:after="60"/>
        <w:ind w:left="360" w:hanging="360"/>
        <w:rPr>
          <w:rFonts w:ascii="Times New Roman" w:hAnsi="Times New Roman"/>
          <w:b/>
          <w:bCs/>
        </w:rPr>
      </w:pPr>
    </w:p>
    <w:p w:rsidR="00E00F4C" w:rsidRPr="003A7CDE" w:rsidP="00E00F4C">
      <w:pPr>
        <w:tabs>
          <w:tab w:val="left" w:pos="360"/>
        </w:tabs>
        <w:spacing w:before="60" w:after="60"/>
        <w:ind w:left="360" w:hanging="360"/>
        <w:rPr>
          <w:rFonts w:ascii="Times New Roman" w:hAnsi="Times New Roman"/>
        </w:rPr>
      </w:pPr>
      <w:r w:rsidRPr="003A7CDE">
        <w:rPr>
          <w:rFonts w:ascii="Times New Roman" w:hAnsi="Times New Roman"/>
          <w:b/>
          <w:bCs/>
        </w:rPr>
        <w:t>2.</w:t>
        <w:tab/>
        <w:t xml:space="preserve">Názov návrhu zákona: </w:t>
      </w:r>
      <w:r w:rsidRPr="003A7CDE">
        <w:rPr>
          <w:rFonts w:ascii="Times New Roman" w:hAnsi="Times New Roman"/>
        </w:rPr>
        <w:t xml:space="preserve">návrh zákona, ktorým sa mení a dopĺňa zákon č. 171/2005 Z. z. o hazardných hrách </w:t>
      </w:r>
      <w:r>
        <w:rPr>
          <w:rFonts w:ascii="Times New Roman" w:hAnsi="Times New Roman"/>
        </w:rPr>
        <w:t>v znení neskorších predpisov</w:t>
      </w:r>
    </w:p>
    <w:p w:rsidR="00E00F4C" w:rsidRPr="003A7CDE" w:rsidP="00E00F4C">
      <w:pPr>
        <w:tabs>
          <w:tab w:val="left" w:pos="360"/>
        </w:tabs>
        <w:spacing w:before="60" w:after="60"/>
        <w:ind w:left="360" w:hanging="360"/>
        <w:rPr>
          <w:rFonts w:ascii="Times New Roman" w:hAnsi="Times New Roman"/>
        </w:rPr>
      </w:pPr>
    </w:p>
    <w:p w:rsidR="00E00F4C" w:rsidRPr="003A7CDE" w:rsidP="00E00F4C">
      <w:pPr>
        <w:pStyle w:val="BodyTextIndent3"/>
        <w:spacing w:before="60" w:after="60"/>
        <w:ind w:left="0"/>
        <w:rPr>
          <w:rFonts w:ascii="Times New Roman" w:hAnsi="Times New Roman"/>
          <w:b/>
          <w:bCs/>
          <w:sz w:val="24"/>
          <w:szCs w:val="24"/>
        </w:rPr>
      </w:pPr>
      <w:r w:rsidRPr="003A7CDE">
        <w:rPr>
          <w:rFonts w:ascii="Times New Roman" w:hAnsi="Times New Roman"/>
          <w:b/>
          <w:sz w:val="24"/>
          <w:szCs w:val="24"/>
        </w:rPr>
        <w:t>3.</w:t>
        <w:tab/>
        <w:t>Záväzky Slovenskej republiky vo vzťahu k Európskym spoločenstvám a k Európskej únii:</w:t>
      </w:r>
      <w:r w:rsidRPr="003A7CDE">
        <w:rPr>
          <w:rFonts w:ascii="Times New Roman" w:hAnsi="Times New Roman"/>
          <w:sz w:val="24"/>
          <w:szCs w:val="24"/>
        </w:rPr>
        <w:t xml:space="preserve"> </w:t>
      </w:r>
      <w:r w:rsidRPr="003A7CDE">
        <w:rPr>
          <w:rFonts w:ascii="Times New Roman" w:hAnsi="Times New Roman"/>
          <w:bCs/>
          <w:sz w:val="24"/>
          <w:szCs w:val="24"/>
        </w:rPr>
        <w:t>Slovenskej republike v oblasti, ktorá je predmetom úpravy navrhovaného zákona, nevyplývajú vo vzťahu k Európskym spoločenstvám a Európskej únii žiadne záväzky.</w:t>
      </w:r>
    </w:p>
    <w:p w:rsidR="00E00F4C" w:rsidRPr="003A7CDE" w:rsidP="00E00F4C">
      <w:pPr>
        <w:pStyle w:val="BodyTextIndent3"/>
        <w:spacing w:before="60" w:after="60"/>
        <w:rPr>
          <w:rFonts w:ascii="Times New Roman" w:hAnsi="Times New Roman"/>
          <w:sz w:val="24"/>
          <w:szCs w:val="24"/>
        </w:rPr>
      </w:pPr>
    </w:p>
    <w:p w:rsidR="00E00F4C" w:rsidRPr="003A7CDE" w:rsidP="00E00F4C">
      <w:pPr>
        <w:pStyle w:val="BodyTextIndent3"/>
        <w:spacing w:before="60" w:after="60"/>
        <w:ind w:left="0"/>
        <w:rPr>
          <w:rFonts w:ascii="Times New Roman" w:hAnsi="Times New Roman"/>
          <w:sz w:val="24"/>
          <w:szCs w:val="24"/>
        </w:rPr>
      </w:pPr>
      <w:r w:rsidRPr="003A7CDE">
        <w:rPr>
          <w:rFonts w:ascii="Times New Roman" w:hAnsi="Times New Roman"/>
          <w:b/>
          <w:sz w:val="24"/>
          <w:szCs w:val="24"/>
        </w:rPr>
        <w:t>4.</w:t>
        <w:tab/>
        <w:t>Problematika návrhu zákona:</w:t>
      </w:r>
    </w:p>
    <w:p w:rsidR="00E00F4C" w:rsidRPr="003A7CDE" w:rsidP="00E00F4C">
      <w:pPr>
        <w:pStyle w:val="Zkladntext"/>
        <w:numPr>
          <w:ilvl w:val="1"/>
          <w:numId w:val="5"/>
        </w:numPr>
        <w:tabs>
          <w:tab w:val="clear" w:pos="543"/>
          <w:tab w:val="left" w:pos="700"/>
        </w:tabs>
        <w:adjustRightInd/>
        <w:spacing w:before="60" w:after="60"/>
        <w:ind w:left="700" w:hanging="340"/>
        <w:rPr>
          <w:rFonts w:ascii="Times New Roman" w:hAnsi="Times New Roman" w:cs="Times New Roman"/>
        </w:rPr>
      </w:pPr>
      <w:r w:rsidRPr="003A7CDE">
        <w:rPr>
          <w:rFonts w:ascii="Times New Roman" w:hAnsi="Times New Roman" w:cs="Times New Roman"/>
        </w:rPr>
        <w:t>je upravená v práve Európskych spoločenstiev: čl. 49 až 55 Zmluvy o založení Európskeho spoločenstva; rozhodnutie ESD C-243/01 „Gambelli a ostatní“.</w:t>
      </w:r>
    </w:p>
    <w:p w:rsidR="00E00F4C" w:rsidRPr="003A7CDE" w:rsidP="00E00F4C">
      <w:pPr>
        <w:pStyle w:val="Zkladntext"/>
        <w:numPr>
          <w:ilvl w:val="1"/>
          <w:numId w:val="5"/>
        </w:numPr>
        <w:tabs>
          <w:tab w:val="clear" w:pos="543"/>
          <w:tab w:val="left" w:pos="700"/>
        </w:tabs>
        <w:adjustRightInd/>
        <w:spacing w:before="60" w:after="60"/>
        <w:ind w:left="700" w:hanging="340"/>
        <w:rPr>
          <w:rFonts w:ascii="Times New Roman" w:hAnsi="Times New Roman" w:cs="Times New Roman"/>
        </w:rPr>
      </w:pPr>
      <w:r w:rsidRPr="003A7CDE">
        <w:rPr>
          <w:rFonts w:ascii="Times New Roman" w:hAnsi="Times New Roman" w:cs="Times New Roman"/>
        </w:rPr>
        <w:t>nie je upravená v práve Európskej únie.</w:t>
      </w:r>
    </w:p>
    <w:p w:rsidR="00E00F4C" w:rsidRPr="003A7CDE" w:rsidP="00E00F4C">
      <w:pPr>
        <w:tabs>
          <w:tab w:val="left" w:pos="720"/>
        </w:tabs>
        <w:spacing w:before="60" w:after="60"/>
        <w:ind w:left="283" w:hanging="183"/>
        <w:rPr>
          <w:rFonts w:ascii="Times New Roman" w:hAnsi="Times New Roman"/>
          <w:lang w:eastAsia="cs-CZ"/>
        </w:rPr>
      </w:pPr>
    </w:p>
    <w:p w:rsidR="00E00F4C" w:rsidP="00E00F4C">
      <w:pPr>
        <w:pStyle w:val="tlNadpisbodov11pt"/>
        <w:spacing w:before="60" w:after="60"/>
        <w:ind w:left="360" w:hanging="360"/>
        <w:jc w:val="left"/>
        <w:rPr>
          <w:rFonts w:ascii="Times New Roman" w:hAnsi="Times New Roman"/>
          <w:b w:val="0"/>
          <w:bCs w:val="0"/>
        </w:rPr>
      </w:pPr>
      <w:r w:rsidRPr="003A7CDE">
        <w:rPr>
          <w:rFonts w:ascii="Times New Roman" w:hAnsi="Times New Roman"/>
        </w:rPr>
        <w:t>5.</w:t>
        <w:tab/>
        <w:t xml:space="preserve">Stupeň zlučiteľnosti návrhu zákona s právom Európskych spoločenstiev a právom Európskej únie: </w:t>
      </w:r>
      <w:r w:rsidRPr="003A7CDE">
        <w:rPr>
          <w:rFonts w:ascii="Times New Roman" w:hAnsi="Times New Roman"/>
          <w:b w:val="0"/>
          <w:bCs w:val="0"/>
        </w:rPr>
        <w:t>úplný</w:t>
      </w:r>
    </w:p>
    <w:p w:rsidR="00E00F4C" w:rsidRPr="003A7CDE" w:rsidP="00E00F4C">
      <w:pPr>
        <w:pStyle w:val="tlNadpisbodov11pt"/>
        <w:spacing w:before="60" w:after="60"/>
        <w:ind w:left="360" w:hanging="360"/>
        <w:jc w:val="left"/>
        <w:rPr>
          <w:rFonts w:ascii="Times New Roman" w:hAnsi="Times New Roman"/>
          <w:b w:val="0"/>
          <w:bCs w:val="0"/>
        </w:rPr>
      </w:pPr>
    </w:p>
    <w:p w:rsidR="00E00F4C" w:rsidRPr="003A7CDE" w:rsidP="00E00F4C">
      <w:pPr>
        <w:pStyle w:val="tlNadpisbodov11pt"/>
        <w:spacing w:before="60" w:after="60"/>
        <w:ind w:left="360" w:hanging="360"/>
        <w:jc w:val="left"/>
        <w:rPr>
          <w:rFonts w:ascii="Times New Roman" w:hAnsi="Times New Roman"/>
          <w:b w:val="0"/>
          <w:bCs w:val="0"/>
        </w:rPr>
      </w:pPr>
      <w:r w:rsidRPr="003A7CDE">
        <w:rPr>
          <w:rFonts w:ascii="Times New Roman" w:hAnsi="Times New Roman"/>
        </w:rPr>
        <w:t>6.</w:t>
        <w:tab/>
        <w:t xml:space="preserve">Gestor: </w:t>
      </w:r>
      <w:r w:rsidRPr="003A7CDE">
        <w:rPr>
          <w:rFonts w:ascii="Times New Roman" w:hAnsi="Times New Roman"/>
          <w:b w:val="0"/>
          <w:bCs w:val="0"/>
        </w:rPr>
        <w:t>bezpredmetné</w:t>
      </w:r>
    </w:p>
    <w:p w:rsidR="00E00F4C" w:rsidP="00E00F4C">
      <w:pPr>
        <w:pStyle w:val="Zkladntext"/>
        <w:spacing w:before="60" w:after="60"/>
        <w:rPr>
          <w:rFonts w:ascii="Times New Roman" w:hAnsi="Times New Roman" w:cs="Times New Roman"/>
        </w:rPr>
      </w:pPr>
    </w:p>
    <w:p w:rsidR="00E00F4C" w:rsidP="00E00F4C">
      <w:pPr>
        <w:pStyle w:val="BodyText"/>
        <w:spacing w:before="60" w:after="60"/>
        <w:rPr>
          <w:rFonts w:ascii="Times New Roman" w:hAnsi="Times New Roman"/>
          <w:b/>
          <w:bCs/>
        </w:rPr>
      </w:pPr>
    </w:p>
    <w:p w:rsidR="00E00F4C" w:rsidRPr="003A7CDE" w:rsidP="00E00F4C">
      <w:pPr>
        <w:pStyle w:val="Title"/>
        <w:spacing w:before="60" w:after="60"/>
        <w:outlineLvl w:val="0"/>
        <w:rPr>
          <w:rFonts w:ascii="Times New Roman" w:hAnsi="Times New Roman"/>
          <w:bCs w:val="0"/>
        </w:rPr>
      </w:pPr>
      <w:r>
        <w:rPr>
          <w:rFonts w:ascii="Times New Roman" w:hAnsi="Times New Roman"/>
          <w:b w:val="0"/>
          <w:bCs w:val="0"/>
          <w:sz w:val="28"/>
        </w:rPr>
        <w:br w:type="page"/>
      </w:r>
      <w:r w:rsidRPr="003A7CDE">
        <w:rPr>
          <w:rFonts w:ascii="Times New Roman" w:hAnsi="Times New Roman"/>
          <w:bCs w:val="0"/>
        </w:rPr>
        <w:t>DOLOŽKA</w:t>
      </w:r>
    </w:p>
    <w:p w:rsidR="00E00F4C" w:rsidRPr="003A7CDE" w:rsidP="00E00F4C">
      <w:pPr>
        <w:pStyle w:val="Title"/>
        <w:spacing w:before="60" w:after="60"/>
        <w:rPr>
          <w:rFonts w:ascii="Times New Roman" w:hAnsi="Times New Roman"/>
          <w:bCs w:val="0"/>
        </w:rPr>
      </w:pPr>
    </w:p>
    <w:p w:rsidR="00E00F4C" w:rsidRPr="003A7CDE" w:rsidP="00E00F4C">
      <w:pPr>
        <w:pStyle w:val="Title"/>
        <w:spacing w:before="60" w:after="60"/>
        <w:rPr>
          <w:rFonts w:ascii="Times New Roman" w:hAnsi="Times New Roman"/>
          <w:bCs w:val="0"/>
        </w:rPr>
      </w:pPr>
      <w:r w:rsidRPr="003A7CDE">
        <w:rPr>
          <w:rFonts w:ascii="Times New Roman" w:hAnsi="Times New Roman"/>
          <w:bCs w:val="0"/>
        </w:rPr>
        <w:t>k návrhu zákona o jeho finančných a ekonomických vplyvoch,</w:t>
      </w:r>
    </w:p>
    <w:p w:rsidR="00E00F4C" w:rsidRPr="003A7CDE" w:rsidP="00E00F4C">
      <w:pPr>
        <w:pStyle w:val="Title"/>
        <w:spacing w:before="60" w:after="60"/>
        <w:rPr>
          <w:rFonts w:ascii="Times New Roman" w:hAnsi="Times New Roman"/>
          <w:bCs w:val="0"/>
        </w:rPr>
      </w:pPr>
      <w:r w:rsidRPr="003A7CDE">
        <w:rPr>
          <w:rFonts w:ascii="Times New Roman" w:hAnsi="Times New Roman"/>
          <w:bCs w:val="0"/>
        </w:rPr>
        <w:t>environmentálnych vplyvoch a vplyvoch na zamestnanosť </w:t>
      </w:r>
    </w:p>
    <w:p w:rsidR="00E00F4C" w:rsidP="00E00F4C">
      <w:pPr>
        <w:pStyle w:val="BodyText"/>
        <w:spacing w:before="60" w:after="60"/>
        <w:ind w:left="705"/>
        <w:jc w:val="both"/>
        <w:rPr>
          <w:rFonts w:ascii="Times New Roman" w:hAnsi="Times New Roman"/>
          <w:b/>
          <w:bCs/>
        </w:rPr>
      </w:pPr>
    </w:p>
    <w:p w:rsidR="00E00F4C" w:rsidP="00E00F4C">
      <w:pPr>
        <w:pStyle w:val="BodyText"/>
        <w:spacing w:before="60" w:after="60"/>
        <w:jc w:val="both"/>
        <w:rPr>
          <w:rFonts w:ascii="Times New Roman" w:hAnsi="Times New Roman"/>
          <w:b/>
          <w:bCs/>
        </w:rPr>
      </w:pPr>
    </w:p>
    <w:p w:rsidR="00E00F4C" w:rsidP="00E00F4C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Odhad dopadov na verejné financie</w:t>
      </w:r>
    </w:p>
    <w:p w:rsidR="00E00F4C" w:rsidRPr="003A7CDE" w:rsidP="00E00F4C">
      <w:pPr>
        <w:pStyle w:val="BodyText2"/>
        <w:tabs>
          <w:tab w:val="left" w:pos="0"/>
        </w:tabs>
        <w:spacing w:before="60" w:after="60"/>
        <w:jc w:val="left"/>
        <w:rPr>
          <w:rFonts w:ascii="Times New Roman" w:hAnsi="Times New Roman"/>
          <w:b w:val="0"/>
        </w:rPr>
      </w:pPr>
      <w:r w:rsidRPr="003A7CDE">
        <w:rPr>
          <w:rFonts w:ascii="Times New Roman" w:hAnsi="Times New Roman"/>
          <w:b w:val="0"/>
        </w:rPr>
        <w:t xml:space="preserve">Navrhovaný zákon </w:t>
      </w:r>
      <w:r>
        <w:rPr>
          <w:rFonts w:ascii="Times New Roman" w:hAnsi="Times New Roman"/>
          <w:b w:val="0"/>
        </w:rPr>
        <w:t>nebude</w:t>
      </w:r>
      <w:r w:rsidRPr="003A7CDE">
        <w:rPr>
          <w:rFonts w:ascii="Times New Roman" w:hAnsi="Times New Roman"/>
          <w:b w:val="0"/>
        </w:rPr>
        <w:t xml:space="preserve"> mať</w:t>
      </w:r>
      <w:r w:rsidR="00B87208">
        <w:rPr>
          <w:rFonts w:ascii="Times New Roman" w:hAnsi="Times New Roman"/>
          <w:b w:val="0"/>
        </w:rPr>
        <w:t xml:space="preserve"> žiaden</w:t>
      </w:r>
      <w:r w:rsidRPr="003A7CDE">
        <w:rPr>
          <w:rFonts w:ascii="Times New Roman" w:hAnsi="Times New Roman"/>
          <w:b w:val="0"/>
        </w:rPr>
        <w:t xml:space="preserve"> vplyv na </w:t>
      </w:r>
      <w:r>
        <w:rPr>
          <w:rFonts w:ascii="Times New Roman" w:hAnsi="Times New Roman"/>
          <w:b w:val="0"/>
        </w:rPr>
        <w:t xml:space="preserve">budúcoročný </w:t>
      </w:r>
      <w:r w:rsidRPr="003A7CDE">
        <w:rPr>
          <w:rFonts w:ascii="Times New Roman" w:hAnsi="Times New Roman"/>
          <w:b w:val="0"/>
        </w:rPr>
        <w:t>štátny rozpočet a rozpočet obcí</w:t>
      </w:r>
      <w:r>
        <w:rPr>
          <w:rFonts w:ascii="Times New Roman" w:hAnsi="Times New Roman"/>
          <w:b w:val="0"/>
        </w:rPr>
        <w:t xml:space="preserve"> vzhľadom na </w:t>
      </w:r>
      <w:r w:rsidR="00B87208">
        <w:rPr>
          <w:rFonts w:ascii="Times New Roman" w:hAnsi="Times New Roman"/>
          <w:b w:val="0"/>
        </w:rPr>
        <w:t xml:space="preserve">to, že nie je spracovaná zmena ÚPN, ktorá by umožnila výstavbu kasína v rekreačnom komplexe a na prístroje s vydanou licenciou sa vzťahuje prechodné obdobie. </w:t>
      </w:r>
      <w:r>
        <w:rPr>
          <w:rFonts w:ascii="Times New Roman" w:hAnsi="Times New Roman"/>
          <w:b w:val="0"/>
        </w:rPr>
        <w:t xml:space="preserve">Nebude mať </w:t>
      </w:r>
      <w:r w:rsidRPr="003A7CDE">
        <w:rPr>
          <w:rFonts w:ascii="Times New Roman" w:hAnsi="Times New Roman"/>
          <w:b w:val="0"/>
        </w:rPr>
        <w:t> žiaden vplyv na rozpočet samosprávnych krajov</w:t>
      </w:r>
      <w:r w:rsidR="00B87208">
        <w:rPr>
          <w:rFonts w:ascii="Times New Roman" w:hAnsi="Times New Roman"/>
          <w:b w:val="0"/>
        </w:rPr>
        <w:t xml:space="preserve"> ani perspektívne</w:t>
      </w:r>
      <w:r w:rsidRPr="003A7CDE">
        <w:rPr>
          <w:rFonts w:ascii="Times New Roman" w:hAnsi="Times New Roman"/>
          <w:b w:val="0"/>
        </w:rPr>
        <w:t>. V</w:t>
      </w:r>
      <w:r>
        <w:rPr>
          <w:rFonts w:ascii="Times New Roman" w:hAnsi="Times New Roman"/>
          <w:b w:val="0"/>
        </w:rPr>
        <w:t> nasledujúcich rokoch</w:t>
      </w:r>
      <w:r w:rsidRPr="003A7CDE">
        <w:rPr>
          <w:rFonts w:ascii="Times New Roman" w:hAnsi="Times New Roman"/>
          <w:b w:val="0"/>
        </w:rPr>
        <w:t xml:space="preserve"> je možné očakávať zníženie počtu výherných prístrojov na území </w:t>
      </w:r>
      <w:r>
        <w:rPr>
          <w:rFonts w:ascii="Times New Roman" w:hAnsi="Times New Roman"/>
          <w:b w:val="0"/>
        </w:rPr>
        <w:t>SR čo je ústredný zámer návrhu</w:t>
      </w:r>
      <w:r w:rsidRPr="003A7CDE">
        <w:rPr>
          <w:rFonts w:ascii="Times New Roman" w:hAnsi="Times New Roman"/>
          <w:b w:val="0"/>
        </w:rPr>
        <w:t xml:space="preserve"> a tým aj zníženie príjmov do štátneho rozpočtu. </w:t>
      </w:r>
      <w:r w:rsidR="0025054C">
        <w:rPr>
          <w:rFonts w:ascii="Times New Roman" w:hAnsi="Times New Roman"/>
          <w:b w:val="0"/>
        </w:rPr>
        <w:t xml:space="preserve">Odhad je problematický, pretože závisí od správania prevádzkovateľov výherných prístrojov. </w:t>
      </w:r>
      <w:r w:rsidRPr="003A7CDE">
        <w:rPr>
          <w:rFonts w:ascii="Times New Roman" w:hAnsi="Times New Roman"/>
          <w:b w:val="0"/>
        </w:rPr>
        <w:t xml:space="preserve"> Prípadné negatívne dopady na štátny rozpočet môžu byť viac ako eliminované znížením nákladov verejných financií na odstránenie negatívnych vedľajších efektov spojených s hazardnými hrami (najmä liečenie hráčskej závislosti, zníženie rizika, že blízka rodina vplyv</w:t>
      </w:r>
      <w:r w:rsidR="00BB1FF4">
        <w:rPr>
          <w:rFonts w:ascii="Times New Roman" w:hAnsi="Times New Roman"/>
          <w:b w:val="0"/>
        </w:rPr>
        <w:t>om závislosti živiteľa rodina „s</w:t>
      </w:r>
      <w:r w:rsidRPr="003A7CDE">
        <w:rPr>
          <w:rFonts w:ascii="Times New Roman" w:hAnsi="Times New Roman"/>
          <w:b w:val="0"/>
        </w:rPr>
        <w:t>padne do sociálnej siete“ a pod.).</w:t>
      </w:r>
      <w:r w:rsidR="0025054C">
        <w:rPr>
          <w:rFonts w:ascii="Times New Roman" w:hAnsi="Times New Roman"/>
          <w:b w:val="0"/>
        </w:rPr>
        <w:t xml:space="preserve"> </w:t>
      </w:r>
      <w:r w:rsidR="00AB57DC">
        <w:rPr>
          <w:rFonts w:ascii="Times New Roman" w:hAnsi="Times New Roman"/>
          <w:b w:val="0"/>
        </w:rPr>
        <w:t xml:space="preserve"> V ďalších troch rokoch, by mohlo ísť o výpadok 70 mil. € na DPH z výstavby  Metropolis. Po ukončení </w:t>
      </w:r>
      <w:r w:rsidR="00F76811">
        <w:rPr>
          <w:rFonts w:ascii="Times New Roman" w:hAnsi="Times New Roman"/>
          <w:b w:val="0"/>
        </w:rPr>
        <w:t xml:space="preserve">  výstavby a sprevádzkovaní Metropolisu </w:t>
      </w:r>
      <w:r w:rsidR="00AB57DC">
        <w:rPr>
          <w:rFonts w:ascii="Times New Roman" w:hAnsi="Times New Roman"/>
          <w:b w:val="0"/>
        </w:rPr>
        <w:t xml:space="preserve">minister Počiatek odhadoval daňový výnos na 600 mil. €. Náklady verejných rozpočtov na sanáciu negatív neodhadoval. </w:t>
      </w:r>
    </w:p>
    <w:p w:rsidR="00E00F4C" w:rsidP="00E00F4C">
      <w:pPr>
        <w:pStyle w:val="BodyText"/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00F4C" w:rsidP="00E00F4C">
      <w:pPr>
        <w:pStyle w:val="BodyText"/>
        <w:spacing w:before="60" w:after="60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 Odhad dopadov na obyvateľov, hospodárenie podnikateľskej sféry a iných právnických osôb</w:t>
      </w:r>
    </w:p>
    <w:p w:rsidR="00E00F4C" w:rsidRPr="0094496F" w:rsidP="0094496F">
      <w:pPr>
        <w:pStyle w:val="BodyText2"/>
        <w:tabs>
          <w:tab w:val="left" w:pos="0"/>
        </w:tabs>
        <w:spacing w:before="60" w:after="60"/>
        <w:jc w:val="left"/>
        <w:rPr>
          <w:rFonts w:ascii="Times New Roman" w:hAnsi="Times New Roman"/>
          <w:b w:val="0"/>
        </w:rPr>
      </w:pPr>
      <w:r w:rsidR="00AB57DC">
        <w:rPr>
          <w:rFonts w:ascii="Times New Roman" w:hAnsi="Times New Roman"/>
          <w:b w:val="0"/>
        </w:rPr>
        <w:t xml:space="preserve">Návrh zákona </w:t>
      </w:r>
      <w:r w:rsidRPr="0094496F">
        <w:rPr>
          <w:rFonts w:ascii="Times New Roman" w:hAnsi="Times New Roman"/>
          <w:b w:val="0"/>
        </w:rPr>
        <w:t xml:space="preserve">bude mať </w:t>
      </w:r>
      <w:r w:rsidR="0094496F">
        <w:rPr>
          <w:rFonts w:ascii="Times New Roman" w:hAnsi="Times New Roman"/>
          <w:b w:val="0"/>
        </w:rPr>
        <w:t>pozitívny</w:t>
      </w:r>
      <w:r w:rsidRPr="0094496F">
        <w:rPr>
          <w:rFonts w:ascii="Times New Roman" w:hAnsi="Times New Roman"/>
          <w:b w:val="0"/>
        </w:rPr>
        <w:t xml:space="preserve"> vplyv na obyvateľov</w:t>
      </w:r>
      <w:r w:rsidR="0094496F">
        <w:rPr>
          <w:rFonts w:ascii="Times New Roman" w:hAnsi="Times New Roman"/>
          <w:b w:val="0"/>
        </w:rPr>
        <w:t>, ich zdravotný stav, rodiny a kriminalitu</w:t>
      </w:r>
      <w:r w:rsidRPr="0094496F" w:rsidR="0025054C">
        <w:rPr>
          <w:rFonts w:ascii="Times New Roman" w:hAnsi="Times New Roman"/>
          <w:b w:val="0"/>
        </w:rPr>
        <w:t xml:space="preserve">. Na </w:t>
      </w:r>
      <w:r w:rsidRPr="0094496F">
        <w:rPr>
          <w:rFonts w:ascii="Times New Roman" w:hAnsi="Times New Roman"/>
          <w:b w:val="0"/>
        </w:rPr>
        <w:t xml:space="preserve">hospodárenie podnikateľskej sféry </w:t>
      </w:r>
      <w:r w:rsidRPr="0094496F" w:rsidR="0025054C">
        <w:rPr>
          <w:rFonts w:ascii="Times New Roman" w:hAnsi="Times New Roman"/>
          <w:b w:val="0"/>
        </w:rPr>
        <w:t>v oblasti hazardu bude dopad negatívny. N</w:t>
      </w:r>
      <w:r w:rsidRPr="0094496F">
        <w:rPr>
          <w:rFonts w:ascii="Times New Roman" w:hAnsi="Times New Roman"/>
          <w:b w:val="0"/>
        </w:rPr>
        <w:t>a </w:t>
      </w:r>
      <w:r w:rsidRPr="0094496F" w:rsidR="0025054C">
        <w:rPr>
          <w:rFonts w:ascii="Times New Roman" w:hAnsi="Times New Roman"/>
          <w:b w:val="0"/>
        </w:rPr>
        <w:t xml:space="preserve">hospodárenie </w:t>
      </w:r>
      <w:r w:rsidRPr="0094496F">
        <w:rPr>
          <w:rFonts w:ascii="Times New Roman" w:hAnsi="Times New Roman"/>
          <w:b w:val="0"/>
        </w:rPr>
        <w:t>iných právnických osôb</w:t>
      </w:r>
      <w:r w:rsidRPr="0094496F" w:rsidR="0025054C">
        <w:rPr>
          <w:rFonts w:ascii="Times New Roman" w:hAnsi="Times New Roman"/>
          <w:b w:val="0"/>
        </w:rPr>
        <w:t xml:space="preserve"> dopad nebude negatívny</w:t>
      </w:r>
      <w:r w:rsidR="0094496F">
        <w:rPr>
          <w:rFonts w:ascii="Times New Roman" w:hAnsi="Times New Roman"/>
          <w:b w:val="0"/>
        </w:rPr>
        <w:t>, skôr pozitívny (presmerovanie zdrojov do zmysluplnejšej sféry ako hazard)</w:t>
      </w:r>
      <w:r w:rsidRPr="0094496F">
        <w:rPr>
          <w:rFonts w:ascii="Times New Roman" w:hAnsi="Times New Roman"/>
          <w:b w:val="0"/>
        </w:rPr>
        <w:t>.</w:t>
      </w:r>
    </w:p>
    <w:p w:rsidR="00E00F4C" w:rsidP="00E00F4C">
      <w:pPr>
        <w:spacing w:before="60" w:after="60"/>
        <w:jc w:val="both"/>
        <w:rPr>
          <w:rFonts w:ascii="Times New Roman" w:hAnsi="Times New Roman"/>
          <w:lang w:eastAsia="cs-CZ"/>
        </w:rPr>
      </w:pPr>
    </w:p>
    <w:p w:rsidR="00E00F4C" w:rsidP="00E00F4C">
      <w:pPr>
        <w:pStyle w:val="BodyText"/>
        <w:spacing w:before="60" w:after="6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 Odhad dopadov na životné prostredie</w:t>
      </w:r>
    </w:p>
    <w:p w:rsidR="00E00F4C" w:rsidP="00E00F4C">
      <w:pPr>
        <w:pStyle w:val="BodyText"/>
        <w:spacing w:before="60" w:after="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Návrh zákona nebude mať  vplyv na životné prostredie.</w:t>
      </w:r>
    </w:p>
    <w:p w:rsidR="00E00F4C" w:rsidP="00E00F4C">
      <w:pPr>
        <w:pStyle w:val="BodyText"/>
        <w:spacing w:before="60" w:after="60"/>
        <w:ind w:firstLine="708"/>
        <w:jc w:val="both"/>
        <w:rPr>
          <w:rFonts w:ascii="Times New Roman" w:hAnsi="Times New Roman"/>
          <w:b/>
          <w:bCs/>
        </w:rPr>
      </w:pPr>
    </w:p>
    <w:p w:rsidR="00E00F4C" w:rsidP="00E00F4C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Odhad dopadov na zamestnanosť</w:t>
      </w:r>
    </w:p>
    <w:p w:rsidR="00E00F4C" w:rsidP="00E00F4C">
      <w:pPr>
        <w:pStyle w:val="BodyText"/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 </w:t>
      </w:r>
      <w:r w:rsidR="00AB57DC">
        <w:rPr>
          <w:rFonts w:ascii="Times New Roman" w:hAnsi="Times New Roman"/>
        </w:rPr>
        <w:t xml:space="preserve">nebude mať zásadný vplyv </w:t>
      </w:r>
      <w:r>
        <w:rPr>
          <w:rFonts w:ascii="Times New Roman" w:hAnsi="Times New Roman"/>
        </w:rPr>
        <w:t xml:space="preserve"> na nezamestnanosť občanov Slovenskej republiky.</w:t>
      </w:r>
    </w:p>
    <w:p w:rsidR="00E00F4C" w:rsidP="00E00F4C">
      <w:pPr>
        <w:pStyle w:val="BodyText"/>
        <w:spacing w:before="60" w:after="60"/>
        <w:jc w:val="both"/>
        <w:rPr>
          <w:rFonts w:ascii="Times New Roman" w:hAnsi="Times New Roman"/>
        </w:rPr>
      </w:pPr>
    </w:p>
    <w:p w:rsidR="00E00F4C" w:rsidP="00E00F4C">
      <w:pPr>
        <w:pStyle w:val="BodyText"/>
        <w:spacing w:before="60" w:after="60"/>
        <w:ind w:firstLine="5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bCs/>
        </w:rPr>
        <w:t>Osobitná časť</w:t>
      </w:r>
    </w:p>
    <w:p w:rsidR="00E00F4C" w:rsidP="00E00F4C">
      <w:pPr>
        <w:pStyle w:val="BodyText"/>
        <w:spacing w:before="60" w:after="60"/>
        <w:ind w:firstLine="360"/>
        <w:jc w:val="both"/>
        <w:rPr>
          <w:rFonts w:ascii="Times New Roman" w:hAnsi="Times New Roman"/>
        </w:rPr>
      </w:pPr>
    </w:p>
    <w:p w:rsidR="00E00F4C" w:rsidP="00E00F4C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Čl. I</w:t>
      </w:r>
    </w:p>
    <w:p w:rsidR="00E00F4C" w:rsidP="00E00F4C">
      <w:pPr>
        <w:pStyle w:val="BodyText"/>
        <w:spacing w:before="60" w:after="60"/>
        <w:jc w:val="both"/>
        <w:rPr>
          <w:rFonts w:ascii="Times New Roman" w:hAnsi="Times New Roman"/>
          <w:b/>
          <w:bCs/>
        </w:rPr>
      </w:pPr>
    </w:p>
    <w:p w:rsidR="00E00F4C" w:rsidP="00E00F4C">
      <w:pPr>
        <w:pStyle w:val="BodyText"/>
        <w:spacing w:before="60" w:after="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bodu 1 </w:t>
      </w:r>
    </w:p>
    <w:p w:rsidR="00E429C1" w:rsidRPr="00E429C1" w:rsidP="00E00F4C">
      <w:pPr>
        <w:pStyle w:val="BodyText"/>
        <w:spacing w:before="60" w:after="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</w:t>
      </w:r>
      <w:r w:rsidR="00DB4CD4">
        <w:rPr>
          <w:rFonts w:ascii="Times New Roman" w:hAnsi="Times New Roman"/>
          <w:bCs/>
        </w:rPr>
        <w:t>Vypúšťa</w:t>
      </w:r>
      <w:r w:rsidRPr="00656DEC" w:rsidR="00DB4CD4">
        <w:rPr>
          <w:rFonts w:ascii="Times New Roman" w:hAnsi="Times New Roman"/>
          <w:bCs/>
        </w:rPr>
        <w:t xml:space="preserve"> sa pojem kasíno v rekreačnom komplexe a jeho charakteristika.</w:t>
      </w:r>
    </w:p>
    <w:p w:rsidR="00E00F4C" w:rsidRPr="008475A8" w:rsidP="00E00F4C">
      <w:pPr>
        <w:pStyle w:val="BodyText"/>
        <w:spacing w:before="60" w:after="60"/>
        <w:jc w:val="both"/>
        <w:rPr>
          <w:rFonts w:ascii="Times New Roman" w:hAnsi="Times New Roman"/>
          <w:bCs/>
        </w:rPr>
      </w:pP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bodu 2</w:t>
      </w:r>
    </w:p>
    <w:p w:rsidR="00DB4CD4" w:rsidP="00DB4CD4">
      <w:pPr>
        <w:pStyle w:val="BodyText"/>
        <w:spacing w:before="60" w:after="60"/>
        <w:jc w:val="both"/>
        <w:rPr>
          <w:rFonts w:ascii="Times New Roman" w:hAnsi="Times New Roman"/>
          <w:bCs/>
        </w:rPr>
      </w:pPr>
      <w:r w:rsidRPr="00DB4CD4">
        <w:rPr>
          <w:rFonts w:ascii="Times New Roman" w:hAnsi="Times New Roman"/>
          <w:bCs/>
        </w:rPr>
        <w:t xml:space="preserve">          Vzhľadom na bod jedna sa vypúš</w:t>
      </w:r>
      <w:r>
        <w:rPr>
          <w:rFonts w:ascii="Times New Roman" w:hAnsi="Times New Roman"/>
          <w:bCs/>
        </w:rPr>
        <w:t>ťa osobitný druh licencie.</w:t>
      </w:r>
    </w:p>
    <w:p w:rsidR="00DB4CD4" w:rsidP="00DB4CD4">
      <w:pPr>
        <w:pStyle w:val="BodyText"/>
        <w:spacing w:before="60" w:after="60"/>
        <w:jc w:val="both"/>
        <w:rPr>
          <w:rFonts w:ascii="Times New Roman" w:hAnsi="Times New Roman"/>
          <w:bCs/>
        </w:rPr>
      </w:pP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bodu 3</w:t>
      </w: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  </w:t>
      </w:r>
      <w:r w:rsidRPr="00DB4CD4">
        <w:rPr>
          <w:rFonts w:ascii="Times New Roman" w:hAnsi="Times New Roman"/>
          <w:bCs/>
        </w:rPr>
        <w:t>Vzhľadom na bod jedna sa vypúš</w:t>
      </w:r>
      <w:r w:rsidR="00105C3D">
        <w:rPr>
          <w:rFonts w:ascii="Times New Roman" w:hAnsi="Times New Roman"/>
          <w:bCs/>
        </w:rPr>
        <w:t>ťa osobitná výška základného imania</w:t>
      </w:r>
      <w:r>
        <w:rPr>
          <w:rFonts w:ascii="Times New Roman" w:hAnsi="Times New Roman"/>
          <w:bCs/>
        </w:rPr>
        <w:t>.</w:t>
      </w:r>
    </w:p>
    <w:p w:rsidR="00105C3D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bodu </w:t>
      </w:r>
      <w:r w:rsidR="00105C3D">
        <w:rPr>
          <w:rFonts w:ascii="Times New Roman" w:hAnsi="Times New Roman"/>
          <w:b/>
          <w:bCs/>
        </w:rPr>
        <w:t>4</w:t>
      </w: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  <w:r w:rsidR="00105C3D">
        <w:rPr>
          <w:rFonts w:ascii="Times New Roman" w:hAnsi="Times New Roman"/>
          <w:bCs/>
        </w:rPr>
        <w:t xml:space="preserve">            </w:t>
      </w:r>
      <w:r w:rsidRPr="00DB4CD4" w:rsidR="00105C3D">
        <w:rPr>
          <w:rFonts w:ascii="Times New Roman" w:hAnsi="Times New Roman"/>
          <w:bCs/>
        </w:rPr>
        <w:t>Vzhľadom na bod jedna sa vypúš</w:t>
      </w:r>
      <w:r w:rsidR="00105C3D">
        <w:rPr>
          <w:rFonts w:ascii="Times New Roman" w:hAnsi="Times New Roman"/>
          <w:bCs/>
        </w:rPr>
        <w:t>ťa</w:t>
      </w:r>
      <w:r w:rsidR="00BB1FF4">
        <w:rPr>
          <w:rFonts w:ascii="Times New Roman" w:hAnsi="Times New Roman"/>
          <w:bCs/>
        </w:rPr>
        <w:t>jú</w:t>
      </w:r>
      <w:r w:rsidR="00105C3D">
        <w:rPr>
          <w:rFonts w:ascii="Times New Roman" w:hAnsi="Times New Roman"/>
          <w:bCs/>
        </w:rPr>
        <w:t xml:space="preserve"> osobitné náležitosti pre žiadosť o udelenie licencie.</w:t>
      </w: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bodu </w:t>
      </w:r>
      <w:r w:rsidR="00105C3D">
        <w:rPr>
          <w:rFonts w:ascii="Times New Roman" w:hAnsi="Times New Roman"/>
          <w:b/>
          <w:bCs/>
        </w:rPr>
        <w:t>5</w:t>
      </w:r>
    </w:p>
    <w:p w:rsidR="00105C3D" w:rsidRPr="00105C3D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    </w:t>
      </w:r>
      <w:r w:rsidRPr="00105C3D">
        <w:rPr>
          <w:rFonts w:ascii="Times New Roman" w:hAnsi="Times New Roman"/>
          <w:bCs/>
        </w:rPr>
        <w:t>Vypúšťa sa 30 ročná doba na licenciu pre kasíno v rekreačnom komplexe</w:t>
      </w: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bodu </w:t>
      </w:r>
      <w:r w:rsidR="00105C3D">
        <w:rPr>
          <w:rFonts w:ascii="Times New Roman" w:hAnsi="Times New Roman"/>
          <w:b/>
          <w:bCs/>
        </w:rPr>
        <w:t>6 a 7</w:t>
      </w:r>
    </w:p>
    <w:p w:rsidR="00105C3D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Vzhľadom na bod 1 § 27a </w:t>
      </w:r>
      <w:r w:rsidR="00BB1FF4">
        <w:rPr>
          <w:rFonts w:ascii="Times New Roman" w:hAnsi="Times New Roman"/>
          <w:bCs/>
        </w:rPr>
        <w:t xml:space="preserve"> ako </w:t>
      </w:r>
      <w:r>
        <w:rPr>
          <w:rFonts w:ascii="Times New Roman" w:hAnsi="Times New Roman"/>
          <w:bCs/>
        </w:rPr>
        <w:t>aj osobitná zábezpeka strácajú zmysel.</w:t>
      </w:r>
    </w:p>
    <w:p w:rsidR="00105C3D" w:rsidRPr="00105C3D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</w:p>
    <w:p w:rsidR="00105C3D" w:rsidP="00105C3D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bodu 8</w:t>
      </w: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  <w:r w:rsidR="008C6183">
        <w:rPr>
          <w:rFonts w:ascii="Times New Roman" w:hAnsi="Times New Roman"/>
          <w:bCs/>
        </w:rPr>
        <w:t xml:space="preserve">              V</w:t>
      </w:r>
      <w:r w:rsidR="00105C3D">
        <w:rPr>
          <w:rFonts w:ascii="Times New Roman" w:hAnsi="Times New Roman"/>
          <w:bCs/>
        </w:rPr>
        <w:t xml:space="preserve">ypúšťa sa </w:t>
      </w:r>
      <w:r w:rsidR="008C6183">
        <w:rPr>
          <w:rFonts w:ascii="Times New Roman" w:hAnsi="Times New Roman"/>
          <w:bCs/>
        </w:rPr>
        <w:t>zvýhodnenie veľkoprevádzkovateľov degresívnou odvodovou povinnosťou.</w:t>
      </w:r>
    </w:p>
    <w:p w:rsidR="00DB4CD4" w:rsidP="00DB4CD4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</w:t>
      </w:r>
    </w:p>
    <w:p w:rsidR="00DB4CD4" w:rsidRPr="00DB4CD4" w:rsidP="008C6183">
      <w:pPr>
        <w:pStyle w:val="BodyText"/>
        <w:spacing w:before="60" w:after="60"/>
        <w:jc w:val="both"/>
        <w:outlineLvl w:val="0"/>
        <w:rPr>
          <w:rFonts w:ascii="Times New Roman" w:hAnsi="Times New Roman"/>
          <w:bCs/>
        </w:rPr>
      </w:pPr>
      <w:r w:rsidR="008C6183">
        <w:rPr>
          <w:rFonts w:ascii="Times New Roman" w:hAnsi="Times New Roman"/>
          <w:bCs/>
        </w:rPr>
        <w:t xml:space="preserve">   </w:t>
      </w:r>
    </w:p>
    <w:p w:rsidR="008C6183" w:rsidP="008C6183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bodu 9</w:t>
      </w:r>
    </w:p>
    <w:p w:rsidR="00E00F4C" w:rsidP="008C6183">
      <w:pPr>
        <w:pStyle w:val="BodyText"/>
        <w:spacing w:before="60" w:after="60"/>
        <w:jc w:val="both"/>
        <w:outlineLvl w:val="0"/>
        <w:rPr>
          <w:rFonts w:ascii="Times New Roman" w:hAnsi="Times New Roman"/>
        </w:rPr>
      </w:pPr>
      <w:r w:rsidR="008C6183">
        <w:rPr>
          <w:rFonts w:ascii="Times New Roman" w:hAnsi="Times New Roman"/>
          <w:b/>
          <w:bCs/>
        </w:rPr>
        <w:t xml:space="preserve">              </w:t>
      </w:r>
      <w:r w:rsidR="008C6183">
        <w:rPr>
          <w:rFonts w:ascii="Times New Roman" w:hAnsi="Times New Roman"/>
        </w:rPr>
        <w:t xml:space="preserve">Reguluje sa </w:t>
      </w:r>
      <w:r w:rsidR="00293676">
        <w:rPr>
          <w:rFonts w:ascii="Times New Roman" w:hAnsi="Times New Roman"/>
        </w:rPr>
        <w:t xml:space="preserve">umiestňovanie výherných prístrojov </w:t>
      </w:r>
      <w:r w:rsidR="008C6183">
        <w:rPr>
          <w:rFonts w:ascii="Times New Roman" w:hAnsi="Times New Roman"/>
        </w:rPr>
        <w:t>len do herní s obmedzením ich rozsahu (horný limit prevzatý z Poľska ) z dôvodu lepšej kontroly prístupu osôb do 18 rokov a zakazuje sa požívať alkoholické nápoje pri hraní.</w:t>
      </w:r>
    </w:p>
    <w:p w:rsidR="008C6183" w:rsidP="00554CA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</w:p>
    <w:p w:rsidR="00554CA4" w:rsidP="00554CA4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</w:t>
      </w:r>
      <w:r w:rsidR="00427EEA">
        <w:rPr>
          <w:rFonts w:ascii="Times New Roman" w:hAnsi="Times New Roman"/>
          <w:b/>
          <w:bCs/>
        </w:rPr>
        <w:t> </w:t>
      </w:r>
      <w:r w:rsidR="008C6183">
        <w:rPr>
          <w:rFonts w:ascii="Times New Roman" w:hAnsi="Times New Roman"/>
          <w:b/>
          <w:bCs/>
        </w:rPr>
        <w:t>bodu 10</w:t>
      </w:r>
    </w:p>
    <w:p w:rsidR="00554CA4" w:rsidRPr="00427EEA" w:rsidP="00554CA4">
      <w:pPr>
        <w:pStyle w:val="BodyText"/>
        <w:spacing w:before="60" w:after="6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427EEA" w:rsidR="00427EEA">
        <w:rPr>
          <w:rFonts w:ascii="Times New Roman" w:hAnsi="Times New Roman"/>
          <w:bCs/>
        </w:rPr>
        <w:t>Hracie automaty umiestnené na základe licencie udelenej pred účinnosťou zákona budú prevádzkované podľa pôvodných pravidiel</w:t>
      </w:r>
      <w:r w:rsidR="00427EEA">
        <w:rPr>
          <w:rFonts w:ascii="Times New Roman" w:hAnsi="Times New Roman"/>
          <w:bCs/>
        </w:rPr>
        <w:t>.</w:t>
      </w:r>
    </w:p>
    <w:p w:rsidR="00554CA4" w:rsidP="00E00F4C">
      <w:pPr>
        <w:pStyle w:val="BodyText"/>
        <w:spacing w:before="60" w:after="60"/>
        <w:jc w:val="both"/>
        <w:rPr>
          <w:rFonts w:ascii="Times New Roman" w:hAnsi="Times New Roman"/>
          <w:b/>
          <w:bCs/>
        </w:rPr>
      </w:pPr>
    </w:p>
    <w:p w:rsidR="008C6183" w:rsidP="008C6183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Čl. II</w:t>
      </w:r>
    </w:p>
    <w:p w:rsidR="00B87208" w:rsidP="008C6183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</w:p>
    <w:p w:rsidR="00B87208" w:rsidP="008C6183">
      <w:pPr>
        <w:pStyle w:val="BodyText"/>
        <w:spacing w:before="60" w:after="6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 bodom 1-3</w:t>
      </w:r>
    </w:p>
    <w:p w:rsidR="00B87208" w:rsidP="00B87208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</w:t>
      </w:r>
      <w:r>
        <w:rPr>
          <w:rFonts w:ascii="Times New Roman" w:hAnsi="Times New Roman"/>
          <w:bCs/>
        </w:rPr>
        <w:t xml:space="preserve"> </w:t>
      </w:r>
      <w:r w:rsidRPr="00DB4CD4">
        <w:rPr>
          <w:rFonts w:ascii="Times New Roman" w:hAnsi="Times New Roman"/>
          <w:bCs/>
        </w:rPr>
        <w:t>Vzhľadom na</w:t>
      </w:r>
      <w:r>
        <w:rPr>
          <w:rFonts w:ascii="Times New Roman" w:hAnsi="Times New Roman"/>
        </w:rPr>
        <w:t xml:space="preserve"> v</w:t>
      </w:r>
      <w:r>
        <w:rPr>
          <w:rFonts w:ascii="Times New Roman" w:hAnsi="Times New Roman"/>
          <w:bCs/>
        </w:rPr>
        <w:t>ypustenie</w:t>
      </w:r>
      <w:r w:rsidRPr="00656DEC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poj</w:t>
      </w:r>
      <w:r w:rsidRPr="00656DEC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>u</w:t>
      </w:r>
      <w:r w:rsidRPr="00656DEC">
        <w:rPr>
          <w:rFonts w:ascii="Times New Roman" w:hAnsi="Times New Roman"/>
          <w:bCs/>
        </w:rPr>
        <w:t xml:space="preserve"> kasíno v rekreačnom komplexe</w:t>
      </w:r>
      <w:r>
        <w:rPr>
          <w:rFonts w:ascii="Times New Roman" w:hAnsi="Times New Roman"/>
          <w:bCs/>
        </w:rPr>
        <w:t xml:space="preserve"> je potrebné </w:t>
      </w:r>
      <w:r w:rsidRPr="00656DEC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v zákone </w:t>
      </w:r>
      <w:r>
        <w:rPr>
          <w:rFonts w:ascii="Times New Roman" w:hAnsi="Times New Roman"/>
          <w:color w:val="231F20"/>
        </w:rPr>
        <w:t xml:space="preserve">o správnych poplatkoch  odstrániť ustanovenia viažuce sa k nemu. </w:t>
      </w:r>
    </w:p>
    <w:p w:rsidR="00B87208" w:rsidRPr="00B87208" w:rsidP="008C6183">
      <w:pPr>
        <w:pStyle w:val="BodyText"/>
        <w:spacing w:before="60" w:after="60"/>
        <w:jc w:val="both"/>
        <w:outlineLvl w:val="0"/>
        <w:rPr>
          <w:rFonts w:ascii="Times New Roman" w:hAnsi="Times New Roman"/>
        </w:rPr>
      </w:pPr>
    </w:p>
    <w:p w:rsidR="00554CA4" w:rsidP="00E00F4C">
      <w:pPr>
        <w:pStyle w:val="BodyText"/>
        <w:spacing w:before="60" w:after="60"/>
        <w:jc w:val="both"/>
        <w:rPr>
          <w:rFonts w:ascii="Times New Roman" w:hAnsi="Times New Roman"/>
          <w:b/>
          <w:bCs/>
        </w:rPr>
      </w:pPr>
    </w:p>
    <w:p w:rsidR="00E00F4C" w:rsidP="00E00F4C">
      <w:pPr>
        <w:pStyle w:val="BodyText"/>
        <w:spacing w:before="60" w:after="6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K Čl. I</w:t>
      </w:r>
      <w:r w:rsidR="000F3085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I</w:t>
      </w:r>
    </w:p>
    <w:p w:rsidR="00E00F4C" w:rsidP="00E00F4C">
      <w:pPr>
        <w:pStyle w:val="BodyText"/>
        <w:spacing w:before="60" w:after="60"/>
        <w:ind w:firstLine="540"/>
        <w:jc w:val="both"/>
        <w:rPr>
          <w:rFonts w:ascii="Times New Roman" w:hAnsi="Times New Roman"/>
        </w:rPr>
      </w:pPr>
      <w:r w:rsidR="00554CA4">
        <w:rPr>
          <w:rFonts w:ascii="Times New Roman" w:hAnsi="Times New Roman"/>
        </w:rPr>
        <w:t>Z</w:t>
      </w:r>
      <w:r>
        <w:rPr>
          <w:rFonts w:ascii="Times New Roman" w:hAnsi="Times New Roman"/>
        </w:rPr>
        <w:t>ákon</w:t>
      </w:r>
      <w:r w:rsidR="00554CA4">
        <w:rPr>
          <w:rFonts w:ascii="Times New Roman" w:hAnsi="Times New Roman"/>
        </w:rPr>
        <w:t xml:space="preserve"> síce</w:t>
      </w:r>
      <w:r>
        <w:rPr>
          <w:rFonts w:ascii="Times New Roman" w:hAnsi="Times New Roman"/>
        </w:rPr>
        <w:t xml:space="preserve"> upravuje nové povinnosti dotknutých subjektov, </w:t>
      </w:r>
      <w:r w:rsidR="00554CA4">
        <w:rPr>
          <w:rFonts w:ascii="Times New Roman" w:hAnsi="Times New Roman"/>
        </w:rPr>
        <w:t xml:space="preserve">ale </w:t>
      </w:r>
      <w:r>
        <w:rPr>
          <w:rFonts w:ascii="Times New Roman" w:hAnsi="Times New Roman"/>
        </w:rPr>
        <w:t xml:space="preserve"> so zreteľom na </w:t>
      </w:r>
      <w:r w:rsidR="000F3085">
        <w:rPr>
          <w:rFonts w:ascii="Times New Roman" w:hAnsi="Times New Roman"/>
        </w:rPr>
        <w:t xml:space="preserve">to, že ide o činnosť licencovanú po dni účinnosti úpravy nie je </w:t>
      </w:r>
      <w:r w:rsidR="00232322">
        <w:rPr>
          <w:rFonts w:ascii="Times New Roman" w:hAnsi="Times New Roman"/>
        </w:rPr>
        <w:t>legisvakančná</w:t>
      </w:r>
      <w:r>
        <w:rPr>
          <w:rFonts w:ascii="Times New Roman" w:hAnsi="Times New Roman"/>
        </w:rPr>
        <w:t xml:space="preserve"> lehota</w:t>
      </w:r>
      <w:r w:rsidR="00293676">
        <w:rPr>
          <w:rFonts w:ascii="Times New Roman" w:hAnsi="Times New Roman"/>
        </w:rPr>
        <w:t xml:space="preserve"> potrebná.</w:t>
      </w:r>
    </w:p>
    <w:p w:rsidR="00E00F4C" w:rsidP="00E00F4C">
      <w:pPr>
        <w:rPr>
          <w:rFonts w:ascii="Times New Roman" w:hAnsi="Times New Roman"/>
        </w:rPr>
      </w:pPr>
    </w:p>
    <w:p w:rsidR="00E00F4C" w:rsidP="00E00F4C">
      <w:pPr>
        <w:rPr>
          <w:rFonts w:ascii="Times New Roman" w:hAnsi="Times New Roman"/>
        </w:rPr>
      </w:pPr>
    </w:p>
    <w:p w:rsidR="00E00F4C" w:rsidP="00E00F4C">
      <w:pPr>
        <w:rPr>
          <w:rFonts w:ascii="Times New Roman" w:hAnsi="Times New Roman"/>
        </w:rPr>
      </w:pPr>
    </w:p>
    <w:p w:rsidR="00E00F4C" w:rsidRPr="00B47186" w:rsidP="00B063D2">
      <w:pPr>
        <w:jc w:val="both"/>
        <w:rPr>
          <w:rFonts w:ascii="Times New Roman" w:hAnsi="Times New Roman"/>
        </w:rPr>
      </w:pPr>
    </w:p>
    <w:sectPr>
      <w:pgSz w:w="11907" w:h="16840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B04"/>
    <w:multiLevelType w:val="hybridMultilevel"/>
    <w:tmpl w:val="29947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850A8"/>
    <w:multiLevelType w:val="hybridMultilevel"/>
    <w:tmpl w:val="2E028AF8"/>
    <w:lvl w:ilvl="0">
      <w:start w:val="1"/>
      <w:numFmt w:val="lowerLetter"/>
      <w:lvlText w:val="%1)"/>
      <w:lvlJc w:val="left"/>
      <w:pPr>
        <w:tabs>
          <w:tab w:val="num" w:pos="-177"/>
        </w:tabs>
        <w:ind w:left="521" w:hanging="341"/>
      </w:pPr>
    </w:lvl>
    <w:lvl w:ilvl="1">
      <w:start w:val="1"/>
      <w:numFmt w:val="lowerLetter"/>
      <w:lvlText w:val="%2)"/>
      <w:lvlJc w:val="left"/>
      <w:pPr>
        <w:tabs>
          <w:tab w:val="num" w:pos="543"/>
        </w:tabs>
        <w:ind w:left="543" w:hanging="360"/>
      </w:pPr>
    </w:lvl>
    <w:lvl w:ilvl="2">
      <w:start w:val="1"/>
      <w:numFmt w:val="lowerRoman"/>
      <w:lvlText w:val="%3."/>
      <w:lvlJc w:val="right"/>
      <w:pPr>
        <w:tabs>
          <w:tab w:val="num" w:pos="1263"/>
        </w:tabs>
        <w:ind w:left="1263" w:hanging="180"/>
      </w:pPr>
    </w:lvl>
    <w:lvl w:ilvl="3">
      <w:start w:val="1"/>
      <w:numFmt w:val="decimal"/>
      <w:lvlText w:val="%4."/>
      <w:lvlJc w:val="left"/>
      <w:pPr>
        <w:tabs>
          <w:tab w:val="num" w:pos="1983"/>
        </w:tabs>
        <w:ind w:left="1983" w:hanging="360"/>
      </w:pPr>
    </w:lvl>
    <w:lvl w:ilvl="4">
      <w:start w:val="1"/>
      <w:numFmt w:val="lowerLetter"/>
      <w:lvlText w:val="%5."/>
      <w:lvlJc w:val="left"/>
      <w:pPr>
        <w:tabs>
          <w:tab w:val="num" w:pos="2703"/>
        </w:tabs>
        <w:ind w:left="2703" w:hanging="360"/>
      </w:pPr>
    </w:lvl>
    <w:lvl w:ilvl="5">
      <w:start w:val="1"/>
      <w:numFmt w:val="lowerRoman"/>
      <w:lvlText w:val="%6."/>
      <w:lvlJc w:val="right"/>
      <w:pPr>
        <w:tabs>
          <w:tab w:val="num" w:pos="3423"/>
        </w:tabs>
        <w:ind w:left="3423" w:hanging="180"/>
      </w:pPr>
    </w:lvl>
    <w:lvl w:ilvl="6">
      <w:start w:val="1"/>
      <w:numFmt w:val="decimal"/>
      <w:lvlText w:val="%7."/>
      <w:lvlJc w:val="left"/>
      <w:pPr>
        <w:tabs>
          <w:tab w:val="num" w:pos="4143"/>
        </w:tabs>
        <w:ind w:left="4143" w:hanging="360"/>
      </w:pPr>
    </w:lvl>
    <w:lvl w:ilvl="7">
      <w:start w:val="1"/>
      <w:numFmt w:val="lowerLetter"/>
      <w:lvlText w:val="%8."/>
      <w:lvlJc w:val="left"/>
      <w:pPr>
        <w:tabs>
          <w:tab w:val="num" w:pos="4863"/>
        </w:tabs>
        <w:ind w:left="4863" w:hanging="360"/>
      </w:pPr>
    </w:lvl>
    <w:lvl w:ilvl="8">
      <w:start w:val="1"/>
      <w:numFmt w:val="lowerRoman"/>
      <w:lvlText w:val="%9."/>
      <w:lvlJc w:val="right"/>
      <w:pPr>
        <w:tabs>
          <w:tab w:val="num" w:pos="5583"/>
        </w:tabs>
        <w:ind w:left="5583" w:hanging="180"/>
      </w:pPr>
    </w:lvl>
  </w:abstractNum>
  <w:abstractNum w:abstractNumId="2">
    <w:nsid w:val="1C895EC5"/>
    <w:multiLevelType w:val="multilevel"/>
    <w:tmpl w:val="F6C6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031C17"/>
    <w:multiLevelType w:val="hybridMultilevel"/>
    <w:tmpl w:val="29947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F6D33"/>
    <w:multiLevelType w:val="hybridMultilevel"/>
    <w:tmpl w:val="F6C6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7A0174"/>
    <w:multiLevelType w:val="hybridMultilevel"/>
    <w:tmpl w:val="0E285FEE"/>
    <w:lvl w:ilvl="0">
      <w:start w:val="2"/>
      <w:numFmt w:val="decimal"/>
      <w:lvlText w:val="(%1)"/>
      <w:lvlJc w:val="left"/>
      <w:pPr>
        <w:tabs>
          <w:tab w:val="num" w:pos="990"/>
        </w:tabs>
        <w:ind w:left="990" w:hanging="63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BE345D"/>
    <w:multiLevelType w:val="hybridMultilevel"/>
    <w:tmpl w:val="1012D4CA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7">
    <w:nsid w:val="7F356C1B"/>
    <w:multiLevelType w:val="hybridMultilevel"/>
    <w:tmpl w:val="C75A6BE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A2FA1"/>
    <w:rsid w:val="000C09F7"/>
    <w:rsid w:val="000F3085"/>
    <w:rsid w:val="00105C3D"/>
    <w:rsid w:val="001B099D"/>
    <w:rsid w:val="00232322"/>
    <w:rsid w:val="0025054C"/>
    <w:rsid w:val="00293676"/>
    <w:rsid w:val="003A7CDE"/>
    <w:rsid w:val="003B46ED"/>
    <w:rsid w:val="00427EEA"/>
    <w:rsid w:val="00554CA4"/>
    <w:rsid w:val="006159F9"/>
    <w:rsid w:val="00656DEC"/>
    <w:rsid w:val="006C3104"/>
    <w:rsid w:val="00761B35"/>
    <w:rsid w:val="008475A8"/>
    <w:rsid w:val="008C6183"/>
    <w:rsid w:val="008D4915"/>
    <w:rsid w:val="009118B0"/>
    <w:rsid w:val="0094496F"/>
    <w:rsid w:val="00990E56"/>
    <w:rsid w:val="00AB57DC"/>
    <w:rsid w:val="00AD08D6"/>
    <w:rsid w:val="00B063D2"/>
    <w:rsid w:val="00B47186"/>
    <w:rsid w:val="00B87208"/>
    <w:rsid w:val="00BB1FF4"/>
    <w:rsid w:val="00CA315F"/>
    <w:rsid w:val="00D94F2A"/>
    <w:rsid w:val="00DA53D7"/>
    <w:rsid w:val="00DB4CD4"/>
    <w:rsid w:val="00E00F4C"/>
    <w:rsid w:val="00E429C1"/>
    <w:rsid w:val="00E95761"/>
    <w:rsid w:val="00F7681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cs="Helvetica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27981"/>
    <w:pPr>
      <w:keepNext/>
      <w:spacing w:line="300" w:lineRule="atLeast"/>
      <w:jc w:val="center"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qFormat/>
    <w:rsid w:val="00990E56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90E56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paragraph" w:customStyle="1" w:styleId="Zkladntext">
    <w:name w:val="Základní text"/>
    <w:rsid w:val="008E781C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0"/>
      <w:szCs w:val="24"/>
      <w:rtl w:val="0"/>
      <w:lang w:val="sk-SK" w:bidi="ar-SA"/>
    </w:rPr>
  </w:style>
  <w:style w:type="paragraph" w:styleId="BodyText">
    <w:name w:val="Body Text"/>
    <w:basedOn w:val="Normal"/>
    <w:rsid w:val="006C3104"/>
    <w:pPr>
      <w:spacing w:after="120"/>
      <w:jc w:val="left"/>
    </w:pPr>
    <w:rPr>
      <w:rFonts w:cs="Times New Roman"/>
    </w:rPr>
  </w:style>
  <w:style w:type="paragraph" w:styleId="Title">
    <w:name w:val="Title"/>
    <w:basedOn w:val="Normal"/>
    <w:qFormat/>
    <w:rsid w:val="006C3104"/>
    <w:pPr>
      <w:jc w:val="center"/>
    </w:pPr>
    <w:rPr>
      <w:rFonts w:cs="Times New Roman"/>
      <w:b/>
      <w:bCs/>
    </w:rPr>
  </w:style>
  <w:style w:type="paragraph" w:styleId="BodyText2">
    <w:name w:val="Body Text 2"/>
    <w:basedOn w:val="Normal"/>
    <w:rsid w:val="006C3104"/>
    <w:pPr>
      <w:jc w:val="center"/>
    </w:pPr>
    <w:rPr>
      <w:rFonts w:cs="Times New Roman"/>
      <w:b/>
      <w:bCs/>
    </w:rPr>
  </w:style>
  <w:style w:type="paragraph" w:styleId="BalloonText">
    <w:name w:val="Balloon Text"/>
    <w:basedOn w:val="Normal"/>
    <w:semiHidden/>
    <w:rsid w:val="006C3104"/>
    <w:pPr>
      <w:jc w:val="left"/>
    </w:pPr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E00F4C"/>
    <w:pPr>
      <w:spacing w:after="120" w:line="480" w:lineRule="auto"/>
      <w:ind w:left="283"/>
      <w:jc w:val="left"/>
    </w:pPr>
    <w:rPr>
      <w:rFonts w:cs="Times New Roman"/>
    </w:rPr>
  </w:style>
  <w:style w:type="paragraph" w:styleId="BodyText3">
    <w:name w:val="Body Text 3"/>
    <w:basedOn w:val="Normal"/>
    <w:rsid w:val="00E00F4C"/>
    <w:pPr>
      <w:spacing w:after="120"/>
      <w:jc w:val="left"/>
    </w:pPr>
    <w:rPr>
      <w:rFonts w:cs="Times New Roman"/>
      <w:sz w:val="16"/>
      <w:szCs w:val="16"/>
    </w:rPr>
  </w:style>
  <w:style w:type="paragraph" w:styleId="BodyTextIndent3">
    <w:name w:val="Body Text Indent 3"/>
    <w:basedOn w:val="Normal"/>
    <w:rsid w:val="00E00F4C"/>
    <w:pPr>
      <w:spacing w:after="120"/>
      <w:ind w:left="283"/>
      <w:jc w:val="left"/>
    </w:pPr>
    <w:rPr>
      <w:rFonts w:cs="Times New Roman"/>
      <w:sz w:val="16"/>
      <w:szCs w:val="16"/>
    </w:rPr>
  </w:style>
  <w:style w:type="paragraph" w:customStyle="1" w:styleId="tlNadpisbodov11pt">
    <w:name w:val="Štýl Nadpis bodov + 11 pt"/>
    <w:basedOn w:val="Normal"/>
    <w:rsid w:val="00E00F4C"/>
    <w:pPr>
      <w:tabs>
        <w:tab w:val="left" w:pos="360"/>
      </w:tabs>
      <w:spacing w:after="120"/>
      <w:jc w:val="both"/>
    </w:pPr>
    <w:rPr>
      <w:rFonts w:cs="Times New Roman"/>
      <w:b/>
      <w:bCs/>
    </w:rPr>
  </w:style>
  <w:style w:type="paragraph" w:styleId="ListParagraph">
    <w:name w:val="List Paragraph"/>
    <w:basedOn w:val="Normal"/>
    <w:qFormat/>
    <w:rsid w:val="00990E56"/>
    <w:pPr>
      <w:ind w:left="720"/>
      <w:contextualSpacing/>
      <w:jc w:val="left"/>
    </w:pPr>
    <w:rPr>
      <w:rFonts w:cs="Times New Roman"/>
      <w:sz w:val="22"/>
      <w:szCs w:val="22"/>
      <w:lang w:val="en-GB"/>
    </w:rPr>
  </w:style>
  <w:style w:type="paragraph" w:customStyle="1" w:styleId="AONormal">
    <w:name w:val="AONormal"/>
    <w:rsid w:val="00990E56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2"/>
      <w:rtl w:val="0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9</Pages>
  <Words>2219</Words>
  <Characters>12654</Characters>
  <Application>Microsoft Office Word</Application>
  <DocSecurity>0</DocSecurity>
  <Lines>0</Lines>
  <Paragraphs>0</Paragraphs>
  <ScaleCrop>false</ScaleCrop>
  <Company>Kancelaria NR SR</Company>
  <LinksUpToDate>false</LinksUpToDate>
  <CharactersWithSpaces>14844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 S L OV E N S K E J   R E P U B L I K Y</dc:title>
  <dc:creator>Pavol_Minarik</dc:creator>
  <cp:lastModifiedBy>GaspJarm</cp:lastModifiedBy>
  <cp:revision>2</cp:revision>
  <cp:lastPrinted>2009-12-17T13:58:00Z</cp:lastPrinted>
  <dcterms:created xsi:type="dcterms:W3CDTF">2010-01-05T13:03:00Z</dcterms:created>
  <dcterms:modified xsi:type="dcterms:W3CDTF">2010-01-05T13:03:00Z</dcterms:modified>
</cp:coreProperties>
</file>