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744C" w:rsidP="00922DFE">
      <w:pPr>
        <w:rPr>
          <w:rFonts w:cs="Calibri"/>
          <w:b/>
          <w:u w:val="single"/>
        </w:rPr>
      </w:pPr>
    </w:p>
    <w:p w:rsidR="00922DFE" w:rsidRPr="007F5609" w:rsidP="00922DFE">
      <w:pPr>
        <w:rPr>
          <w:rFonts w:cs="Calibri"/>
          <w:b/>
          <w:u w:val="single"/>
        </w:rPr>
      </w:pPr>
      <w:r w:rsidRPr="007F5609">
        <w:rPr>
          <w:rFonts w:cs="Calibri"/>
          <w:b/>
          <w:u w:val="single"/>
        </w:rPr>
        <w:t>K Čl. I</w:t>
      </w:r>
    </w:p>
    <w:p w:rsidR="00922DFE" w:rsidP="00922DFE">
      <w:pPr>
        <w:rPr>
          <w:rFonts w:cs="Calibri"/>
          <w:b/>
        </w:rPr>
      </w:pPr>
    </w:p>
    <w:p w:rsidR="001B51F8" w:rsidP="001B51F8">
      <w:pPr>
        <w:rPr>
          <w:rFonts w:cs="Calibri"/>
          <w:b/>
        </w:rPr>
      </w:pPr>
      <w:r w:rsidRPr="00263A23">
        <w:rPr>
          <w:rFonts w:cs="Calibri"/>
          <w:b/>
        </w:rPr>
        <w:t>K </w:t>
      </w:r>
      <w:r>
        <w:rPr>
          <w:rFonts w:cs="Calibri"/>
          <w:b/>
        </w:rPr>
        <w:t>bodu</w:t>
      </w:r>
      <w:r w:rsidRPr="00263A23">
        <w:rPr>
          <w:rFonts w:cs="Calibri"/>
          <w:b/>
        </w:rPr>
        <w:t xml:space="preserve"> </w:t>
      </w:r>
      <w:r>
        <w:rPr>
          <w:rFonts w:cs="Calibri"/>
          <w:b/>
        </w:rPr>
        <w:t>1</w:t>
      </w:r>
    </w:p>
    <w:p w:rsidR="001B51F8" w:rsidRPr="001B51F8" w:rsidP="001B51F8">
      <w:pPr>
        <w:spacing w:before="120"/>
        <w:ind w:firstLine="708"/>
        <w:jc w:val="both"/>
        <w:rPr>
          <w:rFonts w:cs="Calibri"/>
        </w:rPr>
      </w:pPr>
      <w:r w:rsidRPr="001B51F8">
        <w:rPr>
          <w:rFonts w:cs="Calibri"/>
        </w:rPr>
        <w:t xml:space="preserve">Ide o legislatívnotechnickú úpravu  </w:t>
      </w:r>
      <w:r>
        <w:rPr>
          <w:rFonts w:cs="Calibri"/>
        </w:rPr>
        <w:t xml:space="preserve">poznámky pod čiarou.  </w:t>
      </w:r>
    </w:p>
    <w:p w:rsidR="001B51F8" w:rsidP="00922DFE">
      <w:pPr>
        <w:rPr>
          <w:rFonts w:cs="Calibri"/>
          <w:b/>
        </w:rPr>
      </w:pPr>
    </w:p>
    <w:p w:rsidR="00922DFE" w:rsidP="00922DFE">
      <w:pPr>
        <w:rPr>
          <w:rFonts w:cs="Calibri"/>
          <w:b/>
        </w:rPr>
      </w:pPr>
      <w:r>
        <w:rPr>
          <w:rFonts w:cs="Calibri"/>
          <w:b/>
        </w:rPr>
        <w:t xml:space="preserve">K bodom </w:t>
      </w:r>
      <w:r w:rsidR="001B51F8">
        <w:rPr>
          <w:rFonts w:cs="Calibri"/>
          <w:b/>
        </w:rPr>
        <w:t>2</w:t>
      </w:r>
      <w:r>
        <w:rPr>
          <w:rFonts w:cs="Calibri"/>
          <w:b/>
        </w:rPr>
        <w:t xml:space="preserve"> a </w:t>
      </w:r>
      <w:r w:rsidR="0071610A">
        <w:rPr>
          <w:rFonts w:cs="Calibri"/>
          <w:b/>
        </w:rPr>
        <w:t>4</w:t>
      </w:r>
    </w:p>
    <w:p w:rsidR="00922DFE" w:rsidP="007F5609">
      <w:pPr>
        <w:spacing w:before="120"/>
        <w:jc w:val="both"/>
        <w:rPr>
          <w:rFonts w:cs="Calibri"/>
        </w:rPr>
      </w:pPr>
      <w:r>
        <w:rPr>
          <w:rFonts w:cs="Calibri"/>
        </w:rPr>
        <w:tab/>
        <w:t xml:space="preserve">Navrhovanou úpravou </w:t>
      </w:r>
      <w:r w:rsidRPr="00426C3A">
        <w:rPr>
          <w:rFonts w:cs="Calibri"/>
        </w:rPr>
        <w:t>v</w:t>
      </w:r>
      <w:r w:rsidRPr="00345ABF">
        <w:rPr>
          <w:rFonts w:cs="Calibri"/>
          <w:b/>
        </w:rPr>
        <w:t xml:space="preserve"> § 6 ods. 2 písm. d)</w:t>
      </w:r>
      <w:r>
        <w:rPr>
          <w:rFonts w:cs="Calibri"/>
        </w:rPr>
        <w:t xml:space="preserve"> zákona sa upravujú podmienky, za ktorých môže byť uchádzač o zamestnanie vedený v evidencii uchádzačov o zamestnanie. Podľa súčasne platného právneho stavu uvedeného ustanovenia môže uchádzač o zamestnanie v čase jeho vedenia v evidencii uchádzačov o zamestnanie vykonávať zárobkovú činnosť, za ktorú mzda alebo odmena nepresahuje zákonom stanovenú výšku. Skutočnosti o výške mzdy alebo odmeny za uplynulý kalendárny mesiac preukazuje uchádzač o zamestnanie v rámci pravidelných mesačných kontaktov na úrade práce, sociálnych vecí a rodiny.</w:t>
      </w:r>
    </w:p>
    <w:p w:rsidR="00922DFE" w:rsidP="007F5609">
      <w:pPr>
        <w:spacing w:before="120"/>
        <w:jc w:val="both"/>
        <w:rPr>
          <w:rFonts w:cs="Calibri"/>
        </w:rPr>
      </w:pPr>
      <w:r>
        <w:rPr>
          <w:rFonts w:cs="Calibri"/>
        </w:rPr>
        <w:tab/>
        <w:t>Doplnenie povinnosti pre uchádzača o zamestnanie oznámiť začatie výkonu zárobkovej činnost</w:t>
      </w:r>
      <w:r>
        <w:rPr>
          <w:rFonts w:cs="Calibri"/>
        </w:rPr>
        <w:t>i</w:t>
      </w:r>
      <w:r w:rsidR="00777199">
        <w:rPr>
          <w:rFonts w:cs="Calibri"/>
        </w:rPr>
        <w:t>, ako aj predpokladaný príjem z tejto činnosti</w:t>
      </w:r>
      <w:r>
        <w:rPr>
          <w:rFonts w:cs="Calibri"/>
        </w:rPr>
        <w:t xml:space="preserve"> najneskôr </w:t>
      </w:r>
      <w:r w:rsidR="00BD7676">
        <w:rPr>
          <w:rFonts w:cs="Calibri"/>
        </w:rPr>
        <w:t>v deň pred začiatkom vykonávania tejto činnosti</w:t>
      </w:r>
      <w:r>
        <w:rPr>
          <w:rFonts w:cs="Calibri"/>
        </w:rPr>
        <w:t>, je jedným z opatrení na zamedzenie, resp. obmedzenie výkonu nelegálnej práce.</w:t>
      </w:r>
    </w:p>
    <w:p w:rsidR="00922DFE" w:rsidP="007F5609">
      <w:pPr>
        <w:spacing w:before="120"/>
        <w:jc w:val="both"/>
        <w:rPr>
          <w:rFonts w:cs="Calibri"/>
        </w:rPr>
      </w:pPr>
      <w:r>
        <w:rPr>
          <w:rFonts w:cs="Calibri"/>
        </w:rPr>
        <w:tab/>
        <w:t xml:space="preserve">Nesplnenie tejto povinnosti sa v rámci navrhovanej úpravy </w:t>
      </w:r>
      <w:r w:rsidRPr="00426C3A">
        <w:rPr>
          <w:rFonts w:cs="Calibri"/>
        </w:rPr>
        <w:t>v</w:t>
      </w:r>
      <w:r w:rsidRPr="00345ABF">
        <w:rPr>
          <w:rFonts w:cs="Calibri"/>
          <w:b/>
        </w:rPr>
        <w:t xml:space="preserve"> § 36 ods. </w:t>
      </w:r>
      <w:r w:rsidRPr="00345ABF">
        <w:rPr>
          <w:rFonts w:cs="Calibri"/>
          <w:b/>
        </w:rPr>
        <w:t>1 písm. n)</w:t>
      </w:r>
      <w:r>
        <w:rPr>
          <w:rFonts w:cs="Calibri"/>
        </w:rPr>
        <w:t xml:space="preserve"> navrhuje považovať za dôvod pre vyradenie uchádzača o zamestnanie z evidencie uchádzačov o zamestnanie.</w:t>
      </w:r>
    </w:p>
    <w:p w:rsidR="00922DFE" w:rsidP="00922DFE">
      <w:pPr>
        <w:jc w:val="both"/>
        <w:rPr>
          <w:rFonts w:cs="Calibri"/>
        </w:rPr>
      </w:pPr>
    </w:p>
    <w:p w:rsidR="00922DFE" w:rsidP="00922DFE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K bodu </w:t>
      </w:r>
      <w:r w:rsidR="0071610A">
        <w:rPr>
          <w:rFonts w:cs="Calibri"/>
          <w:b/>
        </w:rPr>
        <w:t>3</w:t>
      </w:r>
    </w:p>
    <w:p w:rsidR="00922DFE" w:rsidRPr="007029E4" w:rsidP="007F5609">
      <w:pPr>
        <w:spacing w:before="120"/>
        <w:jc w:val="both"/>
        <w:rPr>
          <w:rFonts w:cs="Calibri"/>
        </w:rPr>
      </w:pPr>
      <w:r>
        <w:rPr>
          <w:rFonts w:cs="Calibri"/>
        </w:rPr>
        <w:tab/>
        <w:t xml:space="preserve">Navrhovaným doplnením nového </w:t>
      </w:r>
      <w:r w:rsidRPr="00426C3A">
        <w:rPr>
          <w:rFonts w:cs="Calibri"/>
          <w:b/>
        </w:rPr>
        <w:t>písmena g) v § 13</w:t>
      </w:r>
      <w:r>
        <w:rPr>
          <w:rFonts w:cs="Calibri"/>
        </w:rPr>
        <w:t xml:space="preserve"> sa rozširuje pôsobnosť úradu práce, sociálnych vecí a rodiny oznamovať na účely zrušenia živnostenského oprávnenia príslušným orgánom opakované porušenie zákazu nelegálneho zamestnávania, čím sa zlepšuje legislatívny rámec na podporu zamedzenia nelegálnej práce a nelegálneho zamestnávania.</w:t>
      </w:r>
    </w:p>
    <w:p w:rsidR="0071610A" w:rsidP="0071610A">
      <w:pPr>
        <w:jc w:val="both"/>
        <w:rPr>
          <w:rFonts w:cs="Calibri"/>
          <w:b/>
        </w:rPr>
      </w:pPr>
    </w:p>
    <w:p w:rsidR="0071610A" w:rsidP="0071610A">
      <w:pPr>
        <w:rPr>
          <w:rFonts w:cs="Calibri"/>
          <w:b/>
        </w:rPr>
      </w:pPr>
      <w:r>
        <w:rPr>
          <w:rFonts w:cs="Calibri"/>
          <w:b/>
        </w:rPr>
        <w:t>K bodu 5</w:t>
      </w:r>
    </w:p>
    <w:p w:rsidR="0071610A" w:rsidRPr="00560165" w:rsidP="0071610A">
      <w:pPr>
        <w:spacing w:before="120"/>
        <w:ind w:firstLine="708"/>
        <w:jc w:val="both"/>
        <w:rPr>
          <w:rFonts w:cs="Calibri"/>
        </w:rPr>
      </w:pPr>
      <w:r>
        <w:rPr>
          <w:rFonts w:cs="Calibri"/>
        </w:rPr>
        <w:t>Ide o l</w:t>
      </w:r>
      <w:r w:rsidRPr="00560165">
        <w:rPr>
          <w:rFonts w:cs="Calibri"/>
        </w:rPr>
        <w:t>egislatívnotechnick</w:t>
      </w:r>
      <w:r>
        <w:rPr>
          <w:rFonts w:cs="Calibri"/>
        </w:rPr>
        <w:t>ú</w:t>
      </w:r>
      <w:r w:rsidRPr="00560165">
        <w:rPr>
          <w:rFonts w:cs="Calibri"/>
        </w:rPr>
        <w:t xml:space="preserve"> úprav</w:t>
      </w:r>
      <w:r>
        <w:rPr>
          <w:rFonts w:cs="Calibri"/>
        </w:rPr>
        <w:t>u</w:t>
      </w:r>
      <w:r w:rsidRPr="00560165">
        <w:rPr>
          <w:rFonts w:cs="Calibri"/>
        </w:rPr>
        <w:t xml:space="preserve"> </w:t>
      </w:r>
      <w:r>
        <w:rPr>
          <w:rFonts w:cs="Calibri"/>
        </w:rPr>
        <w:t>v s</w:t>
      </w:r>
      <w:r>
        <w:rPr>
          <w:rFonts w:cs="Calibri"/>
        </w:rPr>
        <w:t xml:space="preserve">úvislosti so zrušením nariadenia </w:t>
      </w:r>
      <w:r w:rsidRPr="00560165">
        <w:rPr>
          <w:rFonts w:cs="Calibri"/>
        </w:rPr>
        <w:t xml:space="preserve">Nariadenie Komisie (ES) </w:t>
      </w:r>
      <w:hyperlink r:id="rId4" w:tgtFrame="_blank" w:tooltip="Rozhodnutie Komisie zo 16. januára 2001, ktorým sa ustanovujú dve referenčné metódy pre meranie PCB podľa článku 10 písm. a) smernice Rady 96/59/ES o zneškodnení polychlórovaných bifenylov a polychlórovaných terfenylov (PCB/PCT) (oznámené pod číslom dokumentu C(2001)107)" w:history="1">
        <w:r w:rsidRPr="00560165">
          <w:rPr>
            <w:rFonts w:cs="Calibri"/>
          </w:rPr>
          <w:t>č. 68/2001</w:t>
        </w:r>
      </w:hyperlink>
      <w:r w:rsidRPr="00560165">
        <w:rPr>
          <w:rFonts w:cs="Calibri"/>
        </w:rPr>
        <w:t xml:space="preserve"> z 12. januára 2001 o uplatňovaní článkov </w:t>
      </w:r>
      <w:smartTag w:uri="urn:schemas-microsoft-com:office:smarttags" w:element="metricconverter">
        <w:smartTagPr>
          <w:attr w:name="ProductID" w:val="87 a"/>
        </w:smartTagPr>
        <w:r w:rsidRPr="00560165">
          <w:rPr>
            <w:rFonts w:cs="Calibri"/>
          </w:rPr>
          <w:t>87 a</w:t>
        </w:r>
      </w:smartTag>
      <w:r w:rsidRPr="00560165">
        <w:rPr>
          <w:rFonts w:cs="Calibri"/>
        </w:rPr>
        <w:t xml:space="preserve"> 88 Zmluvy</w:t>
      </w:r>
      <w:r w:rsidRPr="00560165">
        <w:rPr>
          <w:rFonts w:cs="Calibri"/>
        </w:rPr>
        <w:t xml:space="preserve"> o ES na pomoc vzdelávaniu.</w:t>
      </w:r>
    </w:p>
    <w:p w:rsidR="0071610A" w:rsidP="0071610A">
      <w:pPr>
        <w:jc w:val="both"/>
        <w:rPr>
          <w:rFonts w:cs="Calibri"/>
          <w:b/>
        </w:rPr>
      </w:pPr>
    </w:p>
    <w:p w:rsidR="0071610A" w:rsidP="0071610A">
      <w:pPr>
        <w:jc w:val="both"/>
        <w:rPr>
          <w:rFonts w:cs="Calibri"/>
          <w:b/>
        </w:rPr>
      </w:pPr>
      <w:r>
        <w:rPr>
          <w:rFonts w:cs="Calibri"/>
          <w:b/>
        </w:rPr>
        <w:t>K bodu 6</w:t>
      </w:r>
    </w:p>
    <w:p w:rsidR="0071610A" w:rsidRPr="00364CF9" w:rsidP="0071610A">
      <w:pPr>
        <w:spacing w:before="120"/>
        <w:ind w:firstLine="708"/>
        <w:jc w:val="both"/>
        <w:rPr>
          <w:rFonts w:cs="Calibri"/>
        </w:rPr>
      </w:pPr>
      <w:r>
        <w:rPr>
          <w:rFonts w:cs="Calibri"/>
        </w:rPr>
        <w:t xml:space="preserve">Novým ustanovením </w:t>
      </w:r>
      <w:r w:rsidRPr="00345ABF">
        <w:rPr>
          <w:rFonts w:cs="Calibri"/>
          <w:b/>
        </w:rPr>
        <w:t>§ 50i</w:t>
      </w:r>
      <w:r>
        <w:rPr>
          <w:rFonts w:cs="Calibri"/>
        </w:rPr>
        <w:t xml:space="preserve"> sa </w:t>
      </w:r>
      <w:r w:rsidRPr="00364CF9">
        <w:rPr>
          <w:rFonts w:cs="Calibri"/>
        </w:rPr>
        <w:t xml:space="preserve">navrhuje zaviesť nový príspevok na podporu regionálnej a miestnej zamestnanosti. Účelom zavedenia nového príspevku je podpora vstupu a opätovného vstupu znevýhodnených skupín uchádzačov o zamestnanie na trh práce, podpora regionálnej a miestnej zamestnanosti pri širšom uplatnení orgánov územnej samosprávy v úlohe zamestnávateľa a zmierňovanie regionálnych disparít. </w:t>
      </w:r>
    </w:p>
    <w:p w:rsidR="0071610A" w:rsidRPr="00364CF9" w:rsidP="0071610A">
      <w:pPr>
        <w:spacing w:before="120"/>
        <w:jc w:val="both"/>
        <w:rPr>
          <w:rFonts w:cs="Calibri"/>
        </w:rPr>
      </w:pPr>
      <w:r w:rsidRPr="00364CF9">
        <w:rPr>
          <w:rFonts w:cs="Calibri"/>
        </w:rPr>
        <w:tab/>
        <w:t>Príspevok sa navrhuje poskytovať právnickej osobe, ktorá je obcou, samosprávnym krajom, združením obcí, združením samosprávnych krajov a právnickej osobe, ktorej zakladateľom alebo zriaďovateľom je obec alebo samosprávny kraj, ktorá príjme do pracovného pomeru na určitú dobu v trvaní najmenej 9 mesiacov v rozsahu najmenej polovice ustanoveného týždenného pracovného času znevýhodneného uchádzača o zamestnanie podľa § 8 ods. 1 písm. a) až e), h), i) alebo k) zákona. Príspevok sa navrhuje poskytovať aj právnickej osobe alebo fyzickej osobe, ktorá vykonáva svoju činnosť v niektorej z oblastí podľa § 52a ods. 1 písm. a) zákona, napr. poskytuje verejnoprospešné služby a ďalšie služby v oblasti sociálnych vecí, zdravotníctva, vzdelávania, kultúry, športu, pri tvorbe, ochrane, udržiavaní alebo zlepšovaní životného prostredia, pri starostlivosti o ochranu a zachovanie kultúrneho dedičstva a pod.</w:t>
      </w:r>
    </w:p>
    <w:p w:rsidR="0071610A" w:rsidRPr="00364CF9" w:rsidP="0071610A">
      <w:pPr>
        <w:spacing w:before="120"/>
        <w:jc w:val="both"/>
        <w:rPr>
          <w:rFonts w:cs="Calibri"/>
        </w:rPr>
      </w:pPr>
      <w:r w:rsidRPr="00364CF9">
        <w:rPr>
          <w:rFonts w:cs="Calibri"/>
        </w:rPr>
        <w:tab/>
        <w:t>Navrhuje sa, aby sa príspevok poskytoval najdlhšie počas 9 mesiacov na úhradu časti celkovej ceny práce zamestnanca, ktorý pred prijatím do pracovného pomeru bol znevýhodneným uchádzačov o zamestnanie podľa § 8 ods. 1 písm. a) až e), h), i) alebo k) zákona, pričom výška príspevku sa bude znižovať degresne. Súčasne sa navrhuje ustanoviť maximálnu hornú hranicu výšky príspevku.</w:t>
      </w:r>
    </w:p>
    <w:p w:rsidR="0071610A" w:rsidP="0071610A">
      <w:pPr>
        <w:spacing w:before="120"/>
        <w:ind w:firstLine="708"/>
        <w:jc w:val="both"/>
        <w:rPr>
          <w:rFonts w:cs="Calibri"/>
        </w:rPr>
      </w:pPr>
      <w:r w:rsidRPr="00364CF9">
        <w:rPr>
          <w:rFonts w:cs="Calibri"/>
        </w:rPr>
        <w:t>Návrhom sa ustanovujú aj základné náležitosti písomnej dohody uzatváranej medzi úradom práce, sociálnych vecí a rodiny a zamestnávateľom.</w:t>
      </w:r>
    </w:p>
    <w:p w:rsidR="0071610A" w:rsidP="0071610A">
      <w:pPr>
        <w:jc w:val="both"/>
        <w:rPr>
          <w:rFonts w:cs="Calibri"/>
        </w:rPr>
      </w:pPr>
    </w:p>
    <w:p w:rsidR="00922DFE" w:rsidP="00A135C1">
      <w:pPr>
        <w:rPr>
          <w:rFonts w:cs="Calibri"/>
          <w:b/>
        </w:rPr>
      </w:pPr>
      <w:r>
        <w:rPr>
          <w:rFonts w:cs="Calibri"/>
          <w:b/>
        </w:rPr>
        <w:t xml:space="preserve">K bodom </w:t>
      </w:r>
      <w:r w:rsidR="0071610A">
        <w:rPr>
          <w:rFonts w:cs="Calibri"/>
          <w:b/>
        </w:rPr>
        <w:t>7</w:t>
      </w:r>
      <w:r>
        <w:rPr>
          <w:rFonts w:cs="Calibri"/>
          <w:b/>
        </w:rPr>
        <w:t xml:space="preserve"> a </w:t>
      </w:r>
      <w:r w:rsidR="0071610A">
        <w:rPr>
          <w:rFonts w:cs="Calibri"/>
          <w:b/>
        </w:rPr>
        <w:t>8</w:t>
      </w:r>
      <w:r>
        <w:rPr>
          <w:rFonts w:cs="Calibri"/>
          <w:b/>
        </w:rPr>
        <w:t xml:space="preserve"> </w:t>
      </w:r>
    </w:p>
    <w:p w:rsidR="00922DFE" w:rsidP="007F5609">
      <w:pPr>
        <w:spacing w:before="120"/>
        <w:jc w:val="both"/>
        <w:rPr>
          <w:rFonts w:cs="Calibri"/>
        </w:rPr>
      </w:pPr>
      <w:r>
        <w:rPr>
          <w:rFonts w:cs="Calibri"/>
        </w:rPr>
        <w:tab/>
        <w:t xml:space="preserve">V súvislosti s prijatím opatrení na zamedzenie nelegálnej práce a nelegálneho zamestnávania sa v </w:t>
      </w:r>
      <w:r w:rsidRPr="0020296F">
        <w:rPr>
          <w:rFonts w:cs="Calibri"/>
          <w:b/>
        </w:rPr>
        <w:t>§ 68a ods. 1</w:t>
      </w:r>
      <w:r>
        <w:rPr>
          <w:rFonts w:cs="Calibri"/>
        </w:rPr>
        <w:t xml:space="preserve"> navrhuje ustanoviť Ústrediu práce, sociálnych vecí a rodiny a úradom práce, sociálnych vecí a rodiny povinnosť ukladať pokuty za porušenie povinností a podľa tohto zákona, ako aj za nelegálne zamestnávanie a zároveň sa v </w:t>
      </w:r>
      <w:r w:rsidRPr="0020296F">
        <w:rPr>
          <w:rFonts w:cs="Calibri"/>
          <w:b/>
        </w:rPr>
        <w:t>§ 68 ods. 1 písm. b)</w:t>
      </w:r>
      <w:r>
        <w:rPr>
          <w:rFonts w:cs="Calibri"/>
        </w:rPr>
        <w:t xml:space="preserve"> navrhuje ustanoviť dolnú hranicu a zvýšiť hornú hranicu pokuty, ktorú Ústredie práce, sociálnych vecí a rodiny alebo úrad práce, sociálnych vecí a rodiny ukladá právnickej osobe alebo fyzickej osobe, ktorá je podnikateľom, za nelegálne zamestnávanie.</w:t>
      </w:r>
    </w:p>
    <w:p w:rsidR="001B51F8" w:rsidP="00441A73">
      <w:pPr>
        <w:jc w:val="both"/>
        <w:rPr>
          <w:rFonts w:cs="Calibri"/>
          <w:b/>
        </w:rPr>
      </w:pPr>
    </w:p>
    <w:p w:rsidR="0074051C" w:rsidP="00441A73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K bodu </w:t>
      </w:r>
      <w:r w:rsidR="0071610A">
        <w:rPr>
          <w:rFonts w:cs="Calibri"/>
          <w:b/>
        </w:rPr>
        <w:t>9</w:t>
      </w:r>
    </w:p>
    <w:p w:rsidR="0074051C" w:rsidRPr="0074051C" w:rsidP="0074051C">
      <w:pPr>
        <w:spacing w:before="120"/>
        <w:ind w:firstLine="708"/>
        <w:jc w:val="both"/>
        <w:rPr>
          <w:rFonts w:cs="Calibri"/>
        </w:rPr>
      </w:pPr>
      <w:r w:rsidRPr="00364CF9">
        <w:rPr>
          <w:rFonts w:cs="Calibri"/>
        </w:rPr>
        <w:t xml:space="preserve">Legislatívnotechnická úprava súvisiaca so zavedením poznámky pod čiarou k odkazu 53 v novelizačnom bode </w:t>
      </w:r>
      <w:r w:rsidRPr="00364CF9" w:rsidR="00364CF9">
        <w:rPr>
          <w:rFonts w:cs="Calibri"/>
        </w:rPr>
        <w:t>6</w:t>
      </w:r>
      <w:r w:rsidRPr="00364CF9">
        <w:rPr>
          <w:rFonts w:cs="Calibri"/>
        </w:rPr>
        <w:t xml:space="preserve"> (§ 50</w:t>
      </w:r>
      <w:r w:rsidRPr="00364CF9" w:rsidR="00490470">
        <w:rPr>
          <w:rFonts w:cs="Calibri"/>
        </w:rPr>
        <w:t>i</w:t>
      </w:r>
      <w:r w:rsidRPr="00364CF9">
        <w:rPr>
          <w:rFonts w:cs="Calibri"/>
        </w:rPr>
        <w:t>).</w:t>
      </w:r>
    </w:p>
    <w:p w:rsidR="0074051C" w:rsidP="00441A73">
      <w:pPr>
        <w:jc w:val="both"/>
        <w:rPr>
          <w:rFonts w:cs="Calibri"/>
          <w:b/>
        </w:rPr>
      </w:pPr>
    </w:p>
    <w:p w:rsidR="00441A73" w:rsidRPr="00263A23" w:rsidP="00441A73">
      <w:pPr>
        <w:jc w:val="both"/>
        <w:rPr>
          <w:rFonts w:cs="Calibri"/>
          <w:b/>
        </w:rPr>
      </w:pPr>
      <w:r w:rsidRPr="00263A23">
        <w:rPr>
          <w:rFonts w:cs="Calibri"/>
          <w:b/>
        </w:rPr>
        <w:t>K </w:t>
      </w:r>
      <w:r>
        <w:rPr>
          <w:rFonts w:cs="Calibri"/>
          <w:b/>
        </w:rPr>
        <w:t>bodu</w:t>
      </w:r>
      <w:r w:rsidRPr="00263A23">
        <w:rPr>
          <w:rFonts w:cs="Calibri"/>
          <w:b/>
        </w:rPr>
        <w:t xml:space="preserve"> </w:t>
      </w:r>
      <w:r w:rsidR="0071610A">
        <w:rPr>
          <w:rFonts w:cs="Calibri"/>
          <w:b/>
        </w:rPr>
        <w:t>10</w:t>
      </w:r>
    </w:p>
    <w:p w:rsidR="00C50EB5" w:rsidRPr="00364CF9" w:rsidP="00441A73">
      <w:pPr>
        <w:spacing w:before="120"/>
        <w:ind w:firstLine="708"/>
        <w:jc w:val="both"/>
        <w:rPr>
          <w:rFonts w:cs="Calibri"/>
        </w:rPr>
      </w:pPr>
      <w:r w:rsidR="00E2351A">
        <w:rPr>
          <w:rFonts w:cs="Calibri"/>
        </w:rPr>
        <w:t xml:space="preserve">V </w:t>
      </w:r>
      <w:r w:rsidRPr="00C50EB5" w:rsidR="00E2351A">
        <w:rPr>
          <w:rFonts w:cs="Calibri"/>
          <w:b/>
        </w:rPr>
        <w:t>§ 72k</w:t>
      </w:r>
      <w:r w:rsidR="00E2351A">
        <w:rPr>
          <w:rFonts w:cs="Calibri"/>
        </w:rPr>
        <w:t xml:space="preserve"> v rámci </w:t>
      </w:r>
      <w:r w:rsidRPr="00364CF9" w:rsidR="00E2351A">
        <w:rPr>
          <w:rFonts w:cs="Calibri"/>
        </w:rPr>
        <w:t xml:space="preserve">prechodných ustanovení sa navrhuje poskytovanie </w:t>
      </w:r>
      <w:r w:rsidRPr="00364CF9" w:rsidR="0071610A">
        <w:rPr>
          <w:rFonts w:cs="Calibri"/>
        </w:rPr>
        <w:t xml:space="preserve">príspevku na podporu regionálnej a miestnej zamestnanosti </w:t>
      </w:r>
      <w:r w:rsidRPr="00364CF9">
        <w:rPr>
          <w:rFonts w:cs="Calibri"/>
        </w:rPr>
        <w:t>podľa § 50</w:t>
      </w:r>
      <w:r w:rsidRPr="00364CF9" w:rsidR="0071610A">
        <w:rPr>
          <w:rFonts w:cs="Calibri"/>
        </w:rPr>
        <w:t>i</w:t>
      </w:r>
      <w:r w:rsidRPr="00364CF9">
        <w:rPr>
          <w:rFonts w:cs="Calibri"/>
        </w:rPr>
        <w:t xml:space="preserve"> obmedziť do 31. decembra 2011.</w:t>
      </w:r>
    </w:p>
    <w:p w:rsidR="0033050F" w:rsidP="001935E6">
      <w:pPr>
        <w:spacing w:before="120"/>
        <w:ind w:firstLine="708"/>
        <w:jc w:val="both"/>
        <w:rPr>
          <w:rFonts w:cs="Calibri"/>
        </w:rPr>
      </w:pPr>
      <w:r w:rsidRPr="00364CF9" w:rsidR="001935E6">
        <w:rPr>
          <w:rFonts w:cs="Calibri"/>
        </w:rPr>
        <w:t xml:space="preserve">V súvislosti s úpravou ukladania pokút za </w:t>
      </w:r>
      <w:r w:rsidRPr="00364CF9" w:rsidR="001935E6">
        <w:rPr>
          <w:rFonts w:cs="Calibri"/>
        </w:rPr>
        <w:t>nelegálne zamestnávanie sa v prechodnom ustanovení upravuje postup pre ko</w:t>
      </w:r>
      <w:r w:rsidRPr="001935E6" w:rsidR="001935E6">
        <w:rPr>
          <w:rFonts w:cs="Calibri"/>
        </w:rPr>
        <w:t>nania začaté v období pred nadobudnutím účinnosti zákona.</w:t>
      </w:r>
      <w:r w:rsidRPr="00FC6E13" w:rsidR="001935E6">
        <w:rPr>
          <w:rFonts w:cs="Calibri"/>
        </w:rPr>
        <w:t xml:space="preserve"> </w:t>
      </w:r>
    </w:p>
    <w:p w:rsidR="004A4E2F" w:rsidRPr="0071610A" w:rsidP="004A4E2F">
      <w:pPr>
        <w:spacing w:before="120"/>
        <w:ind w:firstLine="708"/>
        <w:jc w:val="both"/>
        <w:rPr>
          <w:rFonts w:cs="Calibri"/>
        </w:rPr>
      </w:pPr>
      <w:r w:rsidRPr="0071610A">
        <w:rPr>
          <w:rFonts w:cs="Calibri"/>
        </w:rPr>
        <w:t xml:space="preserve">Prechodným ustanovením v </w:t>
      </w:r>
      <w:r w:rsidRPr="0071610A">
        <w:rPr>
          <w:rFonts w:cs="Calibri"/>
          <w:b/>
        </w:rPr>
        <w:t>§ 72l</w:t>
      </w:r>
      <w:r w:rsidRPr="0071610A">
        <w:rPr>
          <w:rFonts w:cs="Calibri"/>
        </w:rPr>
        <w:t xml:space="preserve"> sa navrhuje najmä v čase globálnej ekonomickej krízy podporiť plynulé udržiavanie pracovných návykov dlhodobo nezamestnaných občanov</w:t>
      </w:r>
      <w:r w:rsidRPr="0071610A">
        <w:rPr>
          <w:rFonts w:cs="Calibri"/>
          <w:bCs/>
        </w:rPr>
        <w:t>, t. j. občanov vedených v evidencii uchádzačov o zamestnanie  najmenej 12 mesiacov  z predchádzajúcich 16 mesiacov</w:t>
      </w:r>
      <w:r w:rsidRPr="0071610A">
        <w:rPr>
          <w:rFonts w:cs="Calibri"/>
        </w:rPr>
        <w:t>, ktorí sú poberateľmi dávky v hmotnej núdzi a príspevkov k dávke v hmotnej núdzi, a tak podporovať ich pripravenosť na opätovný vstup na trh práce. Pre túto skupinu dlhodobo nezamestnaných občanov sa navrhuje, aby v období do 31. decembra 2010 mohli aktivačnú činnosť formou menších obecných služieb pre obec podľa § 52 zákona vykonávať aj opakovane, a to b</w:t>
      </w:r>
      <w:r w:rsidRPr="0071610A">
        <w:rPr>
          <w:rFonts w:cs="Calibri"/>
        </w:rPr>
        <w:t xml:space="preserve">ez obmedzenia počtu jej opakovaných vykonávaní. </w:t>
      </w:r>
      <w:r w:rsidR="00490470">
        <w:rPr>
          <w:rFonts w:cs="Calibri"/>
        </w:rPr>
        <w:t>Zároveň sa pre takéto prípady ustanovuje výška príspevku na aktivačnú činnosť formou menších obecných služieb pre obec.</w:t>
      </w:r>
    </w:p>
    <w:p w:rsidR="004765CE" w:rsidP="00BC200C">
      <w:pPr>
        <w:pStyle w:val="Heading2"/>
        <w:numPr>
          <w:ilvl w:val="0"/>
          <w:numId w:val="0"/>
        </w:numPr>
        <w:spacing w:before="0"/>
        <w:rPr>
          <w:rFonts w:cs="Calibri"/>
          <w:lang w:eastAsia="cs-CZ"/>
        </w:rPr>
      </w:pPr>
    </w:p>
    <w:p w:rsidR="0036015D" w:rsidRPr="007F5609" w:rsidP="0036015D">
      <w:pPr>
        <w:rPr>
          <w:rFonts w:cs="Calibri"/>
          <w:b/>
          <w:u w:val="single"/>
        </w:rPr>
      </w:pPr>
      <w:r w:rsidRPr="007F5609">
        <w:rPr>
          <w:rFonts w:cs="Calibri"/>
          <w:b/>
          <w:u w:val="single"/>
        </w:rPr>
        <w:t>K čl. II</w:t>
      </w:r>
    </w:p>
    <w:p w:rsidR="0036015D" w:rsidRPr="00DA7768" w:rsidP="00AB74AF">
      <w:pPr>
        <w:rPr>
          <w:rFonts w:cs="Calibri"/>
        </w:rPr>
      </w:pPr>
    </w:p>
    <w:p w:rsidR="00DA7768" w:rsidP="00DA7768">
      <w:pPr>
        <w:ind w:firstLine="708"/>
        <w:jc w:val="both"/>
        <w:rPr>
          <w:rFonts w:cs="Calibri"/>
        </w:rPr>
      </w:pPr>
      <w:r w:rsidRPr="00DA7768">
        <w:rPr>
          <w:rFonts w:cs="Calibri"/>
        </w:rPr>
        <w:t>Navrhuje sa doplniť Národný inšpektorát prace a inšpektoráty prace do okruhu subjektov, ktorým poskytnutie informácie potrebnej na výkon inšpekcie prace nebude porušením daňového tajomstva.</w:t>
      </w:r>
    </w:p>
    <w:p w:rsidR="00DA7768" w:rsidRPr="00DA7768" w:rsidP="00AB74AF">
      <w:pPr>
        <w:rPr>
          <w:rFonts w:cs="Calibri"/>
        </w:rPr>
      </w:pPr>
    </w:p>
    <w:p w:rsidR="00E75D4B" w:rsidRPr="00E63B87" w:rsidP="00922DFE">
      <w:pPr>
        <w:rPr>
          <w:rFonts w:cs="Calibri"/>
          <w:b/>
          <w:u w:val="single"/>
        </w:rPr>
      </w:pPr>
      <w:r w:rsidRPr="00E63B87">
        <w:rPr>
          <w:rFonts w:cs="Calibri"/>
          <w:b/>
          <w:u w:val="single"/>
        </w:rPr>
        <w:t xml:space="preserve">K čl. </w:t>
      </w:r>
      <w:r w:rsidR="0058054D">
        <w:rPr>
          <w:rFonts w:cs="Calibri"/>
          <w:b/>
          <w:u w:val="single"/>
        </w:rPr>
        <w:t>III</w:t>
      </w:r>
    </w:p>
    <w:p w:rsidR="00E75D4B" w:rsidP="00E63B87">
      <w:pPr>
        <w:spacing w:before="120"/>
        <w:ind w:firstLine="709"/>
        <w:jc w:val="both"/>
        <w:rPr>
          <w:rFonts w:cs="Calibri"/>
          <w:b/>
        </w:rPr>
      </w:pPr>
      <w:r w:rsidRPr="00713BD4">
        <w:rPr>
          <w:rFonts w:cs="Calibri"/>
        </w:rPr>
        <w:t>Navrhuj</w:t>
      </w:r>
      <w:r>
        <w:rPr>
          <w:rFonts w:cs="Calibri"/>
        </w:rPr>
        <w:t>e</w:t>
      </w:r>
      <w:r w:rsidRPr="00713BD4">
        <w:rPr>
          <w:rFonts w:cs="Calibri"/>
        </w:rPr>
        <w:t xml:space="preserve"> sa</w:t>
      </w:r>
      <w:r>
        <w:rPr>
          <w:rFonts w:cs="Calibri"/>
        </w:rPr>
        <w:t xml:space="preserve"> nástroj na </w:t>
      </w:r>
      <w:r w:rsidRPr="00713BD4">
        <w:rPr>
          <w:rFonts w:cs="Calibri"/>
        </w:rPr>
        <w:t xml:space="preserve">podporu znižovania výskytu nelegálnej práce a nelegálneho </w:t>
      </w:r>
      <w:r w:rsidRPr="004E22B0">
        <w:rPr>
          <w:rFonts w:cs="Calibri"/>
        </w:rPr>
        <w:t>zamestnávania</w:t>
      </w:r>
      <w:r>
        <w:rPr>
          <w:rFonts w:cs="Calibri"/>
        </w:rPr>
        <w:t xml:space="preserve">. </w:t>
      </w:r>
      <w:r w:rsidRPr="004E22B0">
        <w:rPr>
          <w:rFonts w:cs="Calibri"/>
        </w:rPr>
        <w:t xml:space="preserve">Ustanovením </w:t>
      </w:r>
      <w:r>
        <w:rPr>
          <w:rFonts w:cs="Calibri"/>
        </w:rPr>
        <w:t xml:space="preserve">opakovaného </w:t>
      </w:r>
      <w:r w:rsidRPr="004E22B0">
        <w:rPr>
          <w:rFonts w:cs="Calibri"/>
        </w:rPr>
        <w:t xml:space="preserve">porušenia zákazu nelegálneho zamestnávania za osobitne závažné porušenie zákona sa, v nadväznosti na </w:t>
      </w:r>
      <w:r w:rsidR="008B3463">
        <w:rPr>
          <w:rFonts w:cs="Calibri"/>
        </w:rPr>
        <w:t xml:space="preserve">súvisiacu </w:t>
      </w:r>
      <w:r>
        <w:rPr>
          <w:rFonts w:cs="Calibri"/>
        </w:rPr>
        <w:t xml:space="preserve">oznamovaciu povinnosť </w:t>
      </w:r>
      <w:r w:rsidRPr="004E22B0">
        <w:rPr>
          <w:rFonts w:cs="Calibri"/>
        </w:rPr>
        <w:t>inšpektorátu práce</w:t>
      </w:r>
      <w:r>
        <w:rPr>
          <w:rFonts w:cs="Calibri"/>
        </w:rPr>
        <w:t xml:space="preserve">, </w:t>
      </w:r>
      <w:r w:rsidRPr="004E22B0">
        <w:rPr>
          <w:rFonts w:cs="Calibri"/>
        </w:rPr>
        <w:t>bude môcť využívať inštitút obligatórneho zrušenia živnostenského oprávnenia podľa § 58 ods. 1 písm. d) zákona č. 455/1991 Zb. o živnostenskom podnikaní (živnostenský zákon).</w:t>
      </w:r>
      <w:r w:rsidRPr="00E75D4B">
        <w:rPr>
          <w:rFonts w:cs="Calibri"/>
          <w:b/>
        </w:rPr>
        <w:t xml:space="preserve"> </w:t>
      </w:r>
    </w:p>
    <w:p w:rsidR="004765CE" w:rsidP="00E75D4B">
      <w:pPr>
        <w:jc w:val="center"/>
        <w:rPr>
          <w:rFonts w:cs="Calibri"/>
          <w:b/>
        </w:rPr>
      </w:pPr>
    </w:p>
    <w:p w:rsidR="00E75D4B" w:rsidRPr="00E63B87" w:rsidP="00922DFE">
      <w:pPr>
        <w:rPr>
          <w:rFonts w:cs="Calibri"/>
          <w:b/>
          <w:u w:val="single"/>
        </w:rPr>
      </w:pPr>
      <w:r w:rsidR="0036015D">
        <w:rPr>
          <w:rFonts w:cs="Calibri"/>
          <w:b/>
          <w:u w:val="single"/>
        </w:rPr>
        <w:t xml:space="preserve">K čl. </w:t>
      </w:r>
      <w:r w:rsidR="0058054D">
        <w:rPr>
          <w:rFonts w:cs="Calibri"/>
          <w:b/>
          <w:u w:val="single"/>
        </w:rPr>
        <w:t>IV</w:t>
      </w:r>
    </w:p>
    <w:p w:rsidR="00E75D4B" w:rsidP="00BC200C">
      <w:pPr>
        <w:jc w:val="both"/>
        <w:rPr>
          <w:rFonts w:cs="Calibri"/>
          <w:b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>K bodu 1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 xml:space="preserve">Navrhuje sa spresniť podmienky zákona č. 125/2006 Z. z. o inšpekcii práce a o zmene a doplnení zákona č. 82/2005 Z. z. o nelegálnej práci a nelegálnom zamestnávaní a o zmene a doplnení niektorých zákonov v znení neskorších predpisov pre vedenie verejne prístupného zoznamu fyzických osôb a právnických osôb, u ktorých bolo zistené nelegálne zamestnávanie počas posledných piatich rokov tak, aby zoznam obsahoval ich obchodné meno a u fyzickej osoby tiež miesto podnikania a u právnickej osoby jej sídlo.   </w:t>
      </w:r>
    </w:p>
    <w:p w:rsidR="00976AB1" w:rsidP="00976AB1">
      <w:pPr>
        <w:jc w:val="both"/>
        <w:rPr>
          <w:rFonts w:cs="Calibri"/>
          <w:b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>K bodu 2</w:t>
      </w:r>
    </w:p>
    <w:p w:rsidR="00976AB1" w:rsidP="00976AB1">
      <w:pPr>
        <w:spacing w:before="120"/>
        <w:jc w:val="both"/>
        <w:rPr>
          <w:rFonts w:cs="Calibri"/>
        </w:rPr>
      </w:pPr>
      <w:r>
        <w:rPr>
          <w:rFonts w:cs="Calibri"/>
        </w:rPr>
        <w:tab/>
        <w:t>V záujme zefektívnenia kontrolnej činnosti v oblasti nelegálnej práce a nelegálneho zamestnávania sa navrhuje medzi  subjekty, ktorým sa oznamuje zistená nelegálna práca a nelegálne zamestnávanie, zahrnúť aj príslušné daňové orgány, ktoré vo veci konajú podľa osobitného predpisu.</w:t>
      </w:r>
    </w:p>
    <w:p w:rsidR="00976AB1" w:rsidP="00976AB1">
      <w:pPr>
        <w:jc w:val="both"/>
        <w:rPr>
          <w:rFonts w:cs="Calibri"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>K bodu 3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Na posilnenie efektívnosti kontroly dodržiavania zákazu nelegálneho zamestnávania a v záujme eliminovania nedodržiavania tohto zákazu sa navrhuje ustanoviť povinnosť príslušného inšpektorátu práce oznámiť živnostenskému úradu opakované zistenie porušenia zákazu nelegálneho zamestnávania.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Oznámením o zistení opakovaného nelegálneho zamestnávania sa umožní aplikácia inštitútu obligatórneho zrušenia živnostenského oprávnenia podľa § 58 ods. 1 písm. d) zákona č. 455/1991 Zb. o živnostenskom podnikaní (živnostenský zákon).</w:t>
      </w:r>
    </w:p>
    <w:p w:rsidR="00976AB1" w:rsidP="00976AB1">
      <w:pPr>
        <w:jc w:val="both"/>
        <w:rPr>
          <w:rFonts w:cs="Calibri"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K bodom </w:t>
      </w:r>
      <w:smartTag w:uri="urn:schemas-microsoft-com:office:smarttags" w:element="metricconverter">
        <w:smartTagPr>
          <w:attr w:name="ProductID" w:val="4 a"/>
        </w:smartTagPr>
        <w:r>
          <w:rPr>
            <w:rFonts w:cs="Calibri"/>
            <w:b/>
          </w:rPr>
          <w:t>4 a</w:t>
        </w:r>
      </w:smartTag>
      <w:r>
        <w:rPr>
          <w:rFonts w:cs="Calibri"/>
          <w:b/>
        </w:rPr>
        <w:t xml:space="preserve"> 10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Ide o legislatívnotechnickú úpravu navrhovanú v spojitosti s návrhom v bode 3.</w:t>
      </w:r>
    </w:p>
    <w:p w:rsidR="00976AB1" w:rsidP="00976AB1">
      <w:pPr>
        <w:jc w:val="both"/>
        <w:rPr>
          <w:rFonts w:cs="Calibri"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>K bodu 5</w:t>
      </w:r>
    </w:p>
    <w:p w:rsidR="00976AB1" w:rsidP="00976AB1">
      <w:pPr>
        <w:ind w:firstLine="708"/>
        <w:jc w:val="both"/>
        <w:rPr>
          <w:rFonts w:cs="Calibri"/>
        </w:rPr>
      </w:pPr>
      <w:r>
        <w:rPr>
          <w:rFonts w:cs="Calibri"/>
        </w:rPr>
        <w:t>V záujme zlepšenia aplikácie predpisov podľa § 2 ods. 1 písm. a) tretieho a šiesteho bodu zákona o inšpekcii práce u zamestnávateľov sa navrhuje výrazne zvýšiť hornú hranicu sadzby pokuty za ich porušovanie, a to vrátane takého porušenia, v dôsledku ktorého došlo k smrteľnému pracovnému úrazu.</w:t>
      </w:r>
    </w:p>
    <w:p w:rsidR="00976AB1" w:rsidP="00976AB1">
      <w:pPr>
        <w:jc w:val="both"/>
        <w:rPr>
          <w:rFonts w:cs="Calibri"/>
          <w:color w:val="FF0000"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K bodom </w:t>
      </w:r>
      <w:smartTag w:uri="urn:schemas-microsoft-com:office:smarttags" w:element="metricconverter">
        <w:smartTagPr>
          <w:attr w:name="ProductID" w:val="6 a"/>
        </w:smartTagPr>
        <w:r>
          <w:rPr>
            <w:rFonts w:cs="Calibri"/>
            <w:b/>
          </w:rPr>
          <w:t>6 a</w:t>
        </w:r>
      </w:smartTag>
      <w:r>
        <w:rPr>
          <w:rFonts w:cs="Calibri"/>
          <w:b/>
        </w:rPr>
        <w:t xml:space="preserve"> 9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Ide o legislatívnotechnickú úpravu navrhovanú v spojitosti s návrhom v bode 8.</w:t>
      </w:r>
    </w:p>
    <w:p w:rsidR="00976AB1" w:rsidP="00976AB1">
      <w:pPr>
        <w:jc w:val="both"/>
        <w:rPr>
          <w:rFonts w:cs="Calibri"/>
        </w:rPr>
      </w:pPr>
    </w:p>
    <w:p w:rsidR="00976AB1" w:rsidP="00976AB1">
      <w:pPr>
        <w:jc w:val="both"/>
        <w:rPr>
          <w:rFonts w:cs="Calibri"/>
          <w:b/>
        </w:rPr>
      </w:pPr>
    </w:p>
    <w:p w:rsidR="00976AB1" w:rsidP="00976AB1">
      <w:pPr>
        <w:jc w:val="both"/>
        <w:rPr>
          <w:rFonts w:cs="Calibri"/>
          <w:b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>K bodu 7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V záujme zlepšenia aplikácie predpisov podľa § 2 ods. 1 písm. a) zákona o inšpekcii práce u zamestnávateľov sa navrhuje zvýšiť hornú hranicu sadzby pokuty vedúcim zamestnancom za zavinené porušenie povinnosti vyplývajúcej z predpisov uvedených v § 2 ods. 1 písm. a) zákona o inšpekcii práce alebo záväzku vyplývajúceho z kolektívnych zmlúv, ak dali pokyn na také porušenie alebo zatajili skutočnosti dôležité na výkon inšpekcie práce.</w:t>
      </w:r>
    </w:p>
    <w:p w:rsidR="00976AB1" w:rsidP="00976AB1">
      <w:pPr>
        <w:jc w:val="both"/>
        <w:rPr>
          <w:rFonts w:cs="Calibri"/>
          <w:color w:val="FF0000"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K bodu 8 </w:t>
      </w:r>
    </w:p>
    <w:p w:rsidR="00976AB1" w:rsidP="00976AB1">
      <w:pPr>
        <w:spacing w:before="120"/>
        <w:ind w:firstLine="709"/>
        <w:jc w:val="both"/>
        <w:rPr>
          <w:rFonts w:cs="Calibri"/>
          <w:color w:val="FF0000"/>
        </w:rPr>
      </w:pPr>
      <w:r>
        <w:rPr>
          <w:rFonts w:cs="Calibri"/>
        </w:rPr>
        <w:t>Navrhuje sa zvýšiť hornú hranicu sadzby pokuty zamestnávateľovi za porušenie  predpisov podľa § 2 ods. 1 písm. a) prvý bod a druhý bod zákona o inšpekcii práce, alebo za porušenie záväzkov vyplývajúcich z kolektívnych zmlúv a výrazne zvýšiť hornú hranicu sadzby pokuty zamestnávateľovi za</w:t>
      </w:r>
      <w:r w:rsidR="00813CA1">
        <w:rPr>
          <w:rFonts w:cs="Calibri"/>
        </w:rPr>
        <w:t xml:space="preserve"> </w:t>
      </w:r>
      <w:r>
        <w:rPr>
          <w:rFonts w:cs="Calibri"/>
        </w:rPr>
        <w:t>porušenie zákazu nelegálneho zamestnávania. Súčasne sa navrhuje, aby inšpektorát práce uložil túto pokutu zamestnávateľovi obligatórne.</w:t>
      </w:r>
    </w:p>
    <w:p w:rsidR="00976AB1" w:rsidP="00976AB1">
      <w:pPr>
        <w:jc w:val="both"/>
        <w:rPr>
          <w:rFonts w:cs="Calibri"/>
        </w:rPr>
      </w:pPr>
    </w:p>
    <w:p w:rsidR="00976AB1" w:rsidP="00976AB1">
      <w:pPr>
        <w:jc w:val="both"/>
        <w:rPr>
          <w:rFonts w:cs="Calibri"/>
          <w:b/>
        </w:rPr>
      </w:pPr>
      <w:r>
        <w:rPr>
          <w:rFonts w:cs="Calibri"/>
          <w:b/>
        </w:rPr>
        <w:t>K bodu 11</w:t>
      </w:r>
    </w:p>
    <w:p w:rsidR="00976AB1" w:rsidP="00976AB1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Ide o legislatívnotechnickú úpravu navrhovanú na zabezpečenie konania začatého pred dňom nadobudnutia účinnosti tohto zákona, napr. v spojitosti s konaním o uložení pokuty.</w:t>
      </w:r>
    </w:p>
    <w:p w:rsidR="00976AB1" w:rsidP="00976AB1">
      <w:pPr>
        <w:rPr>
          <w:rFonts w:cs="Calibri"/>
          <w:b/>
          <w:u w:val="single"/>
        </w:rPr>
      </w:pPr>
    </w:p>
    <w:p w:rsidR="00976AB1" w:rsidP="00976AB1">
      <w:pPr>
        <w:rPr>
          <w:rFonts w:cs="Calibri"/>
          <w:b/>
          <w:u w:val="single"/>
        </w:rPr>
      </w:pPr>
    </w:p>
    <w:p w:rsidR="00282B0B" w:rsidRPr="00E63B87" w:rsidP="00282B0B">
      <w:pPr>
        <w:rPr>
          <w:rFonts w:cs="Calibri"/>
          <w:b/>
          <w:u w:val="single"/>
        </w:rPr>
      </w:pPr>
      <w:r w:rsidRPr="00E63B87">
        <w:rPr>
          <w:rFonts w:cs="Calibri"/>
          <w:b/>
          <w:u w:val="single"/>
        </w:rPr>
        <w:t>K čl. V</w:t>
      </w:r>
    </w:p>
    <w:p w:rsidR="004E22B0" w:rsidP="00282BA5">
      <w:pPr>
        <w:spacing w:before="120"/>
        <w:ind w:firstLine="709"/>
        <w:jc w:val="both"/>
        <w:rPr>
          <w:rFonts w:cs="Calibri"/>
        </w:rPr>
      </w:pPr>
      <w:r w:rsidR="00282BA5">
        <w:rPr>
          <w:rFonts w:cs="Calibri"/>
        </w:rPr>
        <w:t xml:space="preserve">Navrhuje sa účinnosť od 1. </w:t>
      </w:r>
      <w:r w:rsidR="0058054D">
        <w:rPr>
          <w:rFonts w:cs="Calibri"/>
        </w:rPr>
        <w:t>marca</w:t>
      </w:r>
      <w:r w:rsidR="00282BA5">
        <w:rPr>
          <w:rFonts w:cs="Calibri"/>
        </w:rPr>
        <w:t xml:space="preserve"> 2010.</w:t>
      </w:r>
    </w:p>
    <w:p w:rsidR="0030744C" w:rsidP="00282BA5">
      <w:pPr>
        <w:spacing w:before="120"/>
        <w:ind w:firstLine="709"/>
        <w:jc w:val="both"/>
        <w:rPr>
          <w:rFonts w:cs="Calibri"/>
        </w:rPr>
      </w:pPr>
    </w:p>
    <w:p w:rsidR="0030744C" w:rsidP="00282BA5">
      <w:pPr>
        <w:spacing w:before="120"/>
        <w:ind w:firstLine="709"/>
        <w:jc w:val="both"/>
        <w:rPr>
          <w:rFonts w:cs="Calibri"/>
        </w:rPr>
      </w:pPr>
    </w:p>
    <w:p w:rsidR="001E74B4" w:rsidP="001E74B4">
      <w:pPr>
        <w:jc w:val="both"/>
        <w:rPr>
          <w:rFonts w:cs="Calibri"/>
          <w:bCs/>
        </w:rPr>
      </w:pPr>
      <w:r w:rsidRPr="001E74B4">
        <w:rPr>
          <w:rFonts w:cs="Calibri"/>
          <w:bCs/>
        </w:rPr>
        <w:t>Bratislava  9. decembra   2009</w:t>
      </w:r>
    </w:p>
    <w:p w:rsidR="001E74B4" w:rsidP="001E74B4">
      <w:pPr>
        <w:jc w:val="center"/>
        <w:rPr>
          <w:rFonts w:cs="Calibri"/>
          <w:b/>
          <w:bCs/>
        </w:rPr>
      </w:pPr>
    </w:p>
    <w:p w:rsidR="001E74B4" w:rsidP="001E74B4">
      <w:pPr>
        <w:jc w:val="center"/>
        <w:rPr>
          <w:rFonts w:cs="Calibri"/>
          <w:b/>
          <w:bCs/>
        </w:rPr>
      </w:pPr>
    </w:p>
    <w:p w:rsidR="001E74B4" w:rsidP="001E74B4">
      <w:pPr>
        <w:jc w:val="center"/>
        <w:rPr>
          <w:rFonts w:cs="Calibri"/>
          <w:b/>
          <w:bCs/>
        </w:rPr>
      </w:pPr>
    </w:p>
    <w:p w:rsidR="001E74B4" w:rsidP="001E74B4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Robert Fico v.r.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predseda vlády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Slovenskej republiky</w:t>
      </w: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Viera Tomanová v.r.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ministerka práce, sociálnych vecí a rodiny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Slovenskej republiky</w:t>
      </w:r>
    </w:p>
    <w:p w:rsidR="001E74B4" w:rsidP="001E74B4">
      <w:pPr>
        <w:rPr>
          <w:rFonts w:cs="Calibri"/>
          <w:b/>
          <w:bCs/>
        </w:rPr>
      </w:pPr>
    </w:p>
    <w:p w:rsidR="001E74B4" w:rsidP="001E74B4">
      <w:pPr>
        <w:rPr>
          <w:rFonts w:cs="Calibri"/>
        </w:rPr>
      </w:pPr>
    </w:p>
    <w:p w:rsidR="0030744C" w:rsidP="00490470">
      <w:pPr>
        <w:spacing w:before="120"/>
        <w:ind w:firstLine="709"/>
        <w:jc w:val="both"/>
        <w:rPr>
          <w:rFonts w:cs="Calibri"/>
        </w:rPr>
      </w:pPr>
    </w:p>
    <w:p w:rsidR="001E74B4" w:rsidP="00490470">
      <w:pPr>
        <w:spacing w:before="120"/>
        <w:ind w:firstLine="709"/>
        <w:jc w:val="both"/>
        <w:rPr>
          <w:rFonts w:cs="Calibri"/>
        </w:rPr>
      </w:pPr>
    </w:p>
    <w:p w:rsidR="001E74B4" w:rsidP="00490470">
      <w:pPr>
        <w:spacing w:before="120"/>
        <w:ind w:firstLine="709"/>
        <w:jc w:val="both"/>
        <w:rPr>
          <w:rFonts w:cs="Calibri"/>
        </w:rPr>
      </w:pPr>
    </w:p>
    <w:p w:rsidR="001E74B4" w:rsidP="00490470">
      <w:pPr>
        <w:spacing w:before="120"/>
        <w:ind w:firstLine="709"/>
        <w:jc w:val="both"/>
        <w:rPr>
          <w:rFonts w:cs="Calibri"/>
        </w:rPr>
      </w:pPr>
    </w:p>
    <w:p w:rsidR="001E74B4" w:rsidP="00490470">
      <w:pPr>
        <w:spacing w:before="120"/>
        <w:ind w:firstLine="709"/>
        <w:jc w:val="both"/>
        <w:rPr>
          <w:rFonts w:cs="Calibri"/>
        </w:rPr>
      </w:pPr>
    </w:p>
    <w:p w:rsidR="001E74B4" w:rsidP="00490470">
      <w:pPr>
        <w:spacing w:before="120"/>
        <w:ind w:firstLine="709"/>
        <w:jc w:val="both"/>
        <w:rPr>
          <w:rFonts w:cs="Calibri"/>
        </w:rPr>
      </w:pPr>
    </w:p>
    <w:p w:rsidR="001E74B4" w:rsidP="001E74B4">
      <w:pPr>
        <w:jc w:val="both"/>
        <w:rPr>
          <w:rFonts w:cs="Calibri"/>
          <w:b/>
        </w:rPr>
      </w:pPr>
      <w:r>
        <w:rPr>
          <w:rFonts w:cs="Calibri"/>
          <w:b/>
        </w:rPr>
        <w:t>K bodu 7</w:t>
      </w:r>
    </w:p>
    <w:p w:rsidR="001E74B4" w:rsidP="001E74B4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V záujme zlepšenia aplikácie predpisov podľa § 2 ods. 1 písm. a) zákona o inšpekcii práce u zamestnávateľov sa navrhuje zvýšiť hornú hranicu sadzby pokuty vedúcim zamestnancom za zavinené porušenie povinnosti vyplývajúcej z predpisov uvedených v § 2 ods. 1 písm. a) zákona o inšpekcii práce alebo záväzku vyplývajúceho z kolektívnych zmlúv, ak dali pokyn na také porušenie alebo zatajili skutočnosti dôležité na výkon inšpekcie práce.</w:t>
      </w:r>
    </w:p>
    <w:p w:rsidR="001E74B4" w:rsidP="001E74B4">
      <w:pPr>
        <w:jc w:val="both"/>
        <w:rPr>
          <w:rFonts w:cs="Calibri"/>
          <w:color w:val="FF0000"/>
        </w:rPr>
      </w:pPr>
    </w:p>
    <w:p w:rsidR="001E74B4" w:rsidP="001E74B4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K bodu 8 </w:t>
      </w:r>
    </w:p>
    <w:p w:rsidR="001E74B4" w:rsidP="001E74B4">
      <w:pPr>
        <w:spacing w:before="120"/>
        <w:ind w:firstLine="709"/>
        <w:jc w:val="both"/>
        <w:rPr>
          <w:rFonts w:cs="Calibri"/>
          <w:color w:val="FF0000"/>
        </w:rPr>
      </w:pPr>
      <w:r>
        <w:rPr>
          <w:rFonts w:cs="Calibri"/>
        </w:rPr>
        <w:t>Navrhuje sa zvýšiť hornú hranicu sadzby pokuty zamestnávateľovi za porušenie  predpisov podľa § 2 ods. 1 písm. a) prvý bod a druhý bod zákona o inšpekcii práce, alebo za porušenie záväzkov vyplývajúcich z kolektívnych zmlúv a výrazne zvýšiť hornú hranicu sadzby pokuty zamestnávateľovi za porušenie zákazu nelegálneho zamestnávania. Súčasne sa navrhuje, aby inšpektorát práce uložil túto pokutu zamestnávateľovi obligatórne.</w:t>
      </w:r>
    </w:p>
    <w:p w:rsidR="001E74B4" w:rsidP="001E74B4">
      <w:pPr>
        <w:jc w:val="both"/>
        <w:rPr>
          <w:rFonts w:cs="Calibri"/>
        </w:rPr>
      </w:pPr>
    </w:p>
    <w:p w:rsidR="001E74B4" w:rsidP="001E74B4">
      <w:pPr>
        <w:jc w:val="both"/>
        <w:rPr>
          <w:rFonts w:cs="Calibri"/>
          <w:b/>
        </w:rPr>
      </w:pPr>
      <w:r>
        <w:rPr>
          <w:rFonts w:cs="Calibri"/>
          <w:b/>
        </w:rPr>
        <w:t>K bodu 11</w:t>
      </w:r>
    </w:p>
    <w:p w:rsidR="001E74B4" w:rsidP="001E74B4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Ide o legislatívnotechnickú úpravu navrhovanú na zabezpečenie konania začatého pred dňom nadobudnutia účinnosti tohto zákona, napr. v spojitosti s konaním o uložení pokuty.</w:t>
      </w:r>
    </w:p>
    <w:p w:rsidR="001E74B4" w:rsidP="001E74B4">
      <w:pPr>
        <w:rPr>
          <w:rFonts w:cs="Calibri"/>
          <w:b/>
          <w:u w:val="single"/>
        </w:rPr>
      </w:pPr>
    </w:p>
    <w:p w:rsidR="001E74B4" w:rsidP="001E74B4">
      <w:pPr>
        <w:rPr>
          <w:rFonts w:cs="Calibri"/>
          <w:b/>
          <w:u w:val="single"/>
        </w:rPr>
      </w:pPr>
    </w:p>
    <w:p w:rsidR="001E74B4" w:rsidRPr="00E63B87" w:rsidP="001E74B4">
      <w:pPr>
        <w:rPr>
          <w:rFonts w:cs="Calibri"/>
          <w:b/>
          <w:u w:val="single"/>
        </w:rPr>
      </w:pPr>
      <w:r w:rsidRPr="00E63B87">
        <w:rPr>
          <w:rFonts w:cs="Calibri"/>
          <w:b/>
          <w:u w:val="single"/>
        </w:rPr>
        <w:t>K čl. V</w:t>
      </w:r>
    </w:p>
    <w:p w:rsidR="001E74B4" w:rsidP="001E74B4">
      <w:pPr>
        <w:spacing w:before="120"/>
        <w:ind w:firstLine="709"/>
        <w:jc w:val="both"/>
        <w:rPr>
          <w:rFonts w:cs="Calibri"/>
        </w:rPr>
      </w:pPr>
      <w:r>
        <w:rPr>
          <w:rFonts w:cs="Calibri"/>
        </w:rPr>
        <w:t>Navrhuje sa účinnosť od 1. marca 2010.</w:t>
      </w:r>
    </w:p>
    <w:p w:rsidR="001E74B4" w:rsidP="001E74B4">
      <w:pPr>
        <w:spacing w:before="120"/>
        <w:ind w:firstLine="709"/>
        <w:jc w:val="both"/>
        <w:rPr>
          <w:rFonts w:cs="Calibri"/>
        </w:rPr>
      </w:pPr>
    </w:p>
    <w:p w:rsidR="001E74B4" w:rsidP="001E74B4">
      <w:pPr>
        <w:spacing w:before="120"/>
        <w:ind w:firstLine="709"/>
        <w:jc w:val="both"/>
        <w:rPr>
          <w:rFonts w:cs="Calibri"/>
        </w:rPr>
      </w:pPr>
    </w:p>
    <w:p w:rsidR="001E74B4" w:rsidP="001E74B4">
      <w:pPr>
        <w:jc w:val="both"/>
        <w:rPr>
          <w:rFonts w:cs="Calibri"/>
          <w:bCs/>
        </w:rPr>
      </w:pPr>
      <w:r w:rsidRPr="001E74B4">
        <w:rPr>
          <w:rFonts w:cs="Calibri"/>
          <w:bCs/>
        </w:rPr>
        <w:t>Bratislava  9. decembra   2009</w:t>
      </w:r>
    </w:p>
    <w:p w:rsidR="001E74B4" w:rsidP="001E74B4">
      <w:pPr>
        <w:jc w:val="center"/>
        <w:rPr>
          <w:rFonts w:cs="Calibri"/>
          <w:b/>
          <w:bCs/>
        </w:rPr>
      </w:pPr>
    </w:p>
    <w:p w:rsidR="001E74B4" w:rsidP="001E74B4">
      <w:pPr>
        <w:jc w:val="center"/>
        <w:rPr>
          <w:rFonts w:cs="Calibri"/>
          <w:b/>
          <w:bCs/>
        </w:rPr>
      </w:pPr>
    </w:p>
    <w:p w:rsidR="001E74B4" w:rsidP="001E74B4">
      <w:pPr>
        <w:jc w:val="center"/>
        <w:rPr>
          <w:rFonts w:cs="Calibri"/>
          <w:b/>
          <w:bCs/>
        </w:rPr>
      </w:pPr>
    </w:p>
    <w:p w:rsidR="001E74B4" w:rsidP="001E74B4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Robert Fico 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predseda vlády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Slovenskej republiky</w:t>
      </w: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</w:rPr>
      </w:pPr>
    </w:p>
    <w:p w:rsidR="001E74B4" w:rsidP="001E74B4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Viera Tomanová 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ministerka práce, sociálnych vecí a rodiny</w:t>
      </w:r>
    </w:p>
    <w:p w:rsidR="001E74B4" w:rsidP="001E74B4">
      <w:pPr>
        <w:jc w:val="center"/>
        <w:rPr>
          <w:rFonts w:cs="Calibri"/>
        </w:rPr>
      </w:pPr>
      <w:r>
        <w:rPr>
          <w:rFonts w:cs="Calibri"/>
        </w:rPr>
        <w:t>Slovenskej republiky</w:t>
      </w:r>
    </w:p>
    <w:p w:rsidR="001E74B4" w:rsidP="001E74B4">
      <w:pPr>
        <w:rPr>
          <w:rFonts w:cs="Calibri"/>
          <w:b/>
          <w:bCs/>
        </w:rPr>
      </w:pPr>
    </w:p>
    <w:p w:rsidR="001E74B4" w:rsidP="001E74B4">
      <w:pPr>
        <w:rPr>
          <w:rFonts w:cs="Calibri"/>
        </w:rPr>
      </w:pPr>
    </w:p>
    <w:p w:rsidR="001E74B4" w:rsidP="001E74B4">
      <w:pPr>
        <w:spacing w:before="120"/>
        <w:ind w:firstLine="709"/>
        <w:jc w:val="both"/>
        <w:rPr>
          <w:rFonts w:cs="Calibri"/>
        </w:rPr>
      </w:pPr>
    </w:p>
    <w:p w:rsidR="001E74B4" w:rsidP="001E74B4">
      <w:pPr>
        <w:spacing w:before="120"/>
        <w:ind w:firstLine="709"/>
        <w:jc w:val="both"/>
        <w:rPr>
          <w:rFonts w:cs="Calibri"/>
        </w:rPr>
      </w:pPr>
    </w:p>
    <w:p w:rsidR="001E74B4" w:rsidP="00490470">
      <w:pPr>
        <w:spacing w:before="120"/>
        <w:ind w:firstLine="709"/>
        <w:jc w:val="both"/>
        <w:rPr>
          <w:rFonts w:cs="Calibri"/>
        </w:rPr>
      </w:pPr>
    </w:p>
    <w:sectPr>
      <w:footerReference w:type="even" r:id="rId5"/>
      <w:footerReference w:type="default" r:id="rId6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CA1" w:rsidP="004E22B0">
    <w:pPr>
      <w:pStyle w:val="Footer"/>
      <w:framePr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813CA1" w:rsidP="004E22B0">
    <w:pPr>
      <w:pStyle w:val="Footer"/>
      <w:ind w:right="360"/>
      <w:rPr>
        <w:rFonts w:cs="Calibri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CA1" w:rsidP="004E22B0">
    <w:pPr>
      <w:pStyle w:val="Footer"/>
      <w:framePr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1E74B4">
      <w:rPr>
        <w:rStyle w:val="PageNumber"/>
        <w:rFonts w:cs="Calibri"/>
        <w:noProof/>
      </w:rPr>
      <w:t>5</w:t>
    </w:r>
    <w:r>
      <w:rPr>
        <w:rStyle w:val="PageNumber"/>
        <w:rFonts w:cs="Calibri"/>
      </w:rPr>
      <w:fldChar w:fldCharType="end"/>
    </w:r>
  </w:p>
  <w:p w:rsidR="00813CA1" w:rsidP="004E22B0">
    <w:pPr>
      <w:pStyle w:val="Footer"/>
      <w:ind w:right="360"/>
      <w:rPr>
        <w:rFonts w:cs="Calibri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bCs/>
        <w:i w:val="0"/>
        <w:iCs w:val="0"/>
        <w:sz w:val="28"/>
        <w:szCs w:val="28"/>
        <w:rtl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751"/>
        </w:tabs>
        <w:ind w:left="1751" w:hanging="851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rtl w:val="0"/>
      </w:rPr>
    </w:lvl>
    <w:lvl w:ilvl="2">
      <w:start w:val="1"/>
      <w:numFmt w:val="none"/>
      <w:lvlRestart w:val="0"/>
      <w:pStyle w:val="Heading3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rtl w:val="0"/>
      </w:rPr>
    </w:lvl>
    <w:lvl w:ilvl="3">
      <w:start w:val="1"/>
      <w:numFmt w:val="none"/>
      <w:pStyle w:val="Heading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/>
        <w:b w:val="0"/>
        <w:bCs w:val="0"/>
        <w:i/>
        <w:iCs/>
        <w:sz w:val="24"/>
        <w:szCs w:val="24"/>
        <w:rtl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</w:rPr>
    </w:lvl>
  </w:abstractNum>
  <w:abstractNum w:abstractNumId="1">
    <w:nsid w:val="570E7B3C"/>
    <w:multiLevelType w:val="hybridMultilevel"/>
    <w:tmpl w:val="2012DD5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/>
        <w:rtl w:val="0"/>
      </w:rPr>
    </w:lvl>
  </w:abstractNum>
  <w:abstractNum w:abstractNumId="2">
    <w:nsid w:val="60752879"/>
    <w:multiLevelType w:val="hybridMultilevel"/>
    <w:tmpl w:val="83166276"/>
    <w:lvl w:ilvl="0">
      <w:start w:val="1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935E6"/>
    <w:rsid w:val="001B51F8"/>
    <w:rsid w:val="001E74B4"/>
    <w:rsid w:val="0020296F"/>
    <w:rsid w:val="00263A23"/>
    <w:rsid w:val="00282B0B"/>
    <w:rsid w:val="00282BA5"/>
    <w:rsid w:val="0030744C"/>
    <w:rsid w:val="0033050F"/>
    <w:rsid w:val="00345ABF"/>
    <w:rsid w:val="0036015D"/>
    <w:rsid w:val="00364CF9"/>
    <w:rsid w:val="00426C3A"/>
    <w:rsid w:val="00441A73"/>
    <w:rsid w:val="004765CE"/>
    <w:rsid w:val="00490470"/>
    <w:rsid w:val="004A4E2F"/>
    <w:rsid w:val="004E22B0"/>
    <w:rsid w:val="00560165"/>
    <w:rsid w:val="0058054D"/>
    <w:rsid w:val="007029E4"/>
    <w:rsid w:val="00713BD4"/>
    <w:rsid w:val="0071610A"/>
    <w:rsid w:val="0074051C"/>
    <w:rsid w:val="00777199"/>
    <w:rsid w:val="007F5609"/>
    <w:rsid w:val="00813CA1"/>
    <w:rsid w:val="008B3463"/>
    <w:rsid w:val="00922DFE"/>
    <w:rsid w:val="00976AB1"/>
    <w:rsid w:val="00A135C1"/>
    <w:rsid w:val="00AB74AF"/>
    <w:rsid w:val="00BC200C"/>
    <w:rsid w:val="00BD7676"/>
    <w:rsid w:val="00C50EB5"/>
    <w:rsid w:val="00DA7768"/>
    <w:rsid w:val="00E2351A"/>
    <w:rsid w:val="00E63B87"/>
    <w:rsid w:val="00E75D4B"/>
    <w:rsid w:val="00FC6E1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uiPriority="99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00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paragraph" w:styleId="Heading1">
    <w:name w:val="heading 1"/>
    <w:aliases w:val="Čo robí (časť)"/>
    <w:basedOn w:val="Normal"/>
    <w:next w:val="Normal"/>
    <w:link w:val="orobasCharChar"/>
    <w:qFormat/>
    <w:rsid w:val="00BC200C"/>
    <w:pPr>
      <w:keepNext/>
      <w:numPr>
        <w:ilvl w:val="0"/>
        <w:numId w:val="1"/>
      </w:numPr>
      <w:tabs>
        <w:tab w:val="left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lohaCharChar"/>
    <w:qFormat/>
    <w:rsid w:val="00BC200C"/>
    <w:pPr>
      <w:numPr>
        <w:ilvl w:val="1"/>
        <w:numId w:val="1"/>
      </w:numPr>
      <w:tabs>
        <w:tab w:val="left" w:pos="1751"/>
      </w:tabs>
      <w:spacing w:before="120"/>
      <w:ind w:left="1751" w:hanging="851"/>
      <w:jc w:val="both"/>
      <w:outlineLvl w:val="1"/>
    </w:pPr>
  </w:style>
  <w:style w:type="paragraph" w:styleId="Heading3">
    <w:name w:val="heading 3"/>
    <w:aliases w:val="Podúloha"/>
    <w:basedOn w:val="Normal"/>
    <w:link w:val="PodlohaCharChar"/>
    <w:qFormat/>
    <w:rsid w:val="00BC200C"/>
    <w:pPr>
      <w:keepNext/>
      <w:numPr>
        <w:ilvl w:val="2"/>
        <w:numId w:val="1"/>
      </w:numPr>
      <w:tabs>
        <w:tab w:val="left" w:pos="1418"/>
      </w:tabs>
      <w:spacing w:before="120"/>
      <w:ind w:left="2269" w:hanging="851"/>
      <w:jc w:val="left"/>
      <w:outlineLvl w:val="2"/>
    </w:pPr>
  </w:style>
  <w:style w:type="paragraph" w:styleId="Heading4">
    <w:name w:val="heading 4"/>
    <w:aliases w:val="Termín"/>
    <w:basedOn w:val="Normal"/>
    <w:next w:val="Heading2"/>
    <w:link w:val="TermnCharChar"/>
    <w:qFormat/>
    <w:rsid w:val="00BC200C"/>
    <w:pPr>
      <w:numPr>
        <w:ilvl w:val="3"/>
        <w:numId w:val="1"/>
      </w:numPr>
      <w:tabs>
        <w:tab w:val="left" w:pos="1418"/>
      </w:tabs>
      <w:spacing w:before="120" w:after="120"/>
      <w:ind w:left="1418" w:hanging="1418"/>
      <w:jc w:val="left"/>
      <w:outlineLvl w:val="3"/>
    </w:pPr>
    <w:rPr>
      <w:i/>
      <w:iCs/>
    </w:rPr>
  </w:style>
  <w:style w:type="paragraph" w:styleId="Heading5">
    <w:name w:val="heading 5"/>
    <w:basedOn w:val="Normal"/>
    <w:next w:val="Normal"/>
    <w:link w:val="CharChar6"/>
    <w:qFormat/>
    <w:rsid w:val="00BC200C"/>
    <w:pPr>
      <w:numPr>
        <w:ilvl w:val="4"/>
        <w:numId w:val="1"/>
      </w:numPr>
      <w:tabs>
        <w:tab w:val="left" w:pos="3240"/>
      </w:tabs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CharChar5"/>
    <w:qFormat/>
    <w:rsid w:val="00BC200C"/>
    <w:pPr>
      <w:numPr>
        <w:ilvl w:val="5"/>
        <w:numId w:val="1"/>
      </w:numPr>
      <w:tabs>
        <w:tab w:val="left" w:pos="3960"/>
      </w:tabs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CharChar4"/>
    <w:qFormat/>
    <w:rsid w:val="00BC200C"/>
    <w:pPr>
      <w:numPr>
        <w:ilvl w:val="6"/>
        <w:numId w:val="1"/>
      </w:numPr>
      <w:tabs>
        <w:tab w:val="left" w:pos="4680"/>
      </w:tabs>
      <w:spacing w:before="240" w:after="60"/>
      <w:ind w:left="4320"/>
      <w:jc w:val="left"/>
      <w:outlineLvl w:val="6"/>
    </w:pPr>
  </w:style>
  <w:style w:type="paragraph" w:styleId="Heading8">
    <w:name w:val="heading 8"/>
    <w:basedOn w:val="Normal"/>
    <w:next w:val="Normal"/>
    <w:link w:val="CharChar3"/>
    <w:qFormat/>
    <w:rsid w:val="00BC200C"/>
    <w:pPr>
      <w:numPr>
        <w:ilvl w:val="7"/>
        <w:numId w:val="1"/>
      </w:numPr>
      <w:tabs>
        <w:tab w:val="left" w:pos="5400"/>
      </w:tabs>
      <w:spacing w:before="240" w:after="60"/>
      <w:ind w:left="504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link w:val="CharChar2"/>
    <w:qFormat/>
    <w:rsid w:val="00BC200C"/>
    <w:pPr>
      <w:numPr>
        <w:ilvl w:val="8"/>
        <w:numId w:val="1"/>
      </w:numPr>
      <w:tabs>
        <w:tab w:val="left" w:pos="6120"/>
      </w:tabs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orobasCharChar">
    <w:name w:val="Čo robí (časť) Char Char"/>
    <w:basedOn w:val="DefaultParagraphFont"/>
    <w:link w:val="Heading1"/>
    <w:rsid w:val="00BC200C"/>
    <w:rPr>
      <w:rFonts w:ascii="Times New Roman" w:hAnsi="Times New Roman" w:cs="Times New Roman"/>
      <w:b/>
      <w:bCs/>
      <w:kern w:val="32"/>
      <w:sz w:val="28"/>
      <w:szCs w:val="28"/>
      <w:rtl w:val="0"/>
    </w:rPr>
  </w:style>
  <w:style w:type="character" w:customStyle="1" w:styleId="lohaCharChar">
    <w:name w:val="Úloha Char Char"/>
    <w:basedOn w:val="DefaultParagraphFont"/>
    <w:link w:val="Heading2"/>
    <w:rsid w:val="00BC200C"/>
    <w:rPr>
      <w:rFonts w:ascii="Times New Roman" w:hAnsi="Times New Roman" w:cs="Times New Roman"/>
      <w:sz w:val="24"/>
      <w:szCs w:val="24"/>
      <w:rtl w:val="0"/>
    </w:rPr>
  </w:style>
  <w:style w:type="character" w:customStyle="1" w:styleId="PodlohaCharChar">
    <w:name w:val="Podúloha Char Char"/>
    <w:basedOn w:val="DefaultParagraphFont"/>
    <w:link w:val="Heading3"/>
    <w:rsid w:val="00BC200C"/>
    <w:rPr>
      <w:rFonts w:ascii="Times New Roman" w:hAnsi="Times New Roman" w:cs="Times New Roman"/>
      <w:sz w:val="24"/>
      <w:szCs w:val="24"/>
      <w:rtl w:val="0"/>
    </w:rPr>
  </w:style>
  <w:style w:type="character" w:customStyle="1" w:styleId="TermnCharChar">
    <w:name w:val="Termín Char Char"/>
    <w:basedOn w:val="DefaultParagraphFont"/>
    <w:link w:val="Heading4"/>
    <w:rsid w:val="00BC200C"/>
    <w:rPr>
      <w:rFonts w:ascii="Times New Roman" w:hAnsi="Times New Roman" w:cs="Times New Roman"/>
      <w:i/>
      <w:iCs/>
      <w:sz w:val="24"/>
      <w:szCs w:val="24"/>
      <w:rtl w:val="0"/>
    </w:rPr>
  </w:style>
  <w:style w:type="character" w:customStyle="1" w:styleId="CharChar6">
    <w:name w:val="Char Char6"/>
    <w:basedOn w:val="DefaultParagraphFont"/>
    <w:link w:val="Heading5"/>
    <w:rsid w:val="00BC200C"/>
    <w:rPr>
      <w:rFonts w:ascii="Times New Roman" w:hAnsi="Times New Roman" w:cs="Times New Roman"/>
      <w:b/>
      <w:bCs/>
      <w:i/>
      <w:iCs/>
      <w:sz w:val="26"/>
      <w:szCs w:val="26"/>
      <w:rtl w:val="0"/>
    </w:rPr>
  </w:style>
  <w:style w:type="character" w:customStyle="1" w:styleId="CharChar5">
    <w:name w:val="Char Char5"/>
    <w:basedOn w:val="DefaultParagraphFont"/>
    <w:link w:val="Heading6"/>
    <w:rsid w:val="00BC200C"/>
    <w:rPr>
      <w:rFonts w:ascii="Times New Roman" w:hAnsi="Times New Roman" w:cs="Times New Roman"/>
      <w:b/>
      <w:bCs/>
      <w:rtl w:val="0"/>
    </w:rPr>
  </w:style>
  <w:style w:type="character" w:customStyle="1" w:styleId="CharChar4">
    <w:name w:val="Char Char4"/>
    <w:basedOn w:val="DefaultParagraphFont"/>
    <w:link w:val="Heading7"/>
    <w:rsid w:val="00BC200C"/>
    <w:rPr>
      <w:rFonts w:ascii="Times New Roman" w:hAnsi="Times New Roman" w:cs="Times New Roman"/>
      <w:sz w:val="24"/>
      <w:szCs w:val="24"/>
      <w:rtl w:val="0"/>
    </w:rPr>
  </w:style>
  <w:style w:type="character" w:customStyle="1" w:styleId="CharChar3">
    <w:name w:val="Char Char3"/>
    <w:basedOn w:val="DefaultParagraphFont"/>
    <w:link w:val="Heading8"/>
    <w:rsid w:val="00BC200C"/>
    <w:rPr>
      <w:rFonts w:ascii="Times New Roman" w:hAnsi="Times New Roman" w:cs="Times New Roman"/>
      <w:i/>
      <w:iCs/>
      <w:sz w:val="24"/>
      <w:szCs w:val="24"/>
      <w:rtl w:val="0"/>
    </w:rPr>
  </w:style>
  <w:style w:type="character" w:customStyle="1" w:styleId="CharChar2">
    <w:name w:val="Char Char2"/>
    <w:basedOn w:val="DefaultParagraphFont"/>
    <w:link w:val="Heading9"/>
    <w:rsid w:val="00BC200C"/>
    <w:rPr>
      <w:rFonts w:ascii="Arial" w:hAnsi="Arial" w:cs="Arial"/>
      <w:rtl w:val="0"/>
    </w:rPr>
  </w:style>
  <w:style w:type="paragraph" w:customStyle="1" w:styleId="Odsekzoznamu">
    <w:name w:val="Odsek zoznamu"/>
    <w:basedOn w:val="Normal"/>
    <w:qFormat/>
    <w:rsid w:val="00BC200C"/>
    <w:pPr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Footer">
    <w:name w:val="footer"/>
    <w:basedOn w:val="Normal"/>
    <w:link w:val="CharChar1"/>
    <w:rsid w:val="00BC200C"/>
    <w:pPr>
      <w:tabs>
        <w:tab w:val="center" w:pos="4536"/>
        <w:tab w:val="right" w:pos="9072"/>
      </w:tabs>
      <w:jc w:val="left"/>
    </w:pPr>
  </w:style>
  <w:style w:type="character" w:customStyle="1" w:styleId="CharChar1">
    <w:name w:val="Char Char1"/>
    <w:basedOn w:val="DefaultParagraphFont"/>
    <w:link w:val="Footer"/>
    <w:rsid w:val="00BC200C"/>
    <w:rPr>
      <w:rFonts w:ascii="Times New Roman" w:hAnsi="Times New Roman" w:cs="Times New Roman"/>
      <w:sz w:val="24"/>
      <w:szCs w:val="24"/>
      <w:rtl w:val="0"/>
    </w:rPr>
  </w:style>
  <w:style w:type="character" w:styleId="PageNumber">
    <w:name w:val="page number"/>
    <w:basedOn w:val="DefaultParagraphFont"/>
    <w:rsid w:val="00BC200C"/>
  </w:style>
  <w:style w:type="paragraph" w:styleId="BalloonText">
    <w:name w:val="Balloon Text"/>
    <w:basedOn w:val="Normal"/>
    <w:link w:val="CharChar"/>
    <w:uiPriority w:val="99"/>
    <w:rsid w:val="004E22B0"/>
    <w:pPr>
      <w:jc w:val="left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DefaultParagraphFont"/>
    <w:link w:val="BalloonText"/>
    <w:uiPriority w:val="99"/>
    <w:semiHidden/>
    <w:rsid w:val="004E22B0"/>
    <w:rPr>
      <w:rFonts w:ascii="Tahoma" w:hAnsi="Tahoma" w:cs="Tahoma"/>
      <w:sz w:val="16"/>
      <w:szCs w:val="16"/>
      <w:rtl w:val="0"/>
    </w:rPr>
  </w:style>
  <w:style w:type="paragraph" w:styleId="BodyText">
    <w:name w:val="Body Text"/>
    <w:basedOn w:val="Normal"/>
    <w:uiPriority w:val="99"/>
    <w:rsid w:val="00977BF9"/>
    <w:pPr>
      <w:overflowPunct w:val="0"/>
      <w:autoSpaceDE/>
      <w:autoSpaceDN/>
      <w:spacing w:after="120"/>
      <w:jc w:val="left"/>
    </w:pPr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E06C89"/>
    <w:rPr>
      <w:rFonts w:cs="Times New Roman"/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ur-lex.europa.eu/LexUriServ/LexUriServ.do?uri=OJ:L:2001:023:0031:01:SK:HTML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1626</Words>
  <Characters>9270</Characters>
  <Application>Microsoft Office Word</Application>
  <DocSecurity>0</DocSecurity>
  <Lines>0</Lines>
  <Paragraphs>0</Paragraphs>
  <ScaleCrop>false</ScaleCrop>
  <Company>MPSVR</Company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Čl</dc:title>
  <dc:creator>adamcek</dc:creator>
  <cp:lastModifiedBy>Administrator</cp:lastModifiedBy>
  <cp:revision>3</cp:revision>
  <cp:lastPrinted>2009-12-08T10:54:00Z</cp:lastPrinted>
  <dcterms:created xsi:type="dcterms:W3CDTF">2009-12-10T07:57:00Z</dcterms:created>
  <dcterms:modified xsi:type="dcterms:W3CDTF">2009-12-10T08:00:00Z</dcterms:modified>
</cp:coreProperties>
</file>