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C3104" w:rsidRPr="000C09F7" w:rsidP="006C3104">
      <w:pPr>
        <w:rPr>
          <w:rFonts w:ascii="Times New Roman" w:hAnsi="Times New Roman"/>
          <w:sz w:val="26"/>
          <w:szCs w:val="26"/>
        </w:rPr>
      </w:pPr>
    </w:p>
    <w:p w:rsidR="006C3104" w:rsidP="006C3104">
      <w:pPr>
        <w:pStyle w:val="Title"/>
        <w:tabs>
          <w:tab w:val="left" w:pos="1200"/>
          <w:tab w:val="center" w:pos="4402"/>
        </w:tabs>
        <w:spacing w:line="360" w:lineRule="auto"/>
        <w:rPr>
          <w:rFonts w:ascii="Times New Roman" w:hAnsi="Times New Roman"/>
        </w:rPr>
      </w:pPr>
      <w:r>
        <w:rPr>
          <w:rFonts w:ascii="Times New Roman" w:hAnsi="Times New Roman"/>
        </w:rPr>
        <w:t>NÁRODNÁ RADA SLOVENSKEJ REPUBLIKY</w:t>
      </w:r>
    </w:p>
    <w:p w:rsidR="006C3104" w:rsidRPr="00D94F2A" w:rsidP="006C3104">
      <w:pPr>
        <w:spacing w:line="360" w:lineRule="auto"/>
        <w:jc w:val="center"/>
        <w:rPr>
          <w:rFonts w:ascii="Times New Roman" w:hAnsi="Times New Roman"/>
        </w:rPr>
      </w:pPr>
      <w:r>
        <w:rPr>
          <w:rFonts w:ascii="Times New Roman" w:hAnsi="Times New Roman"/>
        </w:rPr>
        <w:t>4. volebné obdobie</w:t>
      </w:r>
    </w:p>
    <w:p w:rsidR="006C3104" w:rsidP="006C3104">
      <w:pPr>
        <w:spacing w:line="360" w:lineRule="auto"/>
        <w:jc w:val="center"/>
        <w:rPr>
          <w:rFonts w:ascii="Times New Roman" w:hAnsi="Times New Roman"/>
          <w:b/>
          <w:bCs/>
        </w:rPr>
      </w:pPr>
      <w:r>
        <w:rPr>
          <w:rFonts w:ascii="Times New Roman" w:hAnsi="Times New Roman"/>
          <w:b/>
          <w:bCs/>
        </w:rPr>
        <w:t>Návrh</w:t>
      </w:r>
    </w:p>
    <w:p w:rsidR="006C3104" w:rsidP="006C3104">
      <w:pPr>
        <w:spacing w:line="360" w:lineRule="auto"/>
        <w:jc w:val="center"/>
        <w:rPr>
          <w:rFonts w:ascii="Times New Roman" w:hAnsi="Times New Roman"/>
          <w:b/>
          <w:bCs/>
        </w:rPr>
      </w:pPr>
      <w:r>
        <w:rPr>
          <w:rFonts w:ascii="Times New Roman" w:hAnsi="Times New Roman"/>
          <w:b/>
          <w:bCs/>
        </w:rPr>
        <w:t>zákon</w:t>
      </w:r>
    </w:p>
    <w:p w:rsidR="006C3104" w:rsidP="006C3104">
      <w:pPr>
        <w:spacing w:line="360" w:lineRule="auto"/>
        <w:jc w:val="center"/>
        <w:rPr>
          <w:rFonts w:ascii="Times New Roman" w:hAnsi="Times New Roman"/>
          <w:b/>
          <w:bCs/>
        </w:rPr>
      </w:pPr>
      <w:r>
        <w:rPr>
          <w:rFonts w:ascii="Times New Roman" w:hAnsi="Times New Roman"/>
          <w:b/>
          <w:bCs/>
        </w:rPr>
        <w:t xml:space="preserve">z  </w:t>
      </w:r>
      <w:r>
        <w:rPr>
          <w:rFonts w:ascii="Times New Roman" w:hAnsi="Times New Roman"/>
        </w:rPr>
        <w:t xml:space="preserve">........................ </w:t>
      </w:r>
      <w:r>
        <w:rPr>
          <w:rFonts w:ascii="Times New Roman" w:hAnsi="Times New Roman"/>
          <w:b/>
          <w:bCs/>
        </w:rPr>
        <w:t xml:space="preserve"> 2009,</w:t>
      </w:r>
    </w:p>
    <w:p w:rsidR="006C3104" w:rsidP="006C3104">
      <w:pPr>
        <w:pStyle w:val="BodyText2"/>
        <w:spacing w:line="300" w:lineRule="atLeast"/>
        <w:rPr>
          <w:rFonts w:ascii="Times New Roman" w:hAnsi="Times New Roman"/>
        </w:rPr>
      </w:pPr>
      <w:r>
        <w:rPr>
          <w:rFonts w:ascii="Times New Roman" w:hAnsi="Times New Roman"/>
        </w:rPr>
        <w:t xml:space="preserve">ktorým sa mení a dopĺňa zákon č. 171/2005 Z. z. o hazardných hrách </w:t>
      </w:r>
    </w:p>
    <w:p w:rsidR="006C3104" w:rsidP="006C3104">
      <w:pPr>
        <w:spacing w:line="300" w:lineRule="atLeast"/>
        <w:jc w:val="center"/>
        <w:rPr>
          <w:rFonts w:ascii="Times New Roman" w:hAnsi="Times New Roman"/>
        </w:rPr>
      </w:pPr>
    </w:p>
    <w:p w:rsidR="006C3104" w:rsidP="006C3104">
      <w:pPr>
        <w:spacing w:line="300" w:lineRule="atLeast"/>
        <w:rPr>
          <w:rFonts w:ascii="Times New Roman" w:hAnsi="Times New Roman"/>
        </w:rPr>
      </w:pPr>
      <w:r>
        <w:rPr>
          <w:rFonts w:ascii="Times New Roman" w:hAnsi="Times New Roman"/>
        </w:rPr>
        <w:t>Národná rada Slovenskej republiky sa uzniesla na tomto zákone:</w:t>
      </w:r>
    </w:p>
    <w:p w:rsidR="006C3104" w:rsidP="006C3104">
      <w:pPr>
        <w:spacing w:line="300" w:lineRule="atLeast"/>
        <w:jc w:val="center"/>
        <w:rPr>
          <w:rFonts w:ascii="Times New Roman" w:hAnsi="Times New Roman"/>
        </w:rPr>
      </w:pPr>
    </w:p>
    <w:p w:rsidR="006C3104" w:rsidP="006C3104">
      <w:pPr>
        <w:pStyle w:val="Heading1"/>
        <w:rPr>
          <w:rFonts w:ascii="Times New Roman" w:hAnsi="Times New Roman"/>
        </w:rPr>
      </w:pPr>
      <w:r>
        <w:rPr>
          <w:rFonts w:ascii="Times New Roman" w:hAnsi="Times New Roman"/>
        </w:rPr>
        <w:t>Čl. I</w:t>
      </w:r>
    </w:p>
    <w:p w:rsidR="006C3104" w:rsidP="006C3104">
      <w:pPr>
        <w:pStyle w:val="BodyText"/>
        <w:spacing w:line="300" w:lineRule="atLeast"/>
        <w:ind w:firstLine="720"/>
        <w:jc w:val="both"/>
        <w:rPr>
          <w:rFonts w:ascii="Times New Roman" w:hAnsi="Times New Roman"/>
        </w:rPr>
      </w:pPr>
    </w:p>
    <w:p w:rsidR="006C3104" w:rsidP="006C3104">
      <w:pPr>
        <w:spacing w:line="300" w:lineRule="atLeast"/>
        <w:rPr>
          <w:rFonts w:ascii="Times New Roman" w:hAnsi="Times New Roman"/>
        </w:rPr>
      </w:pPr>
      <w:r>
        <w:rPr>
          <w:rFonts w:ascii="Times New Roman" w:hAnsi="Times New Roman"/>
        </w:rPr>
        <w:t>Zákon č. 171/2005 Z. z. o hazardných hrách a o zmene a doplnení niektorých zákonov sa mení a dopĺňa takto:</w:t>
      </w:r>
    </w:p>
    <w:p w:rsidR="008E781C" w:rsidP="00B063D2">
      <w:pPr>
        <w:rPr>
          <w:rFonts w:ascii="Times New Roman" w:hAnsi="Times New Roman"/>
        </w:rPr>
      </w:pPr>
    </w:p>
    <w:p w:rsidR="00CA315F" w:rsidP="00B063D2">
      <w:pPr>
        <w:rPr>
          <w:rFonts w:ascii="Times New Roman" w:hAnsi="Times New Roman"/>
        </w:rPr>
      </w:pPr>
      <w:r w:rsidRPr="006C3104">
        <w:rPr>
          <w:rFonts w:ascii="Times New Roman" w:hAnsi="Times New Roman"/>
          <w:b/>
        </w:rPr>
        <w:t>1.</w:t>
      </w:r>
      <w:r>
        <w:rPr>
          <w:rFonts w:ascii="Times New Roman" w:hAnsi="Times New Roman"/>
        </w:rPr>
        <w:t xml:space="preserve"> §35 odsek 11 znie:</w:t>
      </w:r>
    </w:p>
    <w:p w:rsidR="00CA315F" w:rsidP="00B063D2">
      <w:pPr>
        <w:rPr>
          <w:rFonts w:ascii="Times New Roman" w:hAnsi="Times New Roman"/>
        </w:rPr>
      </w:pPr>
    </w:p>
    <w:p w:rsidR="00CA315F" w:rsidRPr="00CA315F" w:rsidP="00B063D2">
      <w:pPr>
        <w:rPr>
          <w:rFonts w:ascii="Times New Roman" w:hAnsi="Times New Roman"/>
        </w:rPr>
      </w:pPr>
      <w:r>
        <w:rPr>
          <w:rFonts w:ascii="Times New Roman" w:hAnsi="Times New Roman"/>
        </w:rPr>
        <w:t xml:space="preserve">„(11)  </w:t>
      </w:r>
      <w:r w:rsidRPr="00CA315F">
        <w:rPr>
          <w:rFonts w:ascii="Times New Roman" w:hAnsi="Times New Roman"/>
        </w:rPr>
        <w:tab/>
        <w:t xml:space="preserve">Je zakázané prevádzkovať  technické zariadenia obsluhované priamo hráčmi a videohry v školách, školských zariadeniach, zariadeniach sociálnych služieb pre deti a mládež a ubytovní mládeže, zdravotníckych zariadeniach a v budovách štátnych orgánov. Je zakázané prevádzkovať </w:t>
      </w:r>
      <w:r>
        <w:rPr>
          <w:rFonts w:ascii="Times New Roman" w:hAnsi="Times New Roman"/>
        </w:rPr>
        <w:t>herne</w:t>
      </w:r>
      <w:r w:rsidRPr="00CA315F">
        <w:rPr>
          <w:rFonts w:ascii="Times New Roman" w:hAnsi="Times New Roman"/>
        </w:rPr>
        <w:t xml:space="preserve">, technické zariadenia obsluhované priamo hráčmi a videohry vo vzdialenosti do </w:t>
      </w:r>
      <w:smartTag w:uri="urn:schemas-microsoft-com:office:smarttags" w:element="metricconverter">
        <w:smartTagPr>
          <w:attr w:name="ProductID" w:val="200 metrov"/>
        </w:smartTagPr>
        <w:r w:rsidRPr="00CA315F">
          <w:rPr>
            <w:rFonts w:ascii="Times New Roman" w:hAnsi="Times New Roman"/>
          </w:rPr>
          <w:t>200 metrov</w:t>
        </w:r>
      </w:smartTag>
      <w:r w:rsidRPr="00CA315F">
        <w:rPr>
          <w:rFonts w:ascii="Times New Roman" w:hAnsi="Times New Roman"/>
        </w:rPr>
        <w:t xml:space="preserve"> od školy, školských zariadení, zariadení sociálnych služieb pre deti a mládež a ubytovní mládeže.</w:t>
      </w:r>
      <w:r>
        <w:rPr>
          <w:rFonts w:ascii="Times New Roman" w:hAnsi="Times New Roman"/>
        </w:rPr>
        <w:t>“</w:t>
      </w:r>
    </w:p>
    <w:p w:rsidR="00CA315F" w:rsidP="00B063D2">
      <w:pPr>
        <w:rPr>
          <w:rFonts w:ascii="Times New Roman" w:hAnsi="Times New Roman"/>
        </w:rPr>
      </w:pPr>
    </w:p>
    <w:p w:rsidR="00F27363" w:rsidP="00B063D2">
      <w:pPr>
        <w:rPr>
          <w:rFonts w:ascii="Times New Roman" w:hAnsi="Times New Roman"/>
        </w:rPr>
      </w:pPr>
      <w:r w:rsidRPr="006C3104" w:rsidR="00CA315F">
        <w:rPr>
          <w:rFonts w:ascii="Times New Roman" w:hAnsi="Times New Roman"/>
          <w:b/>
        </w:rPr>
        <w:t>2</w:t>
      </w:r>
      <w:r w:rsidR="00B063D2">
        <w:rPr>
          <w:rFonts w:ascii="Times New Roman" w:hAnsi="Times New Roman"/>
        </w:rPr>
        <w:t xml:space="preserve">.  </w:t>
      </w:r>
      <w:r w:rsidR="00891F0E">
        <w:rPr>
          <w:rFonts w:ascii="Times New Roman" w:hAnsi="Times New Roman"/>
        </w:rPr>
        <w:t>§ 38 vrátane nadpisu znie</w:t>
      </w:r>
      <w:r w:rsidR="00B063D2">
        <w:rPr>
          <w:rFonts w:ascii="Times New Roman" w:hAnsi="Times New Roman"/>
        </w:rPr>
        <w:t>:</w:t>
      </w:r>
    </w:p>
    <w:p w:rsidR="00891F0E" w:rsidP="00891F0E">
      <w:pPr>
        <w:rPr>
          <w:rFonts w:ascii="Times New Roman" w:hAnsi="Times New Roman"/>
        </w:rPr>
      </w:pPr>
    </w:p>
    <w:p w:rsidR="00891F0E" w:rsidP="00891F0E">
      <w:pPr>
        <w:jc w:val="center"/>
        <w:rPr>
          <w:rFonts w:ascii="Times New Roman" w:hAnsi="Times New Roman"/>
        </w:rPr>
      </w:pPr>
      <w:r w:rsidR="00B063D2">
        <w:rPr>
          <w:rFonts w:ascii="Times New Roman" w:hAnsi="Times New Roman"/>
        </w:rPr>
        <w:t>„</w:t>
      </w:r>
      <w:r>
        <w:rPr>
          <w:rFonts w:ascii="Times New Roman" w:hAnsi="Times New Roman"/>
        </w:rPr>
        <w:t>§38</w:t>
      </w:r>
    </w:p>
    <w:p w:rsidR="00891F0E" w:rsidP="00891F0E">
      <w:pPr>
        <w:jc w:val="center"/>
        <w:rPr>
          <w:rFonts w:ascii="Times New Roman" w:hAnsi="Times New Roman"/>
        </w:rPr>
      </w:pPr>
    </w:p>
    <w:p w:rsidR="00891F0E" w:rsidP="00891F0E">
      <w:pPr>
        <w:jc w:val="center"/>
        <w:rPr>
          <w:rFonts w:ascii="Times New Roman" w:hAnsi="Times New Roman"/>
        </w:rPr>
      </w:pPr>
      <w:r>
        <w:rPr>
          <w:rFonts w:ascii="Times New Roman" w:hAnsi="Times New Roman"/>
        </w:rPr>
        <w:t>Herňa</w:t>
      </w:r>
    </w:p>
    <w:p w:rsidR="00891F0E" w:rsidP="00891F0E">
      <w:pPr>
        <w:jc w:val="both"/>
        <w:rPr>
          <w:rFonts w:ascii="Times New Roman" w:hAnsi="Times New Roman"/>
        </w:rPr>
      </w:pPr>
    </w:p>
    <w:p w:rsidR="00891F0E" w:rsidP="00891F0E">
      <w:pPr>
        <w:jc w:val="both"/>
        <w:rPr>
          <w:rFonts w:ascii="Times New Roman" w:hAnsi="Times New Roman"/>
        </w:rPr>
      </w:pPr>
    </w:p>
    <w:p w:rsidR="00891F0E" w:rsidP="00891F0E">
      <w:pPr>
        <w:jc w:val="both"/>
        <w:rPr>
          <w:rFonts w:ascii="Times New Roman" w:hAnsi="Times New Roman"/>
        </w:rPr>
      </w:pPr>
      <w:r>
        <w:rPr>
          <w:rFonts w:ascii="Times New Roman" w:hAnsi="Times New Roman"/>
        </w:rPr>
        <w:t>(1)  Herňu možno zriadiť len v obciach, v</w:t>
      </w:r>
      <w:r w:rsidR="00B47186">
        <w:rPr>
          <w:rFonts w:ascii="Times New Roman" w:hAnsi="Times New Roman"/>
        </w:rPr>
        <w:t xml:space="preserve"> hlavnom meste Slovenskej republiky </w:t>
      </w:r>
      <w:r>
        <w:rPr>
          <w:rFonts w:ascii="Times New Roman" w:hAnsi="Times New Roman"/>
        </w:rPr>
        <w:t>Bratislave a</w:t>
      </w:r>
      <w:r w:rsidR="00B47186">
        <w:rPr>
          <w:rFonts w:ascii="Times New Roman" w:hAnsi="Times New Roman"/>
        </w:rPr>
        <w:t xml:space="preserve"> v meste </w:t>
      </w:r>
      <w:r>
        <w:rPr>
          <w:rFonts w:ascii="Times New Roman" w:hAnsi="Times New Roman"/>
        </w:rPr>
        <w:t> </w:t>
      </w:r>
      <w:r w:rsidR="00B47186">
        <w:rPr>
          <w:rFonts w:ascii="Times New Roman" w:hAnsi="Times New Roman"/>
        </w:rPr>
        <w:t xml:space="preserve">Košice </w:t>
      </w:r>
      <w:r>
        <w:rPr>
          <w:rFonts w:ascii="Times New Roman" w:hAnsi="Times New Roman"/>
        </w:rPr>
        <w:t xml:space="preserve">mestských častiach, s viac ako </w:t>
      </w:r>
      <w:r w:rsidR="00E429C1">
        <w:rPr>
          <w:rFonts w:ascii="Times New Roman" w:hAnsi="Times New Roman"/>
        </w:rPr>
        <w:t>5</w:t>
      </w:r>
      <w:r>
        <w:rPr>
          <w:rFonts w:ascii="Times New Roman" w:hAnsi="Times New Roman"/>
        </w:rPr>
        <w:t xml:space="preserve">0 000 </w:t>
      </w:r>
      <w:r w:rsidR="00B47186">
        <w:rPr>
          <w:rFonts w:ascii="Times New Roman" w:hAnsi="Times New Roman"/>
        </w:rPr>
        <w:t xml:space="preserve">obyvateľmi podľa výsledkov ostatného sčítania ľudu, domov a bytov; v kúpeľných mestách </w:t>
      </w:r>
      <w:r w:rsidR="00B47186">
        <w:rPr>
          <w:rFonts w:ascii="Times New Roman" w:hAnsi="Times New Roman"/>
          <w:vertAlign w:val="superscript"/>
        </w:rPr>
        <w:t xml:space="preserve">18b)    </w:t>
      </w:r>
      <w:r w:rsidR="00B47186">
        <w:rPr>
          <w:rFonts w:ascii="Times New Roman" w:hAnsi="Times New Roman"/>
        </w:rPr>
        <w:t>s nižším počtom obyvateľov možno zriadiť kasíno.</w:t>
      </w:r>
    </w:p>
    <w:p w:rsidR="00B47186" w:rsidP="00891F0E">
      <w:pPr>
        <w:jc w:val="both"/>
        <w:rPr>
          <w:rFonts w:ascii="Times New Roman" w:hAnsi="Times New Roman"/>
        </w:rPr>
      </w:pPr>
    </w:p>
    <w:p w:rsidR="00B47186" w:rsidP="00B47186">
      <w:pPr>
        <w:jc w:val="both"/>
        <w:rPr>
          <w:rFonts w:ascii="Times New Roman" w:hAnsi="Times New Roman"/>
        </w:rPr>
      </w:pPr>
      <w:r>
        <w:rPr>
          <w:rFonts w:ascii="Times New Roman" w:hAnsi="Times New Roman"/>
        </w:rPr>
        <w:t>(2)   Ak počet obyvateľov klesne pod stanovenú hranicu prevádzkovateľ zruší herňu do jedného roku od zverejnenia výsledkov sčítania ľudu, domov a bytov.</w:t>
      </w:r>
    </w:p>
    <w:p w:rsidR="00B47186" w:rsidP="00B47186">
      <w:pPr>
        <w:jc w:val="both"/>
        <w:rPr>
          <w:rFonts w:ascii="Times New Roman" w:hAnsi="Times New Roman"/>
        </w:rPr>
      </w:pPr>
    </w:p>
    <w:p w:rsidR="00B47186" w:rsidP="00B47186">
      <w:pPr>
        <w:jc w:val="both"/>
        <w:rPr>
          <w:rFonts w:ascii="Times New Roman" w:hAnsi="Times New Roman"/>
        </w:rPr>
      </w:pPr>
    </w:p>
    <w:p w:rsidR="00B47186" w:rsidP="00B47186">
      <w:pPr>
        <w:jc w:val="both"/>
        <w:rPr>
          <w:rFonts w:ascii="Times New Roman" w:hAnsi="Times New Roman"/>
        </w:rPr>
      </w:pPr>
      <w:r>
        <w:rPr>
          <w:rFonts w:ascii="Times New Roman" w:hAnsi="Times New Roman"/>
        </w:rPr>
        <w:t>(3)       Jeden prevádzkovateľ môže prevádzkovať v obci najviac jednu herňu.</w:t>
      </w:r>
      <w:r w:rsidR="00027981">
        <w:rPr>
          <w:rFonts w:ascii="Times New Roman" w:hAnsi="Times New Roman"/>
        </w:rPr>
        <w:t xml:space="preserve"> V jednej herni môže byť najviac sto miest s výhernými  prístrojmi alebo  </w:t>
      </w:r>
      <w:r w:rsidRPr="00CA315F" w:rsidR="00B17666">
        <w:rPr>
          <w:rFonts w:ascii="Times New Roman" w:hAnsi="Times New Roman"/>
        </w:rPr>
        <w:t>technick</w:t>
      </w:r>
      <w:r w:rsidR="00B17666">
        <w:rPr>
          <w:rFonts w:ascii="Times New Roman" w:hAnsi="Times New Roman"/>
        </w:rPr>
        <w:t>ými</w:t>
      </w:r>
      <w:r w:rsidRPr="00CA315F" w:rsidR="00B17666">
        <w:rPr>
          <w:rFonts w:ascii="Times New Roman" w:hAnsi="Times New Roman"/>
        </w:rPr>
        <w:t xml:space="preserve"> zariadenia</w:t>
      </w:r>
      <w:r w:rsidR="00B17666">
        <w:rPr>
          <w:rFonts w:ascii="Times New Roman" w:hAnsi="Times New Roman"/>
        </w:rPr>
        <w:t xml:space="preserve">mi obsluhovanými </w:t>
      </w:r>
      <w:r w:rsidRPr="00CA315F" w:rsidR="00B17666">
        <w:rPr>
          <w:rFonts w:ascii="Times New Roman" w:hAnsi="Times New Roman"/>
        </w:rPr>
        <w:t>priamo hráčmi</w:t>
      </w:r>
      <w:r w:rsidR="00B17666">
        <w:rPr>
          <w:rFonts w:ascii="Times New Roman" w:hAnsi="Times New Roman"/>
        </w:rPr>
        <w:t>.</w:t>
      </w:r>
    </w:p>
    <w:p w:rsidR="00B47186" w:rsidP="00B47186">
      <w:pPr>
        <w:jc w:val="both"/>
        <w:rPr>
          <w:rFonts w:ascii="Times New Roman" w:hAnsi="Times New Roman"/>
        </w:rPr>
      </w:pPr>
    </w:p>
    <w:p w:rsidR="00B063D2" w:rsidP="00B063D2">
      <w:pPr>
        <w:jc w:val="both"/>
        <w:rPr>
          <w:rFonts w:ascii="Times New Roman" w:hAnsi="Times New Roman"/>
        </w:rPr>
      </w:pPr>
      <w:r w:rsidR="00B47186">
        <w:rPr>
          <w:rFonts w:ascii="Times New Roman" w:hAnsi="Times New Roman"/>
        </w:rPr>
        <w:t>(</w:t>
      </w:r>
      <w:r>
        <w:rPr>
          <w:rFonts w:ascii="Times New Roman" w:hAnsi="Times New Roman"/>
        </w:rPr>
        <w:t>4)       Ak sa hazardná hra prevádzkuje v herni, prevádzkovateľ hazardnej hry musí vyhotoviť prevádzkové pravidlá herne, ktoré obsahujú najmä</w:t>
      </w:r>
    </w:p>
    <w:p w:rsidR="00B063D2" w:rsidP="00B063D2">
      <w:pPr>
        <w:ind w:left="708"/>
        <w:jc w:val="both"/>
        <w:rPr>
          <w:rFonts w:ascii="Times New Roman" w:hAnsi="Times New Roman"/>
        </w:rPr>
      </w:pPr>
      <w:r>
        <w:rPr>
          <w:rFonts w:ascii="Times New Roman" w:hAnsi="Times New Roman"/>
        </w:rPr>
        <w:t>a) otváracie hodiny herne,</w:t>
      </w:r>
    </w:p>
    <w:p w:rsidR="00B063D2" w:rsidP="00B063D2">
      <w:pPr>
        <w:jc w:val="both"/>
        <w:rPr>
          <w:rFonts w:ascii="Times New Roman" w:hAnsi="Times New Roman"/>
        </w:rPr>
      </w:pPr>
      <w:r>
        <w:rPr>
          <w:rFonts w:ascii="Times New Roman" w:hAnsi="Times New Roman"/>
        </w:rPr>
        <w:t xml:space="preserve"> </w:t>
        <w:tab/>
        <w:t>b) práva a povinnosti hráčov,</w:t>
      </w:r>
    </w:p>
    <w:p w:rsidR="00B063D2" w:rsidP="00B063D2">
      <w:pPr>
        <w:jc w:val="both"/>
        <w:rPr>
          <w:rFonts w:ascii="Times New Roman" w:hAnsi="Times New Roman"/>
        </w:rPr>
      </w:pPr>
      <w:r>
        <w:rPr>
          <w:rFonts w:ascii="Times New Roman" w:hAnsi="Times New Roman"/>
        </w:rPr>
        <w:t xml:space="preserve"> </w:t>
        <w:tab/>
        <w:t>c) práva a povinnosti stáleho dozoru herne,</w:t>
      </w:r>
    </w:p>
    <w:p w:rsidR="00B47186" w:rsidP="00B063D2">
      <w:pPr>
        <w:jc w:val="both"/>
        <w:rPr>
          <w:rFonts w:ascii="Times New Roman" w:hAnsi="Times New Roman"/>
        </w:rPr>
      </w:pPr>
      <w:r w:rsidR="00B063D2">
        <w:rPr>
          <w:rFonts w:ascii="Times New Roman" w:hAnsi="Times New Roman"/>
        </w:rPr>
        <w:t xml:space="preserve"> </w:t>
        <w:tab/>
        <w:t>d) označenie stáleho dozoru herne.“</w:t>
      </w:r>
    </w:p>
    <w:p w:rsidR="00B063D2" w:rsidP="00B063D2">
      <w:pPr>
        <w:jc w:val="both"/>
        <w:rPr>
          <w:rFonts w:ascii="Times New Roman" w:hAnsi="Times New Roman"/>
        </w:rPr>
      </w:pPr>
    </w:p>
    <w:p w:rsidR="00B063D2" w:rsidP="00B063D2">
      <w:pPr>
        <w:jc w:val="both"/>
        <w:rPr>
          <w:rFonts w:ascii="Times New Roman" w:hAnsi="Times New Roman"/>
        </w:rPr>
      </w:pPr>
    </w:p>
    <w:p w:rsidR="00B063D2" w:rsidP="00B063D2">
      <w:pPr>
        <w:jc w:val="both"/>
        <w:rPr>
          <w:rFonts w:ascii="Times New Roman" w:hAnsi="Times New Roman"/>
        </w:rPr>
      </w:pPr>
    </w:p>
    <w:p w:rsidR="00B063D2" w:rsidP="00B063D2">
      <w:pPr>
        <w:jc w:val="both"/>
        <w:rPr>
          <w:rFonts w:ascii="Times New Roman" w:hAnsi="Times New Roman"/>
        </w:rPr>
      </w:pPr>
    </w:p>
    <w:p w:rsidR="00B063D2" w:rsidP="00B063D2">
      <w:pPr>
        <w:jc w:val="both"/>
        <w:rPr>
          <w:rFonts w:ascii="Times New Roman" w:hAnsi="Times New Roman"/>
        </w:rPr>
      </w:pPr>
      <w:r>
        <w:rPr>
          <w:rFonts w:ascii="Times New Roman" w:hAnsi="Times New Roman"/>
        </w:rPr>
        <w:t xml:space="preserve">  Poznámka pod čiarou znie: „</w:t>
      </w:r>
      <w:r>
        <w:rPr>
          <w:rFonts w:ascii="Times New Roman" w:hAnsi="Times New Roman"/>
          <w:vertAlign w:val="superscript"/>
        </w:rPr>
        <w:t xml:space="preserve">18b)   </w:t>
      </w:r>
      <w:r w:rsidRPr="00B063D2">
        <w:rPr>
          <w:rFonts w:ascii="Times New Roman" w:hAnsi="Times New Roman"/>
        </w:rPr>
        <w:t>§ 35 zákona č. 538/2005 Z.z. o prírodných liečivých vodách, prírodných liečebných kúpeľoch, kúpeľných miestach a prírodných minerálnych vodách a o zmene a doplnení niektorých záko</w:t>
      </w:r>
      <w:r w:rsidRPr="00B063D2">
        <w:rPr>
          <w:rFonts w:ascii="Times New Roman" w:hAnsi="Times New Roman"/>
        </w:rPr>
        <w:t>nov v znení neskorších predpisov.</w:t>
      </w:r>
      <w:r>
        <w:rPr>
          <w:rFonts w:ascii="Times New Roman" w:hAnsi="Times New Roman"/>
        </w:rPr>
        <w:t>“</w:t>
      </w:r>
    </w:p>
    <w:p w:rsidR="00B063D2" w:rsidP="00B063D2">
      <w:pPr>
        <w:jc w:val="both"/>
        <w:rPr>
          <w:rFonts w:ascii="Times New Roman" w:hAnsi="Times New Roman"/>
        </w:rPr>
      </w:pPr>
    </w:p>
    <w:p w:rsidR="00027981" w:rsidP="00027981">
      <w:pPr>
        <w:jc w:val="both"/>
        <w:rPr>
          <w:rFonts w:ascii="Times New Roman" w:hAnsi="Times New Roman"/>
        </w:rPr>
      </w:pPr>
      <w:r w:rsidR="006C3104">
        <w:rPr>
          <w:rFonts w:ascii="Times New Roman" w:hAnsi="Times New Roman"/>
          <w:b/>
        </w:rPr>
        <w:t>3</w:t>
      </w:r>
      <w:r w:rsidRPr="006C3104">
        <w:rPr>
          <w:rFonts w:ascii="Times New Roman" w:hAnsi="Times New Roman"/>
          <w:b/>
        </w:rPr>
        <w:t>.</w:t>
      </w:r>
      <w:r>
        <w:rPr>
          <w:rFonts w:ascii="Times New Roman" w:hAnsi="Times New Roman"/>
        </w:rPr>
        <w:t xml:space="preserve"> § 49 znie:</w:t>
      </w:r>
    </w:p>
    <w:p w:rsidR="00027981" w:rsidP="00027981">
      <w:pPr>
        <w:jc w:val="both"/>
        <w:rPr>
          <w:rFonts w:ascii="Times New Roman" w:hAnsi="Times New Roman"/>
        </w:rPr>
      </w:pPr>
    </w:p>
    <w:p w:rsidR="00027981" w:rsidP="00027981">
      <w:pPr>
        <w:jc w:val="center"/>
        <w:rPr>
          <w:rFonts w:ascii="Times New Roman" w:hAnsi="Times New Roman"/>
        </w:rPr>
      </w:pPr>
      <w:r>
        <w:rPr>
          <w:rFonts w:ascii="Times New Roman" w:hAnsi="Times New Roman"/>
        </w:rPr>
        <w:t>„§ 49</w:t>
      </w:r>
    </w:p>
    <w:p w:rsidR="00027981" w:rsidP="00027981">
      <w:pPr>
        <w:jc w:val="both"/>
        <w:rPr>
          <w:rFonts w:ascii="Times New Roman" w:hAnsi="Times New Roman"/>
        </w:rPr>
      </w:pPr>
    </w:p>
    <w:p w:rsidR="00027981" w:rsidP="00027981">
      <w:pPr>
        <w:numPr>
          <w:ilvl w:val="0"/>
          <w:numId w:val="4"/>
        </w:numPr>
        <w:tabs>
          <w:tab w:val="left" w:pos="720"/>
        </w:tabs>
        <w:jc w:val="both"/>
        <w:rPr>
          <w:rFonts w:ascii="Times New Roman" w:hAnsi="Times New Roman"/>
        </w:rPr>
      </w:pPr>
      <w:r>
        <w:rPr>
          <w:rFonts w:ascii="Times New Roman" w:hAnsi="Times New Roman"/>
        </w:rPr>
        <w:t>Výherný prístroj je možné prevádzkovať iba v herni.</w:t>
      </w:r>
    </w:p>
    <w:p w:rsidR="00027981" w:rsidP="00027981">
      <w:pPr>
        <w:ind w:left="360"/>
        <w:jc w:val="both"/>
        <w:rPr>
          <w:rFonts w:ascii="Times New Roman" w:hAnsi="Times New Roman"/>
        </w:rPr>
      </w:pPr>
    </w:p>
    <w:p w:rsidR="00027981" w:rsidP="00027981">
      <w:pPr>
        <w:numPr>
          <w:ilvl w:val="0"/>
          <w:numId w:val="4"/>
        </w:numPr>
        <w:tabs>
          <w:tab w:val="left" w:pos="720"/>
        </w:tabs>
        <w:jc w:val="both"/>
        <w:rPr>
          <w:rFonts w:ascii="Times New Roman" w:hAnsi="Times New Roman"/>
        </w:rPr>
      </w:pPr>
      <w:r>
        <w:rPr>
          <w:rFonts w:ascii="Times New Roman" w:hAnsi="Times New Roman"/>
        </w:rPr>
        <w:t>V herni, v ktorej sa prevádzkujú výherné prístroje a nie je kasínom, je zakázané konzumovať alkoholické nápoje.“</w:t>
      </w:r>
    </w:p>
    <w:p w:rsidR="00B17666" w:rsidP="00B17666">
      <w:pPr>
        <w:ind w:left="360"/>
        <w:jc w:val="both"/>
        <w:rPr>
          <w:rFonts w:ascii="Times New Roman" w:hAnsi="Times New Roman"/>
        </w:rPr>
      </w:pPr>
    </w:p>
    <w:p w:rsidR="00B17666" w:rsidP="00B17666">
      <w:pPr>
        <w:ind w:left="360"/>
        <w:jc w:val="both"/>
        <w:rPr>
          <w:rFonts w:ascii="Times New Roman" w:hAnsi="Times New Roman"/>
        </w:rPr>
      </w:pPr>
    </w:p>
    <w:p w:rsidR="00B17666" w:rsidP="006C3104">
      <w:pPr>
        <w:jc w:val="both"/>
        <w:rPr>
          <w:rFonts w:ascii="Times New Roman" w:hAnsi="Times New Roman"/>
        </w:rPr>
      </w:pPr>
      <w:r w:rsidRPr="006C3104" w:rsidR="006C3104">
        <w:rPr>
          <w:rFonts w:ascii="Times New Roman" w:hAnsi="Times New Roman"/>
          <w:b/>
        </w:rPr>
        <w:t>4</w:t>
      </w:r>
      <w:r w:rsidRPr="006C3104">
        <w:rPr>
          <w:rFonts w:ascii="Times New Roman" w:hAnsi="Times New Roman"/>
          <w:b/>
        </w:rPr>
        <w:t>.</w:t>
      </w:r>
      <w:r>
        <w:rPr>
          <w:rFonts w:ascii="Times New Roman" w:hAnsi="Times New Roman"/>
        </w:rPr>
        <w:t xml:space="preserve"> § 58c</w:t>
      </w:r>
      <w:r w:rsidR="00E429C1">
        <w:rPr>
          <w:rFonts w:ascii="Times New Roman" w:hAnsi="Times New Roman"/>
        </w:rPr>
        <w:t xml:space="preserve"> vrátane nadpisu </w:t>
      </w:r>
      <w:r>
        <w:rPr>
          <w:rFonts w:ascii="Times New Roman" w:hAnsi="Times New Roman"/>
        </w:rPr>
        <w:t xml:space="preserve"> znie</w:t>
      </w:r>
      <w:r>
        <w:rPr>
          <w:rFonts w:ascii="Times New Roman" w:hAnsi="Times New Roman"/>
        </w:rPr>
        <w:t>:</w:t>
      </w:r>
    </w:p>
    <w:p w:rsidR="00B17666" w:rsidP="00B17666">
      <w:pPr>
        <w:ind w:left="360"/>
        <w:jc w:val="center"/>
        <w:rPr>
          <w:rFonts w:ascii="Times New Roman" w:hAnsi="Times New Roman"/>
        </w:rPr>
      </w:pPr>
      <w:r>
        <w:rPr>
          <w:rFonts w:ascii="Times New Roman" w:hAnsi="Times New Roman"/>
        </w:rPr>
        <w:t>„§ 58b</w:t>
      </w:r>
    </w:p>
    <w:p w:rsidR="00B17666" w:rsidP="00B17666">
      <w:pPr>
        <w:ind w:left="360"/>
        <w:jc w:val="both"/>
        <w:rPr>
          <w:rFonts w:ascii="Times New Roman" w:hAnsi="Times New Roman"/>
        </w:rPr>
      </w:pPr>
    </w:p>
    <w:p w:rsidR="00B17666" w:rsidP="00B17666">
      <w:pPr>
        <w:ind w:left="360"/>
        <w:jc w:val="center"/>
        <w:rPr>
          <w:rFonts w:ascii="Times New Roman" w:hAnsi="Times New Roman"/>
        </w:rPr>
      </w:pPr>
      <w:r>
        <w:rPr>
          <w:rFonts w:ascii="Times New Roman" w:hAnsi="Times New Roman"/>
        </w:rPr>
        <w:t>Prechodné ustanovenia k úpravám účinným od 1. apríla 2010</w:t>
      </w:r>
    </w:p>
    <w:p w:rsidR="00B17666" w:rsidP="00B17666">
      <w:pPr>
        <w:ind w:left="360"/>
        <w:jc w:val="center"/>
        <w:rPr>
          <w:rFonts w:ascii="Times New Roman" w:hAnsi="Times New Roman"/>
        </w:rPr>
      </w:pPr>
    </w:p>
    <w:p w:rsidR="00842052" w:rsidP="00B17666">
      <w:pPr>
        <w:ind w:left="360"/>
        <w:jc w:val="both"/>
        <w:rPr>
          <w:rFonts w:ascii="Times New Roman" w:hAnsi="Times New Roman"/>
        </w:rPr>
      </w:pPr>
      <w:r w:rsidR="00055EA0">
        <w:rPr>
          <w:rFonts w:ascii="Times New Roman" w:hAnsi="Times New Roman"/>
        </w:rPr>
        <w:t>(1)   Prevádzkovateľ herne</w:t>
      </w:r>
      <w:r w:rsidRPr="00CA315F" w:rsidR="00055EA0">
        <w:rPr>
          <w:rFonts w:ascii="Times New Roman" w:hAnsi="Times New Roman"/>
        </w:rPr>
        <w:t>, technické</w:t>
      </w:r>
      <w:r>
        <w:rPr>
          <w:rFonts w:ascii="Times New Roman" w:hAnsi="Times New Roman"/>
        </w:rPr>
        <w:t>ho</w:t>
      </w:r>
      <w:r w:rsidRPr="00CA315F" w:rsidR="00055EA0">
        <w:rPr>
          <w:rFonts w:ascii="Times New Roman" w:hAnsi="Times New Roman"/>
        </w:rPr>
        <w:t xml:space="preserve"> zariadenia obsluhované</w:t>
      </w:r>
      <w:r w:rsidR="006C3104">
        <w:rPr>
          <w:rFonts w:ascii="Times New Roman" w:hAnsi="Times New Roman"/>
        </w:rPr>
        <w:t>ho</w:t>
      </w:r>
      <w:r w:rsidRPr="00CA315F" w:rsidR="00055EA0">
        <w:rPr>
          <w:rFonts w:ascii="Times New Roman" w:hAnsi="Times New Roman"/>
        </w:rPr>
        <w:t xml:space="preserve"> priamo hráčmi a</w:t>
      </w:r>
      <w:r w:rsidR="00055EA0">
        <w:rPr>
          <w:rFonts w:ascii="Times New Roman" w:hAnsi="Times New Roman"/>
        </w:rPr>
        <w:t> </w:t>
      </w:r>
      <w:r w:rsidRPr="00CA315F" w:rsidR="00055EA0">
        <w:rPr>
          <w:rFonts w:ascii="Times New Roman" w:hAnsi="Times New Roman"/>
        </w:rPr>
        <w:t>videohry</w:t>
      </w:r>
      <w:r w:rsidR="00055EA0">
        <w:rPr>
          <w:rFonts w:ascii="Times New Roman" w:hAnsi="Times New Roman"/>
        </w:rPr>
        <w:t>, ktoré  boli zriadené pre</w:t>
      </w:r>
      <w:r w:rsidR="006C3104">
        <w:rPr>
          <w:rFonts w:ascii="Times New Roman" w:hAnsi="Times New Roman"/>
        </w:rPr>
        <w:t>d</w:t>
      </w:r>
      <w:r w:rsidR="00055EA0">
        <w:rPr>
          <w:rFonts w:ascii="Times New Roman" w:hAnsi="Times New Roman"/>
        </w:rPr>
        <w:t xml:space="preserve"> účinnosťou</w:t>
      </w:r>
      <w:r>
        <w:rPr>
          <w:rFonts w:ascii="Times New Roman" w:hAnsi="Times New Roman"/>
        </w:rPr>
        <w:t xml:space="preserve"> zákona uvedie ich umiestnenie a prevádzku do súladu s § 35 </w:t>
      </w:r>
      <w:r>
        <w:rPr>
          <w:rFonts w:ascii="Times New Roman" w:hAnsi="Times New Roman"/>
        </w:rPr>
        <w:t xml:space="preserve">ods. </w:t>
      </w:r>
      <w:smartTag w:uri="urn:schemas-microsoft-com:office:smarttags" w:element="metricconverter">
        <w:smartTagPr>
          <w:attr w:name="ProductID" w:val="11 a"/>
        </w:smartTagPr>
        <w:r>
          <w:rPr>
            <w:rFonts w:ascii="Times New Roman" w:hAnsi="Times New Roman"/>
          </w:rPr>
          <w:t>11 a</w:t>
        </w:r>
      </w:smartTag>
      <w:r>
        <w:rPr>
          <w:rFonts w:ascii="Times New Roman" w:hAnsi="Times New Roman"/>
        </w:rPr>
        <w:t xml:space="preserve"> § 38 ods. 1a 3 do 31. marca 2011.</w:t>
      </w:r>
    </w:p>
    <w:p w:rsidR="00842052" w:rsidP="00B17666">
      <w:pPr>
        <w:ind w:left="360"/>
        <w:jc w:val="both"/>
        <w:rPr>
          <w:rFonts w:ascii="Times New Roman" w:hAnsi="Times New Roman"/>
        </w:rPr>
      </w:pPr>
    </w:p>
    <w:p w:rsidR="00B17666" w:rsidP="00B17666">
      <w:pPr>
        <w:ind w:left="360"/>
        <w:jc w:val="both"/>
        <w:rPr>
          <w:rFonts w:ascii="Times New Roman" w:hAnsi="Times New Roman"/>
        </w:rPr>
      </w:pPr>
      <w:r w:rsidR="00842052">
        <w:rPr>
          <w:rFonts w:ascii="Times New Roman" w:hAnsi="Times New Roman"/>
        </w:rPr>
        <w:t>(2)          Na umiestnenie výhern</w:t>
      </w:r>
      <w:r w:rsidR="006C3104">
        <w:rPr>
          <w:rFonts w:ascii="Times New Roman" w:hAnsi="Times New Roman"/>
        </w:rPr>
        <w:t>ého</w:t>
      </w:r>
      <w:r w:rsidR="00842052">
        <w:rPr>
          <w:rFonts w:ascii="Times New Roman" w:hAnsi="Times New Roman"/>
        </w:rPr>
        <w:t xml:space="preserve"> prístroj</w:t>
      </w:r>
      <w:r w:rsidR="006C3104">
        <w:rPr>
          <w:rFonts w:ascii="Times New Roman" w:hAnsi="Times New Roman"/>
        </w:rPr>
        <w:t>a</w:t>
      </w:r>
      <w:r w:rsidR="00842052">
        <w:rPr>
          <w:rFonts w:ascii="Times New Roman" w:hAnsi="Times New Roman"/>
        </w:rPr>
        <w:t>, na ktor</w:t>
      </w:r>
      <w:r w:rsidR="006C3104">
        <w:rPr>
          <w:rFonts w:ascii="Times New Roman" w:hAnsi="Times New Roman"/>
        </w:rPr>
        <w:t>ý</w:t>
      </w:r>
      <w:r w:rsidR="00842052">
        <w:rPr>
          <w:rFonts w:ascii="Times New Roman" w:hAnsi="Times New Roman"/>
        </w:rPr>
        <w:t xml:space="preserve"> bol</w:t>
      </w:r>
      <w:r w:rsidR="006C3104">
        <w:rPr>
          <w:rFonts w:ascii="Times New Roman" w:hAnsi="Times New Roman"/>
        </w:rPr>
        <w:t>a vydaná licencia</w:t>
      </w:r>
      <w:r w:rsidR="00842052">
        <w:rPr>
          <w:rFonts w:ascii="Times New Roman" w:hAnsi="Times New Roman"/>
        </w:rPr>
        <w:t xml:space="preserve"> do </w:t>
      </w:r>
      <w:r w:rsidR="00055EA0">
        <w:rPr>
          <w:rFonts w:ascii="Times New Roman" w:hAnsi="Times New Roman"/>
        </w:rPr>
        <w:t xml:space="preserve"> </w:t>
      </w:r>
      <w:r w:rsidR="00842052">
        <w:rPr>
          <w:rFonts w:ascii="Times New Roman" w:hAnsi="Times New Roman"/>
        </w:rPr>
        <w:t xml:space="preserve">dňa účinnosti tohto zákona, sa obmedzenia  §49 ods. 1 nevzťahujú. </w:t>
      </w:r>
      <w:r w:rsidR="006C3104">
        <w:rPr>
          <w:rFonts w:ascii="Times New Roman" w:hAnsi="Times New Roman"/>
        </w:rPr>
        <w:t>“</w:t>
      </w:r>
    </w:p>
    <w:p w:rsidR="00027981" w:rsidP="00027981">
      <w:pPr>
        <w:spacing w:line="300" w:lineRule="atLeast"/>
        <w:rPr>
          <w:rFonts w:ascii="Times New Roman" w:hAnsi="Times New Roman"/>
        </w:rPr>
      </w:pPr>
    </w:p>
    <w:p w:rsidR="00027981" w:rsidP="00027981">
      <w:pPr>
        <w:spacing w:line="300" w:lineRule="atLeast"/>
        <w:rPr>
          <w:rFonts w:ascii="Times New Roman" w:hAnsi="Times New Roman"/>
        </w:rPr>
      </w:pPr>
    </w:p>
    <w:p w:rsidR="00027981" w:rsidP="00027981">
      <w:pPr>
        <w:pStyle w:val="Heading1"/>
        <w:rPr>
          <w:rFonts w:ascii="Times New Roman" w:hAnsi="Times New Roman"/>
        </w:rPr>
      </w:pPr>
      <w:r>
        <w:rPr>
          <w:rFonts w:ascii="Times New Roman" w:hAnsi="Times New Roman"/>
        </w:rPr>
        <w:t>Čl. II</w:t>
      </w:r>
    </w:p>
    <w:p w:rsidR="00027981" w:rsidP="00027981">
      <w:pPr>
        <w:spacing w:line="300" w:lineRule="atLeast"/>
        <w:ind w:left="708" w:firstLine="708"/>
        <w:rPr>
          <w:rFonts w:ascii="Times New Roman" w:hAnsi="Times New Roman"/>
        </w:rPr>
      </w:pPr>
      <w:r>
        <w:rPr>
          <w:rFonts w:ascii="Times New Roman" w:hAnsi="Times New Roman"/>
        </w:rPr>
        <w:t>Tento zákon nadobúda účinnosť 1.</w:t>
      </w:r>
      <w:r w:rsidR="00B17666">
        <w:rPr>
          <w:rFonts w:ascii="Times New Roman" w:hAnsi="Times New Roman"/>
        </w:rPr>
        <w:t>apríla</w:t>
      </w:r>
      <w:r>
        <w:rPr>
          <w:rFonts w:ascii="Times New Roman" w:hAnsi="Times New Roman"/>
        </w:rPr>
        <w:t xml:space="preserve"> 20</w:t>
      </w:r>
      <w:r w:rsidR="00B17666">
        <w:rPr>
          <w:rFonts w:ascii="Times New Roman" w:hAnsi="Times New Roman"/>
        </w:rPr>
        <w:t>10</w:t>
      </w:r>
    </w:p>
    <w:p w:rsidR="00027981" w:rsidP="00027981">
      <w:pPr>
        <w:rPr>
          <w:rFonts w:ascii="Times New Roman" w:hAnsi="Times New Roman"/>
        </w:rPr>
      </w:pPr>
    </w:p>
    <w:p w:rsidR="00027981" w:rsidP="00027981">
      <w:pPr>
        <w:rPr>
          <w:rFonts w:ascii="Times New Roman" w:hAnsi="Times New Roman"/>
        </w:rPr>
      </w:pPr>
    </w:p>
    <w:p w:rsidR="00027981" w:rsidP="00027981">
      <w:pPr>
        <w:rPr>
          <w:rFonts w:ascii="Times New Roman" w:hAnsi="Times New Roman"/>
        </w:rPr>
      </w:pPr>
    </w:p>
    <w:p w:rsidR="00B063D2" w:rsidRPr="00B063D2" w:rsidP="00B063D2">
      <w:pPr>
        <w:jc w:val="both"/>
        <w:rPr>
          <w:rFonts w:ascii="Times New Roman" w:hAnsi="Times New Roman"/>
          <w:vertAlign w:val="superscript"/>
        </w:rPr>
      </w:pPr>
    </w:p>
    <w:p w:rsidR="00B063D2" w:rsidP="00B063D2">
      <w:pPr>
        <w:jc w:val="both"/>
        <w:rPr>
          <w:rFonts w:ascii="Times New Roman" w:hAnsi="Times New Roman"/>
        </w:rPr>
      </w:pPr>
    </w:p>
    <w:p w:rsidR="00B063D2"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B063D2">
      <w:pPr>
        <w:jc w:val="both"/>
        <w:rPr>
          <w:rFonts w:ascii="Times New Roman" w:hAnsi="Times New Roman"/>
        </w:rPr>
      </w:pPr>
    </w:p>
    <w:p w:rsidR="00E00F4C" w:rsidP="00E00F4C">
      <w:pPr>
        <w:pStyle w:val="BodyText"/>
        <w:spacing w:before="60" w:after="60"/>
        <w:jc w:val="center"/>
        <w:outlineLvl w:val="0"/>
        <w:rPr>
          <w:rFonts w:ascii="Times New Roman" w:hAnsi="Times New Roman"/>
          <w:b/>
          <w:bCs/>
        </w:rPr>
      </w:pPr>
      <w:r>
        <w:rPr>
          <w:rFonts w:ascii="Times New Roman" w:hAnsi="Times New Roman"/>
          <w:b/>
          <w:bCs/>
        </w:rPr>
        <w:t>DÔVODOVÁ SPRÁVA</w:t>
      </w:r>
    </w:p>
    <w:p w:rsidR="00E00F4C" w:rsidP="00E00F4C">
      <w:pPr>
        <w:pStyle w:val="BodyText"/>
        <w:spacing w:before="60" w:after="60"/>
        <w:jc w:val="center"/>
        <w:rPr>
          <w:rFonts w:ascii="Times New Roman" w:hAnsi="Times New Roman"/>
          <w:b/>
          <w:bCs/>
        </w:rPr>
      </w:pPr>
    </w:p>
    <w:p w:rsidR="00E00F4C" w:rsidP="00E00F4C">
      <w:pPr>
        <w:pStyle w:val="BodyText"/>
        <w:spacing w:before="60" w:after="60"/>
        <w:jc w:val="center"/>
        <w:outlineLvl w:val="0"/>
        <w:rPr>
          <w:rFonts w:ascii="Times New Roman" w:hAnsi="Times New Roman"/>
          <w:b/>
          <w:bCs/>
        </w:rPr>
      </w:pPr>
      <w:r>
        <w:rPr>
          <w:rFonts w:ascii="Times New Roman" w:hAnsi="Times New Roman"/>
          <w:b/>
          <w:bCs/>
        </w:rPr>
        <w:t>Všeobecná časť</w:t>
      </w:r>
    </w:p>
    <w:p w:rsidR="00E00F4C" w:rsidP="00E00F4C">
      <w:pPr>
        <w:pStyle w:val="BodyText"/>
        <w:spacing w:before="60" w:after="60"/>
        <w:ind w:firstLine="360"/>
        <w:jc w:val="both"/>
        <w:rPr>
          <w:rFonts w:ascii="Times New Roman" w:hAnsi="Times New Roman"/>
        </w:rPr>
      </w:pPr>
    </w:p>
    <w:p w:rsidR="00E00F4C" w:rsidP="00E00F4C">
      <w:pPr>
        <w:pStyle w:val="BodyText"/>
        <w:spacing w:before="60" w:after="60"/>
        <w:ind w:firstLine="540"/>
        <w:jc w:val="both"/>
        <w:rPr>
          <w:rFonts w:ascii="Times New Roman" w:hAnsi="Times New Roman"/>
        </w:rPr>
      </w:pPr>
      <w:r>
        <w:rPr>
          <w:rFonts w:ascii="Times New Roman" w:hAnsi="Times New Roman"/>
        </w:rPr>
        <w:t>Problematiku hazardných hier v Slovenskej republike upravuje predovšetkým zákon č. 171/2005 Z. z. o hazardných hrách a o zmene a doplnení niektorých zákonov, ktorý je účinný od 1. mája 2005. Tento zákon nahradil zákon č. 194/1990 Zb. o lotériách a iných podobných hrách v znení neskorších predpisov. Hlavným dôvodom tohto legislatívneho kroku bolo predovšetkým nejednoznačná úprava niektorých hazardných hier a to, že viacnásobná novelizácia pôvodného zákona mala za násle</w:t>
      </w:r>
      <w:r>
        <w:rPr>
          <w:rFonts w:ascii="Times New Roman" w:hAnsi="Times New Roman"/>
        </w:rPr>
        <w:t>dok pomerne komplikovanú právnu úpravu. Napokon, jedným z hlavných dôvodov bolo zavedenie nových princípov do sféry hazardných hier.</w:t>
      </w:r>
    </w:p>
    <w:p w:rsidR="00E00F4C" w:rsidP="00E00F4C">
      <w:pPr>
        <w:pStyle w:val="BodyText"/>
        <w:spacing w:before="60" w:after="60"/>
        <w:ind w:firstLine="540"/>
        <w:jc w:val="both"/>
        <w:rPr>
          <w:rFonts w:ascii="Times New Roman" w:hAnsi="Times New Roman"/>
        </w:rPr>
      </w:pPr>
      <w:r>
        <w:rPr>
          <w:rFonts w:ascii="Times New Roman" w:hAnsi="Times New Roman"/>
        </w:rPr>
        <w:t>Súčasný zákon o hazardných hrách vychádza z Koncepcie štátnej politiky v oblasti hazardných hier, ktorý schválila Vláda SR 17. februára 2005. V súlade s uvedenou koncepciou boli do zákonnej úpravy premietnuté okrem iného aj tieto okruhy ďalšieho vývoja v tejto oblasti :</w:t>
      </w:r>
    </w:p>
    <w:p w:rsidR="00E00F4C" w:rsidP="00E00F4C">
      <w:pPr>
        <w:pStyle w:val="BodyText"/>
        <w:numPr>
          <w:ilvl w:val="0"/>
          <w:numId w:val="6"/>
        </w:numPr>
        <w:tabs>
          <w:tab w:val="left" w:pos="360"/>
          <w:tab w:val="clear" w:pos="720"/>
        </w:tabs>
        <w:spacing w:before="60" w:after="60"/>
        <w:ind w:left="360"/>
        <w:jc w:val="both"/>
        <w:rPr>
          <w:rFonts w:ascii="Times New Roman" w:hAnsi="Times New Roman"/>
        </w:rPr>
      </w:pPr>
      <w:r>
        <w:rPr>
          <w:rFonts w:ascii="Times New Roman" w:hAnsi="Times New Roman"/>
        </w:rPr>
        <w:t>licenčný princíp v povoľovacom procese – najmä nárokové licencie s cieľom zvýšenia transparentnosti licenčného konania stanovením presných kritérií udeľovania licencií, minimalizácie subjektívneho rozhodovania, urýchlenia a zjednodušenia celého procesu licenčného konania,</w:t>
      </w:r>
    </w:p>
    <w:p w:rsidR="00E00F4C" w:rsidP="00E00F4C">
      <w:pPr>
        <w:pStyle w:val="BodyText"/>
        <w:numPr>
          <w:ilvl w:val="0"/>
          <w:numId w:val="6"/>
        </w:numPr>
        <w:tabs>
          <w:tab w:val="left" w:pos="360"/>
          <w:tab w:val="clear" w:pos="720"/>
        </w:tabs>
        <w:spacing w:before="60" w:after="60"/>
        <w:ind w:left="360"/>
        <w:jc w:val="both"/>
        <w:rPr>
          <w:rFonts w:ascii="Times New Roman" w:hAnsi="Times New Roman"/>
        </w:rPr>
      </w:pPr>
      <w:r>
        <w:rPr>
          <w:rFonts w:ascii="Times New Roman" w:hAnsi="Times New Roman"/>
        </w:rPr>
        <w:t>výkon štátneho dozoru – stanovila sa ucelená koncepcia kontroly vo vzťahu k prevádzkovateľom lotérií a povoľujúcim orgánom; rozšíril sa okruh orgánov vykonávajúcich dozor o obce, ktoré predtým dozornú</w:t>
        <w:br/>
        <w:t>činnosť nevykonávali, i keď boli povoľujúcim orgánom a aj príjemcom finančných prostriedkov z prevádzkovania vybraných hazardných hier.</w:t>
      </w:r>
    </w:p>
    <w:p w:rsidR="00E00F4C" w:rsidP="00E00F4C">
      <w:pPr>
        <w:pStyle w:val="BodyText"/>
        <w:spacing w:before="60" w:after="60"/>
        <w:ind w:firstLine="540"/>
        <w:jc w:val="both"/>
        <w:rPr>
          <w:rFonts w:ascii="Times New Roman" w:hAnsi="Times New Roman"/>
        </w:rPr>
      </w:pPr>
    </w:p>
    <w:p w:rsidR="00E00F4C" w:rsidP="00E00F4C">
      <w:pPr>
        <w:pStyle w:val="BodyText"/>
        <w:spacing w:before="60" w:after="60"/>
        <w:ind w:firstLine="540"/>
        <w:jc w:val="both"/>
        <w:rPr>
          <w:rFonts w:ascii="Times New Roman" w:hAnsi="Times New Roman"/>
        </w:rPr>
      </w:pPr>
      <w:r>
        <w:rPr>
          <w:rFonts w:ascii="Times New Roman" w:hAnsi="Times New Roman"/>
        </w:rPr>
        <w:t>Čo sa týka postavenia obcí a ich vplyvu na vývoj hazardných hier na ich území, treba kladne oceniť skutočnosť, že boli zahrnuté medzi orgány dozoru. Okrem toho obce rozhodujú o udelení individuálnej licencie, ktorými sa povoľuje prevádzka hazardných hier prevádzkovaných prostredníctvom výherných prístrojov, udeľujú súhlas s umiestnením stávkovej kancelárie na svojom území (hoci o udelení licencie rozhoduje Ministerstvo financií SR), v niektorých ďalších prípadoch sa vyžaduje vyjadrenie obce.</w:t>
      </w:r>
    </w:p>
    <w:p w:rsidR="00E00F4C" w:rsidP="00E00F4C">
      <w:pPr>
        <w:pStyle w:val="BodyText"/>
        <w:spacing w:before="60" w:after="60"/>
        <w:ind w:firstLine="540"/>
        <w:jc w:val="both"/>
        <w:rPr>
          <w:rFonts w:ascii="Times New Roman" w:hAnsi="Times New Roman"/>
        </w:rPr>
      </w:pPr>
    </w:p>
    <w:p w:rsidR="00E00F4C" w:rsidP="00E00F4C">
      <w:pPr>
        <w:pStyle w:val="BodyText"/>
        <w:spacing w:before="60" w:after="60"/>
        <w:ind w:firstLine="540"/>
        <w:jc w:val="both"/>
        <w:rPr>
          <w:rFonts w:ascii="Times New Roman" w:hAnsi="Times New Roman"/>
        </w:rPr>
      </w:pPr>
      <w:r>
        <w:rPr>
          <w:rFonts w:ascii="Times New Roman" w:hAnsi="Times New Roman"/>
        </w:rPr>
        <w:t>Prijatím nového zákona o hazardných hrách sa však vytratili akékoľvek možnosti regulovať vývoj týchto hier na vlastnom území</w:t>
      </w:r>
      <w:r w:rsidR="0094496F">
        <w:rPr>
          <w:rFonts w:ascii="Times New Roman" w:hAnsi="Times New Roman"/>
        </w:rPr>
        <w:t xml:space="preserve">. </w:t>
      </w:r>
      <w:r>
        <w:rPr>
          <w:rFonts w:ascii="Times New Roman" w:hAnsi="Times New Roman"/>
        </w:rPr>
        <w:t xml:space="preserve"> Tento nedostatok sa javí najviditeľnejšie v prípade výherných prístrojov – na jednej strane presne zákonom stanovené podmienky, ktoré zákon vyžaduje od prevádzkovateľov výherných prístrojov, sú relatívne silnou garanciou transparentnosti prevádzkovania týchto hazardných hier, na druhej strane </w:t>
      </w:r>
      <w:r w:rsidR="0094496F">
        <w:rPr>
          <w:rFonts w:ascii="Times New Roman" w:hAnsi="Times New Roman"/>
        </w:rPr>
        <w:t>nikto</w:t>
      </w:r>
      <w:r>
        <w:rPr>
          <w:rFonts w:ascii="Times New Roman" w:hAnsi="Times New Roman"/>
        </w:rPr>
        <w:t xml:space="preserve"> nemôže nijako zamedziť prevádzkovanie alebo ovplyvniť počet výherných prístrojov na území</w:t>
      </w:r>
      <w:r w:rsidR="0094496F">
        <w:rPr>
          <w:rFonts w:ascii="Times New Roman" w:hAnsi="Times New Roman"/>
        </w:rPr>
        <w:t>.</w:t>
      </w:r>
      <w:r>
        <w:rPr>
          <w:rFonts w:ascii="Times New Roman" w:hAnsi="Times New Roman"/>
        </w:rPr>
        <w:t xml:space="preserve"> </w:t>
      </w:r>
      <w:r w:rsidR="0094496F">
        <w:rPr>
          <w:rFonts w:ascii="Times New Roman" w:hAnsi="Times New Roman"/>
        </w:rPr>
        <w:t xml:space="preserve">To </w:t>
      </w:r>
      <w:r w:rsidR="00232322">
        <w:rPr>
          <w:rFonts w:ascii="Times New Roman" w:hAnsi="Times New Roman"/>
        </w:rPr>
        <w:t>spôsobilo</w:t>
      </w:r>
      <w:r w:rsidR="0094496F">
        <w:rPr>
          <w:rFonts w:ascii="Times New Roman" w:hAnsi="Times New Roman"/>
        </w:rPr>
        <w:t xml:space="preserve"> spolu s pomerne mäkkými podmienkami enormný rast hazardu a hrania na výherných prístrojoch zvlášť.</w:t>
      </w:r>
      <w:r>
        <w:rPr>
          <w:rFonts w:ascii="Times New Roman" w:hAnsi="Times New Roman"/>
        </w:rPr>
        <w:t xml:space="preserve"> Pri hazardných hrách ide aj o jav, ktorý so sebou nesie nezanedbateľné spoločenské riziká. Stávky a hry ako aktivity zo svojej podstaty hazardné vedú u určitých osôb k rozvoju sociálno-patologických javov, ku vzniku tzv. „hráčskej závislosti“ (patologické</w:t>
      </w:r>
      <w:r>
        <w:rPr>
          <w:rFonts w:ascii="Times New Roman" w:hAnsi="Times New Roman"/>
        </w:rPr>
        <w:t xml:space="preserve"> hráčstvo je klasifikovaná závislosť podľa MKCH), čo má neblahý vplyv nielen na nich, ale predovšetkým na im blízke osoby, najmä rodinných príslušníkov. Okrem toho môžu tieto javy vyvolávať ďalšie vyššie náklady z verejných rozpočtov (napr. zdravotné náklady spojené s liečením tzv. gamblerskej závislosti, zvýšené náklady bezpečnostných zložiek, náklady na sociálne zabezpečenie postihnutých rodín...). Hracie automaty predstavujú jednu z najdostupnejších a z hľadiska vzniku závislosti najagresívnejších foriem hazardu. Legálne hranie na druhej strane umožňuje mať aj tieto procesy pod lepšou kontrolou. V neposlednom rade hazardne hry predstavujú prínos do rozpočtov tak štátneho ako i obecných. Z uvedeného je zrejmé, že ide o komplexnú a veľmi cit</w:t>
      </w:r>
      <w:r w:rsidR="00232322">
        <w:rPr>
          <w:rFonts w:ascii="Times New Roman" w:hAnsi="Times New Roman"/>
        </w:rPr>
        <w:t>livú problematiku. Navrhovateľ</w:t>
      </w:r>
      <w:r>
        <w:rPr>
          <w:rFonts w:ascii="Times New Roman" w:hAnsi="Times New Roman"/>
        </w:rPr>
        <w:t xml:space="preserve"> preto hľadal kompromis, ktorý zachová vysokú transparentnosť a protikorupčnosť  tejto normy a</w:t>
      </w:r>
      <w:r w:rsidR="00232322">
        <w:rPr>
          <w:rFonts w:ascii="Times New Roman" w:hAnsi="Times New Roman"/>
        </w:rPr>
        <w:t> zároveň umožní obmedzenie prístupu ku hranie</w:t>
      </w:r>
      <w:r>
        <w:rPr>
          <w:rFonts w:ascii="Times New Roman" w:hAnsi="Times New Roman"/>
        </w:rPr>
        <w:t>.</w:t>
      </w:r>
      <w:r w:rsidR="00232322">
        <w:rPr>
          <w:rFonts w:ascii="Times New Roman" w:hAnsi="Times New Roman"/>
        </w:rPr>
        <w:t xml:space="preserve"> Vzhľadom na výhrady členov snemovne pri predkladaní obdobného návrhu k postúpeniu časti regulačných práv na obecné samosprávy a najhoršiu kontrolovateľnosť roztrúsených hracích miest zvolil predkladateľ toto riešenie. </w:t>
      </w:r>
    </w:p>
    <w:p w:rsidR="00E00F4C" w:rsidP="00E00F4C">
      <w:pPr>
        <w:pStyle w:val="BodyText"/>
        <w:spacing w:before="60" w:after="60"/>
        <w:ind w:firstLine="540"/>
        <w:jc w:val="both"/>
        <w:rPr>
          <w:rFonts w:ascii="Times New Roman" w:hAnsi="Times New Roman"/>
        </w:rPr>
      </w:pPr>
      <w:r>
        <w:rPr>
          <w:rFonts w:ascii="Times New Roman" w:hAnsi="Times New Roman"/>
        </w:rPr>
        <w:t xml:space="preserve">Predkladaný návrh zákon nenarušuje princíp nárokovateľnosti (ten vo svojej podstate podporuje „jasné pravidlá hry“ a znižuje aj mieru rizika korupčného správania), ktorý patrí medzi hlavné prínosy súčasného zákona o hazardných hrách; návrh zákona iba </w:t>
      </w:r>
      <w:r w:rsidR="00232322">
        <w:rPr>
          <w:rFonts w:ascii="Times New Roman" w:hAnsi="Times New Roman"/>
        </w:rPr>
        <w:t>obmedzuje miest</w:t>
      </w:r>
      <w:r w:rsidR="001B099D">
        <w:rPr>
          <w:rFonts w:ascii="Times New Roman" w:hAnsi="Times New Roman"/>
        </w:rPr>
        <w:t>o</w:t>
      </w:r>
      <w:r w:rsidR="00232322">
        <w:rPr>
          <w:rFonts w:ascii="Times New Roman" w:hAnsi="Times New Roman"/>
        </w:rPr>
        <w:t xml:space="preserve"> hrania </w:t>
      </w:r>
      <w:r w:rsidR="001B099D">
        <w:rPr>
          <w:rFonts w:ascii="Times New Roman" w:hAnsi="Times New Roman"/>
        </w:rPr>
        <w:t xml:space="preserve">na výherných prístrojoch na </w:t>
      </w:r>
      <w:r w:rsidR="00232322">
        <w:rPr>
          <w:rFonts w:ascii="Times New Roman" w:hAnsi="Times New Roman"/>
        </w:rPr>
        <w:t xml:space="preserve"> hern</w:t>
      </w:r>
      <w:r w:rsidR="001B099D">
        <w:rPr>
          <w:rFonts w:ascii="Times New Roman" w:hAnsi="Times New Roman"/>
        </w:rPr>
        <w:t>e</w:t>
      </w:r>
      <w:r w:rsidR="00232322">
        <w:rPr>
          <w:rFonts w:ascii="Times New Roman" w:hAnsi="Times New Roman"/>
        </w:rPr>
        <w:t xml:space="preserve"> , ktoré sú umiestniteľné iba vo veľkých mestách. </w:t>
      </w:r>
    </w:p>
    <w:p w:rsidR="00E00F4C" w:rsidP="00E00F4C">
      <w:pPr>
        <w:pStyle w:val="BodyText"/>
        <w:spacing w:before="60" w:after="60"/>
        <w:ind w:firstLine="540"/>
        <w:jc w:val="both"/>
        <w:rPr>
          <w:rFonts w:ascii="Times New Roman" w:hAnsi="Times New Roman"/>
        </w:rPr>
      </w:pPr>
      <w:r>
        <w:rPr>
          <w:rFonts w:ascii="Times New Roman" w:hAnsi="Times New Roman"/>
        </w:rPr>
        <w:t xml:space="preserve">Druhou cestou k obmedzeniu rizík je zníženie počtu automatov prevádzkovaných mimo herní. Dnes je možné do päť prístrojov prevádzkovať prakticky voľne na verejne prístupných miestach, napríklad v obchodoch, pohostinstvách, kultúrnych domoch, čo výrazne znižuje kontrolu prevádzky a hlavne prístup mladistvých ku hre. </w:t>
      </w:r>
    </w:p>
    <w:p w:rsidR="00E00F4C" w:rsidP="00E00F4C">
      <w:pPr>
        <w:pStyle w:val="BodyText"/>
        <w:spacing w:before="60" w:after="60"/>
        <w:ind w:firstLine="540"/>
        <w:jc w:val="both"/>
        <w:rPr>
          <w:rFonts w:ascii="Times New Roman" w:hAnsi="Times New Roman"/>
        </w:rPr>
      </w:pPr>
    </w:p>
    <w:p w:rsidR="00E00F4C" w:rsidP="00E00F4C">
      <w:pPr>
        <w:pStyle w:val="BodyText"/>
        <w:ind w:firstLine="708"/>
        <w:rPr>
          <w:rFonts w:ascii="Times New Roman" w:hAnsi="Times New Roman"/>
        </w:rPr>
      </w:pPr>
      <w:r>
        <w:rPr>
          <w:rFonts w:ascii="Times New Roman" w:hAnsi="Times New Roman"/>
        </w:rPr>
        <w:t>Návrh zákona je v súlade s Ústavou SR a s citovanými medzinárodnými zmluvami, ktorými je Slovenská republika viazaná.</w:t>
      </w:r>
    </w:p>
    <w:p w:rsidR="00E00F4C" w:rsidP="00E00F4C">
      <w:pPr>
        <w:pStyle w:val="BodyText"/>
        <w:spacing w:before="60" w:after="60"/>
        <w:ind w:firstLine="540"/>
        <w:jc w:val="both"/>
        <w:rPr>
          <w:rFonts w:ascii="Times New Roman" w:hAnsi="Times New Roman"/>
        </w:rPr>
      </w:pPr>
    </w:p>
    <w:p w:rsidR="00E00F4C" w:rsidP="00E00F4C">
      <w:pPr>
        <w:pStyle w:val="BodyText"/>
        <w:spacing w:before="60" w:after="60"/>
        <w:ind w:firstLine="540"/>
        <w:jc w:val="both"/>
        <w:rPr>
          <w:rFonts w:ascii="Times New Roman" w:hAnsi="Times New Roman"/>
        </w:rPr>
      </w:pPr>
    </w:p>
    <w:p w:rsidR="00E00F4C" w:rsidRPr="003A7CDE" w:rsidP="00E00F4C">
      <w:pPr>
        <w:pStyle w:val="Title"/>
        <w:spacing w:before="60" w:after="60"/>
        <w:outlineLvl w:val="0"/>
        <w:rPr>
          <w:rFonts w:ascii="Times New Roman" w:hAnsi="Times New Roman"/>
        </w:rPr>
      </w:pPr>
      <w:r>
        <w:rPr>
          <w:rFonts w:ascii="Times New Roman" w:hAnsi="Times New Roman"/>
          <w:b w:val="0"/>
          <w:bCs w:val="0"/>
        </w:rPr>
        <w:br w:type="page"/>
      </w:r>
      <w:r w:rsidRPr="003A7CDE">
        <w:rPr>
          <w:rFonts w:ascii="Times New Roman" w:hAnsi="Times New Roman"/>
          <w:bCs w:val="0"/>
        </w:rPr>
        <w:t>DOLOŽKA ZLUČlTEĽNOSTI</w:t>
      </w:r>
    </w:p>
    <w:p w:rsidR="00E00F4C" w:rsidRPr="003A7CDE" w:rsidP="00E00F4C">
      <w:pPr>
        <w:pStyle w:val="BodyText3"/>
        <w:spacing w:before="60" w:after="60"/>
        <w:jc w:val="center"/>
        <w:rPr>
          <w:rFonts w:ascii="Times New Roman" w:hAnsi="Times New Roman"/>
          <w:b/>
          <w:sz w:val="24"/>
          <w:szCs w:val="24"/>
        </w:rPr>
      </w:pPr>
      <w:r w:rsidRPr="003A7CDE">
        <w:rPr>
          <w:rFonts w:ascii="Times New Roman" w:hAnsi="Times New Roman"/>
          <w:b/>
          <w:sz w:val="24"/>
          <w:szCs w:val="24"/>
        </w:rPr>
        <w:t>návrhu zákona, ktorým sa mení a dopĺňa zákon č. 171/2005 Z. z. o hazardných hrách a o zmene a doplnení niektorých zákonov</w:t>
      </w:r>
    </w:p>
    <w:p w:rsidR="00E00F4C" w:rsidRPr="003A7CDE" w:rsidP="00E00F4C">
      <w:pPr>
        <w:pBdr>
          <w:top w:val="single" w:sz="4" w:space="1" w:color="auto"/>
        </w:pBdr>
        <w:spacing w:before="60" w:after="60"/>
        <w:jc w:val="both"/>
        <w:rPr>
          <w:rFonts w:ascii="Times New Roman" w:hAnsi="Times New Roman"/>
          <w:lang w:eastAsia="cs-CZ"/>
        </w:rPr>
      </w:pPr>
    </w:p>
    <w:p w:rsidR="00E00F4C" w:rsidRPr="003A7CDE" w:rsidP="00E00F4C">
      <w:pPr>
        <w:tabs>
          <w:tab w:val="left" w:pos="360"/>
        </w:tabs>
        <w:spacing w:before="60" w:after="60"/>
        <w:ind w:left="360" w:hanging="360"/>
        <w:rPr>
          <w:rFonts w:ascii="Times New Roman" w:hAnsi="Times New Roman"/>
        </w:rPr>
      </w:pPr>
      <w:r w:rsidRPr="003A7CDE">
        <w:rPr>
          <w:rFonts w:ascii="Times New Roman" w:hAnsi="Times New Roman"/>
          <w:b/>
          <w:bCs/>
        </w:rPr>
        <w:t>1.</w:t>
        <w:tab/>
        <w:t xml:space="preserve">Navrhovateľ zákona: </w:t>
      </w:r>
      <w:r w:rsidRPr="003A7CDE">
        <w:rPr>
          <w:rFonts w:ascii="Times New Roman" w:hAnsi="Times New Roman"/>
        </w:rPr>
        <w:t>poslanec Národnej rady Slovenskej republiky</w:t>
      </w:r>
    </w:p>
    <w:p w:rsidR="00E00F4C" w:rsidRPr="003A7CDE" w:rsidP="00E00F4C">
      <w:pPr>
        <w:tabs>
          <w:tab w:val="left" w:pos="360"/>
        </w:tabs>
        <w:spacing w:before="60" w:after="60"/>
        <w:ind w:left="360" w:hanging="360"/>
        <w:rPr>
          <w:rFonts w:ascii="Times New Roman" w:hAnsi="Times New Roman"/>
          <w:b/>
          <w:bCs/>
        </w:rPr>
      </w:pPr>
    </w:p>
    <w:p w:rsidR="00E00F4C" w:rsidRPr="003A7CDE" w:rsidP="00E00F4C">
      <w:pPr>
        <w:tabs>
          <w:tab w:val="left" w:pos="360"/>
        </w:tabs>
        <w:spacing w:before="60" w:after="60"/>
        <w:ind w:left="360" w:hanging="360"/>
        <w:rPr>
          <w:rFonts w:ascii="Times New Roman" w:hAnsi="Times New Roman"/>
        </w:rPr>
      </w:pPr>
      <w:r w:rsidRPr="003A7CDE">
        <w:rPr>
          <w:rFonts w:ascii="Times New Roman" w:hAnsi="Times New Roman"/>
          <w:b/>
          <w:bCs/>
        </w:rPr>
        <w:t>2.</w:t>
        <w:tab/>
        <w:t xml:space="preserve">Názov návrhu zákona: </w:t>
      </w:r>
      <w:r w:rsidRPr="003A7CDE">
        <w:rPr>
          <w:rFonts w:ascii="Times New Roman" w:hAnsi="Times New Roman"/>
        </w:rPr>
        <w:t xml:space="preserve">návrh zákona, ktorým sa mení a dopĺňa zákon č. 171/2005 Z. z. o hazardných hrách </w:t>
      </w:r>
      <w:r>
        <w:rPr>
          <w:rFonts w:ascii="Times New Roman" w:hAnsi="Times New Roman"/>
        </w:rPr>
        <w:t>v znení neskorších predpisov</w:t>
      </w:r>
    </w:p>
    <w:p w:rsidR="00E00F4C" w:rsidRPr="003A7CDE" w:rsidP="00E00F4C">
      <w:pPr>
        <w:tabs>
          <w:tab w:val="left" w:pos="360"/>
        </w:tabs>
        <w:spacing w:before="60" w:after="60"/>
        <w:ind w:left="360" w:hanging="360"/>
        <w:rPr>
          <w:rFonts w:ascii="Times New Roman" w:hAnsi="Times New Roman"/>
        </w:rPr>
      </w:pPr>
    </w:p>
    <w:p w:rsidR="00E00F4C" w:rsidRPr="003A7CDE" w:rsidP="00E00F4C">
      <w:pPr>
        <w:pStyle w:val="BodyTextIndent3"/>
        <w:spacing w:before="60" w:after="60"/>
        <w:ind w:left="0"/>
        <w:rPr>
          <w:rFonts w:ascii="Times New Roman" w:hAnsi="Times New Roman"/>
          <w:b/>
          <w:bCs/>
          <w:sz w:val="24"/>
          <w:szCs w:val="24"/>
        </w:rPr>
      </w:pPr>
      <w:r w:rsidRPr="003A7CDE">
        <w:rPr>
          <w:rFonts w:ascii="Times New Roman" w:hAnsi="Times New Roman"/>
          <w:b/>
          <w:sz w:val="24"/>
          <w:szCs w:val="24"/>
        </w:rPr>
        <w:t>3.</w:t>
        <w:tab/>
        <w:t>Záväzky Slovenskej republiky vo vzťahu k Európskym spoločenstvám a k Európskej únii:</w:t>
      </w:r>
      <w:r w:rsidRPr="003A7CDE">
        <w:rPr>
          <w:rFonts w:ascii="Times New Roman" w:hAnsi="Times New Roman"/>
          <w:sz w:val="24"/>
          <w:szCs w:val="24"/>
        </w:rPr>
        <w:t xml:space="preserve"> </w:t>
      </w:r>
      <w:r w:rsidRPr="003A7CDE">
        <w:rPr>
          <w:rFonts w:ascii="Times New Roman" w:hAnsi="Times New Roman"/>
          <w:bCs/>
          <w:sz w:val="24"/>
          <w:szCs w:val="24"/>
        </w:rPr>
        <w:t>Slovenskej republike v oblasti, ktorá je predmetom úpravy navrhovaného zákona, nevyplývajú vo vzťahu k Európskym spoločenstvám a Európskej únii žiadne záväzky.</w:t>
      </w:r>
    </w:p>
    <w:p w:rsidR="00E00F4C" w:rsidRPr="003A7CDE" w:rsidP="00E00F4C">
      <w:pPr>
        <w:pStyle w:val="BodyTextIndent3"/>
        <w:spacing w:before="60" w:after="60"/>
        <w:rPr>
          <w:rFonts w:ascii="Times New Roman" w:hAnsi="Times New Roman"/>
          <w:sz w:val="24"/>
          <w:szCs w:val="24"/>
        </w:rPr>
      </w:pPr>
    </w:p>
    <w:p w:rsidR="00E00F4C" w:rsidRPr="003A7CDE" w:rsidP="00E00F4C">
      <w:pPr>
        <w:pStyle w:val="BodyTextIndent3"/>
        <w:spacing w:before="60" w:after="60"/>
        <w:ind w:left="0"/>
        <w:rPr>
          <w:rFonts w:ascii="Times New Roman" w:hAnsi="Times New Roman"/>
          <w:sz w:val="24"/>
          <w:szCs w:val="24"/>
        </w:rPr>
      </w:pPr>
      <w:r w:rsidRPr="003A7CDE">
        <w:rPr>
          <w:rFonts w:ascii="Times New Roman" w:hAnsi="Times New Roman"/>
          <w:b/>
          <w:sz w:val="24"/>
          <w:szCs w:val="24"/>
        </w:rPr>
        <w:t>4.</w:t>
        <w:tab/>
        <w:t>Problematika návrhu zákona:</w:t>
      </w:r>
    </w:p>
    <w:p w:rsidR="00E00F4C" w:rsidRPr="003A7CDE" w:rsidP="00E00F4C">
      <w:pPr>
        <w:pStyle w:val="Zkladntext"/>
        <w:numPr>
          <w:ilvl w:val="1"/>
          <w:numId w:val="5"/>
        </w:numPr>
        <w:tabs>
          <w:tab w:val="clear" w:pos="543"/>
          <w:tab w:val="left" w:pos="700"/>
        </w:tabs>
        <w:adjustRightInd/>
        <w:spacing w:before="60" w:after="60"/>
        <w:ind w:left="700" w:hanging="340"/>
        <w:rPr>
          <w:rFonts w:ascii="Times New Roman" w:hAnsi="Times New Roman" w:cs="Times New Roman"/>
        </w:rPr>
      </w:pPr>
      <w:r w:rsidRPr="003A7CDE">
        <w:rPr>
          <w:rFonts w:ascii="Times New Roman" w:hAnsi="Times New Roman" w:cs="Times New Roman"/>
        </w:rPr>
        <w:t>je upravená v práve Európskych spoločenstiev: čl. 49 až 55 Zmluvy o založení Európskeho spoločenstva; rozhodnutie ESD C-243/01 „Gambelli a ostatní“.</w:t>
      </w:r>
    </w:p>
    <w:p w:rsidR="00E00F4C" w:rsidRPr="003A7CDE" w:rsidP="00E00F4C">
      <w:pPr>
        <w:pStyle w:val="Zkladntext"/>
        <w:numPr>
          <w:ilvl w:val="1"/>
          <w:numId w:val="5"/>
        </w:numPr>
        <w:tabs>
          <w:tab w:val="clear" w:pos="543"/>
          <w:tab w:val="left" w:pos="700"/>
        </w:tabs>
        <w:adjustRightInd/>
        <w:spacing w:before="60" w:after="60"/>
        <w:ind w:left="700" w:hanging="340"/>
        <w:rPr>
          <w:rFonts w:ascii="Times New Roman" w:hAnsi="Times New Roman" w:cs="Times New Roman"/>
        </w:rPr>
      </w:pPr>
      <w:r w:rsidRPr="003A7CDE">
        <w:rPr>
          <w:rFonts w:ascii="Times New Roman" w:hAnsi="Times New Roman" w:cs="Times New Roman"/>
        </w:rPr>
        <w:t>nie je upravená v práve Európskej únie.</w:t>
      </w:r>
    </w:p>
    <w:p w:rsidR="00E00F4C" w:rsidRPr="003A7CDE" w:rsidP="00E00F4C">
      <w:pPr>
        <w:tabs>
          <w:tab w:val="left" w:pos="720"/>
        </w:tabs>
        <w:spacing w:before="60" w:after="60"/>
        <w:ind w:left="283" w:hanging="183"/>
        <w:rPr>
          <w:rFonts w:ascii="Times New Roman" w:hAnsi="Times New Roman"/>
          <w:lang w:eastAsia="cs-CZ"/>
        </w:rPr>
      </w:pPr>
    </w:p>
    <w:p w:rsidR="00E00F4C" w:rsidP="00E00F4C">
      <w:pPr>
        <w:pStyle w:val="tlNadpisbodov11pt"/>
        <w:spacing w:before="60" w:after="60"/>
        <w:ind w:left="360" w:hanging="360"/>
        <w:jc w:val="left"/>
        <w:rPr>
          <w:rFonts w:ascii="Times New Roman" w:hAnsi="Times New Roman"/>
          <w:b w:val="0"/>
          <w:bCs w:val="0"/>
        </w:rPr>
      </w:pPr>
      <w:r w:rsidRPr="003A7CDE">
        <w:rPr>
          <w:rFonts w:ascii="Times New Roman" w:hAnsi="Times New Roman"/>
        </w:rPr>
        <w:t>5.</w:t>
        <w:tab/>
        <w:t xml:space="preserve">Stupeň zlučiteľnosti návrhu zákona s právom Európskych spoločenstiev a právom Európskej únie: </w:t>
      </w:r>
      <w:r w:rsidRPr="003A7CDE">
        <w:rPr>
          <w:rFonts w:ascii="Times New Roman" w:hAnsi="Times New Roman"/>
          <w:b w:val="0"/>
          <w:bCs w:val="0"/>
        </w:rPr>
        <w:t>úplný</w:t>
      </w:r>
    </w:p>
    <w:p w:rsidR="00E00F4C" w:rsidRPr="003A7CDE" w:rsidP="00E00F4C">
      <w:pPr>
        <w:pStyle w:val="tlNadpisbodov11pt"/>
        <w:spacing w:before="60" w:after="60"/>
        <w:ind w:left="360" w:hanging="360"/>
        <w:jc w:val="left"/>
        <w:rPr>
          <w:rFonts w:ascii="Times New Roman" w:hAnsi="Times New Roman"/>
          <w:b w:val="0"/>
          <w:bCs w:val="0"/>
        </w:rPr>
      </w:pPr>
    </w:p>
    <w:p w:rsidR="00E00F4C" w:rsidRPr="003A7CDE" w:rsidP="00E00F4C">
      <w:pPr>
        <w:pStyle w:val="tlNadpisbodov11pt"/>
        <w:spacing w:before="60" w:after="60"/>
        <w:ind w:left="360" w:hanging="360"/>
        <w:jc w:val="left"/>
        <w:rPr>
          <w:rFonts w:ascii="Times New Roman" w:hAnsi="Times New Roman"/>
          <w:b w:val="0"/>
          <w:bCs w:val="0"/>
        </w:rPr>
      </w:pPr>
      <w:r w:rsidRPr="003A7CDE">
        <w:rPr>
          <w:rFonts w:ascii="Times New Roman" w:hAnsi="Times New Roman"/>
        </w:rPr>
        <w:t>6.</w:t>
        <w:tab/>
        <w:t xml:space="preserve">Gestor: </w:t>
      </w:r>
      <w:r w:rsidRPr="003A7CDE">
        <w:rPr>
          <w:rFonts w:ascii="Times New Roman" w:hAnsi="Times New Roman"/>
          <w:b w:val="0"/>
          <w:bCs w:val="0"/>
        </w:rPr>
        <w:t>bezpredmetné</w:t>
      </w:r>
    </w:p>
    <w:p w:rsidR="00E00F4C" w:rsidP="00E00F4C">
      <w:pPr>
        <w:pStyle w:val="Zkladntext"/>
        <w:spacing w:before="60" w:after="60"/>
        <w:rPr>
          <w:rFonts w:ascii="Times New Roman" w:hAnsi="Times New Roman" w:cs="Times New Roman"/>
        </w:rPr>
      </w:pPr>
    </w:p>
    <w:p w:rsidR="00E00F4C" w:rsidP="00E00F4C">
      <w:pPr>
        <w:pStyle w:val="BodyText"/>
        <w:spacing w:before="60" w:after="60"/>
        <w:rPr>
          <w:rFonts w:ascii="Times New Roman" w:hAnsi="Times New Roman"/>
          <w:b/>
          <w:bCs/>
        </w:rPr>
      </w:pPr>
    </w:p>
    <w:p w:rsidR="00E00F4C" w:rsidRPr="003A7CDE" w:rsidP="00E00F4C">
      <w:pPr>
        <w:pStyle w:val="Title"/>
        <w:spacing w:before="60" w:after="60"/>
        <w:outlineLvl w:val="0"/>
        <w:rPr>
          <w:rFonts w:ascii="Times New Roman" w:hAnsi="Times New Roman"/>
          <w:bCs w:val="0"/>
        </w:rPr>
      </w:pPr>
      <w:r>
        <w:rPr>
          <w:rFonts w:ascii="Times New Roman" w:hAnsi="Times New Roman"/>
          <w:b w:val="0"/>
          <w:bCs w:val="0"/>
          <w:sz w:val="28"/>
        </w:rPr>
        <w:br w:type="page"/>
      </w:r>
      <w:r w:rsidRPr="003A7CDE">
        <w:rPr>
          <w:rFonts w:ascii="Times New Roman" w:hAnsi="Times New Roman"/>
          <w:bCs w:val="0"/>
        </w:rPr>
        <w:t>DOLOŽKA</w:t>
      </w:r>
    </w:p>
    <w:p w:rsidR="00E00F4C" w:rsidRPr="003A7CDE" w:rsidP="00E00F4C">
      <w:pPr>
        <w:pStyle w:val="Title"/>
        <w:spacing w:before="60" w:after="60"/>
        <w:rPr>
          <w:rFonts w:ascii="Times New Roman" w:hAnsi="Times New Roman"/>
          <w:bCs w:val="0"/>
        </w:rPr>
      </w:pPr>
    </w:p>
    <w:p w:rsidR="00E00F4C" w:rsidRPr="003A7CDE" w:rsidP="00E00F4C">
      <w:pPr>
        <w:pStyle w:val="Title"/>
        <w:spacing w:before="60" w:after="60"/>
        <w:rPr>
          <w:rFonts w:ascii="Times New Roman" w:hAnsi="Times New Roman"/>
          <w:bCs w:val="0"/>
        </w:rPr>
      </w:pPr>
      <w:r w:rsidRPr="003A7CDE">
        <w:rPr>
          <w:rFonts w:ascii="Times New Roman" w:hAnsi="Times New Roman"/>
          <w:bCs w:val="0"/>
        </w:rPr>
        <w:t>k návrhu zákona o jeho finančných a ekonomických vplyvoch,</w:t>
      </w:r>
    </w:p>
    <w:p w:rsidR="00E00F4C" w:rsidRPr="003A7CDE" w:rsidP="00E00F4C">
      <w:pPr>
        <w:pStyle w:val="Title"/>
        <w:spacing w:before="60" w:after="60"/>
        <w:rPr>
          <w:rFonts w:ascii="Times New Roman" w:hAnsi="Times New Roman"/>
          <w:bCs w:val="0"/>
        </w:rPr>
      </w:pPr>
      <w:r w:rsidRPr="003A7CDE">
        <w:rPr>
          <w:rFonts w:ascii="Times New Roman" w:hAnsi="Times New Roman"/>
          <w:bCs w:val="0"/>
        </w:rPr>
        <w:t>environmentálnych vplyvoch a vplyvoch na zamestnanosť </w:t>
      </w:r>
    </w:p>
    <w:p w:rsidR="00E00F4C" w:rsidP="00E00F4C">
      <w:pPr>
        <w:pStyle w:val="BodyText"/>
        <w:spacing w:before="60" w:after="60"/>
        <w:ind w:left="705"/>
        <w:jc w:val="both"/>
        <w:rPr>
          <w:rFonts w:ascii="Times New Roman" w:hAnsi="Times New Roman"/>
          <w:b/>
          <w:bCs/>
        </w:rPr>
      </w:pPr>
    </w:p>
    <w:p w:rsidR="00E00F4C" w:rsidP="00E00F4C">
      <w:pPr>
        <w:pStyle w:val="BodyText"/>
        <w:spacing w:before="60" w:after="60"/>
        <w:jc w:val="both"/>
        <w:rPr>
          <w:rFonts w:ascii="Times New Roman" w:hAnsi="Times New Roman"/>
          <w:b/>
          <w:bCs/>
        </w:rPr>
      </w:pPr>
    </w:p>
    <w:p w:rsidR="00E00F4C" w:rsidP="00E00F4C">
      <w:pPr>
        <w:pStyle w:val="BodyText"/>
        <w:spacing w:before="60" w:after="60"/>
        <w:jc w:val="both"/>
        <w:outlineLvl w:val="0"/>
        <w:rPr>
          <w:rFonts w:ascii="Times New Roman" w:hAnsi="Times New Roman"/>
          <w:b/>
          <w:bCs/>
        </w:rPr>
      </w:pPr>
      <w:r>
        <w:rPr>
          <w:rFonts w:ascii="Times New Roman" w:hAnsi="Times New Roman"/>
          <w:b/>
          <w:bCs/>
        </w:rPr>
        <w:t>1. Odhad dopadov na verejné financie</w:t>
      </w:r>
    </w:p>
    <w:p w:rsidR="00E00F4C" w:rsidRPr="003A7CDE" w:rsidP="00E00F4C">
      <w:pPr>
        <w:pStyle w:val="BodyText2"/>
        <w:tabs>
          <w:tab w:val="left" w:pos="0"/>
        </w:tabs>
        <w:spacing w:before="60" w:after="60"/>
        <w:jc w:val="left"/>
        <w:rPr>
          <w:rFonts w:ascii="Times New Roman" w:hAnsi="Times New Roman"/>
          <w:b w:val="0"/>
        </w:rPr>
      </w:pPr>
      <w:r w:rsidRPr="003A7CDE">
        <w:rPr>
          <w:rFonts w:ascii="Times New Roman" w:hAnsi="Times New Roman"/>
          <w:b w:val="0"/>
        </w:rPr>
        <w:t xml:space="preserve">Navrhovaný zákon </w:t>
      </w:r>
      <w:r>
        <w:rPr>
          <w:rFonts w:ascii="Times New Roman" w:hAnsi="Times New Roman"/>
          <w:b w:val="0"/>
        </w:rPr>
        <w:t>nebude</w:t>
      </w:r>
      <w:r w:rsidRPr="003A7CDE">
        <w:rPr>
          <w:rFonts w:ascii="Times New Roman" w:hAnsi="Times New Roman"/>
          <w:b w:val="0"/>
        </w:rPr>
        <w:t xml:space="preserve"> mať výraznejší vplyv na </w:t>
      </w:r>
      <w:r>
        <w:rPr>
          <w:rFonts w:ascii="Times New Roman" w:hAnsi="Times New Roman"/>
          <w:b w:val="0"/>
        </w:rPr>
        <w:t xml:space="preserve">budúcoročný </w:t>
      </w:r>
      <w:r w:rsidRPr="003A7CDE">
        <w:rPr>
          <w:rFonts w:ascii="Times New Roman" w:hAnsi="Times New Roman"/>
          <w:b w:val="0"/>
        </w:rPr>
        <w:t>štátny rozpočet a rozpočet obcí</w:t>
      </w:r>
      <w:r>
        <w:rPr>
          <w:rFonts w:ascii="Times New Roman" w:hAnsi="Times New Roman"/>
          <w:b w:val="0"/>
        </w:rPr>
        <w:t xml:space="preserve"> vzhľadom na dobu účinnosti a prechodné ustanovenia. Nebude mať </w:t>
      </w:r>
      <w:r w:rsidRPr="003A7CDE">
        <w:rPr>
          <w:rFonts w:ascii="Times New Roman" w:hAnsi="Times New Roman"/>
          <w:b w:val="0"/>
        </w:rPr>
        <w:t> žiaden vplyv na rozpočet samosprávnych krajov. V</w:t>
      </w:r>
      <w:r>
        <w:rPr>
          <w:rFonts w:ascii="Times New Roman" w:hAnsi="Times New Roman"/>
          <w:b w:val="0"/>
        </w:rPr>
        <w:t> nasledujúcich rokoch</w:t>
      </w:r>
      <w:r w:rsidRPr="003A7CDE">
        <w:rPr>
          <w:rFonts w:ascii="Times New Roman" w:hAnsi="Times New Roman"/>
          <w:b w:val="0"/>
        </w:rPr>
        <w:t xml:space="preserve"> je možné očakávať zníženie počtu výherných prístrojov na území </w:t>
      </w:r>
      <w:r>
        <w:rPr>
          <w:rFonts w:ascii="Times New Roman" w:hAnsi="Times New Roman"/>
          <w:b w:val="0"/>
        </w:rPr>
        <w:t>SR čo je ústredný zámer návrhu</w:t>
      </w:r>
      <w:r w:rsidRPr="003A7CDE">
        <w:rPr>
          <w:rFonts w:ascii="Times New Roman" w:hAnsi="Times New Roman"/>
          <w:b w:val="0"/>
        </w:rPr>
        <w:t xml:space="preserve"> a tým aj zníženie príjmov do štátneho rozpočtu. </w:t>
      </w:r>
      <w:r w:rsidR="0025054C">
        <w:rPr>
          <w:rFonts w:ascii="Times New Roman" w:hAnsi="Times New Roman"/>
          <w:b w:val="0"/>
        </w:rPr>
        <w:t xml:space="preserve">Odhad je problematický, pretože závisí od správania prevádzkovateľov výherných prístrojov. </w:t>
      </w:r>
      <w:r w:rsidRPr="003A7CDE">
        <w:rPr>
          <w:rFonts w:ascii="Times New Roman" w:hAnsi="Times New Roman"/>
          <w:b w:val="0"/>
        </w:rPr>
        <w:t xml:space="preserve"> Prípadné negatívne dopady na štátny rozpočet môžu byť viac ako eliminované znížením nákladov verejných financií na odstránenie negatívnych vedľajších efektov spojených s hazardnými hrami (najmä liečenie hráčskej závislosti, zníženie rizika, že blízka rodina vplyvom závislosti živiteľa rodina „upadne do sociálnej siete“ a pod.).</w:t>
      </w:r>
      <w:r w:rsidR="0025054C">
        <w:rPr>
          <w:rFonts w:ascii="Times New Roman" w:hAnsi="Times New Roman"/>
          <w:b w:val="0"/>
        </w:rPr>
        <w:t xml:space="preserve"> Dopad na rozpočty veľkých miest môže byť teoreticky kladný (platí čo pre štátny rozpočet). Dopady na rozpočty obcí do 30000 obyvateľov bude záporný rádovo v tisícoch eur (1500 </w:t>
      </w:r>
      <w:r w:rsidR="0094496F">
        <w:rPr>
          <w:rFonts w:ascii="Times New Roman" w:hAnsi="Times New Roman"/>
          <w:b w:val="0"/>
        </w:rPr>
        <w:t xml:space="preserve">euro </w:t>
      </w:r>
      <w:r w:rsidR="0025054C">
        <w:rPr>
          <w:rFonts w:ascii="Times New Roman" w:hAnsi="Times New Roman"/>
          <w:b w:val="0"/>
        </w:rPr>
        <w:t>na jeden výherný prístroj).</w:t>
      </w:r>
    </w:p>
    <w:p w:rsidR="00E00F4C" w:rsidP="00E00F4C">
      <w:pPr>
        <w:pStyle w:val="BodyText"/>
        <w:spacing w:before="60" w:after="60"/>
        <w:jc w:val="both"/>
        <w:rPr>
          <w:rFonts w:ascii="Times New Roman" w:hAnsi="Times New Roman"/>
        </w:rPr>
      </w:pPr>
      <w:r>
        <w:rPr>
          <w:rFonts w:ascii="Times New Roman" w:hAnsi="Times New Roman"/>
        </w:rPr>
        <w:tab/>
      </w:r>
    </w:p>
    <w:p w:rsidR="00E00F4C" w:rsidP="00E00F4C">
      <w:pPr>
        <w:pStyle w:val="BodyText"/>
        <w:spacing w:before="60" w:after="60"/>
        <w:outlineLvl w:val="0"/>
        <w:rPr>
          <w:rFonts w:ascii="Times New Roman" w:hAnsi="Times New Roman"/>
        </w:rPr>
      </w:pPr>
      <w:r>
        <w:rPr>
          <w:rFonts w:ascii="Times New Roman" w:hAnsi="Times New Roman"/>
          <w:b/>
          <w:bCs/>
        </w:rPr>
        <w:t>2. Odhad dopadov na obyvateľov, hospodárenie podnikateľskej sféry a iných právnických osôb</w:t>
      </w:r>
    </w:p>
    <w:p w:rsidR="00E00F4C" w:rsidRPr="0094496F" w:rsidP="0094496F">
      <w:pPr>
        <w:pStyle w:val="BodyText2"/>
        <w:tabs>
          <w:tab w:val="left" w:pos="0"/>
        </w:tabs>
        <w:spacing w:before="60" w:after="60"/>
        <w:jc w:val="left"/>
        <w:rPr>
          <w:rFonts w:ascii="Times New Roman" w:hAnsi="Times New Roman"/>
          <w:b w:val="0"/>
        </w:rPr>
      </w:pPr>
      <w:r w:rsidRPr="0094496F">
        <w:rPr>
          <w:rFonts w:ascii="Times New Roman" w:hAnsi="Times New Roman"/>
          <w:b w:val="0"/>
        </w:rPr>
        <w:t xml:space="preserve">Návrh zákona nebude mať </w:t>
      </w:r>
      <w:r w:rsidR="0094496F">
        <w:rPr>
          <w:rFonts w:ascii="Times New Roman" w:hAnsi="Times New Roman"/>
          <w:b w:val="0"/>
        </w:rPr>
        <w:t>pozitívny</w:t>
      </w:r>
      <w:r w:rsidRPr="0094496F">
        <w:rPr>
          <w:rFonts w:ascii="Times New Roman" w:hAnsi="Times New Roman"/>
          <w:b w:val="0"/>
        </w:rPr>
        <w:t xml:space="preserve"> vplyv na obyvateľov</w:t>
      </w:r>
      <w:r w:rsidR="0094496F">
        <w:rPr>
          <w:rFonts w:ascii="Times New Roman" w:hAnsi="Times New Roman"/>
          <w:b w:val="0"/>
        </w:rPr>
        <w:t>, ich zdravotný stav, rodiny a kriminalitu</w:t>
      </w:r>
      <w:r w:rsidRPr="0094496F" w:rsidR="0025054C">
        <w:rPr>
          <w:rFonts w:ascii="Times New Roman" w:hAnsi="Times New Roman"/>
          <w:b w:val="0"/>
        </w:rPr>
        <w:t xml:space="preserve">. Na </w:t>
      </w:r>
      <w:r w:rsidRPr="0094496F">
        <w:rPr>
          <w:rFonts w:ascii="Times New Roman" w:hAnsi="Times New Roman"/>
          <w:b w:val="0"/>
        </w:rPr>
        <w:t xml:space="preserve">hospodárenie podnikateľskej sféry </w:t>
      </w:r>
      <w:r w:rsidRPr="0094496F" w:rsidR="0025054C">
        <w:rPr>
          <w:rFonts w:ascii="Times New Roman" w:hAnsi="Times New Roman"/>
          <w:b w:val="0"/>
        </w:rPr>
        <w:t>v oblasti hazardu bude dopad negatívny. N</w:t>
      </w:r>
      <w:r w:rsidRPr="0094496F">
        <w:rPr>
          <w:rFonts w:ascii="Times New Roman" w:hAnsi="Times New Roman"/>
          <w:b w:val="0"/>
        </w:rPr>
        <w:t>a </w:t>
      </w:r>
      <w:r w:rsidRPr="0094496F" w:rsidR="0025054C">
        <w:rPr>
          <w:rFonts w:ascii="Times New Roman" w:hAnsi="Times New Roman"/>
          <w:b w:val="0"/>
        </w:rPr>
        <w:t xml:space="preserve">hospodárenie </w:t>
      </w:r>
      <w:r w:rsidRPr="0094496F">
        <w:rPr>
          <w:rFonts w:ascii="Times New Roman" w:hAnsi="Times New Roman"/>
          <w:b w:val="0"/>
        </w:rPr>
        <w:t>iných právnických osôb</w:t>
      </w:r>
      <w:r w:rsidRPr="0094496F" w:rsidR="0025054C">
        <w:rPr>
          <w:rFonts w:ascii="Times New Roman" w:hAnsi="Times New Roman"/>
          <w:b w:val="0"/>
        </w:rPr>
        <w:t xml:space="preserve"> dopad nebude negatívny</w:t>
      </w:r>
      <w:r w:rsidR="0094496F">
        <w:rPr>
          <w:rFonts w:ascii="Times New Roman" w:hAnsi="Times New Roman"/>
          <w:b w:val="0"/>
        </w:rPr>
        <w:t>, skôr pozitívny (presmerovanie zdrojov do zmysluplnejšej sféry ako hazard)</w:t>
      </w:r>
      <w:r w:rsidRPr="0094496F">
        <w:rPr>
          <w:rFonts w:ascii="Times New Roman" w:hAnsi="Times New Roman"/>
          <w:b w:val="0"/>
        </w:rPr>
        <w:t>.</w:t>
      </w:r>
    </w:p>
    <w:p w:rsidR="00E00F4C" w:rsidP="00E00F4C">
      <w:pPr>
        <w:spacing w:before="60" w:after="60"/>
        <w:jc w:val="both"/>
        <w:rPr>
          <w:rFonts w:ascii="Times New Roman" w:hAnsi="Times New Roman"/>
          <w:lang w:eastAsia="cs-CZ"/>
        </w:rPr>
      </w:pPr>
    </w:p>
    <w:p w:rsidR="00E00F4C" w:rsidP="00E00F4C">
      <w:pPr>
        <w:pStyle w:val="BodyText"/>
        <w:spacing w:before="60" w:after="60"/>
        <w:jc w:val="both"/>
        <w:outlineLvl w:val="0"/>
        <w:rPr>
          <w:rFonts w:ascii="Times New Roman" w:hAnsi="Times New Roman"/>
        </w:rPr>
      </w:pPr>
      <w:r>
        <w:rPr>
          <w:rFonts w:ascii="Times New Roman" w:hAnsi="Times New Roman"/>
          <w:b/>
          <w:bCs/>
        </w:rPr>
        <w:t>3. Odhad dopadov na životné prostredie</w:t>
      </w:r>
    </w:p>
    <w:p w:rsidR="00E00F4C" w:rsidP="00E00F4C">
      <w:pPr>
        <w:pStyle w:val="BodyText"/>
        <w:spacing w:before="60" w:after="60"/>
        <w:jc w:val="both"/>
        <w:rPr>
          <w:rFonts w:ascii="Times New Roman" w:hAnsi="Times New Roman"/>
          <w:b/>
          <w:bCs/>
        </w:rPr>
      </w:pPr>
      <w:r>
        <w:rPr>
          <w:rFonts w:ascii="Times New Roman" w:hAnsi="Times New Roman"/>
        </w:rPr>
        <w:t>Návrh zákona nebude mať  vplyv na životné prostredie.</w:t>
      </w:r>
    </w:p>
    <w:p w:rsidR="00E00F4C" w:rsidP="00E00F4C">
      <w:pPr>
        <w:pStyle w:val="BodyText"/>
        <w:spacing w:before="60" w:after="60"/>
        <w:ind w:firstLine="708"/>
        <w:jc w:val="both"/>
        <w:rPr>
          <w:rFonts w:ascii="Times New Roman" w:hAnsi="Times New Roman"/>
          <w:b/>
          <w:bCs/>
        </w:rPr>
      </w:pPr>
    </w:p>
    <w:p w:rsidR="00E00F4C" w:rsidP="00E00F4C">
      <w:pPr>
        <w:pStyle w:val="BodyText"/>
        <w:spacing w:before="60" w:after="60"/>
        <w:jc w:val="both"/>
        <w:outlineLvl w:val="0"/>
        <w:rPr>
          <w:rFonts w:ascii="Times New Roman" w:hAnsi="Times New Roman"/>
          <w:b/>
          <w:bCs/>
        </w:rPr>
      </w:pPr>
      <w:r>
        <w:rPr>
          <w:rFonts w:ascii="Times New Roman" w:hAnsi="Times New Roman"/>
          <w:b/>
          <w:bCs/>
        </w:rPr>
        <w:t>4. Odhad dopadov na zamestnanosť</w:t>
      </w:r>
    </w:p>
    <w:p w:rsidR="00E00F4C" w:rsidP="00E00F4C">
      <w:pPr>
        <w:pStyle w:val="BodyText"/>
        <w:spacing w:before="60" w:after="60"/>
        <w:jc w:val="both"/>
        <w:rPr>
          <w:rFonts w:ascii="Times New Roman" w:hAnsi="Times New Roman"/>
        </w:rPr>
      </w:pPr>
      <w:r>
        <w:rPr>
          <w:rFonts w:ascii="Times New Roman" w:hAnsi="Times New Roman"/>
        </w:rPr>
        <w:t>Návrh zákona by nemal mať žiadny vplyv na nezamestnanosť občanov Slovenskej republiky.</w:t>
      </w:r>
    </w:p>
    <w:p w:rsidR="00E00F4C" w:rsidP="00E00F4C">
      <w:pPr>
        <w:pStyle w:val="BodyText"/>
        <w:spacing w:before="60" w:after="60"/>
        <w:jc w:val="both"/>
        <w:rPr>
          <w:rFonts w:ascii="Times New Roman" w:hAnsi="Times New Roman"/>
        </w:rPr>
      </w:pPr>
    </w:p>
    <w:p w:rsidR="00E00F4C" w:rsidP="00E00F4C">
      <w:pPr>
        <w:pStyle w:val="BodyText"/>
        <w:spacing w:before="60" w:after="60"/>
        <w:ind w:firstLine="540"/>
        <w:jc w:val="center"/>
        <w:rPr>
          <w:rFonts w:ascii="Times New Roman" w:hAnsi="Times New Roman"/>
          <w:b/>
          <w:bCs/>
        </w:rPr>
      </w:pPr>
      <w:r>
        <w:rPr>
          <w:rFonts w:ascii="Times New Roman" w:hAnsi="Times New Roman"/>
        </w:rPr>
        <w:br w:type="page"/>
      </w:r>
      <w:r>
        <w:rPr>
          <w:rFonts w:ascii="Times New Roman" w:hAnsi="Times New Roman"/>
          <w:b/>
          <w:bCs/>
        </w:rPr>
        <w:t>Osobitná časť</w:t>
      </w:r>
    </w:p>
    <w:p w:rsidR="00E00F4C" w:rsidP="00E00F4C">
      <w:pPr>
        <w:pStyle w:val="BodyText"/>
        <w:spacing w:before="60" w:after="60"/>
        <w:ind w:firstLine="360"/>
        <w:jc w:val="both"/>
        <w:rPr>
          <w:rFonts w:ascii="Times New Roman" w:hAnsi="Times New Roman"/>
        </w:rPr>
      </w:pPr>
    </w:p>
    <w:p w:rsidR="00E00F4C" w:rsidP="00E00F4C">
      <w:pPr>
        <w:pStyle w:val="BodyText"/>
        <w:spacing w:before="60" w:after="60"/>
        <w:jc w:val="both"/>
        <w:outlineLvl w:val="0"/>
        <w:rPr>
          <w:rFonts w:ascii="Times New Roman" w:hAnsi="Times New Roman"/>
          <w:b/>
          <w:bCs/>
        </w:rPr>
      </w:pPr>
      <w:r>
        <w:rPr>
          <w:rFonts w:ascii="Times New Roman" w:hAnsi="Times New Roman"/>
          <w:b/>
          <w:bCs/>
        </w:rPr>
        <w:t>K Čl. I</w:t>
      </w:r>
    </w:p>
    <w:p w:rsidR="00E00F4C" w:rsidP="00E00F4C">
      <w:pPr>
        <w:pStyle w:val="BodyText"/>
        <w:spacing w:before="60" w:after="60"/>
        <w:jc w:val="both"/>
        <w:rPr>
          <w:rFonts w:ascii="Times New Roman" w:hAnsi="Times New Roman"/>
          <w:b/>
          <w:bCs/>
        </w:rPr>
      </w:pPr>
    </w:p>
    <w:p w:rsidR="00E00F4C" w:rsidP="00E00F4C">
      <w:pPr>
        <w:pStyle w:val="BodyText"/>
        <w:spacing w:before="60" w:after="60"/>
        <w:jc w:val="both"/>
        <w:rPr>
          <w:rFonts w:ascii="Times New Roman" w:hAnsi="Times New Roman"/>
          <w:b/>
          <w:bCs/>
        </w:rPr>
      </w:pPr>
      <w:r>
        <w:rPr>
          <w:rFonts w:ascii="Times New Roman" w:hAnsi="Times New Roman"/>
          <w:b/>
          <w:bCs/>
        </w:rPr>
        <w:t xml:space="preserve">K bodu 1 </w:t>
      </w:r>
    </w:p>
    <w:p w:rsidR="00E429C1" w:rsidRPr="00E429C1" w:rsidP="00E00F4C">
      <w:pPr>
        <w:pStyle w:val="BodyText"/>
        <w:spacing w:before="60" w:after="60"/>
        <w:jc w:val="both"/>
        <w:rPr>
          <w:rFonts w:ascii="Times New Roman" w:hAnsi="Times New Roman"/>
          <w:bCs/>
        </w:rPr>
      </w:pPr>
      <w:r>
        <w:rPr>
          <w:rFonts w:ascii="Times New Roman" w:hAnsi="Times New Roman"/>
          <w:b/>
          <w:bCs/>
        </w:rPr>
        <w:t xml:space="preserve">         </w:t>
      </w:r>
      <w:r>
        <w:rPr>
          <w:rFonts w:ascii="Times New Roman" w:hAnsi="Times New Roman"/>
          <w:bCs/>
        </w:rPr>
        <w:t>Úprava súvisí so zamedzením možnosti prevádzkovať výherné prístroje samostatne mimo herne.</w:t>
      </w:r>
    </w:p>
    <w:p w:rsidR="00E00F4C" w:rsidRPr="008475A8" w:rsidP="00E00F4C">
      <w:pPr>
        <w:pStyle w:val="BodyText"/>
        <w:spacing w:before="60" w:after="60"/>
        <w:jc w:val="both"/>
        <w:rPr>
          <w:rFonts w:ascii="Times New Roman" w:hAnsi="Times New Roman"/>
          <w:bCs/>
        </w:rPr>
      </w:pPr>
    </w:p>
    <w:p w:rsidR="00E00F4C" w:rsidP="00E00F4C">
      <w:pPr>
        <w:pStyle w:val="BodyText"/>
        <w:spacing w:before="60" w:after="60"/>
        <w:jc w:val="both"/>
        <w:outlineLvl w:val="0"/>
        <w:rPr>
          <w:rFonts w:ascii="Times New Roman" w:hAnsi="Times New Roman"/>
          <w:b/>
          <w:bCs/>
        </w:rPr>
      </w:pPr>
      <w:r>
        <w:rPr>
          <w:rFonts w:ascii="Times New Roman" w:hAnsi="Times New Roman"/>
          <w:b/>
          <w:bCs/>
        </w:rPr>
        <w:t xml:space="preserve">K bodu </w:t>
      </w:r>
      <w:r w:rsidR="00E429C1">
        <w:rPr>
          <w:rFonts w:ascii="Times New Roman" w:hAnsi="Times New Roman"/>
          <w:b/>
          <w:bCs/>
        </w:rPr>
        <w:t>2</w:t>
      </w:r>
    </w:p>
    <w:p w:rsidR="00E00F4C" w:rsidP="00E00F4C">
      <w:pPr>
        <w:pStyle w:val="BodyText"/>
        <w:spacing w:before="60" w:after="60"/>
        <w:ind w:firstLine="540"/>
        <w:jc w:val="both"/>
        <w:outlineLvl w:val="0"/>
        <w:rPr>
          <w:rFonts w:ascii="Times New Roman" w:hAnsi="Times New Roman"/>
        </w:rPr>
      </w:pPr>
      <w:r w:rsidR="00E429C1">
        <w:rPr>
          <w:rFonts w:ascii="Times New Roman" w:hAnsi="Times New Roman"/>
        </w:rPr>
        <w:t>Reguluje sa zriaďovanie a prevádzka herní. Umožňuje sa zriadiť herne len v najväčších mestách Slovenska</w:t>
      </w:r>
      <w:r w:rsidR="00427EEA">
        <w:rPr>
          <w:rFonts w:ascii="Times New Roman" w:hAnsi="Times New Roman"/>
        </w:rPr>
        <w:t xml:space="preserve"> (11 miest)</w:t>
      </w:r>
      <w:r w:rsidR="00E429C1">
        <w:rPr>
          <w:rFonts w:ascii="Times New Roman" w:hAnsi="Times New Roman"/>
        </w:rPr>
        <w:t xml:space="preserve">, ktoré sú </w:t>
      </w:r>
      <w:r w:rsidR="00554CA4">
        <w:rPr>
          <w:rFonts w:ascii="Times New Roman" w:hAnsi="Times New Roman"/>
        </w:rPr>
        <w:t>najlepšie pripravené znášať negatívne dopady hazardu. Výrazne sa znižuje dostupnosť (v spojitosti s</w:t>
      </w:r>
      <w:r w:rsidR="00427EEA">
        <w:rPr>
          <w:rFonts w:ascii="Times New Roman" w:hAnsi="Times New Roman"/>
        </w:rPr>
        <w:t> </w:t>
      </w:r>
      <w:r w:rsidR="00554CA4">
        <w:rPr>
          <w:rFonts w:ascii="Times New Roman" w:hAnsi="Times New Roman"/>
        </w:rPr>
        <w:t>bodom 3) k</w:t>
      </w:r>
      <w:r w:rsidR="00427EEA">
        <w:rPr>
          <w:rFonts w:ascii="Times New Roman" w:hAnsi="Times New Roman"/>
        </w:rPr>
        <w:t> </w:t>
      </w:r>
      <w:r w:rsidR="00554CA4">
        <w:rPr>
          <w:rFonts w:ascii="Times New Roman" w:hAnsi="Times New Roman"/>
        </w:rPr>
        <w:t>výherným prístrojom, ako najagresívnejšej forme hazardu, čo sa týka vzniku závislostí.</w:t>
      </w:r>
    </w:p>
    <w:p w:rsidR="00E00F4C" w:rsidP="00554CA4">
      <w:pPr>
        <w:pStyle w:val="BodyText"/>
        <w:spacing w:before="60" w:after="60"/>
        <w:jc w:val="both"/>
        <w:rPr>
          <w:rFonts w:ascii="Times New Roman" w:hAnsi="Times New Roman"/>
        </w:rPr>
      </w:pPr>
    </w:p>
    <w:p w:rsidR="00E00F4C" w:rsidP="00E00F4C">
      <w:pPr>
        <w:pStyle w:val="BodyText"/>
        <w:spacing w:before="60" w:after="60"/>
        <w:jc w:val="both"/>
        <w:outlineLvl w:val="0"/>
        <w:rPr>
          <w:rFonts w:ascii="Times New Roman" w:hAnsi="Times New Roman"/>
        </w:rPr>
      </w:pPr>
      <w:r>
        <w:rPr>
          <w:rFonts w:ascii="Times New Roman" w:hAnsi="Times New Roman"/>
          <w:b/>
          <w:bCs/>
        </w:rPr>
        <w:t>K</w:t>
      </w:r>
      <w:r w:rsidR="00427EEA">
        <w:rPr>
          <w:rFonts w:ascii="Times New Roman" w:hAnsi="Times New Roman"/>
          <w:b/>
          <w:bCs/>
        </w:rPr>
        <w:t> </w:t>
      </w:r>
      <w:r>
        <w:rPr>
          <w:rFonts w:ascii="Times New Roman" w:hAnsi="Times New Roman"/>
          <w:b/>
          <w:bCs/>
        </w:rPr>
        <w:t xml:space="preserve">bodu </w:t>
      </w:r>
      <w:r w:rsidR="00554CA4">
        <w:rPr>
          <w:rFonts w:ascii="Times New Roman" w:hAnsi="Times New Roman"/>
          <w:b/>
          <w:bCs/>
        </w:rPr>
        <w:t>3</w:t>
      </w:r>
    </w:p>
    <w:p w:rsidR="00E00F4C" w:rsidP="00E00F4C">
      <w:pPr>
        <w:pStyle w:val="BodyText"/>
        <w:spacing w:before="60" w:after="60"/>
        <w:ind w:firstLine="540"/>
        <w:jc w:val="both"/>
        <w:outlineLvl w:val="0"/>
        <w:rPr>
          <w:rFonts w:ascii="Times New Roman" w:hAnsi="Times New Roman"/>
        </w:rPr>
      </w:pPr>
      <w:r>
        <w:rPr>
          <w:rFonts w:ascii="Times New Roman" w:hAnsi="Times New Roman"/>
        </w:rPr>
        <w:t>Výherné prístroje  umožnené prevádzkovať iba v</w:t>
      </w:r>
      <w:r w:rsidR="00427EEA">
        <w:rPr>
          <w:rFonts w:ascii="Times New Roman" w:hAnsi="Times New Roman"/>
        </w:rPr>
        <w:t> </w:t>
      </w:r>
      <w:r>
        <w:rPr>
          <w:rFonts w:ascii="Times New Roman" w:hAnsi="Times New Roman"/>
        </w:rPr>
        <w:t>herniach z</w:t>
      </w:r>
      <w:r w:rsidR="00427EEA">
        <w:rPr>
          <w:rFonts w:ascii="Times New Roman" w:hAnsi="Times New Roman"/>
        </w:rPr>
        <w:t> </w:t>
      </w:r>
      <w:r>
        <w:rPr>
          <w:rFonts w:ascii="Times New Roman" w:hAnsi="Times New Roman"/>
        </w:rPr>
        <w:t>dôvodu lepšej kontroly prístupu osôb do 18 rokov a</w:t>
      </w:r>
      <w:r w:rsidR="00427EEA">
        <w:rPr>
          <w:rFonts w:ascii="Times New Roman" w:hAnsi="Times New Roman"/>
        </w:rPr>
        <w:t> </w:t>
      </w:r>
      <w:r>
        <w:rPr>
          <w:rFonts w:ascii="Times New Roman" w:hAnsi="Times New Roman"/>
        </w:rPr>
        <w:t>zakazuje sa požívať alkoholické nápoje pri hraní.</w:t>
      </w:r>
    </w:p>
    <w:p w:rsidR="00E00F4C" w:rsidP="00E00F4C">
      <w:pPr>
        <w:pStyle w:val="BodyText"/>
        <w:spacing w:before="60" w:after="60"/>
        <w:jc w:val="both"/>
        <w:rPr>
          <w:rFonts w:ascii="Times New Roman" w:hAnsi="Times New Roman"/>
          <w:b/>
          <w:bCs/>
        </w:rPr>
      </w:pPr>
    </w:p>
    <w:p w:rsidR="00554CA4" w:rsidP="00E00F4C">
      <w:pPr>
        <w:pStyle w:val="BodyText"/>
        <w:spacing w:before="60" w:after="60"/>
        <w:jc w:val="both"/>
        <w:rPr>
          <w:rFonts w:ascii="Times New Roman" w:hAnsi="Times New Roman"/>
          <w:b/>
          <w:bCs/>
        </w:rPr>
      </w:pPr>
    </w:p>
    <w:p w:rsidR="00554CA4" w:rsidP="00554CA4">
      <w:pPr>
        <w:pStyle w:val="BodyText"/>
        <w:spacing w:before="60" w:after="60"/>
        <w:jc w:val="both"/>
        <w:outlineLvl w:val="0"/>
        <w:rPr>
          <w:rFonts w:ascii="Times New Roman" w:hAnsi="Times New Roman"/>
          <w:b/>
          <w:bCs/>
        </w:rPr>
      </w:pPr>
      <w:r>
        <w:rPr>
          <w:rFonts w:ascii="Times New Roman" w:hAnsi="Times New Roman"/>
          <w:b/>
          <w:bCs/>
        </w:rPr>
        <w:t>K</w:t>
      </w:r>
      <w:r w:rsidR="00427EEA">
        <w:rPr>
          <w:rFonts w:ascii="Times New Roman" w:hAnsi="Times New Roman"/>
          <w:b/>
          <w:bCs/>
        </w:rPr>
        <w:t> </w:t>
      </w:r>
      <w:r>
        <w:rPr>
          <w:rFonts w:ascii="Times New Roman" w:hAnsi="Times New Roman"/>
          <w:b/>
          <w:bCs/>
        </w:rPr>
        <w:t>bodu 4</w:t>
      </w:r>
    </w:p>
    <w:p w:rsidR="00554CA4" w:rsidP="00554CA4">
      <w:pPr>
        <w:pStyle w:val="BodyText"/>
        <w:spacing w:before="60" w:after="60"/>
        <w:jc w:val="both"/>
        <w:outlineLvl w:val="0"/>
        <w:rPr>
          <w:rFonts w:ascii="Times New Roman" w:hAnsi="Times New Roman"/>
          <w:b/>
          <w:bCs/>
        </w:rPr>
      </w:pPr>
    </w:p>
    <w:p w:rsidR="00554CA4" w:rsidRPr="00427EEA" w:rsidP="00554CA4">
      <w:pPr>
        <w:pStyle w:val="BodyText"/>
        <w:spacing w:before="60" w:after="60"/>
        <w:jc w:val="both"/>
        <w:outlineLvl w:val="0"/>
        <w:rPr>
          <w:rFonts w:ascii="Times New Roman" w:hAnsi="Times New Roman"/>
        </w:rPr>
      </w:pPr>
      <w:r>
        <w:rPr>
          <w:rFonts w:ascii="Times New Roman" w:hAnsi="Times New Roman"/>
          <w:b/>
          <w:bCs/>
        </w:rPr>
        <w:tab/>
      </w:r>
      <w:r w:rsidRPr="00427EEA">
        <w:rPr>
          <w:rFonts w:ascii="Times New Roman" w:hAnsi="Times New Roman"/>
          <w:bCs/>
        </w:rPr>
        <w:t>Zmenené p</w:t>
      </w:r>
      <w:r w:rsidRPr="00427EEA" w:rsidR="00427EEA">
        <w:rPr>
          <w:rFonts w:ascii="Times New Roman" w:hAnsi="Times New Roman"/>
          <w:bCs/>
        </w:rPr>
        <w:t>r</w:t>
      </w:r>
      <w:r w:rsidRPr="00427EEA">
        <w:rPr>
          <w:rFonts w:ascii="Times New Roman" w:hAnsi="Times New Roman"/>
          <w:bCs/>
        </w:rPr>
        <w:t>avidlá pre zriaďovanie herní vyžadujú vytýčiť lehotu na zosúladenie s</w:t>
      </w:r>
      <w:r w:rsidR="00427EEA">
        <w:rPr>
          <w:rFonts w:ascii="Times New Roman" w:hAnsi="Times New Roman"/>
          <w:bCs/>
        </w:rPr>
        <w:t> </w:t>
      </w:r>
      <w:r w:rsidRPr="00427EEA" w:rsidR="00427EEA">
        <w:rPr>
          <w:rFonts w:ascii="Times New Roman" w:hAnsi="Times New Roman"/>
          <w:bCs/>
        </w:rPr>
        <w:t>nimi. Hracie automaty umiestnené na základe licencie udelenej pred účinnosťou zákona budú prevádzkované podľa pôvodných pravidiel</w:t>
      </w:r>
      <w:r w:rsidR="00427EEA">
        <w:rPr>
          <w:rFonts w:ascii="Times New Roman" w:hAnsi="Times New Roman"/>
          <w:bCs/>
        </w:rPr>
        <w:t>.</w:t>
      </w:r>
    </w:p>
    <w:p w:rsidR="00554CA4" w:rsidP="00E00F4C">
      <w:pPr>
        <w:pStyle w:val="BodyText"/>
        <w:spacing w:before="60" w:after="60"/>
        <w:jc w:val="both"/>
        <w:rPr>
          <w:rFonts w:ascii="Times New Roman" w:hAnsi="Times New Roman"/>
          <w:b/>
          <w:bCs/>
        </w:rPr>
      </w:pPr>
    </w:p>
    <w:p w:rsidR="00554CA4" w:rsidP="00E00F4C">
      <w:pPr>
        <w:pStyle w:val="BodyText"/>
        <w:spacing w:before="60" w:after="60"/>
        <w:jc w:val="both"/>
        <w:rPr>
          <w:rFonts w:ascii="Times New Roman" w:hAnsi="Times New Roman"/>
          <w:b/>
          <w:bCs/>
        </w:rPr>
      </w:pPr>
    </w:p>
    <w:p w:rsidR="00E00F4C" w:rsidP="00E00F4C">
      <w:pPr>
        <w:pStyle w:val="BodyText"/>
        <w:spacing w:before="60" w:after="60"/>
        <w:jc w:val="both"/>
        <w:outlineLvl w:val="0"/>
        <w:rPr>
          <w:rFonts w:ascii="Times New Roman" w:hAnsi="Times New Roman"/>
        </w:rPr>
      </w:pPr>
      <w:r>
        <w:rPr>
          <w:rFonts w:ascii="Times New Roman" w:hAnsi="Times New Roman"/>
          <w:b/>
          <w:bCs/>
        </w:rPr>
        <w:t>K Čl. II</w:t>
      </w:r>
    </w:p>
    <w:p w:rsidR="00E00F4C" w:rsidP="00E00F4C">
      <w:pPr>
        <w:pStyle w:val="BodyText"/>
        <w:spacing w:before="60" w:after="60"/>
        <w:ind w:firstLine="540"/>
        <w:jc w:val="both"/>
        <w:rPr>
          <w:rFonts w:ascii="Times New Roman" w:hAnsi="Times New Roman"/>
        </w:rPr>
      </w:pPr>
      <w:r w:rsidR="00554CA4">
        <w:rPr>
          <w:rFonts w:ascii="Times New Roman" w:hAnsi="Times New Roman"/>
        </w:rPr>
        <w:t>Z</w:t>
      </w:r>
      <w:r>
        <w:rPr>
          <w:rFonts w:ascii="Times New Roman" w:hAnsi="Times New Roman"/>
        </w:rPr>
        <w:t>ákon</w:t>
      </w:r>
      <w:r w:rsidR="00554CA4">
        <w:rPr>
          <w:rFonts w:ascii="Times New Roman" w:hAnsi="Times New Roman"/>
        </w:rPr>
        <w:t xml:space="preserve"> síce</w:t>
      </w:r>
      <w:r>
        <w:rPr>
          <w:rFonts w:ascii="Times New Roman" w:hAnsi="Times New Roman"/>
        </w:rPr>
        <w:t xml:space="preserve"> upravuje nové povinnosti dotknutých subjektov, </w:t>
      </w:r>
      <w:r w:rsidR="00554CA4">
        <w:rPr>
          <w:rFonts w:ascii="Times New Roman" w:hAnsi="Times New Roman"/>
        </w:rPr>
        <w:t xml:space="preserve">ale </w:t>
      </w:r>
      <w:r>
        <w:rPr>
          <w:rFonts w:ascii="Times New Roman" w:hAnsi="Times New Roman"/>
        </w:rPr>
        <w:t xml:space="preserve"> so zreteľom na dĺžku </w:t>
      </w:r>
      <w:r w:rsidR="00554CA4">
        <w:rPr>
          <w:rFonts w:ascii="Times New Roman" w:hAnsi="Times New Roman"/>
        </w:rPr>
        <w:t>lehôt vyplývajúcich z prechodných ustanovení na zosúladenie s novými pravidlami</w:t>
      </w:r>
      <w:r>
        <w:rPr>
          <w:rFonts w:ascii="Times New Roman" w:hAnsi="Times New Roman"/>
        </w:rPr>
        <w:t xml:space="preserve">, sa uvedená </w:t>
      </w:r>
      <w:r w:rsidR="00232322">
        <w:rPr>
          <w:rFonts w:ascii="Times New Roman" w:hAnsi="Times New Roman"/>
        </w:rPr>
        <w:t>legisvakančná</w:t>
      </w:r>
      <w:r>
        <w:rPr>
          <w:rFonts w:ascii="Times New Roman" w:hAnsi="Times New Roman"/>
        </w:rPr>
        <w:t xml:space="preserve"> lehota javí ako úplne dostačujúca.</w:t>
      </w:r>
    </w:p>
    <w:p w:rsidR="00E00F4C" w:rsidP="00E00F4C">
      <w:pPr>
        <w:rPr>
          <w:rFonts w:ascii="Times New Roman" w:hAnsi="Times New Roman"/>
        </w:rPr>
      </w:pPr>
    </w:p>
    <w:p w:rsidR="00E00F4C" w:rsidP="00E00F4C">
      <w:pPr>
        <w:rPr>
          <w:rFonts w:ascii="Times New Roman" w:hAnsi="Times New Roman"/>
        </w:rPr>
      </w:pPr>
    </w:p>
    <w:p w:rsidR="00E00F4C" w:rsidP="00E00F4C">
      <w:pPr>
        <w:rPr>
          <w:rFonts w:ascii="Times New Roman" w:hAnsi="Times New Roman"/>
        </w:rPr>
      </w:pPr>
    </w:p>
    <w:p w:rsidR="00E00F4C" w:rsidRPr="00B47186" w:rsidP="00B063D2">
      <w:pPr>
        <w:jc w:val="both"/>
        <w:rPr>
          <w:rFonts w:ascii="Times New Roman" w:hAnsi="Times New Roman"/>
        </w:rPr>
      </w:pPr>
    </w:p>
    <w:sectPr>
      <w:pgSz w:w="11907" w:h="16840" w:code="9"/>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Helvetica">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0A8"/>
    <w:multiLevelType w:val="hybridMultilevel"/>
    <w:tmpl w:val="2E028AF8"/>
    <w:lvl w:ilvl="0">
      <w:start w:val="1"/>
      <w:numFmt w:val="lowerLetter"/>
      <w:lvlText w:val="%1)"/>
      <w:lvlJc w:val="left"/>
      <w:pPr>
        <w:tabs>
          <w:tab w:val="num" w:pos="-177"/>
        </w:tabs>
        <w:ind w:left="521" w:hanging="341"/>
      </w:pPr>
    </w:lvl>
    <w:lvl w:ilvl="1">
      <w:start w:val="1"/>
      <w:numFmt w:val="lowerLetter"/>
      <w:lvlText w:val="%2)"/>
      <w:lvlJc w:val="left"/>
      <w:pPr>
        <w:tabs>
          <w:tab w:val="num" w:pos="543"/>
        </w:tabs>
        <w:ind w:left="543" w:hanging="360"/>
      </w:pPr>
    </w:lvl>
    <w:lvl w:ilvl="2">
      <w:start w:val="1"/>
      <w:numFmt w:val="lowerRoman"/>
      <w:lvlText w:val="%3."/>
      <w:lvlJc w:val="right"/>
      <w:pPr>
        <w:tabs>
          <w:tab w:val="num" w:pos="1263"/>
        </w:tabs>
        <w:ind w:left="1263" w:hanging="180"/>
      </w:pPr>
    </w:lvl>
    <w:lvl w:ilvl="3">
      <w:start w:val="1"/>
      <w:numFmt w:val="decimal"/>
      <w:lvlText w:val="%4."/>
      <w:lvlJc w:val="left"/>
      <w:pPr>
        <w:tabs>
          <w:tab w:val="num" w:pos="1983"/>
        </w:tabs>
        <w:ind w:left="1983" w:hanging="360"/>
      </w:pPr>
    </w:lvl>
    <w:lvl w:ilvl="4">
      <w:start w:val="1"/>
      <w:numFmt w:val="lowerLetter"/>
      <w:lvlText w:val="%5."/>
      <w:lvlJc w:val="left"/>
      <w:pPr>
        <w:tabs>
          <w:tab w:val="num" w:pos="2703"/>
        </w:tabs>
        <w:ind w:left="2703" w:hanging="360"/>
      </w:pPr>
    </w:lvl>
    <w:lvl w:ilvl="5">
      <w:start w:val="1"/>
      <w:numFmt w:val="lowerRoman"/>
      <w:lvlText w:val="%6."/>
      <w:lvlJc w:val="right"/>
      <w:pPr>
        <w:tabs>
          <w:tab w:val="num" w:pos="3423"/>
        </w:tabs>
        <w:ind w:left="3423" w:hanging="180"/>
      </w:pPr>
    </w:lvl>
    <w:lvl w:ilvl="6">
      <w:start w:val="1"/>
      <w:numFmt w:val="decimal"/>
      <w:lvlText w:val="%7."/>
      <w:lvlJc w:val="left"/>
      <w:pPr>
        <w:tabs>
          <w:tab w:val="num" w:pos="4143"/>
        </w:tabs>
        <w:ind w:left="4143" w:hanging="360"/>
      </w:pPr>
    </w:lvl>
    <w:lvl w:ilvl="7">
      <w:start w:val="1"/>
      <w:numFmt w:val="lowerLetter"/>
      <w:lvlText w:val="%8."/>
      <w:lvlJc w:val="left"/>
      <w:pPr>
        <w:tabs>
          <w:tab w:val="num" w:pos="4863"/>
        </w:tabs>
        <w:ind w:left="4863" w:hanging="360"/>
      </w:pPr>
    </w:lvl>
    <w:lvl w:ilvl="8">
      <w:start w:val="1"/>
      <w:numFmt w:val="lowerRoman"/>
      <w:lvlText w:val="%9."/>
      <w:lvlJc w:val="right"/>
      <w:pPr>
        <w:tabs>
          <w:tab w:val="num" w:pos="5583"/>
        </w:tabs>
        <w:ind w:left="5583" w:hanging="180"/>
      </w:pPr>
    </w:lvl>
  </w:abstractNum>
  <w:abstractNum w:abstractNumId="1">
    <w:nsid w:val="1C895EC5"/>
    <w:multiLevelType w:val="multilevel"/>
    <w:tmpl w:val="F6C68F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507F6D33"/>
    <w:multiLevelType w:val="hybridMultilevel"/>
    <w:tmpl w:val="F6C68F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27A0174"/>
    <w:multiLevelType w:val="hybridMultilevel"/>
    <w:tmpl w:val="0E285FEE"/>
    <w:lvl w:ilvl="0">
      <w:start w:val="2"/>
      <w:numFmt w:val="decimal"/>
      <w:lvlText w:val="(%1)"/>
      <w:lvlJc w:val="left"/>
      <w:pPr>
        <w:tabs>
          <w:tab w:val="num" w:pos="990"/>
        </w:tabs>
        <w:ind w:left="990" w:hanging="63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DBE345D"/>
    <w:multiLevelType w:val="hybridMultilevel"/>
    <w:tmpl w:val="1012D4CA"/>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7F356C1B"/>
    <w:multiLevelType w:val="hybridMultilevel"/>
    <w:tmpl w:val="C75A6B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027981"/>
    <w:rsid w:val="00055EA0"/>
    <w:rsid w:val="000C09F7"/>
    <w:rsid w:val="001B099D"/>
    <w:rsid w:val="00232322"/>
    <w:rsid w:val="0025054C"/>
    <w:rsid w:val="003A7CDE"/>
    <w:rsid w:val="00427EEA"/>
    <w:rsid w:val="00554CA4"/>
    <w:rsid w:val="006C3104"/>
    <w:rsid w:val="00842052"/>
    <w:rsid w:val="008475A8"/>
    <w:rsid w:val="00891F0E"/>
    <w:rsid w:val="008E781C"/>
    <w:rsid w:val="0094496F"/>
    <w:rsid w:val="00B063D2"/>
    <w:rsid w:val="00B17666"/>
    <w:rsid w:val="00B47186"/>
    <w:rsid w:val="00CA315F"/>
    <w:rsid w:val="00D94F2A"/>
    <w:rsid w:val="00E00F4C"/>
    <w:rsid w:val="00E429C1"/>
    <w:rsid w:val="00F2736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rFonts w:cs="Helvetica"/>
      <w:sz w:val="24"/>
      <w:szCs w:val="24"/>
      <w:rtl w:val="0"/>
      <w:lang w:val="sk-SK" w:bidi="ar-SA"/>
    </w:rPr>
  </w:style>
  <w:style w:type="paragraph" w:styleId="Heading1">
    <w:name w:val="heading 1"/>
    <w:basedOn w:val="Normal"/>
    <w:next w:val="Normal"/>
    <w:qFormat/>
    <w:rsid w:val="00027981"/>
    <w:pPr>
      <w:keepNext/>
      <w:spacing w:line="300" w:lineRule="atLeast"/>
      <w:jc w:val="center"/>
      <w:outlineLvl w:val="0"/>
    </w:pPr>
    <w:rPr>
      <w:rFonts w:cs="Times New Roman"/>
      <w:b/>
      <w:bCs/>
    </w:rPr>
  </w:style>
  <w:style w:type="character" w:default="1" w:styleId="DefaultParagraphFont">
    <w:name w:val="Default Paragraph Font"/>
    <w:semiHidden/>
  </w:style>
  <w:style w:type="paragraph" w:customStyle="1" w:styleId="Zkladntext">
    <w:name w:val="Základní text"/>
    <w:rsid w:val="008E781C"/>
    <w:pPr>
      <w:widowControl w:val="0"/>
      <w:autoSpaceDE/>
      <w:autoSpaceDN/>
      <w:bidi w:val="0"/>
      <w:adjustRightInd w:val="0"/>
      <w:ind w:left="0" w:right="0"/>
      <w:jc w:val="left"/>
      <w:textAlignment w:val="auto"/>
    </w:pPr>
    <w:rPr>
      <w:color w:val="000000"/>
      <w:sz w:val="20"/>
      <w:szCs w:val="24"/>
      <w:rtl w:val="0"/>
      <w:lang w:val="sk-SK" w:bidi="ar-SA"/>
    </w:rPr>
  </w:style>
  <w:style w:type="paragraph" w:styleId="BodyText">
    <w:name w:val="Body Text"/>
    <w:basedOn w:val="Normal"/>
    <w:rsid w:val="006C3104"/>
    <w:pPr>
      <w:spacing w:after="120"/>
      <w:jc w:val="left"/>
    </w:pPr>
    <w:rPr>
      <w:rFonts w:cs="Times New Roman"/>
    </w:rPr>
  </w:style>
  <w:style w:type="paragraph" w:styleId="Title">
    <w:name w:val="Title"/>
    <w:basedOn w:val="Normal"/>
    <w:qFormat/>
    <w:rsid w:val="006C3104"/>
    <w:pPr>
      <w:jc w:val="center"/>
    </w:pPr>
    <w:rPr>
      <w:rFonts w:cs="Times New Roman"/>
      <w:b/>
      <w:bCs/>
    </w:rPr>
  </w:style>
  <w:style w:type="paragraph" w:styleId="BodyText2">
    <w:name w:val="Body Text 2"/>
    <w:basedOn w:val="Normal"/>
    <w:rsid w:val="006C3104"/>
    <w:pPr>
      <w:jc w:val="center"/>
    </w:pPr>
    <w:rPr>
      <w:rFonts w:cs="Times New Roman"/>
      <w:b/>
      <w:bCs/>
    </w:rPr>
  </w:style>
  <w:style w:type="paragraph" w:styleId="BalloonText">
    <w:name w:val="Balloon Text"/>
    <w:basedOn w:val="Normal"/>
    <w:semiHidden/>
    <w:rsid w:val="006C3104"/>
    <w:pPr>
      <w:jc w:val="left"/>
    </w:pPr>
    <w:rPr>
      <w:rFonts w:ascii="Tahoma" w:hAnsi="Tahoma" w:cs="Tahoma"/>
      <w:sz w:val="16"/>
      <w:szCs w:val="16"/>
    </w:rPr>
  </w:style>
  <w:style w:type="paragraph" w:styleId="BodyTextIndent2">
    <w:name w:val="Body Text Indent 2"/>
    <w:basedOn w:val="Normal"/>
    <w:rsid w:val="00E00F4C"/>
    <w:pPr>
      <w:spacing w:after="120" w:line="480" w:lineRule="auto"/>
      <w:ind w:left="283"/>
      <w:jc w:val="left"/>
    </w:pPr>
    <w:rPr>
      <w:rFonts w:cs="Times New Roman"/>
    </w:rPr>
  </w:style>
  <w:style w:type="paragraph" w:styleId="BodyText3">
    <w:name w:val="Body Text 3"/>
    <w:basedOn w:val="Normal"/>
    <w:rsid w:val="00E00F4C"/>
    <w:pPr>
      <w:spacing w:after="120"/>
      <w:jc w:val="left"/>
    </w:pPr>
    <w:rPr>
      <w:rFonts w:cs="Times New Roman"/>
      <w:sz w:val="16"/>
      <w:szCs w:val="16"/>
    </w:rPr>
  </w:style>
  <w:style w:type="paragraph" w:styleId="BodyTextIndent3">
    <w:name w:val="Body Text Indent 3"/>
    <w:basedOn w:val="Normal"/>
    <w:rsid w:val="00E00F4C"/>
    <w:pPr>
      <w:spacing w:after="120"/>
      <w:ind w:left="283"/>
      <w:jc w:val="left"/>
    </w:pPr>
    <w:rPr>
      <w:rFonts w:cs="Times New Roman"/>
      <w:sz w:val="16"/>
      <w:szCs w:val="16"/>
    </w:rPr>
  </w:style>
  <w:style w:type="paragraph" w:customStyle="1" w:styleId="tlNadpisbodov11pt">
    <w:name w:val="Štýl Nadpis bodov + 11 pt"/>
    <w:basedOn w:val="Normal"/>
    <w:rsid w:val="00E00F4C"/>
    <w:pPr>
      <w:tabs>
        <w:tab w:val="left" w:pos="360"/>
      </w:tabs>
      <w:spacing w:after="120"/>
      <w:jc w:val="both"/>
    </w:pPr>
    <w:rPr>
      <w:rFonts w:cs="Times New Roman"/>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7</Pages>
  <Words>1716</Words>
  <Characters>9783</Characters>
  <Application>Microsoft Office Word</Application>
  <DocSecurity>0</DocSecurity>
  <Lines>0</Lines>
  <Paragraphs>0</Paragraphs>
  <ScaleCrop>false</ScaleCrop>
  <Company>Kancelaria NR SR</Company>
  <LinksUpToDate>false</LinksUpToDate>
  <CharactersWithSpaces>11477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OV E N S K E J   R E P U B L I K Y</dc:title>
  <dc:creator>Pavol_Minarik</dc:creator>
  <cp:lastModifiedBy>GaspJarm</cp:lastModifiedBy>
  <cp:revision>3</cp:revision>
  <cp:lastPrinted>2009-11-10T13:22:00Z</cp:lastPrinted>
  <dcterms:created xsi:type="dcterms:W3CDTF">2009-11-11T14:19:00Z</dcterms:created>
  <dcterms:modified xsi:type="dcterms:W3CDTF">2009-11-13T13:44:00Z</dcterms:modified>
</cp:coreProperties>
</file>