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4F64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8D0B7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2"/>
        </w:rPr>
      </w:pPr>
    </w:p>
    <w:p w:rsidR="00A14F64" w:rsidP="00A14F64">
      <w:pPr>
        <w:pStyle w:val="Zkladntext"/>
        <w:bidi w:val="0"/>
        <w:spacing w:line="240" w:lineRule="atLeast"/>
        <w:jc w:val="center"/>
        <w:rPr>
          <w:rFonts w:ascii="Arial Narrow" w:hAnsi="Arial Narrow" w:cs="Arial Narrow"/>
          <w:sz w:val="22"/>
          <w:szCs w:val="22"/>
        </w:rPr>
      </w:pPr>
      <w:r w:rsidR="008D0B76">
        <w:rPr>
          <w:rFonts w:ascii="Arial Narrow" w:hAnsi="Arial Narrow" w:cs="Arial Narrow"/>
          <w:sz w:val="22"/>
          <w:szCs w:val="22"/>
        </w:rPr>
        <w:t xml:space="preserve">zo  4. novembra </w:t>
      </w:r>
      <w:r>
        <w:rPr>
          <w:rFonts w:ascii="Arial Narrow" w:hAnsi="Arial Narrow" w:cs="Arial Narrow"/>
          <w:sz w:val="22"/>
          <w:szCs w:val="22"/>
        </w:rPr>
        <w:t xml:space="preserve"> 200</w:t>
      </w:r>
      <w:r w:rsidR="00F64E69">
        <w:rPr>
          <w:rFonts w:ascii="Arial Narrow" w:hAnsi="Arial Narrow" w:cs="Arial Narrow"/>
          <w:sz w:val="22"/>
          <w:szCs w:val="22"/>
        </w:rPr>
        <w:t>9</w:t>
      </w:r>
    </w:p>
    <w:p w:rsidR="00A14F64" w:rsidP="00A14F64">
      <w:pPr>
        <w:pStyle w:val="Zkladntext"/>
        <w:bidi w:val="0"/>
        <w:spacing w:line="240" w:lineRule="atLeast"/>
        <w:jc w:val="center"/>
        <w:rPr>
          <w:rFonts w:ascii="Arial Narrow" w:hAnsi="Arial Narrow" w:cs="Arial Narrow"/>
          <w:sz w:val="22"/>
          <w:szCs w:val="22"/>
        </w:rPr>
      </w:pPr>
    </w:p>
    <w:p w:rsidR="00A14F64" w:rsidRPr="005765EC" w:rsidP="00A14F64">
      <w:pPr>
        <w:pStyle w:val="Zkladntext"/>
        <w:bidi w:val="0"/>
        <w:spacing w:line="240" w:lineRule="atLeast"/>
        <w:jc w:val="center"/>
        <w:rPr>
          <w:rFonts w:ascii="Arial Narrow" w:hAnsi="Arial Narrow" w:cs="Arial Narrow"/>
          <w:sz w:val="22"/>
          <w:szCs w:val="22"/>
        </w:rPr>
      </w:pPr>
      <w:r w:rsidRPr="005765EC">
        <w:rPr>
          <w:rFonts w:ascii="Arial Narrow" w:hAnsi="Arial Narrow" w:cs="Arial Narrow"/>
          <w:bCs/>
          <w:sz w:val="22"/>
          <w:szCs w:val="22"/>
        </w:rPr>
        <w:t>o štátnom rozpočte na rok 20</w:t>
      </w:r>
      <w:r w:rsidRPr="005765EC" w:rsidR="00F64E69">
        <w:rPr>
          <w:rFonts w:ascii="Arial Narrow" w:hAnsi="Arial Narrow" w:cs="Arial Narrow"/>
          <w:bCs/>
          <w:sz w:val="22"/>
          <w:szCs w:val="22"/>
        </w:rPr>
        <w:t>10</w:t>
      </w:r>
    </w:p>
    <w:p w:rsidR="00A14F64" w:rsidRPr="005765EC" w:rsidP="00A14F64">
      <w:pPr>
        <w:pStyle w:val="Zkladntext"/>
        <w:bidi w:val="0"/>
        <w:spacing w:line="240" w:lineRule="atLeast"/>
        <w:jc w:val="center"/>
        <w:rPr>
          <w:rFonts w:ascii="Arial Narrow" w:hAnsi="Arial Narrow" w:cs="Arial Narrow"/>
          <w:sz w:val="22"/>
          <w:szCs w:val="22"/>
        </w:rPr>
      </w:pPr>
    </w:p>
    <w:p w:rsidR="00A14F64" w:rsidP="004C4096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Národná rada Slovenskej republiky sa uzniesla na tomto zákone:  </w:t>
      </w:r>
    </w:p>
    <w:p w:rsidR="00F64E69" w:rsidP="00A14F64">
      <w:pPr>
        <w:pStyle w:val="Zkladntext"/>
        <w:tabs>
          <w:tab w:val="left" w:pos="0"/>
        </w:tabs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bidi w:val="0"/>
        <w:jc w:val="center"/>
        <w:rPr>
          <w:rFonts w:ascii="Arial Narrow" w:hAnsi="Arial Narrow" w:cs="Arial Narrow"/>
          <w:sz w:val="22"/>
          <w:szCs w:val="22"/>
        </w:rPr>
      </w:pPr>
      <w:r w:rsidR="00A14F64">
        <w:rPr>
          <w:rFonts w:ascii="Arial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>§ 1</w:t>
      </w:r>
    </w:p>
    <w:p w:rsidR="00F64E69" w:rsidP="00F64E69">
      <w:pPr>
        <w:pStyle w:val="Zkladntext"/>
        <w:tabs>
          <w:tab w:val="left" w:pos="7938"/>
        </w:tabs>
        <w:bidi w:val="0"/>
        <w:ind w:right="-157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(1) Celkové príjmy štátneho rozpočtu na rok 2010 sa rozpočtujú sumou </w:t>
      </w:r>
      <w:r w:rsidR="00E77C31">
        <w:rPr>
          <w:rFonts w:ascii="Arial Narrow" w:hAnsi="Arial Narrow" w:cs="Arial Narrow"/>
          <w:sz w:val="22"/>
          <w:szCs w:val="22"/>
        </w:rPr>
        <w:t xml:space="preserve"> </w:t>
      </w:r>
      <w:r w:rsidRPr="005765EC">
        <w:rPr>
          <w:rFonts w:ascii="Arial Narrow" w:hAnsi="Arial Narrow" w:cs="Arial Narrow"/>
          <w:sz w:val="22"/>
          <w:szCs w:val="22"/>
        </w:rPr>
        <w:t>12 530 </w:t>
      </w:r>
      <w:r w:rsidRPr="005765EC" w:rsidR="00E77C31">
        <w:rPr>
          <w:rFonts w:ascii="Arial Narrow" w:hAnsi="Arial Narrow" w:cs="Arial Narrow"/>
          <w:sz w:val="22"/>
          <w:szCs w:val="22"/>
        </w:rPr>
        <w:t>993</w:t>
      </w:r>
      <w:r w:rsidRPr="005765EC">
        <w:rPr>
          <w:rFonts w:ascii="Arial Narrow" w:hAnsi="Arial Narrow" w:cs="Arial Narrow"/>
          <w:sz w:val="22"/>
          <w:szCs w:val="22"/>
        </w:rPr>
        <w:t xml:space="preserve"> 951</w:t>
      </w:r>
      <w:r>
        <w:rPr>
          <w:rFonts w:ascii="Arial Narrow" w:hAnsi="Arial Narrow" w:cs="Arial Narrow"/>
          <w:sz w:val="22"/>
          <w:szCs w:val="22"/>
        </w:rPr>
        <w:t xml:space="preserve"> eur. Celkové výdavky  štátneho rozpočtu na rok 2010 sa určujú  sumou </w:t>
      </w:r>
      <w:r w:rsidRPr="005765EC">
        <w:rPr>
          <w:rFonts w:ascii="Arial Narrow" w:hAnsi="Arial Narrow" w:cs="Arial Narrow"/>
          <w:sz w:val="22"/>
          <w:szCs w:val="22"/>
        </w:rPr>
        <w:t>16 276 </w:t>
      </w:r>
      <w:r w:rsidRPr="005765EC" w:rsidR="00E77C31">
        <w:rPr>
          <w:rFonts w:ascii="Arial Narrow" w:hAnsi="Arial Narrow" w:cs="Arial Narrow"/>
          <w:sz w:val="22"/>
          <w:szCs w:val="22"/>
        </w:rPr>
        <w:t>999</w:t>
      </w:r>
      <w:r w:rsidRPr="005765EC">
        <w:rPr>
          <w:rFonts w:ascii="Arial Narrow" w:hAnsi="Arial Narrow" w:cs="Arial Narrow"/>
          <w:sz w:val="22"/>
          <w:szCs w:val="22"/>
        </w:rPr>
        <w:t> 9</w:t>
      </w:r>
      <w:r w:rsidRPr="005765EC" w:rsidR="00E77C31">
        <w:rPr>
          <w:rFonts w:ascii="Arial Narrow" w:hAnsi="Arial Narrow" w:cs="Arial Narrow"/>
          <w:sz w:val="22"/>
          <w:szCs w:val="22"/>
        </w:rPr>
        <w:t>60</w:t>
      </w:r>
      <w:r>
        <w:rPr>
          <w:rFonts w:ascii="Arial Narrow" w:hAnsi="Arial Narrow" w:cs="Arial Narrow"/>
          <w:sz w:val="22"/>
          <w:szCs w:val="22"/>
        </w:rPr>
        <w:t xml:space="preserve"> eur.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(2) Schodok štátneho rozpočtu na rok 2010 sa určuje sumou </w:t>
      </w:r>
      <w:r w:rsidRPr="005765EC">
        <w:rPr>
          <w:rFonts w:ascii="Arial Narrow" w:hAnsi="Arial Narrow" w:cs="Arial Narrow"/>
          <w:sz w:val="22"/>
          <w:szCs w:val="22"/>
        </w:rPr>
        <w:t>3 746 0</w:t>
      </w:r>
      <w:r w:rsidRPr="005765EC" w:rsidR="00E77C31">
        <w:rPr>
          <w:rFonts w:ascii="Arial Narrow" w:hAnsi="Arial Narrow" w:cs="Arial Narrow"/>
          <w:sz w:val="22"/>
          <w:szCs w:val="22"/>
        </w:rPr>
        <w:t>06</w:t>
      </w:r>
      <w:r w:rsidRPr="005765EC">
        <w:rPr>
          <w:rFonts w:ascii="Arial Narrow" w:hAnsi="Arial Narrow" w:cs="Arial Narrow"/>
          <w:sz w:val="22"/>
          <w:szCs w:val="22"/>
        </w:rPr>
        <w:t> 00</w:t>
      </w:r>
      <w:r w:rsidRPr="005765EC" w:rsidR="00E77C31">
        <w:rPr>
          <w:rFonts w:ascii="Arial Narrow" w:hAnsi="Arial Narrow" w:cs="Arial Narrow"/>
          <w:sz w:val="22"/>
          <w:szCs w:val="22"/>
        </w:rPr>
        <w:t>9</w:t>
      </w:r>
      <w:r>
        <w:rPr>
          <w:rFonts w:ascii="Arial Narrow" w:hAnsi="Arial Narrow" w:cs="Arial Narrow"/>
          <w:sz w:val="22"/>
          <w:szCs w:val="22"/>
        </w:rPr>
        <w:t xml:space="preserve"> eur.  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(3) Celkový prehľad  príjmov štátneho rozpočtu a výdavkov štátneho rozpočtu  na rok 2010 je uvedený v prílohe č. 1. 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(4) Rozdelenie príjmov štátneho rozpočtu a výdavkov štátneho rozpočtu do jednotlivých kapitol štátneho  rozpočtu  na  rok 2010 je uvedené v prílohách č. 2 a 3. 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(5) Zo štátneho rozpočtu sa v roku 2010 poskytujú do rozpočtov obcí a do rozpočtov vyšších územných celkov dotácie, ktorých prehľad je uvedený v  prílohe č. 5 v  celkovej sume 1 046 645 737 eur; z  toho  do  rozpočtov  obcí 645 666 693 eur a do rozpočtov vyšších územných celkov 400 979 044 eur. 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(6) Rezervy  štátneho  rozpočtu  sa v roku 2010 rozpočtujú v celkovej sume 69 105 824 eur;  ich rozdelenie  je  uvedené v prílohe č. 6.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F64E69" w:rsidP="00F64E69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 2</w:t>
      </w:r>
    </w:p>
    <w:p w:rsidR="00F64E69" w:rsidP="00F64E69">
      <w:pPr>
        <w:pStyle w:val="Zkladntext"/>
        <w:bidi w:val="0"/>
        <w:ind w:right="-335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(1) Vláda Slovenskej republiky alebo na základe jej splnomocnenia  minister financií  Slovenskej  republiky môže  v  priebehu  roka  upraviť  záväzné  ukazovatele  štátneho rozpočtu  na rok  2010  uvedené  v prílohách  č. 2 až 6. Vláda Slovenskej republiky vykonáva v roku 2010 úpravy v systemizácii podľa osobitného predpisu.</w:t>
      </w:r>
      <w:r>
        <w:rPr>
          <w:rStyle w:val="FootnoteReference"/>
          <w:rFonts w:ascii="Symbol" w:hAnsi="Symbol" w:cs="Arial Narrow"/>
          <w:sz w:val="22"/>
          <w:szCs w:val="22"/>
          <w:rtl w:val="0"/>
        </w:rPr>
        <w:footnoteReference w:customMarkFollows="1" w:id="2"/>
        <w:sym w:font="Symbol" w:char="F031"/>
      </w:r>
      <w:r w:rsidRPr="00A14F64">
        <w:rPr>
          <w:rStyle w:val="FootnoteReference"/>
          <w:rFonts w:ascii="Symbol" w:eastAsia="Times New Roman" w:hAnsi="Symbol" w:cs="Times New Roman"/>
          <w:sz w:val="22"/>
          <w:szCs w:val="22"/>
          <w:rtl w:val="0"/>
        </w:rPr>
        <w:sym w:font="Symbol" w:char="F029"/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(2) Úpravami podľa odseku 1 sa celkové výdavky štátneho rozpočtu na rok 2010 uvedené v § 1 ods. 1 môžu prekročiť najviac o 1 %. Úpravami podľa odseku 1 sa nesmie zvýšiť schodok štátneho rozpočtu na rok 2010 podľa § 1 ods. 2.</w:t>
      </w:r>
    </w:p>
    <w:p w:rsidR="00F64E69" w:rsidP="00F64E69">
      <w:pPr>
        <w:pStyle w:val="Zkladntext"/>
        <w:bidi w:val="0"/>
        <w:ind w:right="-159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bidi w:val="0"/>
        <w:ind w:right="-159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 3</w:t>
      </w:r>
    </w:p>
    <w:p w:rsidR="00F64E69" w:rsidP="00F64E69">
      <w:pPr>
        <w:pStyle w:val="Zkladntext"/>
        <w:bidi w:val="0"/>
        <w:ind w:right="-159"/>
        <w:jc w:val="center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numPr>
          <w:numId w:val="1"/>
        </w:numPr>
        <w:tabs>
          <w:tab w:val="num" w:pos="0"/>
          <w:tab w:val="clear" w:pos="690"/>
        </w:tabs>
        <w:bidi w:val="0"/>
        <w:ind w:left="0" w:right="-159"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Arial Narrow" w:hAnsi="Arial Narrow" w:cs="Arial Narrow"/>
          <w:sz w:val="22"/>
          <w:szCs w:val="22"/>
          <w:rtl w:val="0"/>
        </w:rPr>
        <w:footnoteReference w:customMarkFollows="1" w:id="3"/>
        <w:t xml:space="preserve">2</w:t>
      </w:r>
      <w:r>
        <w:rPr>
          <w:rStyle w:val="FootnoteReference"/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 sa na rok 2010 určuje vo výške 0 % ročne. </w:t>
      </w:r>
    </w:p>
    <w:p w:rsidR="00F64E69" w:rsidP="00F64E69">
      <w:pPr>
        <w:pStyle w:val="Zkladntext"/>
        <w:bidi w:val="0"/>
        <w:ind w:right="-159"/>
        <w:jc w:val="both"/>
        <w:rPr>
          <w:rFonts w:ascii="Arial Narrow" w:hAnsi="Arial Narrow" w:cs="Arial Narrow"/>
          <w:sz w:val="22"/>
          <w:szCs w:val="22"/>
        </w:rPr>
      </w:pPr>
    </w:p>
    <w:p w:rsidR="00F64E69" w:rsidRPr="008D0B76" w:rsidP="00F64E69">
      <w:pPr>
        <w:pStyle w:val="Zkladntext"/>
        <w:numPr>
          <w:numId w:val="1"/>
        </w:numPr>
        <w:tabs>
          <w:tab w:val="num" w:pos="0"/>
          <w:tab w:val="clear" w:pos="690"/>
        </w:tabs>
        <w:bidi w:val="0"/>
        <w:ind w:left="0" w:right="-159" w:firstLine="357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Arial Narrow" w:hAnsi="Arial Narrow" w:cs="Arial Narrow"/>
          <w:sz w:val="22"/>
          <w:szCs w:val="22"/>
          <w:rtl w:val="0"/>
        </w:rPr>
        <w:footnoteReference w:customMarkFollows="1" w:id="4"/>
        <w:t xml:space="preserve">3</w:t>
      </w:r>
      <w:r>
        <w:rPr>
          <w:rStyle w:val="FootnoteReference"/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 sa na rok 2010 určuje vo výške 2</w:t>
      </w:r>
      <w:r w:rsidRPr="00F02EB2">
        <w:rPr>
          <w:rFonts w:ascii="Arial Narrow" w:hAnsi="Arial Narrow" w:cs="Arial Narrow"/>
          <w:sz w:val="22"/>
          <w:szCs w:val="22"/>
        </w:rPr>
        <w:t xml:space="preserve"> % ročne. </w:t>
      </w:r>
    </w:p>
    <w:p w:rsidR="008D0B76" w:rsidP="008D0B76">
      <w:pPr>
        <w:pStyle w:val="Zkladntext"/>
        <w:bidi w:val="0"/>
        <w:ind w:right="-159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8D0B76" w:rsidRPr="008D0B76" w:rsidP="00F64E69">
      <w:pPr>
        <w:pStyle w:val="Zkladntext"/>
        <w:numPr>
          <w:numId w:val="1"/>
        </w:numPr>
        <w:tabs>
          <w:tab w:val="num" w:pos="0"/>
          <w:tab w:val="clear" w:pos="690"/>
        </w:tabs>
        <w:bidi w:val="0"/>
        <w:ind w:left="0" w:right="-159" w:firstLine="357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Štátny príspevok pre mladomanželov poskytovaný  mladomanželom z prostriedkov štátneho rozpočtu podľa osobitného predpisu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5"/>
        <w:t xml:space="preserve">4</w:t>
      </w:r>
      <w:r w:rsidR="004C4096">
        <w:rPr>
          <w:rStyle w:val="FootnoteReference"/>
          <w:rFonts w:ascii="Arial Narrow" w:hAnsi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  <w:vertAlign w:val="superscript"/>
        </w:rPr>
        <w:t xml:space="preserve"> </w:t>
      </w:r>
      <w:r w:rsidR="004C4096">
        <w:rPr>
          <w:rFonts w:ascii="Arial Narrow" w:hAnsi="Arial Narrow" w:cs="Arial Narrow"/>
          <w:sz w:val="22"/>
          <w:szCs w:val="22"/>
          <w:vertAlign w:val="superscript"/>
        </w:rPr>
        <w:t xml:space="preserve"> </w:t>
      </w:r>
      <w:r w:rsidRPr="004C4096" w:rsidR="004C4096">
        <w:rPr>
          <w:rFonts w:ascii="Arial Narrow" w:hAnsi="Arial Narrow" w:cs="Arial Narrow"/>
          <w:sz w:val="22"/>
          <w:szCs w:val="22"/>
        </w:rPr>
        <w:t>sa</w:t>
      </w:r>
      <w:r w:rsidR="004C4096">
        <w:rPr>
          <w:rFonts w:ascii="Arial Narrow" w:hAnsi="Arial Narrow" w:cs="Arial Narrow"/>
          <w:sz w:val="22"/>
          <w:szCs w:val="22"/>
          <w:vertAlign w:val="superscript"/>
        </w:rPr>
        <w:t xml:space="preserve"> </w:t>
      </w:r>
      <w:r w:rsidRPr="005765EC">
        <w:rPr>
          <w:rFonts w:ascii="Arial Narrow" w:hAnsi="Arial Narrow" w:cs="Arial Narrow"/>
          <w:sz w:val="22"/>
          <w:szCs w:val="22"/>
        </w:rPr>
        <w:t xml:space="preserve"> </w:t>
      </w:r>
      <w:r w:rsidRPr="005765EC" w:rsidR="00E77C31">
        <w:rPr>
          <w:rFonts w:ascii="Arial Narrow" w:hAnsi="Arial Narrow" w:cs="Arial Narrow"/>
          <w:sz w:val="22"/>
          <w:szCs w:val="22"/>
        </w:rPr>
        <w:t>n</w:t>
      </w:r>
      <w:r w:rsidRPr="008D0B76">
        <w:rPr>
          <w:rFonts w:ascii="Arial Narrow" w:hAnsi="Arial Narrow" w:cs="Arial Narrow"/>
          <w:sz w:val="22"/>
          <w:szCs w:val="22"/>
        </w:rPr>
        <w:t>a rok 2010 určuje vo výške 3 % ročne.</w:t>
      </w:r>
    </w:p>
    <w:p w:rsidR="00F64E69" w:rsidP="00F64E69">
      <w:pPr>
        <w:pStyle w:val="Zkladntext"/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bidi w:val="0"/>
        <w:ind w:right="-335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 4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bidi w:val="0"/>
        <w:ind w:left="360" w:right="-335"/>
        <w:jc w:val="both"/>
        <w:rPr>
          <w:rFonts w:ascii="Arial Narrow" w:hAnsi="Arial Narrow" w:cs="Arial Narrow"/>
          <w:sz w:val="22"/>
          <w:szCs w:val="22"/>
        </w:rPr>
      </w:pPr>
      <w:r w:rsidRPr="00EB5C86">
        <w:rPr>
          <w:rFonts w:ascii="Arial Narrow" w:hAnsi="Arial Narrow" w:cs="Arial Narrow"/>
          <w:sz w:val="22"/>
          <w:szCs w:val="22"/>
        </w:rPr>
        <w:t xml:space="preserve">(1) </w:t>
      </w:r>
      <w:r>
        <w:rPr>
          <w:rFonts w:ascii="Arial Narrow" w:hAnsi="Arial Narrow" w:cs="Arial Narrow"/>
          <w:sz w:val="22"/>
          <w:szCs w:val="22"/>
        </w:rPr>
        <w:t xml:space="preserve">Objem  záväzkov  štátu na splátky istín  štátneho dlhu  v  roku 2010 </w:t>
      </w:r>
      <w:r w:rsidR="004378C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je</w:t>
      </w:r>
      <w:r w:rsidR="004378C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 8 779 174 632 eur. </w:t>
      </w:r>
    </w:p>
    <w:p w:rsidR="00F64E69" w:rsidRPr="00EB5C86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bidi w:val="0"/>
        <w:ind w:right="-159" w:firstLine="3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(2) </w:t>
      </w:r>
      <w:r w:rsidRPr="004510DF">
        <w:rPr>
          <w:rFonts w:ascii="Arial Narrow" w:hAnsi="Arial Narrow" w:cs="Arial Narrow"/>
          <w:sz w:val="22"/>
          <w:szCs w:val="22"/>
        </w:rPr>
        <w:t>V roku 20</w:t>
      </w:r>
      <w:r>
        <w:rPr>
          <w:rFonts w:ascii="Arial Narrow" w:hAnsi="Arial Narrow" w:cs="Arial Narrow"/>
          <w:sz w:val="22"/>
          <w:szCs w:val="22"/>
        </w:rPr>
        <w:t>10</w:t>
      </w:r>
      <w:r w:rsidRPr="004510DF">
        <w:rPr>
          <w:rFonts w:ascii="Arial Narrow" w:hAnsi="Arial Narrow" w:cs="Arial Narrow"/>
          <w:sz w:val="22"/>
          <w:szCs w:val="22"/>
        </w:rPr>
        <w:t xml:space="preserve"> môže Ministerstvo financií Slovenskej republiky poskytnúť štátnu záruku za úver, ktorý poskytne Európska investičná banka na účely financovania výstavby diaľnice D1, pričom jej objem nepresiahne 800</w:t>
      </w:r>
      <w:r>
        <w:rPr>
          <w:rFonts w:ascii="Arial Narrow" w:hAnsi="Arial Narrow" w:cs="Arial Narrow"/>
          <w:sz w:val="22"/>
          <w:szCs w:val="22"/>
        </w:rPr>
        <w:t> 000 000 </w:t>
      </w:r>
      <w:r w:rsidRPr="004510DF">
        <w:rPr>
          <w:rFonts w:ascii="Arial Narrow" w:hAnsi="Arial Narrow" w:cs="Arial Narrow"/>
          <w:sz w:val="22"/>
          <w:szCs w:val="22"/>
        </w:rPr>
        <w:t>eur.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F64E69" w:rsidP="00F64E69">
      <w:pPr>
        <w:pStyle w:val="Zkladntext"/>
        <w:bidi w:val="0"/>
        <w:ind w:right="-159" w:firstLine="357"/>
        <w:jc w:val="both"/>
        <w:rPr>
          <w:rFonts w:ascii="Arial Narrow" w:hAnsi="Arial Narrow" w:cs="Arial Narrow"/>
          <w:sz w:val="22"/>
          <w:szCs w:val="22"/>
        </w:rPr>
      </w:pPr>
    </w:p>
    <w:p w:rsidR="00F64E69" w:rsidRPr="00F1112B" w:rsidP="00F64E69">
      <w:pPr>
        <w:pStyle w:val="Zkladntext"/>
        <w:bidi w:val="0"/>
        <w:ind w:right="-159" w:firstLine="357"/>
        <w:jc w:val="both"/>
        <w:rPr>
          <w:rFonts w:ascii="Arial Narrow" w:hAnsi="Arial Narrow" w:cs="Arial Narrow"/>
          <w:sz w:val="22"/>
          <w:szCs w:val="22"/>
        </w:rPr>
      </w:pPr>
      <w:r w:rsidRPr="00635C70">
        <w:rPr>
          <w:rFonts w:ascii="Arial Narrow" w:hAnsi="Arial Narrow" w:cs="Arial Narrow"/>
          <w:sz w:val="22"/>
          <w:szCs w:val="22"/>
        </w:rPr>
        <w:t xml:space="preserve">(3) Vláda </w:t>
      </w:r>
      <w:r>
        <w:rPr>
          <w:rFonts w:ascii="Arial Narrow" w:hAnsi="Arial Narrow" w:cs="Arial Narrow"/>
          <w:sz w:val="22"/>
          <w:szCs w:val="22"/>
        </w:rPr>
        <w:t xml:space="preserve">Slovenskej republiky </w:t>
      </w:r>
      <w:r w:rsidRPr="00635C70">
        <w:rPr>
          <w:rFonts w:ascii="Arial Narrow" w:hAnsi="Arial Narrow" w:cs="Arial Narrow"/>
          <w:sz w:val="22"/>
          <w:szCs w:val="22"/>
        </w:rPr>
        <w:t>je oprávnená v roku 20</w:t>
      </w:r>
      <w:r>
        <w:rPr>
          <w:rFonts w:ascii="Arial Narrow" w:hAnsi="Arial Narrow" w:cs="Arial Narrow"/>
          <w:sz w:val="22"/>
          <w:szCs w:val="22"/>
        </w:rPr>
        <w:t>10</w:t>
      </w:r>
      <w:r w:rsidRPr="00635C70">
        <w:rPr>
          <w:rFonts w:ascii="Arial Narrow" w:hAnsi="Arial Narrow" w:cs="Arial Narrow"/>
          <w:sz w:val="22"/>
          <w:szCs w:val="22"/>
        </w:rPr>
        <w:t xml:space="preserve"> prevziať Rámcový úver od Európskej investičnej banky na účely spolufinancovania prioritných projektov v rámci Národného strategického referenčného rámca S</w:t>
      </w:r>
      <w:r>
        <w:rPr>
          <w:rFonts w:ascii="Arial Narrow" w:hAnsi="Arial Narrow" w:cs="Arial Narrow"/>
          <w:sz w:val="22"/>
          <w:szCs w:val="22"/>
        </w:rPr>
        <w:t xml:space="preserve">lovenskej republiky </w:t>
      </w:r>
      <w:r w:rsidRPr="00635C70">
        <w:rPr>
          <w:rFonts w:ascii="Arial Narrow" w:hAnsi="Arial Narrow" w:cs="Arial Narrow"/>
          <w:sz w:val="22"/>
          <w:szCs w:val="22"/>
        </w:rPr>
        <w:t xml:space="preserve">na </w:t>
      </w:r>
      <w:r>
        <w:rPr>
          <w:rFonts w:ascii="Arial Narrow" w:hAnsi="Arial Narrow" w:cs="Arial Narrow"/>
          <w:sz w:val="22"/>
          <w:szCs w:val="22"/>
        </w:rPr>
        <w:t>roky</w:t>
      </w:r>
      <w:r w:rsidRPr="00635C70">
        <w:rPr>
          <w:rFonts w:ascii="Arial Narrow" w:hAnsi="Arial Narrow" w:cs="Arial Narrow"/>
          <w:sz w:val="22"/>
          <w:szCs w:val="22"/>
        </w:rPr>
        <w:t xml:space="preserve"> 2007 – 2013 až do výšky 1 300 000 000 eur.</w:t>
      </w:r>
    </w:p>
    <w:p w:rsidR="00F64E69" w:rsidP="00F64E69">
      <w:pPr>
        <w:bidi w:val="0"/>
        <w:spacing w:before="24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§ 5</w:t>
      </w:r>
    </w:p>
    <w:p w:rsidR="00F64E69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RPr="00651FC4" w:rsidP="00F64E69">
      <w:pPr>
        <w:bidi w:val="0"/>
        <w:ind w:right="-159" w:firstLine="357"/>
        <w:jc w:val="both"/>
        <w:rPr>
          <w:rFonts w:ascii="Arial Narrow" w:hAnsi="Arial Narrow" w:cs="Arial Narrow"/>
          <w:sz w:val="22"/>
          <w:szCs w:val="22"/>
        </w:rPr>
      </w:pPr>
      <w:r w:rsidRPr="00651FC4">
        <w:rPr>
          <w:rFonts w:ascii="Arial Narrow" w:hAnsi="Arial Narrow" w:cs="Arial Narrow"/>
          <w:sz w:val="22"/>
          <w:szCs w:val="22"/>
        </w:rPr>
        <w:t>(1) Platové tarify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6"/>
        <w:t xml:space="preserve">5</w:t>
      </w:r>
      <w:r w:rsidR="004C4096">
        <w:rPr>
          <w:rStyle w:val="FootnoteReference"/>
          <w:rFonts w:ascii="Arial Narrow" w:hAnsi="Arial Narrow"/>
          <w:sz w:val="22"/>
          <w:szCs w:val="22"/>
        </w:rPr>
        <w:t>)</w:t>
      </w:r>
      <w:r w:rsidRPr="00651FC4">
        <w:rPr>
          <w:rFonts w:ascii="Arial Narrow" w:hAnsi="Arial Narrow" w:cs="Arial Narrow"/>
          <w:sz w:val="22"/>
          <w:szCs w:val="22"/>
        </w:rPr>
        <w:t xml:space="preserve"> sa v roku 2010 zvýšia o </w:t>
      </w:r>
      <w:r>
        <w:rPr>
          <w:rFonts w:ascii="Arial Narrow" w:hAnsi="Arial Narrow" w:cs="Arial Narrow"/>
          <w:sz w:val="22"/>
          <w:szCs w:val="22"/>
        </w:rPr>
        <w:t>1</w:t>
      </w:r>
      <w:r w:rsidRPr="00651FC4">
        <w:rPr>
          <w:rFonts w:ascii="Arial Narrow" w:hAnsi="Arial Narrow" w:cs="Arial Narrow"/>
          <w:sz w:val="22"/>
          <w:szCs w:val="22"/>
        </w:rPr>
        <w:t xml:space="preserve"> % od 1. januára 2010.</w:t>
      </w:r>
    </w:p>
    <w:p w:rsidR="00F64E69" w:rsidRPr="00651FC4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RPr="00651FC4" w:rsidP="00F64E69">
      <w:pPr>
        <w:bidi w:val="0"/>
        <w:ind w:right="-159" w:firstLine="357"/>
        <w:jc w:val="both"/>
        <w:rPr>
          <w:rFonts w:ascii="Arial Narrow" w:hAnsi="Arial Narrow" w:cs="Arial Narrow"/>
          <w:sz w:val="22"/>
          <w:szCs w:val="22"/>
        </w:rPr>
      </w:pPr>
      <w:r w:rsidRPr="00651FC4">
        <w:rPr>
          <w:rFonts w:ascii="Arial Narrow" w:hAnsi="Arial Narrow" w:cs="Arial Narrow"/>
          <w:sz w:val="22"/>
          <w:szCs w:val="22"/>
        </w:rPr>
        <w:t>(2) Stupnica platových taríf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7"/>
        <w:t xml:space="preserve">6</w:t>
      </w:r>
      <w:r w:rsidR="004C4096">
        <w:rPr>
          <w:rStyle w:val="FootnoteReference"/>
          <w:rFonts w:ascii="Arial Narrow" w:hAnsi="Arial Narrow"/>
          <w:sz w:val="22"/>
          <w:szCs w:val="22"/>
        </w:rPr>
        <w:t>)</w:t>
      </w:r>
      <w:r w:rsidRPr="00651FC4">
        <w:rPr>
          <w:rFonts w:ascii="Arial Narrow" w:hAnsi="Arial Narrow" w:cs="Arial Narrow"/>
          <w:sz w:val="22"/>
          <w:szCs w:val="22"/>
        </w:rPr>
        <w:t xml:space="preserve">  sa v roku 2010 zvýši o </w:t>
      </w:r>
      <w:r>
        <w:rPr>
          <w:rFonts w:ascii="Arial Narrow" w:hAnsi="Arial Narrow" w:cs="Arial Narrow"/>
          <w:sz w:val="22"/>
          <w:szCs w:val="22"/>
        </w:rPr>
        <w:t>1</w:t>
      </w:r>
      <w:r w:rsidRPr="00651FC4">
        <w:rPr>
          <w:rFonts w:ascii="Arial Narrow" w:hAnsi="Arial Narrow" w:cs="Arial Narrow"/>
          <w:sz w:val="22"/>
          <w:szCs w:val="22"/>
        </w:rPr>
        <w:t xml:space="preserve"> % od 1. januára 2010.</w:t>
      </w:r>
    </w:p>
    <w:p w:rsidR="00F64E69" w:rsidRPr="00651FC4" w:rsidP="00F64E69">
      <w:pPr>
        <w:bidi w:val="0"/>
        <w:ind w:firstLine="284"/>
        <w:jc w:val="both"/>
        <w:rPr>
          <w:rFonts w:ascii="Arial Narrow" w:hAnsi="Arial Narrow" w:cs="Arial Narrow"/>
          <w:sz w:val="22"/>
          <w:szCs w:val="22"/>
        </w:rPr>
      </w:pPr>
    </w:p>
    <w:p w:rsidR="00F64E69" w:rsidRPr="00651FC4" w:rsidP="00F64E69">
      <w:pPr>
        <w:bidi w:val="0"/>
        <w:ind w:right="-159" w:firstLine="357"/>
        <w:jc w:val="both"/>
        <w:rPr>
          <w:rFonts w:ascii="Arial Narrow" w:hAnsi="Arial Narrow" w:cs="Arial Narrow"/>
          <w:sz w:val="22"/>
          <w:szCs w:val="22"/>
        </w:rPr>
      </w:pPr>
      <w:r w:rsidRPr="00651FC4">
        <w:rPr>
          <w:rFonts w:ascii="Arial Narrow" w:hAnsi="Arial Narrow" w:cs="Arial Narrow"/>
          <w:sz w:val="22"/>
          <w:szCs w:val="22"/>
        </w:rPr>
        <w:t>(3) Funkčné platy príslušníkov Policajného zboru, Slovenskej informačnej služby, Zboru väzenskej a justičnej stráže, Železničnej polície, Národného bezpečnostného úradu a colníkov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8"/>
        <w:t xml:space="preserve">7</w:t>
      </w:r>
      <w:r w:rsidR="004C4096">
        <w:rPr>
          <w:rStyle w:val="FootnoteReference"/>
          <w:rFonts w:ascii="Arial Narrow" w:hAnsi="Arial Narrow"/>
          <w:sz w:val="22"/>
          <w:szCs w:val="22"/>
        </w:rPr>
        <w:t>)</w:t>
      </w:r>
      <w:r w:rsidRPr="00651FC4">
        <w:rPr>
          <w:rFonts w:ascii="Arial Narrow" w:hAnsi="Arial Narrow" w:cs="Arial Narrow"/>
          <w:sz w:val="22"/>
          <w:szCs w:val="22"/>
        </w:rPr>
        <w:t xml:space="preserve"> sa v roku 2010 zvýšia o </w:t>
      </w:r>
      <w:r>
        <w:rPr>
          <w:rFonts w:ascii="Arial Narrow" w:hAnsi="Arial Narrow" w:cs="Arial Narrow"/>
          <w:sz w:val="22"/>
          <w:szCs w:val="22"/>
        </w:rPr>
        <w:t>1</w:t>
      </w:r>
      <w:r w:rsidRPr="00651FC4">
        <w:rPr>
          <w:rFonts w:ascii="Arial Narrow" w:hAnsi="Arial Narrow" w:cs="Arial Narrow"/>
          <w:sz w:val="22"/>
          <w:szCs w:val="22"/>
        </w:rPr>
        <w:t xml:space="preserve"> % od 1. januára 2010. </w:t>
      </w:r>
    </w:p>
    <w:p w:rsidR="00F64E69" w:rsidRPr="00651FC4" w:rsidP="00F64E69">
      <w:pPr>
        <w:bidi w:val="0"/>
        <w:ind w:left="330"/>
        <w:jc w:val="both"/>
        <w:rPr>
          <w:rFonts w:ascii="Arial Narrow" w:hAnsi="Arial Narrow" w:cs="Arial Narrow"/>
          <w:sz w:val="22"/>
          <w:szCs w:val="22"/>
        </w:rPr>
      </w:pPr>
    </w:p>
    <w:p w:rsidR="00F64E69" w:rsidRPr="00651FC4" w:rsidP="00F64E69">
      <w:pPr>
        <w:numPr>
          <w:numId w:val="5"/>
        </w:numPr>
        <w:bidi w:val="0"/>
        <w:ind w:left="0" w:right="-159" w:firstLine="357"/>
        <w:jc w:val="both"/>
        <w:rPr>
          <w:rFonts w:ascii="Arial Narrow" w:hAnsi="Arial Narrow" w:cs="Arial Narrow"/>
          <w:sz w:val="22"/>
          <w:szCs w:val="22"/>
        </w:rPr>
      </w:pPr>
      <w:r w:rsidRPr="00651FC4">
        <w:rPr>
          <w:rFonts w:ascii="Arial Narrow" w:hAnsi="Arial Narrow" w:cs="Arial Narrow"/>
          <w:sz w:val="22"/>
          <w:szCs w:val="22"/>
        </w:rPr>
        <w:t>Hodnostné platy profesionálnych vojakov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9"/>
        <w:t xml:space="preserve">8</w:t>
      </w:r>
      <w:r w:rsidR="004C4096">
        <w:rPr>
          <w:rStyle w:val="FootnoteReference"/>
          <w:rFonts w:ascii="Arial Narrow" w:hAnsi="Arial Narrow"/>
          <w:sz w:val="22"/>
          <w:szCs w:val="22"/>
        </w:rPr>
        <w:t>)</w:t>
      </w:r>
      <w:r w:rsidRPr="00651FC4">
        <w:rPr>
          <w:rFonts w:ascii="Arial Narrow" w:hAnsi="Arial Narrow" w:cs="Arial Narrow"/>
          <w:sz w:val="22"/>
          <w:szCs w:val="22"/>
        </w:rPr>
        <w:t xml:space="preserve"> sa v roku 2010 zvýšia o </w:t>
      </w:r>
      <w:r>
        <w:rPr>
          <w:rFonts w:ascii="Arial Narrow" w:hAnsi="Arial Narrow" w:cs="Arial Narrow"/>
          <w:sz w:val="22"/>
          <w:szCs w:val="22"/>
        </w:rPr>
        <w:t>1</w:t>
      </w:r>
      <w:r w:rsidRPr="00651FC4">
        <w:rPr>
          <w:rFonts w:ascii="Arial Narrow" w:hAnsi="Arial Narrow" w:cs="Arial Narrow"/>
          <w:sz w:val="22"/>
          <w:szCs w:val="22"/>
        </w:rPr>
        <w:t xml:space="preserve"> % od 1. januára 2010.</w:t>
      </w:r>
    </w:p>
    <w:p w:rsidR="00F64E69" w:rsidP="00F64E69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813AF" w:rsidP="00F64E69">
      <w:pPr>
        <w:bidi w:val="0"/>
        <w:spacing w:before="240"/>
        <w:ind w:left="4248"/>
        <w:jc w:val="both"/>
        <w:rPr>
          <w:rFonts w:ascii="Arial Narrow" w:hAnsi="Arial Narrow" w:cs="Arial Narrow"/>
          <w:sz w:val="22"/>
          <w:szCs w:val="22"/>
        </w:rPr>
      </w:pPr>
      <w:r w:rsidR="00F64E69">
        <w:rPr>
          <w:rFonts w:ascii="Arial Narrow" w:hAnsi="Arial Narrow" w:cs="Arial Narrow"/>
          <w:sz w:val="22"/>
          <w:szCs w:val="22"/>
        </w:rPr>
        <w:t xml:space="preserve"> </w:t>
      </w:r>
    </w:p>
    <w:p w:rsidR="008813AF" w:rsidP="00F64E69">
      <w:pPr>
        <w:bidi w:val="0"/>
        <w:spacing w:before="240"/>
        <w:ind w:left="4248"/>
        <w:jc w:val="both"/>
        <w:rPr>
          <w:rFonts w:ascii="Arial Narrow" w:hAnsi="Arial Narrow" w:cs="Arial Narrow"/>
          <w:sz w:val="22"/>
          <w:szCs w:val="22"/>
        </w:rPr>
      </w:pPr>
    </w:p>
    <w:p w:rsidR="008813AF" w:rsidP="00F64E69">
      <w:pPr>
        <w:bidi w:val="0"/>
        <w:spacing w:before="240"/>
        <w:ind w:left="4248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bidi w:val="0"/>
        <w:spacing w:before="240"/>
        <w:ind w:left="424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§ 6</w:t>
      </w:r>
    </w:p>
    <w:p w:rsidR="00F64E69" w:rsidP="00F64E69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F64E69" w:rsidP="00F64E69">
      <w:pPr>
        <w:pStyle w:val="Zkladntext"/>
        <w:bidi w:val="0"/>
        <w:spacing w:line="240" w:lineRule="atLeast"/>
        <w:ind w:right="-157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Tento zákon nadobúda účinnosť 1. januára 2010.</w:t>
      </w:r>
    </w:p>
    <w:p w:rsidR="00F64E69" w:rsidP="00F64E69">
      <w:pPr>
        <w:bidi w:val="0"/>
        <w:ind w:right="-108"/>
        <w:rPr>
          <w:rFonts w:ascii="Times New Roman" w:hAnsi="Times New Roman"/>
        </w:rPr>
      </w:pPr>
    </w:p>
    <w:p w:rsidR="00A14F64" w:rsidP="00A14F64">
      <w:pPr>
        <w:pStyle w:val="Zkladntext"/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A14F64" w:rsidP="00A14F64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813AF" w:rsidP="00A14F64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813AF" w:rsidP="00A14F64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813AF" w:rsidP="00A14F64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375F97" w:rsidP="00A14F64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A14F64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  <w:r w:rsidR="008813AF">
        <w:rPr>
          <w:rFonts w:ascii="Arial Narrow" w:hAnsi="Arial Narrow" w:cs="Arial Narrow"/>
          <w:sz w:val="22"/>
          <w:szCs w:val="22"/>
        </w:rPr>
        <w:t>prezident Slovenskej republiky</w:t>
      </w: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E352AB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predseda Národnej rady Slovenskej republiky</w:t>
      </w: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E352AB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</w:p>
    <w:p w:rsidR="008813AF" w:rsidP="008813AF">
      <w:pPr>
        <w:bidi w:val="0"/>
        <w:ind w:firstLine="284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predseda vlády Slovenskej republiky</w:t>
      </w:r>
    </w:p>
    <w:p w:rsidR="00635E74" w:rsidP="00635E74">
      <w:pPr>
        <w:bidi w:val="0"/>
        <w:ind w:left="330"/>
        <w:jc w:val="both"/>
        <w:rPr>
          <w:rFonts w:ascii="Arial Narrow" w:hAnsi="Arial Narrow" w:cs="Arial Narrow"/>
          <w:sz w:val="22"/>
          <w:szCs w:val="22"/>
        </w:rPr>
      </w:pPr>
    </w:p>
    <w:p w:rsidR="005E3FC6" w:rsidP="005E3FC6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A14F64" w:rsidP="00F64E69">
      <w:pPr>
        <w:bidi w:val="0"/>
        <w:spacing w:before="240"/>
        <w:ind w:left="4248"/>
        <w:jc w:val="both"/>
        <w:rPr>
          <w:rFonts w:ascii="Arial Narrow" w:hAnsi="Arial Narrow" w:cs="Arial Narrow"/>
          <w:sz w:val="22"/>
          <w:szCs w:val="22"/>
        </w:rPr>
      </w:pPr>
      <w:r w:rsidR="005E3FC6">
        <w:rPr>
          <w:rFonts w:ascii="Arial Narrow" w:hAnsi="Arial Narrow" w:cs="Arial Narrow"/>
          <w:sz w:val="22"/>
          <w:szCs w:val="22"/>
        </w:rPr>
        <w:t xml:space="preserve">       </w:t>
      </w:r>
    </w:p>
    <w:p w:rsidR="00A14F64" w:rsidP="0065211B">
      <w:pPr>
        <w:bidi w:val="0"/>
        <w:ind w:right="-108"/>
        <w:rPr>
          <w:rFonts w:ascii="Times New Roman" w:hAnsi="Times New Roman"/>
        </w:rPr>
      </w:pPr>
    </w:p>
    <w:sectPr w:rsidSect="0065211B">
      <w:footerReference w:type="even" r:id="rId5"/>
      <w:footerReference w:type="default" r:id="rId6"/>
      <w:footnotePr>
        <w:numStart w:val="8"/>
      </w:footnotePr>
      <w:pgSz w:w="11906" w:h="16838"/>
      <w:pgMar w:top="1417" w:right="1286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P="0063321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52A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P="0063321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765E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352AB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F4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F64E69" w:rsidP="00F64E69">
      <w:pPr>
        <w:pStyle w:val="FootnoteText"/>
        <w:bidi w:val="0"/>
        <w:ind w:left="170" w:hanging="170"/>
        <w:jc w:val="both"/>
        <w:rPr>
          <w:rFonts w:ascii="Arial Narrow" w:hAnsi="Arial Narrow" w:cs="Arial Narrow"/>
        </w:rPr>
      </w:pPr>
      <w:r w:rsidRPr="00B2341F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Pr="00B2341F">
        <w:rPr>
          <w:rStyle w:val="FootnoteReference"/>
          <w:rFonts w:ascii="Symbol" w:eastAsia="Times New Roman" w:hAnsi="Symbol" w:cs="Times New Roman"/>
          <w:rtl w:val="0"/>
        </w:rPr>
        <w:sym w:font="Symbol" w:char="F029"/>
      </w:r>
      <w:r>
        <w:rPr>
          <w:rFonts w:ascii="Times New Roman" w:hAnsi="Times New Roman"/>
        </w:rPr>
        <w:t xml:space="preserve"> </w:t>
      </w:r>
      <w:r w:rsidRPr="00883F21">
        <w:rPr>
          <w:rFonts w:ascii="Arial Narrow" w:hAnsi="Arial Narrow" w:cs="Arial Narrow"/>
        </w:rPr>
        <w:t>§ 5 ods. 3 zákona č. 73/1998 Z. z. o štátnej službe príslušníkov Policajného zboru, Slovenskej informačnej služby, Zboru väzenskej a justičnej stráže Slovenskej republiky a Železničnej polície v znení zákona č. 212/2003 Z. z.</w:t>
      </w:r>
    </w:p>
    <w:p w:rsidR="00F64E69" w:rsidP="00F64E69">
      <w:pPr>
        <w:pStyle w:val="FootnoteText"/>
        <w:bidi w:val="0"/>
        <w:ind w:left="142"/>
        <w:jc w:val="both"/>
        <w:rPr>
          <w:rFonts w:ascii="Arial Narrow" w:hAnsi="Arial Narrow" w:cs="Arial Narrow"/>
        </w:rPr>
      </w:pPr>
      <w:r w:rsidRPr="00883F21">
        <w:rPr>
          <w:rFonts w:ascii="Arial Narrow" w:hAnsi="Arial Narrow" w:cs="Arial Narrow"/>
        </w:rPr>
        <w:t xml:space="preserve">§ 5 ods. 3 zákona č. 200/1998 Z. z. o štátnej  službe  colníkov  a  o zmene a doplnení niektorých ďalších zákonov  v  znení </w:t>
      </w:r>
      <w:r>
        <w:rPr>
          <w:rFonts w:ascii="Arial Narrow" w:hAnsi="Arial Narrow" w:cs="Arial Narrow"/>
        </w:rPr>
        <w:t xml:space="preserve">   </w:t>
      </w:r>
      <w:r w:rsidRPr="00883F21">
        <w:rPr>
          <w:rFonts w:ascii="Arial Narrow" w:hAnsi="Arial Narrow" w:cs="Arial Narrow"/>
        </w:rPr>
        <w:t>zákona  č. 251/2003  Z. z.</w:t>
      </w:r>
    </w:p>
    <w:p w:rsidR="00F64E69" w:rsidRPr="00883F21" w:rsidP="00F64E69">
      <w:pPr>
        <w:pStyle w:val="FootnoteText"/>
        <w:bidi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</w:t>
      </w:r>
      <w:r w:rsidRPr="00883F21">
        <w:rPr>
          <w:rFonts w:ascii="Arial Narrow" w:hAnsi="Arial Narrow" w:cs="Arial Narrow"/>
        </w:rPr>
        <w:t xml:space="preserve">§ 15 ods. 1 zákona č. 315/2001 Z. z. o Hasičskom a záchrannom zbore v znení </w:t>
      </w:r>
      <w:r>
        <w:rPr>
          <w:rFonts w:ascii="Arial Narrow" w:hAnsi="Arial Narrow" w:cs="Arial Narrow"/>
        </w:rPr>
        <w:t>neskorších predpisov.</w:t>
      </w:r>
    </w:p>
    <w:p w:rsidP="00F64E69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3">
    <w:p w:rsidP="00F64E69">
      <w:pPr>
        <w:pStyle w:val="FootnoteText"/>
        <w:bidi w:val="0"/>
        <w:ind w:right="-108"/>
        <w:rPr>
          <w:rFonts w:ascii="Times New Roman" w:hAnsi="Times New Roman"/>
        </w:rPr>
      </w:pPr>
      <w:r w:rsidRPr="00B2341F" w:rsidR="00F64E69">
        <w:rPr>
          <w:rStyle w:val="FootnoteReference"/>
          <w:rFonts w:ascii="Arial Narrow" w:hAnsi="Arial Narrow" w:cs="Arial Narrow"/>
        </w:rPr>
        <w:t>2)</w:t>
      </w:r>
      <w:r w:rsidR="00F64E69">
        <w:rPr>
          <w:rFonts w:ascii="Times New Roman" w:hAnsi="Times New Roman"/>
        </w:rPr>
        <w:t xml:space="preserve"> </w:t>
      </w:r>
      <w:r w:rsidRPr="00883F21" w:rsidR="00F64E69">
        <w:rPr>
          <w:rFonts w:ascii="Arial Narrow" w:hAnsi="Arial Narrow" w:cs="Arial Narrow"/>
        </w:rPr>
        <w:t>§ 84 zákona č. 483/2001 Z. z. o bankách a o zmene a doplnení niektorých zákonov v znení neskorších predpisov</w:t>
      </w:r>
      <w:r w:rsidR="00F64E69">
        <w:rPr>
          <w:rFonts w:ascii="Arial Narrow" w:hAnsi="Arial Narrow" w:cs="Arial Narrow"/>
        </w:rPr>
        <w:t>.</w:t>
      </w:r>
      <w:r w:rsidRPr="00883F21" w:rsidR="00F64E69">
        <w:rPr>
          <w:rFonts w:ascii="Arial Narrow" w:hAnsi="Arial Narrow" w:cs="Arial Narrow"/>
        </w:rPr>
        <w:t xml:space="preserve"> </w:t>
      </w:r>
    </w:p>
  </w:footnote>
  <w:footnote w:id="4">
    <w:p w:rsidP="00F64E69">
      <w:pPr>
        <w:pStyle w:val="FootnoteText"/>
        <w:bidi w:val="0"/>
        <w:rPr>
          <w:rFonts w:ascii="Times New Roman" w:hAnsi="Times New Roman"/>
        </w:rPr>
      </w:pPr>
      <w:r w:rsidRPr="00375F97" w:rsidR="00F64E69">
        <w:rPr>
          <w:rStyle w:val="FootnoteReference"/>
          <w:rFonts w:ascii="Arial Narrow" w:hAnsi="Arial Narrow" w:cs="Arial Narrow"/>
        </w:rPr>
        <w:t>3)</w:t>
      </w:r>
      <w:r w:rsidR="00F64E69">
        <w:rPr>
          <w:rFonts w:ascii="Times New Roman" w:hAnsi="Times New Roman"/>
        </w:rPr>
        <w:t xml:space="preserve"> </w:t>
      </w:r>
      <w:r w:rsidRPr="00883F21" w:rsidR="00F64E69">
        <w:rPr>
          <w:rFonts w:ascii="Arial Narrow" w:hAnsi="Arial Narrow" w:cs="Arial Narrow"/>
        </w:rPr>
        <w:t xml:space="preserve">§ 85a zákona č. 483/2001 Z. z. </w:t>
      </w:r>
      <w:r w:rsidR="00F64E69">
        <w:rPr>
          <w:rFonts w:ascii="Arial Narrow" w:hAnsi="Arial Narrow" w:cs="Arial Narrow"/>
        </w:rPr>
        <w:t>v znení neskorších predpisov.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4C4096" w:rsidR="004C4096">
        <w:rPr>
          <w:rStyle w:val="FootnoteReference"/>
          <w:rFonts w:ascii="Arial Narrow" w:hAnsi="Arial Narrow" w:cs="Arial"/>
        </w:rPr>
        <w:t>4)</w:t>
      </w:r>
      <w:r w:rsidRPr="004C4096" w:rsidR="004C4096">
        <w:rPr>
          <w:rFonts w:ascii="Arial Narrow" w:hAnsi="Arial Narrow" w:cs="Arial"/>
        </w:rPr>
        <w:t xml:space="preserve"> § 88a zákona č. 483/2001 Z.z. v znení zákona zo 4. novembra 2009.</w:t>
      </w:r>
    </w:p>
  </w:footnote>
  <w:footnote w:id="6">
    <w:p w:rsidP="00F64E69">
      <w:pPr>
        <w:pStyle w:val="FootnoteText"/>
        <w:bidi w:val="0"/>
        <w:ind w:left="180" w:right="-108" w:hanging="180"/>
        <w:rPr>
          <w:rFonts w:ascii="Times New Roman" w:hAnsi="Times New Roman"/>
        </w:rPr>
      </w:pPr>
      <w:r w:rsidR="004C4096">
        <w:rPr>
          <w:rStyle w:val="FootnoteReference"/>
          <w:rFonts w:ascii="Times New Roman" w:hAnsi="Times New Roman"/>
        </w:rPr>
        <w:t>5)</w:t>
      </w:r>
      <w:r w:rsidR="004C4096">
        <w:rPr>
          <w:rFonts w:ascii="Times New Roman" w:hAnsi="Times New Roman"/>
        </w:rPr>
        <w:t xml:space="preserve"> </w:t>
      </w:r>
      <w:r w:rsidR="004C4096">
        <w:rPr>
          <w:rFonts w:ascii="Arial Narrow" w:hAnsi="Arial Narrow" w:cs="Arial Narrow"/>
        </w:rPr>
        <w:t xml:space="preserve">§ 113 ods. 3 zákona č. </w:t>
      </w:r>
      <w:r w:rsidR="00E77C31">
        <w:rPr>
          <w:rFonts w:ascii="Arial Narrow" w:hAnsi="Arial Narrow" w:cs="Arial Narrow"/>
        </w:rPr>
        <w:t>400</w:t>
      </w:r>
      <w:r w:rsidR="004C4096">
        <w:rPr>
          <w:rFonts w:ascii="Arial Narrow" w:hAnsi="Arial Narrow" w:cs="Arial Narrow"/>
        </w:rPr>
        <w:t xml:space="preserve">/2009 Z. z. o štátnej službe a o zmene a doplnení niektorých zákonov. </w:t>
      </w:r>
    </w:p>
  </w:footnote>
  <w:footnote w:id="7">
    <w:p w:rsidP="00F64E69">
      <w:pPr>
        <w:pStyle w:val="FootnoteText"/>
        <w:bidi w:val="0"/>
        <w:rPr>
          <w:rFonts w:ascii="Times New Roman" w:hAnsi="Times New Roman"/>
        </w:rPr>
      </w:pPr>
      <w:r w:rsidR="004C4096">
        <w:rPr>
          <w:rStyle w:val="FootnoteReference"/>
          <w:rFonts w:ascii="Times New Roman" w:hAnsi="Times New Roman"/>
        </w:rPr>
        <w:t>6)</w:t>
      </w:r>
      <w:r w:rsidR="004C4096">
        <w:rPr>
          <w:rFonts w:ascii="Times New Roman" w:hAnsi="Times New Roman"/>
        </w:rPr>
        <w:t xml:space="preserve"> </w:t>
      </w:r>
      <w:r w:rsidR="004C4096">
        <w:rPr>
          <w:rFonts w:ascii="Arial Narrow" w:hAnsi="Arial Narrow" w:cs="Arial Narrow"/>
        </w:rPr>
        <w:t>§ 131 zákona č. 315/2001 Z. z. v znení neskorších predpisov.</w:t>
      </w:r>
    </w:p>
  </w:footnote>
  <w:footnote w:id="8">
    <w:p w:rsidR="004C4096" w:rsidP="00F64E69">
      <w:pPr>
        <w:pStyle w:val="FootnoteText"/>
        <w:bidi w:val="0"/>
        <w:ind w:left="170" w:hanging="170"/>
        <w:rPr>
          <w:rFonts w:ascii="Arial Narrow" w:hAnsi="Arial Narrow" w:cs="Arial Narrow"/>
        </w:rPr>
      </w:pPr>
      <w:r>
        <w:rPr>
          <w:rStyle w:val="FootnoteReference"/>
          <w:rFonts w:ascii="Times New Roman" w:hAnsi="Times New Roman"/>
        </w:rPr>
        <w:t>7)</w:t>
      </w:r>
      <w:r>
        <w:rPr>
          <w:rFonts w:ascii="Times New Roman" w:hAnsi="Times New Roman"/>
        </w:rPr>
        <w:t xml:space="preserve"> </w:t>
      </w:r>
      <w:r>
        <w:rPr>
          <w:rFonts w:ascii="Arial Narrow" w:hAnsi="Arial Narrow" w:cs="Arial Narrow"/>
        </w:rPr>
        <w:t>§ 85 ods. 6 zákona č. 73/1998 Z. z. v znení neskorších predpisov.</w:t>
      </w:r>
    </w:p>
    <w:p w:rsidP="00F64E69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4C4096">
        <w:rPr>
          <w:rFonts w:ascii="Arial Narrow" w:hAnsi="Arial Narrow" w:cs="Arial Narrow"/>
        </w:rPr>
        <w:t xml:space="preserve">   § 80 ods. 5 zákona č. 200/1998 Z. z. v znení neskorších predpisov.</w:t>
      </w:r>
    </w:p>
  </w:footnote>
  <w:footnote w:id="9">
    <w:p w:rsidR="004C4096" w:rsidP="00F64E69">
      <w:pPr>
        <w:pStyle w:val="FootnoteText"/>
        <w:bidi w:val="0"/>
        <w:jc w:val="both"/>
        <w:rPr>
          <w:rFonts w:ascii="Arial Narrow" w:hAnsi="Arial Narrow" w:cs="Arial Narrow"/>
        </w:rPr>
      </w:pPr>
      <w:r>
        <w:rPr>
          <w:rStyle w:val="FootnoteReference"/>
          <w:rFonts w:ascii="Times New Roman" w:hAnsi="Times New Roman"/>
        </w:rPr>
        <w:t>8)</w:t>
      </w:r>
      <w:r>
        <w:rPr>
          <w:rFonts w:ascii="Times New Roman" w:hAnsi="Times New Roman"/>
        </w:rPr>
        <w:t xml:space="preserve"> </w:t>
      </w:r>
      <w:r>
        <w:rPr>
          <w:rFonts w:ascii="Arial Narrow" w:hAnsi="Arial Narrow" w:cs="Arial Narrow"/>
        </w:rPr>
        <w:t xml:space="preserve">§ 139 ods. 4 zákona  č. 346/2005 Z. z.  o  štátnej službe profesionálnych  vojakov  ozbrojených  síl Slovenskej republiky   </w:t>
      </w:r>
    </w:p>
    <w:p w:rsidP="00F64E69">
      <w:pPr>
        <w:pStyle w:val="FootnoteText"/>
        <w:bidi w:val="0"/>
        <w:jc w:val="both"/>
        <w:rPr>
          <w:rFonts w:ascii="Times New Roman" w:hAnsi="Times New Roman"/>
        </w:rPr>
      </w:pPr>
      <w:r w:rsidR="004C4096">
        <w:rPr>
          <w:rFonts w:ascii="Arial Narrow" w:hAnsi="Arial Narrow" w:cs="Arial Narrow"/>
        </w:rPr>
        <w:t xml:space="preserve">   a o zmene a doplnení niektorých zákonov.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3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4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numStart w:val="8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107D6"/>
    <w:rsid w:val="00017BE4"/>
    <w:rsid w:val="0002315C"/>
    <w:rsid w:val="00027CDF"/>
    <w:rsid w:val="00041B0E"/>
    <w:rsid w:val="000749D7"/>
    <w:rsid w:val="00074CA9"/>
    <w:rsid w:val="0007790A"/>
    <w:rsid w:val="0008745D"/>
    <w:rsid w:val="000A0652"/>
    <w:rsid w:val="000D16CD"/>
    <w:rsid w:val="000F0C7A"/>
    <w:rsid w:val="001346DC"/>
    <w:rsid w:val="00177E25"/>
    <w:rsid w:val="00191DF7"/>
    <w:rsid w:val="001B052E"/>
    <w:rsid w:val="001C3ECA"/>
    <w:rsid w:val="001F4942"/>
    <w:rsid w:val="00217ECE"/>
    <w:rsid w:val="00221F41"/>
    <w:rsid w:val="00225036"/>
    <w:rsid w:val="00226041"/>
    <w:rsid w:val="00232234"/>
    <w:rsid w:val="00232D34"/>
    <w:rsid w:val="0027183A"/>
    <w:rsid w:val="00273FD0"/>
    <w:rsid w:val="002811E2"/>
    <w:rsid w:val="00293909"/>
    <w:rsid w:val="002957C0"/>
    <w:rsid w:val="002A520E"/>
    <w:rsid w:val="002C7401"/>
    <w:rsid w:val="002D683C"/>
    <w:rsid w:val="00316A60"/>
    <w:rsid w:val="00365494"/>
    <w:rsid w:val="00375F97"/>
    <w:rsid w:val="003764EB"/>
    <w:rsid w:val="003A11CD"/>
    <w:rsid w:val="003B1264"/>
    <w:rsid w:val="003F4E06"/>
    <w:rsid w:val="003F5741"/>
    <w:rsid w:val="004056B5"/>
    <w:rsid w:val="00417149"/>
    <w:rsid w:val="00420C6F"/>
    <w:rsid w:val="004378C0"/>
    <w:rsid w:val="004437AB"/>
    <w:rsid w:val="00443D2A"/>
    <w:rsid w:val="004510DF"/>
    <w:rsid w:val="0049559A"/>
    <w:rsid w:val="004C4096"/>
    <w:rsid w:val="004C6577"/>
    <w:rsid w:val="004D65BD"/>
    <w:rsid w:val="004F41AB"/>
    <w:rsid w:val="0050499C"/>
    <w:rsid w:val="005355E3"/>
    <w:rsid w:val="00571C03"/>
    <w:rsid w:val="005765EC"/>
    <w:rsid w:val="00584A27"/>
    <w:rsid w:val="005E3FC6"/>
    <w:rsid w:val="005E7833"/>
    <w:rsid w:val="005F1676"/>
    <w:rsid w:val="005F6029"/>
    <w:rsid w:val="00603AB6"/>
    <w:rsid w:val="00610343"/>
    <w:rsid w:val="0061663F"/>
    <w:rsid w:val="00630EF8"/>
    <w:rsid w:val="00633210"/>
    <w:rsid w:val="00635C70"/>
    <w:rsid w:val="00635E74"/>
    <w:rsid w:val="00641475"/>
    <w:rsid w:val="00651FC4"/>
    <w:rsid w:val="0065211B"/>
    <w:rsid w:val="00682D55"/>
    <w:rsid w:val="006A74FE"/>
    <w:rsid w:val="006D611D"/>
    <w:rsid w:val="006F470F"/>
    <w:rsid w:val="006F7A11"/>
    <w:rsid w:val="00714F00"/>
    <w:rsid w:val="00724C10"/>
    <w:rsid w:val="0072766B"/>
    <w:rsid w:val="00734520"/>
    <w:rsid w:val="00754FB7"/>
    <w:rsid w:val="00783DA1"/>
    <w:rsid w:val="007E7A0F"/>
    <w:rsid w:val="0080640B"/>
    <w:rsid w:val="00807BD0"/>
    <w:rsid w:val="00834E77"/>
    <w:rsid w:val="0084062D"/>
    <w:rsid w:val="00850A94"/>
    <w:rsid w:val="0086162B"/>
    <w:rsid w:val="0086237D"/>
    <w:rsid w:val="00863F6A"/>
    <w:rsid w:val="008813AF"/>
    <w:rsid w:val="00883BB9"/>
    <w:rsid w:val="00883F21"/>
    <w:rsid w:val="00890DB2"/>
    <w:rsid w:val="008A0D81"/>
    <w:rsid w:val="008A2607"/>
    <w:rsid w:val="008A2629"/>
    <w:rsid w:val="008A3BAA"/>
    <w:rsid w:val="008C6611"/>
    <w:rsid w:val="008D0B76"/>
    <w:rsid w:val="009368EB"/>
    <w:rsid w:val="0094177A"/>
    <w:rsid w:val="00950E81"/>
    <w:rsid w:val="009B3312"/>
    <w:rsid w:val="009E4E6C"/>
    <w:rsid w:val="00A025A5"/>
    <w:rsid w:val="00A0401C"/>
    <w:rsid w:val="00A13E2A"/>
    <w:rsid w:val="00A14F64"/>
    <w:rsid w:val="00A1792C"/>
    <w:rsid w:val="00A26E73"/>
    <w:rsid w:val="00A51CB3"/>
    <w:rsid w:val="00A64DD4"/>
    <w:rsid w:val="00AC0F78"/>
    <w:rsid w:val="00AE011A"/>
    <w:rsid w:val="00B04590"/>
    <w:rsid w:val="00B04741"/>
    <w:rsid w:val="00B12F46"/>
    <w:rsid w:val="00B2341F"/>
    <w:rsid w:val="00B66F08"/>
    <w:rsid w:val="00B94632"/>
    <w:rsid w:val="00BB3873"/>
    <w:rsid w:val="00BE2F09"/>
    <w:rsid w:val="00C00E20"/>
    <w:rsid w:val="00C0233C"/>
    <w:rsid w:val="00C155CF"/>
    <w:rsid w:val="00C44C91"/>
    <w:rsid w:val="00C57EC1"/>
    <w:rsid w:val="00C7124A"/>
    <w:rsid w:val="00C741C4"/>
    <w:rsid w:val="00C75D9B"/>
    <w:rsid w:val="00C800FB"/>
    <w:rsid w:val="00CC1706"/>
    <w:rsid w:val="00CE6359"/>
    <w:rsid w:val="00D15620"/>
    <w:rsid w:val="00D168D6"/>
    <w:rsid w:val="00D31D3B"/>
    <w:rsid w:val="00D32D28"/>
    <w:rsid w:val="00D40E3A"/>
    <w:rsid w:val="00D71417"/>
    <w:rsid w:val="00DC59D7"/>
    <w:rsid w:val="00DC5CB0"/>
    <w:rsid w:val="00E06B6B"/>
    <w:rsid w:val="00E14472"/>
    <w:rsid w:val="00E352AB"/>
    <w:rsid w:val="00E42E8B"/>
    <w:rsid w:val="00E431BB"/>
    <w:rsid w:val="00E47A36"/>
    <w:rsid w:val="00E703C9"/>
    <w:rsid w:val="00E77C31"/>
    <w:rsid w:val="00EB5C86"/>
    <w:rsid w:val="00F02EB2"/>
    <w:rsid w:val="00F1112B"/>
    <w:rsid w:val="00F3428F"/>
    <w:rsid w:val="00F342A7"/>
    <w:rsid w:val="00F414AF"/>
    <w:rsid w:val="00F64E69"/>
    <w:rsid w:val="00FB5AC3"/>
    <w:rsid w:val="00FC582E"/>
    <w:rsid w:val="00FE227B"/>
    <w:rsid w:val="00FF005B"/>
    <w:rsid w:val="00FF1E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paragraph" w:customStyle="1" w:styleId="Zkladntext">
    <w:name w:val="Základní text"/>
    <w:uiPriority w:val="99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character" w:customStyle="1" w:styleId="Char">
    <w:name w:val="Char"/>
    <w:basedOn w:val="DefaultParagraphFont"/>
    <w:link w:val="FootnoteText"/>
    <w:uiPriority w:val="99"/>
    <w:semiHidden/>
    <w:locked/>
    <w:rsid w:val="00F64E69"/>
    <w:rPr>
      <w:rFonts w:cs="Times New Roman"/>
      <w:rtl w:val="0"/>
      <w:cs w:val="0"/>
      <w:lang w:val="x-none" w:eastAsia="cs-CZ"/>
    </w:rPr>
  </w:style>
  <w:style w:type="paragraph" w:styleId="Footer">
    <w:name w:val="footer"/>
    <w:basedOn w:val="Normal"/>
    <w:uiPriority w:val="99"/>
    <w:rsid w:val="00E352A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E352A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3</Pages>
  <Words>525</Words>
  <Characters>2996</Characters>
  <Application>Microsoft Office Word</Application>
  <DocSecurity>0</DocSecurity>
  <Lines>0</Lines>
  <Paragraphs>0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;</dc:creator>
  <cp:lastModifiedBy>Administrator</cp:lastModifiedBy>
  <cp:revision>7</cp:revision>
  <cp:lastPrinted>2009-11-06T09:18:00Z</cp:lastPrinted>
  <dcterms:created xsi:type="dcterms:W3CDTF">2009-11-03T11:46:00Z</dcterms:created>
  <dcterms:modified xsi:type="dcterms:W3CDTF">2009-11-06T09:22:00Z</dcterms:modified>
</cp:coreProperties>
</file>