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67112" w:rsidP="00E67112">
      <w:pPr>
        <w:pStyle w:val="Heading2"/>
        <w:rPr>
          <w:sz w:val="24"/>
        </w:rPr>
      </w:pPr>
      <w:r>
        <w:rPr>
          <w:sz w:val="24"/>
        </w:rPr>
        <w:t>Dôvodová správa</w:t>
      </w:r>
    </w:p>
    <w:p w:rsidR="00E67112" w:rsidP="00E67112">
      <w:pPr>
        <w:jc w:val="both"/>
        <w:rPr>
          <w:rFonts w:ascii="Arial" w:hAnsi="Arial" w:cs="Arial"/>
          <w:color w:val="000000"/>
          <w:szCs w:val="22"/>
        </w:rPr>
      </w:pPr>
    </w:p>
    <w:p w:rsidR="00E67112" w:rsidP="00E67112">
      <w:pPr>
        <w:pStyle w:val="Subtitle"/>
        <w:spacing w:before="0" w:after="80" w:line="240" w:lineRule="auto"/>
        <w:rPr>
          <w:rFonts w:ascii="Arial" w:hAnsi="Arial" w:cs="Arial"/>
          <w:color w:val="000000"/>
          <w:sz w:val="24"/>
          <w:szCs w:val="16"/>
        </w:rPr>
      </w:pPr>
      <w:r>
        <w:rPr>
          <w:rFonts w:ascii="Arial" w:hAnsi="Arial" w:cs="Arial"/>
          <w:color w:val="000000"/>
          <w:sz w:val="24"/>
          <w:szCs w:val="16"/>
        </w:rPr>
        <w:t>Všeobecná časť</w:t>
      </w:r>
    </w:p>
    <w:p w:rsidR="00E67112" w:rsidP="00E67112">
      <w:pPr>
        <w:jc w:val="both"/>
        <w:rPr>
          <w:rFonts w:ascii="Arial" w:hAnsi="Arial" w:cs="Arial"/>
          <w:color w:val="000000"/>
          <w:szCs w:val="16"/>
        </w:rPr>
      </w:pPr>
    </w:p>
    <w:p w:rsidR="00E67112" w:rsidP="00E67112">
      <w:pPr>
        <w:spacing w:after="60"/>
        <w:ind w:firstLine="567"/>
        <w:jc w:val="both"/>
        <w:rPr>
          <w:rFonts w:ascii="Arial" w:hAnsi="Arial" w:cs="Arial"/>
          <w:color w:val="000000"/>
          <w:szCs w:val="16"/>
          <w:highlight w:val="yellow"/>
        </w:rPr>
      </w:pPr>
      <w:r>
        <w:rPr>
          <w:rFonts w:ascii="Arial" w:hAnsi="Arial" w:cs="Arial"/>
          <w:szCs w:val="16"/>
        </w:rPr>
        <w:t xml:space="preserve">Cieľom predloženého návrhu novely zákona o zavedení meny euro v Slovenskej republike je predĺžiť obdobie povinného duálneho zobrazovania cien v hotovostnom i bezhotovostnom platobnom styku o jeden rok. Podľa platného znenia zákona obdobie duálneho zobrazovania cien sa končí jeden rok po zavedení meny </w:t>
      </w:r>
      <w:r w:rsidR="00C145A5">
        <w:rPr>
          <w:rFonts w:ascii="Arial" w:hAnsi="Arial" w:cs="Arial"/>
          <w:szCs w:val="16"/>
        </w:rPr>
        <w:t>e</w:t>
      </w:r>
      <w:r>
        <w:rPr>
          <w:rFonts w:ascii="Arial" w:hAnsi="Arial" w:cs="Arial"/>
          <w:szCs w:val="16"/>
        </w:rPr>
        <w:t>uro t.j. dňa 31.12.2009. Ukazuje sa, že dĺžka obdobia povinného duálneho zobrazovania cien nie je dostatočná. Podľa prieskumu Ústavu pre výskum verejnej mienky Štatistického úradu v marci 2009 len 8% respondentov neprepočítavalo ceny v eurách na slovenské koruny.</w:t>
      </w:r>
    </w:p>
    <w:p w:rsidR="00E67112" w:rsidP="00E67112">
      <w:pPr>
        <w:spacing w:after="60"/>
        <w:ind w:firstLine="56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 xml:space="preserve">Predĺžením obdobia povinného duálneho zobrazovania cien o jeden rok sa posilnia istoty občanov a spotrebiteľov pri finančných operáciách, napríklad pri prepočte a zaokrúhľovaní výsledných súm, v podnikateľskej sfére zasa pri posudzovaní výhodností väčších alebo nepravidelne vykonávaných transakcií, hodnotení hodnôt základného imania právnických osôb, menovitých hodnôt majetkových vkladov do imania právnických osôb, menovitých hodnôt cenných papierov a ďalších finančných a majetkových hodnôt zo slovenskej meny na eurá, a to pri rešpektovaní princípu ochrany ekonomických a sociálnych záujmov občanov a spotrebiteľov, princípu kontinuity právnych vzťahov a princípu cenovej neutrality pri prechode zo slovenskej meny na euro. </w:t>
      </w:r>
    </w:p>
    <w:p w:rsidR="00E67112" w:rsidP="00E67112">
      <w:pPr>
        <w:spacing w:after="60"/>
        <w:ind w:firstLine="567"/>
        <w:jc w:val="both"/>
        <w:rPr>
          <w:rFonts w:ascii="Arial" w:hAnsi="Arial" w:cs="Arial"/>
          <w:color w:val="000000"/>
          <w:szCs w:val="16"/>
        </w:rPr>
      </w:pPr>
    </w:p>
    <w:p w:rsidR="00E67112" w:rsidP="00E67112">
      <w:pPr>
        <w:spacing w:after="60"/>
        <w:ind w:firstLine="567"/>
        <w:jc w:val="both"/>
        <w:rPr>
          <w:rFonts w:ascii="Arial" w:hAnsi="Arial" w:cs="Arial"/>
          <w:color w:val="000000"/>
          <w:szCs w:val="16"/>
        </w:rPr>
      </w:pPr>
    </w:p>
    <w:p w:rsidR="00E67112" w:rsidP="00E67112">
      <w:pPr>
        <w:pStyle w:val="BodyText"/>
        <w:spacing w:before="60" w:after="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Osobitná časť</w:t>
      </w:r>
    </w:p>
    <w:p w:rsidR="00E67112" w:rsidP="00E67112">
      <w:pPr>
        <w:pStyle w:val="BodyText"/>
        <w:spacing w:before="60" w:after="60"/>
        <w:ind w:firstLine="360"/>
        <w:rPr>
          <w:rFonts w:ascii="Arial" w:hAnsi="Arial" w:cs="Arial"/>
        </w:rPr>
      </w:pPr>
    </w:p>
    <w:p w:rsidR="00E67112" w:rsidP="00E67112">
      <w:pPr>
        <w:pStyle w:val="BodyText"/>
        <w:spacing w:before="60" w:after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 Čl. I</w:t>
      </w:r>
    </w:p>
    <w:p w:rsidR="00E67112" w:rsidP="00E67112">
      <w:pPr>
        <w:pStyle w:val="BodyText"/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>Obdobie povinného duálneho zobrazovania cien v slovenskej mene aj v mene euro, ktoré sa končí jeden rok od zavedenia meny euro sa predlžuje na obdobie, ktoré sa končí dva roky od zavedenia meny euro.</w:t>
      </w:r>
    </w:p>
    <w:p w:rsidR="00E67112" w:rsidP="00E67112">
      <w:pPr>
        <w:pStyle w:val="BodyText"/>
        <w:spacing w:before="60" w:after="60"/>
        <w:rPr>
          <w:rFonts w:ascii="Arial" w:hAnsi="Arial" w:cs="Arial"/>
        </w:rPr>
      </w:pPr>
    </w:p>
    <w:p w:rsidR="00E67112" w:rsidP="00E67112">
      <w:pPr>
        <w:pStyle w:val="BodyText"/>
        <w:spacing w:before="60" w:after="60"/>
        <w:rPr>
          <w:rFonts w:ascii="Arial" w:hAnsi="Arial" w:cs="Arial"/>
        </w:rPr>
      </w:pPr>
    </w:p>
    <w:p w:rsidR="00E67112" w:rsidP="00E67112">
      <w:pPr>
        <w:pStyle w:val="BodyText"/>
        <w:keepNext/>
        <w:spacing w:before="60" w:after="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K Čl. II</w:t>
      </w:r>
    </w:p>
    <w:p w:rsidR="00E67112" w:rsidP="00E67112">
      <w:pPr>
        <w:pStyle w:val="BodyText"/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>Vzhľadom na legislatívny proces sa uvedená legisvakačná doba javí ako primeraná.</w:t>
      </w:r>
    </w:p>
    <w:p w:rsidR="00E67112" w:rsidP="00E67112">
      <w:pPr>
        <w:pStyle w:val="BodyText"/>
        <w:spacing w:before="60" w:after="60"/>
        <w:ind w:firstLine="540"/>
        <w:rPr>
          <w:rFonts w:ascii="Arial" w:hAnsi="Arial" w:cs="Arial"/>
        </w:rPr>
      </w:pPr>
    </w:p>
    <w:p w:rsidR="00E67112" w:rsidP="00E67112">
      <w:pPr>
        <w:pStyle w:val="BodyText"/>
        <w:spacing w:before="60" w:after="60"/>
        <w:ind w:firstLine="540"/>
        <w:rPr>
          <w:rFonts w:ascii="Arial" w:hAnsi="Arial" w:cs="Arial"/>
        </w:rPr>
      </w:pPr>
    </w:p>
    <w:p w:rsidR="00E67112" w:rsidP="00E67112">
      <w:pPr>
        <w:pStyle w:val="BodyText"/>
        <w:spacing w:before="60" w:after="60"/>
        <w:ind w:firstLine="540"/>
        <w:rPr>
          <w:rFonts w:ascii="Arial" w:hAnsi="Arial" w:cs="Arial"/>
        </w:rPr>
      </w:pPr>
    </w:p>
    <w:p w:rsidR="00E67112" w:rsidP="00E67112">
      <w:pPr>
        <w:pStyle w:val="BodyText"/>
        <w:spacing w:before="60" w:after="60"/>
        <w:ind w:firstLine="540"/>
        <w:rPr>
          <w:rFonts w:ascii="Arial" w:hAnsi="Arial" w:cs="Arial"/>
        </w:rPr>
      </w:pPr>
    </w:p>
    <w:p w:rsidR="00E67112" w:rsidP="00E67112">
      <w:pPr>
        <w:pStyle w:val="BodyText"/>
        <w:spacing w:before="60" w:after="60"/>
        <w:ind w:firstLine="540"/>
        <w:rPr>
          <w:rFonts w:ascii="Arial" w:hAnsi="Arial" w:cs="Arial"/>
        </w:rPr>
      </w:pPr>
    </w:p>
    <w:p w:rsidR="00E67112" w:rsidP="00E67112">
      <w:pPr>
        <w:pStyle w:val="BodyText"/>
        <w:spacing w:before="60" w:after="60"/>
        <w:ind w:firstLine="540"/>
        <w:rPr>
          <w:rFonts w:ascii="Arial" w:hAnsi="Arial" w:cs="Arial"/>
        </w:rPr>
      </w:pPr>
    </w:p>
    <w:p w:rsidR="00E67112" w:rsidP="00E67112">
      <w:pPr>
        <w:pStyle w:val="BodyText"/>
        <w:spacing w:before="60" w:after="60"/>
        <w:ind w:firstLine="540"/>
        <w:rPr>
          <w:rFonts w:ascii="Arial" w:hAnsi="Arial" w:cs="Arial"/>
        </w:rPr>
      </w:pPr>
    </w:p>
    <w:p w:rsidR="00E67112" w:rsidP="00E67112">
      <w:pPr>
        <w:pStyle w:val="BodyText"/>
        <w:spacing w:before="60" w:after="60"/>
        <w:ind w:firstLine="540"/>
        <w:rPr>
          <w:rFonts w:ascii="Arial" w:hAnsi="Arial" w:cs="Arial"/>
        </w:rPr>
      </w:pPr>
    </w:p>
    <w:p w:rsidR="00E67112" w:rsidP="00E67112">
      <w:pPr>
        <w:pStyle w:val="BodyText"/>
        <w:spacing w:before="60" w:after="60"/>
        <w:ind w:firstLine="540"/>
        <w:rPr>
          <w:rFonts w:ascii="Arial" w:hAnsi="Arial" w:cs="Arial"/>
        </w:rPr>
      </w:pPr>
    </w:p>
    <w:p w:rsidR="00E67112" w:rsidP="00E67112">
      <w:pPr>
        <w:pStyle w:val="BodyText"/>
        <w:spacing w:before="60" w:after="60"/>
        <w:ind w:firstLine="540"/>
        <w:rPr>
          <w:rFonts w:ascii="Arial" w:hAnsi="Arial" w:cs="Arial"/>
        </w:rPr>
      </w:pPr>
    </w:p>
    <w:p w:rsidR="00E67112" w:rsidP="00E67112">
      <w:pPr>
        <w:pStyle w:val="BodyText"/>
        <w:spacing w:before="60" w:after="60"/>
        <w:ind w:firstLine="540"/>
        <w:rPr>
          <w:rFonts w:ascii="Arial" w:hAnsi="Arial" w:cs="Arial"/>
        </w:rPr>
      </w:pPr>
    </w:p>
    <w:p w:rsidR="00E67112" w:rsidP="00E67112">
      <w:pPr>
        <w:pStyle w:val="BodyText"/>
        <w:spacing w:before="60" w:after="60"/>
        <w:ind w:firstLine="540"/>
        <w:rPr>
          <w:rFonts w:ascii="Arial" w:hAnsi="Arial" w:cs="Arial"/>
        </w:rPr>
      </w:pPr>
    </w:p>
    <w:p w:rsidR="00E67112" w:rsidP="00E6711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DOLOŽKA ZLUČITEĽNOSTI</w:t>
      </w:r>
    </w:p>
    <w:p w:rsidR="00E67112" w:rsidP="00E6711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návrhu zákona s právom Európskych spoločenstiev a právom Európskej únie </w:t>
      </w:r>
    </w:p>
    <w:p w:rsidR="00E67112" w:rsidP="00E67112">
      <w:pPr>
        <w:pBdr>
          <w:top w:val="single" w:sz="4" w:space="1" w:color="auto"/>
        </w:pBdr>
        <w:spacing w:before="60" w:after="60"/>
        <w:rPr>
          <w:rFonts w:ascii="Arial" w:hAnsi="Arial" w:cs="Arial"/>
          <w:lang w:eastAsia="cs-CZ"/>
        </w:rPr>
      </w:pPr>
    </w:p>
    <w:p w:rsidR="00E67112" w:rsidP="00E67112">
      <w:pPr>
        <w:spacing w:after="60"/>
        <w:jc w:val="center"/>
        <w:rPr>
          <w:rFonts w:ascii="Arial" w:hAnsi="Arial" w:cs="Arial"/>
        </w:rPr>
      </w:pPr>
    </w:p>
    <w:p w:rsidR="00E67112" w:rsidP="00E67112">
      <w:pPr>
        <w:spacing w:after="80"/>
        <w:ind w:left="567" w:hanging="567"/>
        <w:jc w:val="both"/>
        <w:rPr>
          <w:rFonts w:ascii="Arial" w:hAnsi="Arial" w:cs="Arial"/>
          <w:b/>
          <w:bCs/>
          <w:color w:val="000000"/>
          <w:szCs w:val="16"/>
        </w:rPr>
      </w:pPr>
      <w:r>
        <w:rPr>
          <w:rFonts w:ascii="Arial" w:hAnsi="Arial" w:cs="Arial"/>
          <w:b/>
          <w:bCs/>
          <w:color w:val="000000"/>
          <w:szCs w:val="16"/>
        </w:rPr>
        <w:t>1.</w:t>
        <w:tab/>
        <w:t>Navrhovateľ návrhu zákona:</w:t>
      </w:r>
    </w:p>
    <w:p w:rsidR="00E67112" w:rsidP="00E67112">
      <w:pPr>
        <w:spacing w:after="60"/>
        <w:ind w:left="56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Posla</w:t>
      </w:r>
      <w:r>
        <w:rPr>
          <w:rFonts w:ascii="Arial" w:hAnsi="Arial" w:cs="Arial"/>
          <w:color w:val="000000"/>
          <w:szCs w:val="16"/>
        </w:rPr>
        <w:t>nci Národnej rady Slovenskej republiky</w:t>
      </w:r>
      <w:r w:rsidR="00C145A5">
        <w:rPr>
          <w:rFonts w:ascii="Arial" w:hAnsi="Arial" w:cs="Arial"/>
          <w:color w:val="000000"/>
          <w:szCs w:val="16"/>
        </w:rPr>
        <w:t xml:space="preserve"> Rudolf Bauer a Pavol Minárik</w:t>
      </w:r>
      <w:r>
        <w:rPr>
          <w:rFonts w:ascii="Arial" w:hAnsi="Arial" w:cs="Arial"/>
          <w:color w:val="000000"/>
          <w:szCs w:val="16"/>
        </w:rPr>
        <w:t>.</w:t>
      </w:r>
    </w:p>
    <w:p w:rsidR="00E67112" w:rsidP="00E67112">
      <w:pPr>
        <w:jc w:val="both"/>
        <w:rPr>
          <w:rFonts w:ascii="Arial" w:hAnsi="Arial" w:cs="Arial"/>
          <w:color w:val="000000"/>
          <w:szCs w:val="16"/>
        </w:rPr>
      </w:pPr>
    </w:p>
    <w:p w:rsidR="00E67112" w:rsidP="00E67112">
      <w:pPr>
        <w:spacing w:after="80"/>
        <w:ind w:left="567" w:hanging="567"/>
        <w:jc w:val="both"/>
        <w:rPr>
          <w:rFonts w:ascii="Arial" w:hAnsi="Arial" w:cs="Arial"/>
          <w:b/>
          <w:bCs/>
          <w:color w:val="000000"/>
          <w:szCs w:val="16"/>
        </w:rPr>
      </w:pPr>
      <w:r>
        <w:rPr>
          <w:rFonts w:ascii="Arial" w:hAnsi="Arial" w:cs="Arial"/>
          <w:b/>
          <w:bCs/>
          <w:color w:val="000000"/>
          <w:szCs w:val="16"/>
        </w:rPr>
        <w:t>2.</w:t>
        <w:tab/>
        <w:t>Názov návrhu zákona:</w:t>
      </w:r>
    </w:p>
    <w:p w:rsidR="00E67112" w:rsidP="00E67112">
      <w:pPr>
        <w:spacing w:after="60"/>
        <w:ind w:left="56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Návrh zákona, ktorým sa mení a dopĺňa zákon č. 659/2007 Z. z. o zavedení meny euro v Slovenskej republike.</w:t>
      </w:r>
    </w:p>
    <w:p w:rsidR="00E67112" w:rsidP="00E67112">
      <w:pPr>
        <w:jc w:val="both"/>
        <w:rPr>
          <w:rFonts w:ascii="Arial" w:hAnsi="Arial" w:cs="Arial"/>
          <w:color w:val="000000"/>
          <w:szCs w:val="16"/>
        </w:rPr>
      </w:pPr>
    </w:p>
    <w:p w:rsidR="00E67112" w:rsidP="00E67112">
      <w:pPr>
        <w:spacing w:after="80"/>
        <w:ind w:left="567" w:hanging="567"/>
        <w:jc w:val="both"/>
        <w:rPr>
          <w:rFonts w:ascii="Arial" w:hAnsi="Arial" w:cs="Arial"/>
          <w:b/>
          <w:bCs/>
          <w:color w:val="000000"/>
          <w:szCs w:val="16"/>
        </w:rPr>
      </w:pPr>
      <w:r>
        <w:rPr>
          <w:rFonts w:ascii="Arial" w:hAnsi="Arial" w:cs="Arial"/>
          <w:b/>
          <w:bCs/>
          <w:color w:val="000000"/>
          <w:szCs w:val="16"/>
        </w:rPr>
        <w:t>3.</w:t>
        <w:tab/>
        <w:t>Problematika návrhu zákona:</w:t>
      </w:r>
    </w:p>
    <w:p w:rsidR="00E67112" w:rsidP="00E67112">
      <w:pPr>
        <w:ind w:left="907" w:hanging="340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a)</w:t>
        <w:tab/>
        <w:t>je upravená v práve Európskych spoločenstiev:</w:t>
      </w:r>
    </w:p>
    <w:p w:rsidR="00E67112" w:rsidP="00E67112">
      <w:pPr>
        <w:ind w:left="1134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</w:r>
      <w:r>
        <w:rPr>
          <w:rFonts w:ascii="Arial" w:hAnsi="Arial" w:cs="Arial"/>
          <w:color w:val="000000"/>
          <w:szCs w:val="16"/>
          <w:u w:val="single"/>
        </w:rPr>
        <w:t>v primárnom práve</w:t>
      </w:r>
      <w:r>
        <w:rPr>
          <w:rFonts w:ascii="Arial" w:hAnsi="Arial" w:cs="Arial"/>
          <w:color w:val="000000"/>
          <w:szCs w:val="16"/>
        </w:rPr>
        <w:t>: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čl.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4 ods.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2, čl.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8, čl.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101, čl.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102, čl.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105 až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124 a čl.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249 Zmluvy o založení Európskeho spoločenstva v platnom znení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 C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321E, 29.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12.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2006),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Protokole (č.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18) o Štatúte Európskeho systému</w:t>
      </w:r>
      <w:r>
        <w:rPr>
          <w:rFonts w:ascii="Arial" w:hAnsi="Arial" w:cs="Arial"/>
          <w:color w:val="000000"/>
          <w:szCs w:val="16"/>
        </w:rPr>
        <w:t xml:space="preserve"> centrálnych bánk a Európskej centrálnej banky v platnom znení,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Protokole (č.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21) o kritériách konvergencie podľa článku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121 Zmluvy o založení Európskeho spoločenstva.</w:t>
      </w:r>
    </w:p>
    <w:p w:rsidR="00E67112" w:rsidP="00E67112">
      <w:pPr>
        <w:ind w:left="1134" w:hanging="227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</w:r>
      <w:r>
        <w:rPr>
          <w:rFonts w:ascii="Arial" w:hAnsi="Arial" w:cs="Arial"/>
          <w:color w:val="000000"/>
          <w:szCs w:val="16"/>
          <w:u w:val="single"/>
        </w:rPr>
        <w:t>v sekundárnom práve</w:t>
      </w:r>
      <w:r>
        <w:rPr>
          <w:rFonts w:ascii="Arial" w:hAnsi="Arial" w:cs="Arial"/>
          <w:color w:val="000000"/>
          <w:szCs w:val="16"/>
        </w:rPr>
        <w:t>: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nariadení Rady (ES) č. 3603/93 z 13.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decembra 1993, ktorým sa stanovujú definície na uplatňovanie zákazov uvedené v článkoch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104 a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104b ods.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 zmluvy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ES L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332, 31.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12.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1993; Mimoriadne vydanie 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EÚ, 10/zv.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01),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nariadení Rady (ES) č. 3604/93 z 13. decembra 1993, ktorým sa stanovujú definície na uplatňovanie zákazu zvýhodneného prístupu, uvedeného v článku 104a zmluvy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ES L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332, 31.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12.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1993; Mimoriadne vydanie 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EÚ, 10/zv.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01),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nariadení Rady (ES) č.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1103/97 zo 17.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júna 1997 o určitých ustanoveniach týkajúcich sa zavedenia eura v plat</w:t>
      </w:r>
      <w:r>
        <w:rPr>
          <w:rFonts w:ascii="Arial" w:hAnsi="Arial" w:cs="Arial"/>
          <w:color w:val="000000"/>
          <w:szCs w:val="16"/>
        </w:rPr>
        <w:t>nom znení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ES L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162, 19.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6.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1997; Mimoriadne vydanie 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EÚ, 10/zv.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01),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nariadení Rady (ES) č.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974/98 z 3.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mája 1998 o zavedení eura v platnom znení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ES L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139, 11.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5.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1998; Mimoriadne vydanie 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EÚ, 10/zv.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01),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nariadení Rady (ES) č.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975/98 z 3.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mája 1998 o nominálnych hodnotách a technických špecifikáciách euromincí určených do obehu v platnom znení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ES L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139, 11.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5.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1998; Mimoriadne vydanie 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EÚ, 10/zv.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01),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rozhodnutí Rady (ES) č. 98/415/ES z 29.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júna 1998 o poradení sa vnútroštátnych orgánov s Európskou centrálnou bankou ohľadom návrhov právnych predpisov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ES L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189, 3.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7.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1998; Mimoriadne vydanie 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EÚ, 10/zv.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01; korigendum 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 L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234, 29.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8.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2006),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nariadení Rady (ES) č.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2866/98 z 31.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decembra 19</w:t>
      </w:r>
      <w:r>
        <w:rPr>
          <w:rFonts w:ascii="Arial" w:hAnsi="Arial" w:cs="Arial"/>
          <w:color w:val="000000"/>
          <w:szCs w:val="16"/>
        </w:rPr>
        <w:t xml:space="preserve">98 </w:t>
      </w:r>
      <w:r>
        <w:rPr>
          <w:rFonts w:ascii="Arial" w:hAnsi="Arial" w:cs="Arial"/>
        </w:rPr>
        <w:t>o prevodných kurzoch medzi eurom a menami členských štátov, ktoré zaviedli euro,</w:t>
      </w:r>
      <w:r>
        <w:rPr>
          <w:rFonts w:ascii="Arial" w:hAnsi="Arial" w:cs="Arial"/>
          <w:color w:val="000000"/>
          <w:szCs w:val="16"/>
        </w:rPr>
        <w:t xml:space="preserve"> v platnom znení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ES L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359, 31.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12.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1998),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usmernení Európskej centrálnej banky z 31.</w:t>
      </w:r>
      <w:r>
        <w:rPr>
          <w:rFonts w:ascii="Symbol" w:hAnsi="Symbol" w:cs="Arial"/>
          <w:color w:val="000000"/>
          <w:szCs w:val="16"/>
        </w:rPr>
        <w:sym w:font="Symbol" w:char="F020"/>
      </w:r>
      <w:r>
        <w:rPr>
          <w:rFonts w:ascii="Arial" w:hAnsi="Arial" w:cs="Arial"/>
          <w:color w:val="000000"/>
          <w:szCs w:val="16"/>
        </w:rPr>
        <w:t>augusta 2000 o nástrojoch menovej politiky a postupoch Eurosystému (ECB/2000/</w:t>
      </w:r>
      <w:r>
        <w:rPr>
          <w:rFonts w:ascii="Arial" w:hAnsi="Arial" w:cs="Arial"/>
          <w:color w:val="000000"/>
          <w:szCs w:val="16"/>
        </w:rPr>
        <w:t>7) v platnom znení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ES L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310, 11.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12.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2000; Mimoriadne vydanie 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EÚ, 10/zv.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01),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nariadení Rady (ES) č.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1338/2001 z 28.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júna 2001 stanovujúcom opatrenia nevyhnutné na ochranu eura voči falšovaniu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ES L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181, 4.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7.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2001; Mimoriadne vydanie 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EÚ, 19/zv.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04),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nariadení Rady (ES) č.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1339/2001 z 28.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júna 2001, ktorým sa rozširuje účinnosť nariadenia (ES) č.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1338/2001 stanovujúceho opatrenia nevyhnutné na ochranu eura proti falšovaniu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ES L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181, 4.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7.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2001; Mimoriadne vydanie 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EÚ, 19/zv.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04),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rozhodnutí Európskej centrálnej banky č.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ECB/2001/15 zo 6.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decembra 2001 o vydaní eurobankoviek v platnom znení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ES L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337, 20.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12.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2001; Mimoriadne vydanie 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EÚ, 10/zv.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03),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rozhodnutí Európskej centrálnej banky č.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ECB/2003/4z 20.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marca 2003 o nominálnych hodnotách, špecifikáciách, reprodukcii, výmene a sťahovaní eurobankoviek z obehu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 L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078, 25.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3.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2003; Mimoriadne vydanie 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EÚ, 10/zv.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03),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nariadení Európskej centrálnej banky č. 1745/2003 z 12.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septembra 2003 o povinných minimálnych rezervách (ECB/2003/9)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 L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250, 2.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10.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2003; Mimoriadne vydanie 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EÚ, 10/zv.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03),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nariadení Rady (ES) č.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2182/2004 zo 6.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decembra 2004 o medailách a žetónoch podobných eurominciam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 L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373, 21.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12.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2004)</w:t>
      </w:r>
      <w:r>
        <w:rPr>
          <w:rStyle w:val="Emphasis"/>
          <w:rFonts w:ascii="Arial" w:hAnsi="Arial" w:cs="Arial"/>
          <w:i w:val="0"/>
          <w:iCs w:val="0"/>
          <w:color w:val="000000"/>
          <w:szCs w:val="16"/>
        </w:rPr>
        <w:t>,</w:t>
      </w:r>
      <w:r>
        <w:rPr>
          <w:rFonts w:ascii="Arial" w:hAnsi="Arial" w:cs="Arial"/>
          <w:color w:val="000000"/>
          <w:szCs w:val="16"/>
        </w:rPr>
        <w:t xml:space="preserve"> 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nariadení Rady (ES) č.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2183/2004 zo 6.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decembra 2004, ktorým sa rozširuje na neúčastnícke členské štáty uplatňovanie nariadenia (ES) č.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2182/2004 o medailách a žetónoch podobných eurominciam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 L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373, 21.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12.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2004),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usmernení Európskej centrálnej banky č. ECB/2006/16 z 10.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novembra 2006 o právnom rámci pre účtovníctvo a finančné výkazníctvo v Európskom systéme centrálnych bánk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 L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348, 11.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12.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2006).</w:t>
      </w:r>
    </w:p>
    <w:p w:rsidR="00E67112" w:rsidP="00E67112">
      <w:pPr>
        <w:ind w:left="907" w:hanging="340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b)</w:t>
        <w:tab/>
        <w:t>je upravená v práve Európskej únie:</w:t>
      </w:r>
    </w:p>
    <w:p w:rsidR="00E67112" w:rsidP="00E67112">
      <w:pPr>
        <w:ind w:left="1134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</w:r>
      <w:r>
        <w:rPr>
          <w:rFonts w:ascii="Arial" w:hAnsi="Arial" w:cs="Arial"/>
          <w:color w:val="000000"/>
          <w:szCs w:val="16"/>
          <w:u w:val="single"/>
        </w:rPr>
        <w:t>v primárnom práve</w:t>
      </w:r>
      <w:r>
        <w:rPr>
          <w:rFonts w:ascii="Arial" w:hAnsi="Arial" w:cs="Arial"/>
          <w:color w:val="000000"/>
          <w:szCs w:val="16"/>
        </w:rPr>
        <w:t>: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čl.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 ods.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 Zmluvy o pristúpení Slovenskej republiky k Európskej únii a čl.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 pripojeného aktu o podmienkach pristúpenia a o úpravách zmlúv, na ktorých je založená Európska únia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 L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236, 23.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9.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2003; oznámenie č.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185/2004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Z.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z.),</w:t>
      </w:r>
    </w:p>
    <w:p w:rsidR="00E67112" w:rsidP="00E67112">
      <w:pPr>
        <w:ind w:left="1361" w:hanging="227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čl.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 Zmluvy o založení Európskej únie v platnom znení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 C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321E, 29.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12.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2006).</w:t>
      </w:r>
    </w:p>
    <w:p w:rsidR="00E67112" w:rsidP="00E67112">
      <w:pPr>
        <w:ind w:left="907" w:hanging="340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c)</w:t>
        <w:tab/>
        <w:t>je obsiahnutá v judikatúre Súdneho dvora Európskych spoločenstiev (ES):</w:t>
      </w:r>
    </w:p>
    <w:p w:rsidR="00E67112" w:rsidP="00E67112">
      <w:pPr>
        <w:ind w:left="1247" w:hanging="340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rozhodnutí Súdneho dvora Európskych spoločenstiev zo 14.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septembra 2004 vo veci C–19/03, Landgericht München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I): Verbraucher-Zentrale Hamburg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eV 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O2 (Germany) GmbH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&amp;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Co.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OHG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 C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284, 20.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11.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2004, str.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3),</w:t>
      </w:r>
    </w:p>
    <w:p w:rsidR="00E67112" w:rsidP="00E67112">
      <w:pPr>
        <w:ind w:left="1247" w:hanging="340"/>
        <w:jc w:val="both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v rozhodnutí Súdneho dvora Európskych spoločenstiev z 18.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januára 2007 vo veci   C–359/05, Estager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SA 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Receveur principal de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la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recette des douanes de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Brive (Ú.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v.</w:t>
      </w:r>
      <w:r>
        <w:rPr>
          <w:rFonts w:ascii="Times New Roman" w:hAnsi="Times New Roman" w:cs="Arial"/>
        </w:rPr>
        <w:t> </w:t>
      </w:r>
      <w:r>
        <w:rPr>
          <w:rFonts w:ascii="Arial" w:hAnsi="Arial" w:cs="Arial"/>
          <w:color w:val="000000"/>
          <w:szCs w:val="16"/>
        </w:rPr>
        <w:t>EÚ</w:t>
      </w:r>
      <w:r>
        <w:rPr>
          <w:rStyle w:val="Emphasis"/>
          <w:rFonts w:ascii="Arial" w:hAnsi="Arial" w:cs="Arial"/>
          <w:i w:val="0"/>
          <w:iCs w:val="0"/>
          <w:color w:val="000000"/>
          <w:szCs w:val="16"/>
        </w:rPr>
        <w:t xml:space="preserve"> C</w:t>
      </w:r>
      <w:r>
        <w:rPr>
          <w:rFonts w:ascii="Times New Roman" w:hAnsi="Times New Roman" w:cs="Arial"/>
        </w:rPr>
        <w:t> </w:t>
      </w:r>
      <w:r>
        <w:rPr>
          <w:rStyle w:val="Emphasis"/>
          <w:rFonts w:ascii="Arial" w:hAnsi="Arial" w:cs="Arial"/>
          <w:i w:val="0"/>
          <w:iCs w:val="0"/>
          <w:color w:val="000000"/>
          <w:szCs w:val="16"/>
        </w:rPr>
        <w:t>056, 10</w:t>
      </w:r>
      <w:r>
        <w:rPr>
          <w:rFonts w:ascii="Arial" w:hAnsi="Arial" w:cs="Arial"/>
          <w:color w:val="000000"/>
          <w:szCs w:val="16"/>
        </w:rPr>
        <w:t>.</w:t>
      </w:r>
      <w:r>
        <w:rPr>
          <w:rFonts w:ascii="Times New Roman" w:hAnsi="Times New Roman" w:cs="Arial"/>
        </w:rPr>
        <w:t> </w:t>
      </w:r>
      <w:r>
        <w:rPr>
          <w:rStyle w:val="Emphasis"/>
          <w:rFonts w:ascii="Arial" w:hAnsi="Arial" w:cs="Arial"/>
          <w:i w:val="0"/>
          <w:iCs w:val="0"/>
          <w:color w:val="000000"/>
          <w:szCs w:val="16"/>
        </w:rPr>
        <w:t>3</w:t>
      </w:r>
      <w:r>
        <w:rPr>
          <w:rFonts w:ascii="Arial" w:hAnsi="Arial" w:cs="Arial"/>
          <w:color w:val="000000"/>
          <w:szCs w:val="16"/>
        </w:rPr>
        <w:t>.</w:t>
      </w:r>
      <w:r>
        <w:rPr>
          <w:rFonts w:ascii="Times New Roman" w:hAnsi="Times New Roman" w:cs="Arial"/>
        </w:rPr>
        <w:t> </w:t>
      </w:r>
      <w:r>
        <w:rPr>
          <w:rStyle w:val="Emphasis"/>
          <w:rFonts w:ascii="Arial" w:hAnsi="Arial" w:cs="Arial"/>
          <w:i w:val="0"/>
          <w:iCs w:val="0"/>
          <w:color w:val="000000"/>
          <w:szCs w:val="16"/>
        </w:rPr>
        <w:t>2007, str</w:t>
      </w:r>
      <w:r>
        <w:rPr>
          <w:rFonts w:ascii="Arial" w:hAnsi="Arial" w:cs="Arial"/>
          <w:color w:val="000000"/>
          <w:szCs w:val="16"/>
        </w:rPr>
        <w:t>.</w:t>
      </w:r>
      <w:r>
        <w:rPr>
          <w:rFonts w:ascii="Times New Roman" w:hAnsi="Times New Roman" w:cs="Arial"/>
        </w:rPr>
        <w:t> </w:t>
      </w:r>
      <w:r>
        <w:rPr>
          <w:rStyle w:val="Emphasis"/>
          <w:rFonts w:ascii="Arial" w:hAnsi="Arial" w:cs="Arial"/>
          <w:i w:val="0"/>
          <w:iCs w:val="0"/>
          <w:color w:val="000000"/>
          <w:szCs w:val="16"/>
        </w:rPr>
        <w:t>8).</w:t>
      </w:r>
    </w:p>
    <w:p w:rsidR="00E67112" w:rsidP="00E67112">
      <w:pPr>
        <w:pStyle w:val="Zkladntext1"/>
        <w:rPr>
          <w:rFonts w:ascii="Arial" w:hAnsi="Arial" w:cs="Arial"/>
          <w:szCs w:val="16"/>
          <w:lang w:eastAsia="cs-CZ"/>
        </w:rPr>
      </w:pPr>
    </w:p>
    <w:p w:rsidR="00E67112" w:rsidP="00E67112">
      <w:pPr>
        <w:spacing w:after="80"/>
        <w:ind w:left="567" w:hanging="567"/>
        <w:jc w:val="both"/>
        <w:rPr>
          <w:rFonts w:ascii="Arial" w:hAnsi="Arial" w:cs="Arial"/>
          <w:b/>
          <w:bCs/>
          <w:color w:val="000000"/>
          <w:szCs w:val="16"/>
        </w:rPr>
      </w:pPr>
      <w:r>
        <w:rPr>
          <w:rFonts w:ascii="Arial" w:hAnsi="Arial" w:cs="Arial"/>
          <w:b/>
          <w:bCs/>
          <w:color w:val="000000"/>
          <w:szCs w:val="16"/>
        </w:rPr>
        <w:t>4.</w:t>
        <w:tab/>
        <w:t>Stupeň zlučiteľnosti návrhu právneho predpisu alebo návrhu legislatívneho zámeru s právom Európskych spoločenstiev alebo právom Európskej únie:</w:t>
      </w:r>
    </w:p>
    <w:p w:rsidR="00E67112" w:rsidP="00E67112">
      <w:pPr>
        <w:ind w:left="794" w:hanging="227"/>
        <w:jc w:val="both"/>
        <w:rPr>
          <w:rFonts w:ascii="Arial" w:hAnsi="Arial" w:cs="Arial"/>
          <w:b/>
          <w:bCs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–</w:t>
        <w:tab/>
        <w:t>úplný.</w:t>
      </w:r>
    </w:p>
    <w:p w:rsidR="00E67112" w:rsidP="00E67112">
      <w:pPr>
        <w:pStyle w:val="Title"/>
        <w:rPr>
          <w:rFonts w:ascii="Arial" w:hAnsi="Arial" w:cs="Arial"/>
        </w:rPr>
      </w:pPr>
    </w:p>
    <w:p w:rsidR="00E67112" w:rsidP="00E67112">
      <w:pPr>
        <w:pStyle w:val="Title"/>
        <w:rPr>
          <w:rFonts w:ascii="Arial" w:hAnsi="Arial" w:cs="Arial"/>
        </w:rPr>
      </w:pPr>
    </w:p>
    <w:p w:rsidR="00E67112" w:rsidP="00E67112">
      <w:pPr>
        <w:pStyle w:val="Title"/>
        <w:rPr>
          <w:rFonts w:ascii="Arial" w:hAnsi="Arial" w:cs="Arial"/>
        </w:rPr>
      </w:pPr>
    </w:p>
    <w:p w:rsidR="00E67112" w:rsidP="00E67112">
      <w:pPr>
        <w:pStyle w:val="Title"/>
        <w:rPr>
          <w:rFonts w:ascii="Arial" w:hAnsi="Arial" w:cs="Arial"/>
        </w:rPr>
      </w:pPr>
    </w:p>
    <w:p w:rsidR="00E67112" w:rsidP="00E6711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br w:type="page"/>
        <w:t>DOLOŽKA</w:t>
      </w:r>
    </w:p>
    <w:p w:rsidR="00E67112" w:rsidP="00E6711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k návrhu zákona o jeho finančných a ekonomických vplyvoch,</w:t>
      </w:r>
    </w:p>
    <w:p w:rsidR="00E67112" w:rsidP="00E6711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environmentálnych vplyvoch a vplyvoch na zamestnanosť</w:t>
      </w:r>
    </w:p>
    <w:p w:rsidR="00E67112" w:rsidP="00E67112">
      <w:pPr>
        <w:pBdr>
          <w:top w:val="single" w:sz="4" w:space="1" w:color="auto"/>
        </w:pBdr>
        <w:spacing w:before="60" w:after="60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</w:t>
      </w:r>
    </w:p>
    <w:p w:rsidR="00E67112" w:rsidP="00E67112">
      <w:pPr>
        <w:spacing w:after="60"/>
        <w:rPr>
          <w:rFonts w:ascii="Arial" w:hAnsi="Arial" w:cs="Arial"/>
          <w:color w:val="000000"/>
          <w:szCs w:val="16"/>
        </w:rPr>
      </w:pPr>
    </w:p>
    <w:p w:rsidR="00E67112" w:rsidP="00E67112">
      <w:pPr>
        <w:pStyle w:val="BodyText"/>
        <w:spacing w:before="60" w:after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Odhad dopadov na verejné financie</w:t>
      </w:r>
    </w:p>
    <w:p w:rsidR="00E67112" w:rsidP="00E67112">
      <w:pPr>
        <w:pStyle w:val="BodyTextIndent"/>
        <w:spacing w:after="60"/>
        <w:ind w:left="0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szCs w:val="16"/>
        </w:rPr>
        <w:t>Návrh zákona nebude mať žiaden negatívny dopad na verejné financie.</w:t>
      </w:r>
    </w:p>
    <w:p w:rsidR="00E67112" w:rsidP="00E67112">
      <w:pPr>
        <w:jc w:val="both"/>
        <w:rPr>
          <w:rFonts w:ascii="Arial" w:hAnsi="Arial" w:cs="Arial"/>
          <w:color w:val="000000"/>
          <w:szCs w:val="16"/>
        </w:rPr>
      </w:pPr>
    </w:p>
    <w:p w:rsidR="00E67112" w:rsidP="00E67112">
      <w:pPr>
        <w:pStyle w:val="BodyText"/>
        <w:spacing w:before="60" w:after="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 Odhad dopadov na obyvateľov, hospodárenie podnikateľskej sféry a iných právnických osôb</w:t>
      </w:r>
    </w:p>
    <w:p w:rsidR="00E67112" w:rsidP="00E67112">
      <w:pPr>
        <w:pStyle w:val="BodyTextIndent"/>
        <w:spacing w:after="60"/>
        <w:ind w:left="0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szCs w:val="16"/>
        </w:rPr>
        <w:t>Návrh zákona nebude mať žiaden negatívny dopad na obyvateľov, hospodárenie podnikateľskej sféry a iných právnických osôb.</w:t>
      </w:r>
    </w:p>
    <w:p w:rsidR="00E67112" w:rsidP="00E67112">
      <w:pPr>
        <w:jc w:val="both"/>
        <w:rPr>
          <w:rFonts w:ascii="Arial" w:hAnsi="Arial" w:cs="Arial"/>
          <w:color w:val="000000"/>
          <w:szCs w:val="16"/>
        </w:rPr>
      </w:pPr>
    </w:p>
    <w:p w:rsidR="00E67112" w:rsidP="00E67112">
      <w:pPr>
        <w:pStyle w:val="BodyTextIndent3"/>
        <w:spacing w:after="80"/>
        <w:ind w:left="567" w:hanging="567"/>
        <w:rPr>
          <w:rFonts w:ascii="Arial" w:hAnsi="Arial" w:cs="Arial"/>
          <w:b/>
          <w:bCs/>
          <w:color w:val="000000"/>
          <w:sz w:val="24"/>
        </w:rPr>
      </w:pPr>
      <w:r>
        <w:rPr>
          <w:rFonts w:ascii="Arial" w:hAnsi="Arial" w:cs="Arial"/>
          <w:b/>
          <w:bCs/>
          <w:color w:val="000000"/>
          <w:sz w:val="24"/>
        </w:rPr>
        <w:t>3. Odhad environmentálnych vplyvov:</w:t>
      </w:r>
    </w:p>
    <w:p w:rsidR="00E67112" w:rsidP="00E67112">
      <w:pPr>
        <w:pStyle w:val="BodyTextIndent"/>
        <w:spacing w:after="60"/>
        <w:ind w:left="0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Prijatím predloženého návrhu zákona sa nepredpokladá žiadny vplyv na životné prostredie.</w:t>
      </w:r>
    </w:p>
    <w:p w:rsidR="00E67112" w:rsidP="00E67112">
      <w:pPr>
        <w:jc w:val="both"/>
        <w:rPr>
          <w:rFonts w:ascii="Arial" w:hAnsi="Arial" w:cs="Arial"/>
          <w:color w:val="000000"/>
          <w:szCs w:val="16"/>
        </w:rPr>
      </w:pPr>
    </w:p>
    <w:p w:rsidR="00E67112" w:rsidP="00E67112">
      <w:pPr>
        <w:pStyle w:val="BodyTextIndent3"/>
        <w:spacing w:after="80"/>
        <w:ind w:left="567" w:hanging="567"/>
        <w:rPr>
          <w:rFonts w:ascii="Arial" w:hAnsi="Arial" w:cs="Arial"/>
          <w:b/>
          <w:bCs/>
          <w:color w:val="000000"/>
          <w:sz w:val="24"/>
        </w:rPr>
      </w:pPr>
      <w:r>
        <w:rPr>
          <w:rFonts w:ascii="Arial" w:hAnsi="Arial" w:cs="Arial"/>
          <w:b/>
          <w:bCs/>
          <w:color w:val="000000"/>
          <w:sz w:val="24"/>
        </w:rPr>
        <w:t>4. Odhad vplyvov na zamestnanosť a na podnikateľské prostredie:</w:t>
      </w:r>
    </w:p>
    <w:p w:rsidR="00E67112" w:rsidP="00E67112">
      <w:pPr>
        <w:pStyle w:val="BodyTextIndent"/>
        <w:spacing w:after="60"/>
        <w:ind w:left="0"/>
        <w:rPr>
          <w:rFonts w:ascii="Arial" w:hAnsi="Arial" w:cs="Arial"/>
          <w:color w:val="000000"/>
          <w:szCs w:val="16"/>
        </w:rPr>
      </w:pPr>
      <w:r>
        <w:rPr>
          <w:rFonts w:ascii="Arial" w:hAnsi="Arial" w:cs="Arial"/>
          <w:color w:val="000000"/>
          <w:szCs w:val="16"/>
        </w:rPr>
        <w:t>Prijatím predloženého návrhu zákona sa nepredpokladá žiadny negatívny vplyv na zamestnanosť v Slovenskej republike, na tvorbu pracovných miest a ani negatívny vplyv na podnikateľské prostredie.</w:t>
      </w:r>
    </w:p>
    <w:p w:rsidR="00E67112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C145A5"/>
    <w:rsid w:val="00E6711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7112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E67112"/>
    <w:pPr>
      <w:keepNext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rsid w:val="00E67112"/>
    <w:pPr>
      <w:jc w:val="center"/>
    </w:pPr>
    <w:rPr>
      <w:b/>
    </w:rPr>
  </w:style>
  <w:style w:type="paragraph" w:styleId="BodyText">
    <w:name w:val="Body Text"/>
    <w:basedOn w:val="Normal"/>
    <w:rsid w:val="00E67112"/>
    <w:pPr>
      <w:spacing w:after="120"/>
      <w:jc w:val="left"/>
    </w:pPr>
  </w:style>
  <w:style w:type="paragraph" w:styleId="BodyTextIndent3">
    <w:name w:val="Body Text Indent 3"/>
    <w:basedOn w:val="Normal"/>
    <w:rsid w:val="00E67112"/>
    <w:pPr>
      <w:spacing w:after="120"/>
      <w:ind w:left="283"/>
      <w:jc w:val="left"/>
    </w:pPr>
    <w:rPr>
      <w:sz w:val="16"/>
      <w:szCs w:val="16"/>
    </w:rPr>
  </w:style>
  <w:style w:type="paragraph" w:styleId="BodyTextIndent">
    <w:name w:val="Body Text Indent"/>
    <w:basedOn w:val="Normal"/>
    <w:rsid w:val="00E67112"/>
    <w:pPr>
      <w:spacing w:after="120"/>
      <w:ind w:left="283"/>
      <w:jc w:val="left"/>
    </w:pPr>
  </w:style>
  <w:style w:type="paragraph" w:styleId="Subtitle">
    <w:name w:val="Subtitle"/>
    <w:basedOn w:val="Normal"/>
    <w:qFormat/>
    <w:rsid w:val="00E67112"/>
    <w:pPr>
      <w:spacing w:before="120" w:line="240" w:lineRule="atLeast"/>
      <w:jc w:val="both"/>
    </w:pPr>
    <w:rPr>
      <w:b/>
      <w:bCs/>
      <w:sz w:val="28"/>
      <w:szCs w:val="28"/>
      <w:u w:val="single"/>
    </w:rPr>
  </w:style>
  <w:style w:type="character" w:styleId="Emphasis">
    <w:name w:val="Emphasis"/>
    <w:basedOn w:val="DefaultParagraphFont"/>
    <w:qFormat/>
    <w:rsid w:val="00E67112"/>
    <w:rPr>
      <w:i/>
      <w:iCs/>
      <w:rtl w:val="0"/>
    </w:rPr>
  </w:style>
  <w:style w:type="paragraph" w:customStyle="1" w:styleId="Zkladntext1">
    <w:name w:val="Základní text1"/>
    <w:rsid w:val="00E67112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styleId="BalloonText">
    <w:name w:val="Balloon Text"/>
    <w:basedOn w:val="Normal"/>
    <w:semiHidden/>
    <w:rsid w:val="00C145A5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1147</Words>
  <Characters>6541</Characters>
  <Application>Microsoft Office Word</Application>
  <DocSecurity>0</DocSecurity>
  <Lines>0</Lines>
  <Paragraphs>0</Paragraphs>
  <ScaleCrop>false</ScaleCrop>
  <Company>Kancelaria NR SR</Company>
  <LinksUpToDate>false</LinksUpToDate>
  <CharactersWithSpaces>7673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vladimir.palko</dc:creator>
  <cp:lastModifiedBy>vladimir.palko</cp:lastModifiedBy>
  <cp:revision>3</cp:revision>
  <cp:lastPrinted>2009-10-01T14:18:00Z</cp:lastPrinted>
  <dcterms:created xsi:type="dcterms:W3CDTF">2009-10-01T14:06:00Z</dcterms:created>
  <dcterms:modified xsi:type="dcterms:W3CDTF">2009-10-01T14:19:00Z</dcterms:modified>
</cp:coreProperties>
</file>