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02F2" w:rsidP="003D02F2">
      <w:pPr>
        <w:pStyle w:val="Title"/>
        <w:rPr>
          <w:rFonts w:ascii="Times New Roman" w:hAnsi="Times New Roman" w:cs="Times New Roman"/>
        </w:rPr>
      </w:pPr>
    </w:p>
    <w:p w:rsidR="003D02F2" w:rsidP="003D02F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 w:rsidR="003D02F2" w:rsidP="003D02F2">
      <w:pPr>
        <w:pStyle w:val="Subtitle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volebné obdobie</w:t>
      </w:r>
    </w:p>
    <w:p w:rsidR="003D02F2" w:rsidP="003D02F2">
      <w:pPr>
        <w:pStyle w:val="Subtitle"/>
        <w:rPr>
          <w:rFonts w:ascii="Times New Roman" w:hAnsi="Times New Roman" w:cs="Times New Roman"/>
        </w:rPr>
      </w:pPr>
    </w:p>
    <w:p w:rsidR="003D02F2" w:rsidP="003D02F2">
      <w:pPr>
        <w:jc w:val="center"/>
        <w:rPr>
          <w:rFonts w:ascii="Times New Roman" w:hAnsi="Times New Roman" w:cs="Times New Roman"/>
        </w:rPr>
      </w:pPr>
    </w:p>
    <w:p w:rsidR="003D02F2" w:rsidP="003D02F2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Zákon </w:t>
      </w:r>
    </w:p>
    <w:p w:rsidR="003D02F2" w:rsidP="003D0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.........  2009,</w:t>
      </w:r>
    </w:p>
    <w:p w:rsidR="003D02F2" w:rsidP="003D02F2">
      <w:pPr>
        <w:rPr>
          <w:rFonts w:ascii="Times New Roman" w:hAnsi="Times New Roman" w:cs="Times New Roman"/>
          <w:b/>
          <w:bCs/>
        </w:rPr>
      </w:pPr>
    </w:p>
    <w:p w:rsidR="003D02F2" w:rsidP="003D02F2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 dopĺňa zákon Národnej rady Slovenskej republiky č. 182/1993 Z. z. o vlastníctve bytov a nebytových priestorov v znení neskorších predpisov </w:t>
      </w:r>
    </w:p>
    <w:p w:rsidR="003D02F2" w:rsidP="003D02F2">
      <w:pPr>
        <w:rPr>
          <w:rFonts w:ascii="Times New Roman" w:hAnsi="Times New Roman" w:cs="Times New Roman"/>
          <w:b/>
        </w:rPr>
      </w:pP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3D02F2" w:rsidP="003D02F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02F2" w:rsidP="003D02F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Čl. I</w:t>
      </w:r>
    </w:p>
    <w:p w:rsidR="003D02F2" w:rsidP="003D0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182/1993 Z.z. o vlastníctve bytov a nebytových priestorov v znení zákona Národnej rady Slovenskej republiky č. 151/1995 Z.z., zákona č. 158/1998 Z.z., zákona č. 173/1999 Z.z., zákona č. 252/1999 Z.z., zákona č. 400/2002 Z.z., zákona č. 512/2003 Z.z., zákona č. 367/2004 Z.z., zákona č. 469/2005 Z.z., zákona č. 268/2007 Z.z. a zákona č. 325/2007 Z.z. sa mení a dopĺňa takto :</w:t>
      </w:r>
    </w:p>
    <w:p w:rsidR="003D02F2" w:rsidP="003D02F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2F2" w:rsidP="003D02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18 sa dopĺňa odsekom  6, ktorý znie:</w:t>
      </w:r>
    </w:p>
    <w:p w:rsidR="003D02F2" w:rsidP="003D02F2">
      <w:pPr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Times New Roman"/>
        </w:rPr>
        <w:t>„(6)  Ustanovenie odseku 5 sa nevzťahuje na služobné byty, byty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>
        <w:rPr>
          <w:rFonts w:ascii="Times New Roman" w:hAnsi="Times New Roman" w:cs="Times New Roman"/>
        </w:rPr>
        <w:t xml:space="preserve"> v  správe rozpočtových organizácií a  príspevkových organizácií Ministerstva financií Slovenskej republiky, Ministerstva školstva Slovenskej republiky, Ministerstva vnútra</w:t>
      </w:r>
      <w:r>
        <w:rPr>
          <w:rFonts w:ascii="Times New Roman" w:hAnsi="Times New Roman" w:cs="Times New Roman"/>
        </w:rPr>
        <w:t xml:space="preserve"> Slovenskej republiky, Ministerstva obrany Slovenskej republiky, Ministerstva práce, sociálnych vecí a rodiny Slovenskej republiky, Ministerstva zdravotníctva  Slovenskej republiky a Ministerstva pôdohospodárstva Slovenskej republiky.“</w:t>
      </w:r>
      <w:r>
        <w:rPr>
          <w:rFonts w:ascii="Times New Roman" w:hAnsi="Times New Roman" w:cs="Arial"/>
          <w:bCs/>
        </w:rPr>
        <w:t xml:space="preserve"> </w:t>
      </w:r>
    </w:p>
    <w:p w:rsidR="003D02F2" w:rsidP="003D02F2">
      <w:pPr>
        <w:jc w:val="both"/>
        <w:rPr>
          <w:rFonts w:ascii="Times New Roman" w:hAnsi="Times New Roman" w:cs="Arial"/>
          <w:bCs/>
        </w:rPr>
      </w:pPr>
    </w:p>
    <w:p w:rsidR="003D02F2" w:rsidP="003D0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</w:p>
    <w:p w:rsidR="003D02F2" w:rsidP="003D02F2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5256FD">
        <w:rPr>
          <w:rFonts w:ascii="Times New Roman" w:hAnsi="Times New Roman" w:cs="Times New Roman"/>
        </w:rPr>
        <w:t>1.januára 2010</w:t>
      </w:r>
      <w:r>
        <w:rPr>
          <w:rFonts w:ascii="Times New Roman" w:hAnsi="Times New Roman" w:cs="Times New Roman"/>
        </w:rPr>
        <w:t>.</w:t>
      </w:r>
    </w:p>
    <w:p w:rsidR="003D02F2" w:rsidP="003D02F2">
      <w:pPr>
        <w:rPr>
          <w:rFonts w:ascii="Times New Roman" w:hAnsi="Times New Roman" w:cs="Times New Roman"/>
        </w:rPr>
      </w:pPr>
    </w:p>
    <w:p w:rsidR="003D02F2" w:rsidP="003D02F2">
      <w:pPr>
        <w:ind w:left="360"/>
        <w:rPr>
          <w:rFonts w:ascii="Times New Roman" w:hAnsi="Times New Roman" w:cs="Times New Roman"/>
        </w:rPr>
      </w:pPr>
    </w:p>
    <w:p w:rsidR="003D02F2" w:rsidP="003D02F2">
      <w:pPr>
        <w:ind w:left="360"/>
        <w:rPr>
          <w:rFonts w:ascii="Times New Roman" w:hAnsi="Times New Roman" w:cs="Times New Roman"/>
        </w:rPr>
      </w:pPr>
    </w:p>
    <w:p w:rsidR="003D02F2" w:rsidP="003D02F2">
      <w:pPr>
        <w:ind w:left="360"/>
        <w:rPr>
          <w:rFonts w:ascii="Times New Roman" w:hAnsi="Times New Roman" w:cs="Times New Roman"/>
        </w:rPr>
      </w:pPr>
    </w:p>
    <w:p w:rsidR="003D02F2" w:rsidP="003D02F2">
      <w:pPr>
        <w:jc w:val="both"/>
        <w:rPr>
          <w:rFonts w:ascii="Arial Narrow" w:hAnsi="Arial Narrow" w:cs="Times New Roman"/>
          <w:b/>
          <w:u w:val="single"/>
        </w:rPr>
      </w:pPr>
    </w:p>
    <w:p w:rsidR="003D02F2" w:rsidP="003D02F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Dôvodová správa</w:t>
      </w:r>
    </w:p>
    <w:p w:rsidR="003D02F2" w:rsidP="003D02F2">
      <w:pPr>
        <w:rPr>
          <w:rFonts w:ascii="Arial Narrow" w:hAnsi="Arial Narrow" w:cs="Times New Roman"/>
          <w:b/>
          <w:u w:val="single"/>
        </w:rPr>
      </w:pPr>
    </w:p>
    <w:p w:rsidR="003D02F2" w:rsidP="003D02F2">
      <w:pPr>
        <w:rPr>
          <w:rFonts w:ascii="Arial Narrow" w:hAnsi="Arial Narrow" w:cs="Times New Roman"/>
          <w:b/>
          <w:u w:val="single"/>
        </w:rPr>
      </w:pPr>
    </w:p>
    <w:p w:rsidR="003D02F2" w:rsidP="003D02F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A: Všeobecná časť</w:t>
      </w: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Zákonom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Národnej rady Slovenskej republiky č. 182/1993 Z. z.  o vlastníctve bytov a nebytových priestorov sa v Slovenskej republike umožnila transformácia vlastníctva bytového fondu. Obsahom tejto zákonnej úpravy sú podmienky prevodu vlastníctva bytov a nebytových priestorov. Zákon tiež definuje byt alebo nebytový priestor v bytovom dome a otázky súvisiace s činnosťou spoločenstiev vlastníkov bytov a nebytových priestorov a sprá</w:t>
      </w:r>
      <w:r>
        <w:rPr>
          <w:rFonts w:ascii="Times New Roman" w:hAnsi="Times New Roman" w:cs="Times New Roman"/>
        </w:rPr>
        <w:t>vcovských organizácií.</w:t>
      </w:r>
    </w:p>
    <w:p w:rsidR="003D02F2" w:rsidP="003D02F2">
      <w:pPr>
        <w:ind w:firstLine="708"/>
        <w:rPr>
          <w:rFonts w:ascii="Times New Roman" w:hAnsi="Times New Roman" w:cs="Times New Roman"/>
        </w:rPr>
      </w:pPr>
    </w:p>
    <w:p w:rsidR="003D02F2" w:rsidP="003D02F2">
      <w:pPr>
        <w:ind w:firstLine="708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Times New Roman"/>
        </w:rPr>
        <w:t xml:space="preserve">Návrhom zákona sa odstraňuje </w:t>
      </w:r>
      <w:r>
        <w:rPr>
          <w:rFonts w:ascii="Times New Roman" w:hAnsi="Times New Roman" w:cs="Arial"/>
          <w:bCs/>
        </w:rPr>
        <w:t>rozdielny, ale zákonný prístup štátnych príspevkových alebo rozpočtových organizácií ako predávajúceho k nájomcom, ktorí prejavili záujem o prevod bytu  nadobudnutého za cenu dohodou ako samostatný byt, nie teda v rámci kúpy  bytového domu ako celku. V takýchto prípadoch totiž nie je pri výpočte kúpnej ceny bytu možné použiť, inak zákonom danú možnosť, odpočítania položiek ako sú štátny príspevok alebo opotrebenie z obstarávacej ceny domu a  ani priznať 30 % zrážku zo zistenej ceny bytu, tak ako sa to deje v prípade, že predávaný byt nebol nadobudnutý za cenu dohodou ale bytový dom, v ktorom sa byt nachádza bol nadobudnutý ako celok.  Štátne príspevkové, alebo rozpočtové organizácie pri výpočte kúpnej ceny takýchto samostatne nadobudnutých bytov musia postupovať tak, že k nájomcom, ktorí prejavili záujem o prevod byt   nemôžu vyššie uvedené položky odpočítať z obstarávacej ceny domu a ani priznať 30 % zrážku zo zistenej ceny bytu (§ 18 odst.1-5 v spojení s § 4 odst.1 písm. a.) zákona), pričom  obstarávacia cena bytov po r.1989 je podstatne vyššia ako pred týmto dátumom. Táto skutočnosť spôsobuje rozdielny prístup a znevýhodnenie (diskrimináciu) k občanom ako nájomcovi (diskrimináciu) pri výpočte kúpnej ceny rovnakých bytov v rovnakej lokalite, postavených v približne rovnakom období a s približne rovnakými nákladmi.</w:t>
      </w:r>
    </w:p>
    <w:p w:rsidR="003D02F2" w:rsidP="003D02F2">
      <w:pPr>
        <w:ind w:firstLine="708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 xml:space="preserve"> Súčasné znenie zákona nedáva správcovi majetku štátu, teda predávajúcemu pri predaji bytov inú možnosť len  postupovať v súlade s jeho znením, čím dochádza k znevýhodňovaniu určitej časti štátnych a ostatných zamestnancov jednotlivých rezortov štátnej správy. Príčina rozdielnosti pri výpočte kúpnej ceny bytu je daná v  spôsobe nadobudnutia vlastníctva predávaných bytov v minulosti</w:t>
      </w:r>
      <w:r>
        <w:rPr>
          <w:rFonts w:ascii="Times New Roman" w:hAnsi="Times New Roman" w:cs="Arial"/>
          <w:bCs/>
        </w:rPr>
        <w:t xml:space="preserve"> a je neovplyvniteľná nájomcami, ktorých sa prevod bytu týka, pričom čl. 12, ods. 1, Ústavy SR zaručuje rovnosť práv a povinností a  nepripúšťa poškodzovanie, zvýhodňovanie alebo znevýhodňovanie občanov SR.</w:t>
      </w:r>
    </w:p>
    <w:p w:rsidR="003D02F2" w:rsidP="003D02F2">
      <w:pPr>
        <w:ind w:firstLine="708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 xml:space="preserve"> </w:t>
      </w: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vplyv na štátny rozpočet a rozpočty územnej samosprávy, na zamestnanosť, tvorbu pracovných miest, podnikateľské prostredie ani na životné prostredie.</w:t>
      </w: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 Ústavou Slovenskej republiky a zákonmi Slovenskej republiky, ako aj s medzinárodnými zmluvami, ktorými je Slovenská republika viazaná. Navrhovaná právna úprava je porovnateľná s právnou úpravou štátov Európskej únie.</w:t>
      </w: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obsah doložky zlučiteľnosti nie je potrebná tabuľka zhody.</w:t>
      </w:r>
    </w:p>
    <w:p w:rsidR="003D02F2" w:rsidP="003D02F2">
      <w:pPr>
        <w:rPr>
          <w:rFonts w:ascii="Times New Roman" w:hAnsi="Times New Roman" w:cs="Times New Roman"/>
          <w:b/>
        </w:rPr>
      </w:pPr>
    </w:p>
    <w:p w:rsidR="003D02F2" w:rsidP="003D02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</w:t>
      </w:r>
    </w:p>
    <w:p w:rsidR="003D02F2" w:rsidP="003D02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finančných, ekonomických, environmentálnych vplyvov, vplyvov</w:t>
      </w:r>
    </w:p>
    <w:p w:rsidR="003D02F2" w:rsidP="003D02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zamestnanosť a podnikateľské prostredie</w:t>
      </w:r>
    </w:p>
    <w:p w:rsidR="003D02F2" w:rsidP="003D02F2">
      <w:pPr>
        <w:jc w:val="both"/>
        <w:rPr>
          <w:rFonts w:ascii="Times New Roman" w:hAnsi="Times New Roman" w:cs="Times New Roman"/>
          <w:b/>
        </w:rPr>
      </w:pPr>
    </w:p>
    <w:p w:rsidR="003D02F2" w:rsidP="003D02F2">
      <w:pPr>
        <w:jc w:val="both"/>
        <w:rPr>
          <w:rFonts w:ascii="Times New Roman" w:hAnsi="Times New Roman" w:cs="Times New Roman"/>
          <w:b/>
        </w:rPr>
      </w:pPr>
    </w:p>
    <w:p w:rsidR="003D02F2" w:rsidP="003D02F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Odhad vplyvu na verejné financie </w:t>
      </w:r>
    </w:p>
    <w:p w:rsidR="003D02F2" w:rsidP="003D02F2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verejné financie.</w:t>
      </w:r>
    </w:p>
    <w:p w:rsidR="003D02F2" w:rsidP="003D02F2">
      <w:pPr>
        <w:jc w:val="both"/>
        <w:rPr>
          <w:rFonts w:ascii="Times New Roman" w:hAnsi="Times New Roman" w:cs="Times New Roman"/>
          <w:b/>
        </w:rPr>
      </w:pPr>
    </w:p>
    <w:p w:rsidR="003D02F2" w:rsidP="003D02F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obyvateľov, hospodárenie podnikateľskej sféry a iných právnických osôb</w:t>
      </w:r>
    </w:p>
    <w:p w:rsidR="003D02F2" w:rsidP="003D02F2"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obyvateľov, hospodárenie podnikateľskej sféry a iných právnických osôb</w:t>
      </w:r>
    </w:p>
    <w:p w:rsidR="003D02F2" w:rsidP="003D02F2">
      <w:pPr>
        <w:ind w:left="360"/>
        <w:jc w:val="both"/>
        <w:rPr>
          <w:rFonts w:ascii="Times New Roman" w:hAnsi="Times New Roman" w:cs="Times New Roman"/>
        </w:rPr>
      </w:pPr>
    </w:p>
    <w:p w:rsidR="003D02F2" w:rsidP="003D02F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životné prostredie</w:t>
      </w:r>
    </w:p>
    <w:p w:rsidR="003D02F2" w:rsidP="003D02F2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životné prostredie.</w:t>
      </w:r>
    </w:p>
    <w:p w:rsidR="003D02F2" w:rsidP="003D02F2">
      <w:pPr>
        <w:ind w:left="360"/>
        <w:jc w:val="both"/>
        <w:rPr>
          <w:rFonts w:ascii="Times New Roman" w:hAnsi="Times New Roman" w:cs="Times New Roman"/>
        </w:rPr>
      </w:pPr>
    </w:p>
    <w:p w:rsidR="003D02F2" w:rsidP="003D02F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zamestnanosť</w:t>
      </w:r>
    </w:p>
    <w:p w:rsidR="003D02F2" w:rsidP="003D02F2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zamestnanosť.</w:t>
      </w:r>
    </w:p>
    <w:p w:rsidR="003D02F2" w:rsidP="003D02F2">
      <w:pPr>
        <w:ind w:left="360"/>
        <w:jc w:val="both"/>
        <w:rPr>
          <w:rFonts w:ascii="Times New Roman" w:hAnsi="Times New Roman" w:cs="Times New Roman"/>
        </w:rPr>
      </w:pPr>
    </w:p>
    <w:p w:rsidR="003D02F2" w:rsidP="003D02F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podnikateľské prostredie</w:t>
      </w:r>
    </w:p>
    <w:p w:rsidR="003D02F2" w:rsidP="003D02F2">
      <w:pPr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Navrhovaná právna úprava nebude mať vplyv na podnikateľské prostredie.</w:t>
      </w: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</w:p>
    <w:p w:rsidR="003D02F2" w:rsidP="003D02F2">
      <w:pPr>
        <w:ind w:firstLine="708"/>
        <w:jc w:val="both"/>
        <w:rPr>
          <w:rFonts w:ascii="Times New Roman" w:hAnsi="Times New Roman" w:cs="Times New Roman"/>
        </w:rPr>
      </w:pPr>
    </w:p>
    <w:p w:rsidR="003D02F2" w:rsidP="003D02F2">
      <w:pPr>
        <w:pStyle w:val="Zkladntext1"/>
        <w:tabs>
          <w:tab w:val="left" w:pos="567"/>
        </w:tabs>
        <w:ind w:left="283" w:hanging="283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DOLOŽKA  ZLUČITEĽNOSTI</w:t>
      </w:r>
    </w:p>
    <w:p w:rsidR="003D02F2" w:rsidP="003D02F2">
      <w:pPr>
        <w:jc w:val="center"/>
        <w:rPr>
          <w:rFonts w:ascii="Times New Roman" w:hAnsi="Times New Roman" w:cs="Times New Roman"/>
        </w:rPr>
      </w:pPr>
    </w:p>
    <w:p w:rsidR="003D02F2" w:rsidP="003D02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návrhu zákona, ktorým sa mení a dopĺňa zákon Národnej rady Slovenskej republiky č.182/1993 Z. z. o vlastníctve bytov a nebytových priestorov v znení neskorších predpisov</w:t>
      </w:r>
    </w:p>
    <w:p w:rsidR="003D02F2" w:rsidP="003D02F2">
      <w:pPr>
        <w:pStyle w:val="Zkladntext1"/>
        <w:pBdr>
          <w:bottom w:val="single" w:sz="12" w:space="1" w:color="auto"/>
        </w:pBdr>
        <w:tabs>
          <w:tab w:val="left" w:pos="-567"/>
        </w:tabs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s právom Európskych spoločenstiev a právom Európskej únie</w:t>
      </w:r>
    </w:p>
    <w:p w:rsidR="003D02F2" w:rsidP="003D02F2">
      <w:pPr>
        <w:pStyle w:val="Zkladntext1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1. Predkladateľ  zákona:</w:t>
      </w:r>
    </w:p>
    <w:p w:rsidR="003D02F2" w:rsidP="003D02F2">
      <w:pPr>
        <w:pStyle w:val="Zkladntext1"/>
        <w:ind w:left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poslanc</w:t>
      </w:r>
      <w:r w:rsidR="00752E0A">
        <w:rPr>
          <w:rFonts w:ascii="Times New Roman" w:hAnsi="Times New Roman" w:cs="Times New Roman"/>
          <w:color w:val="auto"/>
          <w:szCs w:val="24"/>
        </w:rPr>
        <w:t>i</w:t>
      </w:r>
      <w:r>
        <w:rPr>
          <w:rFonts w:ascii="Times New Roman" w:hAnsi="Times New Roman" w:cs="Times New Roman"/>
          <w:color w:val="auto"/>
          <w:szCs w:val="24"/>
        </w:rPr>
        <w:t xml:space="preserve"> Národnej rady slovenskej republiky  Rudolf PUČÍK</w:t>
      </w:r>
      <w:r w:rsidR="00752E0A">
        <w:rPr>
          <w:rFonts w:ascii="Times New Roman" w:hAnsi="Times New Roman" w:cs="Times New Roman"/>
          <w:color w:val="auto"/>
          <w:szCs w:val="24"/>
        </w:rPr>
        <w:t xml:space="preserve"> </w:t>
      </w:r>
      <w:r w:rsidR="00E910CB">
        <w:rPr>
          <w:rFonts w:ascii="Times New Roman" w:hAnsi="Times New Roman" w:cs="Times New Roman"/>
          <w:color w:val="auto"/>
          <w:szCs w:val="24"/>
        </w:rPr>
        <w:t>,</w:t>
      </w:r>
      <w:r w:rsidR="00752E0A">
        <w:rPr>
          <w:rFonts w:ascii="Times New Roman" w:hAnsi="Times New Roman" w:cs="Times New Roman"/>
          <w:color w:val="auto"/>
          <w:szCs w:val="24"/>
        </w:rPr>
        <w:t> Ján RICHTER</w:t>
      </w:r>
      <w:r w:rsidR="00E910CB">
        <w:rPr>
          <w:rFonts w:ascii="Times New Roman" w:hAnsi="Times New Roman" w:cs="Times New Roman"/>
          <w:color w:val="auto"/>
          <w:szCs w:val="24"/>
        </w:rPr>
        <w:t xml:space="preserve"> a Viliam JASAŇ</w:t>
      </w:r>
      <w:r w:rsidR="00752E0A">
        <w:rPr>
          <w:rFonts w:ascii="Times New Roman" w:hAnsi="Times New Roman" w:cs="Times New Roman"/>
          <w:color w:val="auto"/>
          <w:szCs w:val="24"/>
        </w:rPr>
        <w:t>.</w:t>
      </w:r>
    </w:p>
    <w:p w:rsidR="003D02F2" w:rsidP="003D02F2">
      <w:pPr>
        <w:pStyle w:val="Zkladntext1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2. Názov návrhu zákona:</w:t>
      </w:r>
    </w:p>
    <w:p w:rsidR="003D02F2" w:rsidP="003D02F2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mení a dopĺňa zákon Národnej rady Slovenskej republiky č. 182/1993 Z.z. o vlastníctve bytov a nebytových priestorov v znení neskorších predpisov.</w:t>
      </w:r>
    </w:p>
    <w:p w:rsidR="003D02F2" w:rsidP="003D02F2">
      <w:pPr>
        <w:pStyle w:val="Zkladntext1"/>
        <w:ind w:left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3. Problematika návrhu zákona:</w:t>
      </w:r>
    </w:p>
    <w:p w:rsidR="003D02F2" w:rsidP="003D02F2">
      <w:pPr>
        <w:pStyle w:val="Zkladntext1"/>
        <w:numPr>
          <w:ilvl w:val="0"/>
          <w:numId w:val="3"/>
        </w:numPr>
        <w:tabs>
          <w:tab w:val="left" w:pos="704"/>
          <w:tab w:val="left" w:pos="1130"/>
        </w:tabs>
        <w:ind w:left="70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nie je upravená v práve Európskych spoločenstiev,</w:t>
      </w:r>
    </w:p>
    <w:p w:rsidR="003D02F2" w:rsidP="003D02F2">
      <w:pPr>
        <w:pStyle w:val="Zkladntext1"/>
        <w:numPr>
          <w:ilvl w:val="0"/>
          <w:numId w:val="3"/>
        </w:numPr>
        <w:tabs>
          <w:tab w:val="left" w:pos="704"/>
          <w:tab w:val="left" w:pos="1130"/>
        </w:tabs>
        <w:ind w:left="70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nie je upravená v práve Európskej únie,</w:t>
      </w:r>
    </w:p>
    <w:p w:rsidR="003D02F2" w:rsidP="003D02F2">
      <w:pPr>
        <w:pStyle w:val="Zkladntext1"/>
        <w:numPr>
          <w:ilvl w:val="0"/>
          <w:numId w:val="3"/>
        </w:numPr>
        <w:tabs>
          <w:tab w:val="left" w:pos="704"/>
          <w:tab w:val="left" w:pos="1130"/>
        </w:tabs>
        <w:ind w:left="70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nie je obsiahnutá v judikatúre Súdneho dvora Európskych spoločenstiev a Súdu prvého stupňa Európskych spoločenstiev.</w:t>
      </w:r>
    </w:p>
    <w:p w:rsidR="003D02F2" w:rsidP="003D02F2">
      <w:pPr>
        <w:pStyle w:val="Zkladntext1"/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Vzhľadom na vnútroštátny charakter navrhovaného právneho predpisu je bezpredmetné vyjadrovať sa k bodom 4., 5. a 6. doložky zlučiteľnosti.</w:t>
      </w:r>
    </w:p>
    <w:p w:rsidR="003D02F2" w:rsidP="003D02F2">
      <w:pPr>
        <w:pStyle w:val="Zkladntext1"/>
        <w:ind w:left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pStyle w:val="Zkladntext1"/>
        <w:ind w:left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D02F2" w:rsidP="003D02F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B: Osobitná časť</w:t>
      </w:r>
    </w:p>
    <w:p w:rsidR="003D02F2" w:rsidP="003D02F2">
      <w:pPr>
        <w:rPr>
          <w:rFonts w:ascii="Times New Roman" w:hAnsi="Times New Roman" w:cs="Times New Roman"/>
          <w:b/>
          <w:u w:val="single"/>
        </w:rPr>
      </w:pPr>
    </w:p>
    <w:p w:rsidR="003D02F2" w:rsidP="003D02F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Čl. I</w:t>
      </w: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 bodu  1 </w:t>
      </w:r>
    </w:p>
    <w:p w:rsidR="003D02F2" w:rsidP="003D02F2">
      <w:pPr>
        <w:jc w:val="both"/>
        <w:rPr>
          <w:rFonts w:ascii="Times New Roman" w:hAnsi="Times New Roman" w:cs="Times New Roman"/>
          <w:b/>
          <w:u w:val="single"/>
        </w:rPr>
      </w:pPr>
    </w:p>
    <w:p w:rsidR="003D02F2" w:rsidP="003D0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Navrhovaná úprava odstraňuje </w:t>
      </w:r>
      <w:r>
        <w:rPr>
          <w:rFonts w:ascii="Times New Roman" w:hAnsi="Times New Roman" w:cs="Arial"/>
          <w:bCs/>
        </w:rPr>
        <w:t>rozdielny, ale zákonný, prístup štátnych príspevkových alebo rozpočtových organizácií k určitej časti štátnych a ostatných zamestnancov jednotlivých rezortov štátnej správy, ktorí prejavili záujem o prevod bytu  nadobudnutého za cenu dohodou ako samostatný byt, nie teda v rámci kúpy  bytového domu ako celku, pričom príčina rozdielnosti pri výpočte kúpnej ceny bytu je daná v  spôsobe nadobudnutia vlastníctva predávaných bytov v minulosti a je neovplyvniteľná nájomcami, ktorých sa prevod bytu týka.</w:t>
      </w:r>
      <w:r>
        <w:rPr>
          <w:rFonts w:ascii="Times New Roman" w:hAnsi="Times New Roman" w:cs="Times New Roman"/>
        </w:rPr>
        <w:t xml:space="preserve"> </w:t>
      </w: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jc w:val="both"/>
        <w:rPr>
          <w:rFonts w:ascii="Times New Roman" w:hAnsi="Times New Roman" w:cs="Times New Roman"/>
          <w:b/>
          <w:u w:val="single"/>
        </w:rPr>
      </w:pPr>
    </w:p>
    <w:p w:rsidR="003D02F2" w:rsidP="003D02F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 čl. II </w:t>
      </w: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účinnosť </w:t>
      </w:r>
      <w:r w:rsidR="00522566">
        <w:rPr>
          <w:rFonts w:ascii="Times New Roman" w:hAnsi="Times New Roman" w:cs="Times New Roman"/>
        </w:rPr>
        <w:t>dňom 1.januára 2010.</w:t>
      </w:r>
    </w:p>
    <w:p w:rsidR="00522566" w:rsidP="003D02F2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522566" w:rsidP="003D02F2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3D02F2" w:rsidP="003D02F2">
      <w:pPr>
        <w:jc w:val="both"/>
        <w:rPr>
          <w:rFonts w:ascii="Times New Roman" w:hAnsi="Times New Roman" w:cs="Times New Roman"/>
        </w:rPr>
      </w:pPr>
    </w:p>
    <w:p w:rsidR="003D02F2" w:rsidP="003D0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3D02F2" w:rsidP="003D0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752E0A">
        <w:rPr>
          <w:rFonts w:ascii="Times New Roman" w:hAnsi="Times New Roman" w:cs="Times New Roman"/>
        </w:rPr>
        <w:t xml:space="preserve">  september</w:t>
      </w:r>
      <w:r>
        <w:rPr>
          <w:rFonts w:ascii="Times New Roman" w:hAnsi="Times New Roman" w:cs="Times New Roman"/>
        </w:rPr>
        <w:t xml:space="preserve"> 2009</w:t>
      </w:r>
    </w:p>
    <w:p w:rsidR="00E00F5A" w:rsidP="003D02F2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D5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3D02F2">
      <w:pPr>
        <w:pStyle w:val="FootnoteText"/>
        <w:rPr>
          <w:rFonts w:ascii="Times New Roman" w:hAnsi="Times New Roman" w:cs="Times New Roman"/>
        </w:rPr>
      </w:pPr>
      <w:r w:rsidR="00E00F5A">
        <w:rPr>
          <w:rStyle w:val="FootnoteReference"/>
          <w:rFonts w:ascii="Times New Roman" w:hAnsi="Times New Roman" w:cs="Times New Roman"/>
        </w:rPr>
        <w:footnoteRef/>
      </w:r>
      <w:r w:rsidR="00E00F5A">
        <w:rPr>
          <w:rFonts w:ascii="Times New Roman" w:hAnsi="Times New Roman" w:cs="Times New Roman"/>
        </w:rPr>
        <w:t xml:space="preserve"> </w:t>
      </w:r>
      <w:r w:rsidR="00E00F5A">
        <w:rPr>
          <w:rFonts w:ascii="Times New Roman" w:hAnsi="Times New Roman" w:cs="Times New Roman"/>
          <w:color w:val="000000"/>
        </w:rPr>
        <w:t>§ 1 ods. 2 písm. a) až f) zákona Slovenskej národnej rady č. 189/1992 Zb. o úprave niektorých pomerov súvisiacich s nájmom bytov a s bytovými náhradami.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C20"/>
    <w:multiLevelType w:val="singleLevel"/>
    <w:tmpl w:val="A292463C"/>
    <w:lvl w:ilvl="0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</w:lvl>
  </w:abstractNum>
  <w:abstractNum w:abstractNumId="1">
    <w:nsid w:val="5D4747A3"/>
    <w:multiLevelType w:val="hybridMultilevel"/>
    <w:tmpl w:val="F50443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E019F"/>
    <w:multiLevelType w:val="hybridMultilevel"/>
    <w:tmpl w:val="6344B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3D02F2"/>
    <w:rsid w:val="00522566"/>
    <w:rsid w:val="005256FD"/>
    <w:rsid w:val="00752E0A"/>
    <w:rsid w:val="00E00F5A"/>
    <w:rsid w:val="00E910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F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D02F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3D02F2"/>
    <w:pPr>
      <w:jc w:val="left"/>
    </w:pPr>
    <w:rPr>
      <w:sz w:val="20"/>
      <w:szCs w:val="20"/>
    </w:rPr>
  </w:style>
  <w:style w:type="paragraph" w:styleId="Title">
    <w:name w:val="Title"/>
    <w:basedOn w:val="Normal"/>
    <w:qFormat/>
    <w:rsid w:val="003D02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Continue2">
    <w:name w:val="List Continue 2"/>
    <w:basedOn w:val="Normal"/>
    <w:rsid w:val="003D02F2"/>
    <w:pPr>
      <w:spacing w:after="120"/>
      <w:ind w:left="566"/>
      <w:jc w:val="left"/>
    </w:pPr>
  </w:style>
  <w:style w:type="paragraph" w:styleId="Subtitle">
    <w:name w:val="Subtitle"/>
    <w:basedOn w:val="Normal"/>
    <w:qFormat/>
    <w:rsid w:val="003D02F2"/>
    <w:pPr>
      <w:spacing w:after="60"/>
      <w:jc w:val="center"/>
      <w:outlineLvl w:val="1"/>
    </w:pPr>
    <w:rPr>
      <w:rFonts w:ascii="Arial" w:hAnsi="Arial" w:cs="Arial"/>
    </w:rPr>
  </w:style>
  <w:style w:type="paragraph" w:styleId="BodyText2">
    <w:name w:val="Body Text 2"/>
    <w:basedOn w:val="Normal"/>
    <w:rsid w:val="003D02F2"/>
    <w:pPr>
      <w:jc w:val="both"/>
    </w:pPr>
    <w:rPr>
      <w:szCs w:val="20"/>
    </w:rPr>
  </w:style>
  <w:style w:type="paragraph" w:styleId="ListParagraph">
    <w:name w:val="List Paragraph"/>
    <w:basedOn w:val="Normal"/>
    <w:qFormat/>
    <w:rsid w:val="003D02F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1">
    <w:name w:val="Základní text1"/>
    <w:rsid w:val="003D02F2"/>
    <w:pPr>
      <w:widowControl w:val="0"/>
      <w:autoSpaceDE w:val="0"/>
      <w:autoSpaceDN w:val="0"/>
      <w:bidi w:val="0"/>
      <w:adjustRightInd w:val="0"/>
      <w:snapToGri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character" w:styleId="FootnoteReference">
    <w:name w:val="footnote reference"/>
    <w:basedOn w:val="DefaultParagraphFont"/>
    <w:semiHidden/>
    <w:rsid w:val="003D02F2"/>
    <w:rPr>
      <w:vertAlign w:val="superscript"/>
    </w:rPr>
  </w:style>
  <w:style w:type="paragraph" w:styleId="BalloonText">
    <w:name w:val="Balloon Text"/>
    <w:basedOn w:val="Normal"/>
    <w:link w:val="TextbublinyChar"/>
    <w:rsid w:val="00E910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E910CB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4</Pages>
  <Words>988</Words>
  <Characters>5633</Characters>
  <Application>Microsoft Office Word</Application>
  <DocSecurity>0</DocSecurity>
  <Lines>0</Lines>
  <Paragraphs>0</Paragraphs>
  <ScaleCrop>false</ScaleCrop>
  <Company>Kancelaria NR SR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mazuvlad</dc:creator>
  <cp:lastModifiedBy>GaspJarm</cp:lastModifiedBy>
  <cp:revision>7</cp:revision>
  <cp:lastPrinted>2009-09-24T14:53:00Z</cp:lastPrinted>
  <dcterms:created xsi:type="dcterms:W3CDTF">2009-09-24T11:28:00Z</dcterms:created>
  <dcterms:modified xsi:type="dcterms:W3CDTF">2009-10-01T14:10:00Z</dcterms:modified>
</cp:coreProperties>
</file>