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caps/>
          <w:noProof/>
          <w:color w:val="000000"/>
          <w:spacing w:val="30"/>
        </w:rPr>
      </w:pPr>
      <w:r>
        <w:rPr>
          <w:rFonts w:ascii="Times New Roman" w:hAnsi="Times New Roman" w:cs="Times New Roman"/>
          <w:b/>
          <w:caps/>
          <w:color w:val="000000"/>
          <w:spacing w:val="30"/>
        </w:rPr>
        <w:t>Doložka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/>
          <w:caps w:val="0"/>
          <w:color w:val="000000"/>
          <w:spacing w:val="0"/>
        </w:rPr>
        <w:t>o posúdení vplyvov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</w:p>
    <w:p>
      <w:pPr>
        <w:jc w:val="center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</w:p>
    <w:p>
      <w:pPr>
        <w:rPr>
          <w:rFonts w:ascii="Times New Roman" w:hAnsi="Times New Roman" w:cs="Times New Roman"/>
          <w:b w:val="0"/>
          <w:caps w:val="0"/>
          <w:noProof/>
          <w:color w:val="000000"/>
          <w:spacing w:val="0"/>
        </w:rPr>
      </w:pPr>
    </w:p>
    <w:p>
      <w:pPr>
        <w:rPr>
          <w:rFonts w:ascii="Times New Roman" w:hAnsi="Times New Roman" w:cs="Times New Roman"/>
          <w:b w:val="0"/>
          <w:caps w:val="0"/>
          <w:noProof/>
          <w:color w:val="000000"/>
          <w:spacing w:val="0"/>
        </w:rPr>
      </w:pPr>
    </w:p>
    <w:p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/>
          <w:caps w:val="0"/>
          <w:color w:val="000000"/>
          <w:spacing w:val="0"/>
        </w:rPr>
        <w:t>1.</w:t>
        <w:tab/>
        <w:t>Vplyvy na verejné financie: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Návrh </w:t>
      </w:r>
      <w:r>
        <w:rPr>
          <w:rFonts w:ascii="&amp;quot" w:hAnsi="&amp;quot" w:cs="&amp;quot"/>
          <w:b w:val="0"/>
          <w:caps w:val="0"/>
          <w:color w:val="000000"/>
          <w:spacing w:val="0"/>
          <w:sz w:val="23"/>
        </w:rPr>
        <w:t>zákona o celoživotnom vzdelávaní a o zmene a doplnení niektorých zákonov predpokladá pozitívny dopad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 na štátny rozpočet.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Na základe novostanovených správnych poplatkov sa predpokladá zvýšenie príjmu štátneho rozpočtu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od roku 2010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>nasledovne:   </w:t>
      </w:r>
    </w:p>
    <w:tbl>
      <w:tblPr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1723"/>
        <w:gridCol w:w="1721"/>
        <w:gridCol w:w="1721"/>
        <w:gridCol w:w="1721"/>
        <w:gridCol w:w="1721"/>
      </w:tblGrid>
      <w:tr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caps w:val="0"/>
                <w:color w:val="000000"/>
                <w:spacing w:val="0"/>
                <w:sz w:val="20"/>
              </w:rPr>
              <w:t>Rok</w:t>
            </w:r>
          </w:p>
        </w:tc>
        <w:tc>
          <w:tcPr>
            <w:tcW w:w="1858" w:type="dxa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2010</w:t>
            </w:r>
          </w:p>
        </w:tc>
        <w:tc>
          <w:tcPr>
            <w:tcW w:w="1858" w:type="dxa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2011</w:t>
            </w:r>
          </w:p>
        </w:tc>
        <w:tc>
          <w:tcPr>
            <w:tcW w:w="1858" w:type="dxa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2012</w:t>
            </w:r>
          </w:p>
        </w:tc>
        <w:tc>
          <w:tcPr>
            <w:tcW w:w="1858" w:type="dxa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2013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185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000000"/>
                <w:spacing w:val="0"/>
                <w:sz w:val="20"/>
              </w:rPr>
              <w:t xml:space="preserve">Príjem ŠR – správne poplatky </w:t>
            </w:r>
          </w:p>
        </w:tc>
        <w:tc>
          <w:tcPr>
            <w:tcW w:w="1858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31 000 EUR</w:t>
            </w:r>
          </w:p>
        </w:tc>
        <w:tc>
          <w:tcPr>
            <w:tcW w:w="1858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32 400 EUR</w:t>
            </w:r>
          </w:p>
        </w:tc>
        <w:tc>
          <w:tcPr>
            <w:tcW w:w="1858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33 200 EUR</w:t>
            </w:r>
          </w:p>
        </w:tc>
        <w:tc>
          <w:tcPr>
            <w:tcW w:w="1858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pacing w:val="0"/>
                <w:sz w:val="20"/>
              </w:rPr>
              <w:t>34 000 EUR</w:t>
            </w:r>
          </w:p>
        </w:tc>
      </w:tr>
    </w:tbl>
    <w:p>
      <w:pPr>
        <w:spacing w:before="0" w:beforeAutospacing="0" w:after="0" w:afterAutospacing="0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  <w:sz w:val="20"/>
        </w:rPr>
        <w:t>Zdroj: MŠ SR. 2009 (výpočet: výber správnych poplatkov s odpočítanými finančnými nákladmi na akreditačný proces).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0"/>
        </w:rPr>
        <w:t xml:space="preserve"> 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 xml:space="preserve">Do výpočtu dopadov výberu správnych poplatkov je započítané aj oslobodenie škôl a vysokých škôl v prípadoch, ak si žiadajú o akreditáciu vzdelávacieho programu, s ktorým sú už zaradené v sieti, resp. sú akreditované. Oslobodenie má zanedbateľný vplyv na štátny rozpočet vzhľadom na počet škôl a vysokých škôl, ktoré žiadajú o akreditáciu programov ďalšieho vzdelávania, počet ich akreditovaných programov a počet programov o ktoré si môžu žiadať prostredníctvom poloautomatickej akreditácie. Počet týchto programov dosahuje najviac 4,2 % z celkového objemu žiadostí. Od spoplatnenia tohto správneho úkonu sa odstupuje z dôvodu, že ministerstvu školstva týmto nevznikajú žiadne náklady na akreditačný proces týchto programov. </w:t>
      </w:r>
    </w:p>
    <w:p>
      <w:pPr>
        <w:spacing w:after="280" w:afterAutospacing="1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</w:p>
    <w:p>
      <w:pPr>
        <w:spacing w:after="280" w:afterAutospacing="1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</w:p>
    <w:p>
      <w:pPr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</w:p>
    <w:p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/>
          <w:caps w:val="0"/>
          <w:color w:val="000000"/>
          <w:spacing w:val="0"/>
        </w:rPr>
        <w:t>2.</w:t>
        <w:tab/>
        <w:t xml:space="preserve">Vplyvy na obyvateľov, hospodárenie podnikateľskej sféry a iných právnických osôb: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 w:val="0"/>
          <w:noProof/>
          <w:color w:val="000000"/>
          <w:spacing w:val="0"/>
        </w:rPr>
      </w:pPr>
      <w:r>
        <w:rPr>
          <w:rFonts w:ascii="&amp;quot" w:hAnsi="&amp;quot" w:cs="&amp;quot"/>
          <w:b w:val="0"/>
          <w:caps w:val="0"/>
          <w:color w:val="000000"/>
          <w:spacing w:val="0"/>
          <w:sz w:val="23"/>
        </w:rPr>
        <w:t xml:space="preserve">Uplatňovanie zákona o celoživotnom vzdelávaní a o zmene a doplnení niektorých zákonov predpokladá pozitívny dopad na obyvateľov a zvyšovanie kvality ich  života vytváraním možností pružnejšie reagovať na potreby trhu práce prispôsobovaním svojej kvalifikácie a tým neustálym zvyšovaním ich zamestnateľnosti. Zákon taktiež predpokladá pozitívny dopad na hospodárenie podnikateľskej sféry a iných právnických osôb zjednodušením procesu získavania pracovnej sily pre nové, inovované, resp. trendové pracovné pozície. Zároveň umožní právnickým a fyzickým osobám znížiť náklady na ďalšie vzdelávanie svojich zamestnancov.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</w:p>
    <w:p>
      <w:pPr>
        <w:spacing w:after="280" w:afterAutospacing="1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</w:p>
    <w:p>
      <w:pPr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</w:p>
    <w:p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/>
          <w:caps w:val="0"/>
          <w:color w:val="000000"/>
          <w:spacing w:val="0"/>
        </w:rPr>
        <w:t>3.</w:t>
        <w:tab/>
        <w:t xml:space="preserve">Vplyvy na životné prostredie:  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&amp;quot" w:hAnsi="&amp;quot" w:cs="&amp;quot"/>
          <w:b w:val="0"/>
          <w:caps w:val="0"/>
          <w:color w:val="000000"/>
          <w:spacing w:val="0"/>
          <w:sz w:val="23"/>
        </w:rPr>
        <w:t>Uplatňovanie zákona o celoživotnom vzdelávaní a o zmene a doplnení niektorých zákonov nemá dopad na životné prostredie.</w:t>
      </w: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 xml:space="preserve">  </w:t>
      </w:r>
    </w:p>
    <w:p>
      <w:pPr>
        <w:spacing w:after="280" w:afterAutospacing="1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</w:p>
    <w:p>
      <w:pPr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</w:p>
    <w:p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/>
          <w:caps w:val="0"/>
          <w:color w:val="000000"/>
          <w:spacing w:val="0"/>
        </w:rPr>
        <w:t>4.</w:t>
        <w:tab/>
        <w:t>Vplyvy na zamestnanosť:</w:t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&amp;quot" w:hAnsi="&amp;quot" w:cs="&amp;quot"/>
          <w:b w:val="0"/>
          <w:caps w:val="0"/>
          <w:color w:val="000000"/>
          <w:spacing w:val="0"/>
        </w:rPr>
        <w:t>Uplatňovanie zákona o </w:t>
      </w:r>
      <w:r>
        <w:rPr>
          <w:rFonts w:ascii="&amp;quot" w:hAnsi="&amp;quot" w:cs="&amp;quot"/>
          <w:b w:val="0"/>
          <w:caps w:val="0"/>
          <w:color w:val="000000"/>
          <w:spacing w:val="0"/>
          <w:sz w:val="23"/>
        </w:rPr>
        <w:t>celoživotnom vzdelávaní</w:t>
      </w:r>
      <w:r>
        <w:rPr>
          <w:rFonts w:ascii="&amp;quot" w:hAnsi="&amp;quot" w:cs="&amp;quot"/>
          <w:b w:val="0"/>
          <w:caps w:val="0"/>
          <w:color w:val="000000"/>
          <w:spacing w:val="0"/>
        </w:rPr>
        <w:t xml:space="preserve"> </w:t>
      </w:r>
      <w:r>
        <w:rPr>
          <w:rFonts w:ascii="&amp;quot" w:hAnsi="&amp;quot" w:cs="&amp;quot"/>
          <w:b w:val="0"/>
          <w:caps w:val="0"/>
          <w:color w:val="000000"/>
          <w:spacing w:val="0"/>
          <w:sz w:val="23"/>
        </w:rPr>
        <w:t>a o zmene a doplnení niektorých zákonov predpokladá pozitívny dopad na zamestnanosť vytváraním možností pre občanov pružnejšie nadobúdať potrebnú kvalifikáciu počas celého aktívneho života. Tým sa vytvárajú predpoklady k napĺňaniu Lisabonských cieľov vytvárať viac a lepšie pracovné miesta a tak dosiahnuť vyššiu zamestnanosť v SR. Taktiež bude mať pozitívny dopad na zosúlaďovanie pracovného a rodinného života a vzdelávacieho systému s požiadavkami trhu práce. Zároveň bude vytvárať predpoklady pre dodržiavanie zásady rovnosti príležitostí.</w:t>
      </w: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 xml:space="preserve">  </w:t>
      </w:r>
    </w:p>
    <w:p>
      <w:pPr>
        <w:spacing w:after="280" w:afterAutospacing="1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</w:p>
    <w:p>
      <w:pPr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</w:p>
    <w:p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/>
          <w:caps w:val="0"/>
          <w:color w:val="000000"/>
          <w:spacing w:val="0"/>
        </w:rPr>
        <w:t>5.</w:t>
        <w:tab/>
        <w:t>Vplyvy na podnikateľské prostredie:</w:t>
      </w:r>
    </w:p>
    <w:p>
      <w:pPr>
        <w:ind w:firstLine="360"/>
        <w:jc w:val="both"/>
        <w:rPr>
          <w:rFonts w:ascii="Times New Roman" w:hAnsi="Times New Roman" w:cs="Times New Roman"/>
          <w:b w:val="0"/>
          <w:caps w:val="0"/>
          <w:noProof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 xml:space="preserve">Uplatňovanie zákona o celoživotnom vzdelávaní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>a o zmene a doplnení niektorých zákonov</w:t>
      </w: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>predpokladá pozitívny vplyv na podnikateľské prostredie tým, že umožní zamestnávateľom</w:t>
      </w:r>
      <w:r>
        <w:rPr>
          <w:rFonts w:ascii="Times New Roman" w:hAnsi="Times New Roman" w:cs="Times New Roman"/>
          <w:b/>
          <w:caps w:val="0"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>adresnejšie definovať svoje požiadavky na profil svojich budúcich zamestnancov prostredníctvom vstupovania do kvalifikačných štandardov v sústave kvalifikácií, uľahčí proces získavania pracovnej sily pre nové, inovované, resp. trendové pracovné pozície a zníži im náklady na ďalšie vzdelávanie svojich zamestnancov. Zároveň bude vytvárať predpoklady pre motiváciu ku vzdelávaniu občanov a tým prispievať k ich lepšej uplatniteľnosti na trhu práce.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br/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br/>
      </w:r>
    </w:p>
    <w:p>
      <w:pPr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Zákon o celoživotnom vzdelávaní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a o zmene a doplnení niektorých zákonov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prispieva k informatizácii spoločnosti v Slovenskej republike zavedením opatrení týkajúcich sa elektronizácie podávania akreditačných žiadostí vzdelávacích inštitúcií, rovnako ako vytváraním nástrojov na </w:t>
      </w:r>
      <w:r>
        <w:rPr>
          <w:rFonts w:ascii="Times New Roman" w:hAnsi="Times New Roman" w:cs="Times New Roman"/>
          <w:b w:val="0"/>
          <w:i/>
          <w:caps w:val="0"/>
          <w:color w:val="000000"/>
          <w:spacing w:val="0"/>
          <w:sz w:val="23"/>
        </w:rPr>
        <w:t>on – line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 orientáciu uchádzačov o vzdelávanie v ponuke kurzov vzdelávania, čím vytvára nástroje pre ľahšiu orientáciu cieľových skupín a tým aj dôležitý prvok celoživotného poradenstva v Slovenskej republike. Tieto nástroje sa budú budovať v plnej kompatibilite so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 xml:space="preserve">zákonom č. 275/2006 Z.z. o informačných systémoch verejnej správy a o zmene a doplnení niektorých zákonov v znení zákona č. 678/2006 Z.z. 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t> </w:t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br/>
      </w:r>
      <w:r>
        <w:rPr>
          <w:rFonts w:ascii="Times New Roman" w:hAnsi="Times New Roman" w:cs="Times New Roman"/>
          <w:b w:val="0"/>
          <w:caps w:val="0"/>
          <w:color w:val="000000"/>
          <w:spacing w:val="0"/>
          <w:sz w:val="23"/>
        </w:rPr>
        <w:br/>
      </w: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br/>
      </w:r>
    </w:p>
    <w:p>
      <w:pPr>
        <w:spacing w:after="280" w:afterAutospacing="1"/>
        <w:rPr>
          <w:rFonts w:ascii="Times New Roman" w:hAnsi="Times New Roman" w:cs="Times New Roman"/>
          <w:b w:val="0"/>
          <w:caps w:val="0"/>
          <w:color w:val="000000"/>
          <w:spacing w:val="0"/>
        </w:rPr>
      </w:pPr>
      <w:r>
        <w:rPr>
          <w:rFonts w:ascii="Times New Roman" w:hAnsi="Times New Roman" w:cs="Times New Roman"/>
          <w:b w:val="0"/>
          <w:caps w:val="0"/>
          <w:color w:val="000000"/>
          <w:spacing w:val="0"/>
        </w:rPr>
        <w:t> </w:t>
      </w: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&amp;quot"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