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Times New Roman" w:hAnsi="Times New Roman" w:cs="Times New Roman"/>
          <w:szCs w:val="24"/>
        </w:rPr>
      </w:pPr>
    </w:p>
    <w:p w:rsidR="0084667A" w:rsidP="0084667A">
      <w:pPr>
        <w:rPr>
          <w:rFonts w:ascii="Arial Narrow" w:hAnsi="Arial Narrow" w:cs="Arial Narrow"/>
          <w:szCs w:val="24"/>
        </w:rPr>
      </w:pPr>
    </w:p>
    <w:p w:rsidR="0084667A" w:rsidP="0084667A">
      <w:pPr>
        <w:rPr>
          <w:rFonts w:ascii="Arial Narrow" w:hAnsi="Arial Narrow" w:cs="Arial Narrow"/>
          <w:szCs w:val="24"/>
        </w:rPr>
      </w:pPr>
    </w:p>
    <w:p w:rsidR="000A4EF0" w:rsidP="0084667A">
      <w:pPr>
        <w:rPr>
          <w:rFonts w:ascii="Arial Narrow" w:hAnsi="Arial Narrow" w:cs="Arial Narrow"/>
          <w:szCs w:val="24"/>
        </w:rPr>
      </w:pPr>
    </w:p>
    <w:p w:rsidR="0084667A" w:rsidP="0084667A">
      <w:pPr>
        <w:rPr>
          <w:rFonts w:ascii="Arial Narrow" w:hAnsi="Arial Narrow" w:cs="Arial Narrow"/>
          <w:szCs w:val="24"/>
        </w:rPr>
      </w:pPr>
    </w:p>
    <w:p w:rsidR="0084667A" w:rsidP="0084667A">
      <w:pPr>
        <w:rPr>
          <w:rFonts w:ascii="Arial Narrow" w:hAnsi="Arial Narrow" w:cs="Arial Narrow"/>
          <w:szCs w:val="24"/>
        </w:rPr>
      </w:pPr>
    </w:p>
    <w:p w:rsidR="0084667A" w:rsidRPr="00231151" w:rsidP="0084667A">
      <w:pPr>
        <w:rPr>
          <w:rFonts w:ascii="Arial Narrow" w:hAnsi="Arial Narrow" w:cs="Arial Narrow"/>
          <w:szCs w:val="24"/>
        </w:rPr>
      </w:pPr>
    </w:p>
    <w:p w:rsidR="0084667A" w:rsidRPr="00231151" w:rsidP="0084667A">
      <w:pPr>
        <w:rPr>
          <w:rFonts w:ascii="Arial Narrow" w:hAnsi="Arial Narrow" w:cs="Arial Narrow"/>
          <w:szCs w:val="24"/>
        </w:rPr>
      </w:pPr>
    </w:p>
    <w:p w:rsidR="0084667A" w:rsidRPr="00231151" w:rsidP="0084667A">
      <w:pPr>
        <w:rPr>
          <w:rFonts w:ascii="Arial Narrow" w:hAnsi="Arial Narrow" w:cs="Arial Narrow"/>
          <w:szCs w:val="24"/>
        </w:rPr>
      </w:pPr>
    </w:p>
    <w:p w:rsidR="0084667A" w:rsidRPr="00231151" w:rsidP="0084667A">
      <w:pPr>
        <w:rPr>
          <w:rFonts w:ascii="Arial Narrow" w:hAnsi="Arial Narrow" w:cs="Arial Narrow"/>
          <w:szCs w:val="24"/>
        </w:rPr>
      </w:pPr>
    </w:p>
    <w:p w:rsidR="0084667A" w:rsidRPr="00231151" w:rsidP="0084667A">
      <w:pPr>
        <w:rPr>
          <w:rFonts w:ascii="Arial Narrow" w:hAnsi="Arial Narrow" w:cs="Arial Narrow"/>
          <w:szCs w:val="24"/>
        </w:rPr>
      </w:pPr>
    </w:p>
    <w:p w:rsidR="0084667A" w:rsidRPr="00231151" w:rsidP="0084667A">
      <w:pPr>
        <w:jc w:val="center"/>
        <w:rPr>
          <w:rFonts w:ascii="Arial Narrow" w:hAnsi="Arial Narrow" w:cs="Arial Narrow"/>
          <w:b/>
          <w:sz w:val="44"/>
          <w:szCs w:val="24"/>
        </w:rPr>
      </w:pPr>
      <w:r w:rsidRPr="00231151">
        <w:rPr>
          <w:rFonts w:ascii="Arial Narrow" w:hAnsi="Arial Narrow" w:cs="Arial Narrow"/>
          <w:b/>
          <w:sz w:val="44"/>
          <w:szCs w:val="24"/>
        </w:rPr>
        <w:t xml:space="preserve">Príloha č. </w:t>
      </w:r>
      <w:r>
        <w:rPr>
          <w:rFonts w:ascii="Arial Narrow" w:hAnsi="Arial Narrow" w:cs="Arial Narrow"/>
          <w:b/>
          <w:sz w:val="44"/>
          <w:szCs w:val="24"/>
        </w:rPr>
        <w:t>1</w:t>
      </w:r>
    </w:p>
    <w:p w:rsidR="0084667A" w:rsidRPr="00231151" w:rsidP="0084667A">
      <w:pPr>
        <w:jc w:val="center"/>
        <w:rPr>
          <w:rFonts w:ascii="Arial Narrow" w:hAnsi="Arial Narrow" w:cs="Arial Narrow"/>
          <w:b/>
          <w:sz w:val="44"/>
          <w:szCs w:val="24"/>
        </w:rPr>
      </w:pPr>
    </w:p>
    <w:p w:rsidR="0084667A" w:rsidRPr="00231151" w:rsidP="0084667A">
      <w:pPr>
        <w:jc w:val="center"/>
        <w:rPr>
          <w:rFonts w:ascii="Arial Narrow" w:hAnsi="Arial Narrow" w:cs="Arial Narrow"/>
          <w:b/>
          <w:sz w:val="44"/>
          <w:szCs w:val="24"/>
        </w:rPr>
      </w:pPr>
      <w:r w:rsidRPr="00231151">
        <w:rPr>
          <w:rFonts w:ascii="Arial Narrow" w:hAnsi="Arial Narrow" w:cs="Arial Narrow"/>
          <w:b/>
          <w:sz w:val="44"/>
          <w:szCs w:val="24"/>
        </w:rPr>
        <w:t xml:space="preserve">Rozpočtovanie príjmov a výdavkov </w:t>
      </w:r>
    </w:p>
    <w:p w:rsidR="0084667A" w:rsidRPr="00231151" w:rsidP="0084667A">
      <w:pPr>
        <w:jc w:val="center"/>
        <w:rPr>
          <w:rFonts w:ascii="Arial Narrow" w:hAnsi="Arial Narrow" w:cs="Arial Narrow"/>
          <w:b/>
          <w:sz w:val="44"/>
          <w:szCs w:val="24"/>
        </w:rPr>
      </w:pPr>
      <w:r w:rsidRPr="00231151">
        <w:rPr>
          <w:rFonts w:ascii="Arial Narrow" w:hAnsi="Arial Narrow" w:cs="Arial Narrow"/>
          <w:b/>
          <w:sz w:val="44"/>
          <w:szCs w:val="24"/>
        </w:rPr>
        <w:t xml:space="preserve">ostatných subjektov verejnej správy v metodike </w:t>
      </w:r>
      <w:r>
        <w:rPr>
          <w:rFonts w:ascii="Arial Narrow" w:hAnsi="Arial Narrow" w:cs="Arial Narrow"/>
          <w:b/>
          <w:sz w:val="44"/>
          <w:szCs w:val="24"/>
        </w:rPr>
        <w:t xml:space="preserve">  </w:t>
      </w:r>
      <w:r w:rsidRPr="00231151">
        <w:rPr>
          <w:rFonts w:ascii="Arial Narrow" w:hAnsi="Arial Narrow" w:cs="Arial Narrow"/>
          <w:b/>
          <w:sz w:val="44"/>
          <w:szCs w:val="24"/>
        </w:rPr>
        <w:t>ESA 95</w:t>
      </w:r>
    </w:p>
    <w:p w:rsidR="0084667A" w:rsidRPr="00231151" w:rsidP="0084667A">
      <w:pPr>
        <w:jc w:val="center"/>
        <w:rPr>
          <w:rFonts w:ascii="Arial Narrow" w:hAnsi="Arial Narrow" w:cs="Arial Narrow"/>
          <w:b/>
          <w:sz w:val="44"/>
          <w:szCs w:val="24"/>
        </w:rPr>
      </w:pPr>
    </w:p>
    <w:p w:rsidR="0084667A" w:rsidRPr="00231151" w:rsidP="0084667A">
      <w:pPr>
        <w:rPr>
          <w:rFonts w:ascii="Arial Narrow" w:hAnsi="Arial Narrow" w:cs="Arial Narrow"/>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0A4EF0"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P="0084667A">
      <w:pPr>
        <w:jc w:val="both"/>
        <w:rPr>
          <w:rFonts w:ascii="Arial Narrow" w:hAnsi="Arial Narrow" w:cs="Arial Narrow"/>
          <w:b/>
          <w:sz w:val="28"/>
          <w:szCs w:val="24"/>
        </w:rPr>
      </w:pPr>
    </w:p>
    <w:p w:rsidR="0084667A" w:rsidRPr="00EE12C1" w:rsidP="0084667A">
      <w:pPr>
        <w:pStyle w:val="Zkladntext"/>
        <w:jc w:val="both"/>
        <w:rPr>
          <w:rFonts w:ascii="Arial Narrow" w:hAnsi="Arial Narrow" w:cs="Arial Narrow"/>
          <w:b/>
          <w:sz w:val="28"/>
          <w:szCs w:val="24"/>
        </w:rPr>
      </w:pPr>
      <w:r w:rsidRPr="00EE12C1">
        <w:rPr>
          <w:rFonts w:ascii="Arial Narrow" w:hAnsi="Arial Narrow" w:cs="Arial Narrow"/>
          <w:b/>
          <w:sz w:val="28"/>
          <w:szCs w:val="24"/>
        </w:rPr>
        <w:t>Rozpočtovanie príjmov a výdavkov ostatných subjektov verejnej správy v metodike ESA 95</w:t>
      </w:r>
    </w:p>
    <w:p w:rsidR="0084667A" w:rsidRPr="00017653" w:rsidP="0084667A">
      <w:pPr>
        <w:jc w:val="both"/>
        <w:rPr>
          <w:rFonts w:ascii="Arial Narrow" w:hAnsi="Arial Narrow" w:cs="Arial Narrow"/>
          <w:b/>
          <w:sz w:val="22"/>
          <w:szCs w:val="24"/>
          <w:highlight w:val="yellow"/>
        </w:rPr>
      </w:pPr>
    </w:p>
    <w:p w:rsidR="0084667A" w:rsidRPr="004558BE" w:rsidP="0084667A">
      <w:pPr>
        <w:jc w:val="both"/>
        <w:rPr>
          <w:rFonts w:ascii="Arial Narrow" w:hAnsi="Arial Narrow" w:cs="Arial Narrow"/>
          <w:szCs w:val="24"/>
        </w:rPr>
      </w:pPr>
      <w:r w:rsidRPr="004558BE">
        <w:rPr>
          <w:rFonts w:ascii="Arial Narrow" w:hAnsi="Arial Narrow" w:cs="Arial Narrow"/>
          <w:b/>
          <w:szCs w:val="24"/>
        </w:rPr>
        <w:t>1. Obce a vyššie územné celky</w:t>
      </w: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 </w:t>
      </w:r>
    </w:p>
    <w:p w:rsidR="0084667A" w:rsidP="0084667A">
      <w:pPr>
        <w:pStyle w:val="BodyText"/>
        <w:ind w:firstLine="708"/>
        <w:rPr>
          <w:rFonts w:ascii="Arial Narrow" w:hAnsi="Arial Narrow" w:cs="Arial Narrow"/>
          <w:sz w:val="22"/>
          <w:szCs w:val="24"/>
        </w:rPr>
      </w:pPr>
      <w:r w:rsidRPr="003202EE">
        <w:rPr>
          <w:rFonts w:ascii="Arial Narrow" w:hAnsi="Arial Narrow" w:cs="Arial Narrow"/>
          <w:sz w:val="22"/>
          <w:szCs w:val="24"/>
        </w:rPr>
        <w:t xml:space="preserve">Návrh rozpočtu </w:t>
      </w:r>
      <w:r>
        <w:rPr>
          <w:rFonts w:ascii="Arial Narrow" w:hAnsi="Arial Narrow" w:cs="Arial Narrow"/>
          <w:sz w:val="22"/>
          <w:szCs w:val="24"/>
        </w:rPr>
        <w:t>územnej samosprávy</w:t>
      </w:r>
      <w:r w:rsidRPr="003202EE">
        <w:rPr>
          <w:rFonts w:ascii="Arial Narrow" w:hAnsi="Arial Narrow" w:cs="Arial Narrow"/>
          <w:sz w:val="22"/>
          <w:szCs w:val="24"/>
        </w:rPr>
        <w:t xml:space="preserve"> na roky 20</w:t>
      </w:r>
      <w:r>
        <w:rPr>
          <w:rFonts w:ascii="Arial Narrow" w:hAnsi="Arial Narrow" w:cs="Arial Narrow"/>
          <w:sz w:val="22"/>
          <w:szCs w:val="24"/>
        </w:rPr>
        <w:t xml:space="preserve">10 až </w:t>
      </w:r>
      <w:r w:rsidRPr="003202EE">
        <w:rPr>
          <w:rFonts w:ascii="Arial Narrow" w:hAnsi="Arial Narrow" w:cs="Arial Narrow"/>
          <w:sz w:val="22"/>
          <w:szCs w:val="24"/>
        </w:rPr>
        <w:t>201</w:t>
      </w:r>
      <w:r>
        <w:rPr>
          <w:rFonts w:ascii="Arial Narrow" w:hAnsi="Arial Narrow" w:cs="Arial Narrow"/>
          <w:sz w:val="22"/>
          <w:szCs w:val="24"/>
        </w:rPr>
        <w:t>2</w:t>
      </w:r>
      <w:r w:rsidRPr="003202EE">
        <w:rPr>
          <w:rFonts w:ascii="Arial Narrow" w:hAnsi="Arial Narrow" w:cs="Arial Narrow"/>
          <w:sz w:val="22"/>
          <w:szCs w:val="24"/>
        </w:rPr>
        <w:t xml:space="preserve"> </w:t>
      </w:r>
      <w:r>
        <w:rPr>
          <w:rFonts w:ascii="Arial Narrow" w:hAnsi="Arial Narrow" w:cs="Arial Narrow"/>
          <w:sz w:val="22"/>
          <w:szCs w:val="24"/>
        </w:rPr>
        <w:t xml:space="preserve">reflektuje výsledky </w:t>
      </w:r>
      <w:r w:rsidRPr="002F13E5">
        <w:rPr>
          <w:rFonts w:ascii="Arial Narrow" w:hAnsi="Arial Narrow" w:cs="Arial Narrow"/>
          <w:sz w:val="22"/>
          <w:szCs w:val="24"/>
        </w:rPr>
        <w:t>hospodárenia obcí a</w:t>
      </w:r>
      <w:r>
        <w:rPr>
          <w:rFonts w:ascii="Arial Narrow" w:hAnsi="Arial Narrow" w:cs="Arial Narrow"/>
          <w:sz w:val="22"/>
          <w:szCs w:val="24"/>
        </w:rPr>
        <w:t xml:space="preserve"> vyšších územných celkov (ďalej len „VÚC“) </w:t>
      </w:r>
      <w:r w:rsidRPr="002F13E5">
        <w:rPr>
          <w:rFonts w:ascii="Arial Narrow" w:hAnsi="Arial Narrow" w:cs="Arial Narrow"/>
          <w:sz w:val="22"/>
          <w:szCs w:val="24"/>
        </w:rPr>
        <w:t xml:space="preserve"> </w:t>
      </w:r>
      <w:r>
        <w:rPr>
          <w:rFonts w:ascii="Arial Narrow" w:hAnsi="Arial Narrow" w:cs="Arial Narrow"/>
          <w:sz w:val="22"/>
          <w:szCs w:val="24"/>
        </w:rPr>
        <w:t xml:space="preserve">v predošlom období a monitoring vývoja v roku 2009, prihliada na zámery rozpočtu verejnej správy na roky 2009 až 2011 a zohľadňuje </w:t>
      </w:r>
      <w:r w:rsidRPr="002F13E5">
        <w:rPr>
          <w:rFonts w:ascii="Arial Narrow" w:hAnsi="Arial Narrow" w:cs="Arial Narrow"/>
          <w:sz w:val="22"/>
          <w:szCs w:val="24"/>
        </w:rPr>
        <w:t>aktuálne prognózy daňových príjmov verejnej správy na roky 20</w:t>
      </w:r>
      <w:r>
        <w:rPr>
          <w:rFonts w:ascii="Arial Narrow" w:hAnsi="Arial Narrow" w:cs="Arial Narrow"/>
          <w:sz w:val="22"/>
          <w:szCs w:val="24"/>
        </w:rPr>
        <w:t>10</w:t>
      </w:r>
      <w:r w:rsidRPr="002F13E5">
        <w:rPr>
          <w:rFonts w:ascii="Arial Narrow" w:hAnsi="Arial Narrow" w:cs="Arial Narrow"/>
          <w:sz w:val="22"/>
          <w:szCs w:val="24"/>
        </w:rPr>
        <w:t xml:space="preserve"> až 201</w:t>
      </w:r>
      <w:r>
        <w:rPr>
          <w:rFonts w:ascii="Arial Narrow" w:hAnsi="Arial Narrow" w:cs="Arial Narrow"/>
          <w:sz w:val="22"/>
          <w:szCs w:val="24"/>
        </w:rPr>
        <w:t>2</w:t>
      </w:r>
      <w:r w:rsidRPr="002F13E5">
        <w:rPr>
          <w:rFonts w:ascii="Arial Narrow" w:hAnsi="Arial Narrow" w:cs="Arial Narrow"/>
          <w:sz w:val="22"/>
          <w:szCs w:val="24"/>
        </w:rPr>
        <w:t>.</w:t>
      </w:r>
      <w:r>
        <w:rPr>
          <w:rFonts w:ascii="Arial Narrow" w:hAnsi="Arial Narrow" w:cs="Arial Narrow"/>
          <w:sz w:val="22"/>
          <w:szCs w:val="24"/>
        </w:rPr>
        <w:t xml:space="preserve"> V prognózach daňových príjmov sú zohľadnené negatívne vplyvy globálnych faktorov, predovšetkým vplyvu finančnej krízy a následného slabšieho vývoja ekonomiky ako aj vplyvu legislatívnych zmien – novely zákona o daniach z príjmov.</w:t>
      </w:r>
    </w:p>
    <w:p w:rsidR="0084667A" w:rsidP="0084667A">
      <w:pPr>
        <w:pStyle w:val="BodyText"/>
        <w:ind w:firstLine="708"/>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sidRPr="003202EE">
        <w:rPr>
          <w:rFonts w:ascii="Arial Narrow" w:hAnsi="Arial Narrow" w:cs="Arial Narrow"/>
          <w:sz w:val="22"/>
          <w:szCs w:val="24"/>
        </w:rPr>
        <w:t xml:space="preserve">Finančné vzťahy k rozpočtom obcí a VÚC sa budú aj v týchto rokoch realizovať predovšetkým prostredníctvom daňových príjmov a prostredníctvom dotácií z príslušných rozpočtových kapitol. Formou dotácií zo štátneho rozpočtu z príslušných kapitol sa budú financovať kompetencie preneseného výkonu štátnej správy a niektoré ďalšie úlohy spojené </w:t>
      </w:r>
      <w:r>
        <w:rPr>
          <w:rFonts w:ascii="Arial Narrow" w:hAnsi="Arial Narrow" w:cs="Arial Narrow"/>
          <w:sz w:val="22"/>
          <w:szCs w:val="24"/>
        </w:rPr>
        <w:t xml:space="preserve">najmä </w:t>
      </w:r>
      <w:r w:rsidRPr="003202EE">
        <w:rPr>
          <w:rFonts w:ascii="Arial Narrow" w:hAnsi="Arial Narrow" w:cs="Arial Narrow"/>
          <w:sz w:val="22"/>
          <w:szCs w:val="24"/>
        </w:rPr>
        <w:t>s realizáciou projektov v rámci štrukturálnych fondov EÚ, napr. v súvislosti s podporou regionálneho rozvoja obcí a VÚC, vzdelávaním</w:t>
      </w:r>
      <w:r>
        <w:rPr>
          <w:rFonts w:ascii="Arial Narrow" w:hAnsi="Arial Narrow" w:cs="Arial Narrow"/>
          <w:sz w:val="22"/>
          <w:szCs w:val="24"/>
        </w:rPr>
        <w:t xml:space="preserve"> a pod. Niektoré špecifické potreby obcí, ako je zachovanie a obnova kultúrnych pamiatok v niektorých mestách, individuálne potreby obcí a niektoré zariadenia sociálnych služieb, ktoré neboli súčasťou fiškálnej decentralizácie budú financované formou dotácií zo štátneho rozpočtu rozpočtovaných v kapitole Všeobecná pokladničná správa. </w:t>
      </w:r>
    </w:p>
    <w:p w:rsidR="0084667A" w:rsidP="0084667A">
      <w:pPr>
        <w:pStyle w:val="BodyText"/>
        <w:ind w:firstLine="709"/>
        <w:rPr>
          <w:rFonts w:ascii="Arial Narrow" w:hAnsi="Arial Narrow" w:cs="Arial Narrow"/>
          <w:sz w:val="22"/>
          <w:szCs w:val="24"/>
        </w:rPr>
      </w:pPr>
    </w:p>
    <w:p w:rsidR="0084667A" w:rsidP="0084667A">
      <w:pPr>
        <w:pStyle w:val="BodyText"/>
        <w:ind w:firstLine="709"/>
        <w:rPr>
          <w:rFonts w:ascii="Arial Narrow" w:hAnsi="Arial Narrow" w:cs="Arial Narrow"/>
          <w:sz w:val="22"/>
          <w:szCs w:val="24"/>
        </w:rPr>
      </w:pPr>
      <w:r>
        <w:rPr>
          <w:rFonts w:ascii="Arial Narrow" w:hAnsi="Arial Narrow" w:cs="Arial Narrow"/>
          <w:sz w:val="22"/>
          <w:szCs w:val="24"/>
        </w:rPr>
        <w:t xml:space="preserve">V súlade s prijatým Memorandom o spolupráci pri riešení dopadov finančnej a hospodárskej krízy na slovenskú spoločnosť medzi vládou Slovenskej republiky a Združením miest a obcí Slovenska bola vypracovaná a schválená novela zákona o rozpočtových pravidlách územnej samosprávy, ktorá v súvislosti s predpokladaným znížením výnosu dane z príjmov fyzických osôb z titulu opatrení prijatých v daňovej oblasti umožní územnej samospráve operatívnejšie reagovať na výpadok týchto príjmov vo svojich rozpočtoch, a to na obdobie rokov 2009 a 2010. </w:t>
      </w:r>
    </w:p>
    <w:p w:rsidR="0084667A" w:rsidRPr="004558BE" w:rsidP="0084667A">
      <w:pPr>
        <w:rPr>
          <w:rFonts w:ascii="Times New Roman" w:hAnsi="Times New Roman" w:cs="Times New Roman"/>
          <w:szCs w:val="24"/>
        </w:rPr>
      </w:pPr>
    </w:p>
    <w:p w:rsidR="0084667A" w:rsidRPr="004558BE" w:rsidP="0084667A">
      <w:pPr>
        <w:pStyle w:val="Heading2"/>
        <w:spacing w:before="0" w:after="0"/>
        <w:jc w:val="both"/>
        <w:rPr>
          <w:rFonts w:ascii="Arial Narrow" w:hAnsi="Arial Narrow" w:cs="Arial Narrow"/>
          <w:i w:val="0"/>
          <w:sz w:val="24"/>
          <w:szCs w:val="24"/>
        </w:rPr>
      </w:pPr>
      <w:r w:rsidRPr="004558BE">
        <w:rPr>
          <w:rFonts w:ascii="Arial Narrow" w:hAnsi="Arial Narrow" w:cs="Arial Narrow"/>
          <w:i w:val="0"/>
          <w:sz w:val="24"/>
          <w:szCs w:val="24"/>
        </w:rPr>
        <w:t>1.1. Obce</w:t>
      </w:r>
    </w:p>
    <w:p w:rsidR="0084667A" w:rsidP="0084667A">
      <w:pPr>
        <w:jc w:val="both"/>
        <w:rPr>
          <w:rFonts w:ascii="Arial Narrow" w:hAnsi="Arial Narrow" w:cs="Arial Narrow"/>
          <w:sz w:val="22"/>
          <w:szCs w:val="24"/>
        </w:rPr>
      </w:pPr>
      <w:r>
        <w:rPr>
          <w:rFonts w:ascii="Arial Narrow" w:hAnsi="Arial Narrow" w:cs="Arial Narrow"/>
          <w:sz w:val="22"/>
          <w:szCs w:val="24"/>
        </w:rPr>
        <w:tab/>
      </w: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Predpokladá sa, že obce v roku 2010 dosiahnu </w:t>
      </w:r>
      <w:r>
        <w:rPr>
          <w:rFonts w:ascii="Arial Narrow" w:hAnsi="Arial Narrow" w:cs="Arial Narrow"/>
          <w:b/>
          <w:sz w:val="22"/>
          <w:szCs w:val="24"/>
        </w:rPr>
        <w:t>celkové príjmy vo výške 3 684 372  tis. eur</w:t>
      </w:r>
      <w:r>
        <w:rPr>
          <w:rFonts w:ascii="Arial Narrow" w:hAnsi="Arial Narrow" w:cs="Arial Narrow"/>
          <w:sz w:val="22"/>
          <w:szCs w:val="24"/>
        </w:rPr>
        <w:t xml:space="preserve"> a </w:t>
      </w:r>
      <w:r>
        <w:rPr>
          <w:rFonts w:ascii="Arial Narrow" w:hAnsi="Arial Narrow" w:cs="Arial Narrow"/>
          <w:b/>
          <w:sz w:val="22"/>
          <w:szCs w:val="24"/>
        </w:rPr>
        <w:t>celkové výdavky v sume 3 492 51</w:t>
      </w:r>
      <w:r w:rsidR="0095723F">
        <w:rPr>
          <w:rFonts w:ascii="Arial Narrow" w:hAnsi="Arial Narrow" w:cs="Arial Narrow"/>
          <w:b/>
          <w:sz w:val="22"/>
          <w:szCs w:val="24"/>
        </w:rPr>
        <w:t>2</w:t>
      </w:r>
      <w:r>
        <w:rPr>
          <w:rFonts w:ascii="Arial Narrow" w:hAnsi="Arial Narrow" w:cs="Arial Narrow"/>
          <w:b/>
          <w:sz w:val="22"/>
          <w:szCs w:val="24"/>
        </w:rPr>
        <w:t xml:space="preserve"> tis. eur.</w:t>
      </w:r>
      <w:r>
        <w:rPr>
          <w:rFonts w:ascii="Arial Narrow" w:hAnsi="Arial Narrow" w:cs="Arial Narrow"/>
          <w:sz w:val="22"/>
          <w:szCs w:val="24"/>
        </w:rPr>
        <w:t xml:space="preserve"> Uvedené údaje sú odhadom Ministerstva financií SR vzhľadom na to, že </w:t>
      </w:r>
      <w:r>
        <w:rPr>
          <w:rFonts w:ascii="Arial Narrow" w:hAnsi="Arial Narrow" w:cs="Arial Narrow"/>
          <w:b/>
          <w:sz w:val="22"/>
          <w:szCs w:val="24"/>
        </w:rPr>
        <w:t>financovanie samosprávnych kompetencií je v plnej pôsobnosti obcí</w:t>
      </w:r>
      <w:r>
        <w:rPr>
          <w:rFonts w:ascii="Arial Narrow" w:hAnsi="Arial Narrow" w:cs="Arial Narrow"/>
          <w:sz w:val="22"/>
          <w:szCs w:val="24"/>
        </w:rPr>
        <w:t>, ktorých zastupiteľstvá rozhodujú o rozdelení a použití finančných prostriedkov podľa jednotlivých úsekov v rámci schválených rozpočtov. Obce takto samostatne rozhodujú o 65,7  % svojich príjmov.</w:t>
      </w:r>
    </w:p>
    <w:p w:rsidR="0084667A" w:rsidP="0084667A">
      <w:pPr>
        <w:ind w:firstLine="708"/>
        <w:jc w:val="both"/>
        <w:rPr>
          <w:rFonts w:ascii="Arial Narrow" w:hAnsi="Arial Narrow" w:cs="Arial Narrow"/>
          <w:b/>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b/>
          <w:sz w:val="22"/>
          <w:szCs w:val="24"/>
        </w:rPr>
        <w:t>Daňové príjmy</w:t>
      </w:r>
      <w:r>
        <w:rPr>
          <w:rFonts w:ascii="Arial Narrow" w:hAnsi="Arial Narrow" w:cs="Arial Narrow"/>
          <w:sz w:val="22"/>
          <w:szCs w:val="24"/>
        </w:rPr>
        <w:t xml:space="preserve"> sa očakávajú </w:t>
      </w:r>
      <w:r>
        <w:rPr>
          <w:rFonts w:ascii="Arial Narrow" w:hAnsi="Arial Narrow" w:cs="Arial Narrow"/>
          <w:b/>
          <w:sz w:val="22"/>
          <w:szCs w:val="24"/>
        </w:rPr>
        <w:t>v sume 1 544 678  tis. eur,</w:t>
      </w:r>
      <w:r>
        <w:rPr>
          <w:rFonts w:ascii="Arial Narrow" w:hAnsi="Arial Narrow" w:cs="Arial Narrow"/>
          <w:sz w:val="22"/>
          <w:szCs w:val="24"/>
        </w:rPr>
        <w:t xml:space="preserve"> ktoré obce získajú z výnosu dane z príjmov platenej fyzickými osobami, z výnosu dane z nehnuteľností, z výnosu daní za špecifické služby (miestne dane a poplatok za komunálne odpady), z výnosu dane z úhrad za dobývací priestor a zo sankcií uložených   v daňovom konaní.  Z výnosov týchto daní bude zabezpečované financovanie samosprávnych pôsobností obcí vrátane samosprávnych pôsobností presunutých z orgánov štátnej správy na obce v rámci decentralizácie verejnej správy. Predpoklad vývoja jednotlivých druhov daňových príjmov v rokoch 2010 až 2012 do rozpočtov obcí   v porovnaní so schváleným rozpočtom na rok 2009 je nasledovný:</w:t>
      </w:r>
    </w:p>
    <w:p w:rsidR="0084667A" w:rsidP="0084667A">
      <w:pPr>
        <w:jc w:val="both"/>
        <w:rPr>
          <w:rFonts w:ascii="Arial Narrow" w:hAnsi="Arial Narrow" w:cs="Arial Narrow"/>
          <w:sz w:val="22"/>
          <w:szCs w:val="24"/>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tblBorders>
      </w:tblPr>
      <w:tblGrid>
        <w:gridCol w:w="2851"/>
        <w:gridCol w:w="1673"/>
        <w:gridCol w:w="1440"/>
        <w:gridCol w:w="1440"/>
        <w:gridCol w:w="1440"/>
      </w:tblGrid>
      <w:tr>
        <w:tblPrEx>
          <w:tblW w:w="0" w:type="auto"/>
          <w:jc w:val="center"/>
          <w:tblInd w:w="0" w:type="dxa"/>
          <w:tblBorders>
            <w:top w:val="single" w:sz="4" w:space="0" w:color="auto"/>
            <w:left w:val="single" w:sz="4" w:space="0" w:color="auto"/>
            <w:bottom w:val="single" w:sz="4" w:space="0" w:color="auto"/>
            <w:right w:val="single" w:sz="4" w:space="0" w:color="auto"/>
          </w:tblBorders>
        </w:tblPrEx>
        <w:trPr>
          <w:cantSplit/>
          <w:trHeight w:val="285"/>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RPr="000663D7" w:rsidP="002B1759">
            <w:pPr>
              <w:jc w:val="both"/>
              <w:rPr>
                <w:rFonts w:ascii="Arial Narrow" w:hAnsi="Arial Narrow" w:cs="Arial Narrow"/>
                <w:b/>
                <w:sz w:val="20"/>
                <w:szCs w:val="24"/>
              </w:rPr>
            </w:pPr>
            <w:r w:rsidRPr="000663D7">
              <w:rPr>
                <w:rFonts w:ascii="Arial Narrow" w:hAnsi="Arial Narrow" w:cs="Arial Narrow"/>
                <w:b/>
                <w:sz w:val="20"/>
                <w:szCs w:val="24"/>
              </w:rPr>
              <w:t>(v tis. eur)</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2009</w:t>
            </w:r>
          </w:p>
          <w:p w:rsidR="0084667A" w:rsidP="002B1759">
            <w:pPr>
              <w:jc w:val="center"/>
              <w:rPr>
                <w:rFonts w:ascii="Arial Narrow" w:hAnsi="Arial Narrow" w:cs="Arial Narrow"/>
                <w:b/>
                <w:sz w:val="20"/>
                <w:szCs w:val="24"/>
              </w:rPr>
            </w:pPr>
            <w:r>
              <w:rPr>
                <w:rFonts w:ascii="Arial Narrow" w:hAnsi="Arial Narrow" w:cs="Arial Narrow"/>
                <w:b/>
                <w:sz w:val="20"/>
                <w:szCs w:val="24"/>
              </w:rPr>
              <w:t>rozpočet</w:t>
            </w:r>
          </w:p>
        </w:tc>
        <w:tc>
          <w:tcPr>
            <w:tcW w:w="4320" w:type="dxa"/>
            <w:gridSpan w:val="3"/>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Predpoklad</w:t>
            </w:r>
          </w:p>
        </w:tc>
      </w:tr>
      <w:tr>
        <w:tblPrEx>
          <w:tblW w:w="0" w:type="auto"/>
          <w:jc w:val="center"/>
          <w:tblInd w:w="0" w:type="dxa"/>
        </w:tblPrEx>
        <w:trPr>
          <w:cantSplit/>
          <w:trHeight w:val="285"/>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sz w:val="20"/>
                <w:szCs w:val="2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b/>
                <w:sz w:val="2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2010</w:t>
            </w:r>
          </w:p>
        </w:tc>
        <w:tc>
          <w:tcPr>
            <w:tcW w:w="144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2011</w:t>
            </w:r>
          </w:p>
        </w:tc>
        <w:tc>
          <w:tcPr>
            <w:tcW w:w="144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2012</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both"/>
              <w:rPr>
                <w:rFonts w:ascii="Arial Narrow" w:hAnsi="Arial Narrow" w:cs="Arial Narrow"/>
                <w:b/>
                <w:sz w:val="20"/>
                <w:szCs w:val="24"/>
              </w:rPr>
            </w:pPr>
            <w:r>
              <w:rPr>
                <w:rFonts w:ascii="Arial Narrow" w:hAnsi="Arial Narrow" w:cs="Arial Narrow"/>
                <w:b/>
                <w:sz w:val="20"/>
                <w:szCs w:val="24"/>
              </w:rPr>
              <w:t>Daňové príjmy spolu</w:t>
            </w:r>
          </w:p>
        </w:tc>
        <w:tc>
          <w:tcPr>
            <w:tcW w:w="1673"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1 780 436</w:t>
            </w:r>
          </w:p>
        </w:tc>
        <w:tc>
          <w:tcPr>
            <w:tcW w:w="144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1 544 678</w:t>
            </w:r>
          </w:p>
        </w:tc>
        <w:tc>
          <w:tcPr>
            <w:tcW w:w="144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1 793 176</w:t>
            </w:r>
          </w:p>
        </w:tc>
        <w:tc>
          <w:tcPr>
            <w:tcW w:w="144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2 002 670</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z toho: daň z príjmov fyzických osôb</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1 393 464</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1 103 453</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1 330 384</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1 516 767</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daň z nehnuteľností</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236 673</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266 819</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280 160</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294 168</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daň za špecifické služby</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145 323</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169 139</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177 581</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186 445</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daň za dobývací priestor</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425</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425</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sankcie</w:t>
            </w:r>
          </w:p>
        </w:tc>
        <w:tc>
          <w:tcPr>
            <w:tcW w:w="1673"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4 551</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4 842</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4 626</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4 865</w:t>
            </w:r>
          </w:p>
        </w:tc>
      </w:tr>
    </w:tbl>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V rámci </w:t>
      </w:r>
      <w:r>
        <w:rPr>
          <w:rFonts w:ascii="Arial Narrow" w:hAnsi="Arial Narrow" w:cs="Arial Narrow"/>
          <w:b/>
          <w:sz w:val="22"/>
          <w:szCs w:val="24"/>
        </w:rPr>
        <w:t>nedaňových  príjmov</w:t>
      </w:r>
      <w:r>
        <w:rPr>
          <w:rFonts w:ascii="Arial Narrow" w:hAnsi="Arial Narrow" w:cs="Arial Narrow"/>
          <w:sz w:val="22"/>
          <w:szCs w:val="24"/>
        </w:rPr>
        <w:t xml:space="preserve"> sa uvažuje, že obce dosiahnu </w:t>
      </w:r>
      <w:r>
        <w:rPr>
          <w:rFonts w:ascii="Arial Narrow" w:hAnsi="Arial Narrow" w:cs="Arial Narrow"/>
          <w:b/>
          <w:sz w:val="22"/>
          <w:szCs w:val="24"/>
        </w:rPr>
        <w:t>sumu 507 867 tis. eur.</w:t>
      </w:r>
      <w:r>
        <w:rPr>
          <w:rFonts w:ascii="Arial Narrow" w:hAnsi="Arial Narrow" w:cs="Arial Narrow"/>
          <w:sz w:val="22"/>
          <w:szCs w:val="24"/>
        </w:rPr>
        <w:t xml:space="preserve"> Ide najmä o príjmy z podnikania a z vlastníctva majetku v sume 149 373 tis. eur, a to z nájomného z prenajatých pozemkov, budov, strojov a zariadení, čiastku 136 095 tis. eur  z administratívnych a iných poplatkov a platieb (správne poplatky, za ubytovacie a stravovacie služby, zo vstupného, za relácie v miestnom rozhlase a pod.) a z iných nedaňových príjmov v sume 43 152 tis. eur.  Predpokladá sa, že kapitálové príjmy dosiahnu výšku 165 970 tis. eur, a to najmä z predaja budov, bytov a z predaja pozemkov. Z úrokov z domácich úverov, pôžičiek a vkladov sa očakáva získať 13 277 tis. eur.</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b/>
          <w:sz w:val="22"/>
          <w:szCs w:val="24"/>
        </w:rPr>
        <w:t>Granty a transfery</w:t>
      </w:r>
      <w:r>
        <w:rPr>
          <w:rFonts w:ascii="Arial Narrow" w:hAnsi="Arial Narrow" w:cs="Arial Narrow"/>
          <w:sz w:val="22"/>
          <w:szCs w:val="24"/>
        </w:rPr>
        <w:t xml:space="preserve"> zo štátneho rozpočtu, zo štátnych fondov, z rozpočtov iných obcí na činnosť spoločných úradov obcí a z rozpočtov VÚC na riešenie spoločných úloh sa očakávajú  </w:t>
      </w:r>
      <w:r>
        <w:rPr>
          <w:rFonts w:ascii="Arial Narrow" w:hAnsi="Arial Narrow" w:cs="Arial Narrow"/>
          <w:b/>
          <w:sz w:val="22"/>
          <w:szCs w:val="24"/>
        </w:rPr>
        <w:t>v objeme 1 264</w:t>
      </w:r>
      <w:r w:rsidR="0095723F">
        <w:rPr>
          <w:rFonts w:ascii="Arial Narrow" w:hAnsi="Arial Narrow" w:cs="Arial Narrow"/>
          <w:b/>
          <w:sz w:val="22"/>
          <w:szCs w:val="24"/>
        </w:rPr>
        <w:t> </w:t>
      </w:r>
      <w:r>
        <w:rPr>
          <w:rFonts w:ascii="Arial Narrow" w:hAnsi="Arial Narrow" w:cs="Arial Narrow"/>
          <w:b/>
          <w:sz w:val="22"/>
          <w:szCs w:val="24"/>
        </w:rPr>
        <w:t>03</w:t>
      </w:r>
      <w:r w:rsidR="0095723F">
        <w:rPr>
          <w:rFonts w:ascii="Arial Narrow" w:hAnsi="Arial Narrow" w:cs="Arial Narrow"/>
          <w:b/>
          <w:sz w:val="22"/>
          <w:szCs w:val="24"/>
        </w:rPr>
        <w:t xml:space="preserve">9 </w:t>
      </w:r>
      <w:r>
        <w:rPr>
          <w:rFonts w:ascii="Arial Narrow" w:hAnsi="Arial Narrow" w:cs="Arial Narrow"/>
          <w:b/>
          <w:sz w:val="22"/>
          <w:szCs w:val="24"/>
        </w:rPr>
        <w:t xml:space="preserve">tis. eur, </w:t>
      </w:r>
      <w:r>
        <w:rPr>
          <w:rFonts w:ascii="Arial Narrow" w:hAnsi="Arial Narrow" w:cs="Arial Narrow"/>
          <w:sz w:val="22"/>
          <w:szCs w:val="24"/>
        </w:rPr>
        <w:t>z toho bežné transfery 1 085 632 tis. eur a  kapitálové transfery 178 40</w:t>
      </w:r>
      <w:r w:rsidR="0095723F">
        <w:rPr>
          <w:rFonts w:ascii="Arial Narrow" w:hAnsi="Arial Narrow" w:cs="Arial Narrow"/>
          <w:sz w:val="22"/>
          <w:szCs w:val="24"/>
        </w:rPr>
        <w:t>7</w:t>
      </w:r>
      <w:r>
        <w:rPr>
          <w:rFonts w:ascii="Arial Narrow" w:hAnsi="Arial Narrow" w:cs="Arial Narrow"/>
          <w:sz w:val="22"/>
          <w:szCs w:val="24"/>
        </w:rPr>
        <w:t xml:space="preserve"> tis. eur</w:t>
      </w:r>
      <w:r w:rsidRPr="00924F4F">
        <w:rPr>
          <w:rFonts w:ascii="Arial Narrow" w:hAnsi="Arial Narrow" w:cs="Arial Narrow"/>
          <w:sz w:val="22"/>
          <w:szCs w:val="24"/>
        </w:rPr>
        <w:t>. G</w:t>
      </w:r>
      <w:r>
        <w:rPr>
          <w:rFonts w:ascii="Arial Narrow" w:hAnsi="Arial Narrow" w:cs="Arial Narrow"/>
          <w:sz w:val="22"/>
          <w:szCs w:val="24"/>
        </w:rPr>
        <w:t>ranty a transfery zo štátneho rozpočtu  do rozpočtov obcí sa očakávajú z týchto kapitol:</w:t>
      </w:r>
    </w:p>
    <w:p w:rsidR="0084667A" w:rsidRPr="004F4646" w:rsidP="0084667A">
      <w:pPr>
        <w:ind w:left="720" w:hanging="180"/>
        <w:jc w:val="both"/>
        <w:rPr>
          <w:rFonts w:ascii="Arial Narrow" w:hAnsi="Arial Narrow" w:cs="Arial Narrow"/>
          <w:sz w:val="10"/>
          <w:szCs w:val="24"/>
        </w:rPr>
      </w:pPr>
    </w:p>
    <w:p w:rsidR="0084667A" w:rsidP="0084667A">
      <w:pPr>
        <w:ind w:left="720" w:hanging="180"/>
        <w:jc w:val="both"/>
        <w:rPr>
          <w:rFonts w:ascii="Arial Narrow" w:hAnsi="Arial Narrow" w:cs="Arial Narrow"/>
          <w:sz w:val="22"/>
          <w:szCs w:val="24"/>
        </w:rPr>
      </w:pPr>
      <w:r>
        <w:rPr>
          <w:rFonts w:ascii="Arial Narrow" w:hAnsi="Arial Narrow" w:cs="Arial Narrow"/>
          <w:sz w:val="22"/>
          <w:szCs w:val="24"/>
        </w:rPr>
        <w:t xml:space="preserve"> - </w:t>
      </w:r>
      <w:r>
        <w:rPr>
          <w:rFonts w:ascii="Arial Narrow" w:hAnsi="Arial Narrow" w:cs="Arial Narrow"/>
          <w:sz w:val="22"/>
          <w:szCs w:val="24"/>
          <w:u w:val="single"/>
        </w:rPr>
        <w:t>Ministerstva školstva SR</w:t>
      </w:r>
      <w:r>
        <w:rPr>
          <w:rFonts w:ascii="Arial Narrow" w:hAnsi="Arial Narrow" w:cs="Arial Narrow"/>
          <w:sz w:val="22"/>
          <w:szCs w:val="24"/>
        </w:rPr>
        <w:t xml:space="preserve"> – v celkovej sume </w:t>
      </w:r>
      <w:r>
        <w:rPr>
          <w:rFonts w:ascii="Arial Narrow" w:hAnsi="Arial Narrow" w:cs="Arial Narrow"/>
          <w:b/>
          <w:sz w:val="22"/>
          <w:szCs w:val="24"/>
        </w:rPr>
        <w:t>657 698</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xml:space="preserve">. Na zabezpečenie </w:t>
      </w:r>
      <w:r>
        <w:rPr>
          <w:rFonts w:ascii="Arial Narrow" w:hAnsi="Arial Narrow" w:cs="Arial Narrow"/>
          <w:b/>
          <w:sz w:val="22"/>
          <w:szCs w:val="24"/>
        </w:rPr>
        <w:t>preneseného výkonu   štátnej správy</w:t>
      </w:r>
      <w:r>
        <w:rPr>
          <w:rFonts w:ascii="Arial Narrow" w:hAnsi="Arial Narrow" w:cs="Arial Narrow"/>
          <w:sz w:val="22"/>
          <w:szCs w:val="24"/>
        </w:rPr>
        <w:t xml:space="preserve"> na financovanie činností základných škôl a na činnosť spoločných úradovní obcí pre úsek školstva bude smerovať suma </w:t>
      </w:r>
      <w:r>
        <w:rPr>
          <w:rFonts w:ascii="Arial Narrow" w:hAnsi="Arial Narrow" w:cs="Arial Narrow"/>
          <w:b/>
          <w:sz w:val="22"/>
          <w:szCs w:val="24"/>
        </w:rPr>
        <w:t>600 894</w:t>
      </w:r>
      <w:r>
        <w:rPr>
          <w:rFonts w:ascii="Arial Narrow" w:hAnsi="Arial Narrow" w:cs="Arial Narrow"/>
          <w:sz w:val="22"/>
          <w:szCs w:val="24"/>
        </w:rPr>
        <w:t xml:space="preserve"> </w:t>
      </w:r>
      <w:r>
        <w:rPr>
          <w:rFonts w:ascii="Arial Narrow" w:hAnsi="Arial Narrow" w:cs="Arial Narrow"/>
          <w:b/>
          <w:sz w:val="22"/>
          <w:szCs w:val="24"/>
        </w:rPr>
        <w:t xml:space="preserve">tis. eur </w:t>
      </w:r>
      <w:r>
        <w:rPr>
          <w:rFonts w:ascii="Arial Narrow" w:hAnsi="Arial Narrow" w:cs="Arial Narrow"/>
          <w:sz w:val="22"/>
          <w:szCs w:val="24"/>
        </w:rPr>
        <w:t>a ostatné finančné prostriedky</w:t>
      </w:r>
      <w:r>
        <w:rPr>
          <w:rFonts w:ascii="Arial Narrow" w:hAnsi="Arial Narrow" w:cs="Arial Narrow"/>
          <w:b/>
          <w:sz w:val="22"/>
          <w:szCs w:val="24"/>
        </w:rPr>
        <w:t xml:space="preserve"> </w:t>
      </w:r>
      <w:r w:rsidRPr="002B5C85">
        <w:rPr>
          <w:rFonts w:ascii="Arial Narrow" w:hAnsi="Arial Narrow" w:cs="Arial Narrow"/>
          <w:sz w:val="22"/>
          <w:szCs w:val="24"/>
        </w:rPr>
        <w:t>v</w:t>
      </w:r>
      <w:r>
        <w:rPr>
          <w:rFonts w:ascii="Arial Narrow" w:hAnsi="Arial Narrow" w:cs="Arial Narrow"/>
          <w:sz w:val="22"/>
          <w:szCs w:val="24"/>
        </w:rPr>
        <w:t> </w:t>
      </w:r>
      <w:r w:rsidRPr="002B5C85">
        <w:rPr>
          <w:rFonts w:ascii="Arial Narrow" w:hAnsi="Arial Narrow" w:cs="Arial Narrow"/>
          <w:sz w:val="22"/>
          <w:szCs w:val="24"/>
        </w:rPr>
        <w:t>sume</w:t>
      </w:r>
      <w:r>
        <w:rPr>
          <w:rFonts w:ascii="Arial Narrow" w:hAnsi="Arial Narrow" w:cs="Arial Narrow"/>
          <w:sz w:val="22"/>
          <w:szCs w:val="24"/>
        </w:rPr>
        <w:t xml:space="preserve"> 56 804 tis. eur</w:t>
      </w:r>
      <w:r>
        <w:rPr>
          <w:rFonts w:ascii="Arial Narrow" w:hAnsi="Arial Narrow" w:cs="Arial Narrow"/>
          <w:b/>
          <w:sz w:val="22"/>
          <w:szCs w:val="24"/>
        </w:rPr>
        <w:t xml:space="preserve"> </w:t>
      </w:r>
      <w:r w:rsidRPr="002B5C85">
        <w:rPr>
          <w:rFonts w:ascii="Arial Narrow" w:hAnsi="Arial Narrow" w:cs="Arial Narrow"/>
          <w:sz w:val="22"/>
          <w:szCs w:val="24"/>
        </w:rPr>
        <w:t>budú</w:t>
      </w:r>
      <w:r>
        <w:rPr>
          <w:rFonts w:ascii="Arial Narrow" w:hAnsi="Arial Narrow" w:cs="Arial Narrow"/>
          <w:sz w:val="22"/>
          <w:szCs w:val="24"/>
        </w:rPr>
        <w:t xml:space="preserve"> smerované na realizáciu aktivít kapitálového charakteru a na ďalšie vzdelávanie. Z transferov zo štátneho rozpočtu na školstvo sa predpokladajú financovať aj projekty financované zo štrukturálnych fondov vrátane spolufinancovania z Operačného programu Vzdelávanie na uskutočnenie obsahovej prestavby vzdelávania, podpora vzdelávania osôb s osobitnými vzdelávacími potrebami a na moderné vzdelávanie pre vedomostnú spoločnosť pre Bratislavský kraj.  </w:t>
      </w:r>
    </w:p>
    <w:p w:rsidR="0084667A" w:rsidRPr="004F4646" w:rsidP="0084667A">
      <w:pPr>
        <w:jc w:val="both"/>
        <w:rPr>
          <w:rFonts w:ascii="Arial Narrow" w:hAnsi="Arial Narrow" w:cs="Arial Narrow"/>
          <w:sz w:val="10"/>
          <w:szCs w:val="24"/>
        </w:rPr>
      </w:pPr>
    </w:p>
    <w:p w:rsidR="0084667A" w:rsidP="002B1759">
      <w:pPr>
        <w:numPr>
          <w:numId w:val="15"/>
        </w:numPr>
        <w:tabs>
          <w:tab w:val="num" w:pos="720"/>
        </w:tabs>
        <w:ind w:left="720" w:hanging="180"/>
        <w:jc w:val="both"/>
        <w:rPr>
          <w:rFonts w:ascii="Arial Narrow" w:hAnsi="Arial Narrow" w:cs="Arial Narrow"/>
          <w:sz w:val="22"/>
          <w:szCs w:val="24"/>
        </w:rPr>
      </w:pPr>
      <w:r>
        <w:rPr>
          <w:rFonts w:ascii="Arial Narrow" w:hAnsi="Arial Narrow" w:cs="Arial Narrow"/>
          <w:sz w:val="22"/>
          <w:szCs w:val="24"/>
          <w:u w:val="single"/>
        </w:rPr>
        <w:t>Ministerstva vnútra SR</w:t>
      </w:r>
      <w:r>
        <w:rPr>
          <w:rFonts w:ascii="Arial Narrow" w:hAnsi="Arial Narrow" w:cs="Arial Narrow"/>
          <w:sz w:val="22"/>
          <w:szCs w:val="24"/>
        </w:rPr>
        <w:t xml:space="preserve"> – v sume </w:t>
      </w:r>
      <w:r>
        <w:rPr>
          <w:rFonts w:ascii="Arial Narrow" w:hAnsi="Arial Narrow" w:cs="Arial Narrow"/>
          <w:b/>
          <w:sz w:val="22"/>
          <w:szCs w:val="24"/>
        </w:rPr>
        <w:t>15 809 tis. eur</w:t>
      </w:r>
      <w:r>
        <w:rPr>
          <w:rFonts w:ascii="Arial Narrow" w:hAnsi="Arial Narrow" w:cs="Arial Narrow"/>
          <w:sz w:val="22"/>
          <w:szCs w:val="24"/>
        </w:rPr>
        <w:t xml:space="preserve">.  Na </w:t>
      </w:r>
      <w:r>
        <w:rPr>
          <w:rFonts w:ascii="Arial Narrow" w:hAnsi="Arial Narrow" w:cs="Arial Narrow"/>
          <w:b/>
          <w:sz w:val="22"/>
          <w:szCs w:val="24"/>
        </w:rPr>
        <w:t>prenesený výkon štátnej správy</w:t>
      </w:r>
      <w:r>
        <w:rPr>
          <w:rFonts w:ascii="Arial Narrow" w:hAnsi="Arial Narrow" w:cs="Arial Narrow"/>
          <w:sz w:val="22"/>
          <w:szCs w:val="24"/>
        </w:rPr>
        <w:t xml:space="preserve"> sú určené finančné prostriedky v celkovej sume </w:t>
      </w:r>
      <w:r>
        <w:rPr>
          <w:rFonts w:ascii="Arial Narrow" w:hAnsi="Arial Narrow" w:cs="Arial Narrow"/>
          <w:b/>
          <w:sz w:val="22"/>
          <w:szCs w:val="24"/>
        </w:rPr>
        <w:t>7 351 tis. eur</w:t>
      </w:r>
      <w:r>
        <w:rPr>
          <w:rFonts w:ascii="Arial Narrow" w:hAnsi="Arial Narrow" w:cs="Arial Narrow"/>
          <w:sz w:val="22"/>
          <w:szCs w:val="24"/>
        </w:rPr>
        <w:t xml:space="preserve">, z toho na činnosť matričných úradov v sume 5 569 tis. eur a na hlásenie a evidenciu občanov a register občanov podľa zákona č. 153/1998 Z. z. 1 782 tis. eur. Z ostatných finančných prostriedkov poskytnutých obciam (8 458 tis. eur) </w:t>
      </w:r>
      <w:r>
        <w:rPr>
          <w:rFonts w:ascii="Arial Narrow" w:hAnsi="Arial Narrow" w:cs="Arial Narrow"/>
          <w:color w:val="000000"/>
          <w:sz w:val="22"/>
          <w:szCs w:val="24"/>
        </w:rPr>
        <w:t>budú financované voľby do orgánov samosprávy obcí, azylová politika – pomoc občanom v hmotnej núdzi (Migračný úrad prostredníctvom obcí) a na ochranu a udržiavanie vojnových hrobov.</w:t>
      </w:r>
    </w:p>
    <w:p w:rsidR="0084667A" w:rsidRPr="004F4646" w:rsidP="0084667A">
      <w:pPr>
        <w:jc w:val="both"/>
        <w:rPr>
          <w:rFonts w:ascii="Arial Narrow" w:hAnsi="Arial Narrow" w:cs="Arial Narrow"/>
          <w:sz w:val="10"/>
          <w:szCs w:val="24"/>
        </w:rPr>
      </w:pPr>
    </w:p>
    <w:p w:rsidR="0084667A" w:rsidP="002B1759">
      <w:pPr>
        <w:numPr>
          <w:numId w:val="15"/>
        </w:numPr>
        <w:tabs>
          <w:tab w:val="num" w:pos="720"/>
        </w:tabs>
        <w:ind w:left="720" w:hanging="180"/>
        <w:jc w:val="both"/>
        <w:rPr>
          <w:rFonts w:ascii="Arial Narrow" w:hAnsi="Arial Narrow" w:cs="Arial Narrow"/>
          <w:sz w:val="22"/>
          <w:szCs w:val="24"/>
        </w:rPr>
      </w:pPr>
      <w:r>
        <w:rPr>
          <w:rFonts w:ascii="Arial Narrow" w:hAnsi="Arial Narrow" w:cs="Arial Narrow"/>
          <w:sz w:val="22"/>
          <w:szCs w:val="24"/>
          <w:u w:val="single"/>
        </w:rPr>
        <w:t>Ministerstva dopravy, pôšt a telekomunikácií SR –</w:t>
      </w:r>
      <w:r>
        <w:rPr>
          <w:rFonts w:ascii="Arial Narrow" w:hAnsi="Arial Narrow" w:cs="Arial Narrow"/>
          <w:sz w:val="22"/>
          <w:szCs w:val="24"/>
        </w:rPr>
        <w:t xml:space="preserve"> suma </w:t>
      </w:r>
      <w:r>
        <w:rPr>
          <w:rFonts w:ascii="Arial Narrow" w:hAnsi="Arial Narrow" w:cs="Arial Narrow"/>
          <w:b/>
          <w:sz w:val="22"/>
          <w:szCs w:val="24"/>
        </w:rPr>
        <w:t>278</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xml:space="preserve"> je určená obciam na financovanie </w:t>
      </w:r>
      <w:r>
        <w:rPr>
          <w:rFonts w:ascii="Arial Narrow" w:hAnsi="Arial Narrow" w:cs="Arial Narrow"/>
          <w:b/>
          <w:sz w:val="22"/>
          <w:szCs w:val="24"/>
        </w:rPr>
        <w:t>preneseného výkonu štátnej správy</w:t>
      </w:r>
      <w:r>
        <w:rPr>
          <w:rFonts w:ascii="Arial Narrow" w:hAnsi="Arial Narrow" w:cs="Arial Narrow"/>
          <w:sz w:val="22"/>
          <w:szCs w:val="24"/>
        </w:rPr>
        <w:t xml:space="preserve"> v oblasti pozemných komunikácií – špeciálnych stavebných úradov.</w:t>
      </w:r>
    </w:p>
    <w:p w:rsidR="0084667A" w:rsidRPr="004F4646" w:rsidP="0084667A">
      <w:pPr>
        <w:tabs>
          <w:tab w:val="num" w:pos="900"/>
        </w:tabs>
        <w:jc w:val="both"/>
        <w:rPr>
          <w:rFonts w:ascii="Arial Narrow" w:hAnsi="Arial Narrow" w:cs="Arial Narrow"/>
          <w:sz w:val="10"/>
          <w:szCs w:val="24"/>
        </w:rPr>
      </w:pPr>
      <w:r w:rsidRPr="004F4646">
        <w:rPr>
          <w:rFonts w:ascii="Arial Narrow" w:hAnsi="Arial Narrow" w:cs="Arial Narrow"/>
          <w:sz w:val="10"/>
          <w:szCs w:val="24"/>
        </w:rPr>
        <w:t xml:space="preserve">   </w:t>
      </w:r>
    </w:p>
    <w:p w:rsidR="0084667A" w:rsidP="0084667A">
      <w:pPr>
        <w:ind w:left="720" w:hanging="135"/>
        <w:jc w:val="both"/>
        <w:rPr>
          <w:rFonts w:ascii="Arial Narrow" w:hAnsi="Arial Narrow" w:cs="Arial Narrow"/>
          <w:sz w:val="22"/>
          <w:szCs w:val="24"/>
        </w:rPr>
      </w:pPr>
      <w:r>
        <w:rPr>
          <w:rFonts w:ascii="Arial Narrow" w:hAnsi="Arial Narrow" w:cs="Arial Narrow"/>
          <w:sz w:val="22"/>
          <w:szCs w:val="24"/>
        </w:rPr>
        <w:t xml:space="preserve">- </w:t>
      </w:r>
      <w:r>
        <w:rPr>
          <w:rFonts w:ascii="Arial Narrow" w:hAnsi="Arial Narrow" w:cs="Arial Narrow"/>
          <w:sz w:val="22"/>
          <w:szCs w:val="24"/>
          <w:u w:val="single"/>
        </w:rPr>
        <w:t>Ministerstva výstavby a regionálneho rozvoja SR</w:t>
      </w:r>
      <w:r>
        <w:rPr>
          <w:rFonts w:ascii="Arial Narrow" w:hAnsi="Arial Narrow" w:cs="Arial Narrow"/>
          <w:sz w:val="22"/>
          <w:szCs w:val="24"/>
        </w:rPr>
        <w:t xml:space="preserve"> –  celková  suma  </w:t>
      </w:r>
      <w:r>
        <w:rPr>
          <w:rFonts w:ascii="Arial Narrow" w:hAnsi="Arial Narrow" w:cs="Arial Narrow"/>
          <w:b/>
          <w:sz w:val="22"/>
          <w:szCs w:val="24"/>
        </w:rPr>
        <w:t> 314 327 tis. eur.</w:t>
      </w:r>
      <w:r>
        <w:rPr>
          <w:rFonts w:ascii="Arial Narrow" w:hAnsi="Arial Narrow" w:cs="Arial Narrow"/>
          <w:sz w:val="22"/>
          <w:szCs w:val="24"/>
        </w:rPr>
        <w:t xml:space="preserve">   Na  financovanie   </w:t>
      </w:r>
      <w:r>
        <w:rPr>
          <w:rFonts w:ascii="Arial Narrow" w:hAnsi="Arial Narrow" w:cs="Arial Narrow"/>
          <w:b/>
          <w:sz w:val="22"/>
          <w:szCs w:val="24"/>
        </w:rPr>
        <w:t xml:space="preserve">preneseného  výkonu   štátnej   správy </w:t>
      </w:r>
      <w:r>
        <w:rPr>
          <w:rFonts w:ascii="Arial Narrow" w:hAnsi="Arial Narrow" w:cs="Arial Narrow"/>
          <w:sz w:val="22"/>
          <w:szCs w:val="24"/>
        </w:rPr>
        <w:t xml:space="preserve">je rozpočtovaný bežný  transfer v sume </w:t>
      </w:r>
      <w:r>
        <w:rPr>
          <w:rFonts w:ascii="Arial Narrow" w:hAnsi="Arial Narrow" w:cs="Arial Narrow"/>
          <w:b/>
          <w:sz w:val="22"/>
          <w:szCs w:val="24"/>
        </w:rPr>
        <w:t>6 008</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xml:space="preserve"> na zabezpečenie činnosti v oblasti stavebného poriadku a bývania. Ďalšie transfery sa predpokladajú poskytnúť obciam na podporu územného rozvoja, na realizáciu projektov EÚ v oblasti kultúrneho rozvoja, spolupráce a sieťovania, vzdelávania, rozvoja podnikateľského a inovačného prostredia, cezhraničného turizmu, fondu mikroregiónov, rozvoja dopravnej, kultúrnej infraštruktúry a na výstavbu a obnovu bytového fondu.  </w:t>
      </w:r>
    </w:p>
    <w:p w:rsidR="0084667A" w:rsidRPr="004F4646" w:rsidP="0084667A">
      <w:pPr>
        <w:jc w:val="both"/>
        <w:rPr>
          <w:rFonts w:ascii="Arial Narrow" w:hAnsi="Arial Narrow" w:cs="Arial Narrow"/>
          <w:sz w:val="10"/>
          <w:szCs w:val="24"/>
        </w:rPr>
      </w:pPr>
    </w:p>
    <w:p w:rsidR="0084667A" w:rsidP="002B1759">
      <w:pPr>
        <w:numPr>
          <w:numId w:val="16"/>
        </w:numPr>
        <w:tabs>
          <w:tab w:val="num" w:pos="720"/>
          <w:tab w:val="clear" w:pos="900"/>
        </w:tabs>
        <w:ind w:left="720" w:hanging="180"/>
        <w:jc w:val="both"/>
        <w:rPr>
          <w:rFonts w:ascii="Arial Narrow" w:hAnsi="Arial Narrow" w:cs="Arial Narrow"/>
          <w:sz w:val="22"/>
          <w:szCs w:val="24"/>
        </w:rPr>
      </w:pPr>
      <w:r>
        <w:rPr>
          <w:rFonts w:ascii="Arial Narrow" w:hAnsi="Arial Narrow" w:cs="Arial Narrow"/>
          <w:sz w:val="22"/>
          <w:szCs w:val="24"/>
          <w:u w:val="single"/>
        </w:rPr>
        <w:t>Ministerstva životného prostredia SR</w:t>
      </w:r>
      <w:r>
        <w:rPr>
          <w:rFonts w:ascii="Arial Narrow" w:hAnsi="Arial Narrow" w:cs="Arial Narrow"/>
          <w:sz w:val="22"/>
          <w:szCs w:val="24"/>
        </w:rPr>
        <w:t xml:space="preserve"> – celková suma </w:t>
      </w:r>
      <w:r>
        <w:rPr>
          <w:rFonts w:ascii="Arial Narrow" w:hAnsi="Arial Narrow" w:cs="Arial Narrow"/>
          <w:b/>
          <w:sz w:val="22"/>
          <w:szCs w:val="24"/>
        </w:rPr>
        <w:t>10 184</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xml:space="preserve">. Dotácie sú smerované </w:t>
      </w:r>
      <w:r>
        <w:rPr>
          <w:rFonts w:ascii="Arial Narrow" w:hAnsi="Arial Narrow" w:cs="Arial Narrow"/>
          <w:b/>
          <w:sz w:val="22"/>
          <w:szCs w:val="24"/>
        </w:rPr>
        <w:t>na prenesený výkon štátnej správy</w:t>
      </w:r>
      <w:r>
        <w:rPr>
          <w:rFonts w:ascii="Arial Narrow" w:hAnsi="Arial Narrow" w:cs="Arial Narrow"/>
          <w:sz w:val="22"/>
          <w:szCs w:val="24"/>
        </w:rPr>
        <w:t xml:space="preserve"> na úseku ochrany prírody, ovzdušia, vôd a protipovodňovej ochrany v sume </w:t>
      </w:r>
      <w:r>
        <w:rPr>
          <w:rFonts w:ascii="Arial Narrow" w:hAnsi="Arial Narrow" w:cs="Arial Narrow"/>
          <w:b/>
          <w:sz w:val="22"/>
          <w:szCs w:val="24"/>
        </w:rPr>
        <w:t>619</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ostatné dotácie (9 565 tis. eur) na podporu realizácie environmentálnych opatrení na podporu investičných akcií v oblasti odpadového hospodárstva - nakladanie s odpadmi, na sanáciu skládok a podporu separovaného zberu, na ochranu ovzdušia - znižovanie znečisťovania a ochrany životného prostredia.</w:t>
      </w:r>
    </w:p>
    <w:p w:rsidR="0084667A" w:rsidP="0084667A">
      <w:pPr>
        <w:ind w:left="720" w:hanging="180"/>
        <w:jc w:val="both"/>
        <w:rPr>
          <w:rFonts w:ascii="Arial Narrow" w:hAnsi="Arial Narrow" w:cs="Arial Narrow"/>
          <w:sz w:val="22"/>
          <w:szCs w:val="24"/>
        </w:rPr>
      </w:pPr>
    </w:p>
    <w:p w:rsidR="0084667A" w:rsidP="002B1759">
      <w:pPr>
        <w:numPr>
          <w:numId w:val="16"/>
        </w:numPr>
        <w:tabs>
          <w:tab w:val="num" w:pos="720"/>
        </w:tabs>
        <w:ind w:left="720" w:hanging="180"/>
        <w:jc w:val="both"/>
        <w:rPr>
          <w:rFonts w:ascii="Arial Narrow" w:hAnsi="Arial Narrow" w:cs="Arial Narrow"/>
          <w:sz w:val="22"/>
          <w:szCs w:val="24"/>
        </w:rPr>
      </w:pPr>
      <w:r>
        <w:rPr>
          <w:rFonts w:ascii="Arial Narrow" w:hAnsi="Arial Narrow" w:cs="Arial Narrow"/>
          <w:sz w:val="22"/>
          <w:szCs w:val="24"/>
          <w:u w:val="single"/>
        </w:rPr>
        <w:t>Ministerstva hospodárstva SR</w:t>
      </w:r>
      <w:r>
        <w:rPr>
          <w:rFonts w:ascii="Arial Narrow" w:hAnsi="Arial Narrow" w:cs="Arial Narrow"/>
          <w:sz w:val="22"/>
          <w:szCs w:val="24"/>
        </w:rPr>
        <w:t xml:space="preserve"> – do rozpočtov obcí budú smerovať finančné prostriedky v sume </w:t>
      </w:r>
      <w:r>
        <w:rPr>
          <w:rFonts w:ascii="Arial Narrow" w:hAnsi="Arial Narrow" w:cs="Arial Narrow"/>
          <w:b/>
          <w:sz w:val="22"/>
          <w:szCs w:val="24"/>
        </w:rPr>
        <w:t xml:space="preserve">37 967 tis. eur. </w:t>
      </w:r>
      <w:r>
        <w:rPr>
          <w:rFonts w:ascii="Arial Narrow" w:hAnsi="Arial Narrow" w:cs="Arial Narrow"/>
          <w:sz w:val="22"/>
          <w:szCs w:val="24"/>
        </w:rPr>
        <w:t>Ide o finančné prostriedky zo zdrojov EÚ a spolufinancovania zo štátneho rozpočtu na podporu spoločných služieb pre podnikateľov.</w:t>
      </w:r>
    </w:p>
    <w:p w:rsidR="0084667A" w:rsidRPr="004F4646" w:rsidP="0084667A">
      <w:pPr>
        <w:jc w:val="both"/>
        <w:rPr>
          <w:rFonts w:ascii="Arial Narrow" w:hAnsi="Arial Narrow" w:cs="Arial Narrow"/>
          <w:sz w:val="10"/>
          <w:szCs w:val="24"/>
        </w:rPr>
      </w:pPr>
      <w:r w:rsidRPr="004F4646">
        <w:rPr>
          <w:rFonts w:ascii="Arial Narrow" w:hAnsi="Arial Narrow" w:cs="Arial Narrow"/>
          <w:sz w:val="10"/>
          <w:szCs w:val="24"/>
        </w:rPr>
        <w:t xml:space="preserve"> </w:t>
      </w:r>
    </w:p>
    <w:p w:rsidR="0084667A" w:rsidP="002B1759">
      <w:pPr>
        <w:numPr>
          <w:numId w:val="16"/>
        </w:numPr>
        <w:tabs>
          <w:tab w:val="num" w:pos="720"/>
          <w:tab w:val="clear" w:pos="900"/>
        </w:tabs>
        <w:ind w:left="720" w:hanging="180"/>
        <w:jc w:val="both"/>
        <w:rPr>
          <w:rFonts w:ascii="Arial Narrow" w:hAnsi="Arial Narrow" w:cs="Arial Narrow"/>
          <w:sz w:val="22"/>
          <w:szCs w:val="24"/>
        </w:rPr>
      </w:pPr>
      <w:r>
        <w:rPr>
          <w:rFonts w:ascii="Arial Narrow" w:hAnsi="Arial Narrow" w:cs="Arial Narrow"/>
          <w:sz w:val="22"/>
          <w:szCs w:val="24"/>
          <w:u w:val="single"/>
        </w:rPr>
        <w:t xml:space="preserve">Ministerstva práce, sociálnych vecí a rodiny SR </w:t>
      </w:r>
      <w:r>
        <w:rPr>
          <w:rFonts w:ascii="Arial Narrow" w:hAnsi="Arial Narrow" w:cs="Arial Narrow"/>
          <w:sz w:val="22"/>
          <w:szCs w:val="24"/>
        </w:rPr>
        <w:t xml:space="preserve">- v sume </w:t>
      </w:r>
      <w:r>
        <w:rPr>
          <w:rFonts w:ascii="Arial Narrow" w:hAnsi="Arial Narrow" w:cs="Arial Narrow"/>
          <w:b/>
          <w:sz w:val="22"/>
          <w:szCs w:val="24"/>
        </w:rPr>
        <w:t>11 681</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ktoré budú poskytované obciam na výkon osobitného príjemcu, výdavky na stravu pre deti v hmotnej núdzi, na školské potreby a motivačný príspevok  pre deti v hmotnej núdzi.</w:t>
      </w:r>
    </w:p>
    <w:p w:rsidR="0084667A" w:rsidRPr="004F4646" w:rsidP="0084667A">
      <w:pPr>
        <w:jc w:val="both"/>
        <w:rPr>
          <w:rFonts w:ascii="Arial Narrow" w:hAnsi="Arial Narrow" w:cs="Arial Narrow"/>
          <w:sz w:val="10"/>
          <w:szCs w:val="24"/>
        </w:rPr>
      </w:pPr>
    </w:p>
    <w:p w:rsidR="0084667A" w:rsidRPr="003A016F" w:rsidP="002B1759">
      <w:pPr>
        <w:numPr>
          <w:numId w:val="16"/>
        </w:numPr>
        <w:tabs>
          <w:tab w:val="num" w:pos="720"/>
          <w:tab w:val="clear" w:pos="900"/>
        </w:tabs>
        <w:ind w:left="720" w:hanging="180"/>
        <w:jc w:val="both"/>
        <w:rPr>
          <w:rFonts w:ascii="Arial Narrow" w:hAnsi="Arial Narrow" w:cs="Arial Narrow"/>
          <w:sz w:val="22"/>
          <w:szCs w:val="24"/>
        </w:rPr>
      </w:pPr>
      <w:r>
        <w:rPr>
          <w:rFonts w:ascii="Arial Narrow" w:hAnsi="Arial Narrow" w:cs="Arial Narrow"/>
          <w:sz w:val="22"/>
          <w:szCs w:val="24"/>
          <w:u w:val="single"/>
        </w:rPr>
        <w:t xml:space="preserve">Ministerstva kultúry SR </w:t>
      </w:r>
      <w:r>
        <w:rPr>
          <w:rFonts w:ascii="Arial Narrow" w:hAnsi="Arial Narrow" w:cs="Arial Narrow"/>
          <w:sz w:val="22"/>
          <w:szCs w:val="24"/>
        </w:rPr>
        <w:t xml:space="preserve">– v sume </w:t>
      </w:r>
      <w:r>
        <w:rPr>
          <w:rFonts w:ascii="Arial Narrow" w:hAnsi="Arial Narrow" w:cs="Arial Narrow"/>
          <w:b/>
          <w:sz w:val="22"/>
          <w:szCs w:val="24"/>
        </w:rPr>
        <w:t>122</w:t>
      </w:r>
      <w:r w:rsidRPr="003A016F">
        <w:rPr>
          <w:rFonts w:ascii="Arial Narrow" w:hAnsi="Arial Narrow" w:cs="Arial Narrow"/>
          <w:b/>
          <w:sz w:val="22"/>
          <w:szCs w:val="24"/>
        </w:rPr>
        <w:t xml:space="preserve"> tis. </w:t>
      </w:r>
      <w:r>
        <w:rPr>
          <w:rFonts w:ascii="Arial Narrow" w:hAnsi="Arial Narrow" w:cs="Arial Narrow"/>
          <w:b/>
          <w:sz w:val="22"/>
          <w:szCs w:val="24"/>
        </w:rPr>
        <w:t>e</w:t>
      </w:r>
      <w:r w:rsidRPr="003A016F">
        <w:rPr>
          <w:rFonts w:ascii="Arial Narrow" w:hAnsi="Arial Narrow" w:cs="Arial Narrow"/>
          <w:b/>
          <w:sz w:val="22"/>
          <w:szCs w:val="24"/>
        </w:rPr>
        <w:t>ur</w:t>
      </w:r>
      <w:r>
        <w:rPr>
          <w:rFonts w:ascii="Arial Narrow" w:hAnsi="Arial Narrow" w:cs="Arial Narrow"/>
          <w:b/>
          <w:sz w:val="22"/>
          <w:szCs w:val="24"/>
        </w:rPr>
        <w:t xml:space="preserve"> </w:t>
      </w:r>
      <w:r w:rsidRPr="003A016F">
        <w:rPr>
          <w:rFonts w:ascii="Arial Narrow" w:hAnsi="Arial Narrow" w:cs="Arial Narrow"/>
          <w:sz w:val="22"/>
          <w:szCs w:val="24"/>
        </w:rPr>
        <w:t>na financov</w:t>
      </w:r>
      <w:r>
        <w:rPr>
          <w:rFonts w:ascii="Arial Narrow" w:hAnsi="Arial Narrow" w:cs="Arial Narrow"/>
          <w:sz w:val="22"/>
          <w:szCs w:val="24"/>
        </w:rPr>
        <w:t>anie obnovy kultúrnych pamiatok, na podporu  návštevnosti kultúrnych podujatí, na mimoriadne kultúrne aktivity  a kultúrne aktivity v oblasti pamäťových inštitúcií.</w:t>
      </w:r>
    </w:p>
    <w:p w:rsidR="0084667A" w:rsidRPr="004F4646" w:rsidP="0084667A">
      <w:pPr>
        <w:jc w:val="both"/>
        <w:rPr>
          <w:rFonts w:ascii="Arial Narrow" w:hAnsi="Arial Narrow" w:cs="Arial Narrow"/>
          <w:sz w:val="10"/>
          <w:szCs w:val="24"/>
        </w:rPr>
      </w:pPr>
    </w:p>
    <w:p w:rsidR="0084667A" w:rsidP="002B1759">
      <w:pPr>
        <w:numPr>
          <w:numId w:val="16"/>
        </w:numPr>
        <w:tabs>
          <w:tab w:val="num" w:pos="720"/>
        </w:tabs>
        <w:ind w:left="720" w:hanging="180"/>
        <w:jc w:val="both"/>
        <w:rPr>
          <w:rFonts w:ascii="Arial Narrow" w:hAnsi="Arial Narrow" w:cs="Arial Narrow"/>
          <w:sz w:val="22"/>
          <w:szCs w:val="24"/>
        </w:rPr>
      </w:pPr>
      <w:r>
        <w:rPr>
          <w:rFonts w:ascii="Arial Narrow" w:hAnsi="Arial Narrow" w:cs="Arial Narrow"/>
          <w:sz w:val="22"/>
          <w:szCs w:val="24"/>
          <w:u w:val="single"/>
        </w:rPr>
        <w:t>Úradu vlády SR</w:t>
      </w:r>
      <w:r>
        <w:rPr>
          <w:rFonts w:ascii="Arial Narrow" w:hAnsi="Arial Narrow" w:cs="Arial Narrow"/>
          <w:sz w:val="22"/>
          <w:szCs w:val="24"/>
        </w:rPr>
        <w:t xml:space="preserve"> – do rozpočtov obcí budú smerovať finančné prostriedky v sume </w:t>
      </w:r>
      <w:r>
        <w:rPr>
          <w:rFonts w:ascii="Arial Narrow" w:hAnsi="Arial Narrow" w:cs="Arial Narrow"/>
          <w:b/>
          <w:sz w:val="22"/>
          <w:szCs w:val="24"/>
        </w:rPr>
        <w:t>4 334 tis. eur</w:t>
      </w:r>
      <w:r>
        <w:rPr>
          <w:rFonts w:ascii="Arial Narrow" w:hAnsi="Arial Narrow" w:cs="Arial Narrow"/>
          <w:sz w:val="22"/>
          <w:szCs w:val="24"/>
        </w:rPr>
        <w:t xml:space="preserve"> na financovanie menšinovej a kultúrnej politiky, na programy rozvoja obcí, činností obcí a na podporu športových aktivít.</w:t>
      </w:r>
    </w:p>
    <w:p w:rsidR="0084667A" w:rsidRPr="004F4646" w:rsidP="0084667A">
      <w:pPr>
        <w:jc w:val="both"/>
        <w:rPr>
          <w:rFonts w:ascii="Arial Narrow" w:hAnsi="Arial Narrow" w:cs="Arial Narrow"/>
          <w:sz w:val="10"/>
          <w:szCs w:val="24"/>
        </w:rPr>
      </w:pPr>
    </w:p>
    <w:p w:rsidR="00E664B7" w:rsidP="00E664B7">
      <w:pPr>
        <w:ind w:left="540"/>
        <w:jc w:val="both"/>
        <w:rPr>
          <w:rFonts w:ascii="Arial Narrow" w:hAnsi="Arial Narrow" w:cs="Arial Narrow"/>
          <w:b/>
          <w:sz w:val="22"/>
          <w:szCs w:val="24"/>
        </w:rPr>
      </w:pPr>
    </w:p>
    <w:p w:rsidR="0084667A" w:rsidP="0084667A">
      <w:pPr>
        <w:ind w:firstLine="720"/>
        <w:jc w:val="both"/>
        <w:rPr>
          <w:rFonts w:ascii="Arial Narrow" w:hAnsi="Arial Narrow" w:cs="Arial Narrow"/>
          <w:sz w:val="22"/>
          <w:szCs w:val="24"/>
        </w:rPr>
      </w:pPr>
      <w:r w:rsidRPr="002200A4">
        <w:rPr>
          <w:rFonts w:ascii="Arial Narrow" w:hAnsi="Arial Narrow" w:cs="Arial Narrow"/>
          <w:sz w:val="22"/>
          <w:szCs w:val="24"/>
        </w:rPr>
        <w:t>Do rozpočtov obcí s</w:t>
      </w:r>
      <w:r>
        <w:rPr>
          <w:rFonts w:ascii="Arial Narrow" w:hAnsi="Arial Narrow" w:cs="Arial Narrow"/>
          <w:sz w:val="22"/>
          <w:szCs w:val="24"/>
        </w:rPr>
        <w:t>a</w:t>
      </w:r>
      <w:r w:rsidRPr="002200A4">
        <w:rPr>
          <w:rFonts w:ascii="Arial Narrow" w:hAnsi="Arial Narrow" w:cs="Arial Narrow"/>
          <w:sz w:val="22"/>
          <w:szCs w:val="24"/>
        </w:rPr>
        <w:t xml:space="preserve"> </w:t>
      </w:r>
      <w:r>
        <w:rPr>
          <w:rFonts w:ascii="Arial Narrow" w:hAnsi="Arial Narrow" w:cs="Arial Narrow"/>
          <w:sz w:val="22"/>
          <w:szCs w:val="24"/>
        </w:rPr>
        <w:t xml:space="preserve">predpokladajú </w:t>
      </w:r>
      <w:r w:rsidRPr="002200A4">
        <w:rPr>
          <w:rFonts w:ascii="Arial Narrow" w:hAnsi="Arial Narrow" w:cs="Arial Narrow"/>
          <w:sz w:val="22"/>
          <w:szCs w:val="24"/>
        </w:rPr>
        <w:t>poskyt</w:t>
      </w:r>
      <w:r>
        <w:rPr>
          <w:rFonts w:ascii="Arial Narrow" w:hAnsi="Arial Narrow" w:cs="Arial Narrow"/>
          <w:sz w:val="22"/>
          <w:szCs w:val="24"/>
        </w:rPr>
        <w:t xml:space="preserve">núť finančné prostriedky </w:t>
      </w:r>
      <w:r w:rsidRPr="002200A4">
        <w:rPr>
          <w:rFonts w:ascii="Arial Narrow" w:hAnsi="Arial Narrow" w:cs="Arial Narrow"/>
          <w:sz w:val="22"/>
          <w:szCs w:val="24"/>
          <w:u w:val="single"/>
        </w:rPr>
        <w:t>zo štátnych fondov</w:t>
      </w:r>
      <w:r>
        <w:rPr>
          <w:rFonts w:ascii="Arial Narrow" w:hAnsi="Arial Narrow" w:cs="Arial Narrow"/>
          <w:sz w:val="22"/>
          <w:szCs w:val="24"/>
        </w:rPr>
        <w:t xml:space="preserve"> v celkovej výške </w:t>
      </w:r>
      <w:r>
        <w:rPr>
          <w:rFonts w:ascii="Arial Narrow" w:hAnsi="Arial Narrow" w:cs="Arial Narrow"/>
          <w:b/>
          <w:sz w:val="22"/>
          <w:szCs w:val="24"/>
        </w:rPr>
        <w:t>38 873</w:t>
      </w:r>
      <w:r w:rsidRPr="002200A4">
        <w:rPr>
          <w:rFonts w:ascii="Arial Narrow" w:hAnsi="Arial Narrow" w:cs="Arial Narrow"/>
          <w:b/>
          <w:sz w:val="22"/>
          <w:szCs w:val="24"/>
        </w:rPr>
        <w:t xml:space="preserve"> </w:t>
      </w:r>
      <w:r>
        <w:rPr>
          <w:rFonts w:ascii="Arial Narrow" w:hAnsi="Arial Narrow" w:cs="Arial Narrow"/>
          <w:b/>
          <w:sz w:val="22"/>
          <w:szCs w:val="24"/>
        </w:rPr>
        <w:t>tis. eur</w:t>
      </w:r>
      <w:r>
        <w:rPr>
          <w:rFonts w:ascii="Arial Narrow" w:hAnsi="Arial Narrow" w:cs="Arial Narrow"/>
          <w:sz w:val="22"/>
          <w:szCs w:val="24"/>
        </w:rPr>
        <w:t>, z toho zo Štátneho fondu rozvoja bývania v sume 266 tis. eur a z Environmentálneho fondu v sume 38 607 tis. eur.</w:t>
      </w:r>
    </w:p>
    <w:p w:rsidR="0084667A" w:rsidRPr="002200A4" w:rsidP="0084667A">
      <w:pPr>
        <w:ind w:firstLine="720"/>
        <w:jc w:val="both"/>
        <w:rPr>
          <w:rFonts w:ascii="Arial Narrow" w:hAnsi="Arial Narrow" w:cs="Arial Narrow"/>
          <w:sz w:val="22"/>
          <w:szCs w:val="24"/>
        </w:rPr>
      </w:pPr>
    </w:p>
    <w:p w:rsidR="0084667A" w:rsidP="0084667A">
      <w:pPr>
        <w:ind w:firstLine="720"/>
        <w:jc w:val="both"/>
        <w:rPr>
          <w:rFonts w:ascii="Arial Narrow" w:hAnsi="Arial Narrow" w:cs="Arial Narrow"/>
          <w:sz w:val="22"/>
          <w:szCs w:val="24"/>
        </w:rPr>
      </w:pPr>
      <w:r>
        <w:rPr>
          <w:rFonts w:ascii="Arial Narrow" w:hAnsi="Arial Narrow" w:cs="Arial Narrow"/>
          <w:b/>
          <w:sz w:val="22"/>
          <w:szCs w:val="24"/>
        </w:rPr>
        <w:t xml:space="preserve">Príjmové finančné operácie  </w:t>
      </w:r>
      <w:r>
        <w:rPr>
          <w:rFonts w:ascii="Arial Narrow" w:hAnsi="Arial Narrow" w:cs="Arial Narrow"/>
          <w:sz w:val="22"/>
          <w:szCs w:val="24"/>
        </w:rPr>
        <w:t xml:space="preserve">sa predpokladajú </w:t>
      </w:r>
      <w:r>
        <w:rPr>
          <w:rFonts w:ascii="Arial Narrow" w:hAnsi="Arial Narrow" w:cs="Arial Narrow"/>
          <w:b/>
          <w:sz w:val="22"/>
          <w:szCs w:val="24"/>
        </w:rPr>
        <w:t>v celkovej sume 367 78</w:t>
      </w:r>
      <w:r w:rsidR="0095723F">
        <w:rPr>
          <w:rFonts w:ascii="Arial Narrow" w:hAnsi="Arial Narrow" w:cs="Arial Narrow"/>
          <w:b/>
          <w:sz w:val="22"/>
          <w:szCs w:val="24"/>
        </w:rPr>
        <w:t>8</w:t>
      </w:r>
      <w:r>
        <w:rPr>
          <w:rFonts w:ascii="Arial Narrow" w:hAnsi="Arial Narrow" w:cs="Arial Narrow"/>
          <w:b/>
          <w:sz w:val="22"/>
          <w:szCs w:val="24"/>
        </w:rPr>
        <w:t xml:space="preserve"> tis. eur. </w:t>
      </w:r>
      <w:r>
        <w:rPr>
          <w:rFonts w:ascii="Arial Narrow" w:hAnsi="Arial Narrow" w:cs="Arial Narrow"/>
          <w:sz w:val="22"/>
          <w:szCs w:val="24"/>
        </w:rPr>
        <w:t>Predpokladá sa, že obce z prostriedkov peňažných fondov prevedú do príjmov rozpočtu sumu 99 582 tis. eur, zo zostatku prostriedkov z predchádzajúcich rokov v sume 43 152 tis. eur, z predaja majetkových účastí získajú sumu 9 294 tis. eur a prijmú úvery na plnenie svojich investičných zámerov v sume 215 76</w:t>
      </w:r>
      <w:r w:rsidR="0095723F">
        <w:rPr>
          <w:rFonts w:ascii="Arial Narrow" w:hAnsi="Arial Narrow" w:cs="Arial Narrow"/>
          <w:sz w:val="22"/>
          <w:szCs w:val="24"/>
        </w:rPr>
        <w:t>0</w:t>
      </w:r>
      <w:r>
        <w:rPr>
          <w:rFonts w:ascii="Arial Narrow" w:hAnsi="Arial Narrow" w:cs="Arial Narrow"/>
          <w:sz w:val="22"/>
          <w:szCs w:val="24"/>
        </w:rPr>
        <w:t xml:space="preserve"> tis. eur. </w:t>
      </w:r>
    </w:p>
    <w:p w:rsidR="0084667A" w:rsidP="0084667A">
      <w:pPr>
        <w:jc w:val="both"/>
        <w:rPr>
          <w:rFonts w:ascii="Arial Narrow" w:hAnsi="Arial Narrow" w:cs="Arial Narrow"/>
          <w:b/>
          <w:sz w:val="22"/>
          <w:szCs w:val="24"/>
        </w:rPr>
      </w:pPr>
    </w:p>
    <w:p w:rsidR="0084667A" w:rsidP="0084667A">
      <w:pPr>
        <w:ind w:firstLine="708"/>
        <w:jc w:val="both"/>
        <w:rPr>
          <w:rFonts w:ascii="Arial Narrow" w:hAnsi="Arial Narrow" w:cs="Arial Narrow"/>
          <w:b/>
          <w:sz w:val="22"/>
          <w:szCs w:val="24"/>
        </w:rPr>
      </w:pPr>
      <w:r>
        <w:rPr>
          <w:rFonts w:ascii="Arial Narrow" w:hAnsi="Arial Narrow" w:cs="Arial Narrow"/>
          <w:b/>
          <w:sz w:val="22"/>
          <w:szCs w:val="24"/>
        </w:rPr>
        <w:t>Celkové výdavky</w:t>
      </w:r>
      <w:r>
        <w:rPr>
          <w:rFonts w:ascii="Arial Narrow" w:hAnsi="Arial Narrow" w:cs="Arial Narrow"/>
          <w:sz w:val="22"/>
          <w:szCs w:val="24"/>
        </w:rPr>
        <w:t xml:space="preserve"> obcí na rok 2010 sa predpokladajú  v objeme </w:t>
      </w:r>
      <w:r>
        <w:rPr>
          <w:rFonts w:ascii="Arial Narrow" w:hAnsi="Arial Narrow" w:cs="Arial Narrow"/>
          <w:b/>
          <w:sz w:val="22"/>
          <w:szCs w:val="24"/>
        </w:rPr>
        <w:t>3 492 51</w:t>
      </w:r>
      <w:r w:rsidR="0095723F">
        <w:rPr>
          <w:rFonts w:ascii="Arial Narrow" w:hAnsi="Arial Narrow" w:cs="Arial Narrow"/>
          <w:b/>
          <w:sz w:val="22"/>
          <w:szCs w:val="24"/>
        </w:rPr>
        <w:t>2</w:t>
      </w:r>
      <w:r>
        <w:rPr>
          <w:rFonts w:ascii="Arial Narrow" w:hAnsi="Arial Narrow" w:cs="Arial Narrow"/>
          <w:sz w:val="22"/>
          <w:szCs w:val="24"/>
        </w:rPr>
        <w:t xml:space="preserve"> </w:t>
      </w:r>
      <w:r>
        <w:rPr>
          <w:rFonts w:ascii="Arial Narrow" w:hAnsi="Arial Narrow" w:cs="Arial Narrow"/>
          <w:b/>
          <w:sz w:val="22"/>
          <w:szCs w:val="24"/>
        </w:rPr>
        <w:t>tis. eur.</w:t>
      </w: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 </w:t>
      </w:r>
    </w:p>
    <w:p w:rsidR="0084667A" w:rsidP="0084667A">
      <w:pPr>
        <w:jc w:val="both"/>
        <w:rPr>
          <w:rFonts w:ascii="Arial Narrow" w:hAnsi="Arial Narrow" w:cs="Arial Narrow"/>
          <w:sz w:val="22"/>
          <w:szCs w:val="24"/>
        </w:rPr>
      </w:pPr>
      <w:r>
        <w:rPr>
          <w:rFonts w:ascii="Arial Narrow" w:hAnsi="Arial Narrow" w:cs="Arial Narrow"/>
          <w:b/>
          <w:sz w:val="22"/>
          <w:szCs w:val="24"/>
        </w:rPr>
        <w:tab/>
      </w:r>
      <w:r>
        <w:rPr>
          <w:rFonts w:ascii="Arial Narrow" w:hAnsi="Arial Narrow" w:cs="Arial Narrow"/>
          <w:sz w:val="22"/>
          <w:szCs w:val="24"/>
        </w:rPr>
        <w:t>Na základe vývoja hospodárenia v predchádzajúcich rokoch</w:t>
      </w:r>
      <w:r>
        <w:rPr>
          <w:rFonts w:ascii="Arial Narrow" w:hAnsi="Arial Narrow" w:cs="Arial Narrow"/>
          <w:b/>
          <w:sz w:val="22"/>
          <w:szCs w:val="24"/>
        </w:rPr>
        <w:t xml:space="preserve"> </w:t>
      </w:r>
      <w:r>
        <w:rPr>
          <w:rFonts w:ascii="Arial Narrow" w:hAnsi="Arial Narrow" w:cs="Arial Narrow"/>
          <w:sz w:val="22"/>
          <w:szCs w:val="24"/>
        </w:rPr>
        <w:t>a predpokladaného vývoja príjmov</w:t>
      </w:r>
      <w:r>
        <w:rPr>
          <w:rFonts w:ascii="Arial Narrow" w:hAnsi="Arial Narrow" w:cs="Arial Narrow"/>
          <w:b/>
          <w:sz w:val="22"/>
          <w:szCs w:val="24"/>
        </w:rPr>
        <w:t xml:space="preserve">, </w:t>
      </w:r>
      <w:r>
        <w:rPr>
          <w:rFonts w:ascii="Arial Narrow" w:hAnsi="Arial Narrow" w:cs="Arial Narrow"/>
          <w:sz w:val="22"/>
          <w:szCs w:val="24"/>
        </w:rPr>
        <w:t>Ministerstvo financií SR odhaduje, že výdavky obcí budú smerované do jednotlivých úsekov činností v roku 2010 takto:</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b/>
          <w:sz w:val="22"/>
          <w:szCs w:val="24"/>
        </w:rPr>
      </w:pPr>
      <w:r>
        <w:rPr>
          <w:rFonts w:ascii="Arial Narrow" w:hAnsi="Arial Narrow" w:cs="Arial Narrow"/>
          <w:b/>
          <w:sz w:val="22"/>
          <w:szCs w:val="24"/>
        </w:rPr>
        <w:tab/>
      </w:r>
      <w:r>
        <w:rPr>
          <w:rFonts w:ascii="Arial Narrow" w:hAnsi="Arial Narrow" w:cs="Arial Narrow"/>
          <w:sz w:val="22"/>
          <w:szCs w:val="24"/>
        </w:rPr>
        <w:t>Na činnosť</w:t>
      </w:r>
      <w:r>
        <w:rPr>
          <w:rFonts w:ascii="Arial Narrow" w:hAnsi="Arial Narrow" w:cs="Arial Narrow"/>
          <w:b/>
          <w:sz w:val="22"/>
          <w:szCs w:val="24"/>
        </w:rPr>
        <w:t xml:space="preserve"> obecných a mestských úradov </w:t>
      </w:r>
      <w:r>
        <w:rPr>
          <w:rFonts w:ascii="Arial Narrow" w:hAnsi="Arial Narrow" w:cs="Arial Narrow"/>
          <w:sz w:val="22"/>
          <w:szCs w:val="24"/>
        </w:rPr>
        <w:t xml:space="preserve">a na transfery všeobecnej povahy medzi rôznymi úrovňami verejnej správy  sa predpokladá vynaložiť </w:t>
      </w:r>
      <w:r>
        <w:rPr>
          <w:rFonts w:ascii="Arial Narrow" w:hAnsi="Arial Narrow" w:cs="Arial Narrow"/>
          <w:b/>
          <w:sz w:val="22"/>
          <w:szCs w:val="24"/>
        </w:rPr>
        <w:t xml:space="preserve"> 820 301</w:t>
      </w:r>
      <w:r w:rsidRPr="00281E3F">
        <w:rPr>
          <w:rFonts w:ascii="Arial Narrow" w:hAnsi="Arial Narrow" w:cs="Arial Narrow"/>
          <w:b/>
          <w:sz w:val="22"/>
          <w:szCs w:val="24"/>
        </w:rPr>
        <w:t xml:space="preserve"> </w:t>
      </w:r>
      <w:r>
        <w:rPr>
          <w:rFonts w:ascii="Arial Narrow" w:hAnsi="Arial Narrow" w:cs="Arial Narrow"/>
          <w:b/>
          <w:sz w:val="22"/>
          <w:szCs w:val="24"/>
        </w:rPr>
        <w:t>tis. eur</w:t>
      </w:r>
      <w:r w:rsidRPr="00281E3F">
        <w:rPr>
          <w:rFonts w:ascii="Arial Narrow" w:hAnsi="Arial Narrow" w:cs="Arial Narrow"/>
          <w:b/>
          <w:sz w:val="22"/>
          <w:szCs w:val="24"/>
        </w:rPr>
        <w:t>.</w:t>
      </w:r>
    </w:p>
    <w:p w:rsidR="0084667A" w:rsidP="0084667A">
      <w:pPr>
        <w:jc w:val="both"/>
        <w:rPr>
          <w:rFonts w:ascii="Arial Narrow" w:hAnsi="Arial Narrow" w:cs="Arial Narrow"/>
          <w:sz w:val="22"/>
          <w:szCs w:val="24"/>
        </w:rPr>
      </w:pPr>
    </w:p>
    <w:p w:rsidR="0084667A" w:rsidRPr="00281E3F" w:rsidP="0084667A">
      <w:pPr>
        <w:jc w:val="both"/>
        <w:rPr>
          <w:rFonts w:ascii="Arial Narrow" w:hAnsi="Arial Narrow" w:cs="Arial Narrow"/>
          <w:b/>
          <w:sz w:val="22"/>
          <w:szCs w:val="24"/>
        </w:rPr>
      </w:pPr>
      <w:r>
        <w:rPr>
          <w:rFonts w:ascii="Arial Narrow" w:hAnsi="Arial Narrow" w:cs="Arial Narrow"/>
          <w:sz w:val="22"/>
          <w:szCs w:val="24"/>
        </w:rPr>
        <w:tab/>
        <w:t xml:space="preserve">Na zabezpečenie úloh </w:t>
      </w:r>
      <w:r>
        <w:rPr>
          <w:rFonts w:ascii="Arial Narrow" w:hAnsi="Arial Narrow" w:cs="Arial Narrow"/>
          <w:b/>
          <w:sz w:val="22"/>
          <w:szCs w:val="24"/>
        </w:rPr>
        <w:t>civilnej ochrany</w:t>
      </w:r>
      <w:r>
        <w:rPr>
          <w:rFonts w:ascii="Arial Narrow" w:hAnsi="Arial Narrow" w:cs="Arial Narrow"/>
          <w:sz w:val="22"/>
          <w:szCs w:val="24"/>
        </w:rPr>
        <w:t xml:space="preserve"> v pôsobnosti obcí a na činnosť </w:t>
      </w:r>
      <w:r>
        <w:rPr>
          <w:rFonts w:ascii="Arial Narrow" w:hAnsi="Arial Narrow" w:cs="Arial Narrow"/>
          <w:b/>
          <w:sz w:val="22"/>
          <w:szCs w:val="24"/>
        </w:rPr>
        <w:t>policajných služieb</w:t>
      </w:r>
      <w:r>
        <w:rPr>
          <w:rFonts w:ascii="Arial Narrow" w:hAnsi="Arial Narrow" w:cs="Arial Narrow"/>
          <w:sz w:val="22"/>
          <w:szCs w:val="24"/>
        </w:rPr>
        <w:t xml:space="preserve"> – obecnej polície a </w:t>
      </w:r>
      <w:r>
        <w:rPr>
          <w:rFonts w:ascii="Arial Narrow" w:hAnsi="Arial Narrow" w:cs="Arial Narrow"/>
          <w:b/>
          <w:sz w:val="22"/>
          <w:szCs w:val="24"/>
        </w:rPr>
        <w:t>požiarnej ochrany</w:t>
      </w:r>
      <w:r>
        <w:rPr>
          <w:rFonts w:ascii="Arial Narrow" w:hAnsi="Arial Narrow" w:cs="Arial Narrow"/>
          <w:sz w:val="22"/>
          <w:szCs w:val="24"/>
        </w:rPr>
        <w:t xml:space="preserve"> sa predpokladajú finančné prostriedky v sume </w:t>
      </w:r>
      <w:r>
        <w:rPr>
          <w:rFonts w:ascii="Arial Narrow" w:hAnsi="Arial Narrow" w:cs="Arial Narrow"/>
          <w:b/>
          <w:sz w:val="22"/>
          <w:szCs w:val="24"/>
        </w:rPr>
        <w:t>52 199</w:t>
      </w:r>
      <w:r w:rsidRPr="00281E3F">
        <w:rPr>
          <w:rFonts w:ascii="Arial Narrow" w:hAnsi="Arial Narrow" w:cs="Arial Narrow"/>
          <w:b/>
          <w:sz w:val="22"/>
          <w:szCs w:val="24"/>
        </w:rPr>
        <w:t xml:space="preserve"> </w:t>
      </w:r>
      <w:r>
        <w:rPr>
          <w:rFonts w:ascii="Arial Narrow" w:hAnsi="Arial Narrow" w:cs="Arial Narrow"/>
          <w:b/>
          <w:sz w:val="22"/>
          <w:szCs w:val="24"/>
        </w:rPr>
        <w:t>tis. eur</w:t>
      </w:r>
      <w:r w:rsidRPr="00281E3F">
        <w:rPr>
          <w:rFonts w:ascii="Arial Narrow" w:hAnsi="Arial Narrow" w:cs="Arial Narrow"/>
          <w:b/>
          <w:sz w:val="22"/>
          <w:szCs w:val="24"/>
        </w:rPr>
        <w:t>.</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V ekonomickej oblasti sa uvažuje so sumou  </w:t>
      </w:r>
      <w:r>
        <w:rPr>
          <w:rFonts w:ascii="Arial Narrow" w:hAnsi="Arial Narrow" w:cs="Arial Narrow"/>
          <w:b/>
          <w:sz w:val="22"/>
          <w:szCs w:val="24"/>
        </w:rPr>
        <w:t>410 476</w:t>
      </w:r>
      <w:r w:rsidRPr="00281E3F">
        <w:rPr>
          <w:rFonts w:ascii="Arial Narrow" w:hAnsi="Arial Narrow" w:cs="Arial Narrow"/>
          <w:b/>
          <w:sz w:val="22"/>
          <w:szCs w:val="24"/>
        </w:rPr>
        <w:t xml:space="preserve"> </w:t>
      </w:r>
      <w:r>
        <w:rPr>
          <w:rFonts w:ascii="Arial Narrow" w:hAnsi="Arial Narrow" w:cs="Arial Narrow"/>
          <w:b/>
          <w:sz w:val="22"/>
          <w:szCs w:val="24"/>
        </w:rPr>
        <w:t>tis. eur</w:t>
      </w:r>
      <w:r w:rsidRPr="00281E3F">
        <w:rPr>
          <w:rFonts w:ascii="Arial Narrow" w:hAnsi="Arial Narrow" w:cs="Arial Narrow"/>
          <w:b/>
          <w:sz w:val="22"/>
          <w:szCs w:val="24"/>
        </w:rPr>
        <w:t>,</w:t>
      </w:r>
      <w:r>
        <w:rPr>
          <w:rFonts w:ascii="Arial Narrow" w:hAnsi="Arial Narrow" w:cs="Arial Narrow"/>
          <w:sz w:val="22"/>
          <w:szCs w:val="24"/>
        </w:rPr>
        <w:t xml:space="preserve"> z ktorých budú financované kompetencie obcí na úseku </w:t>
      </w:r>
      <w:r>
        <w:rPr>
          <w:rFonts w:ascii="Arial Narrow" w:hAnsi="Arial Narrow" w:cs="Arial Narrow"/>
          <w:b/>
          <w:sz w:val="22"/>
          <w:szCs w:val="24"/>
        </w:rPr>
        <w:t>dopravy</w:t>
      </w:r>
      <w:r>
        <w:rPr>
          <w:rFonts w:ascii="Arial Narrow" w:hAnsi="Arial Narrow" w:cs="Arial Narrow"/>
          <w:sz w:val="22"/>
          <w:szCs w:val="24"/>
        </w:rPr>
        <w:t xml:space="preserve">, v rámci ktorej sú aj výdavky na mestskú verejnú dopravu, na úseku </w:t>
      </w:r>
      <w:r>
        <w:rPr>
          <w:rFonts w:ascii="Arial Narrow" w:hAnsi="Arial Narrow" w:cs="Arial Narrow"/>
          <w:b/>
          <w:sz w:val="22"/>
          <w:szCs w:val="24"/>
        </w:rPr>
        <w:t>poľnohospodárstva, lesníctva, palív a energie, ťažby, výroby a výstavby, komunikácií</w:t>
      </w:r>
      <w:r>
        <w:rPr>
          <w:rFonts w:ascii="Arial Narrow" w:hAnsi="Arial Narrow" w:cs="Arial Narrow"/>
          <w:sz w:val="22"/>
          <w:szCs w:val="24"/>
        </w:rPr>
        <w:t xml:space="preserve"> a ostatných činností spadajúcich do ich pôsobnosti. </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Na úseku </w:t>
      </w:r>
      <w:r>
        <w:rPr>
          <w:rFonts w:ascii="Arial Narrow" w:hAnsi="Arial Narrow" w:cs="Arial Narrow"/>
          <w:b/>
          <w:sz w:val="22"/>
          <w:szCs w:val="24"/>
        </w:rPr>
        <w:t>ochrany životného prostredia</w:t>
      </w:r>
      <w:r>
        <w:rPr>
          <w:rFonts w:ascii="Arial Narrow" w:hAnsi="Arial Narrow" w:cs="Arial Narrow"/>
          <w:sz w:val="22"/>
          <w:szCs w:val="24"/>
        </w:rPr>
        <w:t xml:space="preserve"> sa predpokladá financovať činnosti zberu, prepravy, a zneškodňovania odpadu, nakladanie s odpadovými vodami, výdavky súvisiace so znižovaním znečisťovania ovzdušia, životného prostredia a ochranou prírody a krajiny. Finančné prostriedky na tomto úseku sa predpokladajú v celkovej sume  </w:t>
      </w:r>
      <w:r>
        <w:rPr>
          <w:rFonts w:ascii="Arial Narrow" w:hAnsi="Arial Narrow" w:cs="Arial Narrow"/>
          <w:b/>
          <w:sz w:val="22"/>
          <w:szCs w:val="24"/>
        </w:rPr>
        <w:t>281 936</w:t>
      </w:r>
      <w:r w:rsidRPr="00281E3F">
        <w:rPr>
          <w:rFonts w:ascii="Arial Narrow" w:hAnsi="Arial Narrow" w:cs="Arial Narrow"/>
          <w:b/>
          <w:sz w:val="22"/>
          <w:szCs w:val="24"/>
        </w:rPr>
        <w:t xml:space="preserve"> </w:t>
      </w:r>
      <w:r>
        <w:rPr>
          <w:rFonts w:ascii="Arial Narrow" w:hAnsi="Arial Narrow" w:cs="Arial Narrow"/>
          <w:b/>
          <w:sz w:val="22"/>
          <w:szCs w:val="24"/>
        </w:rPr>
        <w:t>tis. eur</w:t>
      </w:r>
      <w:r w:rsidRPr="00281E3F">
        <w:rPr>
          <w:rFonts w:ascii="Arial Narrow" w:hAnsi="Arial Narrow" w:cs="Arial Narrow"/>
          <w:b/>
          <w:sz w:val="22"/>
          <w:szCs w:val="24"/>
        </w:rPr>
        <w:t>.</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Na úseku </w:t>
      </w:r>
      <w:r>
        <w:rPr>
          <w:rFonts w:ascii="Arial Narrow" w:hAnsi="Arial Narrow" w:cs="Arial Narrow"/>
          <w:b/>
          <w:sz w:val="22"/>
          <w:szCs w:val="24"/>
        </w:rPr>
        <w:t>bývania a občianskej vybavenosti</w:t>
      </w:r>
      <w:r>
        <w:rPr>
          <w:rFonts w:ascii="Arial Narrow" w:hAnsi="Arial Narrow" w:cs="Arial Narrow"/>
          <w:sz w:val="22"/>
          <w:szCs w:val="24"/>
        </w:rPr>
        <w:t xml:space="preserve"> sa predpokladajú finančné prostriedky v celkovej sume </w:t>
      </w:r>
      <w:r>
        <w:rPr>
          <w:rFonts w:ascii="Arial Narrow" w:hAnsi="Arial Narrow" w:cs="Arial Narrow"/>
          <w:b/>
          <w:sz w:val="22"/>
          <w:szCs w:val="24"/>
        </w:rPr>
        <w:t>416 503</w:t>
      </w:r>
      <w:r w:rsidRPr="00281E3F">
        <w:rPr>
          <w:rFonts w:ascii="Arial Narrow" w:hAnsi="Arial Narrow" w:cs="Arial Narrow"/>
          <w:b/>
          <w:sz w:val="22"/>
          <w:szCs w:val="24"/>
        </w:rPr>
        <w:t xml:space="preserve"> </w:t>
      </w:r>
      <w:r>
        <w:rPr>
          <w:rFonts w:ascii="Arial Narrow" w:hAnsi="Arial Narrow" w:cs="Arial Narrow"/>
          <w:b/>
          <w:sz w:val="22"/>
          <w:szCs w:val="24"/>
        </w:rPr>
        <w:t>tis. eur</w:t>
      </w:r>
      <w:r>
        <w:rPr>
          <w:rFonts w:ascii="Arial Narrow" w:hAnsi="Arial Narrow" w:cs="Arial Narrow"/>
          <w:sz w:val="22"/>
          <w:szCs w:val="24"/>
        </w:rPr>
        <w:t>, v rámci ktorého budú realizované aktivity obcí súvisiace s rozvojom bývania, s rozvojom obcí so zásobovaním pitnou vodou a  verejným osvetlením.</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Na financovanie </w:t>
      </w:r>
      <w:r>
        <w:rPr>
          <w:rFonts w:ascii="Arial Narrow" w:hAnsi="Arial Narrow" w:cs="Arial Narrow"/>
          <w:b/>
          <w:sz w:val="22"/>
          <w:szCs w:val="24"/>
        </w:rPr>
        <w:t>zdravotníctva</w:t>
      </w:r>
      <w:r>
        <w:rPr>
          <w:rFonts w:ascii="Arial Narrow" w:hAnsi="Arial Narrow" w:cs="Arial Narrow"/>
          <w:sz w:val="22"/>
          <w:szCs w:val="24"/>
        </w:rPr>
        <w:t xml:space="preserve"> - zdravotníckych služieb a zdravotníckych zariadení, záchrannú zdravotnú službu v pôsobnosti obcí sa uvažuje so sumou  </w:t>
      </w:r>
      <w:r>
        <w:rPr>
          <w:rFonts w:ascii="Arial Narrow" w:hAnsi="Arial Narrow" w:cs="Arial Narrow"/>
          <w:b/>
          <w:sz w:val="22"/>
          <w:szCs w:val="24"/>
        </w:rPr>
        <w:t>10 290</w:t>
      </w:r>
      <w:r w:rsidRPr="00281E3F">
        <w:rPr>
          <w:rFonts w:ascii="Arial Narrow" w:hAnsi="Arial Narrow" w:cs="Arial Narrow"/>
          <w:b/>
          <w:sz w:val="22"/>
          <w:szCs w:val="24"/>
        </w:rPr>
        <w:t xml:space="preserve"> </w:t>
      </w:r>
      <w:r>
        <w:rPr>
          <w:rFonts w:ascii="Arial Narrow" w:hAnsi="Arial Narrow" w:cs="Arial Narrow"/>
          <w:b/>
          <w:sz w:val="22"/>
          <w:szCs w:val="24"/>
        </w:rPr>
        <w:t>tis. eur</w:t>
      </w:r>
      <w:r w:rsidRPr="00281E3F">
        <w:rPr>
          <w:rFonts w:ascii="Arial Narrow" w:hAnsi="Arial Narrow" w:cs="Arial Narrow"/>
          <w:b/>
          <w:sz w:val="22"/>
          <w:szCs w:val="24"/>
        </w:rPr>
        <w:t>.</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Na úseku </w:t>
      </w:r>
      <w:r>
        <w:rPr>
          <w:rFonts w:ascii="Arial Narrow" w:hAnsi="Arial Narrow" w:cs="Arial Narrow"/>
          <w:b/>
          <w:sz w:val="22"/>
          <w:szCs w:val="24"/>
        </w:rPr>
        <w:t xml:space="preserve">kultúry </w:t>
      </w:r>
      <w:r>
        <w:rPr>
          <w:rFonts w:ascii="Arial Narrow" w:hAnsi="Arial Narrow" w:cs="Arial Narrow"/>
          <w:sz w:val="22"/>
          <w:szCs w:val="24"/>
        </w:rPr>
        <w:t xml:space="preserve">sa predpokladá vynaložiť </w:t>
      </w:r>
      <w:r>
        <w:rPr>
          <w:rFonts w:ascii="Arial Narrow" w:hAnsi="Arial Narrow" w:cs="Arial Narrow"/>
          <w:b/>
          <w:sz w:val="22"/>
          <w:szCs w:val="24"/>
        </w:rPr>
        <w:t>227 903 tis. eur</w:t>
      </w:r>
      <w:r>
        <w:rPr>
          <w:rFonts w:ascii="Arial Narrow" w:hAnsi="Arial Narrow" w:cs="Arial Narrow"/>
          <w:sz w:val="22"/>
          <w:szCs w:val="24"/>
        </w:rPr>
        <w:t>, z ktorých budú financované aktivity obcí súvisiace s rekreačnými a športovými službami, kultúrne služby (divadlá, umelecké súbory, klubové a špeciálne kultúrne zariadenia, odborno-metodické zariadenia, knižnice, múzeá, galérie, pamiatková starostlivosť, národná kultúra), vysielacie a vydavateľské služby a iné kultúrne a spoločenské aktivity realizované obcami.</w:t>
      </w:r>
    </w:p>
    <w:p w:rsidR="0084667A" w:rsidP="0084667A">
      <w:pPr>
        <w:jc w:val="both"/>
        <w:rPr>
          <w:rFonts w:ascii="Arial Narrow" w:hAnsi="Arial Narrow" w:cs="Arial Narrow"/>
          <w:sz w:val="22"/>
          <w:szCs w:val="24"/>
        </w:rPr>
      </w:pPr>
    </w:p>
    <w:p w:rsidR="0084667A" w:rsidRPr="00A7652A" w:rsidP="0084667A">
      <w:pPr>
        <w:ind w:firstLine="708"/>
        <w:jc w:val="both"/>
        <w:rPr>
          <w:rFonts w:ascii="Arial Narrow" w:hAnsi="Arial Narrow" w:cs="Arial Narrow"/>
          <w:sz w:val="22"/>
          <w:szCs w:val="24"/>
        </w:rPr>
      </w:pPr>
      <w:r>
        <w:rPr>
          <w:rFonts w:ascii="Arial Narrow" w:hAnsi="Arial Narrow" w:cs="Arial Narrow"/>
          <w:sz w:val="22"/>
          <w:szCs w:val="24"/>
        </w:rPr>
        <w:t xml:space="preserve">Na </w:t>
      </w:r>
      <w:r>
        <w:rPr>
          <w:rFonts w:ascii="Arial Narrow" w:hAnsi="Arial Narrow" w:cs="Arial Narrow"/>
          <w:b/>
          <w:sz w:val="22"/>
          <w:szCs w:val="24"/>
        </w:rPr>
        <w:t>vzdelávanie</w:t>
      </w:r>
      <w:r>
        <w:rPr>
          <w:rFonts w:ascii="Arial Narrow" w:hAnsi="Arial Narrow" w:cs="Arial Narrow"/>
          <w:sz w:val="22"/>
          <w:szCs w:val="24"/>
        </w:rPr>
        <w:t xml:space="preserve"> sa predpokladá vynaložiť suma </w:t>
      </w:r>
      <w:r>
        <w:rPr>
          <w:rFonts w:ascii="Arial Narrow" w:hAnsi="Arial Narrow" w:cs="Arial Narrow"/>
          <w:b/>
          <w:sz w:val="22"/>
          <w:szCs w:val="24"/>
        </w:rPr>
        <w:t>1 143 400 tis. eur</w:t>
      </w:r>
      <w:r>
        <w:rPr>
          <w:rFonts w:ascii="Arial Narrow" w:hAnsi="Arial Narrow" w:cs="Arial Narrow"/>
          <w:sz w:val="22"/>
          <w:szCs w:val="24"/>
        </w:rPr>
        <w:t>, a to na financovanie predškolskej výchovy, základných škôl, zariadenia pre záujmové vzdelávanie, centrá voľného času, jazykové školy, zariadenia pre celoživotné vzdelávanie, služby pridružené ku školám – školské stravovanie, strediská služieb škole, zariadenia výchovného poradenstva a ostatné výdavky súvisiace so vzdelávaním. Z uvedených prostriedkov sa predpokladá aj poskytovanie dotácií obcami zriaďovateľom neštátnych škôl a školských zariadení na financovanie ich činnosti.</w:t>
      </w:r>
    </w:p>
    <w:p w:rsidR="0084667A" w:rsidP="0084667A">
      <w:pPr>
        <w:jc w:val="both"/>
        <w:rPr>
          <w:rFonts w:ascii="Arial Narrow" w:hAnsi="Arial Narrow" w:cs="Arial Narrow"/>
          <w:sz w:val="22"/>
          <w:szCs w:val="24"/>
        </w:rPr>
      </w:pPr>
    </w:p>
    <w:p w:rsidR="0084667A" w:rsidRPr="00313D65" w:rsidP="0084667A">
      <w:pPr>
        <w:jc w:val="both"/>
        <w:rPr>
          <w:rFonts w:ascii="Arial Narrow" w:hAnsi="Arial Narrow" w:cs="Arial Narrow"/>
          <w:sz w:val="22"/>
          <w:szCs w:val="24"/>
        </w:rPr>
      </w:pPr>
      <w:r>
        <w:rPr>
          <w:rFonts w:ascii="Arial Narrow" w:hAnsi="Arial Narrow" w:cs="Arial Narrow"/>
          <w:sz w:val="22"/>
          <w:szCs w:val="24"/>
        </w:rPr>
        <w:tab/>
        <w:t xml:space="preserve">Na úseku </w:t>
      </w:r>
      <w:r>
        <w:rPr>
          <w:rFonts w:ascii="Arial Narrow" w:hAnsi="Arial Narrow" w:cs="Arial Narrow"/>
          <w:b/>
          <w:sz w:val="22"/>
          <w:szCs w:val="24"/>
        </w:rPr>
        <w:t>sociálneho zabezpečenia</w:t>
      </w:r>
      <w:r>
        <w:rPr>
          <w:rFonts w:ascii="Arial Narrow" w:hAnsi="Arial Narrow" w:cs="Arial Narrow"/>
          <w:sz w:val="22"/>
          <w:szCs w:val="24"/>
        </w:rPr>
        <w:t xml:space="preserve"> sa uvažuje s finančnými prostriedkami v sume </w:t>
      </w:r>
      <w:r>
        <w:rPr>
          <w:rFonts w:ascii="Arial Narrow" w:hAnsi="Arial Narrow" w:cs="Arial Narrow"/>
          <w:b/>
          <w:sz w:val="22"/>
          <w:szCs w:val="24"/>
        </w:rPr>
        <w:t>129 503</w:t>
      </w:r>
      <w:r w:rsidRPr="008243D5">
        <w:rPr>
          <w:rFonts w:ascii="Arial Narrow" w:hAnsi="Arial Narrow" w:cs="Arial Narrow"/>
          <w:b/>
          <w:sz w:val="22"/>
          <w:szCs w:val="24"/>
        </w:rPr>
        <w:t xml:space="preserve"> </w:t>
      </w:r>
      <w:r>
        <w:rPr>
          <w:rFonts w:ascii="Arial Narrow" w:hAnsi="Arial Narrow" w:cs="Arial Narrow"/>
          <w:b/>
          <w:sz w:val="22"/>
          <w:szCs w:val="24"/>
        </w:rPr>
        <w:t xml:space="preserve">tis. eur </w:t>
      </w:r>
      <w:r w:rsidRPr="00313D65">
        <w:rPr>
          <w:rFonts w:ascii="Arial Narrow" w:hAnsi="Arial Narrow" w:cs="Arial Narrow"/>
          <w:sz w:val="22"/>
          <w:szCs w:val="24"/>
        </w:rPr>
        <w:t>na zabezpečenie financovania pôsobnosti obcí v uvedenej oblasti.</w:t>
      </w:r>
    </w:p>
    <w:p w:rsidR="0084667A" w:rsidP="0084667A">
      <w:pPr>
        <w:jc w:val="both"/>
        <w:rPr>
          <w:rFonts w:ascii="Arial Narrow" w:hAnsi="Arial Narrow" w:cs="Arial Narrow"/>
          <w:sz w:val="22"/>
          <w:szCs w:val="24"/>
        </w:rPr>
      </w:pPr>
      <w:r>
        <w:rPr>
          <w:rFonts w:ascii="Arial Narrow" w:hAnsi="Arial Narrow" w:cs="Arial Narrow"/>
          <w:sz w:val="22"/>
          <w:szCs w:val="24"/>
        </w:rPr>
        <w:tab/>
      </w:r>
    </w:p>
    <w:p w:rsidR="00F70AEC" w:rsidP="0084667A">
      <w:pPr>
        <w:ind w:firstLine="708"/>
        <w:jc w:val="both"/>
        <w:rPr>
          <w:rFonts w:ascii="Arial Narrow" w:hAnsi="Arial Narrow" w:cs="Arial Narrow"/>
          <w:sz w:val="22"/>
          <w:szCs w:val="24"/>
        </w:rPr>
      </w:pPr>
    </w:p>
    <w:p w:rsidR="00F70AEC" w:rsidP="0084667A">
      <w:pPr>
        <w:ind w:firstLine="708"/>
        <w:jc w:val="both"/>
        <w:rPr>
          <w:rFonts w:ascii="Arial Narrow" w:hAnsi="Arial Narrow" w:cs="Arial Narrow"/>
          <w:sz w:val="22"/>
          <w:szCs w:val="24"/>
        </w:rPr>
      </w:pPr>
    </w:p>
    <w:p w:rsidR="00F70AEC" w:rsidP="0084667A">
      <w:pPr>
        <w:ind w:firstLine="708"/>
        <w:jc w:val="both"/>
        <w:rPr>
          <w:rFonts w:ascii="Arial Narrow" w:hAnsi="Arial Narrow" w:cs="Arial Narrow"/>
          <w:sz w:val="22"/>
          <w:szCs w:val="24"/>
        </w:rPr>
      </w:pPr>
    </w:p>
    <w:p w:rsidR="00F70AEC"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Vývoj výdavkov podľa jednotlivých úsekov činnosti obcí sa podľa odhadu Ministerstva financií SR v rokoch 2010 až 2012 predpokladá takto:</w:t>
      </w:r>
    </w:p>
    <w:p w:rsidR="0084667A" w:rsidP="0084667A">
      <w:pPr>
        <w:jc w:val="both"/>
        <w:rPr>
          <w:rFonts w:ascii="Arial Narrow" w:hAnsi="Arial Narrow" w:cs="Arial Narrow"/>
          <w:sz w:val="22"/>
          <w:szCs w:val="24"/>
        </w:rPr>
      </w:pPr>
    </w:p>
    <w:tbl>
      <w:tblPr>
        <w:tblStyle w:val="TableNormal"/>
        <w:tblW w:w="9000" w:type="dxa"/>
        <w:tblInd w:w="108" w:type="dxa"/>
        <w:tblBorders>
          <w:top w:val="single" w:sz="4" w:space="0" w:color="auto"/>
          <w:left w:val="single" w:sz="4" w:space="0" w:color="auto"/>
          <w:bottom w:val="single" w:sz="4" w:space="0" w:color="auto"/>
          <w:right w:val="single" w:sz="4" w:space="0" w:color="auto"/>
        </w:tblBorders>
      </w:tblPr>
      <w:tblGrid>
        <w:gridCol w:w="3600"/>
        <w:gridCol w:w="1800"/>
        <w:gridCol w:w="1800"/>
        <w:gridCol w:w="1800"/>
      </w:tblGrid>
      <w:tr>
        <w:tblPrEx>
          <w:tblW w:w="9000" w:type="dxa"/>
          <w:tblInd w:w="108" w:type="dxa"/>
          <w:tblBorders>
            <w:top w:val="single" w:sz="4" w:space="0" w:color="auto"/>
            <w:left w:val="single" w:sz="4" w:space="0" w:color="auto"/>
            <w:bottom w:val="single" w:sz="4" w:space="0" w:color="auto"/>
            <w:right w:val="single" w:sz="4" w:space="0" w:color="auto"/>
          </w:tblBorders>
        </w:tblPrEx>
        <w:tc>
          <w:tcPr>
            <w:tcW w:w="36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both"/>
              <w:rPr>
                <w:rFonts w:ascii="Arial Narrow" w:hAnsi="Arial Narrow" w:cs="Arial Narrow"/>
                <w:b/>
                <w:color w:val="FFFFFF"/>
                <w:sz w:val="20"/>
                <w:szCs w:val="24"/>
              </w:rPr>
            </w:pPr>
            <w:r>
              <w:rPr>
                <w:rFonts w:ascii="Arial Narrow" w:hAnsi="Arial Narrow" w:cs="Arial Narrow"/>
                <w:b/>
                <w:color w:val="FFFFFF"/>
                <w:sz w:val="20"/>
                <w:szCs w:val="24"/>
              </w:rPr>
              <w:t xml:space="preserve">Funkcia </w:t>
            </w:r>
            <w:r w:rsidRPr="000663D7">
              <w:rPr>
                <w:rFonts w:ascii="Arial Narrow" w:hAnsi="Arial Narrow" w:cs="Arial Narrow"/>
                <w:b/>
                <w:color w:val="FFFFFF"/>
                <w:sz w:val="20"/>
                <w:szCs w:val="24"/>
              </w:rPr>
              <w:t>(v tis. eur)</w:t>
            </w:r>
          </w:p>
        </w:tc>
        <w:tc>
          <w:tcPr>
            <w:tcW w:w="18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8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8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01 Všeobecné verejné služby</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sz w:val="20"/>
                <w:szCs w:val="24"/>
              </w:rPr>
            </w:pPr>
            <w:r>
              <w:rPr>
                <w:rFonts w:ascii="Arial Narrow" w:hAnsi="Arial Narrow" w:cs="Arial Narrow"/>
                <w:sz w:val="20"/>
                <w:szCs w:val="24"/>
              </w:rPr>
              <w:t>820 301</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838 397</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894 949</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02 Obrana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450</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460</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470</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03 Verejný poriadok a bezpečnosť</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51 749</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58 346</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63 781</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04 Ekonomická oblasť</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410 476</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428 677</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460 352</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05 Ochrana životného prostredia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281 936</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303 839</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318 410</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06 Bývanie a občianska vybavenosť</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416 503</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464 362</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491 075</w:t>
            </w:r>
          </w:p>
        </w:tc>
      </w:tr>
      <w:tr>
        <w:tblPrEx>
          <w:tblW w:w="9000" w:type="dxa"/>
          <w:tblInd w:w="108" w:type="dxa"/>
        </w:tblPrEx>
        <w:trPr>
          <w:trHeight w:val="249"/>
        </w:trPr>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07 Zdravotníctvo</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10 290</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11 618</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12 431</w:t>
            </w:r>
          </w:p>
        </w:tc>
      </w:tr>
      <w:tr>
        <w:tblPrEx>
          <w:tblW w:w="9000" w:type="dxa"/>
          <w:tblInd w:w="108" w:type="dxa"/>
        </w:tblPrEx>
        <w:trPr>
          <w:trHeight w:val="154"/>
        </w:trPr>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08 Rekreácia, kultúra a náboženstvo</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227 903</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235 277</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249 627</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09 Vzdelávanie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1 143 400</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1 232 826</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1 276 783</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10 Sociálne zabezpečenie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129 503</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141 724</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154 776</w:t>
            </w:r>
          </w:p>
        </w:tc>
      </w:tr>
      <w:tr>
        <w:tblPrEx>
          <w:tblW w:w="9000" w:type="dxa"/>
          <w:tblInd w:w="108" w:type="dxa"/>
        </w:tblPrEx>
        <w:tc>
          <w:tcPr>
            <w:tcW w:w="360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both"/>
              <w:rPr>
                <w:rFonts w:ascii="Arial Narrow" w:hAnsi="Arial Narrow" w:cs="Arial Narrow"/>
                <w:b/>
                <w:sz w:val="20"/>
                <w:szCs w:val="24"/>
              </w:rPr>
            </w:pPr>
            <w:r>
              <w:rPr>
                <w:rFonts w:ascii="Arial Narrow" w:hAnsi="Arial Narrow" w:cs="Arial Narrow"/>
                <w:b/>
                <w:sz w:val="20"/>
                <w:szCs w:val="24"/>
              </w:rPr>
              <w:t>S p o l u</w:t>
            </w:r>
          </w:p>
        </w:tc>
        <w:tc>
          <w:tcPr>
            <w:tcW w:w="180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BB2A26" w:rsidP="002B1759">
            <w:pPr>
              <w:jc w:val="right"/>
              <w:rPr>
                <w:rFonts w:ascii="Arial Narrow" w:hAnsi="Arial Narrow" w:cs="Arial Narrow"/>
                <w:b/>
                <w:sz w:val="20"/>
                <w:szCs w:val="24"/>
              </w:rPr>
            </w:pPr>
            <w:r>
              <w:rPr>
                <w:rFonts w:ascii="Arial Narrow" w:hAnsi="Arial Narrow" w:cs="Arial Narrow"/>
                <w:b/>
                <w:sz w:val="20"/>
                <w:szCs w:val="24"/>
              </w:rPr>
              <w:t>3 492 511</w:t>
            </w:r>
          </w:p>
        </w:tc>
        <w:tc>
          <w:tcPr>
            <w:tcW w:w="180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BB2A26" w:rsidP="002B1759">
            <w:pPr>
              <w:jc w:val="right"/>
              <w:rPr>
                <w:rFonts w:ascii="Arial Narrow" w:hAnsi="Arial Narrow" w:cs="Arial Narrow"/>
                <w:b/>
                <w:sz w:val="20"/>
                <w:szCs w:val="24"/>
              </w:rPr>
            </w:pPr>
            <w:r w:rsidRPr="00BB2A26">
              <w:rPr>
                <w:rFonts w:ascii="Arial Narrow" w:hAnsi="Arial Narrow" w:cs="Arial Narrow"/>
                <w:b/>
                <w:sz w:val="20"/>
                <w:szCs w:val="24"/>
              </w:rPr>
              <w:t>3</w:t>
            </w:r>
            <w:r>
              <w:rPr>
                <w:rFonts w:ascii="Arial Narrow" w:hAnsi="Arial Narrow" w:cs="Arial Narrow"/>
                <w:b/>
                <w:sz w:val="20"/>
                <w:szCs w:val="24"/>
              </w:rPr>
              <w:t> 715 526</w:t>
            </w:r>
          </w:p>
        </w:tc>
        <w:tc>
          <w:tcPr>
            <w:tcW w:w="180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BB2A26" w:rsidP="002B1759">
            <w:pPr>
              <w:jc w:val="right"/>
              <w:rPr>
                <w:rFonts w:ascii="Arial Narrow" w:hAnsi="Arial Narrow" w:cs="Arial Narrow"/>
                <w:b/>
                <w:sz w:val="20"/>
                <w:szCs w:val="24"/>
              </w:rPr>
            </w:pPr>
            <w:r>
              <w:rPr>
                <w:rFonts w:ascii="Arial Narrow" w:hAnsi="Arial Narrow" w:cs="Arial Narrow"/>
                <w:b/>
                <w:sz w:val="20"/>
                <w:szCs w:val="24"/>
              </w:rPr>
              <w:t>3 922 654</w:t>
            </w:r>
          </w:p>
        </w:tc>
      </w:tr>
    </w:tbl>
    <w:p w:rsidR="0084667A" w:rsidP="0084667A">
      <w:pPr>
        <w:pStyle w:val="BodyText"/>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Vývoj príjmovej a výdavkovej časti rozpočtu obcí na roky  2010 až  2012 v porovnaní so schváleným rozpočtom na rok 2009 je nasledovný:</w:t>
      </w:r>
    </w:p>
    <w:p w:rsidR="0084667A" w:rsidP="0084667A">
      <w:pPr>
        <w:pStyle w:val="BodyText"/>
        <w:rPr>
          <w:rFonts w:ascii="Arial Narrow" w:hAnsi="Arial Narrow" w:cs="Arial Narrow"/>
          <w:sz w:val="22"/>
          <w:szCs w:val="24"/>
        </w:rPr>
      </w:pPr>
    </w:p>
    <w:tbl>
      <w:tblPr>
        <w:tblStyle w:val="TableNormal"/>
        <w:tblW w:w="9108" w:type="dxa"/>
        <w:jc w:val="center"/>
        <w:tblInd w:w="0" w:type="dxa"/>
        <w:tblBorders>
          <w:top w:val="single" w:sz="4" w:space="0" w:color="auto"/>
          <w:left w:val="single" w:sz="4" w:space="0" w:color="auto"/>
          <w:bottom w:val="single" w:sz="4" w:space="0" w:color="auto"/>
          <w:right w:val="single" w:sz="4" w:space="0" w:color="auto"/>
        </w:tblBorders>
      </w:tblPr>
      <w:tblGrid>
        <w:gridCol w:w="4878"/>
        <w:gridCol w:w="1080"/>
        <w:gridCol w:w="1080"/>
        <w:gridCol w:w="1080"/>
        <w:gridCol w:w="990"/>
      </w:tblGrid>
      <w:tr>
        <w:tblPrEx>
          <w:tblW w:w="9108" w:type="dxa"/>
          <w:jc w:val="center"/>
          <w:tblInd w:w="0" w:type="dxa"/>
          <w:tblBorders>
            <w:top w:val="single" w:sz="4" w:space="0" w:color="auto"/>
            <w:left w:val="single" w:sz="4" w:space="0" w:color="auto"/>
            <w:bottom w:val="single" w:sz="4" w:space="0" w:color="auto"/>
            <w:right w:val="single" w:sz="4" w:space="0" w:color="auto"/>
          </w:tblBorders>
        </w:tblPrEx>
        <w:trPr>
          <w:trHeight w:val="227"/>
          <w:jc w:val="center"/>
        </w:trPr>
        <w:tc>
          <w:tcPr>
            <w:tcW w:w="4878"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0663D7" w:rsidP="002B1759">
            <w:pPr>
              <w:jc w:val="both"/>
              <w:rPr>
                <w:rFonts w:ascii="Arial Narrow" w:hAnsi="Arial Narrow" w:cs="Arial Narrow"/>
                <w:b/>
                <w:color w:val="FFFFFF"/>
                <w:sz w:val="20"/>
                <w:szCs w:val="24"/>
              </w:rPr>
            </w:pPr>
            <w:r w:rsidRPr="000663D7">
              <w:rPr>
                <w:rFonts w:ascii="Arial Narrow" w:hAnsi="Arial Narrow" w:cs="Arial Narrow"/>
                <w:b/>
                <w:color w:val="FFFFFF"/>
                <w:sz w:val="20"/>
                <w:szCs w:val="24"/>
              </w:rPr>
              <w:t>(v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99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Príjmy obcí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b/>
                <w:i/>
                <w:sz w:val="20"/>
                <w:szCs w:val="24"/>
              </w:rPr>
            </w:pPr>
            <w:r>
              <w:rPr>
                <w:rFonts w:ascii="Arial Narrow" w:hAnsi="Arial Narrow" w:cs="Arial Narrow"/>
                <w:b/>
                <w:i/>
                <w:sz w:val="20"/>
                <w:szCs w:val="24"/>
              </w:rPr>
              <w:t>3 587 160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b/>
                <w:i/>
                <w:sz w:val="20"/>
                <w:szCs w:val="24"/>
              </w:rPr>
            </w:pPr>
            <w:r>
              <w:rPr>
                <w:rFonts w:ascii="Arial Narrow" w:hAnsi="Arial Narrow" w:cs="Arial Narrow"/>
                <w:b/>
                <w:i/>
                <w:sz w:val="20"/>
                <w:szCs w:val="24"/>
              </w:rPr>
              <w:t>3 684 372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3 931 287</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4 135 095</w:t>
            </w:r>
          </w:p>
        </w:tc>
      </w:tr>
      <w:tr>
        <w:tblPrEx>
          <w:tblW w:w="9108" w:type="dxa"/>
          <w:jc w:val="center"/>
          <w:tblInd w:w="0" w:type="dxa"/>
        </w:tblPrEx>
        <w:trPr>
          <w:trHeight w:val="227"/>
          <w:jc w:val="center"/>
        </w:trPr>
        <w:tc>
          <w:tcPr>
            <w:tcW w:w="910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E31076" w:rsidP="002B1759">
            <w:pPr>
              <w:jc w:val="both"/>
              <w:rPr>
                <w:rFonts w:ascii="Arial Narrow" w:hAnsi="Arial Narrow" w:cs="Arial Narrow"/>
                <w:b/>
                <w:i/>
                <w:sz w:val="20"/>
                <w:szCs w:val="24"/>
              </w:rPr>
            </w:pPr>
            <w:r>
              <w:rPr>
                <w:rFonts w:ascii="Arial Narrow" w:hAnsi="Arial Narrow" w:cs="Arial Narrow"/>
                <w:b/>
                <w:i/>
                <w:sz w:val="20"/>
                <w:szCs w:val="24"/>
              </w:rPr>
              <w:t xml:space="preserve">z </w:t>
            </w:r>
            <w:r w:rsidRPr="00E31076">
              <w:rPr>
                <w:rFonts w:ascii="Arial Narrow" w:hAnsi="Arial Narrow" w:cs="Arial Narrow"/>
                <w:b/>
                <w:i/>
                <w:sz w:val="20"/>
                <w:szCs w:val="24"/>
              </w:rPr>
              <w:t xml:space="preserve"> toho</w:t>
            </w:r>
            <w:r>
              <w:rPr>
                <w:rFonts w:ascii="Arial Narrow" w:hAnsi="Arial Narrow" w:cs="Arial Narrow"/>
                <w:b/>
                <w:i/>
                <w:sz w:val="20"/>
                <w:szCs w:val="24"/>
              </w:rPr>
              <w:t>:</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 xml:space="preserve">daňové príjmy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1 780 436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1 544 678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1 793 176</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2 002 670</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nedaňové príjmy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xml:space="preserve">494 589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507 867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511 186</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516 829</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 xml:space="preserve">granty a  transfery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1 001 772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1 264 03</w:t>
            </w:r>
            <w:r w:rsidR="00A10A06">
              <w:rPr>
                <w:rFonts w:ascii="Arial Narrow" w:hAnsi="Arial Narrow" w:cs="Arial Narrow"/>
                <w:sz w:val="20"/>
                <w:szCs w:val="24"/>
              </w:rPr>
              <w:t>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1 255 153</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1 247 143</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zo splátok tuzemských úverov, pôžičiek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z predaja majetkových účastí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8 298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9 294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9 958</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9 958</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zostatok prostriedkov z predchádzajúcich rokov a prevod prostriedkov z peňažných fondov (FO)</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136 095</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142 734</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146 053</w:t>
            </w:r>
          </w:p>
        </w:tc>
        <w:tc>
          <w:tcPr>
            <w:tcW w:w="99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159 331</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9"/>
              </w:numPr>
              <w:jc w:val="both"/>
              <w:rPr>
                <w:rFonts w:ascii="Arial Narrow" w:hAnsi="Arial Narrow" w:cs="Arial Narrow"/>
                <w:sz w:val="20"/>
                <w:szCs w:val="24"/>
              </w:rPr>
            </w:pPr>
            <w:r>
              <w:rPr>
                <w:rFonts w:ascii="Arial Narrow" w:hAnsi="Arial Narrow" w:cs="Arial Narrow"/>
                <w:sz w:val="20"/>
                <w:szCs w:val="24"/>
              </w:rPr>
              <w:t>prijaté úvery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165 970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215 76</w:t>
            </w:r>
            <w:r w:rsidR="00A10A06">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215 761</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199 16</w:t>
            </w:r>
            <w:r w:rsidR="00C45CC3">
              <w:rPr>
                <w:rFonts w:ascii="Arial Narrow" w:hAnsi="Arial Narrow" w:cs="Arial Narrow"/>
                <w:sz w:val="20"/>
                <w:szCs w:val="24"/>
              </w:rPr>
              <w:t>4</w:t>
            </w:r>
          </w:p>
        </w:tc>
      </w:tr>
      <w:tr>
        <w:tblPrEx>
          <w:tblW w:w="9108" w:type="dxa"/>
          <w:jc w:val="center"/>
          <w:tblInd w:w="0" w:type="dxa"/>
        </w:tblPrEx>
        <w:trPr>
          <w:trHeight w:val="257"/>
          <w:jc w:val="center"/>
        </w:trPr>
        <w:tc>
          <w:tcPr>
            <w:tcW w:w="910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Výdavky obcí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3 426 170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3 492 51</w:t>
            </w:r>
            <w:r w:rsidR="00A10A06">
              <w:rPr>
                <w:rFonts w:ascii="Arial Narrow" w:hAnsi="Arial Narrow" w:cs="Arial Narrow"/>
                <w:b/>
                <w:i/>
                <w:sz w:val="20"/>
                <w:szCs w:val="24"/>
              </w:rPr>
              <w:t>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3 715 526</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3 922 654</w:t>
            </w:r>
          </w:p>
        </w:tc>
      </w:tr>
      <w:tr>
        <w:tblPrEx>
          <w:tblW w:w="9108" w:type="dxa"/>
          <w:jc w:val="center"/>
          <w:tblInd w:w="0" w:type="dxa"/>
        </w:tblPrEx>
        <w:trPr>
          <w:trHeight w:val="227"/>
          <w:jc w:val="center"/>
        </w:trPr>
        <w:tc>
          <w:tcPr>
            <w:tcW w:w="910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z  toho:</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mzdy a odvody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1 228 789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1 228 789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1 287 188</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1 354 57</w:t>
            </w:r>
            <w:r w:rsidR="00C45CC3">
              <w:rPr>
                <w:rFonts w:ascii="Arial Narrow" w:hAnsi="Arial Narrow" w:cs="Arial Narrow"/>
                <w:sz w:val="20"/>
                <w:szCs w:val="24"/>
              </w:rPr>
              <w:t>5</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tovary a služby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847 995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846 213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984 085</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1 022 241</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bežné transfery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327 823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345 07</w:t>
            </w:r>
            <w:r w:rsidR="0095723F">
              <w:rPr>
                <w:rFonts w:ascii="Arial Narrow" w:hAnsi="Arial Narrow" w:cs="Arial Narrow"/>
                <w:sz w:val="20"/>
                <w:szCs w:val="24"/>
              </w:rPr>
              <w:t>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351 494</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388 369</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splácanie úrokov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36 513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34 173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35 173</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39 833</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kapitálové výdavky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835 677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862 337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901 575</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961 624</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úvery a účasť na majetku (FO)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33 194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33 194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33 194</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23 236</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splácanie istiny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116 179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142 734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122 817</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132 77</w:t>
            </w:r>
            <w:r w:rsidR="00C45CC3">
              <w:rPr>
                <w:rFonts w:ascii="Arial Narrow" w:hAnsi="Arial Narrow" w:cs="Arial Narrow"/>
                <w:sz w:val="20"/>
                <w:szCs w:val="24"/>
              </w:rPr>
              <w:t>6</w:t>
            </w:r>
          </w:p>
        </w:tc>
      </w:tr>
      <w:tr>
        <w:tblPrEx>
          <w:tblW w:w="9108" w:type="dxa"/>
          <w:jc w:val="center"/>
          <w:tblInd w:w="0" w:type="dxa"/>
        </w:tblPrEx>
        <w:trPr>
          <w:trHeight w:val="227"/>
          <w:jc w:val="center"/>
        </w:trPr>
        <w:tc>
          <w:tcPr>
            <w:tcW w:w="910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Celkový prebytok obcí</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160 990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191 86</w:t>
            </w:r>
            <w:r w:rsidR="00A10A06">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215 761</w:t>
            </w:r>
          </w:p>
        </w:tc>
        <w:tc>
          <w:tcPr>
            <w:tcW w:w="99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212 441</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vylúčenie finančných operácií</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65"/>
              <w:jc w:val="right"/>
              <w:rPr>
                <w:rFonts w:ascii="Arial Narrow" w:hAnsi="Arial Narrow" w:cs="Arial Narrow"/>
                <w:b/>
                <w:i/>
                <w:sz w:val="20"/>
                <w:szCs w:val="24"/>
              </w:rPr>
            </w:pPr>
            <w:r>
              <w:rPr>
                <w:rFonts w:ascii="Arial Narrow" w:hAnsi="Arial Narrow" w:cs="Arial Narrow"/>
                <w:b/>
                <w:i/>
                <w:sz w:val="20"/>
                <w:szCs w:val="24"/>
              </w:rPr>
              <w:t>- 160 990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65"/>
              <w:jc w:val="right"/>
              <w:rPr>
                <w:rFonts w:ascii="Arial Narrow" w:hAnsi="Arial Narrow" w:cs="Arial Narrow"/>
                <w:b/>
                <w:i/>
                <w:sz w:val="20"/>
                <w:szCs w:val="24"/>
              </w:rPr>
            </w:pPr>
            <w:r>
              <w:rPr>
                <w:rFonts w:ascii="Arial Narrow" w:hAnsi="Arial Narrow" w:cs="Arial Narrow"/>
                <w:b/>
                <w:i/>
                <w:sz w:val="20"/>
                <w:szCs w:val="24"/>
              </w:rPr>
              <w:t>-191 86</w:t>
            </w:r>
            <w:r w:rsidR="00A10A06">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-215 761</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-212 441</w:t>
            </w:r>
          </w:p>
        </w:tc>
      </w:tr>
      <w:tr>
        <w:tblPrEx>
          <w:tblW w:w="9108" w:type="dxa"/>
          <w:jc w:val="center"/>
          <w:tblInd w:w="0" w:type="dxa"/>
        </w:tblPrEx>
        <w:trPr>
          <w:trHeight w:val="227"/>
          <w:jc w:val="center"/>
        </w:trPr>
        <w:tc>
          <w:tcPr>
            <w:tcW w:w="910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z toho:</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1"/>
              </w:numPr>
              <w:jc w:val="both"/>
              <w:rPr>
                <w:rFonts w:ascii="Arial Narrow" w:hAnsi="Arial Narrow" w:cs="Arial Narrow"/>
                <w:b/>
                <w:sz w:val="20"/>
                <w:szCs w:val="24"/>
              </w:rPr>
            </w:pPr>
            <w:r>
              <w:rPr>
                <w:rFonts w:ascii="Arial Narrow" w:hAnsi="Arial Narrow" w:cs="Arial Narrow"/>
                <w:sz w:val="20"/>
                <w:szCs w:val="24"/>
              </w:rPr>
              <w:t xml:space="preserve">vylúčenie príjmových FO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- 310 363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-367 78</w:t>
            </w:r>
            <w:r w:rsidR="00A10A06">
              <w:rPr>
                <w:rFonts w:ascii="Arial Narrow" w:hAnsi="Arial Narrow" w:cs="Arial Narrow"/>
                <w:sz w:val="20"/>
                <w:szCs w:val="24"/>
              </w:rPr>
              <w:t>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-371 772</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-368 45</w:t>
            </w:r>
            <w:r w:rsidR="00C45CC3">
              <w:rPr>
                <w:rFonts w:ascii="Arial Narrow" w:hAnsi="Arial Narrow" w:cs="Arial Narrow"/>
                <w:sz w:val="20"/>
                <w:szCs w:val="24"/>
              </w:rPr>
              <w:t>3</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1"/>
              </w:numPr>
              <w:jc w:val="both"/>
              <w:rPr>
                <w:rFonts w:ascii="Arial Narrow" w:hAnsi="Arial Narrow" w:cs="Arial Narrow"/>
                <w:sz w:val="20"/>
                <w:szCs w:val="24"/>
              </w:rPr>
            </w:pPr>
            <w:r>
              <w:rPr>
                <w:rFonts w:ascii="Arial Narrow" w:hAnsi="Arial Narrow" w:cs="Arial Narrow"/>
                <w:sz w:val="20"/>
                <w:szCs w:val="24"/>
              </w:rPr>
              <w:t>vylúčenie výdavkových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149 373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175 928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156 011</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156 01</w:t>
            </w:r>
            <w:r w:rsidR="00C45CC3">
              <w:rPr>
                <w:rFonts w:ascii="Arial Narrow" w:hAnsi="Arial Narrow" w:cs="Arial Narrow"/>
                <w:sz w:val="20"/>
                <w:szCs w:val="24"/>
              </w:rPr>
              <w:t>2</w:t>
            </w:r>
          </w:p>
        </w:tc>
      </w:tr>
      <w:tr>
        <w:tblPrEx>
          <w:tblW w:w="9108" w:type="dxa"/>
          <w:jc w:val="center"/>
          <w:tblInd w:w="0" w:type="dxa"/>
        </w:tblPrEx>
        <w:trPr>
          <w:trHeight w:val="227"/>
          <w:jc w:val="center"/>
        </w:trPr>
        <w:tc>
          <w:tcPr>
            <w:tcW w:w="487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Prebytok  / schodok obcí  (ESA 95)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335"/>
              <w:jc w:val="right"/>
              <w:rPr>
                <w:rFonts w:ascii="Arial Narrow" w:hAnsi="Arial Narrow" w:cs="Arial Narrow"/>
                <w:b/>
                <w:i/>
                <w:sz w:val="20"/>
                <w:szCs w:val="24"/>
              </w:rPr>
            </w:pPr>
            <w:r>
              <w:rPr>
                <w:rFonts w:ascii="Arial Narrow" w:hAnsi="Arial Narrow" w:cs="Arial Narrow"/>
                <w:b/>
                <w:i/>
                <w:sz w:val="20"/>
                <w:szCs w:val="24"/>
              </w:rPr>
              <w:t>0</w:t>
            </w:r>
          </w:p>
        </w:tc>
      </w:tr>
    </w:tbl>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Celkové príjmy obcí v roku 2010 oproti schválenému rozpočtu na rok 2009 sú vyššie o 2,7 %, a to z dôvodu nárastu nedaňových príjmov o 2,7 % a nárastu grantov a transferov o 26,2 %, ale na druhej strane došlo k poklesu daňových príjmov o 13,2 %. </w:t>
      </w:r>
      <w:r w:rsidRPr="000729CF">
        <w:rPr>
          <w:rFonts w:ascii="Arial Narrow" w:hAnsi="Arial Narrow" w:cs="Arial Narrow"/>
          <w:sz w:val="22"/>
          <w:szCs w:val="24"/>
        </w:rPr>
        <w:t>V roku 20</w:t>
      </w:r>
      <w:r>
        <w:rPr>
          <w:rFonts w:ascii="Arial Narrow" w:hAnsi="Arial Narrow" w:cs="Arial Narrow"/>
          <w:sz w:val="22"/>
          <w:szCs w:val="24"/>
        </w:rPr>
        <w:t>11</w:t>
      </w:r>
      <w:r w:rsidRPr="000729CF">
        <w:rPr>
          <w:rFonts w:ascii="Arial Narrow" w:hAnsi="Arial Narrow" w:cs="Arial Narrow"/>
          <w:sz w:val="22"/>
          <w:szCs w:val="24"/>
        </w:rPr>
        <w:t xml:space="preserve"> sa oproti roku 20</w:t>
      </w:r>
      <w:r>
        <w:rPr>
          <w:rFonts w:ascii="Arial Narrow" w:hAnsi="Arial Narrow" w:cs="Arial Narrow"/>
          <w:sz w:val="22"/>
          <w:szCs w:val="24"/>
        </w:rPr>
        <w:t>10</w:t>
      </w:r>
      <w:r w:rsidRPr="000729CF">
        <w:rPr>
          <w:rFonts w:ascii="Arial Narrow" w:hAnsi="Arial Narrow" w:cs="Arial Narrow"/>
          <w:sz w:val="22"/>
          <w:szCs w:val="24"/>
        </w:rPr>
        <w:t xml:space="preserve"> v rozpočtoch obcí v príjmoch očakáva </w:t>
      </w:r>
      <w:r>
        <w:rPr>
          <w:rFonts w:ascii="Arial Narrow" w:hAnsi="Arial Narrow" w:cs="Arial Narrow"/>
          <w:sz w:val="22"/>
          <w:szCs w:val="24"/>
        </w:rPr>
        <w:t>nárast</w:t>
      </w:r>
      <w:r w:rsidRPr="000729CF">
        <w:rPr>
          <w:rFonts w:ascii="Arial Narrow" w:hAnsi="Arial Narrow" w:cs="Arial Narrow"/>
          <w:sz w:val="22"/>
          <w:szCs w:val="24"/>
        </w:rPr>
        <w:t xml:space="preserve"> o</w:t>
      </w:r>
      <w:r>
        <w:rPr>
          <w:rFonts w:ascii="Arial Narrow" w:hAnsi="Arial Narrow" w:cs="Arial Narrow"/>
          <w:sz w:val="22"/>
          <w:szCs w:val="24"/>
        </w:rPr>
        <w:t> 6,7 % a v roku 2012</w:t>
      </w:r>
      <w:r w:rsidRPr="000729CF">
        <w:rPr>
          <w:rFonts w:ascii="Arial Narrow" w:hAnsi="Arial Narrow" w:cs="Arial Narrow"/>
          <w:sz w:val="22"/>
          <w:szCs w:val="24"/>
        </w:rPr>
        <w:t xml:space="preserve"> oproti roku 20</w:t>
      </w:r>
      <w:r>
        <w:rPr>
          <w:rFonts w:ascii="Arial Narrow" w:hAnsi="Arial Narrow" w:cs="Arial Narrow"/>
          <w:sz w:val="22"/>
          <w:szCs w:val="24"/>
        </w:rPr>
        <w:t>11</w:t>
      </w:r>
      <w:r w:rsidRPr="000729CF">
        <w:rPr>
          <w:rFonts w:ascii="Arial Narrow" w:hAnsi="Arial Narrow" w:cs="Arial Narrow"/>
          <w:sz w:val="22"/>
          <w:szCs w:val="24"/>
        </w:rPr>
        <w:t xml:space="preserve"> v príjmovej časti rozpočtu</w:t>
      </w:r>
      <w:r>
        <w:rPr>
          <w:rFonts w:ascii="Arial Narrow" w:hAnsi="Arial Narrow" w:cs="Arial Narrow"/>
          <w:sz w:val="22"/>
          <w:szCs w:val="24"/>
        </w:rPr>
        <w:t xml:space="preserve"> sa očakáva </w:t>
      </w:r>
      <w:r w:rsidRPr="000729CF">
        <w:rPr>
          <w:rFonts w:ascii="Arial Narrow" w:hAnsi="Arial Narrow" w:cs="Arial Narrow"/>
          <w:sz w:val="22"/>
          <w:szCs w:val="24"/>
        </w:rPr>
        <w:t>nárast o</w:t>
      </w:r>
      <w:r>
        <w:rPr>
          <w:rFonts w:ascii="Arial Narrow" w:hAnsi="Arial Narrow" w:cs="Arial Narrow"/>
          <w:sz w:val="22"/>
          <w:szCs w:val="24"/>
        </w:rPr>
        <w:t> 5,2</w:t>
      </w:r>
      <w:r w:rsidRPr="000729CF">
        <w:rPr>
          <w:rFonts w:ascii="Arial Narrow" w:hAnsi="Arial Narrow" w:cs="Arial Narrow"/>
          <w:sz w:val="22"/>
          <w:szCs w:val="24"/>
        </w:rPr>
        <w:t xml:space="preserve"> %</w:t>
      </w:r>
      <w:r>
        <w:rPr>
          <w:rFonts w:ascii="Arial Narrow" w:hAnsi="Arial Narrow" w:cs="Arial Narrow"/>
          <w:sz w:val="22"/>
          <w:szCs w:val="24"/>
        </w:rPr>
        <w:t xml:space="preserve">. </w:t>
      </w:r>
      <w:r w:rsidRPr="000729CF">
        <w:rPr>
          <w:rFonts w:ascii="Arial Narrow" w:hAnsi="Arial Narrow" w:cs="Arial Narrow"/>
          <w:sz w:val="22"/>
          <w:szCs w:val="24"/>
        </w:rPr>
        <w:t>Nárast sa očakáva v daňových príjmoch, ktorých vyššie výnosy, a tým aj ich vyššie smerovanie do rozpočtov obcí sa očakáva v roku 20</w:t>
      </w:r>
      <w:r>
        <w:rPr>
          <w:rFonts w:ascii="Arial Narrow" w:hAnsi="Arial Narrow" w:cs="Arial Narrow"/>
          <w:sz w:val="22"/>
          <w:szCs w:val="24"/>
        </w:rPr>
        <w:t xml:space="preserve">11 </w:t>
      </w:r>
      <w:r w:rsidRPr="000729CF">
        <w:rPr>
          <w:rFonts w:ascii="Arial Narrow" w:hAnsi="Arial Narrow" w:cs="Arial Narrow"/>
          <w:sz w:val="22"/>
          <w:szCs w:val="24"/>
        </w:rPr>
        <w:t>oproti roku 20</w:t>
      </w:r>
      <w:r>
        <w:rPr>
          <w:rFonts w:ascii="Arial Narrow" w:hAnsi="Arial Narrow" w:cs="Arial Narrow"/>
          <w:sz w:val="22"/>
          <w:szCs w:val="24"/>
        </w:rPr>
        <w:t>10</w:t>
      </w:r>
      <w:r w:rsidRPr="000729CF">
        <w:rPr>
          <w:rFonts w:ascii="Arial Narrow" w:hAnsi="Arial Narrow" w:cs="Arial Narrow"/>
          <w:sz w:val="22"/>
          <w:szCs w:val="24"/>
        </w:rPr>
        <w:t xml:space="preserve"> o</w:t>
      </w:r>
      <w:r>
        <w:rPr>
          <w:rFonts w:ascii="Arial Narrow" w:hAnsi="Arial Narrow" w:cs="Arial Narrow"/>
          <w:sz w:val="22"/>
          <w:szCs w:val="24"/>
        </w:rPr>
        <w:t xml:space="preserve"> 16,1 </w:t>
      </w:r>
      <w:r w:rsidRPr="000729CF">
        <w:rPr>
          <w:rFonts w:ascii="Arial Narrow" w:hAnsi="Arial Narrow" w:cs="Arial Narrow"/>
          <w:sz w:val="22"/>
          <w:szCs w:val="24"/>
        </w:rPr>
        <w:t>% a v roku 201</w:t>
      </w:r>
      <w:r>
        <w:rPr>
          <w:rFonts w:ascii="Arial Narrow" w:hAnsi="Arial Narrow" w:cs="Arial Narrow"/>
          <w:sz w:val="22"/>
          <w:szCs w:val="24"/>
        </w:rPr>
        <w:t>2</w:t>
      </w:r>
      <w:r w:rsidRPr="000729CF">
        <w:rPr>
          <w:rFonts w:ascii="Arial Narrow" w:hAnsi="Arial Narrow" w:cs="Arial Narrow"/>
          <w:sz w:val="22"/>
          <w:szCs w:val="24"/>
        </w:rPr>
        <w:t xml:space="preserve"> oproti roku 20</w:t>
      </w:r>
      <w:r>
        <w:rPr>
          <w:rFonts w:ascii="Arial Narrow" w:hAnsi="Arial Narrow" w:cs="Arial Narrow"/>
          <w:sz w:val="22"/>
          <w:szCs w:val="24"/>
        </w:rPr>
        <w:t xml:space="preserve">11 </w:t>
      </w:r>
      <w:r w:rsidRPr="000729CF">
        <w:rPr>
          <w:rFonts w:ascii="Arial Narrow" w:hAnsi="Arial Narrow" w:cs="Arial Narrow"/>
          <w:sz w:val="22"/>
          <w:szCs w:val="24"/>
        </w:rPr>
        <w:t>o</w:t>
      </w:r>
      <w:r>
        <w:rPr>
          <w:rFonts w:ascii="Arial Narrow" w:hAnsi="Arial Narrow" w:cs="Arial Narrow"/>
          <w:sz w:val="22"/>
          <w:szCs w:val="24"/>
        </w:rPr>
        <w:t> 11,7</w:t>
      </w:r>
      <w:r w:rsidRPr="000729CF">
        <w:rPr>
          <w:rFonts w:ascii="Arial Narrow" w:hAnsi="Arial Narrow" w:cs="Arial Narrow"/>
          <w:sz w:val="22"/>
          <w:szCs w:val="24"/>
        </w:rPr>
        <w:t xml:space="preserve"> %.  </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Vyššie uvedené údaje sú založené na porovnateľnej základni vychádzajúcej zo schváleného rozpočtu na rok 2009 a návrhu rozpočtu na roky 2010 až 2012. Bližšie informácie o prognóze jednotlivých druhov daňových príjmov sú uvedené v časti 3.</w:t>
      </w:r>
    </w:p>
    <w:p w:rsidR="0084667A" w:rsidP="0084667A">
      <w:pPr>
        <w:ind w:firstLine="708"/>
        <w:jc w:val="both"/>
        <w:rPr>
          <w:rFonts w:ascii="Arial Narrow" w:hAnsi="Arial Narrow" w:cs="Arial Narrow"/>
          <w:sz w:val="22"/>
          <w:szCs w:val="24"/>
        </w:rPr>
      </w:pPr>
    </w:p>
    <w:p w:rsidR="0084667A" w:rsidRPr="000729CF" w:rsidP="0084667A">
      <w:pPr>
        <w:ind w:firstLine="708"/>
        <w:jc w:val="both"/>
        <w:rPr>
          <w:rFonts w:ascii="Arial Narrow" w:hAnsi="Arial Narrow" w:cs="Arial Narrow"/>
          <w:sz w:val="22"/>
          <w:szCs w:val="24"/>
        </w:rPr>
      </w:pPr>
      <w:r>
        <w:rPr>
          <w:rFonts w:ascii="Arial Narrow" w:hAnsi="Arial Narrow" w:cs="Arial Narrow"/>
          <w:sz w:val="22"/>
          <w:szCs w:val="24"/>
        </w:rPr>
        <w:t>Vo výdavkovej časti rozpočtu obcí sa očakávajú v roku 2010 vyššie výdavky oproti schválenému rozpočtu na rok 2009 o 1,9 %, v roku 2011 sa oproti roku 2010 očakáva nárast o 6,4 % a v roku 2012 v porovnaní s rokom 2011 o 5,5 %.</w:t>
      </w:r>
    </w:p>
    <w:p w:rsidR="0084667A" w:rsidRPr="004F4646" w:rsidP="0084667A">
      <w:pPr>
        <w:pStyle w:val="BodyText"/>
        <w:rPr>
          <w:rFonts w:ascii="Arial Narrow" w:hAnsi="Arial Narrow" w:cs="Arial Narrow"/>
          <w:b/>
          <w:szCs w:val="24"/>
        </w:rPr>
      </w:pPr>
    </w:p>
    <w:p w:rsidR="0084667A" w:rsidRPr="004F4646" w:rsidP="0084667A">
      <w:pPr>
        <w:pStyle w:val="BodyText"/>
        <w:rPr>
          <w:rFonts w:ascii="Arial Narrow" w:hAnsi="Arial Narrow" w:cs="Arial Narrow"/>
          <w:b/>
          <w:szCs w:val="24"/>
        </w:rPr>
      </w:pPr>
    </w:p>
    <w:p w:rsidR="0084667A" w:rsidRPr="004F4646" w:rsidP="0084667A">
      <w:pPr>
        <w:pStyle w:val="BodyText"/>
        <w:rPr>
          <w:rFonts w:ascii="Arial Narrow" w:hAnsi="Arial Narrow" w:cs="Arial Narrow"/>
          <w:b/>
          <w:szCs w:val="24"/>
        </w:rPr>
      </w:pPr>
      <w:r w:rsidRPr="004F4646">
        <w:rPr>
          <w:rFonts w:ascii="Arial Narrow" w:hAnsi="Arial Narrow" w:cs="Arial Narrow"/>
          <w:b/>
          <w:szCs w:val="24"/>
        </w:rPr>
        <w:t>1.2. Vyššie územné celky</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Predpokladá sa, že VÚC v roku 2010 dosiahnu </w:t>
      </w:r>
      <w:r>
        <w:rPr>
          <w:rFonts w:ascii="Arial Narrow" w:hAnsi="Arial Narrow" w:cs="Arial Narrow"/>
          <w:b/>
          <w:sz w:val="22"/>
          <w:szCs w:val="24"/>
        </w:rPr>
        <w:t>celkové príjmy vo výške 1 110 182 tis. eur</w:t>
      </w:r>
      <w:r>
        <w:rPr>
          <w:rFonts w:ascii="Arial Narrow" w:hAnsi="Arial Narrow" w:cs="Arial Narrow"/>
          <w:sz w:val="22"/>
          <w:szCs w:val="24"/>
        </w:rPr>
        <w:t xml:space="preserve"> a </w:t>
      </w:r>
      <w:r>
        <w:rPr>
          <w:rFonts w:ascii="Arial Narrow" w:hAnsi="Arial Narrow" w:cs="Arial Narrow"/>
          <w:b/>
          <w:sz w:val="22"/>
          <w:szCs w:val="24"/>
        </w:rPr>
        <w:t xml:space="preserve">celkové výdavky v sume 1 055 177 tis. eur. </w:t>
      </w:r>
      <w:r>
        <w:rPr>
          <w:rFonts w:ascii="Arial Narrow" w:hAnsi="Arial Narrow" w:cs="Arial Narrow"/>
          <w:sz w:val="22"/>
          <w:szCs w:val="24"/>
        </w:rPr>
        <w:t>Uvedené údaje sú odhadom Ministerstva financií SR vzhľadom na to, že financovanie samosprávnych kompetencií je v plnej pôsobnosti VÚC, ktorých zastupiteľstvá rozhodujú o rozdelení a použití prostriedkov podľa jednotlivých úsekov v rámci schválených rozpočtov. VÚC takto samostatne rozhodujú cca o 60,9 % svojich príjmov.</w:t>
      </w:r>
    </w:p>
    <w:p w:rsidR="0084667A" w:rsidP="0084667A">
      <w:pPr>
        <w:ind w:firstLine="708"/>
        <w:jc w:val="both"/>
        <w:rPr>
          <w:rFonts w:ascii="Arial Narrow" w:hAnsi="Arial Narrow" w:cs="Arial Narrow"/>
          <w:b/>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b/>
          <w:sz w:val="22"/>
          <w:szCs w:val="24"/>
        </w:rPr>
        <w:t xml:space="preserve">Daňové príjmy </w:t>
      </w:r>
      <w:r>
        <w:rPr>
          <w:rFonts w:ascii="Arial Narrow" w:hAnsi="Arial Narrow" w:cs="Arial Narrow"/>
          <w:sz w:val="22"/>
          <w:szCs w:val="24"/>
        </w:rPr>
        <w:t>sa očakávajú v celkovej sume</w:t>
      </w:r>
      <w:r>
        <w:rPr>
          <w:rFonts w:ascii="Arial Narrow" w:hAnsi="Arial Narrow" w:cs="Arial Narrow"/>
          <w:b/>
          <w:sz w:val="22"/>
          <w:szCs w:val="24"/>
        </w:rPr>
        <w:t xml:space="preserve"> 502 002 tis. eur, </w:t>
      </w:r>
      <w:r>
        <w:rPr>
          <w:rFonts w:ascii="Arial Narrow" w:hAnsi="Arial Narrow" w:cs="Arial Narrow"/>
          <w:sz w:val="22"/>
          <w:szCs w:val="24"/>
        </w:rPr>
        <w:t xml:space="preserve">ktoré VÚC získajú z  výnosu dane z príjmov  platenej  fyzickými   osobami  v sume 368 864 tis. eur, z výnosu dane z  motorových vozidiel v sume 130 931 tis. eur a zo sankcií uložených v daňovom konaní v sume 2 207 tis. eur. Predpoklad vývoja daňových príjmov VÚC v porovnaní so schváleným rozpočtom na rok 2009 v rokoch 2010 až 2012 je nasledovný: </w:t>
      </w:r>
    </w:p>
    <w:p w:rsidR="0084667A" w:rsidP="0084667A">
      <w:pPr>
        <w:pStyle w:val="BodyText"/>
        <w:rPr>
          <w:rFonts w:ascii="Arial Narrow" w:hAnsi="Arial Narrow" w:cs="Arial Narrow"/>
          <w:sz w:val="22"/>
          <w:szCs w:val="24"/>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tblBorders>
      </w:tblPr>
      <w:tblGrid>
        <w:gridCol w:w="2851"/>
        <w:gridCol w:w="900"/>
        <w:gridCol w:w="1785"/>
        <w:gridCol w:w="1620"/>
        <w:gridCol w:w="1620"/>
      </w:tblGrid>
      <w:tr>
        <w:tblPrEx>
          <w:tblW w:w="0" w:type="auto"/>
          <w:jc w:val="center"/>
          <w:tblInd w:w="0" w:type="dxa"/>
          <w:tblBorders>
            <w:top w:val="single" w:sz="4" w:space="0" w:color="auto"/>
            <w:left w:val="single" w:sz="4" w:space="0" w:color="auto"/>
            <w:bottom w:val="single" w:sz="4" w:space="0" w:color="auto"/>
            <w:right w:val="single" w:sz="4" w:space="0" w:color="auto"/>
          </w:tblBorders>
        </w:tblPrEx>
        <w:trPr>
          <w:cantSplit/>
          <w:trHeight w:val="285"/>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both"/>
              <w:rPr>
                <w:rFonts w:ascii="Arial Narrow" w:hAnsi="Arial Narrow" w:cs="Arial Narrow"/>
                <w:b/>
                <w:i/>
                <w:sz w:val="20"/>
                <w:szCs w:val="24"/>
              </w:rPr>
            </w:pPr>
          </w:p>
          <w:p w:rsidR="0084667A" w:rsidRPr="000663D7" w:rsidP="002B1759">
            <w:pPr>
              <w:jc w:val="both"/>
              <w:rPr>
                <w:rFonts w:ascii="Arial Narrow" w:hAnsi="Arial Narrow" w:cs="Arial Narrow"/>
                <w:b/>
                <w:i/>
                <w:sz w:val="20"/>
                <w:szCs w:val="24"/>
              </w:rPr>
            </w:pPr>
            <w:r w:rsidRPr="000663D7">
              <w:rPr>
                <w:rFonts w:ascii="Arial Narrow" w:hAnsi="Arial Narrow" w:cs="Arial Narrow"/>
                <w:b/>
                <w:color w:val="FFFFFF"/>
                <w:sz w:val="20"/>
                <w:szCs w:val="24"/>
              </w:rPr>
              <w:t>(v tis. eur)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2009</w:t>
            </w:r>
          </w:p>
          <w:p w:rsidR="0084667A" w:rsidP="002B1759">
            <w:pPr>
              <w:jc w:val="center"/>
              <w:rPr>
                <w:rFonts w:ascii="Arial Narrow" w:hAnsi="Arial Narrow" w:cs="Arial Narrow"/>
                <w:b/>
                <w:sz w:val="20"/>
                <w:szCs w:val="24"/>
              </w:rPr>
            </w:pPr>
            <w:r>
              <w:rPr>
                <w:rFonts w:ascii="Arial Narrow" w:hAnsi="Arial Narrow" w:cs="Arial Narrow"/>
                <w:b/>
                <w:sz w:val="20"/>
                <w:szCs w:val="24"/>
              </w:rPr>
              <w:t>rozpočet</w:t>
            </w:r>
          </w:p>
        </w:tc>
        <w:tc>
          <w:tcPr>
            <w:tcW w:w="5025" w:type="dxa"/>
            <w:gridSpan w:val="3"/>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Predpoklad</w:t>
            </w:r>
          </w:p>
        </w:tc>
      </w:tr>
      <w:tr>
        <w:tblPrEx>
          <w:tblW w:w="0" w:type="auto"/>
          <w:jc w:val="center"/>
          <w:tblInd w:w="0" w:type="dxa"/>
        </w:tblPrEx>
        <w:trPr>
          <w:cantSplit/>
          <w:trHeight w:val="285"/>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b/>
                <w:i/>
                <w:sz w:val="20"/>
                <w:szCs w:val="2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b/>
                <w:sz w:val="20"/>
                <w:szCs w:val="24"/>
              </w:rPr>
            </w:pPr>
          </w:p>
        </w:tc>
        <w:tc>
          <w:tcPr>
            <w:tcW w:w="1785"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2010</w:t>
            </w:r>
          </w:p>
        </w:tc>
        <w:tc>
          <w:tcPr>
            <w:tcW w:w="162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2011</w:t>
            </w:r>
          </w:p>
        </w:tc>
        <w:tc>
          <w:tcPr>
            <w:tcW w:w="162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4667A" w:rsidP="002B1759">
            <w:pPr>
              <w:jc w:val="center"/>
              <w:rPr>
                <w:rFonts w:ascii="Arial Narrow" w:hAnsi="Arial Narrow" w:cs="Arial Narrow"/>
                <w:b/>
                <w:sz w:val="20"/>
                <w:szCs w:val="24"/>
              </w:rPr>
            </w:pPr>
            <w:r>
              <w:rPr>
                <w:rFonts w:ascii="Arial Narrow" w:hAnsi="Arial Narrow" w:cs="Arial Narrow"/>
                <w:b/>
                <w:sz w:val="20"/>
                <w:szCs w:val="24"/>
              </w:rPr>
              <w:t>2012</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both"/>
              <w:rPr>
                <w:rFonts w:ascii="Arial Narrow" w:hAnsi="Arial Narrow" w:cs="Arial Narrow"/>
                <w:b/>
                <w:sz w:val="20"/>
                <w:szCs w:val="24"/>
              </w:rPr>
            </w:pPr>
            <w:r>
              <w:rPr>
                <w:rFonts w:ascii="Arial Narrow" w:hAnsi="Arial Narrow" w:cs="Arial Narrow"/>
                <w:b/>
                <w:sz w:val="20"/>
                <w:szCs w:val="24"/>
              </w:rPr>
              <w:t>Daňové príjmy spolu</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595 326</w:t>
            </w:r>
          </w:p>
        </w:tc>
        <w:tc>
          <w:tcPr>
            <w:tcW w:w="178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502 002</w:t>
            </w:r>
          </w:p>
        </w:tc>
        <w:tc>
          <w:tcPr>
            <w:tcW w:w="162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583 287</w:t>
            </w:r>
          </w:p>
        </w:tc>
        <w:tc>
          <w:tcPr>
            <w:tcW w:w="162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sz w:val="20"/>
                <w:szCs w:val="24"/>
              </w:rPr>
            </w:pPr>
            <w:r>
              <w:rPr>
                <w:rFonts w:ascii="Arial Narrow" w:hAnsi="Arial Narrow" w:cs="Arial Narrow"/>
                <w:b/>
                <w:sz w:val="20"/>
                <w:szCs w:val="24"/>
              </w:rPr>
              <w:t>651 402</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z toho: daň z príjmov fyzických osôb</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465 809</w:t>
            </w:r>
          </w:p>
        </w:tc>
        <w:tc>
          <w:tcPr>
            <w:tcW w:w="1785"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368 864</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444 723</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507 028</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daň z motorových vozidiel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126 469</w:t>
            </w:r>
          </w:p>
        </w:tc>
        <w:tc>
          <w:tcPr>
            <w:tcW w:w="1785"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130 931</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136 430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142 160</w:t>
            </w:r>
          </w:p>
        </w:tc>
      </w:tr>
      <w:tr>
        <w:tblPrEx>
          <w:tblW w:w="0" w:type="auto"/>
          <w:jc w:val="center"/>
          <w:tblInd w:w="0" w:type="dxa"/>
        </w:tblPrEx>
        <w:trPr>
          <w:jc w:val="center"/>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 xml:space="preserve">            sankcie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3 048</w:t>
            </w:r>
          </w:p>
        </w:tc>
        <w:tc>
          <w:tcPr>
            <w:tcW w:w="1785"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2 207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2 134</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2 214</w:t>
            </w:r>
          </w:p>
        </w:tc>
      </w:tr>
    </w:tbl>
    <w:p w:rsidR="0084667A" w:rsidRPr="002917A9" w:rsidP="0084667A">
      <w:pPr>
        <w:jc w:val="both"/>
        <w:rPr>
          <w:rFonts w:ascii="Arial Narrow" w:hAnsi="Arial Narrow" w:cs="Arial Narrow"/>
          <w:b/>
          <w:sz w:val="22"/>
          <w:szCs w:val="24"/>
        </w:rPr>
      </w:pPr>
      <w:r>
        <w:rPr>
          <w:rFonts w:ascii="Arial Narrow" w:hAnsi="Arial Narrow" w:cs="Arial Narrow"/>
          <w:b/>
          <w:sz w:val="22"/>
          <w:szCs w:val="24"/>
        </w:rPr>
        <w:t xml:space="preserve">  </w:t>
      </w:r>
    </w:p>
    <w:p w:rsidR="0084667A" w:rsidP="0084667A">
      <w:pPr>
        <w:pStyle w:val="BodyText"/>
        <w:ind w:firstLine="540"/>
        <w:rPr>
          <w:rFonts w:ascii="Arial Narrow" w:hAnsi="Arial Narrow" w:cs="Arial Narrow"/>
          <w:sz w:val="22"/>
          <w:szCs w:val="24"/>
        </w:rPr>
      </w:pPr>
      <w:r>
        <w:rPr>
          <w:rFonts w:ascii="Arial Narrow" w:hAnsi="Arial Narrow" w:cs="Arial Narrow"/>
          <w:b/>
          <w:sz w:val="22"/>
          <w:szCs w:val="24"/>
        </w:rPr>
        <w:t xml:space="preserve">   Nedaňové príjmy</w:t>
      </w:r>
      <w:r>
        <w:rPr>
          <w:rFonts w:ascii="Arial Narrow" w:hAnsi="Arial Narrow" w:cs="Arial Narrow"/>
          <w:sz w:val="22"/>
          <w:szCs w:val="24"/>
        </w:rPr>
        <w:t xml:space="preserve"> sa získajú z  činnosti organizácií v zriaďovateľskej pôsobnosti VÚC na úseku sociálneho zabezpečenia, na úseku školstva, dopravy, z kapitálových príjmov a z úrokov z prostriedkov vlastného hospodárenia. Uvažuje sa s ich celkovou výškou </w:t>
      </w:r>
      <w:r>
        <w:rPr>
          <w:rFonts w:ascii="Arial Narrow" w:hAnsi="Arial Narrow" w:cs="Arial Narrow"/>
          <w:b/>
          <w:sz w:val="22"/>
          <w:szCs w:val="24"/>
        </w:rPr>
        <w:t>75 337 tis. eur</w:t>
      </w:r>
      <w:r>
        <w:rPr>
          <w:rFonts w:ascii="Arial Narrow" w:hAnsi="Arial Narrow" w:cs="Arial Narrow"/>
          <w:sz w:val="22"/>
          <w:szCs w:val="24"/>
        </w:rPr>
        <w:t>, ktorá by sa mala dosiahnuť z administratívnych a iných poplatkov a platieb v sume 53 110 tis. eur, a to najmä na úseku sociálneho zabezpečenia, z úhrad platených občanmi umiestnenými v zariadeniach sociálnych služieb, za poskytované služby, ako sú stravovanie, bývanie a zaopatrenie.  Na úseku školstva, z poplatkov zo zápisného a školného v základných umeleckých školách, za ubytovanie v domovoch mládeže, z nájomného. Z vlastného hospodárenia úradov samosprávnych krajov z úrokov z vlastných prostriedkov, z úrokov, z vkladov sa predpokladajú v sume 3 651 tis. eur a z iných nedaňových príjmov v sume 332 tis. eur. Z kapitálových príjmov (z predaja majetku) sa predpokladá získať 18 244 tis. eur.</w:t>
      </w:r>
    </w:p>
    <w:p w:rsidR="0084667A" w:rsidP="0084667A">
      <w:pPr>
        <w:pStyle w:val="BodyText"/>
        <w:ind w:firstLine="540"/>
        <w:rPr>
          <w:rFonts w:ascii="Arial Narrow" w:hAnsi="Arial Narrow" w:cs="Arial Narrow"/>
          <w:sz w:val="22"/>
          <w:szCs w:val="24"/>
        </w:rPr>
      </w:pPr>
      <w:r>
        <w:rPr>
          <w:rFonts w:ascii="Arial Narrow" w:hAnsi="Arial Narrow" w:cs="Arial Narrow"/>
          <w:sz w:val="22"/>
          <w:szCs w:val="24"/>
        </w:rPr>
        <w:t xml:space="preserve">   </w:t>
      </w:r>
    </w:p>
    <w:p w:rsidR="0084667A" w:rsidP="0084667A">
      <w:pPr>
        <w:pStyle w:val="BodyText"/>
        <w:ind w:firstLine="180"/>
        <w:rPr>
          <w:rFonts w:ascii="Arial Narrow" w:hAnsi="Arial Narrow" w:cs="Arial Narrow"/>
          <w:sz w:val="22"/>
          <w:szCs w:val="24"/>
        </w:rPr>
      </w:pPr>
      <w:r>
        <w:rPr>
          <w:rFonts w:ascii="Arial Narrow" w:hAnsi="Arial Narrow" w:cs="Arial Narrow"/>
          <w:b/>
          <w:sz w:val="22"/>
          <w:szCs w:val="24"/>
        </w:rPr>
        <w:t xml:space="preserve">           Granty a transfery </w:t>
      </w:r>
      <w:r>
        <w:rPr>
          <w:rFonts w:ascii="Arial Narrow" w:hAnsi="Arial Narrow" w:cs="Arial Narrow"/>
          <w:sz w:val="22"/>
          <w:szCs w:val="24"/>
        </w:rPr>
        <w:t xml:space="preserve">zo štátneho rozpočtu sa rozpočtujú v celkovej sume </w:t>
      </w:r>
      <w:r>
        <w:rPr>
          <w:rFonts w:ascii="Arial Narrow" w:hAnsi="Arial Narrow" w:cs="Arial Narrow"/>
          <w:b/>
          <w:sz w:val="22"/>
          <w:szCs w:val="24"/>
        </w:rPr>
        <w:t>434 288</w:t>
      </w:r>
      <w:r>
        <w:rPr>
          <w:rFonts w:ascii="Arial Narrow" w:hAnsi="Arial Narrow" w:cs="Arial Narrow"/>
          <w:sz w:val="22"/>
          <w:szCs w:val="24"/>
        </w:rPr>
        <w:t xml:space="preserve"> </w:t>
      </w:r>
      <w:r>
        <w:rPr>
          <w:rFonts w:ascii="Arial Narrow" w:hAnsi="Arial Narrow" w:cs="Arial Narrow"/>
          <w:b/>
          <w:sz w:val="22"/>
          <w:szCs w:val="24"/>
        </w:rPr>
        <w:t xml:space="preserve">tis. eur, </w:t>
      </w:r>
      <w:r w:rsidRPr="0061547F">
        <w:rPr>
          <w:rFonts w:ascii="Arial Narrow" w:hAnsi="Arial Narrow" w:cs="Arial Narrow"/>
          <w:sz w:val="22"/>
          <w:szCs w:val="24"/>
        </w:rPr>
        <w:t>čo predstavuje</w:t>
      </w:r>
      <w:r>
        <w:rPr>
          <w:rFonts w:ascii="Arial Narrow" w:hAnsi="Arial Narrow" w:cs="Arial Narrow"/>
          <w:b/>
          <w:sz w:val="22"/>
          <w:szCs w:val="24"/>
        </w:rPr>
        <w:t xml:space="preserve"> </w:t>
      </w:r>
      <w:r>
        <w:rPr>
          <w:rFonts w:ascii="Arial Narrow" w:hAnsi="Arial Narrow" w:cs="Arial Narrow"/>
          <w:sz w:val="22"/>
          <w:szCs w:val="24"/>
        </w:rPr>
        <w:t xml:space="preserve">bežné granty a transfery. Granty a transfery sa predpokladajú poskytnúť do rozpočtov VÚC z týchto kapitol štátneho rozpočtu: </w:t>
      </w:r>
    </w:p>
    <w:p w:rsidR="0084667A" w:rsidRPr="004F4646" w:rsidP="0084667A">
      <w:pPr>
        <w:pStyle w:val="BodyText"/>
        <w:rPr>
          <w:rFonts w:ascii="Arial Narrow" w:hAnsi="Arial Narrow" w:cs="Arial Narrow"/>
          <w:sz w:val="10"/>
          <w:szCs w:val="24"/>
        </w:rPr>
      </w:pPr>
    </w:p>
    <w:p w:rsidR="0084667A" w:rsidP="002B1759">
      <w:pPr>
        <w:pStyle w:val="BodyText"/>
        <w:numPr>
          <w:numId w:val="12"/>
        </w:numPr>
        <w:tabs>
          <w:tab w:val="num" w:pos="360"/>
          <w:tab w:val="clear" w:pos="720"/>
        </w:tabs>
        <w:ind w:left="360"/>
        <w:rPr>
          <w:rFonts w:ascii="Arial Narrow" w:hAnsi="Arial Narrow" w:cs="Arial Narrow"/>
          <w:sz w:val="22"/>
          <w:szCs w:val="24"/>
        </w:rPr>
      </w:pPr>
      <w:r>
        <w:rPr>
          <w:rFonts w:ascii="Arial Narrow" w:hAnsi="Arial Narrow" w:cs="Arial Narrow"/>
          <w:sz w:val="22"/>
          <w:szCs w:val="24"/>
          <w:u w:val="single"/>
        </w:rPr>
        <w:t>Ministerstva školstva SR</w:t>
      </w:r>
      <w:r>
        <w:rPr>
          <w:rFonts w:ascii="Arial Narrow" w:hAnsi="Arial Narrow" w:cs="Arial Narrow"/>
          <w:sz w:val="22"/>
          <w:szCs w:val="24"/>
        </w:rPr>
        <w:t xml:space="preserve"> – v celkovej sume </w:t>
      </w:r>
      <w:r>
        <w:rPr>
          <w:rFonts w:ascii="Arial Narrow" w:hAnsi="Arial Narrow" w:cs="Arial Narrow"/>
          <w:b/>
          <w:sz w:val="22"/>
          <w:szCs w:val="24"/>
        </w:rPr>
        <w:t xml:space="preserve">411 557 tis. eur, </w:t>
      </w:r>
      <w:r>
        <w:rPr>
          <w:rFonts w:ascii="Arial Narrow" w:hAnsi="Arial Narrow" w:cs="Arial Narrow"/>
          <w:sz w:val="22"/>
          <w:szCs w:val="24"/>
        </w:rPr>
        <w:t xml:space="preserve">z toho na financovanie </w:t>
      </w:r>
      <w:r>
        <w:rPr>
          <w:rFonts w:ascii="Arial Narrow" w:hAnsi="Arial Narrow" w:cs="Arial Narrow"/>
          <w:b/>
          <w:sz w:val="22"/>
          <w:szCs w:val="24"/>
        </w:rPr>
        <w:t>preneseného výkonu štátnej správy</w:t>
      </w:r>
      <w:r>
        <w:rPr>
          <w:rFonts w:ascii="Arial Narrow" w:hAnsi="Arial Narrow" w:cs="Arial Narrow"/>
          <w:sz w:val="22"/>
          <w:szCs w:val="24"/>
        </w:rPr>
        <w:t xml:space="preserve"> na úseku stredných škôl, ku ktorým zriaďovateľskú funkciu plnia VÚC v sume </w:t>
      </w:r>
      <w:r>
        <w:rPr>
          <w:rFonts w:ascii="Arial Narrow" w:hAnsi="Arial Narrow" w:cs="Arial Narrow"/>
          <w:b/>
          <w:sz w:val="22"/>
          <w:szCs w:val="24"/>
        </w:rPr>
        <w:t>400 979</w:t>
      </w:r>
      <w:r w:rsidRPr="00076E10">
        <w:rPr>
          <w:rFonts w:ascii="Arial Narrow" w:hAnsi="Arial Narrow" w:cs="Arial Narrow"/>
          <w:b/>
          <w:sz w:val="22"/>
          <w:szCs w:val="24"/>
        </w:rPr>
        <w:t xml:space="preserve"> tis</w:t>
      </w:r>
      <w:r>
        <w:rPr>
          <w:rFonts w:ascii="Arial Narrow" w:hAnsi="Arial Narrow" w:cs="Arial Narrow"/>
          <w:b/>
          <w:sz w:val="22"/>
          <w:szCs w:val="24"/>
        </w:rPr>
        <w:t>. eur</w:t>
      </w:r>
      <w:r>
        <w:rPr>
          <w:rFonts w:ascii="Arial Narrow" w:hAnsi="Arial Narrow" w:cs="Arial Narrow"/>
          <w:sz w:val="22"/>
          <w:szCs w:val="24"/>
        </w:rPr>
        <w:t xml:space="preserve"> a na financovanie projektov zo štrukturálnych fondov vrátane spolufinancovania z Operačného programu Vzdelávanie na uskutočnenie obsahovej </w:t>
      </w:r>
      <w:r w:rsidR="000A4EF0">
        <w:rPr>
          <w:rFonts w:ascii="Arial Narrow" w:hAnsi="Arial Narrow" w:cs="Arial Narrow"/>
          <w:sz w:val="22"/>
          <w:szCs w:val="24"/>
        </w:rPr>
        <w:t>prestavby</w:t>
      </w:r>
      <w:r>
        <w:rPr>
          <w:rFonts w:ascii="Arial Narrow" w:hAnsi="Arial Narrow" w:cs="Arial Narrow"/>
          <w:sz w:val="22"/>
          <w:szCs w:val="24"/>
        </w:rPr>
        <w:t xml:space="preserve"> vzdelávania, podporu vzdelávania osôb s osobitnými vzdelávacími potrebami a na moderné vzdelávanie pre vedomostnú spoločnosť pre Bratislavský kraj v sume 10 578 tis. eur.</w:t>
      </w:r>
    </w:p>
    <w:p w:rsidR="0084667A" w:rsidRPr="004F4646" w:rsidP="0084667A">
      <w:pPr>
        <w:pStyle w:val="BodyText"/>
        <w:rPr>
          <w:rFonts w:ascii="Arial Narrow" w:hAnsi="Arial Narrow" w:cs="Arial Narrow"/>
          <w:sz w:val="10"/>
          <w:szCs w:val="24"/>
        </w:rPr>
      </w:pPr>
    </w:p>
    <w:p w:rsidR="0084667A" w:rsidP="002B1759">
      <w:pPr>
        <w:pStyle w:val="BodyText"/>
        <w:numPr>
          <w:numId w:val="12"/>
        </w:numPr>
        <w:tabs>
          <w:tab w:val="num" w:pos="360"/>
          <w:tab w:val="clear" w:pos="720"/>
        </w:tabs>
        <w:ind w:left="360"/>
        <w:rPr>
          <w:rFonts w:ascii="Arial Narrow" w:hAnsi="Arial Narrow" w:cs="Arial Narrow"/>
          <w:sz w:val="22"/>
          <w:szCs w:val="24"/>
        </w:rPr>
      </w:pPr>
      <w:r>
        <w:rPr>
          <w:rFonts w:ascii="Arial Narrow" w:hAnsi="Arial Narrow" w:cs="Arial Narrow"/>
          <w:sz w:val="22"/>
          <w:szCs w:val="24"/>
          <w:u w:val="single"/>
        </w:rPr>
        <w:t xml:space="preserve"> Ministerstva kultúry SR </w:t>
      </w:r>
      <w:r>
        <w:rPr>
          <w:rFonts w:ascii="Arial Narrow" w:hAnsi="Arial Narrow" w:cs="Arial Narrow"/>
          <w:sz w:val="22"/>
          <w:szCs w:val="24"/>
        </w:rPr>
        <w:t xml:space="preserve">– v sume </w:t>
      </w:r>
      <w:r>
        <w:rPr>
          <w:rFonts w:ascii="Arial Narrow" w:hAnsi="Arial Narrow" w:cs="Arial Narrow"/>
          <w:b/>
          <w:sz w:val="22"/>
          <w:szCs w:val="24"/>
        </w:rPr>
        <w:t>716</w:t>
      </w:r>
      <w:r w:rsidRPr="003A016F">
        <w:rPr>
          <w:rFonts w:ascii="Arial Narrow" w:hAnsi="Arial Narrow" w:cs="Arial Narrow"/>
          <w:b/>
          <w:sz w:val="22"/>
          <w:szCs w:val="24"/>
        </w:rPr>
        <w:t xml:space="preserve"> tis. </w:t>
      </w:r>
      <w:r>
        <w:rPr>
          <w:rFonts w:ascii="Arial Narrow" w:hAnsi="Arial Narrow" w:cs="Arial Narrow"/>
          <w:b/>
          <w:sz w:val="22"/>
          <w:szCs w:val="24"/>
        </w:rPr>
        <w:t>e</w:t>
      </w:r>
      <w:r w:rsidRPr="003A016F">
        <w:rPr>
          <w:rFonts w:ascii="Arial Narrow" w:hAnsi="Arial Narrow" w:cs="Arial Narrow"/>
          <w:b/>
          <w:sz w:val="22"/>
          <w:szCs w:val="24"/>
        </w:rPr>
        <w:t>ur</w:t>
      </w:r>
      <w:r>
        <w:rPr>
          <w:rFonts w:ascii="Arial Narrow" w:hAnsi="Arial Narrow" w:cs="Arial Narrow"/>
          <w:b/>
          <w:sz w:val="22"/>
          <w:szCs w:val="24"/>
        </w:rPr>
        <w:t xml:space="preserve"> </w:t>
      </w:r>
      <w:r w:rsidRPr="003A016F">
        <w:rPr>
          <w:rFonts w:ascii="Arial Narrow" w:hAnsi="Arial Narrow" w:cs="Arial Narrow"/>
          <w:sz w:val="22"/>
          <w:szCs w:val="24"/>
        </w:rPr>
        <w:t>na financov</w:t>
      </w:r>
      <w:r>
        <w:rPr>
          <w:rFonts w:ascii="Arial Narrow" w:hAnsi="Arial Narrow" w:cs="Arial Narrow"/>
          <w:sz w:val="22"/>
          <w:szCs w:val="24"/>
        </w:rPr>
        <w:t xml:space="preserve">anie obnovy kultúrnych pamiatok, na podporu  návštevnosti kultúrnych podujatí, na mimoriadne kultúrne aktivity a kultúrne aktivity v oblasti pamäťových inštitúcií. </w:t>
      </w:r>
    </w:p>
    <w:p w:rsidR="0084667A" w:rsidP="0084667A">
      <w:pPr>
        <w:jc w:val="both"/>
        <w:rPr>
          <w:rFonts w:ascii="Arial Narrow" w:hAnsi="Arial Narrow" w:cs="Arial Narrow"/>
          <w:sz w:val="22"/>
          <w:szCs w:val="24"/>
        </w:rPr>
      </w:pPr>
    </w:p>
    <w:p w:rsidR="00E664B7" w:rsidP="0084667A">
      <w:pPr>
        <w:jc w:val="both"/>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b/>
          <w:sz w:val="22"/>
          <w:szCs w:val="24"/>
        </w:rPr>
        <w:t xml:space="preserve">Príjmové finančné operácie </w:t>
      </w:r>
      <w:r>
        <w:rPr>
          <w:rFonts w:ascii="Arial Narrow" w:hAnsi="Arial Narrow" w:cs="Arial Narrow"/>
          <w:sz w:val="22"/>
          <w:szCs w:val="24"/>
        </w:rPr>
        <w:t xml:space="preserve">sa predpokladajú v sume </w:t>
      </w:r>
      <w:r>
        <w:rPr>
          <w:rFonts w:ascii="Arial Narrow" w:hAnsi="Arial Narrow" w:cs="Arial Narrow"/>
          <w:b/>
          <w:sz w:val="22"/>
          <w:szCs w:val="24"/>
        </w:rPr>
        <w:t>98 555</w:t>
      </w:r>
      <w:r w:rsidRPr="0036240A">
        <w:rPr>
          <w:rFonts w:ascii="Arial Narrow" w:hAnsi="Arial Narrow" w:cs="Arial Narrow"/>
          <w:b/>
          <w:sz w:val="22"/>
          <w:szCs w:val="24"/>
        </w:rPr>
        <w:t xml:space="preserve"> tis. eur</w:t>
      </w:r>
      <w:r>
        <w:rPr>
          <w:rFonts w:ascii="Arial Narrow" w:hAnsi="Arial Narrow" w:cs="Arial Narrow"/>
          <w:sz w:val="22"/>
          <w:szCs w:val="24"/>
        </w:rPr>
        <w:t xml:space="preserve">, a to z prevodov prostriedkov z peňažných fondov v sume 9 958 tis. eur, zo zostatku prostriedkov z predchádzajúcich rokov v sume 9 625 tis. eur, z predaja majetkových účastí v sume 996 tis. eur a z prijatých úverov v sume 77 976 tis. eur. </w:t>
      </w:r>
    </w:p>
    <w:p w:rsidR="0084667A" w:rsidP="0084667A">
      <w:pPr>
        <w:ind w:firstLine="709"/>
        <w:jc w:val="both"/>
        <w:rPr>
          <w:rFonts w:ascii="Arial Narrow" w:hAnsi="Arial Narrow" w:cs="Arial Narrow"/>
          <w:b/>
          <w:sz w:val="22"/>
          <w:szCs w:val="24"/>
        </w:rPr>
      </w:pPr>
    </w:p>
    <w:p w:rsidR="0084667A" w:rsidP="0084667A">
      <w:pPr>
        <w:ind w:firstLine="709"/>
        <w:jc w:val="both"/>
        <w:rPr>
          <w:rFonts w:ascii="Arial Narrow" w:hAnsi="Arial Narrow" w:cs="Arial Narrow"/>
          <w:sz w:val="22"/>
          <w:szCs w:val="24"/>
        </w:rPr>
      </w:pPr>
      <w:r>
        <w:rPr>
          <w:rFonts w:ascii="Arial Narrow" w:hAnsi="Arial Narrow" w:cs="Arial Narrow"/>
          <w:b/>
          <w:sz w:val="22"/>
          <w:szCs w:val="24"/>
        </w:rPr>
        <w:t>Celkové výdavky</w:t>
      </w:r>
      <w:r>
        <w:rPr>
          <w:rFonts w:ascii="Arial Narrow" w:hAnsi="Arial Narrow" w:cs="Arial Narrow"/>
          <w:sz w:val="22"/>
          <w:szCs w:val="24"/>
        </w:rPr>
        <w:t xml:space="preserve"> VÚC sa predpokladajú v sume </w:t>
      </w:r>
      <w:r w:rsidRPr="00FF7E40">
        <w:rPr>
          <w:rFonts w:ascii="Arial Narrow" w:hAnsi="Arial Narrow" w:cs="Arial Narrow"/>
          <w:b/>
          <w:sz w:val="22"/>
          <w:szCs w:val="24"/>
        </w:rPr>
        <w:t>1</w:t>
      </w:r>
      <w:r>
        <w:rPr>
          <w:rFonts w:ascii="Arial Narrow" w:hAnsi="Arial Narrow" w:cs="Arial Narrow"/>
          <w:b/>
          <w:sz w:val="22"/>
          <w:szCs w:val="24"/>
        </w:rPr>
        <w:t> 055 177</w:t>
      </w:r>
      <w:r>
        <w:rPr>
          <w:rFonts w:ascii="Arial Narrow" w:hAnsi="Arial Narrow" w:cs="Arial Narrow"/>
          <w:sz w:val="22"/>
          <w:szCs w:val="24"/>
        </w:rPr>
        <w:t xml:space="preserve"> </w:t>
      </w:r>
      <w:r w:rsidRPr="0036240A">
        <w:rPr>
          <w:rFonts w:ascii="Arial Narrow" w:hAnsi="Arial Narrow" w:cs="Arial Narrow"/>
          <w:b/>
          <w:sz w:val="22"/>
          <w:szCs w:val="24"/>
        </w:rPr>
        <w:t>tis</w:t>
      </w:r>
      <w:r>
        <w:rPr>
          <w:rFonts w:ascii="Arial Narrow" w:hAnsi="Arial Narrow" w:cs="Arial Narrow"/>
          <w:b/>
          <w:sz w:val="22"/>
          <w:szCs w:val="24"/>
        </w:rPr>
        <w:t>. eur</w:t>
      </w:r>
      <w:r>
        <w:rPr>
          <w:rFonts w:ascii="Arial Narrow" w:hAnsi="Arial Narrow" w:cs="Arial Narrow"/>
          <w:sz w:val="22"/>
          <w:szCs w:val="24"/>
        </w:rPr>
        <w:t xml:space="preserve">. </w:t>
      </w:r>
    </w:p>
    <w:p w:rsidR="0084667A" w:rsidP="0084667A">
      <w:pPr>
        <w:pStyle w:val="BodyText"/>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Na základe vývoja hospodárenia v predchádzajúcich rokoch</w:t>
      </w:r>
      <w:r>
        <w:rPr>
          <w:rFonts w:ascii="Arial Narrow" w:hAnsi="Arial Narrow" w:cs="Arial Narrow"/>
          <w:b/>
          <w:sz w:val="22"/>
          <w:szCs w:val="24"/>
        </w:rPr>
        <w:t xml:space="preserve"> </w:t>
      </w:r>
      <w:r>
        <w:rPr>
          <w:rFonts w:ascii="Arial Narrow" w:hAnsi="Arial Narrow" w:cs="Arial Narrow"/>
          <w:sz w:val="22"/>
          <w:szCs w:val="24"/>
        </w:rPr>
        <w:t>a predpokladaného vývoja príjmov</w:t>
      </w:r>
      <w:r>
        <w:rPr>
          <w:rFonts w:ascii="Arial Narrow" w:hAnsi="Arial Narrow" w:cs="Arial Narrow"/>
          <w:b/>
          <w:sz w:val="22"/>
          <w:szCs w:val="24"/>
        </w:rPr>
        <w:t xml:space="preserve">, </w:t>
      </w:r>
      <w:r>
        <w:rPr>
          <w:rFonts w:ascii="Arial Narrow" w:hAnsi="Arial Narrow" w:cs="Arial Narrow"/>
          <w:sz w:val="22"/>
          <w:szCs w:val="24"/>
        </w:rPr>
        <w:t>Ministerstvo financií SR odhaduje, že výdavky VÚC budú smerované do jednotlivých úsekov činností v roku 2010 takto:</w:t>
      </w: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 xml:space="preserve">V oblasti výdavkov na zabezpečenie činností </w:t>
      </w:r>
      <w:r>
        <w:rPr>
          <w:rFonts w:ascii="Arial Narrow" w:hAnsi="Arial Narrow" w:cs="Arial Narrow"/>
          <w:b/>
          <w:sz w:val="22"/>
          <w:szCs w:val="24"/>
        </w:rPr>
        <w:t>úradov samosprávnych krajov</w:t>
      </w:r>
      <w:r>
        <w:rPr>
          <w:rFonts w:ascii="Arial Narrow" w:hAnsi="Arial Narrow" w:cs="Arial Narrow"/>
          <w:sz w:val="22"/>
          <w:szCs w:val="24"/>
        </w:rPr>
        <w:t xml:space="preserve"> sa predpokladá vynaložiť finančné prostriedky v celkovej sume </w:t>
      </w:r>
      <w:r>
        <w:rPr>
          <w:rFonts w:ascii="Arial Narrow" w:hAnsi="Arial Narrow" w:cs="Arial Narrow"/>
          <w:b/>
          <w:sz w:val="22"/>
          <w:szCs w:val="24"/>
        </w:rPr>
        <w:t xml:space="preserve">95 134 tis. eur. </w:t>
      </w:r>
      <w:r>
        <w:rPr>
          <w:rFonts w:ascii="Arial Narrow" w:hAnsi="Arial Narrow" w:cs="Arial Narrow"/>
          <w:sz w:val="22"/>
          <w:szCs w:val="24"/>
        </w:rPr>
        <w:t xml:space="preserve"> Z uvedenej sumy sa predpokladá financovať osobné a prevádzkové výdavky úradov, činnosť poslancov zastupiteľstiev, činnosť komisií, projekty súvisiace s regionálnym rozvojom, splátky istiny a ostatné úlohy spojené s činnosťou úradov samosprávnych krajov a výkon volieb do orgánov samosprávnych krajov. V rámci kapitálových výdavkov sa predpokladá financovať vybavenie úradov VÚC, rekonštrukčné práce objektov, v ktorých sú umiestnené úrady VÚC a na obstaranie technického vybavenia úradov.</w:t>
      </w:r>
    </w:p>
    <w:p w:rsidR="0084667A" w:rsidP="0084667A">
      <w:pPr>
        <w:pStyle w:val="BodyText"/>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N</w:t>
      </w:r>
      <w:r w:rsidRPr="00B94436">
        <w:rPr>
          <w:rFonts w:ascii="Arial Narrow" w:hAnsi="Arial Narrow" w:cs="Arial Narrow"/>
          <w:sz w:val="22"/>
          <w:szCs w:val="24"/>
        </w:rPr>
        <w:t>a úseku</w:t>
      </w:r>
      <w:r>
        <w:rPr>
          <w:rFonts w:ascii="Arial Narrow" w:hAnsi="Arial Narrow" w:cs="Arial Narrow"/>
          <w:b/>
          <w:sz w:val="22"/>
          <w:szCs w:val="24"/>
        </w:rPr>
        <w:t xml:space="preserve"> dopravy, </w:t>
      </w:r>
      <w:r w:rsidRPr="00A7652A">
        <w:rPr>
          <w:rFonts w:ascii="Arial Narrow" w:hAnsi="Arial Narrow" w:cs="Arial Narrow"/>
          <w:sz w:val="22"/>
          <w:szCs w:val="24"/>
        </w:rPr>
        <w:t>kde</w:t>
      </w:r>
      <w:r>
        <w:rPr>
          <w:rFonts w:ascii="Arial Narrow" w:hAnsi="Arial Narrow" w:cs="Arial Narrow"/>
          <w:sz w:val="22"/>
          <w:szCs w:val="24"/>
        </w:rPr>
        <w:t xml:space="preserve"> sa uvažuje s finančnými prostriedkami v sume </w:t>
      </w:r>
      <w:r>
        <w:rPr>
          <w:rFonts w:ascii="Arial Narrow" w:hAnsi="Arial Narrow" w:cs="Arial Narrow"/>
          <w:b/>
          <w:sz w:val="22"/>
          <w:szCs w:val="24"/>
        </w:rPr>
        <w:t>190 581</w:t>
      </w:r>
      <w:r>
        <w:rPr>
          <w:rFonts w:ascii="Arial Narrow" w:hAnsi="Arial Narrow" w:cs="Arial Narrow"/>
          <w:sz w:val="22"/>
          <w:szCs w:val="24"/>
        </w:rPr>
        <w:t xml:space="preserve"> </w:t>
      </w:r>
      <w:r>
        <w:rPr>
          <w:rFonts w:ascii="Arial Narrow" w:hAnsi="Arial Narrow" w:cs="Arial Narrow"/>
          <w:b/>
          <w:sz w:val="22"/>
          <w:szCs w:val="24"/>
        </w:rPr>
        <w:t>tis. eur</w:t>
      </w:r>
      <w:r>
        <w:rPr>
          <w:rFonts w:ascii="Arial Narrow" w:hAnsi="Arial Narrow" w:cs="Arial Narrow"/>
          <w:sz w:val="22"/>
          <w:szCs w:val="24"/>
        </w:rPr>
        <w:t>, a to na úhradu straty, jej časti alebo iné vyrovnanie dopravcom, ktorí na základe uzatvorených zmlúv o výkonoch vo verejnom záujme vykonávajú vnútroštátnu verejnú autobusovú dopravu a na zabezpečenie obslužnosti územia. Ďalšie prostriedky na úseku dopravy budú smerované na zabezpečenie správy, opravy a údržby, ale predovšetkým na rekonštrukciu ciest II. a III. triedy a na nákup a obnovu technického a strojného vybavenia súvisiaceho s údržbou ciest.</w:t>
      </w:r>
    </w:p>
    <w:p w:rsidR="0084667A" w:rsidP="0084667A">
      <w:pPr>
        <w:ind w:firstLine="708"/>
        <w:jc w:val="both"/>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b/>
          <w:sz w:val="22"/>
          <w:szCs w:val="24"/>
        </w:rPr>
        <w:t xml:space="preserve">Pre úsek zdravotníctva </w:t>
      </w:r>
      <w:r>
        <w:rPr>
          <w:rFonts w:ascii="Arial Narrow" w:hAnsi="Arial Narrow" w:cs="Arial Narrow"/>
          <w:sz w:val="22"/>
          <w:szCs w:val="24"/>
        </w:rPr>
        <w:t xml:space="preserve">sa uvažuje so sumou </w:t>
      </w:r>
      <w:r>
        <w:rPr>
          <w:rFonts w:ascii="Arial Narrow" w:hAnsi="Arial Narrow" w:cs="Arial Narrow"/>
          <w:b/>
          <w:sz w:val="22"/>
          <w:szCs w:val="24"/>
        </w:rPr>
        <w:t>9 958 tis. eur</w:t>
      </w:r>
      <w:r>
        <w:rPr>
          <w:rFonts w:ascii="Arial Narrow" w:hAnsi="Arial Narrow" w:cs="Arial Narrow"/>
          <w:sz w:val="22"/>
          <w:szCs w:val="24"/>
        </w:rPr>
        <w:t xml:space="preserve"> na dostavbu rozostavaných stavieb, rekonštrukciu  zdravotníckych zariadení a na splátky prístrojov.</w:t>
      </w:r>
    </w:p>
    <w:p w:rsidR="0084667A" w:rsidP="0084667A">
      <w:pPr>
        <w:pStyle w:val="BodyText"/>
        <w:rPr>
          <w:rFonts w:ascii="Arial Narrow" w:hAnsi="Arial Narrow" w:cs="Arial Narrow"/>
          <w:sz w:val="22"/>
          <w:szCs w:val="24"/>
          <w:u w:val="single"/>
        </w:rPr>
      </w:pPr>
      <w:r>
        <w:rPr>
          <w:rFonts w:ascii="Arial Narrow" w:hAnsi="Arial Narrow" w:cs="Arial Narrow"/>
          <w:sz w:val="22"/>
          <w:szCs w:val="24"/>
        </w:rPr>
        <w:tab/>
      </w:r>
    </w:p>
    <w:p w:rsidR="0084667A" w:rsidP="0084667A">
      <w:pPr>
        <w:pStyle w:val="BodyText"/>
        <w:ind w:firstLine="708"/>
        <w:rPr>
          <w:rFonts w:ascii="Arial Narrow" w:hAnsi="Arial Narrow" w:cs="Arial Narrow"/>
          <w:sz w:val="22"/>
          <w:szCs w:val="24"/>
        </w:rPr>
      </w:pPr>
      <w:r>
        <w:rPr>
          <w:rFonts w:ascii="Arial Narrow" w:hAnsi="Arial Narrow" w:cs="Arial Narrow"/>
          <w:b/>
          <w:sz w:val="22"/>
          <w:szCs w:val="24"/>
        </w:rPr>
        <w:t>V kultúrnych zariadeniach</w:t>
      </w:r>
      <w:r>
        <w:rPr>
          <w:rFonts w:ascii="Arial Narrow" w:hAnsi="Arial Narrow" w:cs="Arial Narrow"/>
          <w:sz w:val="22"/>
          <w:szCs w:val="24"/>
        </w:rPr>
        <w:t xml:space="preserve"> sa predpokladá vynaložiť výdavky vo výške </w:t>
      </w:r>
      <w:r>
        <w:rPr>
          <w:rFonts w:ascii="Arial Narrow" w:hAnsi="Arial Narrow" w:cs="Arial Narrow"/>
          <w:b/>
          <w:sz w:val="22"/>
          <w:szCs w:val="24"/>
        </w:rPr>
        <w:t>60 861 tis. eur,</w:t>
      </w:r>
      <w:r>
        <w:rPr>
          <w:rFonts w:ascii="Arial Narrow" w:hAnsi="Arial Narrow" w:cs="Arial Narrow"/>
          <w:sz w:val="22"/>
          <w:szCs w:val="24"/>
        </w:rPr>
        <w:t xml:space="preserve"> z ktorých sa bude financovať kultúrna činnosť, a to divadiel, múzeí a galérií, osvetových zariadení, knižníc, hvezdární a ostatných kultúrnych inštitúcií v pôsobnosti VÚC a na realizáciu výdavkov kapitálového charakteru.</w:t>
      </w:r>
    </w:p>
    <w:p w:rsidR="0084667A" w:rsidRPr="004F4646" w:rsidP="0084667A">
      <w:pPr>
        <w:pStyle w:val="BodyText"/>
        <w:ind w:firstLine="708"/>
        <w:rPr>
          <w:rFonts w:ascii="Arial Narrow" w:hAnsi="Arial Narrow" w:cs="Arial Narrow"/>
          <w:sz w:val="22"/>
          <w:szCs w:val="24"/>
        </w:rPr>
      </w:pPr>
      <w:r w:rsidRPr="004F4646">
        <w:rPr>
          <w:rFonts w:ascii="Arial Narrow" w:hAnsi="Arial Narrow" w:cs="Arial Narrow"/>
          <w:sz w:val="22"/>
          <w:szCs w:val="24"/>
        </w:rPr>
        <w:t>Na úseku školstva na zabezpečenie bežných a kapitálových výdavkov pre stredné školy a školské zariadenia sa predpokladá použiť finančné prostriedky vo výške 504 625 tis. eur. Činnosti na úseku školstva budú financované z dotácií poskytnutých z  kapitoly Ministerstva školstva SR v rámci preneseného výkonu štátnej správy a z vlastných príjmov VÚC. Ide o financovanie škôl a školských zariadení – gymnázií, stredných odborných škôl, stredných odborných učilíšť, stredísk praktického vyučovania, združených stredných škôl a zariadení, školských jedální, domovov mládeže, umeleckých škôl, ktoré patria do zriaďovateľskej pôsobnosti VÚC. Z uvedených prostriedkov sa predpokladá aj poskytovanie dotácií zriaďovateľom neštátnych škôl a školských zariadení na financovanie ich činnosti.</w:t>
      </w:r>
    </w:p>
    <w:p w:rsidR="0084667A" w:rsidRPr="004F4646" w:rsidP="0084667A">
      <w:pPr>
        <w:jc w:val="both"/>
        <w:rPr>
          <w:rFonts w:ascii="Arial Narrow" w:hAnsi="Arial Narrow" w:cs="Arial Narrow"/>
          <w:sz w:val="22"/>
          <w:szCs w:val="24"/>
        </w:rPr>
      </w:pPr>
      <w:r w:rsidRPr="004F4646">
        <w:rPr>
          <w:rFonts w:ascii="Arial Narrow" w:hAnsi="Arial Narrow" w:cs="Arial Narrow"/>
          <w:sz w:val="22"/>
          <w:szCs w:val="24"/>
        </w:rPr>
        <w:t xml:space="preserve"> </w:t>
      </w:r>
    </w:p>
    <w:p w:rsidR="0084667A" w:rsidRPr="00AE2D2A" w:rsidP="0084667A">
      <w:pPr>
        <w:ind w:firstLine="708"/>
        <w:jc w:val="both"/>
        <w:rPr>
          <w:rFonts w:ascii="Arial Narrow" w:hAnsi="Arial Narrow" w:cs="Arial Narrow"/>
          <w:sz w:val="22"/>
          <w:szCs w:val="24"/>
        </w:rPr>
      </w:pPr>
      <w:r>
        <w:rPr>
          <w:rFonts w:ascii="Arial Narrow" w:hAnsi="Arial Narrow" w:cs="Arial Narrow"/>
          <w:sz w:val="22"/>
          <w:szCs w:val="24"/>
        </w:rPr>
        <w:t xml:space="preserve">Na úseku </w:t>
      </w:r>
      <w:r>
        <w:rPr>
          <w:rFonts w:ascii="Arial Narrow" w:hAnsi="Arial Narrow" w:cs="Arial Narrow"/>
          <w:b/>
          <w:sz w:val="22"/>
          <w:szCs w:val="24"/>
        </w:rPr>
        <w:t>sociálneho zabezpečenia</w:t>
      </w:r>
      <w:r>
        <w:rPr>
          <w:rFonts w:ascii="Arial Narrow" w:hAnsi="Arial Narrow" w:cs="Arial Narrow"/>
          <w:sz w:val="22"/>
          <w:szCs w:val="24"/>
        </w:rPr>
        <w:t xml:space="preserve"> sa uvažuje s finančnými prostriedkami v sume </w:t>
      </w:r>
      <w:r>
        <w:rPr>
          <w:rFonts w:ascii="Arial Narrow" w:hAnsi="Arial Narrow" w:cs="Arial Narrow"/>
          <w:b/>
          <w:sz w:val="22"/>
          <w:szCs w:val="24"/>
        </w:rPr>
        <w:t>194 018</w:t>
      </w:r>
      <w:r w:rsidRPr="008243D5">
        <w:rPr>
          <w:rFonts w:ascii="Arial Narrow" w:hAnsi="Arial Narrow" w:cs="Arial Narrow"/>
          <w:b/>
          <w:sz w:val="22"/>
          <w:szCs w:val="24"/>
        </w:rPr>
        <w:t xml:space="preserve"> </w:t>
      </w:r>
      <w:r>
        <w:rPr>
          <w:rFonts w:ascii="Arial Narrow" w:hAnsi="Arial Narrow" w:cs="Arial Narrow"/>
          <w:b/>
          <w:sz w:val="22"/>
          <w:szCs w:val="24"/>
        </w:rPr>
        <w:t>tis. eur</w:t>
      </w:r>
      <w:r w:rsidRPr="00313D65">
        <w:rPr>
          <w:rFonts w:ascii="Arial Narrow" w:hAnsi="Arial Narrow" w:cs="Arial Narrow"/>
          <w:sz w:val="22"/>
          <w:szCs w:val="24"/>
        </w:rPr>
        <w:t xml:space="preserve"> na zabezpečenie financovania pôsobnosti </w:t>
      </w:r>
      <w:r>
        <w:rPr>
          <w:rFonts w:ascii="Arial Narrow" w:hAnsi="Arial Narrow" w:cs="Arial Narrow"/>
          <w:sz w:val="22"/>
          <w:szCs w:val="24"/>
        </w:rPr>
        <w:t>VÚC</w:t>
      </w:r>
      <w:r w:rsidRPr="00313D65">
        <w:rPr>
          <w:rFonts w:ascii="Arial Narrow" w:hAnsi="Arial Narrow" w:cs="Arial Narrow"/>
          <w:sz w:val="22"/>
          <w:szCs w:val="24"/>
        </w:rPr>
        <w:t xml:space="preserve"> v uvedenej oblasti.</w:t>
      </w:r>
      <w:r>
        <w:rPr>
          <w:rFonts w:ascii="Arial Narrow" w:hAnsi="Arial Narrow" w:cs="Arial Narrow"/>
          <w:sz w:val="22"/>
          <w:szCs w:val="24"/>
        </w:rPr>
        <w:t xml:space="preserve"> Vývoj výdavkov podľa jednotlivých úsekov činnosti VÚC sa podľa odhadu Ministerstva financií SR v rokoch 2010 až 2012 predpokladá takto:</w:t>
      </w:r>
    </w:p>
    <w:p w:rsidR="0084667A" w:rsidP="0084667A">
      <w:pPr>
        <w:pStyle w:val="BodyText"/>
        <w:rPr>
          <w:rFonts w:ascii="Arial Narrow" w:hAnsi="Arial Narrow" w:cs="Arial Narrow"/>
          <w:sz w:val="22"/>
          <w:szCs w:val="24"/>
        </w:rPr>
      </w:pPr>
    </w:p>
    <w:tbl>
      <w:tblPr>
        <w:tblStyle w:val="TableNormal"/>
        <w:tblW w:w="8798" w:type="dxa"/>
        <w:jc w:val="center"/>
        <w:tblInd w:w="0" w:type="dxa"/>
        <w:tblBorders>
          <w:top w:val="single" w:sz="4" w:space="0" w:color="auto"/>
          <w:left w:val="single" w:sz="4" w:space="0" w:color="auto"/>
          <w:bottom w:val="single" w:sz="4" w:space="0" w:color="auto"/>
          <w:right w:val="single" w:sz="4" w:space="0" w:color="auto"/>
        </w:tblBorders>
      </w:tblPr>
      <w:tblGrid>
        <w:gridCol w:w="3807"/>
        <w:gridCol w:w="1620"/>
        <w:gridCol w:w="1751"/>
        <w:gridCol w:w="1620"/>
      </w:tblGrid>
      <w:tr>
        <w:tblPrEx>
          <w:tblW w:w="8798" w:type="dxa"/>
          <w:jc w:val="center"/>
          <w:tblInd w:w="0" w:type="dxa"/>
          <w:tblBorders>
            <w:top w:val="single" w:sz="4" w:space="0" w:color="auto"/>
            <w:left w:val="single" w:sz="4" w:space="0" w:color="auto"/>
            <w:bottom w:val="single" w:sz="4" w:space="0" w:color="auto"/>
            <w:right w:val="single" w:sz="4" w:space="0" w:color="auto"/>
          </w:tblBorders>
        </w:tblPrEx>
        <w:trPr>
          <w:jc w:val="center"/>
        </w:trPr>
        <w:tc>
          <w:tcPr>
            <w:tcW w:w="3807"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both"/>
              <w:rPr>
                <w:rFonts w:ascii="Arial Narrow" w:hAnsi="Arial Narrow" w:cs="Arial Narrow"/>
                <w:b/>
                <w:color w:val="FFFFFF"/>
                <w:sz w:val="20"/>
                <w:szCs w:val="24"/>
              </w:rPr>
            </w:pPr>
            <w:r>
              <w:rPr>
                <w:rFonts w:ascii="Arial Narrow" w:hAnsi="Arial Narrow" w:cs="Arial Narrow"/>
                <w:b/>
                <w:color w:val="FFFFFF"/>
                <w:sz w:val="20"/>
                <w:szCs w:val="24"/>
              </w:rPr>
              <w:t xml:space="preserve">Funkcia </w:t>
            </w:r>
            <w:r w:rsidRPr="000663D7">
              <w:rPr>
                <w:rFonts w:ascii="Arial Narrow" w:hAnsi="Arial Narrow" w:cs="Arial Narrow"/>
                <w:b/>
                <w:color w:val="FFFFFF"/>
                <w:sz w:val="20"/>
                <w:szCs w:val="24"/>
              </w:rPr>
              <w:t>(v tis. eur)</w:t>
            </w:r>
          </w:p>
        </w:tc>
        <w:tc>
          <w:tcPr>
            <w:tcW w:w="162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751"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62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01 Všeobecné verejné služby</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sz w:val="20"/>
                <w:szCs w:val="24"/>
              </w:rPr>
            </w:pPr>
            <w:r>
              <w:rPr>
                <w:rFonts w:ascii="Arial Narrow" w:hAnsi="Arial Narrow" w:cs="Arial Narrow"/>
                <w:sz w:val="20"/>
                <w:szCs w:val="24"/>
              </w:rPr>
              <w:t>95 134</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102 901</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118 046</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04 Ekonomická oblasť</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190 581</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220 272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239 619</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07 Zdravotníctvo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9 958</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11 618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12 200</w:t>
            </w:r>
          </w:p>
        </w:tc>
      </w:tr>
      <w:tr>
        <w:tblPrEx>
          <w:tblW w:w="8798" w:type="dxa"/>
          <w:jc w:val="center"/>
          <w:tblInd w:w="0" w:type="dxa"/>
        </w:tblPrEx>
        <w:trPr>
          <w:trHeight w:val="221"/>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08 Rekreácia, kultúra a náboženstvo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60 861</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65 533</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72 100</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09 Vzdelávanie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504 625</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531 582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556 212</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r>
              <w:rPr>
                <w:rFonts w:ascii="Arial Narrow" w:hAnsi="Arial Narrow" w:cs="Arial Narrow"/>
                <w:sz w:val="20"/>
                <w:szCs w:val="24"/>
              </w:rPr>
              <w:t>10 Sociálne zabezpečenie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194 018</w:t>
            </w:r>
          </w:p>
        </w:tc>
        <w:tc>
          <w:tcPr>
            <w:tcW w:w="1751"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210 430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224 735</w:t>
            </w:r>
          </w:p>
        </w:tc>
      </w:tr>
      <w:tr>
        <w:tblPrEx>
          <w:tblW w:w="8798" w:type="dxa"/>
          <w:jc w:val="center"/>
          <w:tblInd w:w="0" w:type="dxa"/>
        </w:tblPrEx>
        <w:trPr>
          <w:jc w:val="center"/>
        </w:trPr>
        <w:tc>
          <w:tcPr>
            <w:tcW w:w="380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both"/>
              <w:rPr>
                <w:rFonts w:ascii="Arial Narrow" w:hAnsi="Arial Narrow" w:cs="Arial Narrow"/>
                <w:b/>
                <w:sz w:val="20"/>
                <w:szCs w:val="24"/>
              </w:rPr>
            </w:pPr>
            <w:r>
              <w:rPr>
                <w:rFonts w:ascii="Arial Narrow" w:hAnsi="Arial Narrow" w:cs="Arial Narrow"/>
                <w:b/>
                <w:sz w:val="20"/>
                <w:szCs w:val="24"/>
              </w:rPr>
              <w:t>S p o l u</w:t>
            </w:r>
          </w:p>
        </w:tc>
        <w:tc>
          <w:tcPr>
            <w:tcW w:w="162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FF7E40" w:rsidP="002B1759">
            <w:pPr>
              <w:jc w:val="right"/>
              <w:rPr>
                <w:rFonts w:ascii="Arial Narrow" w:hAnsi="Arial Narrow" w:cs="Arial Narrow"/>
                <w:b/>
                <w:sz w:val="20"/>
                <w:szCs w:val="24"/>
              </w:rPr>
            </w:pPr>
            <w:r w:rsidRPr="00FF7E40">
              <w:rPr>
                <w:rFonts w:ascii="Arial Narrow" w:hAnsi="Arial Narrow" w:cs="Arial Narrow"/>
                <w:b/>
                <w:sz w:val="20"/>
                <w:szCs w:val="24"/>
              </w:rPr>
              <w:t>1</w:t>
            </w:r>
            <w:r>
              <w:rPr>
                <w:rFonts w:ascii="Arial Narrow" w:hAnsi="Arial Narrow" w:cs="Arial Narrow"/>
                <w:b/>
                <w:sz w:val="20"/>
                <w:szCs w:val="24"/>
              </w:rPr>
              <w:t> 055 177</w:t>
            </w:r>
          </w:p>
        </w:tc>
        <w:tc>
          <w:tcPr>
            <w:tcW w:w="175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FF7E40" w:rsidP="002B1759">
            <w:pPr>
              <w:jc w:val="right"/>
              <w:rPr>
                <w:rFonts w:ascii="Arial Narrow" w:hAnsi="Arial Narrow" w:cs="Arial Narrow"/>
                <w:b/>
                <w:sz w:val="20"/>
                <w:szCs w:val="24"/>
              </w:rPr>
            </w:pPr>
            <w:r>
              <w:rPr>
                <w:rFonts w:ascii="Arial Narrow" w:hAnsi="Arial Narrow" w:cs="Arial Narrow"/>
                <w:b/>
                <w:sz w:val="20"/>
                <w:szCs w:val="24"/>
              </w:rPr>
              <w:t>1 142 336</w:t>
            </w:r>
          </w:p>
        </w:tc>
        <w:tc>
          <w:tcPr>
            <w:tcW w:w="162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RPr="00FF7E40" w:rsidP="002B1759">
            <w:pPr>
              <w:jc w:val="right"/>
              <w:rPr>
                <w:rFonts w:ascii="Arial Narrow" w:hAnsi="Arial Narrow" w:cs="Arial Narrow"/>
                <w:b/>
                <w:sz w:val="20"/>
                <w:szCs w:val="24"/>
              </w:rPr>
            </w:pPr>
            <w:r>
              <w:rPr>
                <w:rFonts w:ascii="Arial Narrow" w:hAnsi="Arial Narrow" w:cs="Arial Narrow"/>
                <w:b/>
                <w:sz w:val="20"/>
                <w:szCs w:val="24"/>
              </w:rPr>
              <w:t>1 222 912</w:t>
            </w:r>
          </w:p>
        </w:tc>
      </w:tr>
    </w:tbl>
    <w:p w:rsidR="0084667A" w:rsidP="0084667A">
      <w:pPr>
        <w:jc w:val="both"/>
        <w:rPr>
          <w:rFonts w:ascii="Arial Narrow" w:hAnsi="Arial Narrow" w:cs="Arial Narrow"/>
          <w:sz w:val="22"/>
          <w:szCs w:val="24"/>
        </w:rPr>
      </w:pPr>
      <w:r>
        <w:rPr>
          <w:rFonts w:ascii="Times New Roman" w:hAnsi="Times New Roman" w:cs="Times New Roman"/>
          <w:szCs w:val="24"/>
        </w:rPr>
        <w:t xml:space="preserve"> </w:t>
      </w:r>
    </w:p>
    <w:p w:rsidR="000A4EF0"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6733B6" w:rsidP="0084667A">
      <w:pPr>
        <w:pStyle w:val="BodyText"/>
        <w:ind w:firstLine="708"/>
        <w:rPr>
          <w:rFonts w:ascii="Arial Narrow" w:hAnsi="Arial Narrow" w:cs="Arial Narrow"/>
          <w:sz w:val="22"/>
          <w:szCs w:val="24"/>
        </w:rPr>
      </w:pPr>
    </w:p>
    <w:p w:rsidR="000A4EF0" w:rsidP="0084667A">
      <w:pPr>
        <w:pStyle w:val="BodyText"/>
        <w:ind w:firstLine="708"/>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 xml:space="preserve">Vývoj príjmovej a výdavkovej časti rozpočtu VÚC na roky 2010 až  2012 v porovnaní so schváleným rozpočtom na rok 2009 je nasledovný: </w:t>
        <w:tab/>
      </w:r>
    </w:p>
    <w:p w:rsidR="0084667A" w:rsidP="0084667A">
      <w:pPr>
        <w:pStyle w:val="BodyText"/>
        <w:rPr>
          <w:rFonts w:ascii="Arial Narrow" w:hAnsi="Arial Narrow" w:cs="Arial Narrow"/>
          <w:sz w:val="22"/>
          <w:szCs w:val="24"/>
        </w:rPr>
      </w:pPr>
    </w:p>
    <w:tbl>
      <w:tblPr>
        <w:tblStyle w:val="TableNormal"/>
        <w:tblW w:w="9126" w:type="dxa"/>
        <w:tblInd w:w="0" w:type="dxa"/>
        <w:tblBorders>
          <w:top w:val="single" w:sz="4" w:space="0" w:color="auto"/>
          <w:left w:val="single" w:sz="4" w:space="0" w:color="auto"/>
          <w:bottom w:val="single" w:sz="4" w:space="0" w:color="auto"/>
          <w:right w:val="single" w:sz="4" w:space="0" w:color="auto"/>
        </w:tblBorders>
      </w:tblPr>
      <w:tblGrid>
        <w:gridCol w:w="4788"/>
        <w:gridCol w:w="1080"/>
        <w:gridCol w:w="1080"/>
        <w:gridCol w:w="1080"/>
        <w:gridCol w:w="1098"/>
      </w:tblGrid>
      <w:tr>
        <w:tblPrEx>
          <w:tblW w:w="9126" w:type="dxa"/>
          <w:tblInd w:w="0" w:type="dxa"/>
          <w:tblBorders>
            <w:top w:val="single" w:sz="4" w:space="0" w:color="auto"/>
            <w:left w:val="single" w:sz="4" w:space="0" w:color="auto"/>
            <w:bottom w:val="single" w:sz="4" w:space="0" w:color="auto"/>
            <w:right w:val="single" w:sz="4" w:space="0" w:color="auto"/>
          </w:tblBorders>
        </w:tblPrEx>
        <w:trPr>
          <w:trHeight w:val="227"/>
        </w:trPr>
        <w:tc>
          <w:tcPr>
            <w:tcW w:w="4788"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0663D7" w:rsidP="002B1759">
            <w:pPr>
              <w:jc w:val="both"/>
              <w:rPr>
                <w:rFonts w:ascii="Arial Narrow" w:hAnsi="Arial Narrow" w:cs="Arial Narrow"/>
                <w:b/>
                <w:i/>
                <w:color w:val="FFFFFF"/>
                <w:sz w:val="20"/>
                <w:szCs w:val="24"/>
              </w:rPr>
            </w:pPr>
            <w:r w:rsidRPr="000663D7">
              <w:rPr>
                <w:rFonts w:ascii="Arial Narrow" w:hAnsi="Arial Narrow" w:cs="Arial Narrow"/>
                <w:b/>
                <w:color w:val="FFFFFF"/>
                <w:sz w:val="20"/>
                <w:szCs w:val="24"/>
              </w:rPr>
              <w:t xml:space="preserve"> (v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098"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Príjmy VÚC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b/>
                <w:i/>
                <w:sz w:val="20"/>
                <w:szCs w:val="24"/>
              </w:rPr>
            </w:pPr>
            <w:r>
              <w:rPr>
                <w:rFonts w:ascii="Arial Narrow" w:hAnsi="Arial Narrow" w:cs="Arial Narrow"/>
                <w:b/>
                <w:i/>
                <w:sz w:val="20"/>
                <w:szCs w:val="24"/>
              </w:rPr>
              <w:t>1 120 108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80"/>
              <w:jc w:val="right"/>
              <w:rPr>
                <w:rFonts w:ascii="Arial Narrow" w:hAnsi="Arial Narrow" w:cs="Arial Narrow"/>
                <w:b/>
                <w:i/>
                <w:sz w:val="20"/>
                <w:szCs w:val="24"/>
              </w:rPr>
            </w:pPr>
            <w:r>
              <w:rPr>
                <w:rFonts w:ascii="Arial Narrow" w:hAnsi="Arial Narrow" w:cs="Arial Narrow"/>
                <w:b/>
                <w:i/>
                <w:sz w:val="20"/>
                <w:szCs w:val="24"/>
              </w:rPr>
              <w:t>1 110 182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1 142 33</w:t>
            </w:r>
            <w:r w:rsidR="00C45CC3">
              <w:rPr>
                <w:rFonts w:ascii="Arial Narrow" w:hAnsi="Arial Narrow" w:cs="Arial Narrow"/>
                <w:b/>
                <w:i/>
                <w:sz w:val="20"/>
                <w:szCs w:val="24"/>
              </w:rPr>
              <w:t>7</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1 234 658</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6B2EA2" w:rsidP="002B1759">
            <w:pPr>
              <w:jc w:val="both"/>
              <w:rPr>
                <w:rFonts w:ascii="Arial Narrow" w:hAnsi="Arial Narrow" w:cs="Arial Narrow"/>
                <w:b/>
                <w:i/>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 xml:space="preserve">daňové príjmy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595 326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502 002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583 287</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651 402</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nedaňové príjmy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59 749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75 337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73 02</w:t>
            </w:r>
            <w:r w:rsidR="00C45CC3">
              <w:rPr>
                <w:rFonts w:ascii="Arial Narrow" w:hAnsi="Arial Narrow" w:cs="Arial Narrow"/>
                <w:sz w:val="20"/>
                <w:szCs w:val="24"/>
              </w:rPr>
              <w:t>7</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81 325</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 xml:space="preserve">granty a transfery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415 242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434 288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428 521</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445 501</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zo splátok tuzemských úverov, pôžičiek a z predaja majetkový. účastí (FO)</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996</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996</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98"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sz w:val="20"/>
                <w:szCs w:val="24"/>
              </w:rPr>
            </w:pPr>
            <w:r>
              <w:rPr>
                <w:rFonts w:ascii="Arial Narrow" w:hAnsi="Arial Narrow" w:cs="Arial Narrow"/>
                <w:sz w:val="20"/>
                <w:szCs w:val="24"/>
              </w:rPr>
              <w:t xml:space="preserve">                 0 </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8"/>
              </w:numPr>
              <w:jc w:val="both"/>
              <w:rPr>
                <w:rFonts w:ascii="Arial Narrow" w:hAnsi="Arial Narrow" w:cs="Arial Narrow"/>
                <w:sz w:val="20"/>
                <w:szCs w:val="24"/>
              </w:rPr>
            </w:pPr>
            <w:r>
              <w:rPr>
                <w:rFonts w:ascii="Arial Narrow" w:hAnsi="Arial Narrow" w:cs="Arial Narrow"/>
                <w:sz w:val="20"/>
                <w:szCs w:val="24"/>
              </w:rPr>
              <w:t>zostatok prostriedkov z predchádzajúcich rokov a prevod prostriedkov z peňažných fondov (FO)</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15 601</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19 583</w:t>
            </w:r>
          </w:p>
        </w:tc>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17 212</w:t>
            </w:r>
          </w:p>
        </w:tc>
        <w:tc>
          <w:tcPr>
            <w:tcW w:w="1098"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23 236</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9"/>
              </w:numPr>
              <w:jc w:val="both"/>
              <w:rPr>
                <w:rFonts w:ascii="Arial Narrow" w:hAnsi="Arial Narrow" w:cs="Arial Narrow"/>
                <w:sz w:val="20"/>
                <w:szCs w:val="24"/>
              </w:rPr>
            </w:pPr>
            <w:r>
              <w:rPr>
                <w:rFonts w:ascii="Arial Narrow" w:hAnsi="Arial Narrow" w:cs="Arial Narrow"/>
                <w:sz w:val="20"/>
                <w:szCs w:val="24"/>
              </w:rPr>
              <w:t>prijaté úvery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33 194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77 976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40 290</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33 194</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Výdavky VÚC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1 120 108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1 055 177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1 142 33</w:t>
            </w:r>
            <w:r w:rsidR="00C45CC3">
              <w:rPr>
                <w:rFonts w:ascii="Arial Narrow" w:hAnsi="Arial Narrow" w:cs="Arial Narrow"/>
                <w:b/>
                <w:i/>
                <w:sz w:val="20"/>
                <w:szCs w:val="24"/>
              </w:rPr>
              <w:t>7</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1 222 912</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mzdy a odvody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379 864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359 765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374 14</w:t>
            </w:r>
            <w:r w:rsidR="00C45CC3">
              <w:rPr>
                <w:rFonts w:ascii="Arial Narrow" w:hAnsi="Arial Narrow" w:cs="Arial Narrow"/>
                <w:sz w:val="20"/>
                <w:szCs w:val="24"/>
              </w:rPr>
              <w:t>6</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401 020</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tovary a služby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245 887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222 332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244 333</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266 272</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bežné transfery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331 939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344 591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350 897</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355 175</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splácanie úrokov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4 647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7 958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13 278</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14 937</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kapitálové výdavky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147 813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88 363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145 741</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168 247</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 xml:space="preserve">úvery a účasť na majetku (FO)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664</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664</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0"/>
              </w:numPr>
              <w:jc w:val="both"/>
              <w:rPr>
                <w:rFonts w:ascii="Arial Narrow" w:hAnsi="Arial Narrow" w:cs="Arial Narrow"/>
                <w:sz w:val="20"/>
                <w:szCs w:val="24"/>
              </w:rPr>
            </w:pPr>
            <w:r>
              <w:rPr>
                <w:rFonts w:ascii="Arial Narrow" w:hAnsi="Arial Narrow" w:cs="Arial Narrow"/>
                <w:sz w:val="20"/>
                <w:szCs w:val="24"/>
              </w:rPr>
              <w:t>splácanie istiny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9 294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31 504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13 278</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16 597</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Celkový prebytok VÚC</w:t>
            </w:r>
          </w:p>
        </w:tc>
        <w:tc>
          <w:tcPr>
            <w:tcW w:w="10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55 005</w:t>
            </w:r>
          </w:p>
        </w:tc>
        <w:tc>
          <w:tcPr>
            <w:tcW w:w="10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11 746</w:t>
            </w:r>
          </w:p>
        </w:tc>
      </w:tr>
      <w:tr>
        <w:tblPrEx>
          <w:tblW w:w="9126" w:type="dxa"/>
          <w:tblInd w:w="0" w:type="dxa"/>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vylúčenie finančných operácií</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65"/>
              <w:jc w:val="right"/>
              <w:rPr>
                <w:rFonts w:ascii="Arial Narrow" w:hAnsi="Arial Narrow" w:cs="Arial Narrow"/>
                <w:b/>
                <w:i/>
                <w:sz w:val="20"/>
                <w:szCs w:val="24"/>
              </w:rPr>
            </w:pPr>
            <w:r>
              <w:rPr>
                <w:rFonts w:ascii="Arial Narrow" w:hAnsi="Arial Narrow" w:cs="Arial Narrow"/>
                <w:b/>
                <w:i/>
                <w:sz w:val="20"/>
                <w:szCs w:val="24"/>
              </w:rPr>
              <w:t>- 39 833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65"/>
              <w:jc w:val="right"/>
              <w:rPr>
                <w:rFonts w:ascii="Arial Narrow" w:hAnsi="Arial Narrow" w:cs="Arial Narrow"/>
                <w:b/>
                <w:i/>
                <w:sz w:val="20"/>
                <w:szCs w:val="24"/>
              </w:rPr>
            </w:pPr>
            <w:r>
              <w:rPr>
                <w:rFonts w:ascii="Arial Narrow" w:hAnsi="Arial Narrow" w:cs="Arial Narrow"/>
                <w:b/>
                <w:i/>
                <w:sz w:val="20"/>
                <w:szCs w:val="24"/>
              </w:rPr>
              <w:t>-66 387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- 43 560</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-39 169</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1"/>
              </w:numPr>
              <w:jc w:val="both"/>
              <w:rPr>
                <w:rFonts w:ascii="Arial Narrow" w:hAnsi="Arial Narrow" w:cs="Arial Narrow"/>
                <w:b/>
                <w:sz w:val="20"/>
                <w:szCs w:val="24"/>
              </w:rPr>
            </w:pPr>
            <w:r>
              <w:rPr>
                <w:rFonts w:ascii="Arial Narrow" w:hAnsi="Arial Narrow" w:cs="Arial Narrow"/>
                <w:sz w:val="20"/>
                <w:szCs w:val="24"/>
              </w:rPr>
              <w:t>vylúčenie príjmových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- 49 791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- 98 555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- 57 502</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- 56 430</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11"/>
              </w:numPr>
              <w:jc w:val="both"/>
              <w:rPr>
                <w:rFonts w:ascii="Arial Narrow" w:hAnsi="Arial Narrow" w:cs="Arial Narrow"/>
                <w:sz w:val="20"/>
                <w:szCs w:val="24"/>
              </w:rPr>
            </w:pPr>
            <w:r>
              <w:rPr>
                <w:rFonts w:ascii="Arial Narrow" w:hAnsi="Arial Narrow" w:cs="Arial Narrow"/>
                <w:sz w:val="20"/>
                <w:szCs w:val="24"/>
              </w:rPr>
              <w:t>vylúčenie výdavkových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9 958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32 168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13 942</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17 261</w:t>
            </w:r>
          </w:p>
        </w:tc>
      </w:tr>
      <w:tr>
        <w:tblPrEx>
          <w:tblW w:w="9126" w:type="dxa"/>
          <w:tblInd w:w="0" w:type="dxa"/>
        </w:tblPrEx>
        <w:trPr>
          <w:trHeight w:val="227"/>
        </w:trPr>
        <w:tc>
          <w:tcPr>
            <w:tcW w:w="9126"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zahrnutie časového rozlíšenia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1 328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11 382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11 860</w:t>
            </w:r>
          </w:p>
        </w:tc>
        <w:tc>
          <w:tcPr>
            <w:tcW w:w="109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ind w:left="335"/>
              <w:jc w:val="right"/>
              <w:rPr>
                <w:rFonts w:ascii="Arial Narrow" w:hAnsi="Arial Narrow" w:cs="Arial Narrow"/>
                <w:b/>
                <w:i/>
                <w:sz w:val="20"/>
                <w:szCs w:val="24"/>
              </w:rPr>
            </w:pPr>
            <w:r>
              <w:rPr>
                <w:rFonts w:ascii="Arial Narrow" w:hAnsi="Arial Narrow" w:cs="Arial Narrow"/>
                <w:b/>
                <w:i/>
                <w:sz w:val="20"/>
                <w:szCs w:val="24"/>
              </w:rPr>
              <w:t>12 358</w:t>
            </w: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nil"/>
            </w:tcBorders>
            <w:textDirection w:val="lrTb"/>
            <w:vAlign w:val="top"/>
          </w:tcPr>
          <w:p w:rsidR="0084667A" w:rsidP="002B1759">
            <w:pPr>
              <w:jc w:val="both"/>
              <w:rPr>
                <w:rFonts w:ascii="Arial Narrow" w:hAnsi="Arial Narrow" w:cs="Arial Narrow"/>
                <w:b/>
                <w:i/>
                <w:sz w:val="20"/>
                <w:szCs w:val="24"/>
              </w:rPr>
            </w:pPr>
          </w:p>
        </w:tc>
        <w:tc>
          <w:tcPr>
            <w:tcW w:w="1080" w:type="dxa"/>
            <w:tcBorders>
              <w:top w:val="single" w:sz="4" w:space="0" w:color="auto"/>
              <w:left w:val="nil"/>
              <w:bottom w:val="single" w:sz="4" w:space="0" w:color="auto"/>
              <w:right w:val="nil"/>
            </w:tcBorders>
            <w:textDirection w:val="lrTb"/>
            <w:vAlign w:val="top"/>
          </w:tcPr>
          <w:p w:rsidR="0084667A" w:rsidP="002B1759">
            <w:pPr>
              <w:ind w:left="50"/>
              <w:jc w:val="right"/>
              <w:rPr>
                <w:rFonts w:ascii="Arial Narrow" w:hAnsi="Arial Narrow" w:cs="Arial Narrow"/>
                <w:b/>
                <w:i/>
                <w:sz w:val="20"/>
                <w:szCs w:val="24"/>
              </w:rPr>
            </w:pPr>
          </w:p>
        </w:tc>
        <w:tc>
          <w:tcPr>
            <w:tcW w:w="1080" w:type="dxa"/>
            <w:tcBorders>
              <w:top w:val="single" w:sz="4" w:space="0" w:color="auto"/>
              <w:left w:val="nil"/>
              <w:bottom w:val="single" w:sz="4" w:space="0" w:color="auto"/>
              <w:right w:val="nil"/>
            </w:tcBorders>
            <w:textDirection w:val="lrTb"/>
            <w:vAlign w:val="top"/>
          </w:tcPr>
          <w:p w:rsidR="0084667A" w:rsidP="002B1759">
            <w:pPr>
              <w:ind w:left="50"/>
              <w:jc w:val="right"/>
              <w:rPr>
                <w:rFonts w:ascii="Arial Narrow" w:hAnsi="Arial Narrow" w:cs="Arial Narrow"/>
                <w:b/>
                <w:i/>
                <w:sz w:val="20"/>
                <w:szCs w:val="24"/>
              </w:rPr>
            </w:pPr>
          </w:p>
        </w:tc>
        <w:tc>
          <w:tcPr>
            <w:tcW w:w="1080" w:type="dxa"/>
            <w:tcBorders>
              <w:top w:val="single" w:sz="4" w:space="0" w:color="auto"/>
              <w:left w:val="nil"/>
              <w:bottom w:val="single" w:sz="4" w:space="0" w:color="auto"/>
              <w:right w:val="nil"/>
            </w:tcBorders>
            <w:textDirection w:val="lrTb"/>
            <w:vAlign w:val="top"/>
          </w:tcPr>
          <w:p w:rsidR="0084667A" w:rsidP="002B1759">
            <w:pPr>
              <w:jc w:val="right"/>
              <w:rPr>
                <w:rFonts w:ascii="Arial Narrow" w:hAnsi="Arial Narrow" w:cs="Arial Narrow"/>
                <w:b/>
                <w:i/>
                <w:sz w:val="20"/>
                <w:szCs w:val="24"/>
              </w:rPr>
            </w:pPr>
          </w:p>
        </w:tc>
        <w:tc>
          <w:tcPr>
            <w:tcW w:w="1098" w:type="dxa"/>
            <w:tcBorders>
              <w:top w:val="single" w:sz="4" w:space="0" w:color="auto"/>
              <w:left w:val="nil"/>
              <w:bottom w:val="single" w:sz="4" w:space="0" w:color="auto"/>
              <w:right w:val="single" w:sz="4" w:space="0" w:color="auto"/>
            </w:tcBorders>
            <w:textDirection w:val="lrTb"/>
            <w:vAlign w:val="top"/>
          </w:tcPr>
          <w:p w:rsidR="0084667A" w:rsidP="002B1759">
            <w:pPr>
              <w:ind w:left="335"/>
              <w:jc w:val="right"/>
              <w:rPr>
                <w:rFonts w:ascii="Arial Narrow" w:hAnsi="Arial Narrow" w:cs="Arial Narrow"/>
                <w:b/>
                <w:i/>
                <w:sz w:val="20"/>
                <w:szCs w:val="24"/>
              </w:rPr>
            </w:pPr>
          </w:p>
        </w:tc>
      </w:tr>
      <w:tr>
        <w:tblPrEx>
          <w:tblW w:w="9126" w:type="dxa"/>
          <w:tblInd w:w="0" w:type="dxa"/>
        </w:tblPrEx>
        <w:trPr>
          <w:trHeight w:val="227"/>
        </w:trPr>
        <w:tc>
          <w:tcPr>
            <w:tcW w:w="478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Schodok  VÚC  (ESA 95)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- 38 505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- 31 700</w:t>
            </w:r>
          </w:p>
        </w:tc>
        <w:tc>
          <w:tcPr>
            <w:tcW w:w="109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- 15 065</w:t>
            </w:r>
          </w:p>
        </w:tc>
      </w:tr>
    </w:tbl>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Celkové príjmy VÚC v roku 2010 oproti schválenému rozpočtu na rok 2009  poklesli o 0,9 %, z toho daňové príjmy poklesli o 15,7 %.  V roku 2011 sa oproti roku 2010 v rozpočtoch VÚC v príjmoch očakáva nárast o 2,9 % predovšetkým z dôvodu nárastu daňových príjmov. V roku 2012 oproti roku 2011 sa v príjmovej časti rozpočtu očakáva nárast o 8,1 %. Na  náraste príjmovej časti rozpočtu sa podieľajú najmä daňové príjmy, ktorých vyššie výnosy, a tým aj ich vyššie smerovanie do rozpočtov VÚC sa očakáva v roku 2011 oproti roku 2010 o 16,2 % a v roku 2012 oproti roku 2011 o 11,7 %.   </w:t>
      </w:r>
    </w:p>
    <w:p w:rsidR="0084667A" w:rsidP="0084667A">
      <w:pPr>
        <w:ind w:firstLine="708"/>
        <w:jc w:val="both"/>
        <w:rPr>
          <w:rFonts w:ascii="Arial Narrow" w:hAnsi="Arial Narrow" w:cs="Arial Narrow"/>
          <w:sz w:val="22"/>
          <w:szCs w:val="24"/>
        </w:rPr>
      </w:pPr>
      <w:r>
        <w:rPr>
          <w:rFonts w:ascii="Arial Narrow" w:hAnsi="Arial Narrow" w:cs="Arial Narrow"/>
          <w:sz w:val="22"/>
          <w:szCs w:val="24"/>
        </w:rPr>
        <w:t>Vyššie uvedené údaje sú založené na porovnateľnej základni vychádzajúcej zo schváleného rozpočtu na rok 2009 a návrhu rozpočtu na roky 2010 až 2012. Bližšie informácie o prognóze jednotlivých druhov daňových príjmov sú uvedené v časti 3.</w:t>
      </w:r>
    </w:p>
    <w:p w:rsidR="0084667A" w:rsidP="0084667A">
      <w:pPr>
        <w:jc w:val="both"/>
        <w:rPr>
          <w:rFonts w:ascii="Arial Narrow" w:hAnsi="Arial Narrow" w:cs="Arial Narrow"/>
          <w:b/>
          <w:szCs w:val="24"/>
        </w:rPr>
      </w:pPr>
    </w:p>
    <w:p w:rsidR="0084667A" w:rsidRPr="000729CF" w:rsidP="0084667A">
      <w:pPr>
        <w:ind w:firstLine="708"/>
        <w:jc w:val="both"/>
        <w:rPr>
          <w:rFonts w:ascii="Arial Narrow" w:hAnsi="Arial Narrow" w:cs="Arial Narrow"/>
          <w:sz w:val="22"/>
          <w:szCs w:val="24"/>
        </w:rPr>
      </w:pPr>
      <w:r>
        <w:rPr>
          <w:rFonts w:ascii="Arial Narrow" w:hAnsi="Arial Narrow" w:cs="Arial Narrow"/>
          <w:sz w:val="22"/>
          <w:szCs w:val="24"/>
        </w:rPr>
        <w:t>Vo výdavkovej časti rozpočtu VÚC sa očakávajú v roku 2010 nižšie výdavky oproti roku 2009 o 5,8 %, v roku 2011 sa oproti roku 2010 očakáva nárast o 8,3 % a v roku 2012 v porovnaní s rokom 2011 o 7,1 %.</w:t>
      </w:r>
    </w:p>
    <w:p w:rsidR="0084667A" w:rsidP="0084667A">
      <w:pPr>
        <w:jc w:val="both"/>
        <w:rPr>
          <w:rFonts w:ascii="Arial Narrow" w:hAnsi="Arial Narrow" w:cs="Arial Narrow"/>
          <w:b/>
          <w:szCs w:val="24"/>
          <w:highlight w:val="yellow"/>
        </w:rPr>
      </w:pPr>
    </w:p>
    <w:p w:rsidR="000A4EF0" w:rsidRPr="004F4646" w:rsidP="0084667A">
      <w:pPr>
        <w:jc w:val="both"/>
        <w:rPr>
          <w:rFonts w:ascii="Arial Narrow" w:hAnsi="Arial Narrow" w:cs="Arial Narrow"/>
          <w:b/>
          <w:szCs w:val="24"/>
          <w:highlight w:val="yellow"/>
        </w:rPr>
      </w:pPr>
    </w:p>
    <w:p w:rsidR="0084667A" w:rsidRPr="004F4646" w:rsidP="0084667A">
      <w:pPr>
        <w:jc w:val="both"/>
        <w:rPr>
          <w:rFonts w:ascii="Arial Narrow" w:hAnsi="Arial Narrow" w:cs="Arial Narrow"/>
          <w:b/>
          <w:szCs w:val="24"/>
        </w:rPr>
      </w:pPr>
      <w:r w:rsidRPr="004F4646">
        <w:rPr>
          <w:rFonts w:ascii="Arial Narrow" w:hAnsi="Arial Narrow" w:cs="Arial Narrow"/>
          <w:b/>
          <w:szCs w:val="24"/>
        </w:rPr>
        <w:t>2. Sociálna poisťovňa</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Návrh rozpočtu Sociálnej poisťovne v roku 2010 vychádza z očakávanej skutočnosti Sociálnej poisťovne v roku 2009, z aktualizovanej makroekonomickej prognózy zo septembra 2009, ktorá zohľadňuje dopady globálnej finančnej krízy a vychádza z aktuálneho znenia zákona o sociálnom poistení.</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Vývoj príjmovej a výdavkovej časti rozpočtu Sociálnej poisťovne na roky 2010 až 2012 je v porovnaní so schváleným rozpočtom pre rok 2009 nasledovný:</w:t>
      </w:r>
    </w:p>
    <w:p w:rsidR="0084667A" w:rsidP="0084667A">
      <w:pPr>
        <w:ind w:firstLine="708"/>
        <w:jc w:val="both"/>
        <w:rPr>
          <w:rFonts w:ascii="Arial Narrow" w:hAnsi="Arial Narrow" w:cs="Arial Narrow"/>
          <w:b/>
          <w:sz w:val="22"/>
          <w:szCs w:val="24"/>
        </w:rPr>
      </w:pPr>
    </w:p>
    <w:tbl>
      <w:tblPr>
        <w:tblStyle w:val="TableNormal"/>
        <w:tblW w:w="90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219"/>
        <w:gridCol w:w="964"/>
        <w:gridCol w:w="964"/>
        <w:gridCol w:w="964"/>
        <w:gridCol w:w="964"/>
      </w:tblGrid>
      <w:tr>
        <w:tblPrEx>
          <w:tblW w:w="90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84667A" w:rsidP="002B1759">
            <w:pPr>
              <w:rPr>
                <w:rFonts w:ascii="Arial Narrow" w:hAnsi="Arial Narrow" w:cs="Arial Narrow"/>
                <w:b/>
                <w:sz w:val="20"/>
                <w:szCs w:val="24"/>
              </w:rPr>
            </w:pPr>
            <w:r>
              <w:rPr>
                <w:rFonts w:ascii="Arial Narrow" w:hAnsi="Arial Narrow" w:cs="Arial Narrow"/>
                <w:b/>
                <w:color w:val="FFFFFF"/>
                <w:sz w:val="20"/>
                <w:szCs w:val="24"/>
              </w:rPr>
              <w:t>(v tis. eur)</w:t>
            </w:r>
          </w:p>
        </w:tc>
        <w:tc>
          <w:tcPr>
            <w:tcW w:w="964"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2009</w:t>
            </w:r>
          </w:p>
        </w:tc>
        <w:tc>
          <w:tcPr>
            <w:tcW w:w="964"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2010</w:t>
            </w:r>
          </w:p>
        </w:tc>
        <w:tc>
          <w:tcPr>
            <w:tcW w:w="964"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2011</w:t>
            </w:r>
          </w:p>
        </w:tc>
        <w:tc>
          <w:tcPr>
            <w:tcW w:w="964"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2012</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Príjmy Sociálnej poisťovne spolu</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6 295 008</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6 465 549</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6 897 323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7 320 038</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z toho:</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daňové príjmy (príjmy z poistného), z toho:</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5 107 579</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4 527 768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4 844 933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5 252 104</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sz w:val="20"/>
                <w:szCs w:val="24"/>
              </w:rPr>
              <w:t xml:space="preserve">                ekonomicky aktívne osoby</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4 575 881</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4 217 932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4 527 250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4 919 543</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sz w:val="20"/>
                <w:szCs w:val="24"/>
              </w:rPr>
              <w:t xml:space="preserve">                prevod za výstup z II. piliera </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231 494</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0</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sz w:val="20"/>
                <w:szCs w:val="24"/>
              </w:rPr>
              <w:t xml:space="preserve">                štát</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174 472</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183 878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191 572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206 225</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nedaňové príjmy (úroky a iné príjmy)</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13 731</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14 350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14 791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15 306</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b/>
                <w:sz w:val="20"/>
                <w:szCs w:val="24"/>
              </w:rPr>
            </w:pPr>
            <w:r>
              <w:rPr>
                <w:rFonts w:ascii="Arial Narrow" w:hAnsi="Arial Narrow" w:cs="Arial Narrow"/>
                <w:sz w:val="20"/>
                <w:szCs w:val="24"/>
              </w:rPr>
              <w:t>transfer zo ŠFA, resp. zo ŠR</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504 548</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1 517 216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1 633 851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1 561 970</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zostatok prostriedkov z</w:t>
            </w:r>
            <w:r w:rsidR="001877DB">
              <w:rPr>
                <w:rFonts w:ascii="Arial Narrow" w:hAnsi="Arial Narrow" w:cs="Arial Narrow"/>
                <w:sz w:val="20"/>
                <w:szCs w:val="24"/>
              </w:rPr>
              <w:t> </w:t>
            </w:r>
            <w:r>
              <w:rPr>
                <w:rFonts w:ascii="Arial Narrow" w:hAnsi="Arial Narrow" w:cs="Arial Narrow"/>
                <w:sz w:val="20"/>
                <w:szCs w:val="24"/>
              </w:rPr>
              <w:t>predch</w:t>
            </w:r>
            <w:r w:rsidR="001877DB">
              <w:rPr>
                <w:rFonts w:ascii="Arial Narrow" w:hAnsi="Arial Narrow" w:cs="Arial Narrow"/>
                <w:sz w:val="20"/>
                <w:szCs w:val="24"/>
              </w:rPr>
              <w:t>ádzajúcich rokov</w:t>
            </w:r>
            <w:r>
              <w:rPr>
                <w:rFonts w:ascii="Arial Narrow" w:hAnsi="Arial Narrow" w:cs="Arial Narrow"/>
                <w:sz w:val="20"/>
                <w:szCs w:val="24"/>
              </w:rPr>
              <w:t xml:space="preserve"> (FO)            </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657 970</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387 672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385 832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473 235</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 xml:space="preserve">úver z garančného poistenia (FO)      </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11 180</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18 543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17 916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17 423</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b/>
                <w:sz w:val="20"/>
                <w:szCs w:val="24"/>
              </w:rPr>
              <w:t> </w:t>
            </w:r>
            <w:r>
              <w:rPr>
                <w:rFonts w:ascii="Arial Narrow" w:hAnsi="Arial Narrow" w:cs="Arial Narrow"/>
                <w:sz w:val="20"/>
                <w:szCs w:val="24"/>
              </w:rPr>
              <w:t> </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Výdavky Sociálnej poisťovne spolu</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5 553 970</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6 079 717</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6 424 088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6 829 109</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b/>
                <w:i/>
                <w:sz w:val="20"/>
                <w:szCs w:val="24"/>
              </w:rPr>
              <w:t>z toho:</w:t>
            </w:r>
            <w:r>
              <w:rPr>
                <w:rFonts w:ascii="Arial Narrow" w:hAnsi="Arial Narrow" w:cs="Arial Narrow"/>
                <w:sz w:val="20"/>
                <w:szCs w:val="24"/>
              </w:rPr>
              <w:t> </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výdavky poistenia</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5 345 145</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5 889 322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6 226 891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6 622 132</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výdavky správneho fondu</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181 682</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136 752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146 226</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158 417</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úver poskytnutý z garančného poistenia (FO)</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27 143</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53 643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50 971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48 560</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sz w:val="20"/>
                <w:szCs w:val="24"/>
              </w:rPr>
              <w:t>  </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Celkový prebytok Sociálnej poisťovne</w:t>
            </w:r>
          </w:p>
        </w:tc>
        <w:tc>
          <w:tcPr>
            <w:tcW w:w="96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741 038</w:t>
            </w:r>
          </w:p>
        </w:tc>
        <w:tc>
          <w:tcPr>
            <w:tcW w:w="964" w:type="dxa"/>
            <w:tcBorders>
              <w:top w:val="single" w:sz="4" w:space="0" w:color="auto"/>
              <w:left w:val="single" w:sz="4" w:space="0" w:color="auto"/>
              <w:bottom w:val="single" w:sz="4" w:space="0" w:color="auto"/>
              <w:right w:val="single" w:sz="4" w:space="0" w:color="auto"/>
            </w:tcBorders>
            <w:shd w:val="clear" w:color="auto" w:fill="D9D9D9"/>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385 832</w:t>
            </w:r>
          </w:p>
        </w:tc>
        <w:tc>
          <w:tcPr>
            <w:tcW w:w="96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473 235</w:t>
            </w:r>
          </w:p>
        </w:tc>
        <w:tc>
          <w:tcPr>
            <w:tcW w:w="964"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490 929</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b/>
                <w:i/>
                <w:sz w:val="20"/>
                <w:szCs w:val="24"/>
              </w:rPr>
              <w:t>vylúčenie finančných operácií</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-642 007</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-352 572</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-352 777</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-442 098</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sz w:val="20"/>
                <w:szCs w:val="24"/>
              </w:rPr>
            </w:pPr>
            <w:r>
              <w:rPr>
                <w:rFonts w:ascii="Arial Narrow" w:hAnsi="Arial Narrow" w:cs="Arial Narrow"/>
                <w:b/>
                <w:i/>
                <w:sz w:val="20"/>
                <w:szCs w:val="24"/>
              </w:rPr>
              <w:t>z toho:</w:t>
            </w:r>
            <w:r>
              <w:rPr>
                <w:rFonts w:ascii="Arial Narrow" w:hAnsi="Arial Narrow" w:cs="Arial Narrow"/>
                <w:sz w:val="20"/>
                <w:szCs w:val="24"/>
              </w:rPr>
              <w:t> </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vylúčenie príjmových FO</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-669 150</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-406 215</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-403 748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-490 658</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numPr>
                <w:numId w:val="13"/>
              </w:numPr>
              <w:rPr>
                <w:rFonts w:ascii="Arial Narrow" w:hAnsi="Arial Narrow" w:cs="Arial Narrow"/>
                <w:sz w:val="20"/>
                <w:szCs w:val="24"/>
              </w:rPr>
            </w:pPr>
            <w:r>
              <w:rPr>
                <w:rFonts w:ascii="Arial Narrow" w:hAnsi="Arial Narrow" w:cs="Arial Narrow"/>
                <w:sz w:val="20"/>
                <w:szCs w:val="24"/>
              </w:rPr>
              <w:t>vylúčenie výdavkových FO</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27 143</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53 643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50 971</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48 560</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 xml:space="preserve">zahrnutie časového rozlíšenia </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16 863</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8 674</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17 114</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20 120</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zahrnutie časového rozlíšenia výplaty zálohy na dôchodkové dávky</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-47 633</w:t>
            </w:r>
          </w:p>
        </w:tc>
        <w:tc>
          <w:tcPr>
            <w:tcW w:w="964" w:type="dxa"/>
            <w:tcBorders>
              <w:top w:val="single" w:sz="4" w:space="0" w:color="auto"/>
              <w:left w:val="single" w:sz="4" w:space="0" w:color="auto"/>
              <w:bottom w:val="single" w:sz="4" w:space="0" w:color="auto"/>
              <w:right w:val="single" w:sz="4" w:space="0" w:color="auto"/>
            </w:tcBorders>
            <w:textDirection w:val="lrTb"/>
            <w:vAlign w:val="bottom"/>
          </w:tcPr>
          <w:p w:rsidR="0084667A" w:rsidP="002B1759">
            <w:pPr>
              <w:jc w:val="right"/>
              <w:rPr>
                <w:rFonts w:ascii="Arial Narrow" w:hAnsi="Arial Narrow" w:cs="Arial Narrow"/>
                <w:sz w:val="20"/>
                <w:szCs w:val="24"/>
              </w:rPr>
            </w:pP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p>
        </w:tc>
        <w:tc>
          <w:tcPr>
            <w:tcW w:w="964"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 </w:t>
            </w: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kapitálové transfery z dôvodu predpokladanej nevymožiteľnosti pohľadávok garančného poistenia</w:t>
            </w:r>
          </w:p>
        </w:tc>
        <w:tc>
          <w:tcPr>
            <w:tcW w:w="964" w:type="dxa"/>
            <w:tcBorders>
              <w:top w:val="single" w:sz="4" w:space="0" w:color="auto"/>
              <w:left w:val="single" w:sz="4" w:space="0" w:color="auto"/>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-15 963</w:t>
            </w:r>
          </w:p>
        </w:tc>
        <w:tc>
          <w:tcPr>
            <w:tcW w:w="964" w:type="dxa"/>
            <w:tcBorders>
              <w:top w:val="single" w:sz="4" w:space="0" w:color="auto"/>
              <w:left w:val="single" w:sz="4" w:space="0" w:color="auto"/>
              <w:bottom w:val="single" w:sz="4" w:space="0" w:color="auto"/>
              <w:right w:val="single" w:sz="4" w:space="0" w:color="auto"/>
            </w:tcBorders>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-35 100</w:t>
            </w:r>
          </w:p>
        </w:tc>
        <w:tc>
          <w:tcPr>
            <w:tcW w:w="964" w:type="dxa"/>
            <w:tcBorders>
              <w:top w:val="single" w:sz="4" w:space="0" w:color="auto"/>
              <w:left w:val="single" w:sz="4" w:space="0" w:color="auto"/>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-33 055</w:t>
            </w:r>
          </w:p>
        </w:tc>
        <w:tc>
          <w:tcPr>
            <w:tcW w:w="964" w:type="dxa"/>
            <w:tcBorders>
              <w:top w:val="single" w:sz="4" w:space="0" w:color="auto"/>
              <w:left w:val="single" w:sz="4" w:space="0" w:color="auto"/>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-31 137</w:t>
            </w:r>
          </w:p>
        </w:tc>
      </w:tr>
      <w:tr>
        <w:tblPrEx>
          <w:tblW w:w="9075" w:type="dxa"/>
          <w:jc w:val="center"/>
          <w:tblInd w:w="0" w:type="dxa"/>
          <w:tblLayout w:type="fixed"/>
          <w:tblCellMar>
            <w:left w:w="70" w:type="dxa"/>
            <w:right w:w="70" w:type="dxa"/>
          </w:tblCellMar>
          <w:tblLook w:val="00A0"/>
        </w:tblPrEx>
        <w:trPr>
          <w:trHeight w:val="227"/>
          <w:jc w:val="center"/>
        </w:trPr>
        <w:tc>
          <w:tcPr>
            <w:tcW w:w="9072"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P="002B1759">
            <w:pPr>
              <w:jc w:val="right"/>
              <w:rPr>
                <w:rFonts w:ascii="Arial Narrow" w:hAnsi="Arial Narrow" w:cs="Arial Narrow"/>
                <w:b/>
                <w:sz w:val="20"/>
                <w:szCs w:val="24"/>
              </w:rPr>
            </w:pPr>
          </w:p>
        </w:tc>
      </w:tr>
      <w:tr>
        <w:tblPrEx>
          <w:tblW w:w="9075" w:type="dxa"/>
          <w:jc w:val="center"/>
          <w:tblInd w:w="0" w:type="dxa"/>
          <w:tblLayout w:type="fixed"/>
          <w:tblCellMar>
            <w:left w:w="70" w:type="dxa"/>
            <w:right w:w="70" w:type="dxa"/>
          </w:tblCellMar>
          <w:tblLook w:val="00A0"/>
        </w:tblPrEx>
        <w:trPr>
          <w:trHeight w:val="227"/>
          <w:jc w:val="center"/>
        </w:trPr>
        <w:tc>
          <w:tcPr>
            <w:tcW w:w="521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84667A" w:rsidP="002B1759">
            <w:pPr>
              <w:rPr>
                <w:rFonts w:ascii="Arial Narrow" w:hAnsi="Arial Narrow" w:cs="Arial Narrow"/>
                <w:b/>
                <w:i/>
                <w:sz w:val="20"/>
                <w:szCs w:val="24"/>
              </w:rPr>
            </w:pPr>
            <w:r>
              <w:rPr>
                <w:rFonts w:ascii="Arial Narrow" w:hAnsi="Arial Narrow" w:cs="Arial Narrow"/>
                <w:b/>
                <w:i/>
                <w:sz w:val="20"/>
                <w:szCs w:val="24"/>
              </w:rPr>
              <w:t>Prebytok Sociálnej poisťovne (ESA 95)</w:t>
            </w:r>
          </w:p>
        </w:tc>
        <w:tc>
          <w:tcPr>
            <w:tcW w:w="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84667A" w:rsidP="002B1759">
            <w:pPr>
              <w:jc w:val="right"/>
              <w:rPr>
                <w:rFonts w:ascii="Arial Narrow" w:hAnsi="Arial Narrow" w:cs="Arial Narrow"/>
                <w:b/>
                <w:i/>
                <w:sz w:val="20"/>
                <w:szCs w:val="24"/>
              </w:rPr>
            </w:pPr>
            <w:r>
              <w:rPr>
                <w:rFonts w:ascii="Arial Narrow" w:hAnsi="Arial Narrow" w:cs="Arial Narrow"/>
                <w:b/>
                <w:i/>
                <w:sz w:val="20"/>
                <w:szCs w:val="24"/>
              </w:rPr>
              <w:t>52 297</w:t>
            </w:r>
          </w:p>
        </w:tc>
        <w:tc>
          <w:tcPr>
            <w:tcW w:w="964"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6 834</w:t>
            </w:r>
          </w:p>
        </w:tc>
        <w:tc>
          <w:tcPr>
            <w:tcW w:w="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104 517</w:t>
            </w:r>
          </w:p>
        </w:tc>
        <w:tc>
          <w:tcPr>
            <w:tcW w:w="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84667A" w:rsidP="002B1759">
            <w:pPr>
              <w:jc w:val="right"/>
              <w:rPr>
                <w:rFonts w:ascii="Arial Narrow" w:hAnsi="Arial Narrow" w:cs="Arial Narrow"/>
                <w:b/>
                <w:sz w:val="20"/>
                <w:szCs w:val="24"/>
              </w:rPr>
            </w:pPr>
            <w:r>
              <w:rPr>
                <w:rFonts w:ascii="Arial Narrow" w:hAnsi="Arial Narrow" w:cs="Arial Narrow"/>
                <w:b/>
                <w:sz w:val="20"/>
                <w:szCs w:val="24"/>
              </w:rPr>
              <w:t>37 814</w:t>
            </w:r>
          </w:p>
        </w:tc>
      </w:tr>
    </w:tbl>
    <w:p w:rsidR="0084667A" w:rsidP="0084667A">
      <w:pPr>
        <w:jc w:val="both"/>
        <w:rPr>
          <w:rFonts w:ascii="Arial Narrow" w:hAnsi="Arial Narrow" w:cs="Arial Narrow"/>
          <w:sz w:val="22"/>
          <w:szCs w:val="24"/>
        </w:rPr>
      </w:pPr>
      <w:r>
        <w:rPr>
          <w:rFonts w:ascii="Arial Narrow" w:hAnsi="Arial Narrow" w:cs="Arial Narrow"/>
          <w:sz w:val="22"/>
          <w:szCs w:val="24"/>
        </w:rPr>
        <w:t xml:space="preserve">  </w:t>
        <w:tab/>
      </w:r>
    </w:p>
    <w:p w:rsidR="0084667A" w:rsidP="0084667A">
      <w:pPr>
        <w:ind w:firstLine="708"/>
        <w:jc w:val="both"/>
        <w:rPr>
          <w:rFonts w:ascii="Arial Narrow" w:hAnsi="Arial Narrow" w:cs="Arial Narrow"/>
          <w:sz w:val="22"/>
          <w:szCs w:val="24"/>
        </w:rPr>
      </w:pPr>
      <w:r>
        <w:rPr>
          <w:rFonts w:ascii="Arial Narrow" w:hAnsi="Arial Narrow" w:cs="Arial Narrow"/>
          <w:sz w:val="22"/>
          <w:szCs w:val="24"/>
        </w:rPr>
        <w:t>V roku 2010 sa v celkových príjmoch v sume 6,47 mld. eur premieta očakávaný prevod finančných prostriedkov z roku 2009 vo výške 388 mil. eur. Objemovo najväčšiu položku  predstavujú daňové príjmy, ktorých podiel na celkových príjmoch v sledovanom období predstavuje cca 70 %. Tieto príjmy zahŕňajú príjmy z poistného od ekonomicky aktívnych osôb, poistné platené štátom na starobné poistenie, invalidné poistenie a poistné do rezervného fondu solidarity za zákonom definovanú skupinu poistencov.</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Po zohľadnení demografického vývoja obyvateľstva a platnej legislatívy sa predpokladá výška poistného plateného štátom v roku 2010 v sume 184 mil. eur.</w:t>
      </w:r>
    </w:p>
    <w:p w:rsidR="00DA7557"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 Na krytie deficitov vzniknutých v dôsledku zavedenia II. piliera sa do základného fondu starobného poistenia predpokladá poskytnutie prostriedkov zo štátnych finančných aktív, resp. zo štátneho rozpočtu v sume 1,52 mld. eur v roku 2010, z toho zo štátneho rozpočtu 1,44 mld. eur, v roku 2011 v sume 1,63 mld. eur a v roku 2012 v sume 1,56 mld. eur už v plnej výške zo štátneho rozpočtu.</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V celkových výdavkoch v roku 2010 je premietnutá valorizácia dôchodkov o 3,05 %, v roku 2011 sa predpokladá  valorizácia o 3,30 % a v roku 2012 o 5,50 % s tým, že dôchodkové dávky sú s cieľom rýchlejšej reakcie na rast spotrebiteľských cien zvyšované vždy k 1. januáru kalendárneho roka. Výška valorizácie dôchodkov bola stanovená podľa platného mechanizmu, keď sa miera inflácie a priemerná mesačná mzda zohľadňuje na polročnej báze. V predpokladaných výdavkoch jednotlivých fondov, najmä základného fondu nemocenského poistenia, základného fondu poistenia v nezamestnanosti a základného fondu garančného poistenia je prihliadnuté na aktuálny vývoj spojený s globálnou finančnou krízou, ktorá sa prejavuje v ich zvýšenom čerpaní. </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Pr>
          <w:rFonts w:ascii="Arial Narrow" w:hAnsi="Arial Narrow" w:cs="Arial Narrow"/>
          <w:sz w:val="22"/>
          <w:szCs w:val="24"/>
        </w:rPr>
        <w:tab/>
        <w:t xml:space="preserve">Pri návrhu rozpočtu správneho fondu sa vychádzalo zo zákonom ustanovenej tvorby, t. j. najviac vo výške 2,9 % z poistného, 0,5 % z príspevkov na starobné dôchodkové sporenie a ďalších zákonom ustanovených príjmov. </w:t>
      </w:r>
    </w:p>
    <w:p w:rsidR="0084667A" w:rsidRPr="004F4646" w:rsidP="0084667A">
      <w:pPr>
        <w:jc w:val="both"/>
        <w:rPr>
          <w:rFonts w:ascii="Arial Narrow" w:hAnsi="Arial Narrow" w:cs="Arial Narrow"/>
          <w:szCs w:val="24"/>
        </w:rPr>
      </w:pPr>
    </w:p>
    <w:p w:rsidR="0084667A" w:rsidP="0084667A">
      <w:pPr>
        <w:jc w:val="both"/>
        <w:rPr>
          <w:rFonts w:ascii="Arial Narrow" w:hAnsi="Arial Narrow" w:cs="Arial Narrow"/>
          <w:szCs w:val="24"/>
        </w:rPr>
      </w:pPr>
    </w:p>
    <w:p w:rsidR="000A4EF0" w:rsidRPr="004F4646" w:rsidP="0084667A">
      <w:pPr>
        <w:jc w:val="both"/>
        <w:rPr>
          <w:rFonts w:ascii="Arial Narrow" w:hAnsi="Arial Narrow" w:cs="Arial Narrow"/>
          <w:szCs w:val="24"/>
        </w:rPr>
      </w:pPr>
    </w:p>
    <w:p w:rsidR="0084667A" w:rsidRPr="004F4646" w:rsidP="0084667A">
      <w:pPr>
        <w:jc w:val="both"/>
        <w:rPr>
          <w:rFonts w:ascii="Arial Narrow" w:hAnsi="Arial Narrow" w:cs="Arial Narrow"/>
          <w:b/>
          <w:szCs w:val="24"/>
        </w:rPr>
      </w:pPr>
      <w:r w:rsidRPr="004F4646">
        <w:rPr>
          <w:rFonts w:ascii="Arial Narrow" w:hAnsi="Arial Narrow" w:cs="Arial Narrow"/>
          <w:b/>
          <w:szCs w:val="24"/>
        </w:rPr>
        <w:t>3. Verejné zdravotné poistenie</w:t>
      </w:r>
    </w:p>
    <w:p w:rsidR="0084667A" w:rsidP="0084667A">
      <w:pPr>
        <w:pStyle w:val="BodyText"/>
        <w:rPr>
          <w:rFonts w:ascii="Arial Narrow" w:hAnsi="Arial Narrow" w:cs="Arial Narrow"/>
          <w:sz w:val="22"/>
          <w:szCs w:val="24"/>
          <w:highlight w:val="yellow"/>
        </w:rPr>
      </w:pP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Návrh rozpočtu verejného zdravotného poistenia na roky 2010 až 2012 je zostavený na základe platnej a pripravovanej legislatívy a zohľadňuje</w:t>
      </w:r>
      <w:r w:rsidRPr="009879D0">
        <w:rPr>
          <w:rFonts w:ascii="Arial Narrow" w:hAnsi="Arial Narrow" w:cs="Arial Narrow"/>
          <w:sz w:val="22"/>
          <w:szCs w:val="24"/>
        </w:rPr>
        <w:t xml:space="preserve"> </w:t>
      </w:r>
      <w:r>
        <w:rPr>
          <w:rFonts w:ascii="Arial Narrow" w:hAnsi="Arial Narrow" w:cs="Arial Narrow"/>
          <w:sz w:val="22"/>
          <w:szCs w:val="24"/>
        </w:rPr>
        <w:t xml:space="preserve">zmeny </w:t>
      </w:r>
      <w:r w:rsidRPr="00F91FF1">
        <w:rPr>
          <w:rFonts w:ascii="Arial Narrow" w:hAnsi="Arial Narrow" w:cs="Arial Narrow"/>
          <w:sz w:val="22"/>
          <w:szCs w:val="24"/>
        </w:rPr>
        <w:t>sektorového zaradenia súkromných zdravotných poisťovní Štatistickým úradom SR vyplývajúc</w:t>
      </w:r>
      <w:r>
        <w:rPr>
          <w:rFonts w:ascii="Arial Narrow" w:hAnsi="Arial Narrow" w:cs="Arial Narrow"/>
          <w:sz w:val="22"/>
          <w:szCs w:val="24"/>
        </w:rPr>
        <w:t>e</w:t>
      </w:r>
      <w:r w:rsidRPr="00F91FF1">
        <w:rPr>
          <w:rFonts w:ascii="Arial Narrow" w:hAnsi="Arial Narrow" w:cs="Arial Narrow"/>
          <w:sz w:val="22"/>
          <w:szCs w:val="24"/>
        </w:rPr>
        <w:t xml:space="preserve"> so záverov misie Eurostatu</w:t>
      </w:r>
      <w:r>
        <w:rPr>
          <w:rFonts w:ascii="Arial Narrow" w:hAnsi="Arial Narrow" w:cs="Arial Narrow"/>
          <w:sz w:val="22"/>
          <w:szCs w:val="24"/>
        </w:rPr>
        <w:t xml:space="preserve">. </w:t>
      </w:r>
    </w:p>
    <w:p w:rsidR="0084667A" w:rsidRPr="00186C4E" w:rsidP="0084667A">
      <w:pPr>
        <w:pStyle w:val="BodyText"/>
        <w:ind w:firstLine="708"/>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Pr>
          <w:rFonts w:ascii="Arial Narrow" w:hAnsi="Arial Narrow" w:cs="Arial Narrow"/>
          <w:sz w:val="22"/>
          <w:szCs w:val="24"/>
        </w:rPr>
        <w:t>Celkové príjmy v systéme verejného zdravotného poistenia, vrátane zostatku prostriedkov</w:t>
        <w:br/>
        <w:t>z predchádzajúceho roka, sa pre rok 2010 predpokladajú vo výške 3,72 mld. eur. Nárast príjmov zdravotných poisťovní oproti roku 2006 predstavuje 42,6 %. Pre rok 2011 sa celkové príjmy predpokladajú v objeme 3,94 mld. eur s medziročným nárastom 5,97 % a pre rok 2012 v objeme 4,25 mld. eur s medziročným nárastom 7,93 %.</w:t>
      </w:r>
    </w:p>
    <w:p w:rsidR="0084667A" w:rsidP="0084667A">
      <w:pPr>
        <w:pStyle w:val="BodyText"/>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sidRPr="005D53B0">
        <w:rPr>
          <w:rFonts w:ascii="Arial Narrow" w:hAnsi="Arial Narrow" w:cs="Arial Narrow"/>
          <w:sz w:val="22"/>
          <w:szCs w:val="24"/>
        </w:rPr>
        <w:t>Poistné platené štátom je určené pre zákonom vymedzené kategórie</w:t>
      </w:r>
      <w:r>
        <w:rPr>
          <w:rFonts w:ascii="Arial Narrow" w:hAnsi="Arial Narrow" w:cs="Arial Narrow"/>
          <w:sz w:val="22"/>
          <w:szCs w:val="24"/>
        </w:rPr>
        <w:t xml:space="preserve"> obyvateľov.</w:t>
      </w:r>
      <w:r w:rsidRPr="005D53B0">
        <w:rPr>
          <w:rFonts w:ascii="Arial Narrow" w:hAnsi="Arial Narrow" w:cs="Arial Narrow"/>
          <w:sz w:val="22"/>
          <w:szCs w:val="24"/>
        </w:rPr>
        <w:t xml:space="preserve"> </w:t>
      </w:r>
      <w:r w:rsidRPr="00E92826">
        <w:rPr>
          <w:rFonts w:ascii="Arial Narrow" w:hAnsi="Arial Narrow" w:cs="Arial Narrow"/>
          <w:sz w:val="22"/>
          <w:szCs w:val="24"/>
        </w:rPr>
        <w:t>Objem poistného na úrovni 1</w:t>
      </w:r>
      <w:r>
        <w:rPr>
          <w:rFonts w:ascii="Arial Narrow" w:hAnsi="Arial Narrow" w:cs="Arial Narrow"/>
          <w:sz w:val="22"/>
          <w:szCs w:val="24"/>
        </w:rPr>
        <w:t>,</w:t>
      </w:r>
      <w:r w:rsidRPr="00E92826">
        <w:rPr>
          <w:rFonts w:ascii="Arial Narrow" w:hAnsi="Arial Narrow" w:cs="Arial Narrow"/>
          <w:sz w:val="22"/>
          <w:szCs w:val="24"/>
        </w:rPr>
        <w:t>28 ml</w:t>
      </w:r>
      <w:r>
        <w:rPr>
          <w:rFonts w:ascii="Arial Narrow" w:hAnsi="Arial Narrow" w:cs="Arial Narrow"/>
          <w:sz w:val="22"/>
          <w:szCs w:val="24"/>
        </w:rPr>
        <w:t>d</w:t>
      </w:r>
      <w:r w:rsidRPr="00E92826">
        <w:rPr>
          <w:rFonts w:ascii="Arial Narrow" w:hAnsi="Arial Narrow" w:cs="Arial Narrow"/>
          <w:sz w:val="22"/>
          <w:szCs w:val="24"/>
        </w:rPr>
        <w:t>. eur pre rok 2010 vzrástol o 10,</w:t>
      </w:r>
      <w:r>
        <w:rPr>
          <w:rFonts w:ascii="Arial Narrow" w:hAnsi="Arial Narrow" w:cs="Arial Narrow"/>
          <w:sz w:val="22"/>
          <w:szCs w:val="24"/>
        </w:rPr>
        <w:t>5</w:t>
      </w:r>
      <w:r w:rsidRPr="00E92826">
        <w:rPr>
          <w:rFonts w:ascii="Arial Narrow" w:hAnsi="Arial Narrow" w:cs="Arial Narrow"/>
          <w:sz w:val="22"/>
          <w:szCs w:val="24"/>
        </w:rPr>
        <w:t xml:space="preserve"> % oproti roku 2009 a predstavuje nárast oproti roku 2006 o </w:t>
      </w:r>
      <w:r>
        <w:rPr>
          <w:rFonts w:ascii="Arial Narrow" w:hAnsi="Arial Narrow" w:cs="Arial Narrow"/>
          <w:sz w:val="22"/>
          <w:szCs w:val="24"/>
        </w:rPr>
        <w:br/>
      </w:r>
      <w:r w:rsidRPr="00E92826">
        <w:rPr>
          <w:rFonts w:ascii="Arial Narrow" w:hAnsi="Arial Narrow" w:cs="Arial Narrow"/>
          <w:sz w:val="22"/>
          <w:szCs w:val="24"/>
        </w:rPr>
        <w:t>65,</w:t>
      </w:r>
      <w:r>
        <w:rPr>
          <w:rFonts w:ascii="Arial Narrow" w:hAnsi="Arial Narrow" w:cs="Arial Narrow"/>
          <w:sz w:val="22"/>
          <w:szCs w:val="24"/>
        </w:rPr>
        <w:t xml:space="preserve">1 </w:t>
      </w:r>
      <w:r w:rsidRPr="00E92826">
        <w:rPr>
          <w:rFonts w:ascii="Arial Narrow" w:hAnsi="Arial Narrow" w:cs="Arial Narrow"/>
          <w:sz w:val="22"/>
          <w:szCs w:val="24"/>
        </w:rPr>
        <w:t>%.</w:t>
      </w:r>
      <w:r>
        <w:rPr>
          <w:rFonts w:ascii="Arial Narrow" w:hAnsi="Arial Narrow" w:cs="Arial Narrow"/>
          <w:sz w:val="22"/>
          <w:szCs w:val="24"/>
        </w:rPr>
        <w:t xml:space="preserve"> </w:t>
      </w:r>
    </w:p>
    <w:p w:rsidR="0084667A" w:rsidP="0084667A">
      <w:pPr>
        <w:ind w:firstLine="720"/>
        <w:jc w:val="both"/>
        <w:rPr>
          <w:rFonts w:ascii="Arial Narrow" w:hAnsi="Arial Narrow" w:cs="Arial Narrow"/>
          <w:sz w:val="22"/>
          <w:szCs w:val="24"/>
        </w:rPr>
      </w:pPr>
    </w:p>
    <w:p w:rsidR="0084667A" w:rsidP="0084667A">
      <w:pPr>
        <w:pStyle w:val="BodyText2"/>
        <w:spacing w:after="0"/>
        <w:ind w:left="0" w:firstLine="708"/>
        <w:jc w:val="both"/>
        <w:rPr>
          <w:rFonts w:ascii="Arial Narrow" w:hAnsi="Arial Narrow" w:cs="Arial Narrow"/>
          <w:sz w:val="22"/>
          <w:szCs w:val="24"/>
          <w:lang w:eastAsia="sk-SK"/>
        </w:rPr>
      </w:pPr>
      <w:r>
        <w:rPr>
          <w:rFonts w:ascii="Arial Narrow" w:hAnsi="Arial Narrow" w:cs="Arial Narrow"/>
          <w:sz w:val="22"/>
          <w:szCs w:val="24"/>
          <w:lang w:eastAsia="sk-SK"/>
        </w:rPr>
        <w:t xml:space="preserve">Návrh rozpočtu príjmov z poistného od ekonomicky aktívnych osôb, vrátane ročného zúčtovania poistného, nadväzuje na prognózy daňových príjmov a zohľadňuje vplyv hospodárskej krízy. Príjmy od ekonomicky aktívnych osôb sa na rok 2010 predpokladajú vo výške 2,26 mld. eur. Nárast predmetných príjmov oproti roku 2006 predstavuje 32,1 %. V roku 2011 sa výška príjmov od ekonomicky aktívnych osôb predpokladá na úrovni 2,42 mld. eur s medziročným nárastom o 7,19 % a v roku 2012 na úrovni 2,64 mld. eur s medziročným nárastom 9,11 %. </w:t>
      </w:r>
    </w:p>
    <w:p w:rsidR="0084667A" w:rsidP="0084667A">
      <w:pPr>
        <w:pStyle w:val="BodyText2"/>
        <w:spacing w:after="0"/>
        <w:ind w:left="0"/>
        <w:jc w:val="both"/>
        <w:rPr>
          <w:rFonts w:ascii="Arial Narrow" w:hAnsi="Arial Narrow" w:cs="Arial Narrow"/>
          <w:sz w:val="22"/>
          <w:szCs w:val="24"/>
          <w:lang w:eastAsia="sk-SK"/>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Do súhrnu daňových príjmov verejného zdravotného poistenia sa započítavajú aj sankcie súvisiace so zdravotným poistením, ktoré v sledovanom období, na základe predpokladov zdravotných poisťovní, majú klesajúci charakter zo 7,48 mil. eur v roku 2009 na 4,69 mil. eur v roku 2012. Nedaňové príjmy sa na základe predpokladov zdravotných poisťovní rozpočtujú ročne v objeme okolo 15,0 mil. eur. V príjmovej časti rozpočtu zdravotných poisťovní je započítaný transfer z Ministerstva zdravotníctva SR v ročnej výške 199 tis. eur na úhradu n</w:t>
      </w:r>
      <w:r w:rsidRPr="00DB2BE2">
        <w:rPr>
          <w:rFonts w:ascii="Arial Narrow" w:hAnsi="Arial Narrow" w:cs="Arial Narrow"/>
          <w:sz w:val="22"/>
          <w:szCs w:val="24"/>
        </w:rPr>
        <w:t xml:space="preserve">eodkladnej zdravotnej starostlivosti </w:t>
      </w:r>
      <w:r>
        <w:rPr>
          <w:rFonts w:ascii="Arial Narrow" w:hAnsi="Arial Narrow" w:cs="Arial Narrow"/>
          <w:sz w:val="22"/>
          <w:szCs w:val="24"/>
        </w:rPr>
        <w:t xml:space="preserve">v súlade so zákonom č. 580/2004 Z. z. </w:t>
      </w:r>
      <w:r w:rsidRPr="00DB2BE2">
        <w:rPr>
          <w:rFonts w:ascii="Arial Narrow" w:hAnsi="Arial Narrow" w:cs="Arial Narrow"/>
          <w:sz w:val="22"/>
          <w:szCs w:val="24"/>
        </w:rPr>
        <w:t>o zdravotnom poistení a o zmene a doplnení zákona č. 95/2002 Z.</w:t>
      </w:r>
      <w:r>
        <w:rPr>
          <w:rFonts w:ascii="Arial Narrow" w:hAnsi="Arial Narrow" w:cs="Arial Narrow"/>
          <w:sz w:val="22"/>
          <w:szCs w:val="24"/>
        </w:rPr>
        <w:t xml:space="preserve"> </w:t>
      </w:r>
      <w:r w:rsidRPr="00DB2BE2">
        <w:rPr>
          <w:rFonts w:ascii="Arial Narrow" w:hAnsi="Arial Narrow" w:cs="Arial Narrow"/>
          <w:sz w:val="22"/>
          <w:szCs w:val="24"/>
        </w:rPr>
        <w:t>z. o poisťovníctve a o zmene a doplnení niektorých zákonov</w:t>
      </w:r>
      <w:r>
        <w:rPr>
          <w:rFonts w:ascii="Arial Narrow" w:hAnsi="Arial Narrow" w:cs="Arial Narrow"/>
          <w:sz w:val="22"/>
          <w:szCs w:val="24"/>
        </w:rPr>
        <w:t>. Súčasťou celkových príjmov verejného zdravotného poistenia je aj zostatok prostriedkov z predchádzajúcich rokov.</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Celkové výdavky zdravotných poisťovní sa pre rok 2010 predpokladajú na úrovni 3, 58 mld. eur. Pre rok 2011 sa celkové výdavky predpokladajú v objeme 3, 81 mld. eur s medziročným nárastom 6,44 % a pre rok 2012 v objeme 4,13 mld. eur</w:t>
      </w:r>
      <w:r w:rsidRPr="00D3693D">
        <w:rPr>
          <w:rFonts w:ascii="Arial Narrow" w:hAnsi="Arial Narrow" w:cs="Arial Narrow"/>
          <w:sz w:val="22"/>
          <w:szCs w:val="24"/>
        </w:rPr>
        <w:t xml:space="preserve"> </w:t>
      </w:r>
      <w:r>
        <w:rPr>
          <w:rFonts w:ascii="Arial Narrow" w:hAnsi="Arial Narrow" w:cs="Arial Narrow"/>
          <w:sz w:val="22"/>
          <w:szCs w:val="24"/>
        </w:rPr>
        <w:t>s medziročným nárastom 8,48 %.</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 súlade s legislatívnou úpravou zdravotného poistenia je ako bežný transfer vo výdavkoch verejného zdravotného poistenia zapracovaný príspevok na činnosť Úradu pre dohľad nad zdravotnou starostlivosťou a príspevok na činnosť operačných st</w:t>
      </w:r>
      <w:r w:rsidRPr="00C37E7B">
        <w:rPr>
          <w:rFonts w:ascii="Arial Narrow" w:hAnsi="Arial Narrow" w:cs="Arial Narrow"/>
          <w:sz w:val="22"/>
          <w:szCs w:val="24"/>
        </w:rPr>
        <w:t>redísk tiesňového volania záchrannej zdravotnej služby</w:t>
      </w:r>
      <w:r>
        <w:rPr>
          <w:rFonts w:ascii="Arial Narrow" w:hAnsi="Arial Narrow" w:cs="Arial Narrow"/>
          <w:sz w:val="22"/>
          <w:szCs w:val="24"/>
        </w:rPr>
        <w:t>. Výška príspevkov pre rok 2010 vychádza z predpokladaného výberu poistného zdravotnými poisťovňami v roku 2009 a zohľadňuje zmenu sadzby pre výpočet výšky príspevku pre operačné st</w:t>
      </w:r>
      <w:r w:rsidRPr="00C37E7B">
        <w:rPr>
          <w:rFonts w:ascii="Arial Narrow" w:hAnsi="Arial Narrow" w:cs="Arial Narrow"/>
          <w:sz w:val="22"/>
          <w:szCs w:val="24"/>
        </w:rPr>
        <w:t>red</w:t>
      </w:r>
      <w:r>
        <w:rPr>
          <w:rFonts w:ascii="Arial Narrow" w:hAnsi="Arial Narrow" w:cs="Arial Narrow"/>
          <w:sz w:val="22"/>
          <w:szCs w:val="24"/>
        </w:rPr>
        <w:t>i</w:t>
      </w:r>
      <w:r w:rsidRPr="00C37E7B">
        <w:rPr>
          <w:rFonts w:ascii="Arial Narrow" w:hAnsi="Arial Narrow" w:cs="Arial Narrow"/>
          <w:sz w:val="22"/>
          <w:szCs w:val="24"/>
        </w:rPr>
        <w:t>sk</w:t>
      </w:r>
      <w:r>
        <w:rPr>
          <w:rFonts w:ascii="Arial Narrow" w:hAnsi="Arial Narrow" w:cs="Arial Narrow"/>
          <w:sz w:val="22"/>
          <w:szCs w:val="24"/>
        </w:rPr>
        <w:t>á</w:t>
      </w:r>
      <w:r w:rsidRPr="00C37E7B">
        <w:rPr>
          <w:rFonts w:ascii="Arial Narrow" w:hAnsi="Arial Narrow" w:cs="Arial Narrow"/>
          <w:sz w:val="22"/>
          <w:szCs w:val="24"/>
        </w:rPr>
        <w:t xml:space="preserve"> tiesňového volania záchrannej zdravotnej služby</w:t>
      </w:r>
      <w:r>
        <w:rPr>
          <w:rFonts w:ascii="Arial Narrow" w:hAnsi="Arial Narrow" w:cs="Arial Narrow"/>
          <w:sz w:val="22"/>
          <w:szCs w:val="24"/>
        </w:rPr>
        <w:t xml:space="preserve"> z 0,30 % na 0,35 % a pre činnosť Úradu pre dohľad nad zdravotnou starostlivosťou z 0,50 % na 0,45 %. </w:t>
      </w: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 </w:t>
      </w: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Výdavky na prevádzkové činnosti štátnej zdravotnej poisťovne </w:t>
      </w:r>
      <w:r w:rsidRPr="00AA7E66">
        <w:rPr>
          <w:rFonts w:ascii="Arial Narrow" w:hAnsi="Arial Narrow" w:cs="Arial Narrow"/>
          <w:sz w:val="22"/>
          <w:szCs w:val="24"/>
        </w:rPr>
        <w:t>a výdavky súkromných zdravotných poisťovní na správu verejného zdravotného poistenia</w:t>
      </w:r>
      <w:r>
        <w:rPr>
          <w:rFonts w:ascii="Arial Narrow" w:hAnsi="Arial Narrow" w:cs="Arial Narrow"/>
          <w:sz w:val="22"/>
          <w:szCs w:val="24"/>
        </w:rPr>
        <w:t xml:space="preserve"> zahŕňajú predpoklad bežných aj kapitálových výdavkov na prevádzkové činnosti zdravotných poisťovní kryté príjmom z výberu poistného.</w:t>
      </w:r>
    </w:p>
    <w:p w:rsidR="0084667A" w:rsidP="0084667A">
      <w:pPr>
        <w:ind w:firstLine="708"/>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Ostatné výdavky zahŕňajú výdavky na dane </w:t>
      </w:r>
      <w:r w:rsidRPr="00CC2041">
        <w:rPr>
          <w:rFonts w:ascii="Arial Narrow" w:hAnsi="Arial Narrow" w:cs="Arial Narrow"/>
          <w:sz w:val="22"/>
          <w:szCs w:val="24"/>
        </w:rPr>
        <w:t>a poplatky</w:t>
      </w:r>
      <w:r>
        <w:rPr>
          <w:rFonts w:ascii="Arial Narrow" w:hAnsi="Arial Narrow" w:cs="Arial Narrow"/>
          <w:sz w:val="22"/>
          <w:szCs w:val="24"/>
        </w:rPr>
        <w:t xml:space="preserve"> odvádzané do štátneho rozpočtu podľa § 6a ods. 3 zákona č. 581/2007 Z. z. </w:t>
      </w:r>
      <w:r w:rsidRPr="003753AC">
        <w:rPr>
          <w:rFonts w:ascii="Arial Narrow" w:hAnsi="Arial Narrow" w:cs="Arial Narrow"/>
          <w:sz w:val="22"/>
          <w:szCs w:val="24"/>
        </w:rPr>
        <w:t>o zdravotných poisťovniach, dohľade nad zdravotnou starostlivosťou</w:t>
      </w:r>
      <w:r>
        <w:rPr>
          <w:rFonts w:ascii="Arial Narrow" w:hAnsi="Arial Narrow" w:cs="Arial Narrow"/>
          <w:sz w:val="22"/>
          <w:szCs w:val="24"/>
        </w:rPr>
        <w:t xml:space="preserve"> a </w:t>
      </w:r>
      <w:r w:rsidRPr="00C903F0">
        <w:rPr>
          <w:rFonts w:ascii="Arial Narrow" w:hAnsi="Arial Narrow" w:cs="Arial Narrow"/>
          <w:sz w:val="22"/>
          <w:szCs w:val="24"/>
        </w:rPr>
        <w:t>o zmene a doplnení niektorých zákonov</w:t>
      </w:r>
      <w:r>
        <w:rPr>
          <w:rFonts w:ascii="Arial Narrow" w:hAnsi="Arial Narrow" w:cs="Arial Narrow"/>
          <w:sz w:val="22"/>
          <w:szCs w:val="24"/>
        </w:rPr>
        <w:t xml:space="preserve">. </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Celkový prebytok zdravotných poisťovní sa v roku 2010 predpokladá vo výške 140 mil. eur, v roku 2011 vo výške 131 mil. eur a v roku 2012 vo výške 121 mil. eur. Zníženie prebytku verejného zdravotného poistenia oproti roku 2009 sa predpokladá v nadväznosti na krytie výdavkov pri očakávanom znížení príjmov v rokoch 2009 a 2010.  </w:t>
      </w:r>
    </w:p>
    <w:p w:rsidR="0084667A" w:rsidP="0084667A">
      <w:pPr>
        <w:ind w:firstLine="708"/>
        <w:jc w:val="both"/>
        <w:rPr>
          <w:rFonts w:ascii="Arial Narrow" w:hAnsi="Arial Narrow" w:cs="Arial Narrow"/>
          <w:sz w:val="22"/>
          <w:szCs w:val="24"/>
        </w:rPr>
      </w:pPr>
    </w:p>
    <w:p w:rsidR="000A4EF0" w:rsidP="0084667A">
      <w:pPr>
        <w:ind w:firstLine="708"/>
        <w:jc w:val="both"/>
        <w:rPr>
          <w:rFonts w:ascii="Arial Narrow" w:hAnsi="Arial Narrow" w:cs="Arial Narrow"/>
          <w:sz w:val="22"/>
          <w:szCs w:val="24"/>
        </w:rPr>
      </w:pPr>
    </w:p>
    <w:p w:rsidR="000A4EF0" w:rsidP="0084667A">
      <w:pPr>
        <w:ind w:firstLine="708"/>
        <w:jc w:val="both"/>
        <w:rPr>
          <w:rFonts w:ascii="Arial Narrow" w:hAnsi="Arial Narrow" w:cs="Arial Narrow"/>
          <w:sz w:val="22"/>
          <w:szCs w:val="24"/>
        </w:rPr>
      </w:pPr>
    </w:p>
    <w:p w:rsidR="000A4EF0" w:rsidP="0084667A">
      <w:pPr>
        <w:ind w:firstLine="708"/>
        <w:jc w:val="both"/>
        <w:rPr>
          <w:rFonts w:ascii="Arial Narrow" w:hAnsi="Arial Narrow" w:cs="Arial Narrow"/>
          <w:sz w:val="22"/>
          <w:szCs w:val="24"/>
        </w:rPr>
      </w:pPr>
    </w:p>
    <w:p w:rsidR="0084667A" w:rsidP="0084667A">
      <w:pPr>
        <w:ind w:firstLine="709"/>
        <w:jc w:val="both"/>
        <w:rPr>
          <w:rFonts w:ascii="Arial Narrow" w:hAnsi="Arial Narrow" w:cs="Arial Narrow"/>
          <w:sz w:val="22"/>
          <w:szCs w:val="24"/>
        </w:rPr>
      </w:pPr>
      <w:r>
        <w:rPr>
          <w:rFonts w:ascii="Arial Narrow" w:hAnsi="Arial Narrow" w:cs="Arial Narrow"/>
          <w:sz w:val="22"/>
          <w:szCs w:val="24"/>
        </w:rPr>
        <w:t>Vývoj príjmovej a výdavkovej časti rozpočtu verejného zdravotného poistenia na roky 2010 až 2012 je v porovnaní so schváleným rozpočtom na rok 2009 nasledovný:</w:t>
      </w:r>
    </w:p>
    <w:p w:rsidR="002E7391" w:rsidP="002E7391">
      <w:pPr>
        <w:jc w:val="both"/>
        <w:rPr>
          <w:rFonts w:ascii="Arial Narrow" w:hAnsi="Arial Narrow" w:cs="Arial Narrow"/>
          <w:b/>
          <w:sz w:val="22"/>
          <w:szCs w:val="24"/>
        </w:rPr>
      </w:pPr>
    </w:p>
    <w:tbl>
      <w:tblPr>
        <w:tblStyle w:val="TableNormal"/>
        <w:tblW w:w="9369" w:type="dxa"/>
        <w:tblInd w:w="57" w:type="dxa"/>
        <w:tblCellMar>
          <w:left w:w="70" w:type="dxa"/>
          <w:right w:w="70" w:type="dxa"/>
        </w:tblCellMar>
        <w:tblLook w:val="00A0"/>
      </w:tblPr>
      <w:tblGrid>
        <w:gridCol w:w="4975"/>
        <w:gridCol w:w="992"/>
        <w:gridCol w:w="1134"/>
        <w:gridCol w:w="1134"/>
        <w:gridCol w:w="1134"/>
      </w:tblGrid>
      <w:tr>
        <w:tblPrEx>
          <w:tblW w:w="9369" w:type="dxa"/>
          <w:tblInd w:w="57" w:type="dxa"/>
          <w:tblCellMar>
            <w:left w:w="70" w:type="dxa"/>
            <w:right w:w="70" w:type="dxa"/>
          </w:tblCellMar>
          <w:tblLook w:val="00A0"/>
        </w:tblPrEx>
        <w:trPr>
          <w:trHeight w:val="255"/>
        </w:trPr>
        <w:tc>
          <w:tcPr>
            <w:tcW w:w="4975" w:type="dxa"/>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2E7391" w:rsidRPr="00AA7E66" w:rsidP="00752703">
            <w:pPr>
              <w:jc w:val="both"/>
              <w:rPr>
                <w:rFonts w:ascii="Arial Narrow" w:hAnsi="Arial Narrow" w:cs="Arial Narrow"/>
                <w:b/>
                <w:color w:val="FFFFFF"/>
                <w:sz w:val="20"/>
                <w:szCs w:val="24"/>
              </w:rPr>
            </w:pPr>
            <w:r w:rsidRPr="00AA7E66">
              <w:rPr>
                <w:rFonts w:ascii="Arial Narrow" w:hAnsi="Arial Narrow" w:cs="Arial Narrow"/>
                <w:b/>
                <w:color w:val="FFFFFF"/>
                <w:sz w:val="20"/>
                <w:szCs w:val="24"/>
              </w:rPr>
              <w:t>(v tis. eur)</w:t>
            </w:r>
          </w:p>
        </w:tc>
        <w:tc>
          <w:tcPr>
            <w:tcW w:w="992" w:type="dxa"/>
            <w:tcBorders>
              <w:top w:val="single" w:sz="4" w:space="0" w:color="auto"/>
              <w:left w:val="nil"/>
              <w:bottom w:val="single" w:sz="4" w:space="0" w:color="auto"/>
              <w:right w:val="single" w:sz="4" w:space="0" w:color="auto"/>
            </w:tcBorders>
            <w:shd w:val="clear" w:color="000000" w:fill="000000"/>
            <w:textDirection w:val="lrTb"/>
            <w:vAlign w:val="bottom"/>
          </w:tcPr>
          <w:p w:rsidR="002E7391" w:rsidRPr="00AA7E66" w:rsidP="00752703">
            <w:pPr>
              <w:jc w:val="center"/>
              <w:rPr>
                <w:rFonts w:ascii="Arial Narrow" w:hAnsi="Arial Narrow" w:cs="Arial Narrow"/>
                <w:b/>
                <w:color w:val="FFFFFF"/>
                <w:sz w:val="20"/>
                <w:szCs w:val="24"/>
              </w:rPr>
            </w:pPr>
            <w:r w:rsidRPr="00AA7E66">
              <w:rPr>
                <w:rFonts w:ascii="Arial Narrow" w:hAnsi="Arial Narrow" w:cs="Arial Narrow"/>
                <w:b/>
                <w:color w:val="FFFFFF"/>
                <w:sz w:val="20"/>
                <w:szCs w:val="24"/>
              </w:rPr>
              <w:t>2009</w:t>
            </w:r>
          </w:p>
        </w:tc>
        <w:tc>
          <w:tcPr>
            <w:tcW w:w="1134" w:type="dxa"/>
            <w:tcBorders>
              <w:top w:val="single" w:sz="4" w:space="0" w:color="auto"/>
              <w:left w:val="nil"/>
              <w:bottom w:val="single" w:sz="4" w:space="0" w:color="auto"/>
              <w:right w:val="single" w:sz="4" w:space="0" w:color="auto"/>
            </w:tcBorders>
            <w:shd w:val="clear" w:color="000000" w:fill="000000"/>
            <w:textDirection w:val="lrTb"/>
            <w:vAlign w:val="bottom"/>
          </w:tcPr>
          <w:p w:rsidR="002E7391" w:rsidRPr="00AA7E66" w:rsidP="00752703">
            <w:pPr>
              <w:jc w:val="center"/>
              <w:rPr>
                <w:rFonts w:ascii="Arial Narrow" w:hAnsi="Arial Narrow" w:cs="Arial Narrow"/>
                <w:b/>
                <w:color w:val="FFFFFF"/>
                <w:sz w:val="20"/>
                <w:szCs w:val="24"/>
              </w:rPr>
            </w:pPr>
            <w:r w:rsidRPr="00AA7E66">
              <w:rPr>
                <w:rFonts w:ascii="Arial Narrow" w:hAnsi="Arial Narrow" w:cs="Arial Narrow"/>
                <w:b/>
                <w:color w:val="FFFFFF"/>
                <w:sz w:val="20"/>
                <w:szCs w:val="24"/>
              </w:rPr>
              <w:t>2010</w:t>
            </w:r>
          </w:p>
        </w:tc>
        <w:tc>
          <w:tcPr>
            <w:tcW w:w="1134" w:type="dxa"/>
            <w:tcBorders>
              <w:top w:val="single" w:sz="4" w:space="0" w:color="auto"/>
              <w:left w:val="nil"/>
              <w:bottom w:val="single" w:sz="4" w:space="0" w:color="auto"/>
              <w:right w:val="single" w:sz="4" w:space="0" w:color="auto"/>
            </w:tcBorders>
            <w:shd w:val="clear" w:color="000000" w:fill="000000"/>
            <w:textDirection w:val="lrTb"/>
            <w:vAlign w:val="bottom"/>
          </w:tcPr>
          <w:p w:rsidR="002E7391" w:rsidRPr="00AA7E66" w:rsidP="00752703">
            <w:pPr>
              <w:jc w:val="center"/>
              <w:rPr>
                <w:rFonts w:ascii="Arial Narrow" w:hAnsi="Arial Narrow" w:cs="Arial Narrow"/>
                <w:b/>
                <w:color w:val="FFFFFF"/>
                <w:sz w:val="20"/>
                <w:szCs w:val="24"/>
              </w:rPr>
            </w:pPr>
            <w:r w:rsidRPr="00AA7E66">
              <w:rPr>
                <w:rFonts w:ascii="Arial Narrow" w:hAnsi="Arial Narrow" w:cs="Arial Narrow"/>
                <w:b/>
                <w:color w:val="FFFFFF"/>
                <w:sz w:val="20"/>
                <w:szCs w:val="24"/>
              </w:rPr>
              <w:t>2011</w:t>
            </w:r>
          </w:p>
        </w:tc>
        <w:tc>
          <w:tcPr>
            <w:tcW w:w="1134" w:type="dxa"/>
            <w:tcBorders>
              <w:top w:val="single" w:sz="4" w:space="0" w:color="auto"/>
              <w:left w:val="nil"/>
              <w:bottom w:val="single" w:sz="4" w:space="0" w:color="auto"/>
              <w:right w:val="single" w:sz="4" w:space="0" w:color="auto"/>
            </w:tcBorders>
            <w:shd w:val="clear" w:color="000000" w:fill="000000"/>
            <w:textDirection w:val="lrTb"/>
            <w:vAlign w:val="bottom"/>
          </w:tcPr>
          <w:p w:rsidR="002E7391" w:rsidRPr="00AA7E66" w:rsidP="00752703">
            <w:pPr>
              <w:jc w:val="center"/>
              <w:rPr>
                <w:rFonts w:ascii="Arial Narrow" w:hAnsi="Arial Narrow" w:cs="Arial Narrow"/>
                <w:b/>
                <w:color w:val="FFFFFF"/>
                <w:sz w:val="20"/>
                <w:szCs w:val="24"/>
              </w:rPr>
            </w:pPr>
            <w:r w:rsidRPr="00AA7E66">
              <w:rPr>
                <w:rFonts w:ascii="Arial Narrow" w:hAnsi="Arial Narrow" w:cs="Arial Narrow"/>
                <w:b/>
                <w:color w:val="FFFFFF"/>
                <w:sz w:val="20"/>
                <w:szCs w:val="24"/>
              </w:rPr>
              <w:t>2012</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b/>
                <w:i/>
                <w:sz w:val="20"/>
                <w:szCs w:val="24"/>
              </w:rPr>
            </w:pPr>
            <w:r w:rsidRPr="00AA7E66">
              <w:rPr>
                <w:rFonts w:ascii="Arial Narrow" w:hAnsi="Arial Narrow" w:cs="Arial Narrow"/>
                <w:b/>
                <w:i/>
                <w:sz w:val="20"/>
                <w:szCs w:val="24"/>
              </w:rPr>
              <w:t>Príjmy verejného zdravotného poistenia spolu:</w:t>
            </w:r>
          </w:p>
        </w:tc>
        <w:tc>
          <w:tcPr>
            <w:tcW w:w="992"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3 924 820</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3 715 591</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3 937 258</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4 249 325</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z toho:</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daňové príjmy, z toho:</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3 614 110</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3 544 698</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3 782 283</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4 102 827</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noWrap/>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xml:space="preserve">                      ekonomicky aktívne obyvateľstvo   </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2 407 142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2 238 942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2 399 967</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2 618 622</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noWrap/>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xml:space="preserve">                      platba štátu   </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1 161 006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1 282 678</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1 358 944</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1 459 119</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noWrap/>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xml:space="preserve">                      ročné zúčtovanie poistného </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38 486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17 410</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18 690</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20 393</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xml:space="preserve">                      sankcie súvisiace s poistným</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7 476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5 668</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4 682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4 693</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nedaňové príjmy</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15 085</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15 031</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14 954</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14 925</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transfery v rámci VS</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199</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199</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199</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199</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zostatok prostriedkov z predch</w:t>
            </w:r>
            <w:r>
              <w:rPr>
                <w:rFonts w:ascii="Arial Narrow" w:hAnsi="Arial Narrow" w:cs="Arial Narrow"/>
                <w:sz w:val="20"/>
                <w:szCs w:val="24"/>
              </w:rPr>
              <w:t>ádzajúcich</w:t>
            </w:r>
            <w:r w:rsidRPr="00AA7E66">
              <w:rPr>
                <w:rFonts w:ascii="Arial Narrow" w:hAnsi="Arial Narrow" w:cs="Arial Narrow"/>
                <w:sz w:val="20"/>
                <w:szCs w:val="24"/>
              </w:rPr>
              <w:t xml:space="preserve"> rokov</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295 426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155 663</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139 822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131 374</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 </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b/>
                <w:i/>
                <w:sz w:val="20"/>
                <w:szCs w:val="24"/>
              </w:rPr>
            </w:pPr>
            <w:r w:rsidRPr="00AA7E66">
              <w:rPr>
                <w:rFonts w:ascii="Arial Narrow" w:hAnsi="Arial Narrow" w:cs="Arial Narrow"/>
                <w:b/>
                <w:i/>
                <w:sz w:val="20"/>
                <w:szCs w:val="24"/>
              </w:rPr>
              <w:t>Výdavky verejného zdravotného poistenia spolu:</w:t>
            </w:r>
          </w:p>
        </w:tc>
        <w:tc>
          <w:tcPr>
            <w:tcW w:w="992"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3 627 534</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3 575 769</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3 805 884</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4 128 738</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z toho:</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výdavky poistenia</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3 476 297</w:t>
            </w:r>
          </w:p>
        </w:tc>
        <w:tc>
          <w:tcPr>
            <w:tcW w:w="1134" w:type="dxa"/>
            <w:tcBorders>
              <w:top w:val="nil"/>
              <w:left w:val="nil"/>
              <w:bottom w:val="single" w:sz="4" w:space="0" w:color="auto"/>
              <w:right w:val="single" w:sz="4" w:space="0" w:color="auto"/>
            </w:tcBorders>
            <w:noWrap/>
            <w:textDirection w:val="lrTb"/>
            <w:vAlign w:val="bottom"/>
          </w:tcPr>
          <w:p w:rsidR="002E7391" w:rsidP="00752703">
            <w:pPr>
              <w:jc w:val="right"/>
              <w:rPr>
                <w:rFonts w:ascii="Arial Narrow" w:hAnsi="Arial Narrow" w:cs="Arial Narrow"/>
                <w:sz w:val="20"/>
                <w:szCs w:val="24"/>
              </w:rPr>
            </w:pPr>
            <w:r>
              <w:rPr>
                <w:rFonts w:ascii="Arial Narrow" w:hAnsi="Arial Narrow" w:cs="Arial Narrow"/>
                <w:sz w:val="20"/>
                <w:szCs w:val="24"/>
              </w:rPr>
              <w:t>3 423 681</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3 643 904</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3 953 571</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sz w:val="20"/>
                <w:szCs w:val="24"/>
              </w:rPr>
            </w:pPr>
            <w:r w:rsidRPr="00AA7E66">
              <w:rPr>
                <w:rFonts w:ascii="Arial Narrow" w:hAnsi="Arial Narrow" w:cs="Arial Narrow"/>
                <w:sz w:val="20"/>
                <w:szCs w:val="24"/>
              </w:rPr>
              <w:t xml:space="preserve">▪         výdavky na </w:t>
            </w:r>
            <w:r>
              <w:rPr>
                <w:rFonts w:ascii="Arial Narrow" w:hAnsi="Arial Narrow" w:cs="Arial Narrow"/>
                <w:sz w:val="20"/>
                <w:szCs w:val="24"/>
              </w:rPr>
              <w:t>správne činnosti</w:t>
            </w:r>
            <w:r w:rsidRPr="00AA7E66">
              <w:rPr>
                <w:rFonts w:ascii="Arial Narrow" w:hAnsi="Arial Narrow" w:cs="Arial Narrow"/>
                <w:sz w:val="20"/>
                <w:szCs w:val="24"/>
              </w:rPr>
              <w:t xml:space="preserve"> štát</w:t>
            </w:r>
            <w:r>
              <w:rPr>
                <w:rFonts w:ascii="Arial Narrow" w:hAnsi="Arial Narrow" w:cs="Arial Narrow"/>
                <w:sz w:val="20"/>
                <w:szCs w:val="24"/>
              </w:rPr>
              <w:t xml:space="preserve">nej zdravotnej </w:t>
            </w:r>
            <w:r w:rsidRPr="00AA7E66">
              <w:rPr>
                <w:rFonts w:ascii="Arial Narrow" w:hAnsi="Arial Narrow" w:cs="Arial Narrow"/>
                <w:sz w:val="20"/>
                <w:szCs w:val="24"/>
              </w:rPr>
              <w:t xml:space="preserve">poisťovne </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123 884</w:t>
            </w:r>
          </w:p>
        </w:tc>
        <w:tc>
          <w:tcPr>
            <w:tcW w:w="1134" w:type="dxa"/>
            <w:tcBorders>
              <w:top w:val="nil"/>
              <w:left w:val="nil"/>
              <w:bottom w:val="single" w:sz="4" w:space="0" w:color="auto"/>
              <w:right w:val="single" w:sz="4" w:space="0" w:color="auto"/>
            </w:tcBorders>
            <w:noWrap/>
            <w:textDirection w:val="lrTb"/>
            <w:vAlign w:val="bottom"/>
          </w:tcPr>
          <w:p w:rsidR="002E7391" w:rsidP="00752703">
            <w:pPr>
              <w:jc w:val="right"/>
              <w:rPr>
                <w:rFonts w:ascii="Arial Narrow" w:hAnsi="Arial Narrow" w:cs="Arial Narrow"/>
                <w:sz w:val="20"/>
                <w:szCs w:val="24"/>
              </w:rPr>
            </w:pPr>
            <w:r>
              <w:rPr>
                <w:rFonts w:ascii="Arial Narrow" w:hAnsi="Arial Narrow" w:cs="Arial Narrow"/>
                <w:sz w:val="20"/>
                <w:szCs w:val="24"/>
              </w:rPr>
              <w:t>81 992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Pr>
                <w:rFonts w:ascii="Arial Narrow" w:hAnsi="Arial Narrow" w:cs="Arial Narrow"/>
                <w:sz w:val="20"/>
                <w:szCs w:val="24"/>
              </w:rPr>
              <w:t>87 482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Pr>
                <w:rFonts w:ascii="Arial Narrow" w:hAnsi="Arial Narrow" w:cs="Arial Narrow"/>
                <w:sz w:val="20"/>
                <w:szCs w:val="24"/>
              </w:rPr>
              <w:t>94 907</w:t>
            </w:r>
          </w:p>
        </w:tc>
      </w:tr>
      <w:tr>
        <w:tblPrEx>
          <w:tblW w:w="9369" w:type="dxa"/>
          <w:tblInd w:w="57" w:type="dxa"/>
          <w:tblCellMar>
            <w:left w:w="70" w:type="dxa"/>
            <w:right w:w="70" w:type="dxa"/>
          </w:tblCellMar>
          <w:tblLook w:val="00A0"/>
        </w:tblPrEx>
        <w:trPr>
          <w:trHeight w:val="278"/>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sz w:val="20"/>
                <w:szCs w:val="24"/>
              </w:rPr>
            </w:pPr>
            <w:r w:rsidRPr="00AA7E66">
              <w:rPr>
                <w:rFonts w:ascii="Arial Narrow" w:hAnsi="Arial Narrow" w:cs="Arial Narrow"/>
                <w:sz w:val="20"/>
                <w:szCs w:val="24"/>
              </w:rPr>
              <w:t xml:space="preserve">▪         </w:t>
            </w:r>
            <w:r>
              <w:rPr>
                <w:rFonts w:ascii="Arial Narrow" w:hAnsi="Arial Narrow" w:cs="Arial Narrow"/>
                <w:sz w:val="20"/>
                <w:szCs w:val="24"/>
              </w:rPr>
              <w:t xml:space="preserve">platba za správu </w:t>
            </w:r>
            <w:r w:rsidRPr="00AA7E66">
              <w:rPr>
                <w:rFonts w:ascii="Arial Narrow" w:hAnsi="Arial Narrow" w:cs="Arial Narrow"/>
                <w:sz w:val="20"/>
                <w:szCs w:val="24"/>
              </w:rPr>
              <w:t>verejného zdravotného poistenia</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p>
        </w:tc>
        <w:tc>
          <w:tcPr>
            <w:tcW w:w="1134" w:type="dxa"/>
            <w:tcBorders>
              <w:top w:val="nil"/>
              <w:left w:val="nil"/>
              <w:bottom w:val="single" w:sz="4" w:space="0" w:color="auto"/>
              <w:right w:val="single" w:sz="4" w:space="0" w:color="auto"/>
            </w:tcBorders>
            <w:noWrap/>
            <w:textDirection w:val="lrTb"/>
            <w:vAlign w:val="bottom"/>
          </w:tcPr>
          <w:p w:rsidR="002E7391" w:rsidP="00752703">
            <w:pPr>
              <w:jc w:val="right"/>
              <w:rPr>
                <w:rFonts w:ascii="Arial Narrow" w:hAnsi="Arial Narrow" w:cs="Arial Narrow"/>
                <w:sz w:val="20"/>
                <w:szCs w:val="24"/>
              </w:rPr>
            </w:pPr>
            <w:r>
              <w:rPr>
                <w:rFonts w:ascii="Arial Narrow" w:hAnsi="Arial Narrow" w:cs="Arial Narrow"/>
                <w:sz w:val="20"/>
                <w:szCs w:val="24"/>
              </w:rPr>
              <w:t>42 072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Pr>
                <w:rFonts w:ascii="Arial Narrow" w:hAnsi="Arial Narrow" w:cs="Arial Narrow"/>
                <w:sz w:val="20"/>
                <w:szCs w:val="24"/>
              </w:rPr>
              <w:t xml:space="preserve">44 898 </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Pr>
                <w:rFonts w:ascii="Arial Narrow" w:hAnsi="Arial Narrow" w:cs="Arial Narrow"/>
                <w:sz w:val="20"/>
                <w:szCs w:val="24"/>
              </w:rPr>
              <w:t>48 692</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ostatné výdavky</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1 135</w:t>
            </w:r>
          </w:p>
        </w:tc>
        <w:tc>
          <w:tcPr>
            <w:tcW w:w="1134" w:type="dxa"/>
            <w:tcBorders>
              <w:top w:val="nil"/>
              <w:left w:val="nil"/>
              <w:bottom w:val="single" w:sz="4" w:space="0" w:color="auto"/>
              <w:right w:val="single" w:sz="4" w:space="0" w:color="auto"/>
            </w:tcBorders>
            <w:noWrap/>
            <w:textDirection w:val="lrTb"/>
            <w:vAlign w:val="bottom"/>
          </w:tcPr>
          <w:p w:rsidR="002E7391" w:rsidP="00752703">
            <w:pPr>
              <w:jc w:val="right"/>
              <w:rPr>
                <w:rFonts w:ascii="Arial Narrow" w:hAnsi="Arial Narrow" w:cs="Arial Narrow"/>
                <w:sz w:val="20"/>
                <w:szCs w:val="24"/>
              </w:rPr>
            </w:pPr>
            <w:r>
              <w:rPr>
                <w:rFonts w:ascii="Arial Narrow" w:hAnsi="Arial Narrow" w:cs="Arial Narrow"/>
                <w:sz w:val="20"/>
                <w:szCs w:val="24"/>
              </w:rPr>
              <w:t>1 228</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1 287</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1 347</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bežné transfery</w:t>
            </w:r>
          </w:p>
        </w:tc>
        <w:tc>
          <w:tcPr>
            <w:tcW w:w="992"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26 218</w:t>
            </w:r>
          </w:p>
        </w:tc>
        <w:tc>
          <w:tcPr>
            <w:tcW w:w="1134" w:type="dxa"/>
            <w:tcBorders>
              <w:top w:val="nil"/>
              <w:left w:val="nil"/>
              <w:bottom w:val="single" w:sz="4" w:space="0" w:color="auto"/>
              <w:right w:val="single" w:sz="4" w:space="0" w:color="auto"/>
            </w:tcBorders>
            <w:textDirection w:val="lrTb"/>
            <w:vAlign w:val="bottom"/>
          </w:tcPr>
          <w:p w:rsidR="002E7391" w:rsidP="00752703">
            <w:pPr>
              <w:jc w:val="right"/>
              <w:rPr>
                <w:rFonts w:ascii="Arial Narrow" w:hAnsi="Arial Narrow" w:cs="Arial Narrow"/>
                <w:sz w:val="20"/>
                <w:szCs w:val="24"/>
              </w:rPr>
            </w:pPr>
            <w:r>
              <w:rPr>
                <w:rFonts w:ascii="Arial Narrow" w:hAnsi="Arial Narrow" w:cs="Arial Narrow"/>
                <w:sz w:val="20"/>
                <w:szCs w:val="24"/>
              </w:rPr>
              <w:t>26 796</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28 313</w:t>
            </w:r>
          </w:p>
        </w:tc>
        <w:tc>
          <w:tcPr>
            <w:tcW w:w="1134" w:type="dxa"/>
            <w:tcBorders>
              <w:top w:val="nil"/>
              <w:left w:val="nil"/>
              <w:bottom w:val="single" w:sz="4" w:space="0" w:color="auto"/>
              <w:right w:val="single" w:sz="4" w:space="0" w:color="auto"/>
            </w:tcBorders>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30 221</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sz w:val="20"/>
                <w:szCs w:val="24"/>
              </w:rPr>
            </w:pPr>
            <w:r w:rsidRPr="00AA7E66">
              <w:rPr>
                <w:rFonts w:ascii="Arial Narrow" w:hAnsi="Arial Narrow" w:cs="Arial Narrow"/>
                <w:sz w:val="20"/>
                <w:szCs w:val="24"/>
              </w:rPr>
              <w:t> </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shd w:val="clear" w:color="000000" w:fill="C0C0C0"/>
            <w:textDirection w:val="lrTb"/>
            <w:vAlign w:val="bottom"/>
          </w:tcPr>
          <w:p w:rsidR="002E7391" w:rsidRPr="00AA7E66" w:rsidP="00752703">
            <w:pPr>
              <w:jc w:val="both"/>
              <w:rPr>
                <w:rFonts w:ascii="Arial Narrow" w:hAnsi="Arial Narrow" w:cs="Arial Narrow"/>
                <w:b/>
                <w:i/>
                <w:sz w:val="20"/>
                <w:szCs w:val="24"/>
              </w:rPr>
            </w:pPr>
            <w:r w:rsidRPr="00AA7E66">
              <w:rPr>
                <w:rFonts w:ascii="Arial Narrow" w:hAnsi="Arial Narrow" w:cs="Arial Narrow"/>
                <w:b/>
                <w:i/>
                <w:sz w:val="20"/>
                <w:szCs w:val="24"/>
              </w:rPr>
              <w:t>Celkový prebytok verejného zdravotného poistenia</w:t>
            </w:r>
          </w:p>
        </w:tc>
        <w:tc>
          <w:tcPr>
            <w:tcW w:w="992"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297 286</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139 822</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131 374</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120 587</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noWrap/>
            <w:textDirection w:val="lrTb"/>
            <w:vAlign w:val="bottom"/>
          </w:tcPr>
          <w:p w:rsidR="002E7391" w:rsidRPr="00AA7E66" w:rsidP="00752703">
            <w:pPr>
              <w:jc w:val="both"/>
              <w:rPr>
                <w:rFonts w:ascii="Arial Narrow" w:hAnsi="Arial Narrow" w:cs="Arial Narrow"/>
                <w:b/>
                <w:i/>
                <w:sz w:val="20"/>
                <w:szCs w:val="24"/>
              </w:rPr>
            </w:pPr>
            <w:r w:rsidRPr="00AA7E66">
              <w:rPr>
                <w:rFonts w:ascii="Arial Narrow" w:hAnsi="Arial Narrow" w:cs="Arial Narrow"/>
                <w:b/>
                <w:i/>
                <w:sz w:val="20"/>
                <w:szCs w:val="24"/>
              </w:rPr>
              <w:t>vylúčenie finančných operácií</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-295 426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-155 663</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-139 822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-131 374</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 </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noWrap/>
            <w:textDirection w:val="lrTb"/>
            <w:vAlign w:val="bottom"/>
          </w:tcPr>
          <w:p w:rsidR="002E7391" w:rsidRPr="00AA7E66" w:rsidP="00752703">
            <w:pPr>
              <w:jc w:val="both"/>
              <w:rPr>
                <w:rFonts w:ascii="Arial Narrow" w:hAnsi="Arial Narrow" w:cs="Arial Narrow"/>
                <w:sz w:val="20"/>
                <w:szCs w:val="24"/>
              </w:rPr>
            </w:pPr>
            <w:r w:rsidRPr="00AA7E66">
              <w:rPr>
                <w:rFonts w:ascii="Arial Narrow" w:hAnsi="Arial Narrow" w:cs="Arial Narrow"/>
                <w:sz w:val="20"/>
                <w:szCs w:val="24"/>
              </w:rPr>
              <w:t>▪         vylúčenie príjmových finančných operácií</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-295 426</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-155 663</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-139 822</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sz w:val="20"/>
                <w:szCs w:val="24"/>
              </w:rPr>
            </w:pPr>
            <w:r w:rsidRPr="00AA7E66">
              <w:rPr>
                <w:rFonts w:ascii="Arial Narrow" w:hAnsi="Arial Narrow" w:cs="Arial Narrow"/>
                <w:sz w:val="20"/>
                <w:szCs w:val="24"/>
              </w:rPr>
              <w:t>-131 374</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 </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textDirection w:val="lrTb"/>
            <w:vAlign w:val="bottom"/>
          </w:tcPr>
          <w:p w:rsidR="002E7391" w:rsidRPr="00AA7E66" w:rsidP="00752703">
            <w:pPr>
              <w:jc w:val="both"/>
              <w:rPr>
                <w:rFonts w:ascii="Arial Narrow" w:hAnsi="Arial Narrow" w:cs="Arial Narrow"/>
                <w:b/>
                <w:i/>
                <w:sz w:val="20"/>
                <w:szCs w:val="24"/>
              </w:rPr>
            </w:pPr>
            <w:r w:rsidRPr="00AA7E66">
              <w:rPr>
                <w:rFonts w:ascii="Arial Narrow" w:hAnsi="Arial Narrow" w:cs="Arial Narrow"/>
                <w:b/>
                <w:i/>
                <w:sz w:val="20"/>
                <w:szCs w:val="24"/>
              </w:rPr>
              <w:t>zahrnutie časového rozlíšenia</w:t>
            </w:r>
          </w:p>
        </w:tc>
        <w:tc>
          <w:tcPr>
            <w:tcW w:w="992"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18 987</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13 857</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18 437</w:t>
            </w:r>
          </w:p>
        </w:tc>
        <w:tc>
          <w:tcPr>
            <w:tcW w:w="1134" w:type="dxa"/>
            <w:tcBorders>
              <w:top w:val="nil"/>
              <w:left w:val="nil"/>
              <w:bottom w:val="single" w:sz="4" w:space="0" w:color="auto"/>
              <w:right w:val="single" w:sz="4" w:space="0" w:color="auto"/>
            </w:tcBorders>
            <w:noWrap/>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20 117</w:t>
            </w:r>
          </w:p>
        </w:tc>
      </w:tr>
      <w:tr>
        <w:tblPrEx>
          <w:tblW w:w="9369" w:type="dxa"/>
          <w:tblInd w:w="57" w:type="dxa"/>
          <w:tblCellMar>
            <w:left w:w="70" w:type="dxa"/>
            <w:right w:w="70" w:type="dxa"/>
          </w:tblCellMar>
          <w:tblLook w:val="00A0"/>
        </w:tblPrEx>
        <w:trPr>
          <w:trHeight w:val="255"/>
        </w:trPr>
        <w:tc>
          <w:tcPr>
            <w:tcW w:w="9369" w:type="dxa"/>
            <w:gridSpan w:val="5"/>
            <w:tcBorders>
              <w:top w:val="single" w:sz="4" w:space="0" w:color="auto"/>
              <w:left w:val="single" w:sz="4" w:space="0" w:color="auto"/>
              <w:bottom w:val="single" w:sz="4" w:space="0" w:color="auto"/>
              <w:right w:val="single" w:sz="4" w:space="0" w:color="auto"/>
            </w:tcBorders>
            <w:textDirection w:val="lrTb"/>
            <w:vAlign w:val="bottom"/>
          </w:tcPr>
          <w:p w:rsidR="002E7391" w:rsidRPr="00AA7E66" w:rsidP="00752703">
            <w:pPr>
              <w:rPr>
                <w:rFonts w:ascii="Arial Narrow" w:hAnsi="Arial Narrow" w:cs="Arial Narrow"/>
                <w:b/>
                <w:i/>
                <w:sz w:val="20"/>
                <w:szCs w:val="24"/>
              </w:rPr>
            </w:pPr>
            <w:r w:rsidRPr="00AA7E66">
              <w:rPr>
                <w:rFonts w:ascii="Arial Narrow" w:hAnsi="Arial Narrow" w:cs="Arial Narrow"/>
                <w:b/>
                <w:i/>
                <w:sz w:val="20"/>
                <w:szCs w:val="24"/>
              </w:rPr>
              <w:t> </w:t>
            </w:r>
          </w:p>
        </w:tc>
      </w:tr>
      <w:tr>
        <w:tblPrEx>
          <w:tblW w:w="9369" w:type="dxa"/>
          <w:tblInd w:w="57" w:type="dxa"/>
          <w:tblCellMar>
            <w:left w:w="70" w:type="dxa"/>
            <w:right w:w="70" w:type="dxa"/>
          </w:tblCellMar>
          <w:tblLook w:val="00A0"/>
        </w:tblPrEx>
        <w:trPr>
          <w:trHeight w:val="255"/>
        </w:trPr>
        <w:tc>
          <w:tcPr>
            <w:tcW w:w="4975" w:type="dxa"/>
            <w:tcBorders>
              <w:top w:val="nil"/>
              <w:left w:val="single" w:sz="4" w:space="0" w:color="auto"/>
              <w:bottom w:val="single" w:sz="4" w:space="0" w:color="auto"/>
              <w:right w:val="single" w:sz="4" w:space="0" w:color="auto"/>
            </w:tcBorders>
            <w:shd w:val="clear" w:color="000000" w:fill="C0C0C0"/>
            <w:textDirection w:val="lrTb"/>
            <w:vAlign w:val="bottom"/>
          </w:tcPr>
          <w:p w:rsidR="002E7391" w:rsidRPr="00AA7E66" w:rsidP="00752703">
            <w:pPr>
              <w:jc w:val="both"/>
              <w:rPr>
                <w:rFonts w:ascii="Arial Narrow" w:hAnsi="Arial Narrow" w:cs="Arial Narrow"/>
                <w:b/>
                <w:i/>
                <w:sz w:val="20"/>
                <w:szCs w:val="24"/>
              </w:rPr>
            </w:pPr>
            <w:r>
              <w:rPr>
                <w:rFonts w:ascii="Arial Narrow" w:hAnsi="Arial Narrow" w:cs="Arial Narrow"/>
                <w:b/>
                <w:i/>
                <w:sz w:val="20"/>
                <w:szCs w:val="24"/>
              </w:rPr>
              <w:t>Prebytok</w:t>
            </w:r>
            <w:r w:rsidR="00BD64E3">
              <w:rPr>
                <w:rFonts w:ascii="Arial Narrow" w:hAnsi="Arial Narrow" w:cs="Arial Narrow"/>
                <w:b/>
                <w:i/>
                <w:sz w:val="20"/>
                <w:szCs w:val="24"/>
              </w:rPr>
              <w:t xml:space="preserve"> </w:t>
            </w:r>
            <w:r w:rsidR="00191A1C">
              <w:rPr>
                <w:rFonts w:ascii="Arial Narrow" w:hAnsi="Arial Narrow" w:cs="Arial Narrow"/>
                <w:b/>
                <w:i/>
                <w:sz w:val="20"/>
                <w:szCs w:val="24"/>
              </w:rPr>
              <w:t xml:space="preserve"> </w:t>
            </w:r>
            <w:r>
              <w:rPr>
                <w:rFonts w:ascii="Arial Narrow" w:hAnsi="Arial Narrow" w:cs="Arial Narrow"/>
                <w:b/>
                <w:i/>
                <w:sz w:val="20"/>
                <w:szCs w:val="24"/>
              </w:rPr>
              <w:t>/</w:t>
            </w:r>
            <w:r w:rsidR="00191A1C">
              <w:rPr>
                <w:rFonts w:ascii="Arial Narrow" w:hAnsi="Arial Narrow" w:cs="Arial Narrow"/>
                <w:b/>
                <w:i/>
                <w:sz w:val="20"/>
                <w:szCs w:val="24"/>
              </w:rPr>
              <w:t xml:space="preserve"> </w:t>
            </w:r>
            <w:r>
              <w:rPr>
                <w:rFonts w:ascii="Arial Narrow" w:hAnsi="Arial Narrow" w:cs="Arial Narrow"/>
                <w:b/>
                <w:i/>
                <w:sz w:val="20"/>
                <w:szCs w:val="24"/>
              </w:rPr>
              <w:t xml:space="preserve">schodok </w:t>
            </w:r>
            <w:r w:rsidRPr="00AA7E66">
              <w:rPr>
                <w:rFonts w:ascii="Arial Narrow" w:hAnsi="Arial Narrow" w:cs="Arial Narrow"/>
                <w:b/>
                <w:i/>
                <w:sz w:val="20"/>
                <w:szCs w:val="24"/>
              </w:rPr>
              <w:t>verej</w:t>
            </w:r>
            <w:r w:rsidR="00191A1C">
              <w:rPr>
                <w:rFonts w:ascii="Arial Narrow" w:hAnsi="Arial Narrow" w:cs="Arial Narrow"/>
                <w:b/>
                <w:i/>
                <w:sz w:val="20"/>
                <w:szCs w:val="24"/>
              </w:rPr>
              <w:t xml:space="preserve">. </w:t>
            </w:r>
            <w:r w:rsidRPr="00AA7E66">
              <w:rPr>
                <w:rFonts w:ascii="Arial Narrow" w:hAnsi="Arial Narrow" w:cs="Arial Narrow"/>
                <w:b/>
                <w:i/>
                <w:sz w:val="20"/>
                <w:szCs w:val="24"/>
              </w:rPr>
              <w:t xml:space="preserve"> zdravotného poistenia</w:t>
            </w:r>
            <w:r>
              <w:rPr>
                <w:rFonts w:ascii="Arial Narrow" w:hAnsi="Arial Narrow" w:cs="Arial Narrow"/>
                <w:b/>
                <w:i/>
                <w:sz w:val="20"/>
                <w:szCs w:val="24"/>
              </w:rPr>
              <w:t xml:space="preserve"> (ESA </w:t>
            </w:r>
            <w:r w:rsidRPr="00AA7E66">
              <w:rPr>
                <w:rFonts w:ascii="Arial Narrow" w:hAnsi="Arial Narrow" w:cs="Arial Narrow"/>
                <w:b/>
                <w:i/>
                <w:sz w:val="20"/>
                <w:szCs w:val="24"/>
              </w:rPr>
              <w:t>95)</w:t>
            </w:r>
          </w:p>
        </w:tc>
        <w:tc>
          <w:tcPr>
            <w:tcW w:w="992"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20 847</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-1 984</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9 989</w:t>
            </w:r>
          </w:p>
        </w:tc>
        <w:tc>
          <w:tcPr>
            <w:tcW w:w="1134" w:type="dxa"/>
            <w:tcBorders>
              <w:top w:val="nil"/>
              <w:left w:val="nil"/>
              <w:bottom w:val="single" w:sz="4" w:space="0" w:color="auto"/>
              <w:right w:val="single" w:sz="4" w:space="0" w:color="auto"/>
            </w:tcBorders>
            <w:shd w:val="clear" w:color="000000" w:fill="C0C0C0"/>
            <w:textDirection w:val="lrTb"/>
            <w:vAlign w:val="bottom"/>
          </w:tcPr>
          <w:p w:rsidR="002E7391" w:rsidRPr="00AA7E66" w:rsidP="00752703">
            <w:pPr>
              <w:jc w:val="right"/>
              <w:rPr>
                <w:rFonts w:ascii="Arial Narrow" w:hAnsi="Arial Narrow" w:cs="Arial Narrow"/>
                <w:b/>
                <w:i/>
                <w:sz w:val="20"/>
                <w:szCs w:val="24"/>
              </w:rPr>
            </w:pPr>
            <w:r w:rsidRPr="00AA7E66">
              <w:rPr>
                <w:rFonts w:ascii="Arial Narrow" w:hAnsi="Arial Narrow" w:cs="Arial Narrow"/>
                <w:b/>
                <w:i/>
                <w:sz w:val="20"/>
                <w:szCs w:val="24"/>
              </w:rPr>
              <w:t>9 330</w:t>
            </w:r>
          </w:p>
        </w:tc>
      </w:tr>
    </w:tbl>
    <w:p w:rsidR="000A4EF0" w:rsidP="0084667A">
      <w:pPr>
        <w:pStyle w:val="Heading1"/>
        <w:spacing w:before="0" w:after="0"/>
        <w:rPr>
          <w:rFonts w:ascii="Arial Narrow" w:hAnsi="Arial Narrow" w:cs="Arial Narrow"/>
          <w:sz w:val="24"/>
          <w:szCs w:val="24"/>
        </w:rPr>
      </w:pPr>
    </w:p>
    <w:p w:rsidR="0084667A" w:rsidRPr="004F4646" w:rsidP="0084667A">
      <w:pPr>
        <w:pStyle w:val="Heading1"/>
        <w:spacing w:before="0" w:after="0"/>
        <w:rPr>
          <w:rFonts w:ascii="Arial Narrow" w:hAnsi="Arial Narrow" w:cs="Arial Narrow"/>
          <w:sz w:val="24"/>
          <w:szCs w:val="24"/>
        </w:rPr>
      </w:pPr>
      <w:r w:rsidRPr="004F4646">
        <w:rPr>
          <w:rFonts w:ascii="Arial Narrow" w:hAnsi="Arial Narrow" w:cs="Arial Narrow"/>
          <w:sz w:val="24"/>
          <w:szCs w:val="24"/>
        </w:rPr>
        <w:t>4. Štátne fondy</w:t>
      </w:r>
    </w:p>
    <w:p w:rsidR="0084667A" w:rsidRPr="00EB6D9D" w:rsidP="0084667A">
      <w:pPr>
        <w:rPr>
          <w:rFonts w:ascii="Arial Narrow" w:hAnsi="Arial Narrow" w:cs="Arial Narrow"/>
          <w:b/>
          <w:sz w:val="28"/>
          <w:szCs w:val="24"/>
        </w:rPr>
      </w:pPr>
    </w:p>
    <w:p w:rsidR="0084667A" w:rsidRPr="00EB6D9D" w:rsidP="0084667A">
      <w:pPr>
        <w:jc w:val="both"/>
        <w:rPr>
          <w:rFonts w:ascii="Arial Narrow" w:hAnsi="Arial Narrow" w:cs="Arial Narrow"/>
          <w:sz w:val="22"/>
          <w:szCs w:val="24"/>
        </w:rPr>
      </w:pPr>
      <w:r w:rsidRPr="00EB6D9D">
        <w:rPr>
          <w:rFonts w:ascii="Arial Narrow" w:hAnsi="Arial Narrow" w:cs="Arial Narrow"/>
          <w:b/>
          <w:sz w:val="28"/>
          <w:szCs w:val="24"/>
        </w:rPr>
        <w:tab/>
      </w:r>
      <w:r w:rsidRPr="00EB6D9D">
        <w:rPr>
          <w:rFonts w:ascii="Arial Narrow" w:hAnsi="Arial Narrow" w:cs="Arial Narrow"/>
          <w:sz w:val="22"/>
          <w:szCs w:val="24"/>
        </w:rPr>
        <w:t>V Štátnom fonde rozvoja bývania</w:t>
      </w:r>
      <w:r>
        <w:rPr>
          <w:rFonts w:ascii="Arial Narrow" w:hAnsi="Arial Narrow" w:cs="Arial Narrow"/>
          <w:sz w:val="22"/>
          <w:szCs w:val="24"/>
        </w:rPr>
        <w:t xml:space="preserve"> </w:t>
      </w:r>
      <w:r w:rsidRPr="00EB6D9D">
        <w:rPr>
          <w:rFonts w:ascii="Arial Narrow" w:hAnsi="Arial Narrow" w:cs="Arial Narrow"/>
          <w:sz w:val="22"/>
          <w:szCs w:val="24"/>
        </w:rPr>
        <w:t xml:space="preserve">a v Environmentálnom fonde sa vo všetkých rozpočtových rokoch predpokladá prebytkové hospodárenie. </w:t>
      </w:r>
      <w:r>
        <w:rPr>
          <w:rFonts w:ascii="Arial Narrow" w:hAnsi="Arial Narrow" w:cs="Arial Narrow"/>
          <w:sz w:val="22"/>
          <w:szCs w:val="24"/>
        </w:rPr>
        <w:t xml:space="preserve">V Národnom jadrovom fonde sa v roku 2010 predpokladá prebytkové hospodárenie a v rokoch 2011 a 2012 sa predpokladá schodkové hospodárenie. </w:t>
      </w:r>
    </w:p>
    <w:p w:rsidR="0084667A" w:rsidRPr="004558BE" w:rsidP="0084667A">
      <w:pPr>
        <w:rPr>
          <w:rFonts w:ascii="Arial Narrow" w:hAnsi="Arial Narrow" w:cs="Arial Narrow"/>
          <w:b/>
          <w:szCs w:val="24"/>
        </w:rPr>
      </w:pPr>
    </w:p>
    <w:p w:rsidR="0084667A" w:rsidRPr="005E3AC2" w:rsidP="0084667A">
      <w:pPr>
        <w:rPr>
          <w:rFonts w:ascii="Arial Narrow" w:hAnsi="Arial Narrow" w:cs="Arial Narrow"/>
          <w:b/>
          <w:szCs w:val="24"/>
        </w:rPr>
      </w:pPr>
      <w:r w:rsidRPr="005E3AC2">
        <w:rPr>
          <w:rFonts w:ascii="Arial Narrow" w:hAnsi="Arial Narrow" w:cs="Arial Narrow"/>
          <w:b/>
          <w:szCs w:val="24"/>
        </w:rPr>
        <w:t>4.1. Štátny fond rozvoja bývania</w:t>
      </w:r>
    </w:p>
    <w:p w:rsidR="0084667A" w:rsidRPr="009756FA" w:rsidP="0084667A">
      <w:pPr>
        <w:rPr>
          <w:rFonts w:ascii="Arial Narrow" w:hAnsi="Arial Narrow" w:cs="Arial Narrow"/>
          <w:b/>
          <w:sz w:val="22"/>
          <w:szCs w:val="24"/>
        </w:rPr>
      </w:pPr>
    </w:p>
    <w:p w:rsidR="0084667A" w:rsidRPr="009756FA" w:rsidP="0084667A">
      <w:pPr>
        <w:jc w:val="both"/>
        <w:rPr>
          <w:rFonts w:ascii="Arial Narrow" w:hAnsi="Arial Narrow" w:cs="Arial Narrow"/>
          <w:sz w:val="22"/>
          <w:szCs w:val="24"/>
        </w:rPr>
      </w:pPr>
      <w:r w:rsidRPr="009756FA">
        <w:rPr>
          <w:rFonts w:ascii="Arial Narrow" w:hAnsi="Arial Narrow" w:cs="Arial Narrow"/>
          <w:b/>
          <w:sz w:val="22"/>
          <w:szCs w:val="24"/>
        </w:rPr>
        <w:tab/>
      </w:r>
      <w:r w:rsidRPr="009756FA">
        <w:rPr>
          <w:rFonts w:ascii="Arial Narrow" w:hAnsi="Arial Narrow" w:cs="Arial Narrow"/>
          <w:sz w:val="22"/>
          <w:szCs w:val="24"/>
        </w:rPr>
        <w:t xml:space="preserve">V roku 2010 zdroje Štátneho fondu rozvoja bývania (ďalej len „ŠFRB“) predstavujú celkovú výšku  144 mil. eur, pričom transfer zo štátneho rozpočtu je vo výške 54,9 mil. eur a vlastné zdroje fondu v sume 88,8 mil. eur, z ktorých 29,6 mil. eur je z úrokov z poskytnutých úverov, 57,9 mil. </w:t>
      </w:r>
      <w:r>
        <w:rPr>
          <w:rFonts w:ascii="Arial Narrow" w:hAnsi="Arial Narrow" w:cs="Arial Narrow"/>
          <w:sz w:val="22"/>
          <w:szCs w:val="24"/>
        </w:rPr>
        <w:t>eur</w:t>
      </w:r>
      <w:r w:rsidRPr="009756FA">
        <w:rPr>
          <w:rFonts w:ascii="Arial Narrow" w:hAnsi="Arial Narrow" w:cs="Arial Narrow"/>
          <w:sz w:val="22"/>
          <w:szCs w:val="24"/>
        </w:rPr>
        <w:t xml:space="preserve"> zo splátok istiny a 1,3 mil. eur ostatné vlastné príjmy.  </w:t>
        <w:tab/>
      </w:r>
    </w:p>
    <w:p w:rsidR="0084667A" w:rsidRPr="009756FA" w:rsidP="0084667A">
      <w:pPr>
        <w:jc w:val="both"/>
        <w:rPr>
          <w:rFonts w:ascii="Arial Narrow" w:hAnsi="Arial Narrow" w:cs="Arial Narrow"/>
          <w:sz w:val="22"/>
          <w:szCs w:val="24"/>
        </w:rPr>
      </w:pPr>
    </w:p>
    <w:p w:rsidR="0084667A" w:rsidRPr="006B0255" w:rsidP="0084667A">
      <w:pPr>
        <w:ind w:firstLine="708"/>
        <w:jc w:val="both"/>
        <w:rPr>
          <w:rFonts w:ascii="Arial Narrow" w:hAnsi="Arial Narrow" w:cs="Arial Narrow"/>
          <w:sz w:val="22"/>
          <w:szCs w:val="24"/>
        </w:rPr>
      </w:pPr>
      <w:r w:rsidRPr="006B0255">
        <w:rPr>
          <w:rFonts w:ascii="Arial Narrow" w:hAnsi="Arial Narrow" w:cs="Arial Narrow"/>
          <w:sz w:val="22"/>
          <w:szCs w:val="24"/>
        </w:rPr>
        <w:t>Z rozpočtovaných výdavkov roku 2010 v celkovej výške 143 mil. eur budú rozhodujúcu čiastku použitia zdrojov ŠFRB predstavovať výdavky na poskytovanie úverov na podporu rozvoja bývania, ktoré sú rozpočtované vo výške 139 mil. eur, pričom pre zabezpečenie nových bytových jednotiek fyzickými osobami je vyčlenených 26,0 mil. eur, na výstavbu nájomných bytov a zariadení sociálnych služieb realizovaných obcami a právnickými osobami 85,6 mil. eur</w:t>
      </w:r>
      <w:r>
        <w:rPr>
          <w:rFonts w:ascii="Arial Narrow" w:hAnsi="Arial Narrow" w:cs="Arial Narrow"/>
          <w:sz w:val="22"/>
          <w:szCs w:val="24"/>
        </w:rPr>
        <w:t>,</w:t>
      </w:r>
      <w:r w:rsidRPr="006B0255">
        <w:rPr>
          <w:rFonts w:ascii="Arial Narrow" w:hAnsi="Arial Narrow" w:cs="Arial Narrow"/>
          <w:sz w:val="22"/>
          <w:szCs w:val="24"/>
        </w:rPr>
        <w:t xml:space="preserve"> na obnovu bytového fondu 27,0 mil. eur. Na poskytovanie podpôr vo forme nenávratného príspevku pri obstarávaní bývania pre občanov s ťažkým zdravotným postihnutím sa v roku 2010 uvažuje so sumou 432 tis. eur. Ostatné výdavky ŠFRB v roku 2010 budú predstavovať výdavky súvisiace so zabezpečením bankových služieb a správy fondu.</w:t>
      </w:r>
    </w:p>
    <w:p w:rsidR="0084667A" w:rsidRPr="006B0255" w:rsidP="0084667A">
      <w:pPr>
        <w:jc w:val="both"/>
        <w:rPr>
          <w:rFonts w:ascii="Arial Narrow" w:hAnsi="Arial Narrow" w:cs="Arial Narrow"/>
          <w:sz w:val="22"/>
          <w:szCs w:val="24"/>
        </w:rPr>
      </w:pPr>
    </w:p>
    <w:p w:rsidR="0084667A" w:rsidRPr="006B0255" w:rsidP="0084667A">
      <w:pPr>
        <w:ind w:firstLine="708"/>
        <w:jc w:val="both"/>
        <w:rPr>
          <w:rFonts w:ascii="Arial Narrow" w:hAnsi="Arial Narrow" w:cs="Arial Narrow"/>
          <w:sz w:val="22"/>
          <w:szCs w:val="24"/>
        </w:rPr>
      </w:pPr>
      <w:r w:rsidRPr="006B0255">
        <w:rPr>
          <w:rFonts w:ascii="Arial Narrow" w:hAnsi="Arial Narrow" w:cs="Arial Narrow"/>
          <w:sz w:val="22"/>
          <w:szCs w:val="24"/>
        </w:rPr>
        <w:t xml:space="preserve">Výdavky ŠFRB na roky 2010 až 2012 sú rozpočtované na jednotlivé účely podpory podľa zákona NR SR č. 607/2003 Z. z. o Štátnom fonde rozvoja bývania v znení neskorších predpisov a vychádzajú zo zámerov vlády SR podporiť daný druh výstavby, alebo obnovy a budú mať väzbu na podporu realizovanú v rámci ostatných systémov financovania rozvoja bývania.  </w:t>
      </w:r>
    </w:p>
    <w:p w:rsidR="0084667A" w:rsidRPr="006B0255" w:rsidP="0084667A">
      <w:pPr>
        <w:jc w:val="both"/>
        <w:rPr>
          <w:rFonts w:ascii="Arial Narrow" w:hAnsi="Arial Narrow" w:cs="Arial Narrow"/>
          <w:sz w:val="22"/>
          <w:szCs w:val="24"/>
        </w:rPr>
      </w:pPr>
    </w:p>
    <w:p w:rsidR="0084667A" w:rsidRPr="006B0255" w:rsidP="0084667A">
      <w:pPr>
        <w:ind w:firstLine="708"/>
        <w:jc w:val="both"/>
        <w:rPr>
          <w:rFonts w:ascii="Arial Narrow" w:hAnsi="Arial Narrow" w:cs="Arial Narrow"/>
          <w:sz w:val="22"/>
          <w:szCs w:val="24"/>
        </w:rPr>
      </w:pPr>
      <w:r w:rsidRPr="006B0255">
        <w:rPr>
          <w:rFonts w:ascii="Arial Narrow" w:hAnsi="Arial Narrow" w:cs="Arial Narrow"/>
          <w:sz w:val="22"/>
          <w:szCs w:val="24"/>
        </w:rPr>
        <w:t>Vývoj príjmovej a výdavkovej časti rozpočtu ŠFRB na roky 2010 až 2012 je nasledovný.</w:t>
      </w:r>
    </w:p>
    <w:p w:rsidR="0084667A" w:rsidRPr="00195BA1" w:rsidP="0084667A">
      <w:pPr>
        <w:jc w:val="both"/>
        <w:rPr>
          <w:rFonts w:ascii="Arial Narrow" w:hAnsi="Arial Narrow" w:cs="Arial Narrow"/>
          <w:sz w:val="22"/>
          <w:szCs w:val="24"/>
        </w:rPr>
      </w:pPr>
    </w:p>
    <w:tbl>
      <w:tblPr>
        <w:tblStyle w:val="TableNormal"/>
        <w:tblW w:w="921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Pr>
      <w:tblGrid>
        <w:gridCol w:w="5040"/>
        <w:gridCol w:w="1044"/>
        <w:gridCol w:w="1045"/>
        <w:gridCol w:w="1045"/>
        <w:gridCol w:w="1045"/>
      </w:tblGrid>
      <w:tr>
        <w:tblPrEx>
          <w:tblW w:w="921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shd w:val="clear" w:color="auto" w:fill="000000"/>
            <w:textDirection w:val="lrTb"/>
            <w:vAlign w:val="bottom"/>
          </w:tcPr>
          <w:p w:rsidR="0084667A" w:rsidRPr="004102AB" w:rsidP="002B1759">
            <w:pPr>
              <w:rPr>
                <w:rFonts w:ascii="Arial Narrow" w:hAnsi="Arial Narrow" w:cs="Arial Narrow"/>
                <w:b/>
                <w:color w:val="FFFFFF"/>
                <w:sz w:val="20"/>
                <w:szCs w:val="24"/>
              </w:rPr>
            </w:pPr>
            <w:r w:rsidRPr="004102AB">
              <w:rPr>
                <w:rFonts w:ascii="Arial Narrow" w:hAnsi="Arial Narrow" w:cs="Arial Narrow"/>
                <w:b/>
                <w:color w:val="FFFFFF"/>
                <w:sz w:val="20"/>
                <w:szCs w:val="24"/>
              </w:rPr>
              <w:t>(v tis. eur)</w:t>
            </w:r>
          </w:p>
        </w:tc>
        <w:tc>
          <w:tcPr>
            <w:tcW w:w="1044" w:type="dxa"/>
            <w:tcBorders>
              <w:top w:val="single" w:sz="8" w:space="0" w:color="auto"/>
              <w:left w:val="single" w:sz="8" w:space="0" w:color="auto"/>
              <w:bottom w:val="single" w:sz="8" w:space="0" w:color="auto"/>
              <w:right w:val="single" w:sz="8" w:space="0" w:color="auto"/>
            </w:tcBorders>
            <w:shd w:val="clear" w:color="auto" w:fill="000000"/>
            <w:textDirection w:val="lrTb"/>
            <w:vAlign w:val="bottom"/>
          </w:tcPr>
          <w:p w:rsidR="0084667A" w:rsidRPr="004102AB" w:rsidP="002B1759">
            <w:pPr>
              <w:jc w:val="center"/>
              <w:rPr>
                <w:rFonts w:ascii="Arial Narrow" w:hAnsi="Arial Narrow" w:cs="Arial Narrow"/>
                <w:b/>
                <w:color w:val="FFFFFF"/>
                <w:sz w:val="20"/>
                <w:szCs w:val="24"/>
              </w:rPr>
            </w:pPr>
            <w:r w:rsidRPr="004102AB">
              <w:rPr>
                <w:rFonts w:ascii="Arial Narrow" w:hAnsi="Arial Narrow" w:cs="Arial Narrow"/>
                <w:b/>
                <w:color w:val="FFFFFF"/>
                <w:sz w:val="20"/>
                <w:szCs w:val="24"/>
              </w:rPr>
              <w:t>2009</w:t>
            </w:r>
          </w:p>
        </w:tc>
        <w:tc>
          <w:tcPr>
            <w:tcW w:w="1045"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bottom"/>
          </w:tcPr>
          <w:p w:rsidR="0084667A" w:rsidRPr="004102AB" w:rsidP="002B1759">
            <w:pPr>
              <w:jc w:val="center"/>
              <w:rPr>
                <w:rFonts w:ascii="Arial Narrow" w:hAnsi="Arial Narrow" w:cs="Arial Narrow"/>
                <w:b/>
                <w:color w:val="FFFFFF"/>
                <w:sz w:val="20"/>
                <w:szCs w:val="24"/>
              </w:rPr>
            </w:pPr>
            <w:r w:rsidRPr="004102AB">
              <w:rPr>
                <w:rFonts w:ascii="Arial Narrow" w:hAnsi="Arial Narrow" w:cs="Arial Narrow"/>
                <w:b/>
                <w:color w:val="FFFFFF"/>
                <w:sz w:val="20"/>
                <w:szCs w:val="24"/>
              </w:rPr>
              <w:t>2010</w:t>
            </w:r>
          </w:p>
        </w:tc>
        <w:tc>
          <w:tcPr>
            <w:tcW w:w="1045"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bottom"/>
          </w:tcPr>
          <w:p w:rsidR="0084667A" w:rsidRPr="004102AB" w:rsidP="002B1759">
            <w:pPr>
              <w:jc w:val="center"/>
              <w:rPr>
                <w:rFonts w:ascii="Arial Narrow" w:hAnsi="Arial Narrow" w:cs="Arial Narrow"/>
                <w:b/>
                <w:color w:val="FFFFFF"/>
                <w:sz w:val="20"/>
                <w:szCs w:val="24"/>
              </w:rPr>
            </w:pPr>
            <w:r w:rsidRPr="004102AB">
              <w:rPr>
                <w:rFonts w:ascii="Arial Narrow" w:hAnsi="Arial Narrow" w:cs="Arial Narrow"/>
                <w:b/>
                <w:color w:val="FFFFFF"/>
                <w:sz w:val="20"/>
                <w:szCs w:val="24"/>
              </w:rPr>
              <w:t>2011</w:t>
            </w:r>
          </w:p>
        </w:tc>
        <w:tc>
          <w:tcPr>
            <w:tcW w:w="1045"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bottom"/>
          </w:tcPr>
          <w:p w:rsidR="0084667A" w:rsidRPr="004102AB" w:rsidP="002B1759">
            <w:pPr>
              <w:jc w:val="center"/>
              <w:rPr>
                <w:rFonts w:ascii="Arial Narrow" w:hAnsi="Arial Narrow" w:cs="Arial Narrow"/>
                <w:b/>
                <w:color w:val="FFFFFF"/>
                <w:sz w:val="20"/>
                <w:szCs w:val="24"/>
              </w:rPr>
            </w:pPr>
            <w:r w:rsidRPr="004102AB">
              <w:rPr>
                <w:rFonts w:ascii="Arial Narrow" w:hAnsi="Arial Narrow" w:cs="Arial Narrow"/>
                <w:b/>
                <w:color w:val="FFFFFF"/>
                <w:sz w:val="20"/>
                <w:szCs w:val="24"/>
              </w:rPr>
              <w:t>2012</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F11D72" w:rsidP="002B1759">
            <w:pPr>
              <w:rPr>
                <w:rFonts w:ascii="Arial Narrow" w:hAnsi="Arial Narrow" w:cs="Arial Narrow"/>
                <w:b/>
                <w:i/>
                <w:sz w:val="20"/>
                <w:szCs w:val="24"/>
              </w:rPr>
            </w:pPr>
            <w:r w:rsidRPr="00F11D72">
              <w:rPr>
                <w:rFonts w:ascii="Arial Narrow" w:hAnsi="Arial Narrow" w:cs="Arial Narrow"/>
                <w:b/>
                <w:i/>
                <w:sz w:val="20"/>
                <w:szCs w:val="24"/>
              </w:rPr>
              <w:t>Príjmy ŠFRB spolu</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136 528</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143 658</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149 673</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155 359</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122BFE" w:rsidP="002B1759">
            <w:pPr>
              <w:rPr>
                <w:rFonts w:ascii="Arial Narrow" w:hAnsi="Arial Narrow" w:cs="Arial Narrow"/>
                <w:b/>
                <w:i/>
                <w:sz w:val="20"/>
                <w:szCs w:val="24"/>
              </w:rPr>
            </w:pPr>
            <w:r w:rsidRPr="004102AB">
              <w:rPr>
                <w:rFonts w:ascii="Arial Narrow" w:hAnsi="Arial Narrow" w:cs="Arial Narrow"/>
                <w:b/>
                <w:i/>
                <w:sz w:val="20"/>
                <w:szCs w:val="24"/>
              </w:rPr>
              <w:t>z toho</w:t>
            </w:r>
            <w:r w:rsidRPr="004102AB">
              <w:rPr>
                <w:rFonts w:ascii="Arial Narrow" w:hAnsi="Arial Narrow" w:cs="Arial Narrow"/>
                <w:sz w:val="20"/>
                <w:szCs w:val="24"/>
              </w:rPr>
              <w:t> </w:t>
            </w:r>
            <w:r>
              <w:rPr>
                <w:rFonts w:ascii="Arial Narrow" w:hAnsi="Arial Narrow" w:cs="Arial Narrow"/>
                <w:sz w:val="20"/>
                <w:szCs w:val="24"/>
              </w:rPr>
              <w:t>:</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8"/>
              </w:numPr>
              <w:rPr>
                <w:rFonts w:ascii="Arial Narrow" w:hAnsi="Arial Narrow" w:cs="Arial Narrow"/>
                <w:sz w:val="20"/>
                <w:szCs w:val="24"/>
              </w:rPr>
            </w:pPr>
            <w:r w:rsidRPr="004102AB">
              <w:rPr>
                <w:rFonts w:ascii="Arial Narrow" w:hAnsi="Arial Narrow" w:cs="Arial Narrow"/>
                <w:sz w:val="20"/>
                <w:szCs w:val="24"/>
              </w:rPr>
              <w:t>nedaňové príjmy</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27 611</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 xml:space="preserve">30 568 </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 xml:space="preserve">32 022 </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 xml:space="preserve">33 476 </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8"/>
              </w:numPr>
              <w:rPr>
                <w:rFonts w:ascii="Arial Narrow" w:hAnsi="Arial Narrow" w:cs="Arial Narrow"/>
                <w:sz w:val="20"/>
                <w:szCs w:val="24"/>
              </w:rPr>
            </w:pPr>
            <w:r w:rsidRPr="004102AB">
              <w:rPr>
                <w:rFonts w:ascii="Arial Narrow" w:hAnsi="Arial Narrow" w:cs="Arial Narrow"/>
                <w:sz w:val="20"/>
                <w:szCs w:val="24"/>
              </w:rPr>
              <w:t>transfery v rámci verejnej správy</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66 960</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54 904</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54 904</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54 904</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8"/>
              </w:numPr>
              <w:rPr>
                <w:rFonts w:ascii="Arial Narrow" w:hAnsi="Arial Narrow" w:cs="Arial Narrow"/>
                <w:sz w:val="20"/>
                <w:szCs w:val="24"/>
              </w:rPr>
            </w:pPr>
            <w:r>
              <w:rPr>
                <w:rFonts w:ascii="Arial Narrow" w:hAnsi="Arial Narrow" w:cs="Arial Narrow"/>
                <w:sz w:val="20"/>
                <w:szCs w:val="24"/>
              </w:rPr>
              <w:t>zo splácania úverov</w:t>
            </w:r>
            <w:r w:rsidRPr="004102AB">
              <w:rPr>
                <w:rFonts w:ascii="Arial Narrow" w:hAnsi="Arial Narrow" w:cs="Arial Narrow"/>
                <w:sz w:val="20"/>
                <w:szCs w:val="24"/>
              </w:rPr>
              <w:t xml:space="preserve"> a pôž</w:t>
            </w:r>
            <w:r>
              <w:rPr>
                <w:rFonts w:ascii="Arial Narrow" w:hAnsi="Arial Narrow" w:cs="Arial Narrow"/>
                <w:sz w:val="20"/>
                <w:szCs w:val="24"/>
              </w:rPr>
              <w:t>ičiek</w:t>
            </w:r>
            <w:r w:rsidRPr="004102AB">
              <w:rPr>
                <w:rFonts w:ascii="Arial Narrow" w:hAnsi="Arial Narrow" w:cs="Arial Narrow"/>
                <w:sz w:val="20"/>
                <w:szCs w:val="24"/>
              </w:rPr>
              <w:t xml:space="preserve"> (FO)</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41 625</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57 854</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62 415</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66 647</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8"/>
              </w:numPr>
              <w:rPr>
                <w:rFonts w:ascii="Arial Narrow" w:hAnsi="Arial Narrow" w:cs="Arial Narrow"/>
                <w:sz w:val="20"/>
                <w:szCs w:val="24"/>
              </w:rPr>
            </w:pPr>
            <w:r w:rsidRPr="004102AB">
              <w:rPr>
                <w:rFonts w:ascii="Arial Narrow" w:hAnsi="Arial Narrow" w:cs="Arial Narrow"/>
                <w:sz w:val="20"/>
                <w:szCs w:val="24"/>
              </w:rPr>
              <w:t>zostatok prostried</w:t>
            </w:r>
            <w:r>
              <w:rPr>
                <w:rFonts w:ascii="Arial Narrow" w:hAnsi="Arial Narrow" w:cs="Arial Narrow"/>
                <w:sz w:val="20"/>
                <w:szCs w:val="24"/>
              </w:rPr>
              <w:t>kov</w:t>
            </w:r>
            <w:r w:rsidRPr="004102AB">
              <w:rPr>
                <w:rFonts w:ascii="Arial Narrow" w:hAnsi="Arial Narrow" w:cs="Arial Narrow"/>
                <w:sz w:val="20"/>
                <w:szCs w:val="24"/>
              </w:rPr>
              <w:t xml:space="preserve"> z predch</w:t>
            </w:r>
            <w:r>
              <w:rPr>
                <w:rFonts w:ascii="Arial Narrow" w:hAnsi="Arial Narrow" w:cs="Arial Narrow"/>
                <w:sz w:val="20"/>
                <w:szCs w:val="24"/>
              </w:rPr>
              <w:t>ádzajúcich</w:t>
            </w:r>
            <w:r w:rsidRPr="004102AB">
              <w:rPr>
                <w:rFonts w:ascii="Arial Narrow" w:hAnsi="Arial Narrow" w:cs="Arial Narrow"/>
                <w:sz w:val="20"/>
                <w:szCs w:val="24"/>
              </w:rPr>
              <w:t xml:space="preserve"> rokov (FO)</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332</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332</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332</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332</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rPr>
                <w:rFonts w:ascii="Arial Narrow" w:hAnsi="Arial Narrow" w:cs="Arial Narrow"/>
                <w:sz w:val="20"/>
                <w:szCs w:val="24"/>
              </w:rPr>
            </w:pPr>
            <w:r w:rsidRPr="004102AB">
              <w:rPr>
                <w:rFonts w:ascii="Arial Narrow" w:hAnsi="Arial Narrow" w:cs="Arial Narrow"/>
                <w:sz w:val="20"/>
                <w:szCs w:val="24"/>
              </w:rPr>
              <w:t> </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rPr>
                <w:rFonts w:ascii="Arial Narrow" w:hAnsi="Arial Narrow" w:cs="Arial Narrow"/>
                <w:b/>
                <w:i/>
                <w:sz w:val="20"/>
                <w:szCs w:val="24"/>
              </w:rPr>
            </w:pPr>
            <w:r w:rsidRPr="004102AB">
              <w:rPr>
                <w:rFonts w:ascii="Arial Narrow" w:hAnsi="Arial Narrow" w:cs="Arial Narrow"/>
                <w:b/>
                <w:i/>
                <w:sz w:val="20"/>
                <w:szCs w:val="24"/>
              </w:rPr>
              <w:t>Výdavky ŠFRB spolu</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136 196</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Pr>
                <w:rFonts w:ascii="Arial Narrow" w:hAnsi="Arial Narrow" w:cs="Arial Narrow"/>
                <w:b/>
                <w:i/>
                <w:sz w:val="20"/>
                <w:szCs w:val="24"/>
              </w:rPr>
              <w:t>143 326</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Pr>
                <w:rFonts w:ascii="Arial Narrow" w:hAnsi="Arial Narrow" w:cs="Arial Narrow"/>
                <w:b/>
                <w:i/>
                <w:sz w:val="20"/>
                <w:szCs w:val="24"/>
              </w:rPr>
              <w:t>149 341</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155 02</w:t>
            </w:r>
            <w:r>
              <w:rPr>
                <w:rFonts w:ascii="Arial Narrow" w:hAnsi="Arial Narrow" w:cs="Arial Narrow"/>
                <w:b/>
                <w:i/>
                <w:sz w:val="20"/>
                <w:szCs w:val="24"/>
              </w:rPr>
              <w:t>7</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both"/>
              <w:rPr>
                <w:rFonts w:ascii="Arial Narrow" w:hAnsi="Arial Narrow" w:cs="Arial Narrow"/>
                <w:sz w:val="20"/>
                <w:szCs w:val="24"/>
              </w:rPr>
            </w:pPr>
            <w:r w:rsidRPr="004102AB">
              <w:rPr>
                <w:rFonts w:ascii="Arial Narrow" w:hAnsi="Arial Narrow" w:cs="Arial Narrow"/>
                <w:b/>
                <w:i/>
                <w:sz w:val="20"/>
                <w:szCs w:val="24"/>
              </w:rPr>
              <w:t>z toho</w:t>
            </w:r>
            <w:r>
              <w:rPr>
                <w:rFonts w:ascii="Arial Narrow" w:hAnsi="Arial Narrow" w:cs="Arial Narrow"/>
                <w:b/>
                <w:i/>
                <w:sz w:val="20"/>
                <w:szCs w:val="24"/>
              </w:rPr>
              <w:t>:</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10"/>
              </w:numPr>
              <w:rPr>
                <w:rFonts w:ascii="Arial Narrow" w:hAnsi="Arial Narrow" w:cs="Arial Narrow"/>
                <w:sz w:val="20"/>
                <w:szCs w:val="24"/>
              </w:rPr>
            </w:pPr>
            <w:r w:rsidRPr="004102AB">
              <w:rPr>
                <w:rFonts w:ascii="Arial Narrow" w:hAnsi="Arial Narrow" w:cs="Arial Narrow"/>
                <w:sz w:val="20"/>
                <w:szCs w:val="24"/>
              </w:rPr>
              <w:t xml:space="preserve">bežné výdavky </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3 256</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Pr>
                <w:rFonts w:ascii="Arial Narrow" w:hAnsi="Arial Narrow" w:cs="Arial Narrow"/>
                <w:sz w:val="20"/>
                <w:szCs w:val="24"/>
              </w:rPr>
              <w:t>3 810</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4 144</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4 492</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10"/>
              </w:numPr>
              <w:rPr>
                <w:rFonts w:ascii="Arial Narrow" w:hAnsi="Arial Narrow" w:cs="Arial Narrow"/>
                <w:sz w:val="20"/>
                <w:szCs w:val="24"/>
              </w:rPr>
            </w:pPr>
            <w:r w:rsidRPr="004102AB">
              <w:rPr>
                <w:rFonts w:ascii="Arial Narrow" w:hAnsi="Arial Narrow" w:cs="Arial Narrow"/>
                <w:sz w:val="20"/>
                <w:szCs w:val="24"/>
              </w:rPr>
              <w:t>kapitálové výdavky</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691</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926</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969</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936</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numPr>
                <w:numId w:val="10"/>
              </w:numPr>
              <w:rPr>
                <w:rFonts w:ascii="Arial Narrow" w:hAnsi="Arial Narrow" w:cs="Arial Narrow"/>
                <w:sz w:val="20"/>
                <w:szCs w:val="24"/>
              </w:rPr>
            </w:pPr>
            <w:r w:rsidRPr="004102AB">
              <w:rPr>
                <w:rFonts w:ascii="Arial Narrow" w:hAnsi="Arial Narrow" w:cs="Arial Narrow"/>
                <w:sz w:val="20"/>
                <w:szCs w:val="24"/>
              </w:rPr>
              <w:t>poskytnuté úvery a splácanie istín  (FO)</w:t>
            </w:r>
          </w:p>
        </w:tc>
        <w:tc>
          <w:tcPr>
            <w:tcW w:w="1044"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132 249</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138 590</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144 228</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149 599</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 </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shd w:val="clear" w:color="auto" w:fill="C0C0C0"/>
            <w:textDirection w:val="lrTb"/>
            <w:vAlign w:val="bottom"/>
          </w:tcPr>
          <w:p w:rsidR="0084667A" w:rsidRPr="004102AB" w:rsidP="002B1759">
            <w:pPr>
              <w:rPr>
                <w:rFonts w:ascii="Arial Narrow" w:hAnsi="Arial Narrow" w:cs="Arial Narrow"/>
                <w:b/>
                <w:i/>
                <w:sz w:val="20"/>
                <w:szCs w:val="24"/>
              </w:rPr>
            </w:pPr>
            <w:r w:rsidRPr="004102AB">
              <w:rPr>
                <w:rFonts w:ascii="Arial Narrow" w:hAnsi="Arial Narrow" w:cs="Arial Narrow"/>
                <w:b/>
                <w:i/>
                <w:sz w:val="20"/>
                <w:szCs w:val="24"/>
              </w:rPr>
              <w:t>Celkový prebytok ŠFRB</w:t>
            </w:r>
          </w:p>
        </w:tc>
        <w:tc>
          <w:tcPr>
            <w:tcW w:w="1044"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332</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332</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332</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332</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rPr>
                <w:rFonts w:ascii="Arial Narrow" w:hAnsi="Arial Narrow" w:cs="Arial Narrow"/>
                <w:b/>
                <w:i/>
                <w:sz w:val="20"/>
                <w:szCs w:val="24"/>
              </w:rPr>
            </w:pPr>
            <w:r w:rsidRPr="004102AB">
              <w:rPr>
                <w:rFonts w:ascii="Arial Narrow" w:hAnsi="Arial Narrow" w:cs="Arial Narrow"/>
                <w:b/>
                <w:i/>
                <w:sz w:val="20"/>
                <w:szCs w:val="24"/>
              </w:rPr>
              <w:t>- vylúčenie finančných operácií</w:t>
            </w:r>
          </w:p>
        </w:tc>
        <w:tc>
          <w:tcPr>
            <w:tcW w:w="1044"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90 292</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80 404</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81 481</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82 620</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both"/>
              <w:rPr>
                <w:rFonts w:ascii="Arial Narrow" w:hAnsi="Arial Narrow" w:cs="Arial Narrow"/>
                <w:sz w:val="20"/>
                <w:szCs w:val="24"/>
              </w:rPr>
            </w:pPr>
            <w:r w:rsidRPr="004102AB">
              <w:rPr>
                <w:rFonts w:ascii="Arial Narrow" w:hAnsi="Arial Narrow" w:cs="Arial Narrow"/>
                <w:b/>
                <w:i/>
                <w:sz w:val="20"/>
                <w:szCs w:val="24"/>
              </w:rPr>
              <w:t xml:space="preserve"> z toho:</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rPr>
                <w:rFonts w:ascii="Arial Narrow" w:hAnsi="Arial Narrow" w:cs="Arial Narrow"/>
                <w:i/>
                <w:sz w:val="20"/>
                <w:szCs w:val="24"/>
              </w:rPr>
            </w:pPr>
            <w:r w:rsidRPr="004102AB">
              <w:rPr>
                <w:rFonts w:ascii="Arial Narrow" w:hAnsi="Arial Narrow" w:cs="Arial Narrow"/>
                <w:i/>
                <w:sz w:val="20"/>
                <w:szCs w:val="24"/>
              </w:rPr>
              <w:t>vylúčenie príjmových FO</w:t>
            </w:r>
          </w:p>
        </w:tc>
        <w:tc>
          <w:tcPr>
            <w:tcW w:w="1044"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-41 957</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-58 186</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-62 747</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-66 979</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rPr>
                <w:rFonts w:ascii="Arial Narrow" w:hAnsi="Arial Narrow" w:cs="Arial Narrow"/>
                <w:i/>
                <w:sz w:val="20"/>
                <w:szCs w:val="24"/>
              </w:rPr>
            </w:pPr>
            <w:r w:rsidRPr="004102AB">
              <w:rPr>
                <w:rFonts w:ascii="Arial Narrow" w:hAnsi="Arial Narrow" w:cs="Arial Narrow"/>
                <w:i/>
                <w:sz w:val="20"/>
                <w:szCs w:val="24"/>
              </w:rPr>
              <w:t>vylúčenie výdavkových FO</w:t>
            </w:r>
          </w:p>
        </w:tc>
        <w:tc>
          <w:tcPr>
            <w:tcW w:w="1044"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132 249</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138 590</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144 228</w:t>
            </w:r>
          </w:p>
        </w:tc>
        <w:tc>
          <w:tcPr>
            <w:tcW w:w="1045" w:type="dxa"/>
            <w:tcBorders>
              <w:top w:val="single" w:sz="8" w:space="0" w:color="auto"/>
              <w:left w:val="single" w:sz="8" w:space="0" w:color="auto"/>
              <w:bottom w:val="single" w:sz="8" w:space="0" w:color="auto"/>
              <w:right w:val="single" w:sz="8" w:space="0" w:color="auto"/>
            </w:tcBorders>
            <w:noWrap/>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149 599</w:t>
            </w:r>
          </w:p>
        </w:tc>
      </w:tr>
      <w:tr>
        <w:tblPrEx>
          <w:tblW w:w="9219" w:type="dxa"/>
          <w:tblInd w:w="70" w:type="dxa"/>
          <w:tblLayout w:type="fixed"/>
          <w:tblCellMar>
            <w:left w:w="70" w:type="dxa"/>
            <w:right w:w="70" w:type="dxa"/>
          </w:tblCellMar>
        </w:tblPrEx>
        <w:trPr>
          <w:trHeight w:val="238"/>
        </w:trPr>
        <w:tc>
          <w:tcPr>
            <w:tcW w:w="9219" w:type="dxa"/>
            <w:gridSpan w:val="5"/>
            <w:tcBorders>
              <w:top w:val="single" w:sz="8" w:space="0" w:color="auto"/>
              <w:left w:val="single" w:sz="8" w:space="0" w:color="auto"/>
              <w:bottom w:val="single" w:sz="8" w:space="0" w:color="auto"/>
              <w:right w:val="single" w:sz="8" w:space="0" w:color="auto"/>
            </w:tcBorders>
            <w:textDirection w:val="lrTb"/>
            <w:vAlign w:val="bottom"/>
          </w:tcPr>
          <w:p w:rsidR="0084667A" w:rsidRPr="004102AB" w:rsidP="002B1759">
            <w:pPr>
              <w:jc w:val="right"/>
              <w:rPr>
                <w:rFonts w:ascii="Arial Narrow" w:hAnsi="Arial Narrow" w:cs="Arial Narrow"/>
                <w:sz w:val="20"/>
                <w:szCs w:val="24"/>
              </w:rPr>
            </w:pPr>
            <w:r w:rsidRPr="004102AB">
              <w:rPr>
                <w:rFonts w:ascii="Arial Narrow" w:hAnsi="Arial Narrow" w:cs="Arial Narrow"/>
                <w:sz w:val="20"/>
                <w:szCs w:val="24"/>
              </w:rPr>
              <w:t> </w:t>
            </w:r>
          </w:p>
        </w:tc>
      </w:tr>
      <w:tr>
        <w:tblPrEx>
          <w:tblW w:w="9219" w:type="dxa"/>
          <w:tblInd w:w="70" w:type="dxa"/>
          <w:tblLayout w:type="fixed"/>
          <w:tblCellMar>
            <w:left w:w="70" w:type="dxa"/>
            <w:right w:w="70" w:type="dxa"/>
          </w:tblCellMar>
        </w:tblPrEx>
        <w:trPr>
          <w:trHeight w:val="238"/>
        </w:trPr>
        <w:tc>
          <w:tcPr>
            <w:tcW w:w="5040" w:type="dxa"/>
            <w:tcBorders>
              <w:top w:val="single" w:sz="8" w:space="0" w:color="auto"/>
              <w:left w:val="single" w:sz="8" w:space="0" w:color="auto"/>
              <w:bottom w:val="single" w:sz="8" w:space="0" w:color="auto"/>
              <w:right w:val="single" w:sz="8" w:space="0" w:color="auto"/>
            </w:tcBorders>
            <w:shd w:val="clear" w:color="auto" w:fill="C0C0C0"/>
            <w:textDirection w:val="lrTb"/>
            <w:vAlign w:val="bottom"/>
          </w:tcPr>
          <w:p w:rsidR="0084667A" w:rsidRPr="004102AB" w:rsidP="002B1759">
            <w:pPr>
              <w:rPr>
                <w:rFonts w:ascii="Arial Narrow" w:hAnsi="Arial Narrow" w:cs="Arial Narrow"/>
                <w:b/>
                <w:i/>
                <w:sz w:val="20"/>
                <w:szCs w:val="24"/>
              </w:rPr>
            </w:pPr>
            <w:r w:rsidRPr="004102AB">
              <w:rPr>
                <w:rFonts w:ascii="Arial Narrow" w:hAnsi="Arial Narrow" w:cs="Arial Narrow"/>
                <w:b/>
                <w:i/>
                <w:sz w:val="20"/>
                <w:szCs w:val="24"/>
              </w:rPr>
              <w:t>Prebytok  ŠFRB  (ESA 95)</w:t>
            </w:r>
          </w:p>
        </w:tc>
        <w:tc>
          <w:tcPr>
            <w:tcW w:w="1044"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90 623</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80 73</w:t>
            </w:r>
            <w:r>
              <w:rPr>
                <w:rFonts w:ascii="Arial Narrow" w:hAnsi="Arial Narrow" w:cs="Arial Narrow"/>
                <w:b/>
                <w:i/>
                <w:sz w:val="20"/>
                <w:szCs w:val="24"/>
              </w:rPr>
              <w:t>6</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81 81</w:t>
            </w:r>
            <w:r>
              <w:rPr>
                <w:rFonts w:ascii="Arial Narrow" w:hAnsi="Arial Narrow" w:cs="Arial Narrow"/>
                <w:b/>
                <w:i/>
                <w:sz w:val="20"/>
                <w:szCs w:val="24"/>
              </w:rPr>
              <w:t>3</w:t>
            </w:r>
          </w:p>
        </w:tc>
        <w:tc>
          <w:tcPr>
            <w:tcW w:w="1045" w:type="dxa"/>
            <w:tcBorders>
              <w:top w:val="single" w:sz="8" w:space="0" w:color="auto"/>
              <w:left w:val="single" w:sz="8" w:space="0" w:color="auto"/>
              <w:bottom w:val="single" w:sz="8" w:space="0" w:color="auto"/>
              <w:right w:val="single" w:sz="8" w:space="0" w:color="auto"/>
            </w:tcBorders>
            <w:shd w:val="clear" w:color="auto" w:fill="C0C0C0"/>
            <w:noWrap/>
            <w:textDirection w:val="lrTb"/>
            <w:vAlign w:val="bottom"/>
          </w:tcPr>
          <w:p w:rsidR="0084667A" w:rsidRPr="00F11D72" w:rsidP="002B1759">
            <w:pPr>
              <w:jc w:val="right"/>
              <w:rPr>
                <w:rFonts w:ascii="Arial Narrow" w:hAnsi="Arial Narrow" w:cs="Arial Narrow"/>
                <w:b/>
                <w:i/>
                <w:sz w:val="20"/>
                <w:szCs w:val="24"/>
              </w:rPr>
            </w:pPr>
            <w:r w:rsidRPr="00F11D72">
              <w:rPr>
                <w:rFonts w:ascii="Arial Narrow" w:hAnsi="Arial Narrow" w:cs="Arial Narrow"/>
                <w:b/>
                <w:i/>
                <w:sz w:val="20"/>
                <w:szCs w:val="24"/>
              </w:rPr>
              <w:t>82 952</w:t>
            </w:r>
          </w:p>
        </w:tc>
      </w:tr>
    </w:tbl>
    <w:p w:rsidR="0084667A" w:rsidRPr="004558BE" w:rsidP="0084667A">
      <w:pPr>
        <w:jc w:val="both"/>
        <w:rPr>
          <w:rFonts w:ascii="Arial Narrow" w:hAnsi="Arial Narrow" w:cs="Arial Narrow"/>
          <w:szCs w:val="24"/>
        </w:rPr>
      </w:pPr>
    </w:p>
    <w:p w:rsidR="0084667A" w:rsidRPr="004558BE" w:rsidP="0084667A">
      <w:pPr>
        <w:jc w:val="both"/>
        <w:rPr>
          <w:rFonts w:ascii="Times New Roman" w:hAnsi="Times New Roman" w:cs="Times New Roman"/>
          <w:szCs w:val="24"/>
        </w:rPr>
      </w:pPr>
    </w:p>
    <w:p w:rsidR="0084667A" w:rsidRPr="004558BE" w:rsidP="0084667A">
      <w:pPr>
        <w:ind w:left="720" w:hanging="720"/>
        <w:jc w:val="both"/>
        <w:rPr>
          <w:rFonts w:ascii="Arial Narrow" w:hAnsi="Arial Narrow" w:cs="Arial Narrow"/>
          <w:b/>
          <w:szCs w:val="24"/>
        </w:rPr>
      </w:pPr>
      <w:r w:rsidRPr="004558BE">
        <w:rPr>
          <w:rFonts w:ascii="Arial Narrow" w:hAnsi="Arial Narrow" w:cs="Arial Narrow"/>
          <w:b/>
          <w:szCs w:val="24"/>
        </w:rPr>
        <w:t xml:space="preserve">4.2. Národný jadrový fond </w:t>
      </w:r>
    </w:p>
    <w:p w:rsidR="0084667A" w:rsidP="0084667A">
      <w:pPr>
        <w:ind w:firstLine="708"/>
        <w:jc w:val="both"/>
        <w:rPr>
          <w:rFonts w:ascii="Arial Narrow" w:hAnsi="Arial Narrow" w:cs="Arial Narrow"/>
          <w:sz w:val="22"/>
          <w:szCs w:val="24"/>
          <w:highlight w:val="yellow"/>
        </w:rPr>
      </w:pPr>
    </w:p>
    <w:p w:rsidR="0084667A" w:rsidP="0084667A">
      <w:pPr>
        <w:ind w:firstLine="708"/>
        <w:jc w:val="both"/>
        <w:rPr>
          <w:rFonts w:ascii="Arial Narrow" w:hAnsi="Arial Narrow" w:cs="Arial Narrow"/>
          <w:sz w:val="22"/>
          <w:szCs w:val="24"/>
        </w:rPr>
      </w:pPr>
      <w:r w:rsidRPr="002B51F5">
        <w:rPr>
          <w:rFonts w:ascii="Arial Narrow" w:hAnsi="Arial Narrow" w:cs="Arial Narrow"/>
          <w:sz w:val="22"/>
          <w:szCs w:val="24"/>
        </w:rPr>
        <w:t>Príjmy Národného jadrového fondu na vyraďovanie jadrových zariadení a na nakladanie s jadrovým palivom a rádioaktívnymi</w:t>
      </w:r>
      <w:r>
        <w:rPr>
          <w:rFonts w:ascii="Arial Narrow" w:hAnsi="Arial Narrow" w:cs="Arial Narrow"/>
          <w:sz w:val="22"/>
          <w:szCs w:val="24"/>
        </w:rPr>
        <w:t xml:space="preserve"> odpadmi (ďalej NJF) na rok 2010</w:t>
      </w:r>
      <w:r w:rsidRPr="002B51F5">
        <w:rPr>
          <w:rFonts w:ascii="Arial Narrow" w:hAnsi="Arial Narrow" w:cs="Arial Narrow"/>
          <w:sz w:val="22"/>
          <w:szCs w:val="24"/>
        </w:rPr>
        <w:t xml:space="preserve">  sú tvorené prí</w:t>
      </w:r>
      <w:r>
        <w:rPr>
          <w:rFonts w:ascii="Arial Narrow" w:hAnsi="Arial Narrow" w:cs="Arial Narrow"/>
          <w:sz w:val="22"/>
          <w:szCs w:val="24"/>
        </w:rPr>
        <w:t xml:space="preserve">spevkami od držiteľov povolenia </w:t>
      </w:r>
      <w:r w:rsidRPr="002B51F5">
        <w:rPr>
          <w:rFonts w:ascii="Arial Narrow" w:hAnsi="Arial Narrow" w:cs="Arial Narrow"/>
          <w:sz w:val="22"/>
          <w:szCs w:val="24"/>
        </w:rPr>
        <w:t>na prevádzku jadrových zariade</w:t>
      </w:r>
      <w:r>
        <w:rPr>
          <w:rFonts w:ascii="Arial Narrow" w:hAnsi="Arial Narrow" w:cs="Arial Narrow"/>
          <w:sz w:val="22"/>
          <w:szCs w:val="24"/>
        </w:rPr>
        <w:t>ní v sume 61,4</w:t>
      </w:r>
      <w:r w:rsidRPr="002B51F5">
        <w:rPr>
          <w:rFonts w:ascii="Arial Narrow" w:hAnsi="Arial Narrow" w:cs="Arial Narrow"/>
          <w:sz w:val="22"/>
          <w:szCs w:val="24"/>
        </w:rPr>
        <w:t xml:space="preserve"> </w:t>
      </w:r>
      <w:r>
        <w:rPr>
          <w:rFonts w:ascii="Arial Narrow" w:hAnsi="Arial Narrow" w:cs="Arial Narrow"/>
          <w:sz w:val="22"/>
          <w:szCs w:val="24"/>
        </w:rPr>
        <w:t>mil. eur</w:t>
      </w:r>
      <w:r w:rsidRPr="002B51F5">
        <w:rPr>
          <w:rFonts w:ascii="Arial Narrow" w:hAnsi="Arial Narrow" w:cs="Arial Narrow"/>
          <w:sz w:val="22"/>
          <w:szCs w:val="24"/>
        </w:rPr>
        <w:t>,  </w:t>
      </w:r>
      <w:r>
        <w:rPr>
          <w:rFonts w:ascii="Arial Narrow" w:hAnsi="Arial Narrow" w:cs="Arial Narrow"/>
          <w:sz w:val="22"/>
          <w:szCs w:val="24"/>
        </w:rPr>
        <w:t>odvodmi vyberanými prevádzkovateľmi prenosovej a distribučnej sústavy v sume 16,6 mil. eur,  úrokmi z vkladov v sume 10,3</w:t>
      </w:r>
      <w:r w:rsidRPr="002B51F5">
        <w:rPr>
          <w:rFonts w:ascii="Arial Narrow" w:hAnsi="Arial Narrow" w:cs="Arial Narrow"/>
          <w:sz w:val="22"/>
          <w:szCs w:val="24"/>
        </w:rPr>
        <w:t xml:space="preserve"> </w:t>
      </w:r>
      <w:r>
        <w:rPr>
          <w:rFonts w:ascii="Arial Narrow" w:hAnsi="Arial Narrow" w:cs="Arial Narrow"/>
          <w:sz w:val="22"/>
          <w:szCs w:val="24"/>
        </w:rPr>
        <w:t>mil. eur</w:t>
      </w:r>
      <w:r w:rsidRPr="002B51F5">
        <w:rPr>
          <w:rFonts w:ascii="Arial Narrow" w:hAnsi="Arial Narrow" w:cs="Arial Narrow"/>
          <w:sz w:val="22"/>
          <w:szCs w:val="24"/>
        </w:rPr>
        <w:t xml:space="preserve"> a dotáci</w:t>
      </w:r>
      <w:r>
        <w:rPr>
          <w:rFonts w:ascii="Arial Narrow" w:hAnsi="Arial Narrow" w:cs="Arial Narrow"/>
          <w:sz w:val="22"/>
          <w:szCs w:val="24"/>
        </w:rPr>
        <w:t>ou zo štátneho rozpočtu v sume 199 tis. eur. Zostatok prostriedkov z predchádzajúcich rokov predstavuje 685 mil. eur.</w:t>
      </w:r>
    </w:p>
    <w:p w:rsidR="0084667A" w:rsidRPr="0034337F" w:rsidP="0084667A">
      <w:pPr>
        <w:ind w:firstLine="708"/>
        <w:jc w:val="both"/>
        <w:rPr>
          <w:rFonts w:ascii="Arial Narrow" w:hAnsi="Arial Narrow" w:cs="Arial Narrow"/>
          <w:sz w:val="22"/>
          <w:szCs w:val="24"/>
        </w:rPr>
      </w:pPr>
    </w:p>
    <w:p w:rsidR="0084667A" w:rsidRPr="002B51F5" w:rsidP="0084667A">
      <w:pPr>
        <w:ind w:firstLine="708"/>
        <w:jc w:val="both"/>
        <w:rPr>
          <w:rFonts w:ascii="Arial Narrow" w:hAnsi="Arial Narrow" w:cs="Arial Narrow"/>
          <w:sz w:val="22"/>
          <w:szCs w:val="24"/>
        </w:rPr>
      </w:pPr>
      <w:r w:rsidRPr="002B51F5">
        <w:rPr>
          <w:rFonts w:ascii="Arial Narrow" w:hAnsi="Arial Narrow" w:cs="Arial Narrow"/>
          <w:sz w:val="22"/>
          <w:szCs w:val="24"/>
        </w:rPr>
        <w:t xml:space="preserve">Výdavky sú smerované na </w:t>
      </w:r>
      <w:r>
        <w:rPr>
          <w:rFonts w:ascii="Arial Narrow" w:hAnsi="Arial Narrow" w:cs="Arial Narrow"/>
          <w:sz w:val="22"/>
          <w:szCs w:val="24"/>
        </w:rPr>
        <w:t xml:space="preserve">projekty záverečnej časti jadrovej energetiky týkajúce sa vyraďovania jadrovej elektrárne A-1, ukončovania prevádzky jadrovej elektrárne V-1, nakladania s rádioaktívnymi odpadmi z vyraďovania, </w:t>
      </w:r>
      <w:r w:rsidRPr="002B51F5">
        <w:rPr>
          <w:rFonts w:ascii="Arial Narrow" w:hAnsi="Arial Narrow" w:cs="Arial Narrow"/>
          <w:sz w:val="22"/>
          <w:szCs w:val="24"/>
        </w:rPr>
        <w:t xml:space="preserve"> </w:t>
      </w:r>
      <w:r>
        <w:rPr>
          <w:rFonts w:ascii="Arial Narrow" w:hAnsi="Arial Narrow" w:cs="Arial Narrow"/>
          <w:sz w:val="22"/>
          <w:szCs w:val="24"/>
        </w:rPr>
        <w:t>skladovania vyhoretého jadrového paliva,  nakladania</w:t>
      </w:r>
      <w:r w:rsidRPr="002B51F5">
        <w:rPr>
          <w:rFonts w:ascii="Arial Narrow" w:hAnsi="Arial Narrow" w:cs="Arial Narrow"/>
          <w:sz w:val="22"/>
          <w:szCs w:val="24"/>
        </w:rPr>
        <w:t xml:space="preserve"> s jadrovými materiálmi a rádioaktívnymi odpadmi</w:t>
      </w:r>
      <w:r>
        <w:rPr>
          <w:rFonts w:ascii="Arial Narrow" w:hAnsi="Arial Narrow" w:cs="Arial Narrow"/>
          <w:sz w:val="22"/>
          <w:szCs w:val="24"/>
        </w:rPr>
        <w:t>, ktorých pôvodca nie je známy</w:t>
      </w:r>
      <w:r w:rsidRPr="002B51F5">
        <w:rPr>
          <w:rFonts w:ascii="Arial Narrow" w:hAnsi="Arial Narrow" w:cs="Arial Narrow"/>
          <w:sz w:val="22"/>
          <w:szCs w:val="24"/>
        </w:rPr>
        <w:t xml:space="preserve"> a  na správu fondu.</w:t>
      </w:r>
    </w:p>
    <w:p w:rsidR="0084667A"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RPr="004A29C8"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sidRPr="004A29C8">
        <w:rPr>
          <w:rFonts w:ascii="Arial Narrow" w:hAnsi="Arial Narrow" w:cs="Arial Narrow"/>
          <w:sz w:val="22"/>
          <w:szCs w:val="24"/>
        </w:rPr>
        <w:t>Vývoj príjmovej a výdavkovej časti rozpočtu NJF na roky 2010 až 2012 je nasledovný:</w:t>
      </w:r>
    </w:p>
    <w:p w:rsidR="0084667A" w:rsidRPr="004A29C8" w:rsidP="0084667A">
      <w:pPr>
        <w:ind w:firstLine="708"/>
        <w:jc w:val="both"/>
        <w:rPr>
          <w:rFonts w:ascii="Arial Narrow" w:hAnsi="Arial Narrow" w:cs="Arial Narrow"/>
          <w:sz w:val="22"/>
          <w:szCs w:val="24"/>
        </w:rPr>
      </w:pPr>
    </w:p>
    <w:tbl>
      <w:tblPr>
        <w:tblStyle w:val="TableNormal"/>
        <w:tblW w:w="9180" w:type="dxa"/>
        <w:tblInd w:w="55" w:type="dxa"/>
        <w:tblCellMar>
          <w:left w:w="70" w:type="dxa"/>
          <w:right w:w="70" w:type="dxa"/>
        </w:tblCellMar>
        <w:tblLook w:val="00A0"/>
      </w:tblPr>
      <w:tblGrid>
        <w:gridCol w:w="4660"/>
        <w:gridCol w:w="1130"/>
        <w:gridCol w:w="1130"/>
        <w:gridCol w:w="1130"/>
        <w:gridCol w:w="1130"/>
      </w:tblGrid>
      <w:tr>
        <w:tblPrEx>
          <w:tblW w:w="9180" w:type="dxa"/>
          <w:tblInd w:w="55" w:type="dxa"/>
          <w:tblCellMar>
            <w:left w:w="70" w:type="dxa"/>
            <w:right w:w="70" w:type="dxa"/>
          </w:tblCellMar>
          <w:tblLook w:val="00A0"/>
        </w:tblPrEx>
        <w:trPr>
          <w:trHeight w:val="238"/>
        </w:trPr>
        <w:tc>
          <w:tcPr>
            <w:tcW w:w="466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84667A" w:rsidRPr="006551EE" w:rsidP="002B1759">
            <w:pPr>
              <w:rPr>
                <w:rFonts w:ascii="Arial Narrow" w:hAnsi="Arial Narrow" w:cs="Arial Narrow"/>
                <w:b/>
                <w:color w:val="FFFFFF"/>
                <w:sz w:val="20"/>
                <w:szCs w:val="24"/>
              </w:rPr>
            </w:pPr>
            <w:r w:rsidRPr="006551EE">
              <w:rPr>
                <w:rFonts w:ascii="Arial Narrow" w:hAnsi="Arial Narrow" w:cs="Arial Narrow"/>
                <w:b/>
                <w:color w:val="FFFFFF"/>
                <w:sz w:val="20"/>
                <w:szCs w:val="24"/>
              </w:rPr>
              <w:t>(v tis. eur)</w:t>
            </w:r>
          </w:p>
        </w:tc>
        <w:tc>
          <w:tcPr>
            <w:tcW w:w="1130"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6551EE" w:rsidP="002B1759">
            <w:pPr>
              <w:jc w:val="center"/>
              <w:rPr>
                <w:rFonts w:ascii="Arial Narrow" w:hAnsi="Arial Narrow" w:cs="Arial Narrow"/>
                <w:b/>
                <w:color w:val="FFFFFF"/>
                <w:sz w:val="20"/>
                <w:szCs w:val="24"/>
              </w:rPr>
            </w:pPr>
            <w:r w:rsidRPr="006551EE">
              <w:rPr>
                <w:rFonts w:ascii="Arial Narrow" w:hAnsi="Arial Narrow" w:cs="Arial Narrow"/>
                <w:b/>
                <w:color w:val="FFFFFF"/>
                <w:sz w:val="20"/>
                <w:szCs w:val="24"/>
              </w:rPr>
              <w:t>2009</w:t>
            </w:r>
          </w:p>
        </w:tc>
        <w:tc>
          <w:tcPr>
            <w:tcW w:w="1130"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6551EE" w:rsidP="002B1759">
            <w:pPr>
              <w:jc w:val="center"/>
              <w:rPr>
                <w:rFonts w:ascii="Arial Narrow" w:hAnsi="Arial Narrow" w:cs="Arial Narrow"/>
                <w:b/>
                <w:color w:val="FFFFFF"/>
                <w:sz w:val="20"/>
                <w:szCs w:val="24"/>
              </w:rPr>
            </w:pPr>
            <w:r w:rsidRPr="006551EE">
              <w:rPr>
                <w:rFonts w:ascii="Arial Narrow" w:hAnsi="Arial Narrow" w:cs="Arial Narrow"/>
                <w:b/>
                <w:color w:val="FFFFFF"/>
                <w:sz w:val="20"/>
                <w:szCs w:val="24"/>
              </w:rPr>
              <w:t>2010</w:t>
            </w:r>
          </w:p>
        </w:tc>
        <w:tc>
          <w:tcPr>
            <w:tcW w:w="1130"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6551EE" w:rsidP="002B1759">
            <w:pPr>
              <w:jc w:val="center"/>
              <w:rPr>
                <w:rFonts w:ascii="Arial Narrow" w:hAnsi="Arial Narrow" w:cs="Arial Narrow"/>
                <w:b/>
                <w:color w:val="FFFFFF"/>
                <w:sz w:val="20"/>
                <w:szCs w:val="24"/>
              </w:rPr>
            </w:pPr>
            <w:r w:rsidRPr="006551EE">
              <w:rPr>
                <w:rFonts w:ascii="Arial Narrow" w:hAnsi="Arial Narrow" w:cs="Arial Narrow"/>
                <w:b/>
                <w:color w:val="FFFFFF"/>
                <w:sz w:val="20"/>
                <w:szCs w:val="24"/>
              </w:rPr>
              <w:t>2011</w:t>
            </w:r>
          </w:p>
        </w:tc>
        <w:tc>
          <w:tcPr>
            <w:tcW w:w="1130"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6551EE" w:rsidP="002B1759">
            <w:pPr>
              <w:jc w:val="center"/>
              <w:rPr>
                <w:rFonts w:ascii="Arial Narrow" w:hAnsi="Arial Narrow" w:cs="Arial Narrow"/>
                <w:b/>
                <w:color w:val="FFFFFF"/>
                <w:sz w:val="20"/>
                <w:szCs w:val="24"/>
              </w:rPr>
            </w:pPr>
            <w:r w:rsidRPr="006551EE">
              <w:rPr>
                <w:rFonts w:ascii="Arial Narrow" w:hAnsi="Arial Narrow" w:cs="Arial Narrow"/>
                <w:b/>
                <w:color w:val="FFFFFF"/>
                <w:sz w:val="20"/>
                <w:szCs w:val="24"/>
              </w:rPr>
              <w:t>2012</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Príjmy NJF  spolu</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839 550</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773 370</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777 584</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780 774</w:t>
            </w:r>
          </w:p>
        </w:tc>
      </w:tr>
      <w:tr>
        <w:tblPrEx>
          <w:tblW w:w="9180" w:type="dxa"/>
          <w:tblInd w:w="55" w:type="dxa"/>
          <w:tblCellMar>
            <w:left w:w="70" w:type="dxa"/>
            <w:right w:w="70" w:type="dxa"/>
          </w:tblCellMar>
          <w:tblLook w:val="00A0"/>
        </w:tblPrEx>
        <w:trPr>
          <w:trHeight w:val="238"/>
        </w:trPr>
        <w:tc>
          <w:tcPr>
            <w:tcW w:w="9180"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z toho:</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úroky z domácich pôžičiek a vkladov</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19 087</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10 257</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10 058</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10 904</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z prijatých o</w:t>
            </w:r>
            <w:r>
              <w:rPr>
                <w:rFonts w:ascii="Arial Narrow" w:hAnsi="Arial Narrow" w:cs="Arial Narrow"/>
                <w:color w:val="000000"/>
                <w:sz w:val="20"/>
                <w:szCs w:val="24"/>
              </w:rPr>
              <w:t>dvodov od vlastníkov JZ</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135 331</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78 006</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61 409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80 191</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xml:space="preserve">   z toho: príspevky od prevádzkovateľov JZ</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65 093</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61 409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61 409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80 191</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xml:space="preserve">              odvod od prevádz</w:t>
            </w:r>
            <w:r>
              <w:rPr>
                <w:rFonts w:ascii="Arial Narrow" w:hAnsi="Arial Narrow" w:cs="Arial Narrow"/>
                <w:color w:val="000000"/>
                <w:sz w:val="20"/>
                <w:szCs w:val="24"/>
              </w:rPr>
              <w:t>kovateľov</w:t>
            </w:r>
            <w:r w:rsidRPr="002F044B">
              <w:rPr>
                <w:rFonts w:ascii="Arial Narrow" w:hAnsi="Arial Narrow" w:cs="Arial Narrow"/>
                <w:color w:val="000000"/>
                <w:sz w:val="20"/>
                <w:szCs w:val="24"/>
              </w:rPr>
              <w:t xml:space="preserve"> prenos. a distr. sústav</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70 238</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16 597</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0</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0</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transfer v rámci VS</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193</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199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332</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332</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zostatok prostriedkov z predch</w:t>
            </w:r>
            <w:r>
              <w:rPr>
                <w:rFonts w:ascii="Arial Narrow" w:hAnsi="Arial Narrow" w:cs="Arial Narrow"/>
                <w:color w:val="000000"/>
                <w:sz w:val="20"/>
                <w:szCs w:val="24"/>
              </w:rPr>
              <w:t>ádzajúcich</w:t>
            </w:r>
            <w:r w:rsidRPr="002F044B">
              <w:rPr>
                <w:rFonts w:ascii="Arial Narrow" w:hAnsi="Arial Narrow" w:cs="Arial Narrow"/>
                <w:color w:val="000000"/>
                <w:sz w:val="20"/>
                <w:szCs w:val="24"/>
              </w:rPr>
              <w:t xml:space="preserve"> rokov (FO)</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684 939</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684 908</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705 785</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689 347</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Výdavky NJF spolu</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84 403</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67 585</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88 237</w:t>
            </w:r>
          </w:p>
        </w:tc>
        <w:tc>
          <w:tcPr>
            <w:tcW w:w="1130" w:type="dxa"/>
            <w:tcBorders>
              <w:top w:val="nil"/>
              <w:left w:val="nil"/>
              <w:bottom w:val="single" w:sz="4" w:space="0" w:color="auto"/>
              <w:right w:val="single" w:sz="4" w:space="0" w:color="auto"/>
            </w:tcBorders>
            <w:shd w:val="clear" w:color="000000" w:fill="FFFFFF"/>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113 036</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z toho:</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xml:space="preserve">▪   bežné výdavky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70 056</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51 117</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74 735</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103 938</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kapitálové výdavky</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14 347</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16 468</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13 502</w:t>
            </w:r>
          </w:p>
        </w:tc>
        <w:tc>
          <w:tcPr>
            <w:tcW w:w="1130" w:type="dxa"/>
            <w:tcBorders>
              <w:top w:val="nil"/>
              <w:left w:val="nil"/>
              <w:bottom w:val="single" w:sz="4" w:space="0" w:color="auto"/>
              <w:right w:val="single" w:sz="4" w:space="0" w:color="auto"/>
            </w:tcBorders>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9 098</w:t>
            </w:r>
          </w:p>
        </w:tc>
      </w:tr>
      <w:tr>
        <w:tblPrEx>
          <w:tblW w:w="9180" w:type="dxa"/>
          <w:tblInd w:w="55" w:type="dxa"/>
          <w:tblCellMar>
            <w:left w:w="70" w:type="dxa"/>
            <w:right w:w="70" w:type="dxa"/>
          </w:tblCellMar>
          <w:tblLook w:val="00A0"/>
        </w:tblPrEx>
        <w:trPr>
          <w:trHeight w:val="238"/>
        </w:trPr>
        <w:tc>
          <w:tcPr>
            <w:tcW w:w="9180"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w:t>
            </w:r>
          </w:p>
        </w:tc>
      </w:tr>
      <w:tr>
        <w:tblPrEx>
          <w:tblW w:w="9180" w:type="dxa"/>
          <w:tblInd w:w="55" w:type="dxa"/>
          <w:tblCellMar>
            <w:left w:w="70" w:type="dxa"/>
            <w:right w:w="70" w:type="dxa"/>
          </w:tblCellMar>
          <w:tblLook w:val="00A0"/>
        </w:tblPrEx>
        <w:trPr>
          <w:trHeight w:val="238"/>
        </w:trPr>
        <w:tc>
          <w:tcPr>
            <w:tcW w:w="46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84667A" w:rsidRPr="00817422" w:rsidP="002B1759">
            <w:pPr>
              <w:rPr>
                <w:rFonts w:ascii="Arial Narrow" w:hAnsi="Arial Narrow" w:cs="Arial Narrow"/>
                <w:b/>
                <w:i/>
                <w:color w:val="000000"/>
                <w:sz w:val="20"/>
                <w:szCs w:val="24"/>
                <w:highlight w:val="lightGray"/>
              </w:rPr>
            </w:pPr>
            <w:r w:rsidRPr="00817422">
              <w:rPr>
                <w:rFonts w:ascii="Arial Narrow" w:hAnsi="Arial Narrow" w:cs="Arial Narrow"/>
                <w:b/>
                <w:i/>
                <w:color w:val="000000"/>
                <w:sz w:val="20"/>
                <w:szCs w:val="24"/>
                <w:highlight w:val="lightGray"/>
              </w:rPr>
              <w:t>Celkový prebytok NJF</w:t>
            </w:r>
          </w:p>
        </w:tc>
        <w:tc>
          <w:tcPr>
            <w:tcW w:w="1130" w:type="dxa"/>
            <w:tcBorders>
              <w:top w:val="single" w:sz="4" w:space="0" w:color="auto"/>
              <w:left w:val="nil"/>
              <w:bottom w:val="single" w:sz="4" w:space="0" w:color="auto"/>
              <w:right w:val="single" w:sz="4" w:space="0" w:color="auto"/>
            </w:tcBorders>
            <w:shd w:val="clear" w:color="auto" w:fill="BFBFBF"/>
            <w:noWrap/>
            <w:textDirection w:val="lrTb"/>
            <w:vAlign w:val="bottom"/>
          </w:tcPr>
          <w:p w:rsidR="0084667A" w:rsidRPr="007766F5" w:rsidP="002B1759">
            <w:pPr>
              <w:jc w:val="right"/>
              <w:rPr>
                <w:rFonts w:ascii="Arial Narrow" w:hAnsi="Arial Narrow" w:cs="Arial Narrow"/>
                <w:b/>
                <w:i/>
                <w:color w:val="000000"/>
                <w:sz w:val="20"/>
                <w:szCs w:val="24"/>
                <w:highlight w:val="lightGray"/>
              </w:rPr>
            </w:pPr>
            <w:r w:rsidRPr="007766F5">
              <w:rPr>
                <w:rFonts w:ascii="Arial Narrow" w:hAnsi="Arial Narrow" w:cs="Arial Narrow"/>
                <w:b/>
                <w:i/>
                <w:color w:val="000000"/>
                <w:sz w:val="20"/>
                <w:szCs w:val="24"/>
                <w:highlight w:val="lightGray"/>
              </w:rPr>
              <w:t>755 147</w:t>
            </w:r>
          </w:p>
        </w:tc>
        <w:tc>
          <w:tcPr>
            <w:tcW w:w="1130" w:type="dxa"/>
            <w:tcBorders>
              <w:top w:val="single" w:sz="4" w:space="0" w:color="auto"/>
              <w:left w:val="nil"/>
              <w:bottom w:val="single" w:sz="4" w:space="0" w:color="auto"/>
              <w:right w:val="single" w:sz="4" w:space="0" w:color="auto"/>
            </w:tcBorders>
            <w:shd w:val="clear" w:color="auto" w:fill="BFBFBF"/>
            <w:noWrap/>
            <w:textDirection w:val="lrTb"/>
            <w:vAlign w:val="bottom"/>
          </w:tcPr>
          <w:p w:rsidR="0084667A" w:rsidRPr="007766F5" w:rsidP="002B1759">
            <w:pPr>
              <w:jc w:val="right"/>
              <w:rPr>
                <w:rFonts w:ascii="Arial Narrow" w:hAnsi="Arial Narrow" w:cs="Arial Narrow"/>
                <w:b/>
                <w:i/>
                <w:color w:val="000000"/>
                <w:sz w:val="20"/>
                <w:szCs w:val="24"/>
                <w:highlight w:val="lightGray"/>
              </w:rPr>
            </w:pPr>
            <w:r w:rsidRPr="007766F5">
              <w:rPr>
                <w:rFonts w:ascii="Arial Narrow" w:hAnsi="Arial Narrow" w:cs="Arial Narrow"/>
                <w:b/>
                <w:i/>
                <w:color w:val="000000"/>
                <w:sz w:val="20"/>
                <w:szCs w:val="24"/>
                <w:highlight w:val="lightGray"/>
              </w:rPr>
              <w:t>705 785</w:t>
            </w:r>
          </w:p>
        </w:tc>
        <w:tc>
          <w:tcPr>
            <w:tcW w:w="1130" w:type="dxa"/>
            <w:tcBorders>
              <w:top w:val="single" w:sz="4" w:space="0" w:color="auto"/>
              <w:left w:val="nil"/>
              <w:bottom w:val="single" w:sz="4" w:space="0" w:color="auto"/>
              <w:right w:val="single" w:sz="4" w:space="0" w:color="auto"/>
            </w:tcBorders>
            <w:shd w:val="clear" w:color="auto" w:fill="BFBFBF"/>
            <w:noWrap/>
            <w:textDirection w:val="lrTb"/>
            <w:vAlign w:val="bottom"/>
          </w:tcPr>
          <w:p w:rsidR="0084667A" w:rsidRPr="007766F5" w:rsidP="002B1759">
            <w:pPr>
              <w:jc w:val="right"/>
              <w:rPr>
                <w:rFonts w:ascii="Arial Narrow" w:hAnsi="Arial Narrow" w:cs="Arial Narrow"/>
                <w:b/>
                <w:i/>
                <w:color w:val="000000"/>
                <w:sz w:val="20"/>
                <w:szCs w:val="24"/>
                <w:highlight w:val="lightGray"/>
              </w:rPr>
            </w:pPr>
            <w:r w:rsidRPr="007766F5">
              <w:rPr>
                <w:rFonts w:ascii="Arial Narrow" w:hAnsi="Arial Narrow" w:cs="Arial Narrow"/>
                <w:b/>
                <w:i/>
                <w:color w:val="000000"/>
                <w:sz w:val="20"/>
                <w:szCs w:val="24"/>
                <w:highlight w:val="lightGray"/>
              </w:rPr>
              <w:t>689 347</w:t>
            </w:r>
          </w:p>
        </w:tc>
        <w:tc>
          <w:tcPr>
            <w:tcW w:w="1130" w:type="dxa"/>
            <w:tcBorders>
              <w:top w:val="single" w:sz="4" w:space="0" w:color="auto"/>
              <w:left w:val="nil"/>
              <w:bottom w:val="single" w:sz="4" w:space="0" w:color="auto"/>
              <w:right w:val="single" w:sz="4" w:space="0" w:color="auto"/>
            </w:tcBorders>
            <w:shd w:val="clear" w:color="auto" w:fill="BFBFBF"/>
            <w:noWrap/>
            <w:textDirection w:val="lrTb"/>
            <w:vAlign w:val="bottom"/>
          </w:tcPr>
          <w:p w:rsidR="0084667A" w:rsidRPr="007766F5" w:rsidP="002B1759">
            <w:pPr>
              <w:jc w:val="right"/>
              <w:rPr>
                <w:rFonts w:ascii="Arial Narrow" w:hAnsi="Arial Narrow" w:cs="Arial Narrow"/>
                <w:b/>
                <w:i/>
                <w:color w:val="000000"/>
                <w:sz w:val="20"/>
                <w:szCs w:val="24"/>
                <w:highlight w:val="lightGray"/>
              </w:rPr>
            </w:pPr>
            <w:r w:rsidRPr="007766F5">
              <w:rPr>
                <w:rFonts w:ascii="Arial Narrow" w:hAnsi="Arial Narrow" w:cs="Arial Narrow"/>
                <w:b/>
                <w:i/>
                <w:color w:val="000000"/>
                <w:sz w:val="20"/>
                <w:szCs w:val="24"/>
                <w:highlight w:val="lightGray"/>
              </w:rPr>
              <w:t>667 738</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 xml:space="preserve">  vylúčenie finančných operácií</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-684 939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-684 908</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-705 785</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-689 347</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b/>
                <w:i/>
                <w:color w:val="000000"/>
                <w:sz w:val="20"/>
                <w:szCs w:val="24"/>
              </w:rPr>
            </w:pPr>
            <w:r w:rsidRPr="002F044B">
              <w:rPr>
                <w:rFonts w:ascii="Arial Narrow" w:hAnsi="Arial Narrow" w:cs="Arial Narrow"/>
                <w:b/>
                <w:i/>
                <w:color w:val="000000"/>
                <w:sz w:val="20"/>
                <w:szCs w:val="24"/>
              </w:rPr>
              <w:t xml:space="preserve">  z toho:</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 </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vylúčenie príjmových FO</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-684 939</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sidRPr="002F044B">
              <w:rPr>
                <w:rFonts w:ascii="Arial Narrow" w:hAnsi="Arial Narrow" w:cs="Arial Narrow"/>
                <w:color w:val="000000"/>
                <w:sz w:val="20"/>
                <w:szCs w:val="24"/>
              </w:rPr>
              <w:t>-684 908</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-705 785</w:t>
            </w:r>
          </w:p>
        </w:tc>
        <w:tc>
          <w:tcPr>
            <w:tcW w:w="1130" w:type="dxa"/>
            <w:tcBorders>
              <w:top w:val="nil"/>
              <w:left w:val="nil"/>
              <w:bottom w:val="single" w:sz="4" w:space="0" w:color="auto"/>
              <w:right w:val="single" w:sz="4" w:space="0" w:color="auto"/>
            </w:tcBorders>
            <w:noWrap/>
            <w:textDirection w:val="lrTb"/>
            <w:vAlign w:val="bottom"/>
          </w:tcPr>
          <w:p w:rsidR="0084667A" w:rsidRPr="002F044B" w:rsidP="002B1759">
            <w:pPr>
              <w:jc w:val="right"/>
              <w:rPr>
                <w:rFonts w:ascii="Arial Narrow" w:hAnsi="Arial Narrow" w:cs="Arial Narrow"/>
                <w:color w:val="000000"/>
                <w:sz w:val="20"/>
                <w:szCs w:val="24"/>
              </w:rPr>
            </w:pPr>
            <w:r>
              <w:rPr>
                <w:rFonts w:ascii="Arial Narrow" w:hAnsi="Arial Narrow" w:cs="Arial Narrow"/>
                <w:color w:val="000000"/>
                <w:sz w:val="20"/>
                <w:szCs w:val="24"/>
              </w:rPr>
              <w:t>-689 347</w:t>
            </w:r>
          </w:p>
        </w:tc>
      </w:tr>
      <w:tr>
        <w:tblPrEx>
          <w:tblW w:w="9180" w:type="dxa"/>
          <w:tblInd w:w="55" w:type="dxa"/>
          <w:tblCellMar>
            <w:left w:w="70" w:type="dxa"/>
            <w:right w:w="70" w:type="dxa"/>
          </w:tblCellMar>
          <w:tblLook w:val="00A0"/>
        </w:tblPrEx>
        <w:trPr>
          <w:trHeight w:val="238"/>
        </w:trPr>
        <w:tc>
          <w:tcPr>
            <w:tcW w:w="9180"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84667A" w:rsidRPr="002F044B" w:rsidP="002B1759">
            <w:pPr>
              <w:rPr>
                <w:rFonts w:ascii="Arial Narrow" w:hAnsi="Arial Narrow" w:cs="Arial Narrow"/>
                <w:color w:val="000000"/>
                <w:sz w:val="20"/>
                <w:szCs w:val="24"/>
              </w:rPr>
            </w:pPr>
            <w:r w:rsidRPr="002F044B">
              <w:rPr>
                <w:rFonts w:ascii="Arial Narrow" w:hAnsi="Arial Narrow" w:cs="Arial Narrow"/>
                <w:color w:val="000000"/>
                <w:sz w:val="20"/>
                <w:szCs w:val="24"/>
              </w:rPr>
              <w:t> </w:t>
            </w:r>
          </w:p>
        </w:tc>
      </w:tr>
      <w:tr>
        <w:tblPrEx>
          <w:tblW w:w="9180" w:type="dxa"/>
          <w:tblInd w:w="55" w:type="dxa"/>
          <w:tblCellMar>
            <w:left w:w="70" w:type="dxa"/>
            <w:right w:w="70" w:type="dxa"/>
          </w:tblCellMar>
          <w:tblLook w:val="00A0"/>
        </w:tblPrEx>
        <w:trPr>
          <w:trHeight w:val="238"/>
        </w:trPr>
        <w:tc>
          <w:tcPr>
            <w:tcW w:w="4660" w:type="dxa"/>
            <w:tcBorders>
              <w:top w:val="nil"/>
              <w:left w:val="single" w:sz="4" w:space="0" w:color="auto"/>
              <w:bottom w:val="single" w:sz="4" w:space="0" w:color="auto"/>
              <w:right w:val="single" w:sz="4" w:space="0" w:color="auto"/>
            </w:tcBorders>
            <w:shd w:val="clear" w:color="000000" w:fill="C0C0C0"/>
            <w:noWrap/>
            <w:textDirection w:val="lrTb"/>
            <w:vAlign w:val="bottom"/>
          </w:tcPr>
          <w:p w:rsidR="0084667A" w:rsidRPr="002F044B" w:rsidP="002B1759">
            <w:pPr>
              <w:rPr>
                <w:rFonts w:ascii="Arial Narrow" w:hAnsi="Arial Narrow" w:cs="Arial Narrow"/>
                <w:b/>
                <w:i/>
                <w:color w:val="000000"/>
                <w:sz w:val="20"/>
                <w:szCs w:val="24"/>
              </w:rPr>
            </w:pPr>
            <w:r w:rsidR="007A68CF">
              <w:rPr>
                <w:rFonts w:ascii="Arial Narrow" w:hAnsi="Arial Narrow" w:cs="Arial Narrow"/>
                <w:b/>
                <w:i/>
                <w:color w:val="000000"/>
                <w:sz w:val="20"/>
                <w:szCs w:val="24"/>
              </w:rPr>
              <w:t>Prebytok</w:t>
            </w:r>
            <w:r w:rsidR="00BD64E3">
              <w:rPr>
                <w:rFonts w:ascii="Arial Narrow" w:hAnsi="Arial Narrow" w:cs="Arial Narrow"/>
                <w:b/>
                <w:i/>
                <w:color w:val="000000"/>
                <w:sz w:val="20"/>
                <w:szCs w:val="24"/>
              </w:rPr>
              <w:t xml:space="preserve"> </w:t>
            </w:r>
            <w:r w:rsidRPr="002F044B">
              <w:rPr>
                <w:rFonts w:ascii="Arial Narrow" w:hAnsi="Arial Narrow" w:cs="Arial Narrow"/>
                <w:b/>
                <w:i/>
                <w:color w:val="000000"/>
                <w:sz w:val="20"/>
                <w:szCs w:val="24"/>
              </w:rPr>
              <w:t xml:space="preserve"> /</w:t>
            </w:r>
            <w:r w:rsidR="00162110">
              <w:rPr>
                <w:rFonts w:ascii="Arial Narrow" w:hAnsi="Arial Narrow" w:cs="Arial Narrow"/>
                <w:b/>
                <w:i/>
                <w:color w:val="000000"/>
                <w:sz w:val="20"/>
                <w:szCs w:val="24"/>
              </w:rPr>
              <w:t xml:space="preserve"> </w:t>
            </w:r>
            <w:r w:rsidRPr="002F044B">
              <w:rPr>
                <w:rFonts w:ascii="Arial Narrow" w:hAnsi="Arial Narrow" w:cs="Arial Narrow"/>
                <w:b/>
                <w:i/>
                <w:color w:val="000000"/>
                <w:sz w:val="20"/>
                <w:szCs w:val="24"/>
              </w:rPr>
              <w:t>schodok  NJF (ESA 95)</w:t>
            </w:r>
          </w:p>
        </w:tc>
        <w:tc>
          <w:tcPr>
            <w:tcW w:w="1130" w:type="dxa"/>
            <w:tcBorders>
              <w:top w:val="nil"/>
              <w:left w:val="nil"/>
              <w:bottom w:val="single" w:sz="4" w:space="0" w:color="auto"/>
              <w:right w:val="single" w:sz="4" w:space="0" w:color="auto"/>
            </w:tcBorders>
            <w:shd w:val="clear" w:color="000000" w:fill="C0C0C0"/>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70 208</w:t>
            </w:r>
          </w:p>
        </w:tc>
        <w:tc>
          <w:tcPr>
            <w:tcW w:w="1130" w:type="dxa"/>
            <w:tcBorders>
              <w:top w:val="nil"/>
              <w:left w:val="nil"/>
              <w:bottom w:val="single" w:sz="4" w:space="0" w:color="auto"/>
              <w:right w:val="single" w:sz="4" w:space="0" w:color="auto"/>
            </w:tcBorders>
            <w:shd w:val="clear" w:color="000000" w:fill="C0C0C0"/>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20 877</w:t>
            </w:r>
          </w:p>
        </w:tc>
        <w:tc>
          <w:tcPr>
            <w:tcW w:w="1130" w:type="dxa"/>
            <w:tcBorders>
              <w:top w:val="nil"/>
              <w:left w:val="nil"/>
              <w:bottom w:val="single" w:sz="4" w:space="0" w:color="auto"/>
              <w:right w:val="single" w:sz="4" w:space="0" w:color="auto"/>
            </w:tcBorders>
            <w:shd w:val="clear" w:color="000000" w:fill="C0C0C0"/>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-16 438</w:t>
            </w:r>
          </w:p>
        </w:tc>
        <w:tc>
          <w:tcPr>
            <w:tcW w:w="1130" w:type="dxa"/>
            <w:tcBorders>
              <w:top w:val="nil"/>
              <w:left w:val="nil"/>
              <w:bottom w:val="single" w:sz="4" w:space="0" w:color="auto"/>
              <w:right w:val="single" w:sz="4" w:space="0" w:color="auto"/>
            </w:tcBorders>
            <w:shd w:val="clear" w:color="000000" w:fill="C0C0C0"/>
            <w:noWrap/>
            <w:textDirection w:val="lrTb"/>
            <w:vAlign w:val="bottom"/>
          </w:tcPr>
          <w:p w:rsidR="0084667A" w:rsidRPr="007766F5" w:rsidP="002B1759">
            <w:pPr>
              <w:jc w:val="right"/>
              <w:rPr>
                <w:rFonts w:ascii="Arial Narrow" w:hAnsi="Arial Narrow" w:cs="Arial Narrow"/>
                <w:b/>
                <w:i/>
                <w:color w:val="000000"/>
                <w:sz w:val="20"/>
                <w:szCs w:val="24"/>
              </w:rPr>
            </w:pPr>
            <w:r w:rsidRPr="007766F5">
              <w:rPr>
                <w:rFonts w:ascii="Arial Narrow" w:hAnsi="Arial Narrow" w:cs="Arial Narrow"/>
                <w:b/>
                <w:i/>
                <w:color w:val="000000"/>
                <w:sz w:val="20"/>
                <w:szCs w:val="24"/>
              </w:rPr>
              <w:t>-21 609</w:t>
            </w:r>
          </w:p>
        </w:tc>
      </w:tr>
    </w:tbl>
    <w:p w:rsidR="0084667A" w:rsidP="0084667A">
      <w:pPr>
        <w:rPr>
          <w:rFonts w:ascii="Times New Roman" w:hAnsi="Times New Roman" w:cs="Times New Roman"/>
          <w:szCs w:val="24"/>
        </w:rPr>
      </w:pPr>
    </w:p>
    <w:p w:rsidR="0084667A" w:rsidRPr="004A29C8" w:rsidP="0084667A">
      <w:pPr>
        <w:jc w:val="both"/>
        <w:rPr>
          <w:rFonts w:ascii="Arial Narrow" w:hAnsi="Arial Narrow" w:cs="Arial Narrow"/>
          <w:sz w:val="22"/>
          <w:szCs w:val="24"/>
        </w:rPr>
      </w:pPr>
    </w:p>
    <w:p w:rsidR="0084667A" w:rsidRPr="004558BE" w:rsidP="0084667A">
      <w:pPr>
        <w:rPr>
          <w:rFonts w:ascii="Arial Narrow" w:hAnsi="Arial Narrow" w:cs="Arial Narrow"/>
          <w:b/>
          <w:szCs w:val="24"/>
        </w:rPr>
      </w:pPr>
      <w:r w:rsidRPr="004558BE">
        <w:rPr>
          <w:rFonts w:ascii="Arial Narrow" w:hAnsi="Arial Narrow" w:cs="Arial Narrow"/>
          <w:b/>
          <w:szCs w:val="24"/>
        </w:rPr>
        <w:t>4.3. Environmentálny fond</w:t>
      </w:r>
    </w:p>
    <w:p w:rsidR="0084667A" w:rsidRPr="0075099A" w:rsidP="0084667A">
      <w:pPr>
        <w:jc w:val="both"/>
        <w:rPr>
          <w:rFonts w:ascii="Arial Narrow" w:hAnsi="Arial Narrow" w:cs="Arial Narrow"/>
          <w:noProof/>
          <w:sz w:val="22"/>
          <w:szCs w:val="24"/>
        </w:rPr>
      </w:pPr>
    </w:p>
    <w:p w:rsidR="0084667A" w:rsidRPr="0075099A" w:rsidP="0084667A">
      <w:pPr>
        <w:pStyle w:val="BodyText2"/>
        <w:spacing w:after="0"/>
        <w:ind w:left="0" w:firstLine="708"/>
        <w:jc w:val="both"/>
        <w:rPr>
          <w:rFonts w:ascii="Arial Narrow" w:hAnsi="Arial Narrow" w:cs="Arial Narrow"/>
          <w:noProof/>
          <w:sz w:val="22"/>
          <w:szCs w:val="24"/>
        </w:rPr>
      </w:pPr>
      <w:r w:rsidRPr="0075099A">
        <w:rPr>
          <w:rFonts w:ascii="Arial Narrow" w:hAnsi="Arial Narrow" w:cs="Arial Narrow"/>
          <w:noProof/>
          <w:sz w:val="22"/>
          <w:szCs w:val="24"/>
        </w:rPr>
        <w:t xml:space="preserve">Prostriedky Environmentálneho fondu (ďalej len „EF“) by mali v roku 2010 slúžiť na zníženie znečistenia odpadových vôd, zabezpečenie zásobovania obyvateľstva pitnou vodou z obecných vodovodov, zlepšenie kvality ovzdušia, rozvoj odpadového hospodárstva, ochranu prírody ako aj odstraňovania následkov havárií. Environmentálny fond bude v uvedených rokoch poskytovať aj návratnú podporu prostredníctvom  úverov určených na ekologické projekty. </w:t>
      </w:r>
      <w:r>
        <w:rPr>
          <w:rFonts w:ascii="Arial Narrow" w:hAnsi="Arial Narrow" w:cs="Arial Narrow"/>
          <w:noProof/>
          <w:sz w:val="22"/>
          <w:szCs w:val="24"/>
        </w:rPr>
        <w:t>Fond bude napĺňať programové ciele</w:t>
      </w:r>
      <w:r w:rsidRPr="0075099A">
        <w:rPr>
          <w:rFonts w:ascii="Arial Narrow" w:hAnsi="Arial Narrow" w:cs="Arial Narrow"/>
          <w:noProof/>
          <w:sz w:val="22"/>
          <w:szCs w:val="24"/>
        </w:rPr>
        <w:t xml:space="preserve"> v oblasti realizácie štátnej podpory starostlivosti o životné prostredie konkrétnymi krokmi, ktoré umožnia znížiť rozostavanosť investícií environmentálneho charakteru, ktorých invest</w:t>
      </w:r>
      <w:r>
        <w:rPr>
          <w:rFonts w:ascii="Arial Narrow" w:hAnsi="Arial Narrow" w:cs="Arial Narrow"/>
          <w:noProof/>
          <w:sz w:val="22"/>
          <w:szCs w:val="24"/>
        </w:rPr>
        <w:t>ormi  sú prevažne malé obce do dvoch</w:t>
      </w:r>
      <w:r w:rsidRPr="0075099A">
        <w:rPr>
          <w:rFonts w:ascii="Arial Narrow" w:hAnsi="Arial Narrow" w:cs="Arial Narrow"/>
          <w:noProof/>
          <w:sz w:val="22"/>
          <w:szCs w:val="24"/>
        </w:rPr>
        <w:t xml:space="preserve"> tisíc obyvateľov.</w:t>
      </w:r>
    </w:p>
    <w:p w:rsidR="0084667A" w:rsidP="0084667A">
      <w:pPr>
        <w:jc w:val="both"/>
        <w:rPr>
          <w:rFonts w:ascii="Arial Narrow" w:hAnsi="Arial Narrow" w:cs="Arial Narrow"/>
          <w:noProof/>
          <w:sz w:val="22"/>
          <w:szCs w:val="24"/>
        </w:rPr>
      </w:pPr>
    </w:p>
    <w:p w:rsidR="0084667A" w:rsidRPr="000365E0" w:rsidP="0084667A">
      <w:pPr>
        <w:pStyle w:val="BodyText2"/>
        <w:spacing w:after="0"/>
        <w:ind w:left="0" w:firstLine="708"/>
        <w:jc w:val="both"/>
        <w:rPr>
          <w:rFonts w:ascii="Arial Narrow" w:hAnsi="Arial Narrow" w:cs="Arial Narrow"/>
          <w:noProof/>
          <w:sz w:val="22"/>
          <w:szCs w:val="24"/>
        </w:rPr>
      </w:pPr>
      <w:r>
        <w:rPr>
          <w:rFonts w:ascii="Arial Narrow" w:hAnsi="Arial Narrow" w:cs="Arial Narrow"/>
          <w:noProof/>
          <w:sz w:val="22"/>
          <w:szCs w:val="24"/>
        </w:rPr>
        <w:t>V roku 2010</w:t>
      </w:r>
      <w:r w:rsidRPr="002B6785">
        <w:rPr>
          <w:rFonts w:ascii="Arial Narrow" w:hAnsi="Arial Narrow" w:cs="Arial Narrow"/>
          <w:noProof/>
          <w:sz w:val="22"/>
          <w:szCs w:val="24"/>
        </w:rPr>
        <w:t xml:space="preserve"> </w:t>
      </w:r>
      <w:r>
        <w:rPr>
          <w:rFonts w:ascii="Arial Narrow" w:hAnsi="Arial Narrow" w:cs="Arial Narrow"/>
          <w:noProof/>
          <w:sz w:val="22"/>
          <w:szCs w:val="24"/>
        </w:rPr>
        <w:t xml:space="preserve">sa </w:t>
      </w:r>
      <w:r w:rsidRPr="002B6785">
        <w:rPr>
          <w:rFonts w:ascii="Arial Narrow" w:hAnsi="Arial Narrow" w:cs="Arial Narrow"/>
          <w:noProof/>
          <w:sz w:val="22"/>
          <w:szCs w:val="24"/>
        </w:rPr>
        <w:t>predpokladá plnenie príjmov EF v </w:t>
      </w:r>
      <w:r w:rsidRPr="007A05D7">
        <w:rPr>
          <w:rFonts w:ascii="Arial Narrow" w:hAnsi="Arial Narrow" w:cs="Arial Narrow"/>
          <w:noProof/>
          <w:sz w:val="22"/>
          <w:szCs w:val="24"/>
        </w:rPr>
        <w:t>celkovej výške 191 mil. eur. V oblasti príjmov fond predpokladá dosiahnutie príjmov len z vlastných zdrojov, bez napojenia na štátny rozpočet. Najvyšší</w:t>
      </w:r>
      <w:r w:rsidRPr="00FA4CD0">
        <w:rPr>
          <w:rFonts w:ascii="Arial Narrow" w:hAnsi="Arial Narrow" w:cs="Arial Narrow"/>
          <w:noProof/>
          <w:sz w:val="22"/>
          <w:szCs w:val="24"/>
        </w:rPr>
        <w:t xml:space="preserve"> podiel na dosiahnutých príjmoch budú mať zostatky prostriedkov z predchádzajúceho</w:t>
      </w:r>
      <w:r>
        <w:rPr>
          <w:rFonts w:ascii="Arial Narrow" w:hAnsi="Arial Narrow" w:cs="Arial Narrow"/>
          <w:noProof/>
          <w:sz w:val="22"/>
          <w:szCs w:val="24"/>
        </w:rPr>
        <w:t xml:space="preserve"> roka, ktoré budú predstavovať</w:t>
        <w:br/>
      </w:r>
      <w:r w:rsidRPr="00FA4CD0">
        <w:rPr>
          <w:rFonts w:ascii="Arial Narrow" w:hAnsi="Arial Narrow" w:cs="Arial Narrow"/>
          <w:noProof/>
          <w:sz w:val="22"/>
          <w:szCs w:val="24"/>
        </w:rPr>
        <w:t>42</w:t>
      </w:r>
      <w:r>
        <w:rPr>
          <w:rFonts w:ascii="Arial Narrow" w:hAnsi="Arial Narrow" w:cs="Arial Narrow"/>
          <w:noProof/>
          <w:sz w:val="22"/>
          <w:szCs w:val="24"/>
        </w:rPr>
        <w:t>,0</w:t>
      </w:r>
      <w:r w:rsidRPr="00FA4CD0">
        <w:rPr>
          <w:rFonts w:ascii="Arial Narrow" w:hAnsi="Arial Narrow" w:cs="Arial Narrow"/>
          <w:noProof/>
          <w:sz w:val="22"/>
          <w:szCs w:val="24"/>
        </w:rPr>
        <w:t xml:space="preserve"> % z celkových príjmov</w:t>
      </w:r>
      <w:r>
        <w:rPr>
          <w:rFonts w:ascii="Arial Narrow" w:hAnsi="Arial Narrow" w:cs="Arial Narrow"/>
          <w:noProof/>
          <w:sz w:val="22"/>
          <w:szCs w:val="24"/>
        </w:rPr>
        <w:t>,</w:t>
      </w:r>
      <w:r w:rsidRPr="00FA4CD0">
        <w:rPr>
          <w:rFonts w:ascii="Arial Narrow" w:hAnsi="Arial Narrow" w:cs="Arial Narrow"/>
          <w:noProof/>
          <w:sz w:val="22"/>
          <w:szCs w:val="24"/>
        </w:rPr>
        <w:t xml:space="preserve"> administratívne poplatky budú predstavovať 2</w:t>
      </w:r>
      <w:r>
        <w:rPr>
          <w:rFonts w:ascii="Arial Narrow" w:hAnsi="Arial Narrow" w:cs="Arial Narrow"/>
          <w:noProof/>
          <w:sz w:val="22"/>
          <w:szCs w:val="24"/>
        </w:rPr>
        <w:t>1,7</w:t>
      </w:r>
      <w:r w:rsidRPr="00FA4CD0">
        <w:rPr>
          <w:rFonts w:ascii="Arial Narrow" w:hAnsi="Arial Narrow" w:cs="Arial Narrow"/>
          <w:noProof/>
          <w:sz w:val="22"/>
          <w:szCs w:val="24"/>
        </w:rPr>
        <w:t xml:space="preserve"> % z celkových príjmov. </w:t>
      </w:r>
      <w:r w:rsidRPr="002B6785">
        <w:rPr>
          <w:rFonts w:ascii="Arial Narrow" w:hAnsi="Arial Narrow" w:cs="Arial Narrow"/>
          <w:noProof/>
          <w:sz w:val="22"/>
          <w:szCs w:val="24"/>
        </w:rPr>
        <w:t>Ide o poplatky za vypúšťanie odpadových vôd do povrchových vôd, za odber podzemnej vody a za znečisťovanie ovzdušia.</w:t>
      </w:r>
      <w:r>
        <w:rPr>
          <w:rFonts w:ascii="Arial Narrow" w:hAnsi="Arial Narrow" w:cs="Arial Narrow"/>
          <w:noProof/>
          <w:sz w:val="22"/>
          <w:szCs w:val="24"/>
        </w:rPr>
        <w:t xml:space="preserve"> Z</w:t>
      </w:r>
      <w:r w:rsidRPr="00FA4CD0">
        <w:rPr>
          <w:rFonts w:ascii="Arial Narrow" w:hAnsi="Arial Narrow" w:cs="Arial Narrow"/>
          <w:noProof/>
          <w:sz w:val="22"/>
          <w:szCs w:val="24"/>
        </w:rPr>
        <w:t xml:space="preserve"> prehľadu príjmov rozpočtovaných na roky 2010 </w:t>
      </w:r>
      <w:r w:rsidR="00B847FB">
        <w:rPr>
          <w:rFonts w:ascii="Arial Narrow" w:hAnsi="Arial Narrow" w:cs="Arial Narrow"/>
          <w:noProof/>
          <w:sz w:val="22"/>
          <w:szCs w:val="24"/>
        </w:rPr>
        <w:t>až</w:t>
      </w:r>
      <w:r w:rsidRPr="00FA4CD0">
        <w:rPr>
          <w:rFonts w:ascii="Arial Narrow" w:hAnsi="Arial Narrow" w:cs="Arial Narrow"/>
          <w:noProof/>
          <w:sz w:val="22"/>
          <w:szCs w:val="24"/>
        </w:rPr>
        <w:t xml:space="preserve"> 2012 vyplýva, že celkové príjmy, ako aj príjmy v jednotlivých položkách budú pomerne vyrovnané, okrem úrokov z účtov finančného hospodárenia, kde </w:t>
      </w:r>
      <w:r>
        <w:rPr>
          <w:rFonts w:ascii="Arial Narrow" w:hAnsi="Arial Narrow" w:cs="Arial Narrow"/>
          <w:noProof/>
          <w:sz w:val="22"/>
          <w:szCs w:val="24"/>
        </w:rPr>
        <w:t>fond predpokladá</w:t>
      </w:r>
      <w:r w:rsidRPr="00FA4CD0">
        <w:rPr>
          <w:rFonts w:ascii="Arial Narrow" w:hAnsi="Arial Narrow" w:cs="Arial Narrow"/>
          <w:noProof/>
          <w:sz w:val="22"/>
          <w:szCs w:val="24"/>
        </w:rPr>
        <w:t>, že realizovaním návratnej finančnej výpomoci vo forme úverov klesne objem dočasne voľných finančných prostriedkov úročených na term</w:t>
      </w:r>
      <w:r w:rsidR="005A52B2">
        <w:rPr>
          <w:rFonts w:ascii="Arial Narrow" w:hAnsi="Arial Narrow" w:cs="Arial Narrow"/>
          <w:noProof/>
          <w:sz w:val="22"/>
          <w:szCs w:val="24"/>
        </w:rPr>
        <w:t>í</w:t>
      </w:r>
      <w:r w:rsidRPr="00FA4CD0">
        <w:rPr>
          <w:rFonts w:ascii="Arial Narrow" w:hAnsi="Arial Narrow" w:cs="Arial Narrow"/>
          <w:noProof/>
          <w:sz w:val="22"/>
          <w:szCs w:val="24"/>
        </w:rPr>
        <w:t xml:space="preserve">novaných vkladoch v Štátnej pokladnici. </w:t>
      </w:r>
      <w:r>
        <w:rPr>
          <w:rFonts w:ascii="Arial Narrow" w:hAnsi="Arial Narrow" w:cs="Arial Narrow"/>
          <w:noProof/>
          <w:sz w:val="22"/>
          <w:szCs w:val="24"/>
        </w:rPr>
        <w:t>Oproti predchádzajúcim rokom fond pri</w:t>
      </w:r>
      <w:r w:rsidRPr="000365E0">
        <w:rPr>
          <w:rFonts w:ascii="Arial Narrow" w:hAnsi="Arial Narrow" w:cs="Arial Narrow"/>
          <w:noProof/>
          <w:sz w:val="22"/>
          <w:szCs w:val="24"/>
        </w:rPr>
        <w:t xml:space="preserve"> termínovaných vkladoch </w:t>
      </w:r>
      <w:r>
        <w:rPr>
          <w:rFonts w:ascii="Arial Narrow" w:hAnsi="Arial Narrow" w:cs="Arial Narrow"/>
          <w:noProof/>
          <w:sz w:val="22"/>
          <w:szCs w:val="24"/>
        </w:rPr>
        <w:t>predpokladá</w:t>
      </w:r>
      <w:r w:rsidRPr="00FA4CD0">
        <w:rPr>
          <w:rFonts w:ascii="Arial Narrow" w:hAnsi="Arial Narrow" w:cs="Arial Narrow"/>
          <w:noProof/>
          <w:sz w:val="22"/>
          <w:szCs w:val="24"/>
        </w:rPr>
        <w:t xml:space="preserve"> </w:t>
      </w:r>
      <w:r w:rsidRPr="000365E0">
        <w:rPr>
          <w:rFonts w:ascii="Arial Narrow" w:hAnsi="Arial Narrow" w:cs="Arial Narrow"/>
          <w:noProof/>
          <w:sz w:val="22"/>
          <w:szCs w:val="24"/>
        </w:rPr>
        <w:t>pokles úrokovýc</w:t>
      </w:r>
      <w:r>
        <w:rPr>
          <w:rFonts w:ascii="Arial Narrow" w:hAnsi="Arial Narrow" w:cs="Arial Narrow"/>
          <w:noProof/>
          <w:sz w:val="22"/>
          <w:szCs w:val="24"/>
        </w:rPr>
        <w:t xml:space="preserve">h sadzieb. </w:t>
      </w:r>
      <w:r w:rsidRPr="000365E0">
        <w:rPr>
          <w:rFonts w:ascii="Arial Narrow" w:hAnsi="Arial Narrow" w:cs="Arial Narrow"/>
          <w:noProof/>
          <w:sz w:val="22"/>
          <w:szCs w:val="24"/>
        </w:rPr>
        <w:t>Naopak</w:t>
      </w:r>
      <w:r>
        <w:rPr>
          <w:rFonts w:ascii="Arial Narrow" w:hAnsi="Arial Narrow" w:cs="Arial Narrow"/>
          <w:noProof/>
          <w:sz w:val="22"/>
          <w:szCs w:val="24"/>
        </w:rPr>
        <w:t>, v priebehu nasledujúcich r</w:t>
      </w:r>
      <w:r w:rsidRPr="000365E0">
        <w:rPr>
          <w:rFonts w:ascii="Arial Narrow" w:hAnsi="Arial Narrow" w:cs="Arial Narrow"/>
          <w:noProof/>
          <w:sz w:val="22"/>
          <w:szCs w:val="24"/>
        </w:rPr>
        <w:t xml:space="preserve">okov </w:t>
      </w:r>
      <w:r>
        <w:rPr>
          <w:rFonts w:ascii="Arial Narrow" w:hAnsi="Arial Narrow" w:cs="Arial Narrow"/>
          <w:noProof/>
          <w:sz w:val="22"/>
          <w:szCs w:val="24"/>
        </w:rPr>
        <w:t>fond očakáva</w:t>
      </w:r>
      <w:r w:rsidRPr="000365E0">
        <w:rPr>
          <w:rFonts w:ascii="Arial Narrow" w:hAnsi="Arial Narrow" w:cs="Arial Narrow"/>
          <w:noProof/>
          <w:sz w:val="22"/>
          <w:szCs w:val="24"/>
        </w:rPr>
        <w:t xml:space="preserve"> mierny nárast príjmov zo splátok úverov od úverovaných subjektov a úrokov z poskytnutých úverov. </w:t>
      </w:r>
    </w:p>
    <w:p w:rsidR="0084667A" w:rsidRPr="002B6785" w:rsidP="0084667A">
      <w:pPr>
        <w:jc w:val="both"/>
        <w:rPr>
          <w:rFonts w:ascii="Arial Narrow" w:hAnsi="Arial Narrow" w:cs="Arial Narrow"/>
          <w:sz w:val="22"/>
          <w:szCs w:val="24"/>
        </w:rPr>
      </w:pPr>
    </w:p>
    <w:p w:rsidR="0084667A" w:rsidRPr="005C4AE9" w:rsidP="0084667A">
      <w:pPr>
        <w:ind w:firstLine="708"/>
        <w:jc w:val="both"/>
        <w:rPr>
          <w:rFonts w:ascii="Arial Narrow" w:hAnsi="Arial Narrow" w:cs="Arial Narrow"/>
          <w:sz w:val="22"/>
          <w:szCs w:val="24"/>
        </w:rPr>
      </w:pPr>
      <w:r w:rsidRPr="00F46065">
        <w:rPr>
          <w:rFonts w:ascii="Arial Narrow" w:hAnsi="Arial Narrow" w:cs="Arial Narrow"/>
          <w:noProof/>
          <w:sz w:val="22"/>
          <w:szCs w:val="24"/>
        </w:rPr>
        <w:t xml:space="preserve">V roku 2010 </w:t>
      </w:r>
      <w:r>
        <w:rPr>
          <w:rFonts w:ascii="Arial Narrow" w:hAnsi="Arial Narrow" w:cs="Arial Narrow"/>
          <w:noProof/>
          <w:sz w:val="22"/>
          <w:szCs w:val="24"/>
        </w:rPr>
        <w:t>fond</w:t>
      </w:r>
      <w:r w:rsidRPr="00F46065">
        <w:rPr>
          <w:rFonts w:ascii="Arial Narrow" w:hAnsi="Arial Narrow" w:cs="Arial Narrow"/>
          <w:noProof/>
          <w:sz w:val="22"/>
          <w:szCs w:val="24"/>
        </w:rPr>
        <w:t xml:space="preserve"> predpokladá čerpanie výdavkov vo výške</w:t>
      </w:r>
      <w:r w:rsidRPr="00F46065">
        <w:rPr>
          <w:rFonts w:ascii="Arial Narrow" w:hAnsi="Arial Narrow" w:cs="Arial Narrow"/>
          <w:sz w:val="22"/>
          <w:szCs w:val="24"/>
        </w:rPr>
        <w:t xml:space="preserve"> </w:t>
      </w:r>
      <w:r w:rsidRPr="00F46065">
        <w:rPr>
          <w:rFonts w:ascii="Arial Narrow" w:hAnsi="Arial Narrow" w:cs="Arial Narrow"/>
          <w:noProof/>
          <w:sz w:val="22"/>
          <w:szCs w:val="24"/>
        </w:rPr>
        <w:t>128 mil. eur. Pri abstrahovaní od finančných operácií bude najväčšia</w:t>
      </w:r>
      <w:r w:rsidRPr="00F46065">
        <w:rPr>
          <w:rFonts w:ascii="Arial Narrow" w:hAnsi="Arial Narrow" w:cs="Arial Narrow"/>
          <w:sz w:val="22"/>
          <w:szCs w:val="24"/>
        </w:rPr>
        <w:t xml:space="preserve"> časť výdavkov smerovať vo forme bežných a kapitálových transferov príjemcom dotácií v oblasti životného prostredia, ktoré budú spolu s poskytnutými úvermi predstavovať </w:t>
      </w:r>
      <w:r>
        <w:rPr>
          <w:rFonts w:ascii="Arial Narrow" w:hAnsi="Arial Narrow" w:cs="Arial Narrow"/>
          <w:sz w:val="22"/>
          <w:szCs w:val="24"/>
        </w:rPr>
        <w:t>97,0</w:t>
      </w:r>
      <w:r w:rsidRPr="00F46065">
        <w:rPr>
          <w:rFonts w:ascii="Arial Narrow" w:hAnsi="Arial Narrow" w:cs="Arial Narrow"/>
          <w:sz w:val="22"/>
          <w:szCs w:val="24"/>
        </w:rPr>
        <w:t xml:space="preserve"> % z celkových </w:t>
      </w:r>
      <w:r w:rsidRPr="005C4AE9">
        <w:rPr>
          <w:rFonts w:ascii="Arial Narrow" w:hAnsi="Arial Narrow" w:cs="Arial Narrow"/>
          <w:sz w:val="22"/>
          <w:szCs w:val="24"/>
        </w:rPr>
        <w:t>výdavkov.</w:t>
      </w:r>
      <w:r w:rsidRPr="005C4AE9">
        <w:rPr>
          <w:rFonts w:ascii="Arial Narrow" w:hAnsi="Arial Narrow" w:cs="Arial Narrow"/>
          <w:color w:val="FF0000"/>
          <w:sz w:val="22"/>
          <w:szCs w:val="24"/>
        </w:rPr>
        <w:t xml:space="preserve"> </w:t>
      </w:r>
      <w:r w:rsidRPr="005C4AE9">
        <w:rPr>
          <w:rFonts w:ascii="Arial Narrow" w:hAnsi="Arial Narrow" w:cs="Arial Narrow"/>
          <w:sz w:val="22"/>
          <w:szCs w:val="24"/>
        </w:rPr>
        <w:t xml:space="preserve">Predpokladané výdavky na správu fondu by mali v rokoch 2009 až 2011 predstavovať  v priemere 1,21 mil. eur, t. j. 0,63 % z celkových príjmov. </w:t>
      </w:r>
    </w:p>
    <w:p w:rsidR="0084667A"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P="0084667A">
      <w:pPr>
        <w:jc w:val="both"/>
        <w:rPr>
          <w:rFonts w:ascii="Arial Narrow" w:hAnsi="Arial Narrow" w:cs="Arial Narrow"/>
          <w:sz w:val="22"/>
          <w:szCs w:val="24"/>
        </w:rPr>
      </w:pPr>
    </w:p>
    <w:p w:rsidR="00B847FB" w:rsidRPr="005C4AE9"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sidRPr="005C4AE9">
        <w:rPr>
          <w:rFonts w:ascii="Arial Narrow" w:hAnsi="Arial Narrow" w:cs="Arial Narrow"/>
          <w:sz w:val="22"/>
          <w:szCs w:val="24"/>
        </w:rPr>
        <w:t>Vývoj príjmovej a výdavkovej časti rozpočtu EF na roky 2009 až 2011 je nasledovný:</w:t>
      </w:r>
    </w:p>
    <w:p w:rsidR="0084667A" w:rsidP="0084667A">
      <w:pPr>
        <w:jc w:val="both"/>
        <w:rPr>
          <w:rFonts w:ascii="Arial Narrow" w:hAnsi="Arial Narrow" w:cs="Arial Narrow"/>
          <w:sz w:val="22"/>
          <w:szCs w:val="24"/>
        </w:rPr>
      </w:pPr>
    </w:p>
    <w:tbl>
      <w:tblPr>
        <w:tblStyle w:val="TableNormal"/>
        <w:tblW w:w="9250" w:type="dxa"/>
        <w:tblInd w:w="0" w:type="dxa"/>
        <w:tblLayout w:type="fixed"/>
        <w:tblCellMar>
          <w:left w:w="70" w:type="dxa"/>
          <w:right w:w="70" w:type="dxa"/>
        </w:tblCellMar>
      </w:tblPr>
      <w:tblGrid>
        <w:gridCol w:w="5110"/>
        <w:gridCol w:w="1035"/>
        <w:gridCol w:w="1035"/>
        <w:gridCol w:w="1035"/>
        <w:gridCol w:w="1035"/>
      </w:tblGrid>
      <w:tr>
        <w:tblPrEx>
          <w:tblW w:w="9250" w:type="dxa"/>
          <w:tblInd w:w="0" w:type="dxa"/>
          <w:tblLayout w:type="fixed"/>
          <w:tblCellMar>
            <w:left w:w="70" w:type="dxa"/>
            <w:right w:w="70" w:type="dxa"/>
          </w:tblCellMar>
        </w:tblPrEx>
        <w:trPr>
          <w:trHeight w:val="255"/>
        </w:trPr>
        <w:tc>
          <w:tcPr>
            <w:tcW w:w="5110" w:type="dxa"/>
            <w:tcBorders>
              <w:top w:val="single" w:sz="4" w:space="0" w:color="auto"/>
              <w:left w:val="single" w:sz="4" w:space="0" w:color="auto"/>
              <w:bottom w:val="single" w:sz="4" w:space="0" w:color="auto"/>
              <w:right w:val="single" w:sz="4" w:space="0" w:color="auto"/>
            </w:tcBorders>
            <w:shd w:val="clear" w:color="auto" w:fill="333333"/>
            <w:textDirection w:val="lrTb"/>
            <w:vAlign w:val="bottom"/>
          </w:tcPr>
          <w:p w:rsidR="0084667A" w:rsidRPr="00CF47E2" w:rsidP="002B1759">
            <w:pPr>
              <w:rPr>
                <w:rFonts w:ascii="Arial Narrow" w:hAnsi="Arial Narrow" w:cs="Arial Narrow"/>
                <w:b/>
                <w:color w:val="FFFFFF"/>
                <w:sz w:val="20"/>
                <w:szCs w:val="24"/>
              </w:rPr>
            </w:pPr>
            <w:r w:rsidRPr="00CF47E2">
              <w:rPr>
                <w:rFonts w:ascii="Arial Narrow" w:hAnsi="Arial Narrow" w:cs="Arial Narrow"/>
                <w:b/>
                <w:color w:val="FFFFFF"/>
                <w:sz w:val="20"/>
                <w:szCs w:val="24"/>
              </w:rPr>
              <w:t>(v tis. eur)</w:t>
            </w:r>
          </w:p>
        </w:tc>
        <w:tc>
          <w:tcPr>
            <w:tcW w:w="1035" w:type="dxa"/>
            <w:tcBorders>
              <w:top w:val="single" w:sz="4" w:space="0" w:color="auto"/>
              <w:left w:val="nil"/>
              <w:bottom w:val="single" w:sz="4" w:space="0" w:color="auto"/>
              <w:right w:val="single" w:sz="4" w:space="0" w:color="auto"/>
            </w:tcBorders>
            <w:shd w:val="clear" w:color="auto" w:fill="333333"/>
            <w:textDirection w:val="lrTb"/>
            <w:vAlign w:val="bottom"/>
          </w:tcPr>
          <w:p w:rsidR="0084667A" w:rsidRPr="00CF47E2" w:rsidP="002B1759">
            <w:pPr>
              <w:jc w:val="center"/>
              <w:rPr>
                <w:rFonts w:ascii="Arial Narrow" w:hAnsi="Arial Narrow" w:cs="Arial Narrow"/>
                <w:b/>
                <w:color w:val="FFFFFF"/>
                <w:sz w:val="20"/>
                <w:szCs w:val="24"/>
              </w:rPr>
            </w:pPr>
            <w:r w:rsidRPr="00CF47E2">
              <w:rPr>
                <w:rFonts w:ascii="Arial Narrow" w:hAnsi="Arial Narrow" w:cs="Arial Narrow"/>
                <w:b/>
                <w:color w:val="FFFFFF"/>
                <w:sz w:val="20"/>
                <w:szCs w:val="24"/>
              </w:rPr>
              <w:t>2009</w:t>
            </w:r>
          </w:p>
        </w:tc>
        <w:tc>
          <w:tcPr>
            <w:tcW w:w="1035" w:type="dxa"/>
            <w:tcBorders>
              <w:top w:val="single" w:sz="4" w:space="0" w:color="auto"/>
              <w:left w:val="nil"/>
              <w:bottom w:val="single" w:sz="4" w:space="0" w:color="auto"/>
              <w:right w:val="single" w:sz="4" w:space="0" w:color="auto"/>
            </w:tcBorders>
            <w:shd w:val="clear" w:color="auto" w:fill="333333"/>
            <w:textDirection w:val="lrTb"/>
            <w:vAlign w:val="bottom"/>
          </w:tcPr>
          <w:p w:rsidR="0084667A" w:rsidRPr="00CF47E2" w:rsidP="002B1759">
            <w:pPr>
              <w:jc w:val="center"/>
              <w:rPr>
                <w:rFonts w:ascii="Arial Narrow" w:hAnsi="Arial Narrow" w:cs="Arial Narrow"/>
                <w:b/>
                <w:color w:val="FFFFFF"/>
                <w:sz w:val="20"/>
                <w:szCs w:val="24"/>
              </w:rPr>
            </w:pPr>
            <w:r w:rsidRPr="00CF47E2">
              <w:rPr>
                <w:rFonts w:ascii="Arial Narrow" w:hAnsi="Arial Narrow" w:cs="Arial Narrow"/>
                <w:b/>
                <w:color w:val="FFFFFF"/>
                <w:sz w:val="20"/>
                <w:szCs w:val="24"/>
              </w:rPr>
              <w:t>2010</w:t>
            </w:r>
          </w:p>
        </w:tc>
        <w:tc>
          <w:tcPr>
            <w:tcW w:w="1035" w:type="dxa"/>
            <w:tcBorders>
              <w:top w:val="single" w:sz="4" w:space="0" w:color="auto"/>
              <w:left w:val="nil"/>
              <w:bottom w:val="single" w:sz="4" w:space="0" w:color="auto"/>
              <w:right w:val="single" w:sz="4" w:space="0" w:color="auto"/>
            </w:tcBorders>
            <w:shd w:val="clear" w:color="auto" w:fill="333333"/>
            <w:textDirection w:val="lrTb"/>
            <w:vAlign w:val="bottom"/>
          </w:tcPr>
          <w:p w:rsidR="0084667A" w:rsidRPr="00CF47E2" w:rsidP="002B1759">
            <w:pPr>
              <w:jc w:val="center"/>
              <w:rPr>
                <w:rFonts w:ascii="Arial Narrow" w:hAnsi="Arial Narrow" w:cs="Arial Narrow"/>
                <w:b/>
                <w:color w:val="FFFFFF"/>
                <w:sz w:val="20"/>
                <w:szCs w:val="24"/>
              </w:rPr>
            </w:pPr>
            <w:r w:rsidRPr="00CF47E2">
              <w:rPr>
                <w:rFonts w:ascii="Arial Narrow" w:hAnsi="Arial Narrow" w:cs="Arial Narrow"/>
                <w:b/>
                <w:color w:val="FFFFFF"/>
                <w:sz w:val="20"/>
                <w:szCs w:val="24"/>
              </w:rPr>
              <w:t>2011</w:t>
            </w:r>
          </w:p>
        </w:tc>
        <w:tc>
          <w:tcPr>
            <w:tcW w:w="1035" w:type="dxa"/>
            <w:tcBorders>
              <w:top w:val="single" w:sz="4" w:space="0" w:color="auto"/>
              <w:left w:val="nil"/>
              <w:bottom w:val="single" w:sz="4" w:space="0" w:color="auto"/>
              <w:right w:val="single" w:sz="4" w:space="0" w:color="auto"/>
            </w:tcBorders>
            <w:shd w:val="clear" w:color="auto" w:fill="333333"/>
            <w:textDirection w:val="lrTb"/>
            <w:vAlign w:val="bottom"/>
          </w:tcPr>
          <w:p w:rsidR="0084667A" w:rsidRPr="00CF47E2" w:rsidP="002B1759">
            <w:pPr>
              <w:jc w:val="center"/>
              <w:rPr>
                <w:rFonts w:ascii="Arial Narrow" w:hAnsi="Arial Narrow" w:cs="Arial Narrow"/>
                <w:b/>
                <w:color w:val="FFFFFF"/>
                <w:sz w:val="20"/>
                <w:szCs w:val="24"/>
              </w:rPr>
            </w:pPr>
            <w:r w:rsidRPr="00CF47E2">
              <w:rPr>
                <w:rFonts w:ascii="Arial Narrow" w:hAnsi="Arial Narrow" w:cs="Arial Narrow"/>
                <w:b/>
                <w:color w:val="FFFFFF"/>
                <w:sz w:val="20"/>
                <w:szCs w:val="24"/>
              </w:rPr>
              <w:t>2012</w:t>
            </w:r>
          </w:p>
        </w:tc>
      </w:tr>
      <w:tr>
        <w:tblPrEx>
          <w:tblW w:w="9250" w:type="dxa"/>
          <w:tblInd w:w="0" w:type="dxa"/>
          <w:tblLayout w:type="fixed"/>
          <w:tblCellMar>
            <w:left w:w="70" w:type="dxa"/>
            <w:right w:w="70" w:type="dxa"/>
          </w:tblCellMar>
        </w:tblPrEx>
        <w:trPr>
          <w:trHeight w:val="255"/>
        </w:trPr>
        <w:tc>
          <w:tcPr>
            <w:tcW w:w="5110" w:type="dxa"/>
            <w:tcBorders>
              <w:top w:val="single" w:sz="4" w:space="0" w:color="auto"/>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Príjmy EF  spolu</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133 771</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19</w:t>
            </w:r>
            <w:r w:rsidR="000545AE">
              <w:rPr>
                <w:rFonts w:ascii="Arial Narrow" w:hAnsi="Arial Narrow" w:cs="Arial Narrow"/>
                <w:b/>
                <w:i/>
                <w:sz w:val="20"/>
                <w:szCs w:val="24"/>
              </w:rPr>
              <w:t>9</w:t>
            </w:r>
            <w:r w:rsidRPr="00464820">
              <w:rPr>
                <w:rFonts w:ascii="Arial Narrow" w:hAnsi="Arial Narrow" w:cs="Arial Narrow"/>
                <w:b/>
                <w:i/>
                <w:sz w:val="20"/>
                <w:szCs w:val="24"/>
              </w:rPr>
              <w:t xml:space="preserve"> 791</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188 394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188 043</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nil"/>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z toho:</w:t>
            </w:r>
          </w:p>
        </w:tc>
        <w:tc>
          <w:tcPr>
            <w:tcW w:w="1035" w:type="dxa"/>
            <w:tcBorders>
              <w:top w:val="nil"/>
              <w:left w:val="nil"/>
              <w:bottom w:val="single" w:sz="4" w:space="0" w:color="auto"/>
              <w:right w:val="nil"/>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daňové príjmy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896</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1 156</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1 156</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1 156</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z úhrad za vydobyté nerasty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2 158</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2 655</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2 655</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2 655</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admin. poplatky a iné popl</w:t>
            </w:r>
            <w:r>
              <w:rPr>
                <w:rFonts w:ascii="Arial Narrow" w:hAnsi="Arial Narrow" w:cs="Arial Narrow"/>
                <w:sz w:val="20"/>
                <w:szCs w:val="24"/>
              </w:rPr>
              <w:t>atky</w:t>
            </w:r>
            <w:r w:rsidRPr="00464820">
              <w:rPr>
                <w:rFonts w:ascii="Arial Narrow" w:hAnsi="Arial Narrow" w:cs="Arial Narrow"/>
                <w:sz w:val="20"/>
                <w:szCs w:val="24"/>
              </w:rPr>
              <w:t xml:space="preserve"> a platby </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41 993</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43 443</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43 443</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43 443</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príjem z predaja kapitálových aktív</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80 000</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66 000</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66 000</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66 000</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w:t>
            </w:r>
            <w:r>
              <w:rPr>
                <w:rFonts w:ascii="Arial Narrow" w:hAnsi="Arial Narrow" w:cs="Arial Narrow"/>
                <w:sz w:val="20"/>
                <w:szCs w:val="24"/>
              </w:rPr>
              <w:t>úroky z tuzemských</w:t>
            </w:r>
            <w:r w:rsidRPr="00464820">
              <w:rPr>
                <w:rFonts w:ascii="Arial Narrow" w:hAnsi="Arial Narrow" w:cs="Arial Narrow"/>
                <w:sz w:val="20"/>
                <w:szCs w:val="24"/>
              </w:rPr>
              <w:t xml:space="preserve"> úverov, pôžičiek, vkladov a ážio </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505</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319</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349</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343</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iné nedaňové príjmy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0</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37</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37</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37</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zo splátok tuz</w:t>
            </w:r>
            <w:r>
              <w:rPr>
                <w:rFonts w:ascii="Arial Narrow" w:hAnsi="Arial Narrow" w:cs="Arial Narrow"/>
                <w:sz w:val="20"/>
                <w:szCs w:val="24"/>
              </w:rPr>
              <w:t>emských</w:t>
            </w:r>
            <w:r w:rsidRPr="00464820">
              <w:rPr>
                <w:rFonts w:ascii="Arial Narrow" w:hAnsi="Arial Narrow" w:cs="Arial Narrow"/>
                <w:sz w:val="20"/>
                <w:szCs w:val="24"/>
              </w:rPr>
              <w:t xml:space="preserve"> úverov a pôž</w:t>
            </w:r>
            <w:r>
              <w:rPr>
                <w:rFonts w:ascii="Arial Narrow" w:hAnsi="Arial Narrow" w:cs="Arial Narrow"/>
                <w:sz w:val="20"/>
                <w:szCs w:val="24"/>
              </w:rPr>
              <w:t>ičiek</w:t>
            </w:r>
            <w:r w:rsidRPr="00464820">
              <w:rPr>
                <w:rFonts w:ascii="Arial Narrow" w:hAnsi="Arial Narrow" w:cs="Arial Narrow"/>
                <w:sz w:val="20"/>
                <w:szCs w:val="24"/>
              </w:rPr>
              <w:t xml:space="preserve"> a NFV  (FO)</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1 660</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2 324</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2 987</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2 810</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zostatok prostr</w:t>
            </w:r>
            <w:r>
              <w:rPr>
                <w:rFonts w:ascii="Arial Narrow" w:hAnsi="Arial Narrow" w:cs="Arial Narrow"/>
                <w:sz w:val="20"/>
                <w:szCs w:val="24"/>
              </w:rPr>
              <w:t>iedkov</w:t>
            </w:r>
            <w:r w:rsidRPr="00464820">
              <w:rPr>
                <w:rFonts w:ascii="Arial Narrow" w:hAnsi="Arial Narrow" w:cs="Arial Narrow"/>
                <w:sz w:val="20"/>
                <w:szCs w:val="24"/>
              </w:rPr>
              <w:t xml:space="preserve"> z predch</w:t>
            </w:r>
            <w:r>
              <w:rPr>
                <w:rFonts w:ascii="Arial Narrow" w:hAnsi="Arial Narrow" w:cs="Arial Narrow"/>
                <w:sz w:val="20"/>
                <w:szCs w:val="24"/>
              </w:rPr>
              <w:t>ádzajúcich</w:t>
            </w:r>
            <w:r w:rsidRPr="00464820">
              <w:rPr>
                <w:rFonts w:ascii="Arial Narrow" w:hAnsi="Arial Narrow" w:cs="Arial Narrow"/>
                <w:sz w:val="20"/>
                <w:szCs w:val="24"/>
              </w:rPr>
              <w:t xml:space="preserve"> rokov (FO)</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6 559</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83 857</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71 767</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71 599</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nil"/>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single" w:sz="4" w:space="0" w:color="auto"/>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Výdavky EF  spolu</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49 914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128 024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116 795</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116 534</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nil"/>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z toho:</w:t>
            </w:r>
          </w:p>
        </w:tc>
        <w:tc>
          <w:tcPr>
            <w:tcW w:w="1035" w:type="dxa"/>
            <w:tcBorders>
              <w:top w:val="nil"/>
              <w:left w:val="nil"/>
              <w:bottom w:val="single" w:sz="4" w:space="0" w:color="auto"/>
              <w:right w:val="nil"/>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mzdy a odvody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735</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771</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808</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848</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tovary a služby (prev</w:t>
            </w:r>
            <w:r>
              <w:rPr>
                <w:rFonts w:ascii="Arial Narrow" w:hAnsi="Arial Narrow" w:cs="Arial Narrow"/>
                <w:sz w:val="20"/>
                <w:szCs w:val="24"/>
              </w:rPr>
              <w:t>ádzkové</w:t>
            </w:r>
            <w:r w:rsidRPr="00464820">
              <w:rPr>
                <w:rFonts w:ascii="Arial Narrow" w:hAnsi="Arial Narrow" w:cs="Arial Narrow"/>
                <w:sz w:val="20"/>
                <w:szCs w:val="24"/>
              </w:rPr>
              <w:t xml:space="preserve"> náklady)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3 016</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3 016</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3 022</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3 060</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bežné transfery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3 062</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2 873</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2 898</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2 798</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obstarávanie kapitál.  aktív</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31</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13</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17</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kapitálové transfery</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36 431</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39 387</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40 833</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40 911</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xml:space="preserve">      úvery, pôžičky a NFV v rámci VS   (FO)  </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6 639</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81 964</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69 220</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68 900</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nil"/>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shd w:val="clear" w:color="auto" w:fill="C0C0C0"/>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Celkový prebytok EF</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83 857</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71 767</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71 599</w:t>
            </w:r>
          </w:p>
        </w:tc>
        <w:tc>
          <w:tcPr>
            <w:tcW w:w="1035" w:type="dxa"/>
            <w:tcBorders>
              <w:top w:val="single" w:sz="4" w:space="0" w:color="auto"/>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71 509</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 vylúčenie finančných operácií</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-1 580</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-4 217</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-5 534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-5 509</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 xml:space="preserve">   z toho:</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vylúčenie príjmových FO</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-8 219</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-86 181</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-74 754</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-74 409</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textDirection w:val="lrTb"/>
            <w:vAlign w:val="bottom"/>
          </w:tcPr>
          <w:p w:rsidR="0084667A" w:rsidRPr="00464820" w:rsidP="002B1759">
            <w:pPr>
              <w:rPr>
                <w:rFonts w:ascii="Arial Narrow" w:hAnsi="Arial Narrow" w:cs="Arial Narrow"/>
                <w:sz w:val="20"/>
                <w:szCs w:val="24"/>
              </w:rPr>
            </w:pPr>
            <w:r>
              <w:rPr>
                <w:rFonts w:ascii="Arial Narrow" w:hAnsi="Arial Narrow" w:cs="Arial Narrow"/>
                <w:color w:val="000000"/>
                <w:sz w:val="20"/>
                <w:szCs w:val="24"/>
              </w:rPr>
              <w:t xml:space="preserve"> </w:t>
            </w:r>
            <w:r w:rsidRPr="00464820">
              <w:rPr>
                <w:rFonts w:ascii="Arial Narrow" w:hAnsi="Arial Narrow" w:cs="Arial Narrow"/>
                <w:color w:val="000000"/>
                <w:sz w:val="20"/>
                <w:szCs w:val="24"/>
              </w:rPr>
              <w:t>▪</w:t>
            </w:r>
            <w:r w:rsidRPr="00464820">
              <w:rPr>
                <w:rFonts w:ascii="Arial Narrow" w:hAnsi="Arial Narrow" w:cs="Arial Narrow"/>
                <w:sz w:val="20"/>
                <w:szCs w:val="24"/>
              </w:rPr>
              <w:t>      vylúčenie výdavkových FO</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6 639</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81 964</w:t>
            </w:r>
          </w:p>
        </w:tc>
        <w:tc>
          <w:tcPr>
            <w:tcW w:w="1035" w:type="dxa"/>
            <w:tcBorders>
              <w:top w:val="nil"/>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69 220</w:t>
            </w:r>
          </w:p>
        </w:tc>
        <w:tc>
          <w:tcPr>
            <w:tcW w:w="1035" w:type="dxa"/>
            <w:tcBorders>
              <w:top w:val="single" w:sz="4" w:space="0" w:color="auto"/>
              <w:left w:val="nil"/>
              <w:bottom w:val="single" w:sz="4" w:space="0" w:color="auto"/>
              <w:right w:val="single" w:sz="4" w:space="0" w:color="auto"/>
            </w:tcBorders>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68 900</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nil"/>
            </w:tcBorders>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464820" w:rsidP="002B1759">
            <w:pPr>
              <w:jc w:val="right"/>
              <w:rPr>
                <w:rFonts w:ascii="Arial Narrow" w:hAnsi="Arial Narrow" w:cs="Arial Narrow"/>
                <w:sz w:val="20"/>
                <w:szCs w:val="24"/>
              </w:rPr>
            </w:pPr>
            <w:r w:rsidRPr="00464820">
              <w:rPr>
                <w:rFonts w:ascii="Arial Narrow" w:hAnsi="Arial Narrow" w:cs="Arial Narrow"/>
                <w:sz w:val="20"/>
                <w:szCs w:val="24"/>
              </w:rPr>
              <w:t> </w:t>
            </w:r>
          </w:p>
        </w:tc>
      </w:tr>
      <w:tr>
        <w:tblPrEx>
          <w:tblW w:w="9250" w:type="dxa"/>
          <w:tblInd w:w="0" w:type="dxa"/>
          <w:tblLayout w:type="fixed"/>
          <w:tblCellMar>
            <w:left w:w="70" w:type="dxa"/>
            <w:right w:w="70" w:type="dxa"/>
          </w:tblCellMar>
        </w:tblPrEx>
        <w:trPr>
          <w:trHeight w:val="255"/>
        </w:trPr>
        <w:tc>
          <w:tcPr>
            <w:tcW w:w="5110" w:type="dxa"/>
            <w:tcBorders>
              <w:top w:val="nil"/>
              <w:left w:val="single" w:sz="4" w:space="0" w:color="auto"/>
              <w:bottom w:val="single" w:sz="4" w:space="0" w:color="auto"/>
              <w:right w:val="single" w:sz="4" w:space="0" w:color="auto"/>
            </w:tcBorders>
            <w:shd w:val="clear" w:color="auto" w:fill="C0C0C0"/>
            <w:textDirection w:val="lrTb"/>
            <w:vAlign w:val="bottom"/>
          </w:tcPr>
          <w:p w:rsidR="0084667A" w:rsidRPr="00464820" w:rsidP="002B1759">
            <w:pPr>
              <w:rPr>
                <w:rFonts w:ascii="Arial Narrow" w:hAnsi="Arial Narrow" w:cs="Arial Narrow"/>
                <w:b/>
                <w:i/>
                <w:sz w:val="20"/>
                <w:szCs w:val="24"/>
              </w:rPr>
            </w:pPr>
            <w:r w:rsidRPr="00464820">
              <w:rPr>
                <w:rFonts w:ascii="Arial Narrow" w:hAnsi="Arial Narrow" w:cs="Arial Narrow"/>
                <w:b/>
                <w:i/>
                <w:sz w:val="20"/>
                <w:szCs w:val="24"/>
              </w:rPr>
              <w:t>Prebytok  EF  (ESA 95)</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82 277</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67 550</w:t>
            </w:r>
          </w:p>
        </w:tc>
        <w:tc>
          <w:tcPr>
            <w:tcW w:w="1035" w:type="dxa"/>
            <w:tcBorders>
              <w:top w:val="nil"/>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66 065</w:t>
            </w:r>
          </w:p>
        </w:tc>
        <w:tc>
          <w:tcPr>
            <w:tcW w:w="1035" w:type="dxa"/>
            <w:tcBorders>
              <w:top w:val="single" w:sz="4" w:space="0" w:color="auto"/>
              <w:left w:val="nil"/>
              <w:bottom w:val="single" w:sz="4" w:space="0" w:color="auto"/>
              <w:right w:val="single" w:sz="4" w:space="0" w:color="auto"/>
            </w:tcBorders>
            <w:shd w:val="clear" w:color="auto" w:fill="C0C0C0"/>
            <w:textDirection w:val="lrTb"/>
            <w:vAlign w:val="bottom"/>
          </w:tcPr>
          <w:p w:rsidR="0084667A" w:rsidRPr="00464820" w:rsidP="002B1759">
            <w:pPr>
              <w:jc w:val="right"/>
              <w:rPr>
                <w:rFonts w:ascii="Arial Narrow" w:hAnsi="Arial Narrow" w:cs="Arial Narrow"/>
                <w:b/>
                <w:i/>
                <w:sz w:val="20"/>
                <w:szCs w:val="24"/>
              </w:rPr>
            </w:pPr>
            <w:r w:rsidRPr="00464820">
              <w:rPr>
                <w:rFonts w:ascii="Arial Narrow" w:hAnsi="Arial Narrow" w:cs="Arial Narrow"/>
                <w:b/>
                <w:i/>
                <w:sz w:val="20"/>
                <w:szCs w:val="24"/>
              </w:rPr>
              <w:t>66 000</w:t>
            </w:r>
          </w:p>
        </w:tc>
      </w:tr>
    </w:tbl>
    <w:p w:rsidR="0084667A" w:rsidP="0084667A">
      <w:pPr>
        <w:rPr>
          <w:rFonts w:ascii="Arial Narrow" w:hAnsi="Arial Narrow" w:cs="Arial Narrow"/>
          <w:b/>
          <w:szCs w:val="24"/>
        </w:rPr>
      </w:pPr>
    </w:p>
    <w:p w:rsidR="0084667A" w:rsidP="0084667A">
      <w:pPr>
        <w:rPr>
          <w:rFonts w:ascii="Arial Narrow" w:hAnsi="Arial Narrow" w:cs="Arial Narrow"/>
          <w:b/>
          <w:sz w:val="22"/>
          <w:szCs w:val="24"/>
        </w:rPr>
      </w:pPr>
    </w:p>
    <w:p w:rsidR="0084667A" w:rsidRPr="00FF4687" w:rsidP="0084667A">
      <w:pPr>
        <w:rPr>
          <w:rFonts w:ascii="Arial Narrow" w:hAnsi="Arial Narrow" w:cs="Arial Narrow"/>
          <w:b/>
          <w:szCs w:val="24"/>
        </w:rPr>
      </w:pPr>
      <w:r w:rsidRPr="00FF4687">
        <w:rPr>
          <w:rFonts w:ascii="Arial Narrow" w:hAnsi="Arial Narrow" w:cs="Arial Narrow"/>
          <w:b/>
          <w:szCs w:val="24"/>
        </w:rPr>
        <w:t>5. Slovenský pozemkový fond</w:t>
      </w:r>
    </w:p>
    <w:p w:rsidR="0084667A" w:rsidRPr="009A3EDD" w:rsidP="0084667A">
      <w:pPr>
        <w:ind w:firstLine="708"/>
        <w:jc w:val="both"/>
        <w:rPr>
          <w:rFonts w:ascii="Arial Narrow" w:hAnsi="Arial Narrow" w:cs="Arial Narrow"/>
          <w:sz w:val="22"/>
          <w:szCs w:val="24"/>
        </w:rPr>
      </w:pPr>
    </w:p>
    <w:p w:rsidR="0084667A" w:rsidRPr="009A3EDD" w:rsidP="0084667A">
      <w:pPr>
        <w:ind w:firstLine="708"/>
        <w:jc w:val="both"/>
        <w:rPr>
          <w:rFonts w:ascii="Arial Narrow" w:hAnsi="Arial Narrow" w:cs="Arial Narrow"/>
          <w:sz w:val="22"/>
          <w:szCs w:val="24"/>
        </w:rPr>
      </w:pPr>
      <w:r w:rsidRPr="009A3EDD">
        <w:rPr>
          <w:rFonts w:ascii="Arial Narrow" w:hAnsi="Arial Narrow" w:cs="Arial Narrow"/>
          <w:sz w:val="22"/>
          <w:szCs w:val="24"/>
        </w:rPr>
        <w:t xml:space="preserve">Celkové príjmy Slovenského pozemkového fondu (ďalej len „SPF“) v jednotlivých rozpočtových rokoch ovplyvňuje vývoj príjmov z podnikania a vlastníctva majetku, ako aj vývoj kapitálových príjmov. Ide o príjmy z nájomného za prenajaté pozemky v správe SPF a príjmy z predaja majetku. Dominantné postavenie v príjmovej časti navrhovaného rozpočtu SPF majú rozpočtované príjmy z výnosov pri správe majetku štátu podľa zákonov č. 229 a 330/1991 Zb. v znení neskorších predpisov. V rámci týchto rozpočtovaných príjmov sa rozhodujúcou mierou podieľajú predovšetkým príjmy za nájomné zo spravovaných pozemkov. Druhú rozhodujúcu položku v príjmovej časti rozpočtu predstavujú predpokladané príjmy z predaja SPF spravovaných pozemkov (v rozhodujúcej miere ide len o pozemky vo vlastníctve štátu). </w:t>
      </w:r>
    </w:p>
    <w:p w:rsidR="0084667A" w:rsidRPr="009A3EDD" w:rsidP="0084667A">
      <w:pPr>
        <w:ind w:firstLine="708"/>
        <w:jc w:val="both"/>
        <w:rPr>
          <w:rFonts w:ascii="Arial Narrow" w:hAnsi="Arial Narrow" w:cs="Arial Narrow"/>
          <w:sz w:val="22"/>
          <w:szCs w:val="24"/>
          <w:lang w:val="cs-CZ"/>
        </w:rPr>
      </w:pPr>
    </w:p>
    <w:p w:rsidR="0084667A" w:rsidRPr="009A3EDD" w:rsidP="0084667A">
      <w:pPr>
        <w:ind w:firstLine="708"/>
        <w:jc w:val="both"/>
        <w:rPr>
          <w:rFonts w:ascii="Arial Narrow" w:hAnsi="Arial Narrow" w:cs="Arial Narrow"/>
          <w:sz w:val="22"/>
          <w:szCs w:val="24"/>
        </w:rPr>
      </w:pPr>
      <w:r w:rsidRPr="009A3EDD">
        <w:rPr>
          <w:rFonts w:ascii="Arial Narrow" w:hAnsi="Arial Narrow" w:cs="Arial Narrow"/>
          <w:sz w:val="22"/>
          <w:szCs w:val="24"/>
          <w:lang w:val="cs-CZ"/>
        </w:rPr>
        <w:t>V</w:t>
      </w:r>
      <w:r w:rsidRPr="009A3EDD">
        <w:rPr>
          <w:rFonts w:ascii="Arial Narrow" w:hAnsi="Arial Narrow" w:cs="Arial Narrow"/>
          <w:sz w:val="22"/>
          <w:szCs w:val="24"/>
        </w:rPr>
        <w:t xml:space="preserve">ýdavková časť navrhovaného rozpočtu primerane odzrkadľuje jeho príjmovú časť so zámerom zachovať vyrovnané hotovostné hospodárenie SPF. Dominujú v nej hlavne výdavkové tituly, ktorých financovanie pre SPF vyplýva z príslušných právnych predpisov, upravujúcich jeho postavenie a činnosti. Ide hlavne o plnenie reštitučných nárokov oprávnených osôb a usporiadanie vlastníctva k pozemkom. V návrhu rozpočtu na rok 2010, v zmysle uznesení vlády SR č. 807/2005 a 970/2005, je zapracovaný transfer Ministerstvu pôdohospodárstva SR v objeme 4 979 tis. eur, účelovo určený na financovanie nákladov súvisiacich s „Registrom obnovenej evidencie pozemkov“ (ROEP), ako aj zmiernenie škôd v pôdohospodárstve, spôsobených živelnými pohromami. </w:t>
      </w:r>
    </w:p>
    <w:p w:rsidR="0084667A" w:rsidP="0084667A">
      <w:pPr>
        <w:jc w:val="both"/>
        <w:rPr>
          <w:rFonts w:ascii="Arial Narrow" w:hAnsi="Arial Narrow" w:cs="Arial Narrow"/>
          <w:sz w:val="22"/>
          <w:szCs w:val="24"/>
          <w:lang w:val="cs-CZ"/>
        </w:rPr>
      </w:pPr>
      <w:r w:rsidRPr="009A3EDD">
        <w:rPr>
          <w:rFonts w:ascii="Arial Narrow" w:hAnsi="Arial Narrow" w:cs="Arial Narrow"/>
          <w:sz w:val="22"/>
          <w:szCs w:val="24"/>
          <w:lang w:val="cs-CZ"/>
        </w:rPr>
        <w:tab/>
      </w:r>
    </w:p>
    <w:p w:rsidR="00B847FB" w:rsidP="0084667A">
      <w:pPr>
        <w:jc w:val="both"/>
        <w:rPr>
          <w:rFonts w:ascii="Arial Narrow" w:hAnsi="Arial Narrow" w:cs="Arial Narrow"/>
          <w:sz w:val="22"/>
          <w:szCs w:val="24"/>
          <w:lang w:val="cs-CZ"/>
        </w:rPr>
      </w:pPr>
    </w:p>
    <w:p w:rsidR="00B847FB" w:rsidP="0084667A">
      <w:pPr>
        <w:jc w:val="both"/>
        <w:rPr>
          <w:rFonts w:ascii="Arial Narrow" w:hAnsi="Arial Narrow" w:cs="Arial Narrow"/>
          <w:sz w:val="22"/>
          <w:szCs w:val="24"/>
          <w:lang w:val="cs-CZ"/>
        </w:rPr>
      </w:pPr>
    </w:p>
    <w:p w:rsidR="00B847FB" w:rsidP="0084667A">
      <w:pPr>
        <w:jc w:val="both"/>
        <w:rPr>
          <w:rFonts w:ascii="Arial Narrow" w:hAnsi="Arial Narrow" w:cs="Arial Narrow"/>
          <w:sz w:val="22"/>
          <w:szCs w:val="24"/>
          <w:lang w:val="cs-CZ"/>
        </w:rPr>
      </w:pPr>
    </w:p>
    <w:p w:rsidR="00B847FB" w:rsidRPr="009A3EDD" w:rsidP="0084667A">
      <w:pPr>
        <w:jc w:val="both"/>
        <w:rPr>
          <w:rFonts w:ascii="Arial Narrow" w:hAnsi="Arial Narrow" w:cs="Arial Narrow"/>
          <w:sz w:val="22"/>
          <w:szCs w:val="24"/>
        </w:rPr>
      </w:pPr>
    </w:p>
    <w:p w:rsidR="0084667A" w:rsidRPr="009A3EDD" w:rsidP="0084667A">
      <w:pPr>
        <w:ind w:firstLine="708"/>
        <w:jc w:val="both"/>
        <w:rPr>
          <w:rFonts w:ascii="Arial Narrow" w:hAnsi="Arial Narrow" w:cs="Arial Narrow"/>
          <w:sz w:val="22"/>
          <w:szCs w:val="24"/>
        </w:rPr>
      </w:pPr>
      <w:r w:rsidRPr="009A3EDD">
        <w:rPr>
          <w:rFonts w:ascii="Arial Narrow" w:hAnsi="Arial Narrow" w:cs="Arial Narrow"/>
          <w:sz w:val="22"/>
          <w:szCs w:val="24"/>
        </w:rPr>
        <w:t>Vývoj príjmovej a výdavkovej časti rozpočtu SPF na roky 2010 až 2012  je nasledovný:</w:t>
      </w:r>
    </w:p>
    <w:p w:rsidR="0084667A" w:rsidRPr="009A3EDD" w:rsidP="0084667A">
      <w:pPr>
        <w:ind w:left="4956" w:firstLine="708"/>
        <w:rPr>
          <w:rFonts w:ascii="Arial Narrow" w:hAnsi="Arial Narrow" w:cs="Arial Narrow"/>
          <w:sz w:val="22"/>
          <w:szCs w:val="24"/>
        </w:rPr>
      </w:pPr>
      <w:r w:rsidRPr="009A3EDD">
        <w:rPr>
          <w:rFonts w:ascii="Arial Narrow" w:hAnsi="Arial Narrow" w:cs="Arial Narrow"/>
          <w:sz w:val="22"/>
          <w:szCs w:val="24"/>
        </w:rPr>
        <w:t xml:space="preserve"> </w:t>
        <w:tab/>
        <w:tab/>
        <w:tab/>
      </w:r>
    </w:p>
    <w:tbl>
      <w:tblPr>
        <w:tblStyle w:val="TableNormal"/>
        <w:tblW w:w="9288" w:type="dxa"/>
        <w:tblInd w:w="0" w:type="dxa"/>
        <w:tblBorders>
          <w:top w:val="single" w:sz="4" w:space="0" w:color="auto"/>
          <w:left w:val="single" w:sz="4" w:space="0" w:color="auto"/>
          <w:bottom w:val="single" w:sz="4" w:space="0" w:color="auto"/>
          <w:right w:val="single" w:sz="4" w:space="0" w:color="auto"/>
        </w:tblBorders>
      </w:tblPr>
      <w:tblGrid>
        <w:gridCol w:w="4968"/>
        <w:gridCol w:w="1080"/>
        <w:gridCol w:w="1080"/>
        <w:gridCol w:w="1080"/>
        <w:gridCol w:w="1080"/>
      </w:tblGrid>
      <w:tr>
        <w:tblPrEx>
          <w:tblW w:w="9288" w:type="dxa"/>
          <w:tblInd w:w="0" w:type="dxa"/>
          <w:tblBorders>
            <w:top w:val="single" w:sz="4" w:space="0" w:color="auto"/>
            <w:left w:val="single" w:sz="4" w:space="0" w:color="auto"/>
            <w:bottom w:val="single" w:sz="4" w:space="0" w:color="auto"/>
            <w:right w:val="single" w:sz="4" w:space="0" w:color="auto"/>
          </w:tblBorders>
        </w:tblPrEx>
        <w:trPr>
          <w:trHeight w:hRule="exact" w:val="227"/>
        </w:trPr>
        <w:tc>
          <w:tcPr>
            <w:tcW w:w="4968"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F26174" w:rsidP="002B1759">
            <w:pPr>
              <w:rPr>
                <w:rFonts w:ascii="Arial Narrow" w:hAnsi="Arial Narrow" w:cs="Arial Narrow"/>
                <w:b/>
                <w:color w:val="FFFFFF"/>
                <w:sz w:val="20"/>
                <w:szCs w:val="24"/>
              </w:rPr>
            </w:pPr>
            <w:r w:rsidRPr="00F26174">
              <w:rPr>
                <w:rFonts w:ascii="Arial Narrow" w:hAnsi="Arial Narrow" w:cs="Arial Narrow"/>
                <w:b/>
                <w:color w:val="FFFFFF"/>
                <w:sz w:val="20"/>
                <w:szCs w:val="24"/>
              </w:rPr>
              <w:t>(v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F26174" w:rsidP="002B1759">
            <w:pPr>
              <w:jc w:val="center"/>
              <w:rPr>
                <w:rFonts w:ascii="Arial Narrow" w:hAnsi="Arial Narrow" w:cs="Arial Narrow"/>
                <w:b/>
                <w:color w:val="FFFFFF"/>
                <w:sz w:val="20"/>
                <w:szCs w:val="24"/>
              </w:rPr>
            </w:pPr>
            <w:r w:rsidRPr="00F26174">
              <w:rPr>
                <w:rFonts w:ascii="Arial Narrow" w:hAnsi="Arial Narrow" w:cs="Arial Narrow"/>
                <w:b/>
                <w:color w:val="FFFFFF"/>
                <w:sz w:val="20"/>
                <w:szCs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F26174" w:rsidP="002B1759">
            <w:pPr>
              <w:jc w:val="center"/>
              <w:rPr>
                <w:rFonts w:ascii="Arial Narrow" w:hAnsi="Arial Narrow" w:cs="Arial Narrow"/>
                <w:b/>
                <w:color w:val="FFFFFF"/>
                <w:sz w:val="20"/>
                <w:szCs w:val="24"/>
              </w:rPr>
            </w:pPr>
            <w:r w:rsidRPr="00F26174">
              <w:rPr>
                <w:rFonts w:ascii="Arial Narrow" w:hAnsi="Arial Narrow" w:cs="Arial Narrow"/>
                <w:b/>
                <w:color w:val="FFFFFF"/>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F26174" w:rsidP="002B1759">
            <w:pPr>
              <w:jc w:val="center"/>
              <w:rPr>
                <w:rFonts w:ascii="Arial Narrow" w:hAnsi="Arial Narrow" w:cs="Arial Narrow"/>
                <w:b/>
                <w:color w:val="FFFFFF"/>
                <w:sz w:val="20"/>
                <w:szCs w:val="24"/>
              </w:rPr>
            </w:pPr>
            <w:r w:rsidRPr="00F26174">
              <w:rPr>
                <w:rFonts w:ascii="Arial Narrow" w:hAnsi="Arial Narrow" w:cs="Arial Narrow"/>
                <w:b/>
                <w:color w:val="FFFFFF"/>
                <w:sz w:val="20"/>
                <w:szCs w:val="24"/>
              </w:rPr>
              <w:t>2011</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F26174" w:rsidP="002B1759">
            <w:pPr>
              <w:jc w:val="center"/>
              <w:rPr>
                <w:rFonts w:ascii="Arial Narrow" w:hAnsi="Arial Narrow" w:cs="Arial Narrow"/>
                <w:b/>
                <w:color w:val="FFFFFF"/>
                <w:sz w:val="20"/>
                <w:szCs w:val="24"/>
              </w:rPr>
            </w:pPr>
            <w:r w:rsidRPr="00F26174">
              <w:rPr>
                <w:rFonts w:ascii="Arial Narrow" w:hAnsi="Arial Narrow" w:cs="Arial Narrow"/>
                <w:b/>
                <w:color w:val="FFFFFF"/>
                <w:sz w:val="20"/>
                <w:szCs w:val="24"/>
              </w:rPr>
              <w:t>2012</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Príjmy SPF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19 330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20 058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16 282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16 747</w:t>
            </w:r>
          </w:p>
        </w:tc>
      </w:tr>
      <w:tr>
        <w:tblPrEx>
          <w:tblW w:w="9288" w:type="dxa"/>
          <w:tblInd w:w="0" w:type="dxa"/>
        </w:tblPrEx>
        <w:trPr>
          <w:trHeight w:hRule="exact" w:val="227"/>
        </w:trPr>
        <w:tc>
          <w:tcPr>
            <w:tcW w:w="928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8"/>
              </w:numPr>
              <w:jc w:val="both"/>
              <w:rPr>
                <w:rFonts w:ascii="Arial Narrow" w:hAnsi="Arial Narrow" w:cs="Arial Narrow"/>
                <w:sz w:val="20"/>
                <w:szCs w:val="24"/>
              </w:rPr>
            </w:pPr>
            <w:r w:rsidRPr="00F26174">
              <w:rPr>
                <w:rFonts w:ascii="Arial Narrow" w:hAnsi="Arial Narrow" w:cs="Arial Narrow"/>
                <w:sz w:val="20"/>
                <w:szCs w:val="24"/>
              </w:rPr>
              <w:t>príjmy z podnikania a z vlast</w:t>
            </w:r>
            <w:r>
              <w:rPr>
                <w:rFonts w:ascii="Arial Narrow" w:hAnsi="Arial Narrow" w:cs="Arial Narrow"/>
                <w:sz w:val="20"/>
                <w:szCs w:val="24"/>
              </w:rPr>
              <w:t>níctva</w:t>
            </w:r>
            <w:r w:rsidRPr="00F26174">
              <w:rPr>
                <w:rFonts w:ascii="Arial Narrow" w:hAnsi="Arial Narrow" w:cs="Arial Narrow"/>
                <w:sz w:val="20"/>
                <w:szCs w:val="24"/>
              </w:rPr>
              <w:t xml:space="preserve"> majetku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9 966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9 839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9 693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9 730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8"/>
              </w:numPr>
              <w:jc w:val="both"/>
              <w:rPr>
                <w:rFonts w:ascii="Arial Narrow" w:hAnsi="Arial Narrow" w:cs="Arial Narrow"/>
                <w:sz w:val="20"/>
                <w:szCs w:val="24"/>
              </w:rPr>
            </w:pPr>
            <w:r w:rsidRPr="00F26174">
              <w:rPr>
                <w:rFonts w:ascii="Arial Narrow" w:hAnsi="Arial Narrow" w:cs="Arial Narrow"/>
                <w:sz w:val="20"/>
                <w:szCs w:val="24"/>
              </w:rPr>
              <w:t>kapitálové príjmy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6 758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8 500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5 312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6 047</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9"/>
              </w:numPr>
              <w:jc w:val="both"/>
              <w:rPr>
                <w:rFonts w:ascii="Arial Narrow" w:hAnsi="Arial Narrow" w:cs="Arial Narrow"/>
                <w:sz w:val="20"/>
                <w:szCs w:val="24"/>
              </w:rPr>
            </w:pPr>
            <w:r w:rsidRPr="00F26174">
              <w:rPr>
                <w:rFonts w:ascii="Arial Narrow" w:hAnsi="Arial Narrow" w:cs="Arial Narrow"/>
                <w:sz w:val="20"/>
                <w:szCs w:val="24"/>
              </w:rPr>
              <w:t>úroky z</w:t>
            </w:r>
            <w:r>
              <w:rPr>
                <w:rFonts w:ascii="Arial Narrow" w:hAnsi="Arial Narrow" w:cs="Arial Narrow"/>
                <w:sz w:val="20"/>
                <w:szCs w:val="24"/>
              </w:rPr>
              <w:t> </w:t>
            </w:r>
            <w:r w:rsidRPr="00F26174">
              <w:rPr>
                <w:rFonts w:ascii="Arial Narrow" w:hAnsi="Arial Narrow" w:cs="Arial Narrow"/>
                <w:sz w:val="20"/>
                <w:szCs w:val="24"/>
              </w:rPr>
              <w:t>tuzem</w:t>
            </w:r>
            <w:r>
              <w:rPr>
                <w:rFonts w:ascii="Arial Narrow" w:hAnsi="Arial Narrow" w:cs="Arial Narrow"/>
                <w:sz w:val="20"/>
                <w:szCs w:val="24"/>
              </w:rPr>
              <w:t>ských</w:t>
            </w:r>
            <w:r w:rsidRPr="00F26174">
              <w:rPr>
                <w:rFonts w:ascii="Arial Narrow" w:hAnsi="Arial Narrow" w:cs="Arial Narrow"/>
                <w:sz w:val="20"/>
                <w:szCs w:val="24"/>
              </w:rPr>
              <w:t xml:space="preserve"> úverov, pôžičiek, NFV</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1 510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1 013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846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710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9"/>
              </w:numPr>
              <w:jc w:val="both"/>
              <w:rPr>
                <w:rFonts w:ascii="Arial Narrow" w:hAnsi="Arial Narrow" w:cs="Arial Narrow"/>
                <w:sz w:val="20"/>
                <w:szCs w:val="24"/>
              </w:rPr>
            </w:pPr>
            <w:r w:rsidRPr="00F26174">
              <w:rPr>
                <w:rFonts w:ascii="Arial Narrow" w:hAnsi="Arial Narrow" w:cs="Arial Narrow"/>
                <w:sz w:val="20"/>
                <w:szCs w:val="24"/>
              </w:rPr>
              <w:t>ostat</w:t>
            </w:r>
            <w:r>
              <w:rPr>
                <w:rFonts w:ascii="Arial Narrow" w:hAnsi="Arial Narrow" w:cs="Arial Narrow"/>
                <w:sz w:val="20"/>
                <w:szCs w:val="24"/>
              </w:rPr>
              <w:t>né nedaňové príjmy (administratívne poplatky a platby</w:t>
            </w:r>
            <w:r w:rsidRPr="00F26174">
              <w:rPr>
                <w:rFonts w:ascii="Arial Narrow" w:hAnsi="Arial Narrow" w:cs="Arial Narrow"/>
                <w:sz w:val="20"/>
                <w:szCs w:val="24"/>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306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9"/>
              </w:numPr>
              <w:jc w:val="both"/>
              <w:rPr>
                <w:rFonts w:ascii="Arial Narrow" w:hAnsi="Arial Narrow" w:cs="Arial Narrow"/>
                <w:sz w:val="20"/>
                <w:szCs w:val="24"/>
              </w:rPr>
            </w:pPr>
            <w:r w:rsidRPr="00F26174">
              <w:rPr>
                <w:rFonts w:ascii="Arial Narrow" w:hAnsi="Arial Narrow" w:cs="Arial Narrow"/>
                <w:sz w:val="20"/>
                <w:szCs w:val="24"/>
              </w:rPr>
              <w:t>príjmy z privatizácie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365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200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9"/>
              </w:numPr>
              <w:jc w:val="both"/>
              <w:rPr>
                <w:rFonts w:ascii="Arial Narrow" w:hAnsi="Arial Narrow" w:cs="Arial Narrow"/>
                <w:sz w:val="20"/>
                <w:szCs w:val="24"/>
              </w:rPr>
            </w:pPr>
            <w:r w:rsidRPr="00F26174">
              <w:rPr>
                <w:rFonts w:ascii="Arial Narrow" w:hAnsi="Arial Narrow" w:cs="Arial Narrow"/>
                <w:sz w:val="20"/>
                <w:szCs w:val="24"/>
              </w:rPr>
              <w:t>zostatok pros</w:t>
            </w:r>
            <w:r>
              <w:rPr>
                <w:rFonts w:ascii="Arial Narrow" w:hAnsi="Arial Narrow" w:cs="Arial Narrow"/>
                <w:sz w:val="20"/>
                <w:szCs w:val="24"/>
              </w:rPr>
              <w:t>triedkov</w:t>
            </w:r>
            <w:r w:rsidRPr="00F26174">
              <w:rPr>
                <w:rFonts w:ascii="Arial Narrow" w:hAnsi="Arial Narrow" w:cs="Arial Narrow"/>
                <w:sz w:val="20"/>
                <w:szCs w:val="24"/>
              </w:rPr>
              <w:t xml:space="preserve"> z predch</w:t>
            </w:r>
            <w:r>
              <w:rPr>
                <w:rFonts w:ascii="Arial Narrow" w:hAnsi="Arial Narrow" w:cs="Arial Narrow"/>
                <w:sz w:val="20"/>
                <w:szCs w:val="24"/>
              </w:rPr>
              <w:t>ádzajúcich</w:t>
            </w:r>
            <w:r w:rsidRPr="00F26174">
              <w:rPr>
                <w:rFonts w:ascii="Arial Narrow" w:hAnsi="Arial Narrow" w:cs="Arial Narrow"/>
                <w:sz w:val="20"/>
                <w:szCs w:val="24"/>
              </w:rPr>
              <w:t xml:space="preserve"> rokov (FO)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r>
      <w:tr>
        <w:tblPrEx>
          <w:tblW w:w="9288" w:type="dxa"/>
          <w:tblInd w:w="0" w:type="dxa"/>
        </w:tblPrEx>
        <w:trPr>
          <w:trHeight w:hRule="exact" w:val="227"/>
        </w:trPr>
        <w:tc>
          <w:tcPr>
            <w:tcW w:w="928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Výdavky SPF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19 330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20 058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16 282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16 747</w:t>
            </w:r>
          </w:p>
        </w:tc>
      </w:tr>
      <w:tr>
        <w:tblPrEx>
          <w:tblW w:w="9288" w:type="dxa"/>
          <w:tblInd w:w="0" w:type="dxa"/>
        </w:tblPrEx>
        <w:trPr>
          <w:trHeight w:hRule="exact" w:val="227"/>
        </w:trPr>
        <w:tc>
          <w:tcPr>
            <w:tcW w:w="928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z toho:</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0"/>
              </w:numPr>
              <w:jc w:val="both"/>
              <w:rPr>
                <w:rFonts w:ascii="Arial Narrow" w:hAnsi="Arial Narrow" w:cs="Arial Narrow"/>
                <w:sz w:val="20"/>
                <w:szCs w:val="24"/>
              </w:rPr>
            </w:pPr>
            <w:r w:rsidRPr="00F26174">
              <w:rPr>
                <w:rFonts w:ascii="Arial Narrow" w:hAnsi="Arial Narrow" w:cs="Arial Narrow"/>
                <w:sz w:val="20"/>
                <w:szCs w:val="24"/>
              </w:rPr>
              <w:t xml:space="preserve">mzdy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3 786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4 330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4 459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4 790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0"/>
              </w:numPr>
              <w:jc w:val="both"/>
              <w:rPr>
                <w:rFonts w:ascii="Arial Narrow" w:hAnsi="Arial Narrow" w:cs="Arial Narrow"/>
                <w:sz w:val="20"/>
                <w:szCs w:val="24"/>
              </w:rPr>
            </w:pPr>
            <w:r w:rsidRPr="00F26174">
              <w:rPr>
                <w:rFonts w:ascii="Arial Narrow" w:hAnsi="Arial Narrow" w:cs="Arial Narrow"/>
                <w:sz w:val="20"/>
                <w:szCs w:val="24"/>
              </w:rPr>
              <w:t>odvody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1 331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1 561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1 514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1 726</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0"/>
              </w:numPr>
              <w:jc w:val="both"/>
              <w:rPr>
                <w:rFonts w:ascii="Arial Narrow" w:hAnsi="Arial Narrow" w:cs="Arial Narrow"/>
                <w:sz w:val="20"/>
                <w:szCs w:val="24"/>
              </w:rPr>
            </w:pPr>
            <w:r w:rsidRPr="00F26174">
              <w:rPr>
                <w:rFonts w:ascii="Arial Narrow" w:hAnsi="Arial Narrow" w:cs="Arial Narrow"/>
                <w:sz w:val="20"/>
                <w:szCs w:val="24"/>
              </w:rPr>
              <w:t xml:space="preserve">tovary a služby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6 307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7 087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6 833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7 836</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0"/>
              </w:numPr>
              <w:jc w:val="both"/>
              <w:rPr>
                <w:rFonts w:ascii="Arial Narrow" w:hAnsi="Arial Narrow" w:cs="Arial Narrow"/>
                <w:sz w:val="20"/>
                <w:szCs w:val="24"/>
              </w:rPr>
            </w:pPr>
            <w:r w:rsidRPr="00F26174">
              <w:rPr>
                <w:rFonts w:ascii="Arial Narrow" w:hAnsi="Arial Narrow" w:cs="Arial Narrow"/>
                <w:sz w:val="20"/>
                <w:szCs w:val="24"/>
              </w:rPr>
              <w:t>bežné transfery (reštitúcie a</w:t>
            </w:r>
            <w:r>
              <w:rPr>
                <w:rFonts w:ascii="Arial Narrow" w:hAnsi="Arial Narrow" w:cs="Arial Narrow"/>
                <w:sz w:val="20"/>
                <w:szCs w:val="24"/>
              </w:rPr>
              <w:t> </w:t>
            </w:r>
            <w:r w:rsidRPr="00F26174">
              <w:rPr>
                <w:rFonts w:ascii="Arial Narrow" w:hAnsi="Arial Narrow" w:cs="Arial Narrow"/>
                <w:sz w:val="20"/>
                <w:szCs w:val="24"/>
              </w:rPr>
              <w:t>fin</w:t>
            </w:r>
            <w:r>
              <w:rPr>
                <w:rFonts w:ascii="Arial Narrow" w:hAnsi="Arial Narrow" w:cs="Arial Narrow"/>
                <w:sz w:val="20"/>
                <w:szCs w:val="24"/>
              </w:rPr>
              <w:t xml:space="preserve">ančné </w:t>
            </w:r>
            <w:r w:rsidRPr="00F26174">
              <w:rPr>
                <w:rFonts w:ascii="Arial Narrow" w:hAnsi="Arial Narrow" w:cs="Arial Narrow"/>
                <w:sz w:val="20"/>
                <w:szCs w:val="24"/>
              </w:rPr>
              <w:t>náhr</w:t>
            </w:r>
            <w:r>
              <w:rPr>
                <w:rFonts w:ascii="Arial Narrow" w:hAnsi="Arial Narrow" w:cs="Arial Narrow"/>
                <w:sz w:val="20"/>
                <w:szCs w:val="24"/>
              </w:rPr>
              <w:t>ady</w:t>
            </w:r>
            <w:r w:rsidRPr="00F26174">
              <w:rPr>
                <w:rFonts w:ascii="Arial Narrow" w:hAnsi="Arial Narrow" w:cs="Arial Narrow"/>
                <w:sz w:val="20"/>
                <w:szCs w:val="24"/>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 xml:space="preserve">6 562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6 117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1 352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1 309</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r w:rsidRPr="00F26174">
              <w:rPr>
                <w:rFonts w:ascii="Arial Narrow" w:hAnsi="Arial Narrow" w:cs="Arial Narrow"/>
                <w:sz w:val="20"/>
                <w:szCs w:val="24"/>
              </w:rPr>
              <w:t xml:space="preserve">        z toho:  transfery v rámci VS</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4 979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4 979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0"/>
              </w:numPr>
              <w:jc w:val="both"/>
              <w:rPr>
                <w:rFonts w:ascii="Arial Narrow" w:hAnsi="Arial Narrow" w:cs="Arial Narrow"/>
                <w:sz w:val="20"/>
                <w:szCs w:val="24"/>
              </w:rPr>
            </w:pPr>
            <w:r w:rsidRPr="00F26174">
              <w:rPr>
                <w:rFonts w:ascii="Arial Narrow" w:hAnsi="Arial Narrow" w:cs="Arial Narrow"/>
                <w:sz w:val="20"/>
                <w:szCs w:val="24"/>
              </w:rPr>
              <w:t>kapitálové výdavky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1 344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963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2 124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1 086</w:t>
            </w:r>
          </w:p>
        </w:tc>
      </w:tr>
      <w:tr>
        <w:tblPrEx>
          <w:tblW w:w="9288" w:type="dxa"/>
          <w:tblInd w:w="0" w:type="dxa"/>
        </w:tblPrEx>
        <w:trPr>
          <w:trHeight w:hRule="exact" w:val="227"/>
        </w:trPr>
        <w:tc>
          <w:tcPr>
            <w:tcW w:w="928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Celková bilancia SPF</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vylúčenie finančných operácií</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-432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-400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-365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-200</w:t>
            </w:r>
          </w:p>
        </w:tc>
      </w:tr>
      <w:tr>
        <w:tblPrEx>
          <w:tblW w:w="9288" w:type="dxa"/>
          <w:tblInd w:w="0" w:type="dxa"/>
        </w:tblPrEx>
        <w:trPr>
          <w:trHeight w:hRule="exact" w:val="227"/>
        </w:trPr>
        <w:tc>
          <w:tcPr>
            <w:tcW w:w="9288"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z toho:</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numPr>
                <w:numId w:val="11"/>
              </w:numPr>
              <w:jc w:val="both"/>
              <w:rPr>
                <w:rFonts w:ascii="Arial Narrow" w:hAnsi="Arial Narrow" w:cs="Arial Narrow"/>
                <w:b/>
                <w:sz w:val="20"/>
                <w:szCs w:val="24"/>
              </w:rPr>
            </w:pPr>
            <w:r w:rsidRPr="00F26174">
              <w:rPr>
                <w:rFonts w:ascii="Arial Narrow" w:hAnsi="Arial Narrow" w:cs="Arial Narrow"/>
                <w:sz w:val="20"/>
                <w:szCs w:val="24"/>
              </w:rPr>
              <w:t>vylúčenie príjmových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sz w:val="20"/>
                <w:szCs w:val="24"/>
              </w:rPr>
            </w:pPr>
            <w:r w:rsidRPr="00F26174">
              <w:rPr>
                <w:rFonts w:ascii="Arial Narrow" w:hAnsi="Arial Narrow" w:cs="Arial Narrow"/>
                <w:sz w:val="20"/>
                <w:szCs w:val="24"/>
              </w:rPr>
              <w:t>-432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i/>
                <w:sz w:val="20"/>
                <w:szCs w:val="24"/>
              </w:rPr>
            </w:pPr>
            <w:r w:rsidRPr="00F26174">
              <w:rPr>
                <w:rFonts w:ascii="Arial Narrow" w:hAnsi="Arial Narrow" w:cs="Arial Narrow"/>
                <w:i/>
                <w:sz w:val="20"/>
                <w:szCs w:val="24"/>
              </w:rPr>
              <w:t>-400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i/>
                <w:sz w:val="20"/>
                <w:szCs w:val="24"/>
              </w:rPr>
            </w:pPr>
            <w:r w:rsidRPr="00F26174">
              <w:rPr>
                <w:rFonts w:ascii="Arial Narrow" w:hAnsi="Arial Narrow" w:cs="Arial Narrow"/>
                <w:i/>
                <w:sz w:val="20"/>
                <w:szCs w:val="24"/>
              </w:rPr>
              <w:t>-365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jc w:val="right"/>
              <w:rPr>
                <w:rFonts w:ascii="Arial Narrow" w:hAnsi="Arial Narrow" w:cs="Arial Narrow"/>
                <w:i/>
                <w:sz w:val="20"/>
                <w:szCs w:val="24"/>
              </w:rPr>
            </w:pPr>
            <w:r w:rsidRPr="00F26174">
              <w:rPr>
                <w:rFonts w:ascii="Arial Narrow" w:hAnsi="Arial Narrow" w:cs="Arial Narrow"/>
                <w:i/>
                <w:sz w:val="20"/>
                <w:szCs w:val="24"/>
              </w:rPr>
              <w:t>-200</w:t>
            </w: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ind w:left="360"/>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F26174" w:rsidP="002B1759">
            <w:pPr>
              <w:rPr>
                <w:rFonts w:ascii="Arial Narrow" w:hAnsi="Arial Narrow" w:cs="Arial Narrow"/>
                <w:sz w:val="20"/>
                <w:szCs w:val="24"/>
              </w:rPr>
            </w:pPr>
          </w:p>
        </w:tc>
      </w:tr>
      <w:tr>
        <w:tblPrEx>
          <w:tblW w:w="9288" w:type="dxa"/>
          <w:tblInd w:w="0" w:type="dxa"/>
        </w:tblPrEx>
        <w:trPr>
          <w:trHeight w:hRule="exact" w:val="227"/>
        </w:trPr>
        <w:tc>
          <w:tcPr>
            <w:tcW w:w="496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rPr>
                <w:rFonts w:ascii="Arial Narrow" w:hAnsi="Arial Narrow" w:cs="Arial Narrow"/>
                <w:b/>
                <w:i/>
                <w:sz w:val="20"/>
                <w:szCs w:val="24"/>
              </w:rPr>
            </w:pPr>
            <w:r w:rsidRPr="00F26174">
              <w:rPr>
                <w:rFonts w:ascii="Arial Narrow" w:hAnsi="Arial Narrow" w:cs="Arial Narrow"/>
                <w:b/>
                <w:i/>
                <w:sz w:val="20"/>
                <w:szCs w:val="24"/>
              </w:rPr>
              <w:t>Schodok SPF  (ESA 95)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-432</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-400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-365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F26174" w:rsidP="002B1759">
            <w:pPr>
              <w:jc w:val="right"/>
              <w:rPr>
                <w:rFonts w:ascii="Arial Narrow" w:hAnsi="Arial Narrow" w:cs="Arial Narrow"/>
                <w:b/>
                <w:i/>
                <w:sz w:val="20"/>
                <w:szCs w:val="24"/>
              </w:rPr>
            </w:pPr>
            <w:r w:rsidRPr="00F26174">
              <w:rPr>
                <w:rFonts w:ascii="Arial Narrow" w:hAnsi="Arial Narrow" w:cs="Arial Narrow"/>
                <w:b/>
                <w:i/>
                <w:sz w:val="20"/>
                <w:szCs w:val="24"/>
              </w:rPr>
              <w:t>-200</w:t>
            </w:r>
          </w:p>
        </w:tc>
      </w:tr>
    </w:tbl>
    <w:p w:rsidR="0084667A" w:rsidP="0084667A">
      <w:pPr>
        <w:rPr>
          <w:rFonts w:ascii="Arial Narrow" w:hAnsi="Arial Narrow" w:cs="Arial Narrow"/>
          <w:b/>
          <w:sz w:val="22"/>
          <w:szCs w:val="24"/>
        </w:rPr>
      </w:pPr>
    </w:p>
    <w:p w:rsidR="0084667A" w:rsidRPr="009A3EDD" w:rsidP="0084667A">
      <w:pPr>
        <w:rPr>
          <w:rFonts w:ascii="Arial Narrow" w:hAnsi="Arial Narrow" w:cs="Arial Narrow"/>
          <w:b/>
          <w:sz w:val="22"/>
          <w:szCs w:val="24"/>
        </w:rPr>
      </w:pPr>
    </w:p>
    <w:p w:rsidR="0084667A" w:rsidRPr="00FF4687" w:rsidP="0084667A">
      <w:pPr>
        <w:pStyle w:val="Heading1"/>
        <w:spacing w:before="0" w:after="0"/>
        <w:rPr>
          <w:rFonts w:ascii="Arial Narrow" w:hAnsi="Arial Narrow" w:cs="Arial Narrow"/>
          <w:sz w:val="24"/>
          <w:szCs w:val="24"/>
        </w:rPr>
      </w:pPr>
      <w:r w:rsidRPr="00FF4687">
        <w:rPr>
          <w:rFonts w:ascii="Arial Narrow" w:hAnsi="Arial Narrow" w:cs="Arial Narrow"/>
          <w:sz w:val="24"/>
          <w:szCs w:val="24"/>
        </w:rPr>
        <w:t>6. Fond národného majetku Slovenskej republiky</w:t>
      </w:r>
    </w:p>
    <w:p w:rsidR="0084667A" w:rsidRPr="009A3EDD" w:rsidP="0084667A">
      <w:pPr>
        <w:rPr>
          <w:rFonts w:ascii="Arial Narrow" w:hAnsi="Arial Narrow" w:cs="Arial Narrow"/>
          <w:sz w:val="22"/>
          <w:szCs w:val="24"/>
        </w:rPr>
      </w:pPr>
    </w:p>
    <w:p w:rsidR="0084667A" w:rsidRPr="009A3EDD" w:rsidP="0084667A">
      <w:pPr>
        <w:jc w:val="both"/>
        <w:rPr>
          <w:rFonts w:ascii="Arial Narrow" w:hAnsi="Arial Narrow" w:cs="Arial Narrow"/>
          <w:sz w:val="22"/>
          <w:szCs w:val="24"/>
        </w:rPr>
      </w:pPr>
      <w:r w:rsidRPr="009A3EDD">
        <w:rPr>
          <w:rFonts w:ascii="Arial Narrow" w:hAnsi="Arial Narrow" w:cs="Arial Narrow"/>
          <w:sz w:val="22"/>
          <w:szCs w:val="24"/>
        </w:rPr>
        <w:tab/>
        <w:t xml:space="preserve">V návrhu rozpočtu Fondu národného majetku Slovenskej republiky (ďalej len „FNM SR“) na roky 2010 až 2012 sa nepočíta s príjmami z ďalšej privatizácie. FNM SR očakáva príjmy iba z už uzavretých zmlúv, ktoré výraznejšie neovplyvnia bilanciu jeho príjmov a výdavkov. </w:t>
      </w:r>
    </w:p>
    <w:p w:rsidR="0084667A" w:rsidRPr="009A3EDD" w:rsidP="0084667A">
      <w:pPr>
        <w:jc w:val="both"/>
        <w:rPr>
          <w:rFonts w:ascii="Arial Narrow" w:hAnsi="Arial Narrow" w:cs="Arial Narrow"/>
          <w:sz w:val="22"/>
          <w:szCs w:val="24"/>
        </w:rPr>
      </w:pPr>
    </w:p>
    <w:p w:rsidR="0084667A" w:rsidRPr="009A3EDD" w:rsidP="0084667A">
      <w:pPr>
        <w:ind w:firstLine="720"/>
        <w:jc w:val="both"/>
        <w:rPr>
          <w:rFonts w:ascii="Arial Narrow" w:hAnsi="Arial Narrow" w:cs="Arial Narrow"/>
          <w:sz w:val="22"/>
          <w:szCs w:val="24"/>
        </w:rPr>
      </w:pPr>
      <w:r w:rsidRPr="009A3EDD">
        <w:rPr>
          <w:rFonts w:ascii="Arial Narrow" w:hAnsi="Arial Narrow" w:cs="Arial Narrow"/>
          <w:sz w:val="22"/>
          <w:szCs w:val="24"/>
        </w:rPr>
        <w:t>Najvýznamnejšou príjmovou položkou sú príjmy z dividend, ktorých výška závisí od vývoja hospodárskeho výsledku</w:t>
      </w:r>
      <w:r>
        <w:rPr>
          <w:rFonts w:ascii="Arial Narrow" w:hAnsi="Arial Narrow" w:cs="Arial Narrow"/>
          <w:sz w:val="22"/>
          <w:szCs w:val="24"/>
        </w:rPr>
        <w:t>,</w:t>
      </w:r>
      <w:r w:rsidRPr="009A3EDD">
        <w:rPr>
          <w:rFonts w:ascii="Arial Narrow" w:hAnsi="Arial Narrow" w:cs="Arial Narrow"/>
          <w:sz w:val="22"/>
          <w:szCs w:val="24"/>
        </w:rPr>
        <w:t xml:space="preserve"> najmä prirodzených monopolov a od spôsobu rozdelenia zisku v týchto spoločnostiach.  Predpokladá sa, že všetky príjmy z dividend budú v rokoch 2010 až 2012 </w:t>
      </w:r>
      <w:r>
        <w:rPr>
          <w:rFonts w:ascii="Arial Narrow" w:hAnsi="Arial Narrow" w:cs="Arial Narrow"/>
          <w:sz w:val="22"/>
          <w:szCs w:val="24"/>
        </w:rPr>
        <w:t>transferované prostredníctvom</w:t>
      </w:r>
      <w:r w:rsidRPr="009A3EDD">
        <w:rPr>
          <w:rFonts w:ascii="Arial Narrow" w:hAnsi="Arial Narrow" w:cs="Arial Narrow"/>
          <w:sz w:val="22"/>
          <w:szCs w:val="24"/>
        </w:rPr>
        <w:t xml:space="preserve"> štátnych finančných aktív </w:t>
      </w:r>
      <w:r>
        <w:rPr>
          <w:rFonts w:ascii="Arial Narrow" w:hAnsi="Arial Narrow" w:cs="Arial Narrow"/>
          <w:sz w:val="22"/>
          <w:szCs w:val="24"/>
        </w:rPr>
        <w:t>do</w:t>
      </w:r>
      <w:r w:rsidRPr="009A3EDD">
        <w:rPr>
          <w:rFonts w:ascii="Arial Narrow" w:hAnsi="Arial Narrow" w:cs="Arial Narrow"/>
          <w:sz w:val="22"/>
          <w:szCs w:val="24"/>
        </w:rPr>
        <w:t xml:space="preserve"> príjm</w:t>
      </w:r>
      <w:r>
        <w:rPr>
          <w:rFonts w:ascii="Arial Narrow" w:hAnsi="Arial Narrow" w:cs="Arial Narrow"/>
          <w:sz w:val="22"/>
          <w:szCs w:val="24"/>
        </w:rPr>
        <w:t>ov</w:t>
      </w:r>
      <w:r w:rsidRPr="009A3EDD">
        <w:rPr>
          <w:rFonts w:ascii="Arial Narrow" w:hAnsi="Arial Narrow" w:cs="Arial Narrow"/>
          <w:sz w:val="22"/>
          <w:szCs w:val="24"/>
        </w:rPr>
        <w:t xml:space="preserve"> štátneho rozpočtu.  </w:t>
      </w:r>
    </w:p>
    <w:p w:rsidR="0084667A" w:rsidRPr="009A3EDD" w:rsidP="0084667A">
      <w:pPr>
        <w:pStyle w:val="BodyText"/>
        <w:tabs>
          <w:tab w:val="num" w:pos="0"/>
        </w:tabs>
        <w:rPr>
          <w:rFonts w:ascii="Arial Narrow" w:hAnsi="Arial Narrow" w:cs="Arial Narrow"/>
          <w:sz w:val="22"/>
          <w:szCs w:val="24"/>
        </w:rPr>
      </w:pPr>
    </w:p>
    <w:p w:rsidR="0084667A" w:rsidRPr="009A3EDD" w:rsidP="0084667A">
      <w:pPr>
        <w:ind w:firstLine="708"/>
        <w:jc w:val="both"/>
        <w:rPr>
          <w:rFonts w:ascii="Arial Narrow" w:hAnsi="Arial Narrow" w:cs="Arial Narrow"/>
          <w:sz w:val="22"/>
          <w:szCs w:val="24"/>
        </w:rPr>
      </w:pPr>
      <w:r w:rsidRPr="009A3EDD">
        <w:rPr>
          <w:rFonts w:ascii="Arial Narrow" w:hAnsi="Arial Narrow" w:cs="Arial Narrow"/>
          <w:sz w:val="22"/>
          <w:szCs w:val="24"/>
        </w:rPr>
        <w:t>Cieľom navrhovaného rozpočtového hospodárenia FNM SR v rokoch 2010 až 2012 je zabezpečiť dostatok zdrojov na realizáciu úhrad splátok verejného dlhu</w:t>
      </w:r>
      <w:r>
        <w:rPr>
          <w:rFonts w:ascii="Arial Narrow" w:hAnsi="Arial Narrow" w:cs="Arial Narrow"/>
          <w:sz w:val="22"/>
          <w:szCs w:val="24"/>
        </w:rPr>
        <w:t xml:space="preserve"> v pôsobnosti FNM SR</w:t>
      </w:r>
      <w:r w:rsidRPr="009A3EDD">
        <w:rPr>
          <w:rFonts w:ascii="Arial Narrow" w:hAnsi="Arial Narrow" w:cs="Arial Narrow"/>
          <w:sz w:val="22"/>
          <w:szCs w:val="24"/>
        </w:rPr>
        <w:t>.</w:t>
      </w:r>
      <w:r w:rsidRPr="009A3EDD">
        <w:rPr>
          <w:rFonts w:ascii="Arial Narrow" w:hAnsi="Arial Narrow" w:cs="Arial Narrow"/>
          <w:b/>
          <w:sz w:val="22"/>
          <w:szCs w:val="24"/>
        </w:rPr>
        <w:t xml:space="preserve"> </w:t>
      </w:r>
      <w:r w:rsidRPr="00F26174">
        <w:rPr>
          <w:rFonts w:ascii="Arial Narrow" w:hAnsi="Arial Narrow" w:cs="Arial Narrow"/>
          <w:sz w:val="22"/>
          <w:szCs w:val="24"/>
        </w:rPr>
        <w:t>Ú</w:t>
      </w:r>
      <w:r w:rsidRPr="009A3EDD">
        <w:rPr>
          <w:rFonts w:ascii="Arial Narrow" w:hAnsi="Arial Narrow" w:cs="Arial Narrow"/>
          <w:sz w:val="22"/>
          <w:szCs w:val="24"/>
        </w:rPr>
        <w:t>hrady verejného dlhu budú pozostávať zo splátok dlhopisov FNM SR, z úhrad výdavkov spojených s reštitučnými nárokmi a z úhrad vyplývajúcich zo zákonného ručenia FNM SR podľa § 15 a zmluvného ručenia FNM SR podľa § 30 zákona č. 92/1991 Zb., ktoré vyplývajú zo zmlúv o privatizácii majetku, uzavretých v minulých rokoch.</w:t>
      </w:r>
    </w:p>
    <w:p w:rsidR="0084667A" w:rsidRPr="009A3EDD" w:rsidP="0084667A">
      <w:pPr>
        <w:ind w:firstLine="708"/>
        <w:jc w:val="both"/>
        <w:rPr>
          <w:rFonts w:ascii="Arial Narrow" w:hAnsi="Arial Narrow" w:cs="Arial Narrow"/>
          <w:sz w:val="22"/>
          <w:szCs w:val="24"/>
        </w:rPr>
      </w:pPr>
    </w:p>
    <w:p w:rsidR="0084667A" w:rsidRPr="009A3EDD" w:rsidP="0084667A">
      <w:pPr>
        <w:ind w:firstLine="708"/>
        <w:jc w:val="both"/>
        <w:rPr>
          <w:rFonts w:ascii="Arial Narrow" w:hAnsi="Arial Narrow" w:cs="Arial Narrow"/>
          <w:sz w:val="22"/>
          <w:szCs w:val="24"/>
        </w:rPr>
      </w:pPr>
      <w:r w:rsidRPr="009A3EDD">
        <w:rPr>
          <w:rFonts w:ascii="Arial Narrow" w:hAnsi="Arial Narrow" w:cs="Arial Narrow"/>
          <w:sz w:val="22"/>
          <w:szCs w:val="24"/>
        </w:rPr>
        <w:t xml:space="preserve"> Ostatné výdavky FNM SR tvoria výdavky spojené s jeho činnosťou a výdavky, ktoré FNM SR vyplývajú zo zákona č. 92/1991 Zb. (napr. úhrada nákladov v dôsledku odstúpenia od zmluvy, zvýšenie základného imania a pod.).</w:t>
      </w:r>
    </w:p>
    <w:p w:rsidR="0084667A"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P="0084667A">
      <w:pPr>
        <w:ind w:firstLine="720"/>
        <w:jc w:val="both"/>
        <w:rPr>
          <w:rFonts w:ascii="Arial Narrow" w:hAnsi="Arial Narrow" w:cs="Arial Narrow"/>
          <w:sz w:val="22"/>
          <w:szCs w:val="24"/>
        </w:rPr>
      </w:pPr>
    </w:p>
    <w:p w:rsidR="00B847FB" w:rsidRPr="009A3EDD" w:rsidP="0084667A">
      <w:pPr>
        <w:ind w:firstLine="720"/>
        <w:jc w:val="both"/>
        <w:rPr>
          <w:rFonts w:ascii="Arial Narrow" w:hAnsi="Arial Narrow" w:cs="Arial Narrow"/>
          <w:sz w:val="22"/>
          <w:szCs w:val="24"/>
        </w:rPr>
      </w:pPr>
    </w:p>
    <w:p w:rsidR="0084667A" w:rsidRPr="007231A9" w:rsidP="0084667A">
      <w:pPr>
        <w:ind w:firstLine="720"/>
        <w:jc w:val="both"/>
        <w:rPr>
          <w:rFonts w:ascii="Arial Narrow" w:hAnsi="Arial Narrow" w:cs="Arial Narrow"/>
          <w:sz w:val="22"/>
          <w:szCs w:val="24"/>
        </w:rPr>
      </w:pPr>
      <w:r w:rsidRPr="007231A9">
        <w:rPr>
          <w:rFonts w:ascii="Arial Narrow" w:hAnsi="Arial Narrow" w:cs="Arial Narrow"/>
          <w:sz w:val="22"/>
          <w:szCs w:val="24"/>
        </w:rPr>
        <w:t>Vývoj príjmovej a výdavkovej časti rozpočtu FNM SR na roky 2010 až 2012  je nasledovný:</w:t>
      </w:r>
    </w:p>
    <w:p w:rsidR="0084667A" w:rsidP="0084667A">
      <w:pPr>
        <w:ind w:firstLine="720"/>
        <w:rPr>
          <w:rFonts w:ascii="Arial Narrow" w:hAnsi="Arial Narrow" w:cs="Arial Narrow"/>
          <w:sz w:val="22"/>
          <w:szCs w:val="24"/>
        </w:rPr>
      </w:pPr>
    </w:p>
    <w:tbl>
      <w:tblPr>
        <w:tblStyle w:val="TableNormal"/>
        <w:tblW w:w="9000" w:type="dxa"/>
        <w:tblInd w:w="288" w:type="dxa"/>
        <w:tblBorders>
          <w:top w:val="single" w:sz="4" w:space="0" w:color="auto"/>
          <w:left w:val="single" w:sz="4" w:space="0" w:color="auto"/>
          <w:bottom w:val="single" w:sz="4" w:space="0" w:color="auto"/>
          <w:right w:val="single" w:sz="4" w:space="0" w:color="auto"/>
        </w:tblBorders>
      </w:tblPr>
      <w:tblGrid>
        <w:gridCol w:w="4680"/>
        <w:gridCol w:w="1080"/>
        <w:gridCol w:w="1080"/>
        <w:gridCol w:w="1080"/>
        <w:gridCol w:w="1080"/>
      </w:tblGrid>
      <w:tr>
        <w:tblPrEx>
          <w:tblW w:w="9000" w:type="dxa"/>
          <w:tblInd w:w="288" w:type="dxa"/>
          <w:tblBorders>
            <w:top w:val="single" w:sz="4" w:space="0" w:color="auto"/>
            <w:left w:val="single" w:sz="4" w:space="0" w:color="auto"/>
            <w:bottom w:val="single" w:sz="4" w:space="0" w:color="auto"/>
            <w:right w:val="single" w:sz="4" w:space="0" w:color="auto"/>
          </w:tblBorders>
        </w:tblPrEx>
        <w:trPr>
          <w:trHeight w:hRule="exact" w:val="227"/>
        </w:trPr>
        <w:tc>
          <w:tcPr>
            <w:tcW w:w="46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231A9" w:rsidP="002B1759">
            <w:pPr>
              <w:rPr>
                <w:rFonts w:ascii="Arial Narrow" w:hAnsi="Arial Narrow" w:cs="Arial Narrow"/>
                <w:b/>
                <w:color w:val="FFFFFF"/>
                <w:sz w:val="20"/>
                <w:szCs w:val="24"/>
              </w:rPr>
            </w:pPr>
            <w:r w:rsidRPr="007231A9">
              <w:rPr>
                <w:rFonts w:ascii="Arial Narrow" w:hAnsi="Arial Narrow" w:cs="Arial Narrow"/>
                <w:b/>
                <w:color w:val="FFFFFF"/>
                <w:sz w:val="20"/>
                <w:szCs w:val="24"/>
              </w:rPr>
              <w:t>(v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231A9" w:rsidP="002B1759">
            <w:pPr>
              <w:jc w:val="center"/>
              <w:rPr>
                <w:rFonts w:ascii="Arial Narrow" w:hAnsi="Arial Narrow" w:cs="Arial Narrow"/>
                <w:b/>
                <w:color w:val="FFFFFF"/>
                <w:sz w:val="20"/>
                <w:szCs w:val="24"/>
              </w:rPr>
            </w:pPr>
            <w:r w:rsidRPr="007231A9">
              <w:rPr>
                <w:rFonts w:ascii="Arial Narrow" w:hAnsi="Arial Narrow" w:cs="Arial Narrow"/>
                <w:b/>
                <w:color w:val="FFFFFF"/>
                <w:sz w:val="20"/>
                <w:szCs w:val="24"/>
              </w:rPr>
              <w:t>2009</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231A9" w:rsidP="002B1759">
            <w:pPr>
              <w:jc w:val="center"/>
              <w:rPr>
                <w:rFonts w:ascii="Arial Narrow" w:hAnsi="Arial Narrow" w:cs="Arial Narrow"/>
                <w:b/>
                <w:color w:val="FFFFFF"/>
                <w:sz w:val="20"/>
                <w:szCs w:val="24"/>
              </w:rPr>
            </w:pPr>
            <w:r w:rsidRPr="007231A9">
              <w:rPr>
                <w:rFonts w:ascii="Arial Narrow" w:hAnsi="Arial Narrow" w:cs="Arial Narrow"/>
                <w:b/>
                <w:color w:val="FFFFFF"/>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231A9" w:rsidP="002B1759">
            <w:pPr>
              <w:jc w:val="center"/>
              <w:rPr>
                <w:rFonts w:ascii="Arial Narrow" w:hAnsi="Arial Narrow" w:cs="Arial Narrow"/>
                <w:b/>
                <w:color w:val="FFFFFF"/>
                <w:sz w:val="20"/>
                <w:szCs w:val="24"/>
              </w:rPr>
            </w:pPr>
            <w:r w:rsidRPr="007231A9">
              <w:rPr>
                <w:rFonts w:ascii="Arial Narrow" w:hAnsi="Arial Narrow" w:cs="Arial Narrow"/>
                <w:b/>
                <w:color w:val="FFFFFF"/>
                <w:sz w:val="20"/>
                <w:szCs w:val="24"/>
              </w:rPr>
              <w:t>2011</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231A9" w:rsidP="002B1759">
            <w:pPr>
              <w:jc w:val="center"/>
              <w:rPr>
                <w:rFonts w:ascii="Arial Narrow" w:hAnsi="Arial Narrow" w:cs="Arial Narrow"/>
                <w:b/>
                <w:color w:val="FFFFFF"/>
                <w:sz w:val="20"/>
                <w:szCs w:val="24"/>
              </w:rPr>
            </w:pPr>
            <w:r w:rsidRPr="007231A9">
              <w:rPr>
                <w:rFonts w:ascii="Arial Narrow" w:hAnsi="Arial Narrow" w:cs="Arial Narrow"/>
                <w:b/>
                <w:color w:val="FFFFFF"/>
                <w:sz w:val="20"/>
                <w:szCs w:val="24"/>
              </w:rPr>
              <w:t>2012</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Príjmy  FNM SR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80"/>
              <w:jc w:val="right"/>
              <w:rPr>
                <w:rFonts w:ascii="Arial Narrow" w:hAnsi="Arial Narrow" w:cs="Arial Narrow"/>
                <w:b/>
                <w:i/>
                <w:sz w:val="20"/>
                <w:szCs w:val="24"/>
              </w:rPr>
            </w:pPr>
            <w:r w:rsidRPr="007231A9">
              <w:rPr>
                <w:rFonts w:ascii="Arial Narrow" w:hAnsi="Arial Narrow" w:cs="Arial Narrow"/>
                <w:b/>
                <w:i/>
                <w:sz w:val="20"/>
                <w:szCs w:val="24"/>
              </w:rPr>
              <w:t>528 547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80"/>
              <w:jc w:val="right"/>
              <w:rPr>
                <w:rFonts w:ascii="Arial Narrow" w:hAnsi="Arial Narrow" w:cs="Arial Narrow"/>
                <w:b/>
                <w:i/>
                <w:sz w:val="20"/>
                <w:szCs w:val="24"/>
              </w:rPr>
            </w:pPr>
            <w:r w:rsidRPr="007231A9">
              <w:rPr>
                <w:rFonts w:ascii="Arial Narrow" w:hAnsi="Arial Narrow" w:cs="Arial Narrow"/>
                <w:b/>
                <w:i/>
                <w:sz w:val="20"/>
                <w:szCs w:val="24"/>
              </w:rPr>
              <w:t>434 476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348 920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343 805</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z toho:</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8"/>
              </w:numPr>
              <w:jc w:val="both"/>
              <w:rPr>
                <w:rFonts w:ascii="Arial Narrow" w:hAnsi="Arial Narrow" w:cs="Arial Narrow"/>
                <w:sz w:val="20"/>
                <w:szCs w:val="24"/>
              </w:rPr>
            </w:pPr>
            <w:r w:rsidRPr="007231A9">
              <w:rPr>
                <w:rFonts w:ascii="Arial Narrow" w:hAnsi="Arial Narrow" w:cs="Arial Narrow"/>
                <w:sz w:val="20"/>
                <w:szCs w:val="24"/>
              </w:rPr>
              <w:t>príjmy z dividend</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443 471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374 919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330 085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334 071</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8"/>
              </w:numPr>
              <w:jc w:val="both"/>
              <w:rPr>
                <w:rFonts w:ascii="Arial Narrow" w:hAnsi="Arial Narrow" w:cs="Arial Narrow"/>
                <w:sz w:val="20"/>
                <w:szCs w:val="24"/>
              </w:rPr>
            </w:pPr>
            <w:r w:rsidRPr="007231A9">
              <w:rPr>
                <w:rFonts w:ascii="Arial Narrow" w:hAnsi="Arial Narrow" w:cs="Arial Narrow"/>
                <w:sz w:val="20"/>
                <w:szCs w:val="24"/>
              </w:rPr>
              <w:t>ost</w:t>
            </w:r>
            <w:r>
              <w:rPr>
                <w:rFonts w:ascii="Arial Narrow" w:hAnsi="Arial Narrow" w:cs="Arial Narrow"/>
                <w:sz w:val="20"/>
                <w:szCs w:val="24"/>
              </w:rPr>
              <w:t xml:space="preserve">atné </w:t>
            </w:r>
            <w:r w:rsidRPr="007231A9">
              <w:rPr>
                <w:rFonts w:ascii="Arial Narrow" w:hAnsi="Arial Narrow" w:cs="Arial Narrow"/>
                <w:sz w:val="20"/>
                <w:szCs w:val="24"/>
              </w:rPr>
              <w:t>nedaň</w:t>
            </w:r>
            <w:r>
              <w:rPr>
                <w:rFonts w:ascii="Arial Narrow" w:hAnsi="Arial Narrow" w:cs="Arial Narrow"/>
                <w:sz w:val="20"/>
                <w:szCs w:val="24"/>
              </w:rPr>
              <w:t xml:space="preserve">ové </w:t>
            </w:r>
            <w:r w:rsidRPr="007231A9">
              <w:rPr>
                <w:rFonts w:ascii="Arial Narrow" w:hAnsi="Arial Narrow" w:cs="Arial Narrow"/>
                <w:sz w:val="20"/>
                <w:szCs w:val="24"/>
              </w:rPr>
              <w:t>príjmy (úroky a iné príj</w:t>
            </w:r>
            <w:r>
              <w:rPr>
                <w:rFonts w:ascii="Arial Narrow" w:hAnsi="Arial Narrow" w:cs="Arial Narrow"/>
                <w:sz w:val="20"/>
                <w:szCs w:val="24"/>
              </w:rPr>
              <w:t>my</w:t>
            </w:r>
            <w:r w:rsidRPr="007231A9">
              <w:rPr>
                <w:rFonts w:ascii="Arial Narrow" w:hAnsi="Arial Narrow" w:cs="Arial Narrow"/>
                <w:sz w:val="20"/>
                <w:szCs w:val="24"/>
              </w:rPr>
              <w:t>)</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6 128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1 021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768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647</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8"/>
              </w:numPr>
              <w:jc w:val="both"/>
              <w:rPr>
                <w:rFonts w:ascii="Arial Narrow" w:hAnsi="Arial Narrow" w:cs="Arial Narrow"/>
                <w:sz w:val="20"/>
                <w:szCs w:val="24"/>
              </w:rPr>
            </w:pPr>
            <w:r w:rsidRPr="007231A9">
              <w:rPr>
                <w:rFonts w:ascii="Arial Narrow" w:hAnsi="Arial Narrow" w:cs="Arial Narrow"/>
                <w:sz w:val="20"/>
                <w:szCs w:val="24"/>
              </w:rPr>
              <w:t>príjmy z privatizácie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76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17</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8"/>
              </w:numPr>
              <w:jc w:val="both"/>
              <w:rPr>
                <w:rFonts w:ascii="Arial Narrow" w:hAnsi="Arial Narrow" w:cs="Arial Narrow"/>
                <w:sz w:val="20"/>
                <w:szCs w:val="24"/>
              </w:rPr>
            </w:pPr>
            <w:r w:rsidRPr="007231A9">
              <w:rPr>
                <w:rFonts w:ascii="Arial Narrow" w:hAnsi="Arial Narrow" w:cs="Arial Narrow"/>
                <w:sz w:val="20"/>
                <w:szCs w:val="24"/>
              </w:rPr>
              <w:t>ostatné finančné operácie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103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183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150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9"/>
              </w:numPr>
              <w:jc w:val="both"/>
              <w:rPr>
                <w:rFonts w:ascii="Arial Narrow" w:hAnsi="Arial Narrow" w:cs="Arial Narrow"/>
                <w:sz w:val="20"/>
                <w:szCs w:val="24"/>
              </w:rPr>
            </w:pPr>
            <w:r w:rsidRPr="007231A9">
              <w:rPr>
                <w:rFonts w:ascii="Arial Narrow" w:hAnsi="Arial Narrow" w:cs="Arial Narrow"/>
                <w:sz w:val="20"/>
                <w:szCs w:val="24"/>
              </w:rPr>
              <w:t>zostatok prostr</w:t>
            </w:r>
            <w:r>
              <w:rPr>
                <w:rFonts w:ascii="Arial Narrow" w:hAnsi="Arial Narrow" w:cs="Arial Narrow"/>
                <w:sz w:val="20"/>
                <w:szCs w:val="24"/>
              </w:rPr>
              <w:t xml:space="preserve">iedkov </w:t>
            </w:r>
            <w:r w:rsidRPr="007231A9">
              <w:rPr>
                <w:rFonts w:ascii="Arial Narrow" w:hAnsi="Arial Narrow" w:cs="Arial Narrow"/>
                <w:sz w:val="20"/>
                <w:szCs w:val="24"/>
              </w:rPr>
              <w:t>z predch</w:t>
            </w:r>
            <w:r>
              <w:rPr>
                <w:rFonts w:ascii="Arial Narrow" w:hAnsi="Arial Narrow" w:cs="Arial Narrow"/>
                <w:sz w:val="20"/>
                <w:szCs w:val="24"/>
              </w:rPr>
              <w:t>ádzajúcich</w:t>
            </w:r>
            <w:r w:rsidRPr="007231A9">
              <w:rPr>
                <w:rFonts w:ascii="Arial Narrow" w:hAnsi="Arial Narrow" w:cs="Arial Narrow"/>
                <w:sz w:val="20"/>
                <w:szCs w:val="24"/>
              </w:rPr>
              <w:t xml:space="preserve"> rokov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78 769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58 336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17 884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8 920</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Výdavky  FNM SR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459 370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416 590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340 000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343 765</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z toho:</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 xml:space="preserve">transfer do ŠFA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443 471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374 919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330 085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334 071</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výdavky spoj</w:t>
            </w:r>
            <w:r w:rsidR="00796598">
              <w:rPr>
                <w:rFonts w:ascii="Arial Narrow" w:hAnsi="Arial Narrow" w:cs="Arial Narrow"/>
                <w:sz w:val="20"/>
                <w:szCs w:val="24"/>
              </w:rPr>
              <w:t>ené</w:t>
            </w:r>
            <w:r w:rsidRPr="007231A9">
              <w:rPr>
                <w:rFonts w:ascii="Arial Narrow" w:hAnsi="Arial Narrow" w:cs="Arial Narrow"/>
                <w:sz w:val="20"/>
                <w:szCs w:val="24"/>
              </w:rPr>
              <w:t xml:space="preserve"> s činnosťou FNM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5 311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5 044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4 715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4 684</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Pr>
                <w:rFonts w:ascii="Arial Narrow" w:hAnsi="Arial Narrow" w:cs="Arial Narrow"/>
                <w:sz w:val="20"/>
                <w:szCs w:val="24"/>
              </w:rPr>
              <w:t>úhrada nákladov spojených</w:t>
            </w:r>
            <w:r w:rsidRPr="007231A9">
              <w:rPr>
                <w:rFonts w:ascii="Arial Narrow" w:hAnsi="Arial Narrow" w:cs="Arial Narrow"/>
                <w:sz w:val="20"/>
                <w:szCs w:val="24"/>
              </w:rPr>
              <w:t xml:space="preserve"> s</w:t>
            </w:r>
            <w:r>
              <w:rPr>
                <w:rFonts w:ascii="Arial Narrow" w:hAnsi="Arial Narrow" w:cs="Arial Narrow"/>
                <w:sz w:val="20"/>
                <w:szCs w:val="24"/>
              </w:rPr>
              <w:t> </w:t>
            </w:r>
            <w:r w:rsidRPr="007231A9">
              <w:rPr>
                <w:rFonts w:ascii="Arial Narrow" w:hAnsi="Arial Narrow" w:cs="Arial Narrow"/>
                <w:sz w:val="20"/>
                <w:szCs w:val="24"/>
              </w:rPr>
              <w:t>privatiz</w:t>
            </w:r>
            <w:r>
              <w:rPr>
                <w:rFonts w:ascii="Arial Narrow" w:hAnsi="Arial Narrow" w:cs="Arial Narrow"/>
                <w:sz w:val="20"/>
                <w:szCs w:val="24"/>
              </w:rPr>
              <w:t>áciou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4 860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2 995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1 553</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Pr>
                <w:rFonts w:ascii="Arial Narrow" w:hAnsi="Arial Narrow" w:cs="Arial Narrow"/>
                <w:sz w:val="20"/>
                <w:szCs w:val="24"/>
              </w:rPr>
              <w:t>výdavky spojené</w:t>
            </w:r>
            <w:r w:rsidRPr="007231A9">
              <w:rPr>
                <w:rFonts w:ascii="Arial Narrow" w:hAnsi="Arial Narrow" w:cs="Arial Narrow"/>
                <w:sz w:val="20"/>
                <w:szCs w:val="24"/>
              </w:rPr>
              <w:t xml:space="preserve"> s</w:t>
            </w:r>
            <w:r>
              <w:rPr>
                <w:rFonts w:ascii="Arial Narrow" w:hAnsi="Arial Narrow" w:cs="Arial Narrow"/>
                <w:sz w:val="20"/>
                <w:szCs w:val="24"/>
              </w:rPr>
              <w:t> </w:t>
            </w:r>
            <w:r w:rsidRPr="007231A9">
              <w:rPr>
                <w:rFonts w:ascii="Arial Narrow" w:hAnsi="Arial Narrow" w:cs="Arial Narrow"/>
                <w:sz w:val="20"/>
                <w:szCs w:val="24"/>
              </w:rPr>
              <w:t>reštituč</w:t>
            </w:r>
            <w:r>
              <w:rPr>
                <w:rFonts w:ascii="Arial Narrow" w:hAnsi="Arial Narrow" w:cs="Arial Narrow"/>
                <w:sz w:val="20"/>
                <w:szCs w:val="24"/>
              </w:rPr>
              <w:t>nými</w:t>
            </w:r>
            <w:r w:rsidRPr="007231A9">
              <w:rPr>
                <w:rFonts w:ascii="Arial Narrow" w:hAnsi="Arial Narrow" w:cs="Arial Narrow"/>
                <w:sz w:val="20"/>
                <w:szCs w:val="24"/>
              </w:rPr>
              <w:t xml:space="preserve"> nárokmi</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1 046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1 046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871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871</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Pr>
                <w:rFonts w:ascii="Arial Narrow" w:hAnsi="Arial Narrow" w:cs="Arial Narrow"/>
                <w:sz w:val="20"/>
                <w:szCs w:val="24"/>
              </w:rPr>
              <w:t>úhrada nákladov</w:t>
            </w:r>
            <w:r w:rsidRPr="007231A9">
              <w:rPr>
                <w:rFonts w:ascii="Arial Narrow" w:hAnsi="Arial Narrow" w:cs="Arial Narrow"/>
                <w:sz w:val="20"/>
                <w:szCs w:val="24"/>
              </w:rPr>
              <w:t xml:space="preserve"> v</w:t>
            </w:r>
            <w:r>
              <w:rPr>
                <w:rFonts w:ascii="Arial Narrow" w:hAnsi="Arial Narrow" w:cs="Arial Narrow"/>
                <w:sz w:val="20"/>
                <w:szCs w:val="24"/>
              </w:rPr>
              <w:t> </w:t>
            </w:r>
            <w:r w:rsidRPr="007231A9">
              <w:rPr>
                <w:rFonts w:ascii="Arial Narrow" w:hAnsi="Arial Narrow" w:cs="Arial Narrow"/>
                <w:sz w:val="20"/>
                <w:szCs w:val="24"/>
              </w:rPr>
              <w:t>dôsl</w:t>
            </w:r>
            <w:r>
              <w:rPr>
                <w:rFonts w:ascii="Arial Narrow" w:hAnsi="Arial Narrow" w:cs="Arial Narrow"/>
                <w:sz w:val="20"/>
                <w:szCs w:val="24"/>
              </w:rPr>
              <w:t xml:space="preserve">edku odstúpenia </w:t>
            </w:r>
            <w:r w:rsidRPr="007231A9">
              <w:rPr>
                <w:rFonts w:ascii="Arial Narrow" w:hAnsi="Arial Narrow" w:cs="Arial Narrow"/>
                <w:sz w:val="20"/>
                <w:szCs w:val="24"/>
              </w:rPr>
              <w:t>od zmluvy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4 180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230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na ďalšie účely (osobitný predpis)</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výdavky FNM SR (§ 15)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2 490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výdavky FNM SR (§ 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23 236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splátka dlhopisov FNM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1 122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356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356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356</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ostatné</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9</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360"/>
              <w:rPr>
                <w:rFonts w:ascii="Arial Narrow" w:hAnsi="Arial Narrow" w:cs="Arial Narrow"/>
                <w:sz w:val="20"/>
                <w:szCs w:val="24"/>
              </w:rPr>
            </w:pPr>
            <w:r w:rsidRPr="007231A9">
              <w:rPr>
                <w:rFonts w:ascii="Arial Narrow" w:hAnsi="Arial Narrow" w:cs="Arial Narrow"/>
                <w:sz w:val="20"/>
                <w:szCs w:val="24"/>
              </w:rPr>
              <w:t xml:space="preserve">        - z toho: úrok</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246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29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29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29</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360"/>
              <w:rPr>
                <w:rFonts w:ascii="Arial Narrow" w:hAnsi="Arial Narrow" w:cs="Arial Narrow"/>
                <w:sz w:val="20"/>
                <w:szCs w:val="24"/>
              </w:rPr>
            </w:pPr>
            <w:r w:rsidRPr="007231A9">
              <w:rPr>
                <w:rFonts w:ascii="Arial Narrow" w:hAnsi="Arial Narrow" w:cs="Arial Narrow"/>
                <w:sz w:val="20"/>
                <w:szCs w:val="24"/>
              </w:rPr>
              <w:t xml:space="preserve">                      istina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664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166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166</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360"/>
              <w:rPr>
                <w:rFonts w:ascii="Arial Narrow" w:hAnsi="Arial Narrow" w:cs="Arial Narrow"/>
                <w:sz w:val="20"/>
                <w:szCs w:val="24"/>
              </w:rPr>
            </w:pPr>
            <w:r w:rsidRPr="007231A9">
              <w:rPr>
                <w:rFonts w:ascii="Arial Narrow" w:hAnsi="Arial Narrow" w:cs="Arial Narrow"/>
                <w:sz w:val="20"/>
                <w:szCs w:val="24"/>
              </w:rPr>
              <w:t xml:space="preserve">                      </w:t>
            </w:r>
            <w:r w:rsidR="00796598">
              <w:rPr>
                <w:rFonts w:ascii="Arial Narrow" w:hAnsi="Arial Narrow" w:cs="Arial Narrow"/>
                <w:sz w:val="20"/>
                <w:szCs w:val="24"/>
              </w:rPr>
              <w:t>d</w:t>
            </w:r>
            <w:r w:rsidRPr="007231A9">
              <w:rPr>
                <w:rFonts w:ascii="Arial Narrow" w:hAnsi="Arial Narrow" w:cs="Arial Narrow"/>
                <w:sz w:val="20"/>
                <w:szCs w:val="24"/>
              </w:rPr>
              <w:t>aň</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56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6</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360"/>
              <w:rPr>
                <w:rFonts w:ascii="Arial Narrow" w:hAnsi="Arial Narrow" w:cs="Arial Narrow"/>
                <w:sz w:val="20"/>
                <w:szCs w:val="24"/>
              </w:rPr>
            </w:pPr>
            <w:r w:rsidRPr="007231A9">
              <w:rPr>
                <w:rFonts w:ascii="Arial Narrow" w:hAnsi="Arial Narrow" w:cs="Arial Narrow"/>
                <w:sz w:val="20"/>
                <w:szCs w:val="24"/>
              </w:rPr>
              <w:t xml:space="preserve">                      </w:t>
            </w:r>
            <w:r w:rsidR="00796598">
              <w:rPr>
                <w:rFonts w:ascii="Arial Narrow" w:hAnsi="Arial Narrow" w:cs="Arial Narrow"/>
                <w:sz w:val="20"/>
                <w:szCs w:val="24"/>
              </w:rPr>
              <w:t>p</w:t>
            </w:r>
            <w:r w:rsidRPr="007231A9">
              <w:rPr>
                <w:rFonts w:ascii="Arial Narrow" w:hAnsi="Arial Narrow" w:cs="Arial Narrow"/>
                <w:sz w:val="20"/>
                <w:szCs w:val="24"/>
              </w:rPr>
              <w:t>oplatok</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156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155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155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i/>
                <w:sz w:val="20"/>
                <w:szCs w:val="24"/>
              </w:rPr>
            </w:pPr>
            <w:r w:rsidRPr="007231A9">
              <w:rPr>
                <w:rFonts w:ascii="Arial Narrow" w:hAnsi="Arial Narrow" w:cs="Arial Narrow"/>
                <w:i/>
                <w:sz w:val="20"/>
                <w:szCs w:val="24"/>
              </w:rPr>
              <w:t>155</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sidRPr="007231A9">
              <w:rPr>
                <w:rFonts w:ascii="Arial Narrow" w:hAnsi="Arial Narrow" w:cs="Arial Narrow"/>
                <w:sz w:val="20"/>
                <w:szCs w:val="24"/>
              </w:rPr>
              <w:t>účasť na majetku a iné fin</w:t>
            </w:r>
            <w:r>
              <w:rPr>
                <w:rFonts w:ascii="Arial Narrow" w:hAnsi="Arial Narrow" w:cs="Arial Narrow"/>
                <w:sz w:val="20"/>
                <w:szCs w:val="24"/>
              </w:rPr>
              <w:t xml:space="preserve">ančné </w:t>
            </w:r>
            <w:r w:rsidRPr="007231A9">
              <w:rPr>
                <w:rFonts w:ascii="Arial Narrow" w:hAnsi="Arial Narrow" w:cs="Arial Narrow"/>
                <w:sz w:val="20"/>
                <w:szCs w:val="24"/>
              </w:rPr>
              <w:t>op</w:t>
            </w:r>
            <w:r>
              <w:rPr>
                <w:rFonts w:ascii="Arial Narrow" w:hAnsi="Arial Narrow" w:cs="Arial Narrow"/>
                <w:sz w:val="20"/>
                <w:szCs w:val="24"/>
              </w:rPr>
              <w:t>erácie</w:t>
            </w:r>
            <w:r w:rsidRPr="007231A9">
              <w:rPr>
                <w:rFonts w:ascii="Arial Narrow" w:hAnsi="Arial Narrow" w:cs="Arial Narrow"/>
                <w:sz w:val="20"/>
                <w:szCs w:val="24"/>
              </w:rPr>
              <w:t xml:space="preserve">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621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2 555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330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0"/>
              </w:numPr>
              <w:jc w:val="both"/>
              <w:rPr>
                <w:rFonts w:ascii="Arial Narrow" w:hAnsi="Arial Narrow" w:cs="Arial Narrow"/>
                <w:sz w:val="20"/>
                <w:szCs w:val="24"/>
              </w:rPr>
            </w:pPr>
            <w:r>
              <w:rPr>
                <w:rFonts w:ascii="Arial Narrow" w:hAnsi="Arial Narrow" w:cs="Arial Narrow"/>
                <w:sz w:val="20"/>
                <w:szCs w:val="24"/>
              </w:rPr>
              <w:t>ostatné výdavkové finančné</w:t>
            </w:r>
            <w:r w:rsidRPr="007231A9">
              <w:rPr>
                <w:rFonts w:ascii="Arial Narrow" w:hAnsi="Arial Narrow" w:cs="Arial Narrow"/>
                <w:sz w:val="20"/>
                <w:szCs w:val="24"/>
              </w:rPr>
              <w:t xml:space="preserve"> operácie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sz w:val="20"/>
                <w:szCs w:val="24"/>
              </w:rPr>
            </w:pP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Celkový prebytok FNM SR</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69 177</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17 886</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8 920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40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vylúčenie finančných operácií</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65"/>
              <w:jc w:val="right"/>
              <w:rPr>
                <w:rFonts w:ascii="Arial Narrow" w:hAnsi="Arial Narrow" w:cs="Arial Narrow"/>
                <w:b/>
                <w:i/>
                <w:sz w:val="20"/>
                <w:szCs w:val="24"/>
              </w:rPr>
            </w:pPr>
            <w:r w:rsidRPr="007231A9">
              <w:rPr>
                <w:rFonts w:ascii="Arial Narrow" w:hAnsi="Arial Narrow" w:cs="Arial Narrow"/>
                <w:b/>
                <w:i/>
                <w:sz w:val="20"/>
                <w:szCs w:val="24"/>
              </w:rPr>
              <w:t>-77 663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ind w:left="65"/>
              <w:jc w:val="right"/>
              <w:rPr>
                <w:rFonts w:ascii="Arial Narrow" w:hAnsi="Arial Narrow" w:cs="Arial Narrow"/>
                <w:b/>
                <w:i/>
                <w:sz w:val="20"/>
                <w:szCs w:val="24"/>
              </w:rPr>
            </w:pPr>
            <w:r w:rsidRPr="007231A9">
              <w:rPr>
                <w:rFonts w:ascii="Arial Narrow" w:hAnsi="Arial Narrow" w:cs="Arial Narrow"/>
                <w:b/>
                <w:i/>
                <w:sz w:val="20"/>
                <w:szCs w:val="24"/>
              </w:rPr>
              <w:t>-55 810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-17 568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-8 590</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z toho:</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1"/>
              </w:numPr>
              <w:jc w:val="both"/>
              <w:rPr>
                <w:rFonts w:ascii="Arial Narrow" w:hAnsi="Arial Narrow" w:cs="Arial Narrow"/>
                <w:b/>
                <w:sz w:val="20"/>
                <w:szCs w:val="24"/>
              </w:rPr>
            </w:pPr>
            <w:r w:rsidRPr="007231A9">
              <w:rPr>
                <w:rFonts w:ascii="Arial Narrow" w:hAnsi="Arial Narrow" w:cs="Arial Narrow"/>
                <w:sz w:val="20"/>
                <w:szCs w:val="24"/>
              </w:rPr>
              <w:t>vylúčenie príjmových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-78 948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-58 536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-18 067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-9 087</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1"/>
              </w:numPr>
              <w:jc w:val="both"/>
              <w:rPr>
                <w:rFonts w:ascii="Arial Narrow" w:hAnsi="Arial Narrow" w:cs="Arial Narrow"/>
                <w:sz w:val="20"/>
                <w:szCs w:val="24"/>
              </w:rPr>
            </w:pPr>
            <w:r w:rsidRPr="007231A9">
              <w:rPr>
                <w:rFonts w:ascii="Arial Narrow" w:hAnsi="Arial Narrow" w:cs="Arial Narrow"/>
                <w:sz w:val="20"/>
                <w:szCs w:val="24"/>
              </w:rPr>
              <w:t>vylúčenie výdavkových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1 285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2 726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499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497</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Ostatné úpravy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2 490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24 896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1 660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1 660</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b/>
                <w:i/>
                <w:sz w:val="20"/>
                <w:szCs w:val="24"/>
              </w:rPr>
            </w:pP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1"/>
              </w:numPr>
              <w:jc w:val="both"/>
              <w:rPr>
                <w:rFonts w:ascii="Arial Narrow" w:hAnsi="Arial Narrow" w:cs="Arial Narrow"/>
                <w:sz w:val="20"/>
                <w:szCs w:val="24"/>
              </w:rPr>
            </w:pPr>
            <w:r w:rsidRPr="007231A9">
              <w:rPr>
                <w:rFonts w:ascii="Arial Narrow" w:hAnsi="Arial Narrow" w:cs="Arial Narrow"/>
                <w:sz w:val="20"/>
                <w:szCs w:val="24"/>
              </w:rPr>
              <w:t>časové rozlíšenie výdavkov (§ 15)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2 490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1 660</w:t>
            </w: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numPr>
                <w:numId w:val="11"/>
              </w:numPr>
              <w:jc w:val="both"/>
              <w:rPr>
                <w:rFonts w:ascii="Arial Narrow" w:hAnsi="Arial Narrow" w:cs="Arial Narrow"/>
                <w:sz w:val="20"/>
                <w:szCs w:val="24"/>
              </w:rPr>
            </w:pPr>
            <w:r w:rsidRPr="007231A9">
              <w:rPr>
                <w:rFonts w:ascii="Arial Narrow" w:hAnsi="Arial Narrow" w:cs="Arial Narrow"/>
                <w:sz w:val="20"/>
                <w:szCs w:val="24"/>
              </w:rPr>
              <w:t>úhrada dlhu rizikových záväzkov (§ 30)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23 236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jc w:val="right"/>
              <w:rPr>
                <w:rFonts w:ascii="Arial Narrow" w:hAnsi="Arial Narrow" w:cs="Arial Narrow"/>
                <w:sz w:val="20"/>
                <w:szCs w:val="24"/>
              </w:rPr>
            </w:pPr>
            <w:r w:rsidRPr="007231A9">
              <w:rPr>
                <w:rFonts w:ascii="Arial Narrow" w:hAnsi="Arial Narrow" w:cs="Arial Narrow"/>
                <w:sz w:val="20"/>
                <w:szCs w:val="24"/>
              </w:rPr>
              <w:t>0</w:t>
            </w:r>
          </w:p>
        </w:tc>
      </w:tr>
      <w:tr>
        <w:tblPrEx>
          <w:tblW w:w="9000" w:type="dxa"/>
          <w:tblInd w:w="288" w:type="dxa"/>
        </w:tblPrEx>
        <w:trPr>
          <w:trHeight w:hRule="exact" w:val="227"/>
        </w:trPr>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7231A9" w:rsidP="002B1759">
            <w:pPr>
              <w:rPr>
                <w:rFonts w:ascii="Arial Narrow" w:hAnsi="Arial Narrow" w:cs="Arial Narrow"/>
                <w:sz w:val="20"/>
                <w:szCs w:val="24"/>
              </w:rPr>
            </w:pPr>
          </w:p>
        </w:tc>
      </w:tr>
      <w:tr>
        <w:tblPrEx>
          <w:tblW w:w="9000" w:type="dxa"/>
          <w:tblInd w:w="288" w:type="dxa"/>
        </w:tblPrEx>
        <w:trPr>
          <w:trHeight w:hRule="exact" w:val="227"/>
        </w:trPr>
        <w:tc>
          <w:tcPr>
            <w:tcW w:w="46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rPr>
                <w:rFonts w:ascii="Arial Narrow" w:hAnsi="Arial Narrow" w:cs="Arial Narrow"/>
                <w:b/>
                <w:i/>
                <w:sz w:val="20"/>
                <w:szCs w:val="24"/>
              </w:rPr>
            </w:pPr>
            <w:r w:rsidRPr="007231A9">
              <w:rPr>
                <w:rFonts w:ascii="Arial Narrow" w:hAnsi="Arial Narrow" w:cs="Arial Narrow"/>
                <w:b/>
                <w:i/>
                <w:sz w:val="20"/>
                <w:szCs w:val="24"/>
              </w:rPr>
              <w:t>Schodok  FNM SR  (ESA 95)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ind w:left="50"/>
              <w:jc w:val="right"/>
              <w:rPr>
                <w:rFonts w:ascii="Arial Narrow" w:hAnsi="Arial Narrow" w:cs="Arial Narrow"/>
                <w:b/>
                <w:i/>
                <w:sz w:val="20"/>
                <w:szCs w:val="24"/>
              </w:rPr>
            </w:pPr>
            <w:r w:rsidRPr="007231A9">
              <w:rPr>
                <w:rFonts w:ascii="Arial Narrow" w:hAnsi="Arial Narrow" w:cs="Arial Narrow"/>
                <w:b/>
                <w:i/>
                <w:sz w:val="20"/>
                <w:szCs w:val="24"/>
              </w:rPr>
              <w:t>-5 996</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ind w:left="50"/>
              <w:jc w:val="right"/>
              <w:rPr>
                <w:rFonts w:ascii="Arial Narrow" w:hAnsi="Arial Narrow" w:cs="Arial Narrow"/>
                <w:b/>
                <w:i/>
                <w:sz w:val="20"/>
                <w:szCs w:val="24"/>
              </w:rPr>
            </w:pPr>
            <w:r w:rsidRPr="007231A9">
              <w:rPr>
                <w:rFonts w:ascii="Arial Narrow" w:hAnsi="Arial Narrow" w:cs="Arial Narrow"/>
                <w:b/>
                <w:i/>
                <w:sz w:val="20"/>
                <w:szCs w:val="24"/>
              </w:rPr>
              <w:t>-13 028</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-6 988</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7231A9" w:rsidP="002B1759">
            <w:pPr>
              <w:jc w:val="right"/>
              <w:rPr>
                <w:rFonts w:ascii="Arial Narrow" w:hAnsi="Arial Narrow" w:cs="Arial Narrow"/>
                <w:b/>
                <w:i/>
                <w:sz w:val="20"/>
                <w:szCs w:val="24"/>
              </w:rPr>
            </w:pPr>
            <w:r w:rsidRPr="007231A9">
              <w:rPr>
                <w:rFonts w:ascii="Arial Narrow" w:hAnsi="Arial Narrow" w:cs="Arial Narrow"/>
                <w:b/>
                <w:i/>
                <w:sz w:val="20"/>
                <w:szCs w:val="24"/>
              </w:rPr>
              <w:t>-6 890</w:t>
            </w:r>
          </w:p>
        </w:tc>
      </w:tr>
    </w:tbl>
    <w:p w:rsidR="0084667A" w:rsidRPr="00723F95" w:rsidP="0084667A">
      <w:pPr>
        <w:rPr>
          <w:rFonts w:ascii="Arial Narrow" w:hAnsi="Arial Narrow" w:cs="Arial Narrow"/>
          <w:b/>
          <w:szCs w:val="24"/>
        </w:rPr>
      </w:pPr>
    </w:p>
    <w:p w:rsidR="0084667A" w:rsidRPr="00723F95" w:rsidP="0084667A">
      <w:pPr>
        <w:rPr>
          <w:rFonts w:ascii="Arial Narrow" w:hAnsi="Arial Narrow" w:cs="Arial Narrow"/>
          <w:b/>
          <w:szCs w:val="24"/>
        </w:rPr>
      </w:pPr>
    </w:p>
    <w:p w:rsidR="0084667A" w:rsidRPr="00723F95" w:rsidP="0084667A">
      <w:pPr>
        <w:rPr>
          <w:rFonts w:ascii="Arial Narrow" w:hAnsi="Arial Narrow" w:cs="Arial Narrow"/>
          <w:b/>
          <w:szCs w:val="24"/>
        </w:rPr>
      </w:pPr>
      <w:r w:rsidRPr="00723F95">
        <w:rPr>
          <w:rFonts w:ascii="Arial Narrow" w:hAnsi="Arial Narrow" w:cs="Arial Narrow"/>
          <w:b/>
          <w:szCs w:val="24"/>
        </w:rPr>
        <w:t>7. Slovenská konsolidačná, a. s.</w:t>
      </w:r>
    </w:p>
    <w:p w:rsidR="0084667A" w:rsidRPr="00AB421E" w:rsidP="0084667A">
      <w:pPr>
        <w:rPr>
          <w:rFonts w:ascii="Arial Narrow" w:hAnsi="Arial Narrow" w:cs="Arial Narrow"/>
          <w:b/>
          <w:szCs w:val="24"/>
        </w:rPr>
      </w:pPr>
    </w:p>
    <w:p w:rsidR="0084667A" w:rsidP="0084667A">
      <w:pPr>
        <w:rPr>
          <w:rFonts w:ascii="Arial Narrow" w:hAnsi="Arial Narrow" w:cs="Arial Narrow"/>
          <w:sz w:val="22"/>
          <w:szCs w:val="24"/>
        </w:rPr>
      </w:pPr>
      <w:r>
        <w:rPr>
          <w:rFonts w:ascii="Arial Narrow" w:hAnsi="Arial Narrow" w:cs="Arial Narrow"/>
          <w:sz w:val="22"/>
          <w:szCs w:val="24"/>
        </w:rPr>
        <w:tab/>
      </w:r>
      <w:r w:rsidRPr="00AE280E">
        <w:rPr>
          <w:rFonts w:ascii="Arial Narrow" w:hAnsi="Arial Narrow" w:cs="Arial Narrow"/>
          <w:sz w:val="22"/>
          <w:szCs w:val="24"/>
        </w:rPr>
        <w:t xml:space="preserve">Rozpočet Slovenskej konsolidačnej, a. s. </w:t>
      </w:r>
      <w:r>
        <w:rPr>
          <w:rFonts w:ascii="Arial Narrow" w:hAnsi="Arial Narrow" w:cs="Arial Narrow"/>
          <w:sz w:val="22"/>
          <w:szCs w:val="24"/>
        </w:rPr>
        <w:t xml:space="preserve"> (ďalej len „SK, a. s.“) predpokladá na roky 2010 až 2012 podľa metodiky ESA 95 prebytkové hospodárenie.</w:t>
      </w:r>
    </w:p>
    <w:p w:rsidR="0084667A" w:rsidRPr="00AE280E" w:rsidP="0084667A">
      <w:pPr>
        <w:rPr>
          <w:rFonts w:ascii="Arial Narrow" w:hAnsi="Arial Narrow" w:cs="Arial Narrow"/>
          <w:sz w:val="22"/>
          <w:szCs w:val="24"/>
        </w:rPr>
      </w:pPr>
    </w:p>
    <w:p w:rsidR="0084667A" w:rsidP="0084667A">
      <w:pPr>
        <w:jc w:val="both"/>
        <w:rPr>
          <w:rFonts w:ascii="Arial Narrow" w:hAnsi="Arial Narrow" w:cs="Arial Narrow"/>
          <w:sz w:val="22"/>
          <w:szCs w:val="24"/>
        </w:rPr>
      </w:pPr>
      <w:r w:rsidRPr="007A34E1">
        <w:rPr>
          <w:rFonts w:ascii="Arial Narrow" w:hAnsi="Arial Narrow" w:cs="Arial Narrow"/>
          <w:b/>
          <w:sz w:val="22"/>
          <w:szCs w:val="24"/>
        </w:rPr>
        <w:tab/>
      </w:r>
      <w:r>
        <w:rPr>
          <w:rFonts w:ascii="Arial Narrow" w:hAnsi="Arial Narrow" w:cs="Arial Narrow"/>
          <w:sz w:val="22"/>
          <w:szCs w:val="24"/>
        </w:rPr>
        <w:t xml:space="preserve">Príjmy z prevzatých </w:t>
      </w:r>
      <w:r w:rsidRPr="007A34E1">
        <w:rPr>
          <w:rFonts w:ascii="Arial Narrow" w:hAnsi="Arial Narrow" w:cs="Arial Narrow"/>
          <w:sz w:val="22"/>
          <w:szCs w:val="24"/>
        </w:rPr>
        <w:t>k</w:t>
      </w:r>
      <w:r>
        <w:rPr>
          <w:rFonts w:ascii="Arial Narrow" w:hAnsi="Arial Narrow" w:cs="Arial Narrow"/>
          <w:sz w:val="22"/>
          <w:szCs w:val="24"/>
        </w:rPr>
        <w:t xml:space="preserve">lasifikovaných bankových, daňových, </w:t>
      </w:r>
      <w:r w:rsidRPr="007A34E1">
        <w:rPr>
          <w:rFonts w:ascii="Arial Narrow" w:hAnsi="Arial Narrow" w:cs="Arial Narrow"/>
          <w:sz w:val="22"/>
          <w:szCs w:val="24"/>
        </w:rPr>
        <w:t>colných pohľadávok</w:t>
      </w:r>
      <w:r>
        <w:rPr>
          <w:rFonts w:ascii="Arial Narrow" w:hAnsi="Arial Narrow" w:cs="Arial Narrow"/>
          <w:sz w:val="22"/>
          <w:szCs w:val="24"/>
        </w:rPr>
        <w:t xml:space="preserve">, </w:t>
      </w:r>
      <w:r w:rsidRPr="007A34E1">
        <w:rPr>
          <w:rFonts w:ascii="Arial Narrow" w:hAnsi="Arial Narrow" w:cs="Arial Narrow"/>
          <w:sz w:val="22"/>
          <w:szCs w:val="24"/>
        </w:rPr>
        <w:t>ako aj                pohľadávok prevzatých od Veriteľa, a. s., t.</w:t>
      </w:r>
      <w:r>
        <w:rPr>
          <w:rFonts w:ascii="Arial Narrow" w:hAnsi="Arial Narrow" w:cs="Arial Narrow"/>
          <w:sz w:val="22"/>
          <w:szCs w:val="24"/>
        </w:rPr>
        <w:t xml:space="preserve"> </w:t>
      </w:r>
      <w:r w:rsidRPr="007A34E1">
        <w:rPr>
          <w:rFonts w:ascii="Arial Narrow" w:hAnsi="Arial Narrow" w:cs="Arial Narrow"/>
          <w:sz w:val="22"/>
          <w:szCs w:val="24"/>
        </w:rPr>
        <w:t>j. zo splácania úrokov, nedoplatkov úrokov a</w:t>
      </w:r>
      <w:r>
        <w:rPr>
          <w:rFonts w:ascii="Arial Narrow" w:hAnsi="Arial Narrow" w:cs="Arial Narrow"/>
          <w:sz w:val="22"/>
          <w:szCs w:val="24"/>
        </w:rPr>
        <w:t> </w:t>
      </w:r>
      <w:r w:rsidRPr="007A34E1">
        <w:rPr>
          <w:rFonts w:ascii="Arial Narrow" w:hAnsi="Arial Narrow" w:cs="Arial Narrow"/>
          <w:sz w:val="22"/>
          <w:szCs w:val="24"/>
        </w:rPr>
        <w:t>istiny</w:t>
      </w:r>
      <w:r>
        <w:rPr>
          <w:rFonts w:ascii="Arial Narrow" w:hAnsi="Arial Narrow" w:cs="Arial Narrow"/>
          <w:sz w:val="22"/>
          <w:szCs w:val="24"/>
        </w:rPr>
        <w:t xml:space="preserve"> sú  </w:t>
      </w:r>
      <w:r w:rsidRPr="007A34E1">
        <w:rPr>
          <w:rFonts w:ascii="Arial Narrow" w:hAnsi="Arial Narrow" w:cs="Arial Narrow"/>
          <w:sz w:val="22"/>
          <w:szCs w:val="24"/>
        </w:rPr>
        <w:t>rozpočtované zo súčasného stavu spravovaných pohľadávok v portfóliu SK, a. s., zníženého o ich odhadovanú každoročnú realizáciu, resp. odpis. Tieto prijaté finančné prostriedky sú obsiahnuté v príjmoch ako úroky a nedoplatky úrokov z pohľadávok a v príjmových operáciách ako príjmy zo splácania istín pohľadávok. V rokoch 20</w:t>
      </w:r>
      <w:r>
        <w:rPr>
          <w:rFonts w:ascii="Arial Narrow" w:hAnsi="Arial Narrow" w:cs="Arial Narrow"/>
          <w:sz w:val="22"/>
          <w:szCs w:val="24"/>
        </w:rPr>
        <w:t>10</w:t>
      </w:r>
      <w:r w:rsidRPr="007A34E1">
        <w:rPr>
          <w:rFonts w:ascii="Arial Narrow" w:hAnsi="Arial Narrow" w:cs="Arial Narrow"/>
          <w:sz w:val="22"/>
          <w:szCs w:val="24"/>
        </w:rPr>
        <w:t xml:space="preserve"> až 201</w:t>
      </w:r>
      <w:r>
        <w:rPr>
          <w:rFonts w:ascii="Arial Narrow" w:hAnsi="Arial Narrow" w:cs="Arial Narrow"/>
          <w:sz w:val="22"/>
          <w:szCs w:val="24"/>
        </w:rPr>
        <w:t>2</w:t>
      </w:r>
      <w:r w:rsidRPr="007A34E1">
        <w:rPr>
          <w:rFonts w:ascii="Arial Narrow" w:hAnsi="Arial Narrow" w:cs="Arial Narrow"/>
          <w:sz w:val="22"/>
          <w:szCs w:val="24"/>
        </w:rPr>
        <w:t xml:space="preserve"> sa uvažuje so znižovaním príjmov z pohľadávok </w:t>
      </w:r>
      <w:r>
        <w:rPr>
          <w:rFonts w:ascii="Arial Narrow" w:hAnsi="Arial Narrow" w:cs="Arial Narrow"/>
          <w:sz w:val="22"/>
          <w:szCs w:val="24"/>
        </w:rPr>
        <w:t xml:space="preserve">prevzatých z reštrukturalizovaných bánk za predpokladu znižovania stavu tohto portfólia </w:t>
      </w:r>
      <w:r w:rsidRPr="007A34E1">
        <w:rPr>
          <w:rFonts w:ascii="Arial Narrow" w:hAnsi="Arial Narrow" w:cs="Arial Narrow"/>
          <w:sz w:val="22"/>
          <w:szCs w:val="24"/>
        </w:rPr>
        <w:t>vplyvom odpisov a vyradenia z evidencie. Z daňových a colných pohľadávok</w:t>
      </w:r>
      <w:r>
        <w:rPr>
          <w:rFonts w:ascii="Arial Narrow" w:hAnsi="Arial Narrow" w:cs="Arial Narrow"/>
          <w:sz w:val="22"/>
          <w:szCs w:val="24"/>
        </w:rPr>
        <w:t>,</w:t>
      </w:r>
      <w:r w:rsidRPr="007A34E1">
        <w:rPr>
          <w:rFonts w:ascii="Arial Narrow" w:hAnsi="Arial Narrow" w:cs="Arial Narrow"/>
          <w:sz w:val="22"/>
          <w:szCs w:val="24"/>
        </w:rPr>
        <w:t xml:space="preserve"> ako aj z pohľadávok prevzatých od Veriteľa, a. s.</w:t>
      </w:r>
      <w:r>
        <w:rPr>
          <w:rFonts w:ascii="Arial Narrow" w:hAnsi="Arial Narrow" w:cs="Arial Narrow"/>
          <w:sz w:val="22"/>
          <w:szCs w:val="24"/>
        </w:rPr>
        <w:t>,</w:t>
      </w:r>
      <w:r w:rsidRPr="007A34E1">
        <w:rPr>
          <w:rFonts w:ascii="Arial Narrow" w:hAnsi="Arial Narrow" w:cs="Arial Narrow"/>
          <w:sz w:val="22"/>
          <w:szCs w:val="24"/>
        </w:rPr>
        <w:t xml:space="preserve"> sa predikujú rovnomerné príjmy s predpokladom ukončenia konkurzov do piatich rokov. </w:t>
      </w:r>
    </w:p>
    <w:p w:rsidR="0084667A" w:rsidRPr="007A34E1"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r w:rsidRPr="007A34E1">
        <w:rPr>
          <w:rFonts w:ascii="Arial Narrow" w:hAnsi="Arial Narrow" w:cs="Arial Narrow"/>
          <w:sz w:val="22"/>
          <w:szCs w:val="24"/>
        </w:rPr>
        <w:tab/>
        <w:t>V </w:t>
      </w:r>
      <w:r>
        <w:rPr>
          <w:rFonts w:ascii="Arial Narrow" w:hAnsi="Arial Narrow" w:cs="Arial Narrow"/>
          <w:sz w:val="22"/>
          <w:szCs w:val="24"/>
        </w:rPr>
        <w:t>rozpočte</w:t>
      </w:r>
      <w:r w:rsidRPr="007A34E1">
        <w:rPr>
          <w:rFonts w:ascii="Arial Narrow" w:hAnsi="Arial Narrow" w:cs="Arial Narrow"/>
          <w:sz w:val="22"/>
          <w:szCs w:val="24"/>
        </w:rPr>
        <w:t xml:space="preserve"> sa neuvažuje s postupovaním pohľadávok na tretie osoby</w:t>
      </w:r>
      <w:r>
        <w:rPr>
          <w:rFonts w:ascii="Arial Narrow" w:hAnsi="Arial Narrow" w:cs="Arial Narrow"/>
          <w:sz w:val="22"/>
          <w:szCs w:val="24"/>
        </w:rPr>
        <w:t xml:space="preserve"> a rovnako sa neočakávajú žiadne príjmy z majetkových účastí. V</w:t>
      </w:r>
      <w:r w:rsidRPr="007A34E1">
        <w:rPr>
          <w:rFonts w:ascii="Arial Narrow" w:hAnsi="Arial Narrow" w:cs="Arial Narrow"/>
          <w:sz w:val="22"/>
          <w:szCs w:val="24"/>
        </w:rPr>
        <w:t>ýdavky na mzdy, platy, príspevky do poisťovní</w:t>
      </w:r>
      <w:r>
        <w:rPr>
          <w:rFonts w:ascii="Arial Narrow" w:hAnsi="Arial Narrow" w:cs="Arial Narrow"/>
          <w:sz w:val="22"/>
          <w:szCs w:val="24"/>
        </w:rPr>
        <w:t xml:space="preserve"> a</w:t>
      </w:r>
      <w:r w:rsidRPr="007A34E1">
        <w:rPr>
          <w:rFonts w:ascii="Arial Narrow" w:hAnsi="Arial Narrow" w:cs="Arial Narrow"/>
          <w:sz w:val="22"/>
          <w:szCs w:val="24"/>
        </w:rPr>
        <w:t xml:space="preserve"> nakupované tovary a služby sú</w:t>
      </w:r>
      <w:r>
        <w:rPr>
          <w:rFonts w:ascii="Arial Narrow" w:hAnsi="Arial Narrow" w:cs="Arial Narrow"/>
          <w:sz w:val="22"/>
          <w:szCs w:val="24"/>
        </w:rPr>
        <w:t xml:space="preserve"> </w:t>
      </w:r>
      <w:r w:rsidRPr="007A34E1">
        <w:rPr>
          <w:rFonts w:ascii="Arial Narrow" w:hAnsi="Arial Narrow" w:cs="Arial Narrow"/>
          <w:sz w:val="22"/>
          <w:szCs w:val="24"/>
        </w:rPr>
        <w:t>v rokoch 20</w:t>
      </w:r>
      <w:r>
        <w:rPr>
          <w:rFonts w:ascii="Arial Narrow" w:hAnsi="Arial Narrow" w:cs="Arial Narrow"/>
          <w:sz w:val="22"/>
          <w:szCs w:val="24"/>
        </w:rPr>
        <w:t>10</w:t>
      </w:r>
      <w:r w:rsidRPr="007A34E1">
        <w:rPr>
          <w:rFonts w:ascii="Arial Narrow" w:hAnsi="Arial Narrow" w:cs="Arial Narrow"/>
          <w:sz w:val="22"/>
          <w:szCs w:val="24"/>
        </w:rPr>
        <w:t xml:space="preserve"> až 20</w:t>
      </w:r>
      <w:r>
        <w:rPr>
          <w:rFonts w:ascii="Arial Narrow" w:hAnsi="Arial Narrow" w:cs="Arial Narrow"/>
          <w:sz w:val="22"/>
          <w:szCs w:val="24"/>
        </w:rPr>
        <w:t>12</w:t>
      </w:r>
      <w:r w:rsidRPr="007A34E1">
        <w:rPr>
          <w:rFonts w:ascii="Arial Narrow" w:hAnsi="Arial Narrow" w:cs="Arial Narrow"/>
          <w:sz w:val="22"/>
          <w:szCs w:val="24"/>
        </w:rPr>
        <w:t xml:space="preserve"> </w:t>
      </w:r>
      <w:r>
        <w:rPr>
          <w:rFonts w:ascii="Arial Narrow" w:hAnsi="Arial Narrow" w:cs="Arial Narrow"/>
          <w:sz w:val="22"/>
          <w:szCs w:val="24"/>
        </w:rPr>
        <w:t>rozpočtované</w:t>
      </w:r>
      <w:r w:rsidRPr="007A34E1">
        <w:rPr>
          <w:rFonts w:ascii="Arial Narrow" w:hAnsi="Arial Narrow" w:cs="Arial Narrow"/>
          <w:sz w:val="22"/>
          <w:szCs w:val="24"/>
        </w:rPr>
        <w:t xml:space="preserve"> </w:t>
      </w:r>
      <w:r>
        <w:rPr>
          <w:rFonts w:ascii="Arial Narrow" w:hAnsi="Arial Narrow" w:cs="Arial Narrow"/>
          <w:sz w:val="22"/>
          <w:szCs w:val="24"/>
        </w:rPr>
        <w:t xml:space="preserve">približne </w:t>
      </w:r>
      <w:r w:rsidRPr="007A34E1">
        <w:rPr>
          <w:rFonts w:ascii="Arial Narrow" w:hAnsi="Arial Narrow" w:cs="Arial Narrow"/>
          <w:sz w:val="22"/>
          <w:szCs w:val="24"/>
        </w:rPr>
        <w:t xml:space="preserve">na úrovni </w:t>
      </w:r>
      <w:r>
        <w:rPr>
          <w:rFonts w:ascii="Arial Narrow" w:hAnsi="Arial Narrow" w:cs="Arial Narrow"/>
          <w:sz w:val="22"/>
          <w:szCs w:val="24"/>
        </w:rPr>
        <w:t xml:space="preserve">rozpočtu výdavkov na rok 2009 so zohľadnením </w:t>
      </w:r>
      <w:r w:rsidRPr="007A34E1">
        <w:rPr>
          <w:rFonts w:ascii="Arial Narrow" w:hAnsi="Arial Narrow" w:cs="Arial Narrow"/>
          <w:sz w:val="22"/>
          <w:szCs w:val="24"/>
        </w:rPr>
        <w:t xml:space="preserve">predpokladanej </w:t>
      </w:r>
      <w:r>
        <w:rPr>
          <w:rFonts w:ascii="Arial Narrow" w:hAnsi="Arial Narrow" w:cs="Arial Narrow"/>
          <w:sz w:val="22"/>
          <w:szCs w:val="24"/>
        </w:rPr>
        <w:t xml:space="preserve">miery </w:t>
      </w:r>
      <w:r w:rsidRPr="007A34E1">
        <w:rPr>
          <w:rFonts w:ascii="Arial Narrow" w:hAnsi="Arial Narrow" w:cs="Arial Narrow"/>
          <w:sz w:val="22"/>
          <w:szCs w:val="24"/>
        </w:rPr>
        <w:t>inflácie.</w:t>
      </w:r>
      <w:r>
        <w:rPr>
          <w:rFonts w:ascii="Arial Narrow" w:hAnsi="Arial Narrow" w:cs="Arial Narrow"/>
          <w:sz w:val="22"/>
          <w:szCs w:val="24"/>
        </w:rPr>
        <w:t xml:space="preserve"> SK, a. s. neuvažuje v rokoch 2010 až 2012 so žiadnou odplatou za postúpené pohľadávky.</w:t>
      </w:r>
    </w:p>
    <w:p w:rsidR="0084667A" w:rsidP="0084667A">
      <w:pPr>
        <w:jc w:val="both"/>
        <w:rPr>
          <w:rFonts w:ascii="Arial Narrow" w:hAnsi="Arial Narrow" w:cs="Arial Narrow"/>
          <w:sz w:val="22"/>
          <w:szCs w:val="24"/>
        </w:rPr>
      </w:pPr>
      <w:r>
        <w:rPr>
          <w:rFonts w:ascii="Arial Narrow" w:hAnsi="Arial Narrow" w:cs="Arial Narrow"/>
          <w:sz w:val="22"/>
          <w:szCs w:val="24"/>
        </w:rPr>
        <w:tab/>
      </w: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V roku 2008 SK, a. s. vysporiadala opravnú položku k nadobudnutému majetku KBB, š. p. ú., čo vytvorilo základ pre možnosť dosiahnutia kladného hospodárskeho výsledku SK, a. s. v nasledujúcich rokoch. Na základe toho uvažuje SK, a. s. v rokoch 2010 až 2012  s každoročným vyplatením dividend MF SR. </w:t>
      </w:r>
    </w:p>
    <w:p w:rsidR="0084667A" w:rsidRPr="00DE4803" w:rsidP="0084667A">
      <w:pPr>
        <w:ind w:firstLine="708"/>
        <w:jc w:val="both"/>
        <w:rPr>
          <w:rFonts w:ascii="Arial Narrow" w:hAnsi="Arial Narrow" w:cs="Arial Narrow"/>
          <w:sz w:val="22"/>
          <w:szCs w:val="24"/>
        </w:rPr>
      </w:pPr>
      <w:r w:rsidRPr="00DE4803">
        <w:rPr>
          <w:rFonts w:ascii="Arial Narrow" w:hAnsi="Arial Narrow" w:cs="Arial Narrow"/>
          <w:sz w:val="22"/>
          <w:szCs w:val="24"/>
        </w:rPr>
        <w:t xml:space="preserve"> </w:t>
      </w:r>
    </w:p>
    <w:p w:rsidR="0084667A" w:rsidRPr="00DE4803" w:rsidP="0084667A">
      <w:pPr>
        <w:ind w:firstLine="708"/>
        <w:jc w:val="both"/>
        <w:rPr>
          <w:rFonts w:ascii="Arial Narrow" w:hAnsi="Arial Narrow" w:cs="Arial Narrow"/>
          <w:sz w:val="22"/>
          <w:szCs w:val="24"/>
        </w:rPr>
      </w:pPr>
      <w:r w:rsidRPr="00DE4803">
        <w:rPr>
          <w:rFonts w:ascii="Arial Narrow" w:hAnsi="Arial Narrow" w:cs="Arial Narrow"/>
          <w:sz w:val="22"/>
          <w:szCs w:val="24"/>
        </w:rPr>
        <w:t>Vývoj príjmovej a výdavkovej časti rozpočtu SK, a. s. na roky 2010 až 2012 je nasledovný:</w:t>
        <w:tab/>
      </w:r>
    </w:p>
    <w:p w:rsidR="0084667A" w:rsidRPr="00A96506" w:rsidP="0084667A">
      <w:pPr>
        <w:ind w:firstLine="708"/>
        <w:jc w:val="both"/>
        <w:rPr>
          <w:rFonts w:ascii="Arial Narrow" w:hAnsi="Arial Narrow" w:cs="Arial Narrow"/>
          <w:sz w:val="22"/>
          <w:szCs w:val="24"/>
        </w:rPr>
      </w:pPr>
      <w:r w:rsidRPr="00DE4803">
        <w:rPr>
          <w:rFonts w:ascii="Arial Narrow" w:hAnsi="Arial Narrow" w:cs="Arial Narrow"/>
          <w:sz w:val="22"/>
          <w:szCs w:val="24"/>
        </w:rPr>
        <w:t xml:space="preserve">                                                                                                                                                   </w:t>
      </w:r>
    </w:p>
    <w:tbl>
      <w:tblPr>
        <w:tblStyle w:val="TableNormal"/>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080"/>
        <w:gridCol w:w="1080"/>
        <w:gridCol w:w="1080"/>
        <w:gridCol w:w="1080"/>
      </w:tblGrid>
      <w:tr>
        <w:tblPrEx>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8"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7F78EE" w:rsidP="002B1759">
            <w:pPr>
              <w:rPr>
                <w:rFonts w:ascii="Arial Narrow" w:hAnsi="Arial Narrow" w:cs="Arial Narrow"/>
                <w:b/>
                <w:color w:val="FFFFFF"/>
                <w:sz w:val="20"/>
                <w:szCs w:val="24"/>
              </w:rPr>
            </w:pPr>
            <w:r w:rsidRPr="007F78EE">
              <w:rPr>
                <w:rFonts w:ascii="Arial Narrow" w:hAnsi="Arial Narrow" w:cs="Arial Narrow"/>
                <w:b/>
                <w:color w:val="FFFFFF"/>
                <w:sz w:val="20"/>
                <w:szCs w:val="24"/>
              </w:rPr>
              <w:t>(v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2009</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 xml:space="preserve"> 2011</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Príjmy SK, a. s.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xml:space="preserve">74 683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xml:space="preserve">92 008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92 448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92 694</w:t>
            </w:r>
          </w:p>
        </w:tc>
      </w:tr>
      <w:tr>
        <w:tblPrEx>
          <w:tblW w:w="9108" w:type="dxa"/>
          <w:tblInd w:w="0" w:type="dxa"/>
          <w:tblLook w:val="01E0"/>
        </w:tblPrEx>
        <w:tc>
          <w:tcPr>
            <w:tcW w:w="8028" w:type="dxa"/>
            <w:gridSpan w:val="4"/>
            <w:tcBorders>
              <w:top w:val="single" w:sz="4" w:space="0" w:color="auto"/>
              <w:left w:val="single" w:sz="4" w:space="0" w:color="auto"/>
              <w:bottom w:val="single" w:sz="4" w:space="0" w:color="auto"/>
              <w:right w:val="nil"/>
            </w:tcBorders>
            <w:textDirection w:val="lrTb"/>
            <w:vAlign w:val="top"/>
          </w:tcPr>
          <w:p w:rsidR="0084667A" w:rsidP="002B1759">
            <w:pPr>
              <w:jc w:val="both"/>
              <w:rPr>
                <w:rFonts w:ascii="Arial Narrow" w:hAnsi="Arial Narrow" w:cs="Arial Narrow"/>
                <w:b/>
                <w:i/>
                <w:sz w:val="20"/>
                <w:szCs w:val="24"/>
              </w:rPr>
            </w:pPr>
            <w:r>
              <w:rPr>
                <w:rFonts w:ascii="Arial Narrow" w:hAnsi="Arial Narrow" w:cs="Arial Narrow"/>
                <w:b/>
                <w:i/>
                <w:sz w:val="20"/>
                <w:szCs w:val="24"/>
              </w:rPr>
              <w:t>z toho:</w:t>
            </w:r>
          </w:p>
        </w:tc>
        <w:tc>
          <w:tcPr>
            <w:tcW w:w="1080" w:type="dxa"/>
            <w:tcBorders>
              <w:top w:val="single" w:sz="4" w:space="0" w:color="auto"/>
              <w:left w:val="nil"/>
              <w:bottom w:val="single" w:sz="4" w:space="0" w:color="auto"/>
              <w:right w:val="single" w:sz="4" w:space="0" w:color="auto"/>
            </w:tcBorders>
            <w:textDirection w:val="lrTb"/>
            <w:vAlign w:val="top"/>
          </w:tcPr>
          <w:p w:rsidR="0084667A" w:rsidP="002B1759">
            <w:pPr>
              <w:jc w:val="both"/>
              <w:rPr>
                <w:rFonts w:ascii="Arial Narrow" w:hAnsi="Arial Narrow" w:cs="Arial Narrow"/>
                <w:b/>
                <w:i/>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7"/>
              </w:numPr>
              <w:rPr>
                <w:rFonts w:ascii="Arial Narrow" w:hAnsi="Arial Narrow" w:cs="Arial Narrow"/>
                <w:sz w:val="20"/>
                <w:szCs w:val="24"/>
              </w:rPr>
            </w:pPr>
            <w:r>
              <w:rPr>
                <w:rFonts w:ascii="Arial Narrow" w:hAnsi="Arial Narrow" w:cs="Arial Narrow"/>
                <w:sz w:val="20"/>
                <w:szCs w:val="24"/>
              </w:rPr>
              <w:t>z podnikania a z vlastníctva majetku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63</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7"/>
              </w:numPr>
              <w:rPr>
                <w:rFonts w:ascii="Arial Narrow" w:hAnsi="Arial Narrow" w:cs="Arial Narrow"/>
                <w:sz w:val="20"/>
                <w:szCs w:val="24"/>
              </w:rPr>
            </w:pPr>
            <w:r>
              <w:rPr>
                <w:rFonts w:ascii="Arial Narrow" w:hAnsi="Arial Narrow" w:cs="Arial Narrow"/>
                <w:sz w:val="20"/>
                <w:szCs w:val="24"/>
              </w:rPr>
              <w:t xml:space="preserve">úroky z tuzemských úverov, pôžičiek, vkladov a ážio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8 061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8 471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8 631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8 826</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7"/>
              </w:numPr>
              <w:rPr>
                <w:rFonts w:ascii="Arial Narrow" w:hAnsi="Arial Narrow" w:cs="Arial Narrow"/>
                <w:sz w:val="20"/>
                <w:szCs w:val="24"/>
              </w:rPr>
            </w:pPr>
            <w:r>
              <w:rPr>
                <w:rFonts w:ascii="Arial Narrow" w:hAnsi="Arial Narrow" w:cs="Arial Narrow"/>
                <w:sz w:val="20"/>
                <w:szCs w:val="24"/>
              </w:rPr>
              <w:t>ostatné príjmy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531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252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290</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7"/>
              </w:numPr>
              <w:rPr>
                <w:rFonts w:ascii="Arial Narrow" w:hAnsi="Arial Narrow" w:cs="Arial Narrow"/>
                <w:sz w:val="20"/>
                <w:szCs w:val="24"/>
              </w:rPr>
            </w:pPr>
            <w:r>
              <w:rPr>
                <w:rFonts w:ascii="Arial Narrow" w:hAnsi="Arial Narrow" w:cs="Arial Narrow"/>
                <w:sz w:val="20"/>
                <w:szCs w:val="24"/>
              </w:rPr>
              <w:t>zo splátok tuzemských úverov a pôžič. a NFV - istín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3 768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6 000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6 000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6 000</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6"/>
              </w:numPr>
              <w:rPr>
                <w:rFonts w:ascii="Arial Narrow" w:hAnsi="Arial Narrow" w:cs="Arial Narrow"/>
                <w:sz w:val="20"/>
                <w:szCs w:val="24"/>
              </w:rPr>
            </w:pPr>
            <w:r>
              <w:rPr>
                <w:rFonts w:ascii="Arial Narrow" w:hAnsi="Arial Narrow" w:cs="Arial Narrow"/>
                <w:sz w:val="20"/>
                <w:szCs w:val="24"/>
              </w:rPr>
              <w:t>z predaja majetkových účastín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6"/>
              </w:numPr>
              <w:rPr>
                <w:rFonts w:ascii="Arial Narrow" w:hAnsi="Arial Narrow" w:cs="Arial Narrow"/>
                <w:sz w:val="20"/>
                <w:szCs w:val="24"/>
              </w:rPr>
            </w:pPr>
            <w:r>
              <w:rPr>
                <w:rFonts w:ascii="Arial Narrow" w:hAnsi="Arial Narrow" w:cs="Arial Narrow"/>
                <w:sz w:val="20"/>
                <w:szCs w:val="24"/>
              </w:rPr>
              <w:t>zostatok prostriedkov z predchádzajúcich rokov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62 260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77 222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77 494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77 515</w:t>
            </w:r>
          </w:p>
        </w:tc>
      </w:tr>
      <w:tr>
        <w:tblPrEx>
          <w:tblW w:w="9108" w:type="dxa"/>
          <w:tblInd w:w="0" w:type="dxa"/>
          <w:tblLook w:val="01E0"/>
        </w:tblPrEx>
        <w:tc>
          <w:tcPr>
            <w:tcW w:w="8028" w:type="dxa"/>
            <w:gridSpan w:val="4"/>
            <w:tcBorders>
              <w:top w:val="single" w:sz="4" w:space="0" w:color="auto"/>
              <w:left w:val="single" w:sz="4" w:space="0" w:color="auto"/>
              <w:bottom w:val="single" w:sz="4" w:space="0" w:color="auto"/>
              <w:right w:val="nil"/>
            </w:tcBorders>
            <w:textDirection w:val="lrTb"/>
            <w:vAlign w:val="top"/>
          </w:tcPr>
          <w:p w:rsidR="0084667A" w:rsidP="002B1759">
            <w:pPr>
              <w:jc w:val="both"/>
              <w:rPr>
                <w:rFonts w:ascii="Arial Narrow" w:hAnsi="Arial Narrow" w:cs="Arial Narrow"/>
                <w:sz w:val="20"/>
                <w:szCs w:val="24"/>
              </w:rPr>
            </w:pPr>
          </w:p>
        </w:tc>
        <w:tc>
          <w:tcPr>
            <w:tcW w:w="1080" w:type="dxa"/>
            <w:tcBorders>
              <w:top w:val="single" w:sz="4" w:space="0" w:color="auto"/>
              <w:left w:val="nil"/>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Výdavky SK, a. s.  spolu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xml:space="preserve">8 173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xml:space="preserve">14 514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14 933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14 868</w:t>
            </w:r>
          </w:p>
        </w:tc>
      </w:tr>
      <w:tr>
        <w:tblPrEx>
          <w:tblW w:w="9108" w:type="dxa"/>
          <w:tblInd w:w="0" w:type="dxa"/>
          <w:tblLook w:val="01E0"/>
        </w:tblPrEx>
        <w:tc>
          <w:tcPr>
            <w:tcW w:w="8028" w:type="dxa"/>
            <w:gridSpan w:val="4"/>
            <w:tcBorders>
              <w:top w:val="single" w:sz="4" w:space="0" w:color="auto"/>
              <w:left w:val="single" w:sz="4" w:space="0" w:color="auto"/>
              <w:bottom w:val="single" w:sz="4" w:space="0" w:color="auto"/>
              <w:right w:val="nil"/>
            </w:tcBorders>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z toho:</w:t>
            </w:r>
          </w:p>
        </w:tc>
        <w:tc>
          <w:tcPr>
            <w:tcW w:w="1080" w:type="dxa"/>
            <w:tcBorders>
              <w:top w:val="single" w:sz="4" w:space="0" w:color="auto"/>
              <w:left w:val="nil"/>
              <w:bottom w:val="single" w:sz="4" w:space="0" w:color="auto"/>
              <w:right w:val="single" w:sz="4" w:space="0" w:color="auto"/>
            </w:tcBorders>
            <w:textDirection w:val="lrTb"/>
            <w:vAlign w:val="top"/>
          </w:tcPr>
          <w:p w:rsidR="0084667A" w:rsidP="002B1759">
            <w:pPr>
              <w:rPr>
                <w:rFonts w:ascii="Arial Narrow" w:hAnsi="Arial Narrow" w:cs="Arial Narrow"/>
                <w:b/>
                <w:i/>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4"/>
              </w:numPr>
              <w:rPr>
                <w:rFonts w:ascii="Arial Narrow" w:hAnsi="Arial Narrow" w:cs="Arial Narrow"/>
                <w:sz w:val="20"/>
                <w:szCs w:val="24"/>
              </w:rPr>
            </w:pPr>
            <w:r>
              <w:rPr>
                <w:rFonts w:ascii="Arial Narrow" w:hAnsi="Arial Narrow" w:cs="Arial Narrow"/>
                <w:sz w:val="20"/>
                <w:szCs w:val="24"/>
              </w:rPr>
              <w:t>mzdy a odvody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5 168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5 377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5 538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5 704</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4"/>
              </w:numPr>
              <w:rPr>
                <w:rFonts w:ascii="Arial Narrow" w:hAnsi="Arial Narrow" w:cs="Arial Narrow"/>
                <w:sz w:val="20"/>
                <w:szCs w:val="24"/>
              </w:rPr>
            </w:pPr>
            <w:r>
              <w:rPr>
                <w:rFonts w:ascii="Arial Narrow" w:hAnsi="Arial Narrow" w:cs="Arial Narrow"/>
                <w:sz w:val="20"/>
                <w:szCs w:val="24"/>
              </w:rPr>
              <w:t>tovary a služby (prevádzkové náklady)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2 733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2 410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2 505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2 570</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4"/>
              </w:numPr>
              <w:rPr>
                <w:rFonts w:ascii="Arial Narrow" w:hAnsi="Arial Narrow" w:cs="Arial Narrow"/>
                <w:sz w:val="20"/>
                <w:szCs w:val="24"/>
              </w:rPr>
            </w:pPr>
            <w:r>
              <w:rPr>
                <w:rFonts w:ascii="Arial Narrow" w:hAnsi="Arial Narrow" w:cs="Arial Narrow"/>
                <w:sz w:val="20"/>
                <w:szCs w:val="24"/>
              </w:rPr>
              <w:t>bežné transfery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241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199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197</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4"/>
              </w:numPr>
              <w:rPr>
                <w:rFonts w:ascii="Arial Narrow" w:hAnsi="Arial Narrow" w:cs="Arial Narrow"/>
                <w:sz w:val="20"/>
                <w:szCs w:val="24"/>
              </w:rPr>
            </w:pPr>
            <w:r>
              <w:rPr>
                <w:rFonts w:ascii="Arial Narrow" w:hAnsi="Arial Narrow" w:cs="Arial Narrow"/>
                <w:sz w:val="20"/>
                <w:szCs w:val="24"/>
              </w:rPr>
              <w:t>obstarávanie kapitálových aktív</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265</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386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391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397</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4"/>
              </w:numPr>
              <w:rPr>
                <w:rFonts w:ascii="Arial Narrow" w:hAnsi="Arial Narrow" w:cs="Arial Narrow"/>
                <w:sz w:val="20"/>
                <w:szCs w:val="24"/>
              </w:rPr>
            </w:pPr>
            <w:r>
              <w:rPr>
                <w:rFonts w:ascii="Arial Narrow" w:hAnsi="Arial Narrow" w:cs="Arial Narrow"/>
                <w:sz w:val="20"/>
                <w:szCs w:val="24"/>
              </w:rPr>
              <w:t xml:space="preserve">ostatné výdavkové finančné  operácie (FO)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6 100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6 300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6 000</w:t>
            </w:r>
          </w:p>
        </w:tc>
      </w:tr>
      <w:tr>
        <w:tblPrEx>
          <w:tblW w:w="9108" w:type="dxa"/>
          <w:tblInd w:w="0" w:type="dxa"/>
          <w:tblLook w:val="01E0"/>
        </w:tblPrEx>
        <w:tc>
          <w:tcPr>
            <w:tcW w:w="8028" w:type="dxa"/>
            <w:gridSpan w:val="4"/>
            <w:tcBorders>
              <w:top w:val="single" w:sz="4" w:space="0" w:color="auto"/>
              <w:left w:val="single" w:sz="4" w:space="0" w:color="auto"/>
              <w:bottom w:val="single" w:sz="4" w:space="0" w:color="auto"/>
              <w:right w:val="nil"/>
            </w:tcBorders>
            <w:textDirection w:val="lrTb"/>
            <w:vAlign w:val="top"/>
          </w:tcPr>
          <w:p w:rsidR="0084667A" w:rsidP="002B1759">
            <w:pPr>
              <w:jc w:val="both"/>
              <w:rPr>
                <w:rFonts w:ascii="Arial Narrow" w:hAnsi="Arial Narrow" w:cs="Arial Narrow"/>
                <w:sz w:val="20"/>
                <w:szCs w:val="24"/>
              </w:rPr>
            </w:pPr>
          </w:p>
        </w:tc>
        <w:tc>
          <w:tcPr>
            <w:tcW w:w="1080" w:type="dxa"/>
            <w:tcBorders>
              <w:top w:val="single" w:sz="4" w:space="0" w:color="auto"/>
              <w:left w:val="nil"/>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 xml:space="preserve">Celkový prebytok SK, a. s. </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66 510</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77 494</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77 515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77 826</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 xml:space="preserve"> vylúčenie finančných operácií</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-66 028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-77 122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-77 194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-77 515</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 xml:space="preserve"> z toho: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b/>
                <w:i/>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5"/>
              </w:numPr>
              <w:rPr>
                <w:rFonts w:ascii="Arial Narrow" w:hAnsi="Arial Narrow" w:cs="Arial Narrow"/>
                <w:b/>
                <w:sz w:val="20"/>
                <w:szCs w:val="24"/>
              </w:rPr>
            </w:pPr>
            <w:r>
              <w:rPr>
                <w:rFonts w:ascii="Arial Narrow" w:hAnsi="Arial Narrow" w:cs="Arial Narrow"/>
                <w:sz w:val="20"/>
                <w:szCs w:val="24"/>
              </w:rPr>
              <w:t>vylúčenie príjmových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-66 028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-83 222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-83 494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-83 515</w:t>
            </w: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numPr>
                <w:numId w:val="5"/>
              </w:numPr>
              <w:rPr>
                <w:rFonts w:ascii="Arial Narrow" w:hAnsi="Arial Narrow" w:cs="Arial Narrow"/>
                <w:sz w:val="20"/>
                <w:szCs w:val="24"/>
              </w:rPr>
            </w:pPr>
            <w:r>
              <w:rPr>
                <w:rFonts w:ascii="Arial Narrow" w:hAnsi="Arial Narrow" w:cs="Arial Narrow"/>
                <w:sz w:val="20"/>
                <w:szCs w:val="24"/>
              </w:rPr>
              <w:t>vylúčenie výdavkových FO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6 100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 xml:space="preserve">         6 300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4667A" w:rsidP="002B1759">
            <w:pPr>
              <w:jc w:val="right"/>
              <w:rPr>
                <w:rFonts w:ascii="Arial Narrow" w:hAnsi="Arial Narrow" w:cs="Arial Narrow"/>
                <w:sz w:val="20"/>
                <w:szCs w:val="24"/>
              </w:rPr>
            </w:pPr>
            <w:r>
              <w:rPr>
                <w:rFonts w:ascii="Arial Narrow" w:hAnsi="Arial Narrow" w:cs="Arial Narrow"/>
                <w:sz w:val="20"/>
                <w:szCs w:val="24"/>
              </w:rPr>
              <w:t>6 000</w:t>
            </w:r>
          </w:p>
        </w:tc>
      </w:tr>
      <w:tr>
        <w:tblPrEx>
          <w:tblW w:w="9108" w:type="dxa"/>
          <w:tblInd w:w="0" w:type="dxa"/>
          <w:tblLook w:val="01E0"/>
        </w:tblPrEx>
        <w:tc>
          <w:tcPr>
            <w:tcW w:w="8028" w:type="dxa"/>
            <w:gridSpan w:val="4"/>
            <w:tcBorders>
              <w:top w:val="single" w:sz="4" w:space="0" w:color="auto"/>
              <w:left w:val="single" w:sz="4" w:space="0" w:color="auto"/>
              <w:bottom w:val="single" w:sz="4" w:space="0" w:color="auto"/>
              <w:right w:val="nil"/>
            </w:tcBorders>
            <w:textDirection w:val="lrTb"/>
            <w:vAlign w:val="top"/>
          </w:tcPr>
          <w:p w:rsidR="0084667A" w:rsidP="002B1759">
            <w:pPr>
              <w:jc w:val="both"/>
              <w:rPr>
                <w:rFonts w:ascii="Arial Narrow" w:hAnsi="Arial Narrow" w:cs="Arial Narrow"/>
                <w:sz w:val="20"/>
                <w:szCs w:val="24"/>
              </w:rPr>
            </w:pPr>
          </w:p>
        </w:tc>
        <w:tc>
          <w:tcPr>
            <w:tcW w:w="1080" w:type="dxa"/>
            <w:tcBorders>
              <w:top w:val="single" w:sz="4" w:space="0" w:color="auto"/>
              <w:left w:val="nil"/>
              <w:bottom w:val="single" w:sz="4" w:space="0" w:color="auto"/>
              <w:right w:val="single" w:sz="4" w:space="0" w:color="auto"/>
            </w:tcBorders>
            <w:textDirection w:val="lrTb"/>
            <w:vAlign w:val="top"/>
          </w:tcPr>
          <w:p w:rsidR="0084667A" w:rsidP="002B1759">
            <w:pPr>
              <w:jc w:val="both"/>
              <w:rPr>
                <w:rFonts w:ascii="Arial Narrow" w:hAnsi="Arial Narrow" w:cs="Arial Narrow"/>
                <w:sz w:val="20"/>
                <w:szCs w:val="24"/>
              </w:rPr>
            </w:pPr>
          </w:p>
        </w:tc>
      </w:tr>
      <w:tr>
        <w:tblPrEx>
          <w:tblW w:w="9108" w:type="dxa"/>
          <w:tblInd w:w="0" w:type="dxa"/>
          <w:tblLook w:val="01E0"/>
        </w:tblPrEx>
        <w:tc>
          <w:tcPr>
            <w:tcW w:w="478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rPr>
                <w:rFonts w:ascii="Arial Narrow" w:hAnsi="Arial Narrow" w:cs="Arial Narrow"/>
                <w:b/>
                <w:i/>
                <w:sz w:val="20"/>
                <w:szCs w:val="24"/>
              </w:rPr>
            </w:pPr>
            <w:r>
              <w:rPr>
                <w:rFonts w:ascii="Arial Narrow" w:hAnsi="Arial Narrow" w:cs="Arial Narrow"/>
                <w:b/>
                <w:i/>
                <w:sz w:val="20"/>
                <w:szCs w:val="24"/>
              </w:rPr>
              <w:t>Prebytok  SK, a. s.  (ESA 95)</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50"/>
              <w:jc w:val="right"/>
              <w:rPr>
                <w:rFonts w:ascii="Arial Narrow" w:hAnsi="Arial Narrow" w:cs="Arial Narrow"/>
                <w:b/>
                <w:i/>
                <w:sz w:val="20"/>
                <w:szCs w:val="24"/>
              </w:rPr>
            </w:pPr>
            <w:r>
              <w:rPr>
                <w:rFonts w:ascii="Arial Narrow" w:hAnsi="Arial Narrow" w:cs="Arial Narrow"/>
                <w:b/>
                <w:i/>
                <w:sz w:val="20"/>
                <w:szCs w:val="24"/>
              </w:rPr>
              <w:t>482</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372</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ind w:left="335"/>
              <w:jc w:val="right"/>
              <w:rPr>
                <w:rFonts w:ascii="Arial Narrow" w:hAnsi="Arial Narrow" w:cs="Arial Narrow"/>
                <w:b/>
                <w:i/>
                <w:sz w:val="20"/>
                <w:szCs w:val="24"/>
              </w:rPr>
            </w:pPr>
            <w:r>
              <w:rPr>
                <w:rFonts w:ascii="Arial Narrow" w:hAnsi="Arial Narrow" w:cs="Arial Narrow"/>
                <w:b/>
                <w:i/>
                <w:sz w:val="20"/>
                <w:szCs w:val="24"/>
              </w:rPr>
              <w:t>321</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P="002B1759">
            <w:pPr>
              <w:jc w:val="right"/>
              <w:rPr>
                <w:rFonts w:ascii="Arial Narrow" w:hAnsi="Arial Narrow" w:cs="Arial Narrow"/>
                <w:b/>
                <w:i/>
                <w:sz w:val="20"/>
                <w:szCs w:val="24"/>
              </w:rPr>
            </w:pPr>
            <w:r>
              <w:rPr>
                <w:rFonts w:ascii="Arial Narrow" w:hAnsi="Arial Narrow" w:cs="Arial Narrow"/>
                <w:b/>
                <w:i/>
                <w:sz w:val="20"/>
                <w:szCs w:val="24"/>
              </w:rPr>
              <w:t xml:space="preserve">311            </w:t>
            </w:r>
          </w:p>
        </w:tc>
      </w:tr>
    </w:tbl>
    <w:p w:rsidR="0084667A" w:rsidP="0084667A">
      <w:pPr>
        <w:rPr>
          <w:rFonts w:ascii="Times New Roman" w:hAnsi="Times New Roman" w:cs="Times New Roman"/>
          <w:szCs w:val="24"/>
          <w:highlight w:val="yellow"/>
        </w:rPr>
      </w:pPr>
    </w:p>
    <w:p w:rsidR="0084667A" w:rsidP="0084667A">
      <w:pPr>
        <w:rPr>
          <w:rFonts w:ascii="Times New Roman" w:hAnsi="Times New Roman" w:cs="Times New Roman"/>
          <w:szCs w:val="24"/>
          <w:highlight w:val="yellow"/>
        </w:rPr>
      </w:pPr>
    </w:p>
    <w:p w:rsidR="0084667A" w:rsidRPr="00804143" w:rsidP="0084667A">
      <w:pPr>
        <w:jc w:val="both"/>
        <w:rPr>
          <w:rFonts w:ascii="Arial Narrow" w:hAnsi="Arial Narrow" w:cs="Arial Narrow"/>
          <w:b/>
          <w:szCs w:val="24"/>
        </w:rPr>
      </w:pPr>
      <w:r w:rsidRPr="00804143">
        <w:rPr>
          <w:rFonts w:ascii="Arial Narrow" w:hAnsi="Arial Narrow" w:cs="Arial Narrow"/>
          <w:b/>
          <w:szCs w:val="24"/>
        </w:rPr>
        <w:t>8. Úrad pre dohľad nad zdravotnou starostlivosťou</w:t>
      </w:r>
    </w:p>
    <w:p w:rsidR="0084667A" w:rsidRPr="004A29C8"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 xml:space="preserve">Úrad pre dohľad nad zdravotnou starostlivosťou (ďalej len „úrad“) bol zriadený zákonom </w:t>
        <w:br/>
        <w:t>č. 581/2004 Z. z. o zdravotných poisťovniach, dohľade nad zdravotnou starostlivosťou a o zmene a doplnení niektorých zákonov k 1. novembru 2004. Návrh rozpočtu na roky 2010 až 2012 je zostavený na základe platnej a pripravovanej legislatívy.</w:t>
      </w:r>
    </w:p>
    <w:p w:rsidR="0084667A" w:rsidRPr="00200D2F" w:rsidP="0084667A">
      <w:pPr>
        <w:jc w:val="both"/>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sidRPr="00200D2F">
        <w:rPr>
          <w:rFonts w:ascii="Arial Narrow" w:hAnsi="Arial Narrow" w:cs="Arial Narrow"/>
          <w:sz w:val="22"/>
          <w:szCs w:val="24"/>
        </w:rPr>
        <w:t>Ce</w:t>
      </w:r>
      <w:r>
        <w:rPr>
          <w:rFonts w:ascii="Arial Narrow" w:hAnsi="Arial Narrow" w:cs="Arial Narrow"/>
          <w:sz w:val="22"/>
          <w:szCs w:val="24"/>
        </w:rPr>
        <w:t>lkové príjmy úradu sú v roku 2010 plánované vo výške 32,6 mil. eur</w:t>
      </w:r>
      <w:r w:rsidRPr="00200D2F">
        <w:rPr>
          <w:rFonts w:ascii="Arial Narrow" w:hAnsi="Arial Narrow" w:cs="Arial Narrow"/>
          <w:sz w:val="22"/>
          <w:szCs w:val="24"/>
        </w:rPr>
        <w:t xml:space="preserve">. </w:t>
      </w:r>
      <w:r>
        <w:rPr>
          <w:rFonts w:ascii="Arial Narrow" w:hAnsi="Arial Narrow" w:cs="Arial Narrow"/>
          <w:sz w:val="22"/>
          <w:szCs w:val="24"/>
        </w:rPr>
        <w:t xml:space="preserve">Pre rok 2011 sa celkové príjmy predpokladajú v objeme 32,9 mil. eur s 1,10 % nárastom a pre rok 2012 v objeme 34,2 mil. eur, čo predstavuje </w:t>
      </w:r>
      <w:r w:rsidR="00564ADD">
        <w:rPr>
          <w:rFonts w:ascii="Arial Narrow" w:hAnsi="Arial Narrow" w:cs="Arial Narrow"/>
          <w:sz w:val="22"/>
          <w:szCs w:val="24"/>
        </w:rPr>
        <w:t xml:space="preserve"> </w:t>
      </w:r>
      <w:r>
        <w:rPr>
          <w:rFonts w:ascii="Arial Narrow" w:hAnsi="Arial Narrow" w:cs="Arial Narrow"/>
          <w:sz w:val="22"/>
          <w:szCs w:val="24"/>
        </w:rPr>
        <w:t xml:space="preserve">3,86 % nárast oproti predchádzajúcemu roku. </w:t>
      </w:r>
    </w:p>
    <w:p w:rsidR="0084667A" w:rsidP="0084667A">
      <w:pPr>
        <w:pStyle w:val="BodyText"/>
        <w:ind w:firstLine="708"/>
        <w:rPr>
          <w:rFonts w:ascii="Arial Narrow" w:hAnsi="Arial Narrow" w:cs="Arial Narrow"/>
          <w:sz w:val="22"/>
          <w:szCs w:val="24"/>
        </w:rPr>
      </w:pPr>
    </w:p>
    <w:p w:rsidR="0084667A" w:rsidP="0084667A">
      <w:pPr>
        <w:pStyle w:val="BodyText"/>
        <w:ind w:firstLine="708"/>
        <w:rPr>
          <w:rFonts w:ascii="Arial Narrow" w:hAnsi="Arial Narrow" w:cs="Arial Narrow"/>
          <w:sz w:val="22"/>
          <w:szCs w:val="24"/>
        </w:rPr>
      </w:pPr>
      <w:r w:rsidRPr="00200D2F">
        <w:rPr>
          <w:rFonts w:ascii="Arial Narrow" w:hAnsi="Arial Narrow" w:cs="Arial Narrow"/>
          <w:sz w:val="22"/>
          <w:szCs w:val="24"/>
        </w:rPr>
        <w:t>Rozhodujúcim príjmom úradu sú príspevky od zdravotných poisťovní podľa §</w:t>
      </w:r>
      <w:r>
        <w:rPr>
          <w:rFonts w:ascii="Arial Narrow" w:hAnsi="Arial Narrow" w:cs="Arial Narrow"/>
          <w:sz w:val="22"/>
          <w:szCs w:val="24"/>
        </w:rPr>
        <w:t xml:space="preserve"> </w:t>
      </w:r>
      <w:r w:rsidRPr="00200D2F">
        <w:rPr>
          <w:rFonts w:ascii="Arial Narrow" w:hAnsi="Arial Narrow" w:cs="Arial Narrow"/>
          <w:sz w:val="22"/>
          <w:szCs w:val="24"/>
        </w:rPr>
        <w:t>30 zákona č. 581/2004 Z. z., ktorých výška závisí od sumy vybraného poistného, na ktorú majú poisťovne právo po prerozdelení poistného za kalendárny rok predchádzajúci kalendárnemu roku, v ktorom je príspevok splatný. Príspevok sa poukazuje n</w:t>
      </w:r>
      <w:r>
        <w:rPr>
          <w:rFonts w:ascii="Arial Narrow" w:hAnsi="Arial Narrow" w:cs="Arial Narrow"/>
          <w:sz w:val="22"/>
          <w:szCs w:val="24"/>
        </w:rPr>
        <w:t xml:space="preserve">a účet úradu </w:t>
      </w:r>
      <w:r w:rsidRPr="00200D2F">
        <w:rPr>
          <w:rFonts w:ascii="Arial Narrow" w:hAnsi="Arial Narrow" w:cs="Arial Narrow"/>
          <w:sz w:val="22"/>
          <w:szCs w:val="24"/>
        </w:rPr>
        <w:t>do 20. decembra kalendárneho roku na nasledujúci kalendárny rok. Úrad presúva uvedené prostriedky</w:t>
      </w:r>
      <w:r>
        <w:rPr>
          <w:rFonts w:ascii="Arial Narrow" w:hAnsi="Arial Narrow" w:cs="Arial Narrow"/>
          <w:sz w:val="22"/>
          <w:szCs w:val="24"/>
        </w:rPr>
        <w:t xml:space="preserve"> </w:t>
      </w:r>
      <w:r w:rsidRPr="00200D2F">
        <w:rPr>
          <w:rFonts w:ascii="Arial Narrow" w:hAnsi="Arial Narrow" w:cs="Arial Narrow"/>
          <w:sz w:val="22"/>
          <w:szCs w:val="24"/>
        </w:rPr>
        <w:t>do nasledujúceho roku ako zostatok finančných prostriedk</w:t>
      </w:r>
      <w:r>
        <w:rPr>
          <w:rFonts w:ascii="Arial Narrow" w:hAnsi="Arial Narrow" w:cs="Arial Narrow"/>
          <w:sz w:val="22"/>
          <w:szCs w:val="24"/>
        </w:rPr>
        <w:t>ov z predchádzajúcich rokov. V</w:t>
      </w:r>
      <w:r w:rsidRPr="00200D2F">
        <w:rPr>
          <w:rFonts w:ascii="Arial Narrow" w:hAnsi="Arial Narrow" w:cs="Arial Narrow"/>
          <w:sz w:val="22"/>
          <w:szCs w:val="24"/>
        </w:rPr>
        <w:t xml:space="preserve"> rok</w:t>
      </w:r>
      <w:r>
        <w:rPr>
          <w:rFonts w:ascii="Arial Narrow" w:hAnsi="Arial Narrow" w:cs="Arial Narrow"/>
          <w:sz w:val="22"/>
          <w:szCs w:val="24"/>
        </w:rPr>
        <w:t>u 2010</w:t>
      </w:r>
      <w:r w:rsidRPr="00200D2F">
        <w:rPr>
          <w:rFonts w:ascii="Arial Narrow" w:hAnsi="Arial Narrow" w:cs="Arial Narrow"/>
          <w:sz w:val="22"/>
          <w:szCs w:val="24"/>
        </w:rPr>
        <w:t xml:space="preserve"> je príspevok od zdravotn</w:t>
      </w:r>
      <w:r>
        <w:rPr>
          <w:rFonts w:ascii="Arial Narrow" w:hAnsi="Arial Narrow" w:cs="Arial Narrow"/>
          <w:sz w:val="22"/>
          <w:szCs w:val="24"/>
        </w:rPr>
        <w:t>ých poisťovní predpokladaný vo výške 15,0</w:t>
      </w:r>
      <w:r w:rsidRPr="00200D2F">
        <w:rPr>
          <w:rFonts w:ascii="Arial Narrow" w:hAnsi="Arial Narrow" w:cs="Arial Narrow"/>
          <w:sz w:val="22"/>
          <w:szCs w:val="24"/>
        </w:rPr>
        <w:t xml:space="preserve"> mil. </w:t>
      </w:r>
      <w:r>
        <w:rPr>
          <w:rFonts w:ascii="Arial Narrow" w:hAnsi="Arial Narrow" w:cs="Arial Narrow"/>
          <w:sz w:val="22"/>
          <w:szCs w:val="24"/>
        </w:rPr>
        <w:t>eur</w:t>
      </w:r>
      <w:r w:rsidRPr="00200D2F">
        <w:rPr>
          <w:rFonts w:ascii="Arial Narrow" w:hAnsi="Arial Narrow" w:cs="Arial Narrow"/>
          <w:sz w:val="22"/>
          <w:szCs w:val="24"/>
        </w:rPr>
        <w:t>, ktorý vychádza z</w:t>
      </w:r>
      <w:r>
        <w:rPr>
          <w:rFonts w:ascii="Arial Narrow" w:hAnsi="Arial Narrow" w:cs="Arial Narrow"/>
          <w:sz w:val="22"/>
          <w:szCs w:val="24"/>
        </w:rPr>
        <w:t xml:space="preserve"> očakávaného </w:t>
      </w:r>
      <w:r w:rsidRPr="00200D2F">
        <w:rPr>
          <w:rFonts w:ascii="Arial Narrow" w:hAnsi="Arial Narrow" w:cs="Arial Narrow"/>
          <w:sz w:val="22"/>
          <w:szCs w:val="24"/>
        </w:rPr>
        <w:t>výberu poistného zdravotnými poisťovňami za rok 200</w:t>
      </w:r>
      <w:r>
        <w:rPr>
          <w:rFonts w:ascii="Arial Narrow" w:hAnsi="Arial Narrow" w:cs="Arial Narrow"/>
          <w:sz w:val="22"/>
          <w:szCs w:val="24"/>
        </w:rPr>
        <w:t xml:space="preserve">9. Predmetný príspevok pre rok 2010 zaznamenal medziročný pokles o 8,55 % oproti príspevku rozpočtovanému v roku 2009 v nadväznosti na zníženie sadzby pre jeho výpočet z 0,50 % na </w:t>
      </w:r>
      <w:r w:rsidR="00564ADD">
        <w:rPr>
          <w:rFonts w:ascii="Arial Narrow" w:hAnsi="Arial Narrow" w:cs="Arial Narrow"/>
          <w:sz w:val="22"/>
          <w:szCs w:val="24"/>
        </w:rPr>
        <w:t xml:space="preserve"> </w:t>
      </w:r>
      <w:r>
        <w:rPr>
          <w:rFonts w:ascii="Arial Narrow" w:hAnsi="Arial Narrow" w:cs="Arial Narrow"/>
          <w:sz w:val="22"/>
          <w:szCs w:val="24"/>
        </w:rPr>
        <w:t xml:space="preserve">0,45 %. </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 zostatku prostriedkov z predchádzajúcich rokov v roku 2010 vo výške 16,5 mil. eur je zahrnutý, okrem predpokladaného prevodu príspevku od zdravotných poisťovní vo výške 14,3 mil. eur, aj objem nevyčerpaných prostriedkov z predchádzajúcich rokov vo výške 2,24 mil. eur, ktorý sa v nasledovných rokoch predpokladá využiť na krytie výdavkov pri očakávanom znížení príjmov z príspevku na činnosť. Zostatok prostriedkov z predchádzajúcich rokov nadväzuje na upravený rozpočet a očakávanú skutočnosť úradu pre rok 2009.</w:t>
      </w:r>
    </w:p>
    <w:p w:rsidR="0084667A" w:rsidP="0084667A">
      <w:pPr>
        <w:ind w:firstLine="708"/>
        <w:jc w:val="both"/>
        <w:rPr>
          <w:rFonts w:ascii="Arial Narrow" w:hAnsi="Arial Narrow" w:cs="Arial Narrow"/>
          <w:sz w:val="22"/>
          <w:szCs w:val="24"/>
        </w:rPr>
      </w:pPr>
    </w:p>
    <w:p w:rsidR="0084667A" w:rsidP="0084667A">
      <w:pPr>
        <w:pStyle w:val="BodyTextIndent2"/>
        <w:tabs>
          <w:tab w:val="left" w:pos="-540"/>
        </w:tabs>
        <w:spacing w:after="0" w:line="240" w:lineRule="auto"/>
        <w:ind w:left="0"/>
        <w:jc w:val="both"/>
        <w:rPr>
          <w:rFonts w:ascii="Arial Narrow" w:hAnsi="Arial Narrow" w:cs="Arial Narrow"/>
          <w:sz w:val="22"/>
          <w:szCs w:val="24"/>
        </w:rPr>
      </w:pPr>
      <w:r>
        <w:rPr>
          <w:rFonts w:ascii="Arial Narrow" w:hAnsi="Arial Narrow" w:cs="Arial Narrow"/>
          <w:sz w:val="22"/>
          <w:szCs w:val="24"/>
        </w:rPr>
        <w:tab/>
        <w:t xml:space="preserve">Ďalšie príjmy súvisiace s činnosťou úradu sú rozpočtované pre rok 2010 vo výške 1,10 mil. eur, čo predstavuje nárast oproti predchádzajúcemu roku na úrovni 6,56 %. V uvedenej sume sa predpokladajú príjmy z činnosti </w:t>
      </w:r>
      <w:r w:rsidRPr="002A517A">
        <w:rPr>
          <w:rFonts w:ascii="Arial Narrow" w:hAnsi="Arial Narrow" w:cs="Arial Narrow"/>
          <w:sz w:val="22"/>
          <w:szCs w:val="24"/>
        </w:rPr>
        <w:t>súdnolekárskych a patologickoanatomických pracovísk</w:t>
      </w:r>
      <w:r>
        <w:rPr>
          <w:rFonts w:ascii="Arial Narrow" w:hAnsi="Arial Narrow" w:cs="Arial Narrow"/>
          <w:sz w:val="22"/>
          <w:szCs w:val="24"/>
        </w:rPr>
        <w:t xml:space="preserve"> (SLaPA pracoviská), z úhrad za vydané rozhodnutia v správnom konaní, ako aj  z úrokov na účtoch.</w:t>
      </w:r>
    </w:p>
    <w:p w:rsidR="0084667A" w:rsidP="0084667A">
      <w:pPr>
        <w:pStyle w:val="BodyTextIndent2"/>
        <w:tabs>
          <w:tab w:val="left" w:pos="0"/>
        </w:tabs>
        <w:spacing w:after="0" w:line="240" w:lineRule="auto"/>
        <w:ind w:left="0"/>
        <w:jc w:val="both"/>
        <w:rPr>
          <w:rFonts w:ascii="Arial Narrow" w:hAnsi="Arial Narrow" w:cs="Arial Narrow"/>
          <w:sz w:val="22"/>
          <w:szCs w:val="24"/>
        </w:rPr>
      </w:pPr>
      <w:r>
        <w:rPr>
          <w:rFonts w:ascii="Arial Narrow" w:hAnsi="Arial Narrow" w:cs="Arial Narrow"/>
          <w:sz w:val="22"/>
          <w:szCs w:val="24"/>
        </w:rPr>
        <w:tab/>
      </w:r>
    </w:p>
    <w:p w:rsidR="0084667A" w:rsidP="0084667A">
      <w:pPr>
        <w:pStyle w:val="BodyTextIndent2"/>
        <w:tabs>
          <w:tab w:val="left" w:pos="0"/>
        </w:tabs>
        <w:spacing w:after="0" w:line="240" w:lineRule="auto"/>
        <w:ind w:left="0"/>
        <w:jc w:val="both"/>
        <w:rPr>
          <w:rFonts w:ascii="Arial Narrow" w:hAnsi="Arial Narrow" w:cs="Arial Narrow"/>
          <w:sz w:val="22"/>
          <w:szCs w:val="24"/>
        </w:rPr>
      </w:pPr>
      <w:r>
        <w:rPr>
          <w:rFonts w:ascii="Arial Narrow" w:hAnsi="Arial Narrow" w:cs="Arial Narrow"/>
          <w:sz w:val="22"/>
          <w:szCs w:val="24"/>
        </w:rPr>
        <w:tab/>
        <w:t>Celkové výdavky úradu na rok 2010 sa predpokladajú vo výške 16,8 mil. eur s medziročným nárastom 0,14 %. V rámci bežných výdavkov je vyčlenená suma 7,45 mil. eur</w:t>
      </w:r>
      <w:r w:rsidRPr="00084134">
        <w:rPr>
          <w:rFonts w:ascii="Arial Narrow" w:hAnsi="Arial Narrow" w:cs="Arial Narrow"/>
          <w:sz w:val="22"/>
          <w:szCs w:val="24"/>
        </w:rPr>
        <w:t xml:space="preserve"> </w:t>
      </w:r>
      <w:r>
        <w:rPr>
          <w:rFonts w:ascii="Arial Narrow" w:hAnsi="Arial Narrow" w:cs="Arial Narrow"/>
          <w:sz w:val="22"/>
          <w:szCs w:val="24"/>
        </w:rPr>
        <w:t>na mzdy. Kapitálové výdavky v sume 0,80 mil. eur sú vyčlenené na rozvoj informačného systému a predpokladanú rekonštrukciu, modernizáciu a vybavenie SLaPA pracovísk novou technikou. Pre rok 2011 sa celkové výdavky predpokladajú v objeme 17,0 mil. eur s 1,49 % nárastom a pre rok 2012 v objeme 17,2 mil. eur, čo predstavuje 1,16 % nárast oproti predchádzajúcemu roku.</w:t>
      </w:r>
    </w:p>
    <w:p w:rsidR="0084667A" w:rsidP="0084667A">
      <w:pPr>
        <w:pStyle w:val="BodyTextIndent2"/>
        <w:tabs>
          <w:tab w:val="left" w:pos="0"/>
        </w:tabs>
        <w:spacing w:after="0" w:line="240" w:lineRule="auto"/>
        <w:ind w:left="0"/>
        <w:jc w:val="both"/>
        <w:rPr>
          <w:rFonts w:ascii="Arial Narrow" w:hAnsi="Arial Narrow" w:cs="Arial Narrow"/>
          <w:sz w:val="22"/>
          <w:szCs w:val="24"/>
        </w:rPr>
      </w:pPr>
    </w:p>
    <w:p w:rsidR="0084667A" w:rsidP="0084667A">
      <w:pPr>
        <w:pStyle w:val="BodyTextIndent2"/>
        <w:tabs>
          <w:tab w:val="left" w:pos="0"/>
        </w:tabs>
        <w:spacing w:after="0" w:line="240" w:lineRule="auto"/>
        <w:ind w:left="0"/>
        <w:jc w:val="both"/>
        <w:rPr>
          <w:rFonts w:ascii="Arial Narrow" w:hAnsi="Arial Narrow" w:cs="Arial Narrow"/>
          <w:sz w:val="22"/>
          <w:szCs w:val="24"/>
        </w:rPr>
      </w:pPr>
      <w:r>
        <w:rPr>
          <w:rFonts w:ascii="Arial Narrow" w:hAnsi="Arial Narrow" w:cs="Arial Narrow"/>
          <w:sz w:val="22"/>
          <w:szCs w:val="24"/>
        </w:rPr>
        <w:tab/>
        <w:t>V</w:t>
      </w:r>
      <w:r w:rsidRPr="00AC5B52">
        <w:rPr>
          <w:rFonts w:ascii="Arial Narrow" w:hAnsi="Arial Narrow" w:cs="Arial Narrow"/>
          <w:sz w:val="22"/>
          <w:szCs w:val="24"/>
        </w:rPr>
        <w:t xml:space="preserve">ývoj príjmovej a výdavkovej </w:t>
      </w:r>
      <w:r>
        <w:rPr>
          <w:rFonts w:ascii="Arial Narrow" w:hAnsi="Arial Narrow" w:cs="Arial Narrow"/>
          <w:sz w:val="22"/>
          <w:szCs w:val="24"/>
        </w:rPr>
        <w:t>časti rozpočtu úradu na roky 2010 až 2012</w:t>
      </w:r>
      <w:r w:rsidRPr="00AC5B52">
        <w:rPr>
          <w:rFonts w:ascii="Arial Narrow" w:hAnsi="Arial Narrow" w:cs="Arial Narrow"/>
          <w:sz w:val="22"/>
          <w:szCs w:val="24"/>
        </w:rPr>
        <w:t xml:space="preserve"> je </w:t>
      </w:r>
      <w:r>
        <w:rPr>
          <w:rFonts w:ascii="Arial Narrow" w:hAnsi="Arial Narrow" w:cs="Arial Narrow"/>
          <w:sz w:val="22"/>
          <w:szCs w:val="24"/>
        </w:rPr>
        <w:t xml:space="preserve">v porovnaní so schváleným rozpočtom na rok 2009 </w:t>
      </w:r>
      <w:r w:rsidRPr="00AC5B52">
        <w:rPr>
          <w:rFonts w:ascii="Arial Narrow" w:hAnsi="Arial Narrow" w:cs="Arial Narrow"/>
          <w:sz w:val="22"/>
          <w:szCs w:val="24"/>
        </w:rPr>
        <w:t>nasledovný:</w:t>
      </w:r>
    </w:p>
    <w:p w:rsidR="0084667A" w:rsidP="0084667A">
      <w:pPr>
        <w:pStyle w:val="BodyTextIndent2"/>
        <w:tabs>
          <w:tab w:val="left" w:pos="0"/>
        </w:tabs>
        <w:spacing w:after="0" w:line="240" w:lineRule="auto"/>
        <w:ind w:left="0"/>
        <w:jc w:val="both"/>
        <w:rPr>
          <w:rFonts w:ascii="Arial Narrow" w:hAnsi="Arial Narrow" w:cs="Arial Narrow"/>
          <w:b/>
          <w:sz w:val="22"/>
          <w:szCs w:val="24"/>
        </w:rPr>
      </w:pPr>
    </w:p>
    <w:tbl>
      <w:tblPr>
        <w:tblStyle w:val="TableNormal"/>
        <w:tblW w:w="5000" w:type="pct"/>
        <w:tblInd w:w="0" w:type="dxa"/>
        <w:tblCellMar>
          <w:left w:w="70" w:type="dxa"/>
          <w:right w:w="70" w:type="dxa"/>
        </w:tblCellMar>
      </w:tblPr>
      <w:tblGrid>
        <w:gridCol w:w="5253"/>
        <w:gridCol w:w="1028"/>
        <w:gridCol w:w="1029"/>
        <w:gridCol w:w="1029"/>
        <w:gridCol w:w="1029"/>
      </w:tblGrid>
      <w:tr>
        <w:tblPrEx>
          <w:tblW w:w="5000" w:type="pct"/>
          <w:tblInd w:w="0" w:type="dxa"/>
          <w:tblCellMar>
            <w:left w:w="70" w:type="dxa"/>
            <w:right w:w="70" w:type="dxa"/>
          </w:tblCellMar>
        </w:tblPrEx>
        <w:trPr>
          <w:trHeight w:val="255"/>
        </w:trPr>
        <w:tc>
          <w:tcPr>
            <w:tcW w:w="2804"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84667A" w:rsidP="002B1759">
            <w:pPr>
              <w:jc w:val="both"/>
              <w:rPr>
                <w:rFonts w:ascii="Arial Narrow" w:hAnsi="Arial Narrow" w:cs="Arial Narrow"/>
                <w:color w:val="FFFFFF"/>
                <w:sz w:val="20"/>
                <w:szCs w:val="24"/>
              </w:rPr>
            </w:pPr>
            <w:r>
              <w:rPr>
                <w:rFonts w:ascii="Arial Narrow" w:hAnsi="Arial Narrow" w:cs="Arial Narrow"/>
                <w:color w:val="FFFFFF"/>
                <w:sz w:val="20"/>
                <w:szCs w:val="24"/>
              </w:rPr>
              <w:t> </w:t>
            </w:r>
            <w:r w:rsidRPr="00A9145D">
              <w:rPr>
                <w:rFonts w:ascii="Arial Narrow" w:hAnsi="Arial Narrow" w:cs="Arial Narrow"/>
                <w:color w:val="FFFFFF"/>
                <w:sz w:val="20"/>
                <w:szCs w:val="24"/>
              </w:rPr>
              <w:t> </w:t>
            </w:r>
            <w:r w:rsidRPr="00A9145D">
              <w:rPr>
                <w:rFonts w:ascii="Arial Narrow" w:hAnsi="Arial Narrow" w:cs="Arial Narrow"/>
                <w:b/>
                <w:color w:val="FFFFFF"/>
                <w:sz w:val="20"/>
                <w:szCs w:val="24"/>
              </w:rPr>
              <w:t> (v tis. eur)</w:t>
            </w:r>
          </w:p>
        </w:tc>
        <w:tc>
          <w:tcPr>
            <w:tcW w:w="549" w:type="pct"/>
            <w:tcBorders>
              <w:top w:val="single" w:sz="4" w:space="0" w:color="auto"/>
              <w:left w:val="nil"/>
              <w:bottom w:val="single" w:sz="4" w:space="0" w:color="auto"/>
              <w:right w:val="single" w:sz="4" w:space="0" w:color="auto"/>
            </w:tcBorders>
            <w:shd w:val="clear" w:color="auto" w:fill="000000"/>
            <w:textDirection w:val="lrTb"/>
            <w:vAlign w:val="center"/>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549" w:type="pct"/>
            <w:tcBorders>
              <w:top w:val="single" w:sz="4" w:space="0" w:color="auto"/>
              <w:left w:val="nil"/>
              <w:bottom w:val="single" w:sz="4" w:space="0" w:color="auto"/>
              <w:right w:val="single" w:sz="4" w:space="0" w:color="auto"/>
            </w:tcBorders>
            <w:shd w:val="clear" w:color="auto" w:fill="000000"/>
            <w:textDirection w:val="lrTb"/>
            <w:vAlign w:val="center"/>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549" w:type="pct"/>
            <w:tcBorders>
              <w:top w:val="single" w:sz="4" w:space="0" w:color="auto"/>
              <w:left w:val="nil"/>
              <w:bottom w:val="single" w:sz="4" w:space="0" w:color="auto"/>
              <w:right w:val="single" w:sz="4" w:space="0" w:color="auto"/>
            </w:tcBorders>
            <w:shd w:val="clear" w:color="auto" w:fill="000000"/>
            <w:textDirection w:val="lrTb"/>
            <w:vAlign w:val="center"/>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549" w:type="pct"/>
            <w:tcBorders>
              <w:top w:val="single" w:sz="4" w:space="0" w:color="auto"/>
              <w:left w:val="nil"/>
              <w:bottom w:val="single" w:sz="4" w:space="0" w:color="auto"/>
              <w:right w:val="single" w:sz="4" w:space="0" w:color="auto"/>
            </w:tcBorders>
            <w:shd w:val="clear" w:color="auto" w:fill="000000"/>
            <w:textDirection w:val="lrTb"/>
            <w:vAlign w:val="center"/>
          </w:tcPr>
          <w:p w:rsidR="0084667A" w:rsidP="002B1759">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noWrap/>
            <w:textDirection w:val="lrTb"/>
            <w:vAlign w:val="center"/>
          </w:tcPr>
          <w:p w:rsidR="0084667A" w:rsidP="002B1759">
            <w:pPr>
              <w:rPr>
                <w:rFonts w:ascii="Arial Narrow" w:hAnsi="Arial Narrow" w:cs="Arial Narrow"/>
                <w:b/>
                <w:i/>
                <w:sz w:val="20"/>
                <w:szCs w:val="24"/>
              </w:rPr>
            </w:pPr>
            <w:r>
              <w:rPr>
                <w:rFonts w:ascii="Arial Narrow" w:hAnsi="Arial Narrow" w:cs="Arial Narrow"/>
                <w:b/>
                <w:i/>
                <w:sz w:val="20"/>
                <w:szCs w:val="24"/>
              </w:rPr>
              <w:t>Príjmy úradu spolu</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33 127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32 581</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32 940</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34 210</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sz w:val="20"/>
                <w:szCs w:val="24"/>
              </w:rPr>
            </w:pPr>
            <w:r>
              <w:rPr>
                <w:rFonts w:ascii="Arial Narrow" w:hAnsi="Arial Narrow" w:cs="Arial Narrow"/>
                <w:b/>
                <w:i/>
                <w:sz w:val="20"/>
                <w:szCs w:val="24"/>
              </w:rPr>
              <w:t>z toho:</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nedaňové príjmy</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1 036</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1 104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1 197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1 285</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 xml:space="preserve"> transfery v rámci VS, z toho:</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16 386</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14 985</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15 926</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16 999</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DA7557">
            <w:pPr>
              <w:ind w:firstLine="400" w:firstLineChars="200"/>
              <w:rPr>
                <w:rFonts w:ascii="Arial Narrow" w:hAnsi="Arial Narrow" w:cs="Arial Narrow"/>
                <w:sz w:val="20"/>
                <w:szCs w:val="24"/>
              </w:rPr>
            </w:pPr>
            <w:r>
              <w:rPr>
                <w:rFonts w:ascii="Arial Narrow" w:hAnsi="Arial Narrow" w:cs="Arial Narrow"/>
                <w:sz w:val="20"/>
                <w:szCs w:val="24"/>
              </w:rPr>
              <w:t xml:space="preserve">            zo zdravotných poisťovní</w:t>
            </w:r>
          </w:p>
        </w:tc>
        <w:tc>
          <w:tcPr>
            <w:tcW w:w="549" w:type="pct"/>
            <w:tcBorders>
              <w:top w:val="nil"/>
              <w:left w:val="nil"/>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16 386</w:t>
            </w:r>
          </w:p>
        </w:tc>
        <w:tc>
          <w:tcPr>
            <w:tcW w:w="549" w:type="pct"/>
            <w:tcBorders>
              <w:top w:val="nil"/>
              <w:left w:val="nil"/>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14 985</w:t>
            </w:r>
          </w:p>
        </w:tc>
        <w:tc>
          <w:tcPr>
            <w:tcW w:w="549" w:type="pct"/>
            <w:tcBorders>
              <w:top w:val="nil"/>
              <w:left w:val="nil"/>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15 926</w:t>
            </w:r>
          </w:p>
        </w:tc>
        <w:tc>
          <w:tcPr>
            <w:tcW w:w="549" w:type="pct"/>
            <w:tcBorders>
              <w:top w:val="nil"/>
              <w:left w:val="nil"/>
              <w:bottom w:val="single" w:sz="4" w:space="0" w:color="auto"/>
              <w:right w:val="single" w:sz="4" w:space="0" w:color="auto"/>
            </w:tcBorders>
            <w:noWrap/>
            <w:textDirection w:val="lrTb"/>
            <w:vAlign w:val="bottom"/>
          </w:tcPr>
          <w:p w:rsidR="0084667A" w:rsidP="002B1759">
            <w:pPr>
              <w:jc w:val="right"/>
              <w:rPr>
                <w:rFonts w:ascii="Arial Narrow" w:hAnsi="Arial Narrow" w:cs="Arial Narrow"/>
                <w:sz w:val="20"/>
                <w:szCs w:val="24"/>
              </w:rPr>
            </w:pPr>
            <w:r>
              <w:rPr>
                <w:rFonts w:ascii="Arial Narrow" w:hAnsi="Arial Narrow" w:cs="Arial Narrow"/>
                <w:sz w:val="20"/>
                <w:szCs w:val="24"/>
              </w:rPr>
              <w:t>16 999</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 xml:space="preserve"> zostatok prostriedkov z predchádzajúcich rokov</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15 705</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16 492</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15 817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15 926</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sz w:val="20"/>
                <w:szCs w:val="24"/>
              </w:rPr>
            </w:pPr>
            <w:r>
              <w:rPr>
                <w:rFonts w:ascii="Arial Narrow" w:hAnsi="Arial Narrow" w:cs="Arial Narrow"/>
                <w:sz w:val="20"/>
                <w:szCs w:val="24"/>
              </w:rPr>
              <w:t>  </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noWrap/>
            <w:textDirection w:val="lrTb"/>
            <w:vAlign w:val="center"/>
          </w:tcPr>
          <w:p w:rsidR="0084667A" w:rsidP="002B1759">
            <w:pPr>
              <w:rPr>
                <w:rFonts w:ascii="Arial Narrow" w:hAnsi="Arial Narrow" w:cs="Arial Narrow"/>
                <w:b/>
                <w:i/>
                <w:sz w:val="20"/>
                <w:szCs w:val="24"/>
              </w:rPr>
            </w:pPr>
            <w:r>
              <w:rPr>
                <w:rFonts w:ascii="Arial Narrow" w:hAnsi="Arial Narrow" w:cs="Arial Narrow"/>
                <w:b/>
                <w:i/>
                <w:sz w:val="20"/>
                <w:szCs w:val="24"/>
              </w:rPr>
              <w:t>Výdavky úradu spolu</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16 741</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16 764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17 014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17 211</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4" w:space="0" w:color="auto"/>
              <w:right w:val="single" w:sz="4" w:space="0" w:color="auto"/>
            </w:tcBorders>
            <w:textDirection w:val="lrTb"/>
            <w:vAlign w:val="center"/>
          </w:tcPr>
          <w:p w:rsidR="0084667A" w:rsidP="002B1759">
            <w:pPr>
              <w:rPr>
                <w:rFonts w:ascii="Arial Narrow" w:hAnsi="Arial Narrow" w:cs="Arial Narrow"/>
                <w:sz w:val="20"/>
                <w:szCs w:val="24"/>
              </w:rPr>
            </w:pPr>
            <w:r>
              <w:rPr>
                <w:rFonts w:ascii="Arial Narrow" w:hAnsi="Arial Narrow" w:cs="Arial Narrow"/>
                <w:b/>
                <w:i/>
                <w:sz w:val="20"/>
                <w:szCs w:val="24"/>
              </w:rPr>
              <w:t>z toho:</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 xml:space="preserve"> bežné výdavky na správne činnosti úradu</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14 974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15 964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17 014</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17 211</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 xml:space="preserve"> kapitálové výdavky</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1 767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800</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0</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0</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6" w:space="0" w:color="auto"/>
              <w:right w:val="single" w:sz="4" w:space="0" w:color="auto"/>
            </w:tcBorders>
            <w:noWrap/>
            <w:textDirection w:val="lrTb"/>
            <w:vAlign w:val="center"/>
          </w:tcPr>
          <w:p w:rsidR="0084667A" w:rsidP="002B1759">
            <w:pPr>
              <w:rPr>
                <w:rFonts w:ascii="Arial Narrow" w:hAnsi="Arial Narrow" w:cs="Arial Narrow"/>
                <w:sz w:val="20"/>
                <w:szCs w:val="24"/>
              </w:rPr>
            </w:pPr>
            <w:r>
              <w:rPr>
                <w:rFonts w:ascii="Arial Narrow" w:hAnsi="Arial Narrow" w:cs="Arial Narrow"/>
                <w:sz w:val="20"/>
                <w:szCs w:val="24"/>
              </w:rPr>
              <w:t> </w:t>
            </w:r>
          </w:p>
        </w:tc>
      </w:tr>
      <w:tr>
        <w:tblPrEx>
          <w:tblW w:w="5000" w:type="pct"/>
          <w:tblInd w:w="0" w:type="dxa"/>
          <w:tblCellMar>
            <w:left w:w="70" w:type="dxa"/>
            <w:right w:w="70" w:type="dxa"/>
          </w:tblCellMar>
        </w:tblPrEx>
        <w:trPr>
          <w:trHeight w:val="255"/>
        </w:trPr>
        <w:tc>
          <w:tcPr>
            <w:tcW w:w="2804" w:type="pct"/>
            <w:tcBorders>
              <w:top w:val="single" w:sz="6" w:space="0" w:color="auto"/>
              <w:left w:val="single" w:sz="4" w:space="0" w:color="auto"/>
              <w:bottom w:val="single" w:sz="4" w:space="0" w:color="auto"/>
              <w:right w:val="single" w:sz="4" w:space="0" w:color="auto"/>
            </w:tcBorders>
            <w:shd w:val="clear" w:color="auto" w:fill="A6A6A6"/>
            <w:noWrap/>
            <w:textDirection w:val="lrTb"/>
            <w:vAlign w:val="center"/>
          </w:tcPr>
          <w:p w:rsidR="0084667A" w:rsidP="002B1759">
            <w:pPr>
              <w:rPr>
                <w:rFonts w:ascii="Arial Narrow" w:hAnsi="Arial Narrow" w:cs="Arial Narrow"/>
                <w:b/>
                <w:i/>
                <w:sz w:val="20"/>
                <w:szCs w:val="24"/>
              </w:rPr>
            </w:pPr>
            <w:r>
              <w:rPr>
                <w:rFonts w:ascii="Arial Narrow" w:hAnsi="Arial Narrow" w:cs="Arial Narrow"/>
                <w:b/>
                <w:i/>
                <w:sz w:val="20"/>
                <w:szCs w:val="24"/>
              </w:rPr>
              <w:t>Celkový prebytok úradu</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16 386</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15 817</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15 926</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16 999</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noWrap/>
            <w:textDirection w:val="lrTb"/>
            <w:vAlign w:val="center"/>
          </w:tcPr>
          <w:p w:rsidR="0084667A" w:rsidP="002B1759">
            <w:pPr>
              <w:rPr>
                <w:rFonts w:ascii="Arial Narrow" w:hAnsi="Arial Narrow" w:cs="Arial Narrow"/>
                <w:b/>
                <w:i/>
                <w:sz w:val="20"/>
                <w:szCs w:val="24"/>
              </w:rPr>
            </w:pPr>
            <w:r>
              <w:rPr>
                <w:rFonts w:ascii="Arial Narrow" w:hAnsi="Arial Narrow" w:cs="Arial Narrow"/>
                <w:b/>
                <w:i/>
                <w:sz w:val="20"/>
                <w:szCs w:val="24"/>
              </w:rPr>
              <w:t xml:space="preserve"> vylúčenie finančných operácií</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-15 705</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-16 492</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-15 817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-15 926</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4" w:space="0" w:color="auto"/>
              <w:right w:val="single" w:sz="4" w:space="0" w:color="auto"/>
            </w:tcBorders>
            <w:noWrap/>
            <w:textDirection w:val="lrTb"/>
            <w:vAlign w:val="center"/>
          </w:tcPr>
          <w:p w:rsidR="0084667A" w:rsidP="002B1759">
            <w:pPr>
              <w:rPr>
                <w:rFonts w:ascii="Arial Narrow" w:hAnsi="Arial Narrow" w:cs="Arial Narrow"/>
                <w:sz w:val="20"/>
                <w:szCs w:val="24"/>
              </w:rPr>
            </w:pPr>
            <w:r w:rsidRPr="00F4118C">
              <w:rPr>
                <w:rFonts w:ascii="Arial Narrow" w:hAnsi="Arial Narrow" w:cs="Arial Narrow"/>
                <w:b/>
                <w:i/>
                <w:sz w:val="20"/>
                <w:szCs w:val="24"/>
              </w:rPr>
              <w:t>z toho:</w:t>
            </w:r>
          </w:p>
        </w:tc>
      </w:tr>
      <w:tr>
        <w:tblPrEx>
          <w:tblW w:w="5000" w:type="pct"/>
          <w:tblInd w:w="0" w:type="dxa"/>
          <w:tblCellMar>
            <w:left w:w="70" w:type="dxa"/>
            <w:right w:w="70" w:type="dxa"/>
          </w:tblCellMar>
        </w:tblPrEx>
        <w:trPr>
          <w:trHeight w:val="255"/>
        </w:trPr>
        <w:tc>
          <w:tcPr>
            <w:tcW w:w="2804" w:type="pct"/>
            <w:tcBorders>
              <w:top w:val="nil"/>
              <w:left w:val="single" w:sz="4" w:space="0" w:color="auto"/>
              <w:bottom w:val="single" w:sz="4" w:space="0" w:color="auto"/>
              <w:right w:val="single" w:sz="4" w:space="0" w:color="auto"/>
            </w:tcBorders>
            <w:noWrap/>
            <w:textDirection w:val="lrTb"/>
            <w:vAlign w:val="center"/>
          </w:tcPr>
          <w:p w:rsidR="0084667A" w:rsidP="002B1759">
            <w:pPr>
              <w:numPr>
                <w:numId w:val="14"/>
              </w:numPr>
              <w:ind w:left="284" w:hanging="284"/>
              <w:rPr>
                <w:rFonts w:ascii="Arial Narrow" w:hAnsi="Arial Narrow" w:cs="Arial Narrow"/>
                <w:sz w:val="20"/>
                <w:szCs w:val="24"/>
              </w:rPr>
            </w:pPr>
            <w:r>
              <w:rPr>
                <w:rFonts w:ascii="Arial Narrow" w:hAnsi="Arial Narrow" w:cs="Arial Narrow"/>
                <w:sz w:val="20"/>
                <w:szCs w:val="24"/>
              </w:rPr>
              <w:t xml:space="preserve"> vylúčenie príjmových finančných operácií</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-15 705</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-16 492</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-15 817</w:t>
            </w:r>
          </w:p>
        </w:tc>
        <w:tc>
          <w:tcPr>
            <w:tcW w:w="549" w:type="pct"/>
            <w:tcBorders>
              <w:top w:val="nil"/>
              <w:left w:val="nil"/>
              <w:bottom w:val="single" w:sz="4" w:space="0" w:color="auto"/>
              <w:right w:val="single" w:sz="4" w:space="0" w:color="auto"/>
            </w:tcBorders>
            <w:noWrap/>
            <w:textDirection w:val="lrTb"/>
            <w:vAlign w:val="center"/>
          </w:tcPr>
          <w:p w:rsidR="0084667A" w:rsidP="002B1759">
            <w:pPr>
              <w:jc w:val="right"/>
              <w:rPr>
                <w:rFonts w:ascii="Arial Narrow" w:hAnsi="Arial Narrow" w:cs="Arial Narrow"/>
                <w:sz w:val="20"/>
                <w:szCs w:val="24"/>
              </w:rPr>
            </w:pPr>
            <w:r>
              <w:rPr>
                <w:rFonts w:ascii="Arial Narrow" w:hAnsi="Arial Narrow" w:cs="Arial Narrow"/>
                <w:sz w:val="20"/>
                <w:szCs w:val="24"/>
              </w:rPr>
              <w:t>-15 926</w:t>
            </w:r>
          </w:p>
        </w:tc>
      </w:tr>
      <w:tr>
        <w:tblPrEx>
          <w:tblW w:w="5000" w:type="pct"/>
          <w:tblInd w:w="0" w:type="dxa"/>
          <w:tblCellMar>
            <w:left w:w="70" w:type="dxa"/>
            <w:right w:w="70" w:type="dxa"/>
          </w:tblCellMar>
        </w:tblPrEx>
        <w:trPr>
          <w:trHeight w:val="255"/>
        </w:trPr>
        <w:tc>
          <w:tcPr>
            <w:tcW w:w="5000" w:type="pct"/>
            <w:gridSpan w:val="5"/>
            <w:tcBorders>
              <w:top w:val="nil"/>
              <w:left w:val="single" w:sz="4" w:space="0" w:color="auto"/>
              <w:bottom w:val="single" w:sz="6" w:space="0" w:color="auto"/>
              <w:right w:val="single" w:sz="4" w:space="0" w:color="auto"/>
            </w:tcBorders>
            <w:textDirection w:val="lrTb"/>
            <w:vAlign w:val="center"/>
          </w:tcPr>
          <w:p w:rsidR="0084667A" w:rsidP="002B1759">
            <w:pPr>
              <w:rPr>
                <w:rFonts w:ascii="Arial Narrow" w:hAnsi="Arial Narrow" w:cs="Arial Narrow"/>
                <w:sz w:val="20"/>
                <w:szCs w:val="24"/>
              </w:rPr>
            </w:pPr>
          </w:p>
        </w:tc>
      </w:tr>
      <w:tr>
        <w:tblPrEx>
          <w:tblW w:w="5000" w:type="pct"/>
          <w:tblInd w:w="0" w:type="dxa"/>
          <w:tblCellMar>
            <w:left w:w="70" w:type="dxa"/>
            <w:right w:w="70" w:type="dxa"/>
          </w:tblCellMar>
        </w:tblPrEx>
        <w:trPr>
          <w:trHeight w:val="255"/>
        </w:trPr>
        <w:tc>
          <w:tcPr>
            <w:tcW w:w="2804" w:type="pct"/>
            <w:tcBorders>
              <w:top w:val="single" w:sz="6" w:space="0" w:color="auto"/>
              <w:left w:val="single" w:sz="4" w:space="0" w:color="auto"/>
              <w:bottom w:val="single" w:sz="4" w:space="0" w:color="auto"/>
              <w:right w:val="single" w:sz="4" w:space="0" w:color="auto"/>
            </w:tcBorders>
            <w:shd w:val="clear" w:color="auto" w:fill="A6A6A6"/>
            <w:noWrap/>
            <w:textDirection w:val="lrTb"/>
            <w:vAlign w:val="center"/>
          </w:tcPr>
          <w:p w:rsidR="0084667A" w:rsidP="002B1759">
            <w:pPr>
              <w:rPr>
                <w:rFonts w:ascii="Arial Narrow" w:hAnsi="Arial Narrow" w:cs="Arial Narrow"/>
                <w:b/>
                <w:i/>
                <w:sz w:val="20"/>
                <w:szCs w:val="24"/>
              </w:rPr>
            </w:pPr>
            <w:r>
              <w:rPr>
                <w:rFonts w:ascii="Arial Narrow" w:hAnsi="Arial Narrow" w:cs="Arial Narrow"/>
                <w:b/>
                <w:i/>
                <w:sz w:val="20"/>
                <w:szCs w:val="24"/>
              </w:rPr>
              <w:t>Prebytok</w:t>
            </w:r>
            <w:r w:rsidR="00BD64E3">
              <w:rPr>
                <w:rFonts w:ascii="Arial Narrow" w:hAnsi="Arial Narrow" w:cs="Arial Narrow"/>
                <w:b/>
                <w:i/>
                <w:sz w:val="20"/>
                <w:szCs w:val="24"/>
              </w:rPr>
              <w:t xml:space="preserve">  </w:t>
            </w:r>
            <w:r>
              <w:rPr>
                <w:rFonts w:ascii="Arial Narrow" w:hAnsi="Arial Narrow" w:cs="Arial Narrow"/>
                <w:b/>
                <w:i/>
                <w:sz w:val="20"/>
                <w:szCs w:val="24"/>
              </w:rPr>
              <w:t>/ schodok úradu   (ESA 95)</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681</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-675</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109</w:t>
            </w:r>
          </w:p>
        </w:tc>
        <w:tc>
          <w:tcPr>
            <w:tcW w:w="549" w:type="pct"/>
            <w:tcBorders>
              <w:top w:val="single" w:sz="6" w:space="0" w:color="auto"/>
              <w:left w:val="nil"/>
              <w:bottom w:val="single" w:sz="4" w:space="0" w:color="auto"/>
              <w:right w:val="single" w:sz="4" w:space="0" w:color="auto"/>
            </w:tcBorders>
            <w:shd w:val="clear" w:color="auto" w:fill="A6A6A6"/>
            <w:noWrap/>
            <w:textDirection w:val="lrTb"/>
            <w:vAlign w:val="center"/>
          </w:tcPr>
          <w:p w:rsidR="0084667A" w:rsidP="002B1759">
            <w:pPr>
              <w:jc w:val="right"/>
              <w:rPr>
                <w:rFonts w:ascii="Arial Narrow" w:hAnsi="Arial Narrow" w:cs="Arial Narrow"/>
                <w:b/>
                <w:i/>
                <w:sz w:val="20"/>
                <w:szCs w:val="24"/>
              </w:rPr>
            </w:pPr>
            <w:r>
              <w:rPr>
                <w:rFonts w:ascii="Arial Narrow" w:hAnsi="Arial Narrow" w:cs="Arial Narrow"/>
                <w:b/>
                <w:i/>
                <w:sz w:val="20"/>
                <w:szCs w:val="24"/>
              </w:rPr>
              <w:t>1 073</w:t>
            </w:r>
          </w:p>
        </w:tc>
      </w:tr>
    </w:tbl>
    <w:p w:rsidR="0084667A" w:rsidRPr="00723F95" w:rsidP="0084667A">
      <w:pPr>
        <w:jc w:val="both"/>
        <w:rPr>
          <w:rFonts w:ascii="Arial Narrow" w:hAnsi="Arial Narrow" w:cs="Arial Narrow"/>
          <w:b/>
          <w:szCs w:val="24"/>
        </w:rPr>
      </w:pPr>
    </w:p>
    <w:p w:rsidR="0084667A" w:rsidRPr="00723F95" w:rsidP="0084667A">
      <w:pPr>
        <w:jc w:val="both"/>
        <w:rPr>
          <w:rFonts w:ascii="Arial Narrow" w:hAnsi="Arial Narrow" w:cs="Arial Narrow"/>
          <w:b/>
          <w:szCs w:val="24"/>
        </w:rPr>
      </w:pPr>
    </w:p>
    <w:p w:rsidR="0084667A" w:rsidRPr="00723F95" w:rsidP="0084667A">
      <w:pPr>
        <w:rPr>
          <w:rFonts w:ascii="Arial Narrow" w:hAnsi="Arial Narrow" w:cs="Arial Narrow"/>
          <w:b/>
          <w:szCs w:val="24"/>
        </w:rPr>
      </w:pPr>
      <w:r w:rsidRPr="00723F95">
        <w:rPr>
          <w:rFonts w:ascii="Arial Narrow" w:hAnsi="Arial Narrow" w:cs="Arial Narrow"/>
          <w:b/>
          <w:szCs w:val="24"/>
        </w:rPr>
        <w:t>9. Verejné vysoké školy</w:t>
      </w:r>
    </w:p>
    <w:p w:rsidR="0084667A" w:rsidRPr="000C262C" w:rsidP="0084667A">
      <w:pPr>
        <w:jc w:val="both"/>
        <w:rPr>
          <w:rFonts w:ascii="Arial Narrow" w:hAnsi="Arial Narrow" w:cs="Arial Narrow"/>
          <w:sz w:val="22"/>
          <w:szCs w:val="24"/>
        </w:rPr>
      </w:pPr>
    </w:p>
    <w:p w:rsidR="0084667A" w:rsidRPr="000C262C" w:rsidP="0084667A">
      <w:pPr>
        <w:ind w:firstLine="708"/>
        <w:jc w:val="both"/>
        <w:rPr>
          <w:rFonts w:ascii="Arial Narrow" w:hAnsi="Arial Narrow" w:cs="Arial Narrow"/>
          <w:sz w:val="22"/>
          <w:szCs w:val="24"/>
        </w:rPr>
      </w:pPr>
      <w:r w:rsidRPr="000C262C">
        <w:rPr>
          <w:rFonts w:ascii="Arial Narrow" w:hAnsi="Arial Narrow" w:cs="Arial Narrow"/>
          <w:sz w:val="22"/>
          <w:szCs w:val="24"/>
        </w:rPr>
        <w:t xml:space="preserve">Z prostriedkov štátneho rozpočtu budú financované študijné programy a prevádzka verejných vysokých škôl (ďalej len „VVŠ“), vysokoškolská veda a technika, rozvoj vysokých škôl, ich transformácia, sociálne a prospechové štipendiá, študentské pôžičky, podpora stravovania, ubytovania, športových a kultúrnych aktivít študentov a pastoračných centier. V celkovom objeme finančných prostriedkov na roky 2010 až 2012 sú zohľadnené výdavky, ktoré pozostávajú z vlastných výdavkov VVŠ a výdavkov štátneho rozpočtu.  </w:t>
      </w:r>
    </w:p>
    <w:p w:rsidR="0084667A" w:rsidRPr="000C262C" w:rsidP="0084667A">
      <w:pPr>
        <w:ind w:firstLine="708"/>
        <w:jc w:val="both"/>
        <w:rPr>
          <w:rFonts w:ascii="Arial Narrow" w:hAnsi="Arial Narrow" w:cs="Arial Narrow"/>
          <w:sz w:val="22"/>
          <w:szCs w:val="24"/>
        </w:rPr>
      </w:pPr>
    </w:p>
    <w:p w:rsidR="0084667A" w:rsidRPr="000C262C" w:rsidP="0084667A">
      <w:pPr>
        <w:ind w:firstLine="708"/>
        <w:jc w:val="both"/>
        <w:rPr>
          <w:rFonts w:ascii="Arial Narrow" w:hAnsi="Arial Narrow" w:cs="Arial Narrow"/>
          <w:sz w:val="22"/>
          <w:szCs w:val="24"/>
        </w:rPr>
      </w:pPr>
      <w:r w:rsidRPr="00CA550A">
        <w:rPr>
          <w:rFonts w:ascii="Arial Narrow" w:hAnsi="Arial Narrow" w:cs="Arial Narrow"/>
          <w:sz w:val="22"/>
          <w:szCs w:val="24"/>
        </w:rPr>
        <w:t xml:space="preserve">Rozpísané výdavky pre verejné vysoké školy v transferoch v roku 2010 neobsahujú výdavky zo štrukturálnych fondov  EÚ vrátane spolufinancovania a výdavky na projekty riešené prostredníctvom APVV. Tieto výdavky sú zatiaľ rozpísané mimo transferov určených pre verejné vysoké školy, ale na základe úspešnosti v súťažiach budú zohľadnené v upravenom rozpočte verejných vysokých škôl. </w:t>
      </w:r>
      <w:r>
        <w:rPr>
          <w:rFonts w:ascii="Arial Narrow" w:hAnsi="Arial Narrow" w:cs="Arial Narrow"/>
          <w:sz w:val="22"/>
          <w:szCs w:val="24"/>
        </w:rPr>
        <w:t>P</w:t>
      </w:r>
      <w:r w:rsidRPr="000C262C">
        <w:rPr>
          <w:rFonts w:ascii="Arial Narrow" w:hAnsi="Arial Narrow" w:cs="Arial Narrow"/>
          <w:sz w:val="22"/>
          <w:szCs w:val="24"/>
        </w:rPr>
        <w:t>redpokladá</w:t>
      </w:r>
      <w:r>
        <w:rPr>
          <w:rFonts w:ascii="Arial Narrow" w:hAnsi="Arial Narrow" w:cs="Arial Narrow"/>
          <w:sz w:val="22"/>
          <w:szCs w:val="24"/>
        </w:rPr>
        <w:t xml:space="preserve"> sa</w:t>
      </w:r>
      <w:r w:rsidRPr="000C262C">
        <w:rPr>
          <w:rFonts w:ascii="Arial Narrow" w:hAnsi="Arial Narrow" w:cs="Arial Narrow"/>
          <w:sz w:val="22"/>
          <w:szCs w:val="24"/>
        </w:rPr>
        <w:t>, že VVŠ môžu získať v roku 2010 prostriedky z operačných programov Vzdelávanie a Výskum a vývoj v sume 76,5 mil. eur, v roku 2011 sumu 78,3 mil. eur a v roku 2012 sumu 77,7 mil. eur.</w:t>
      </w:r>
    </w:p>
    <w:p w:rsidR="0084667A" w:rsidRPr="000C262C" w:rsidP="0084667A">
      <w:pPr>
        <w:ind w:firstLine="708"/>
        <w:jc w:val="both"/>
        <w:rPr>
          <w:rFonts w:ascii="Arial Narrow" w:hAnsi="Arial Narrow" w:cs="Arial Narrow"/>
          <w:sz w:val="22"/>
          <w:szCs w:val="24"/>
        </w:rPr>
      </w:pPr>
    </w:p>
    <w:p w:rsidR="0084667A" w:rsidRPr="000C262C" w:rsidP="0084667A">
      <w:pPr>
        <w:ind w:firstLine="708"/>
        <w:jc w:val="both"/>
        <w:rPr>
          <w:rFonts w:ascii="Arial Narrow" w:hAnsi="Arial Narrow" w:cs="Arial Narrow"/>
          <w:sz w:val="22"/>
          <w:szCs w:val="24"/>
        </w:rPr>
      </w:pPr>
      <w:r w:rsidRPr="000C262C">
        <w:rPr>
          <w:rFonts w:ascii="Arial Narrow" w:hAnsi="Arial Narrow" w:cs="Arial Narrow"/>
          <w:sz w:val="22"/>
          <w:szCs w:val="24"/>
        </w:rPr>
        <w:t xml:space="preserve">Návrh rozdelenia výdavkov do jednotlivých kategórií je len orientačný, nakoľko v zmysle § 89 zákona č. 131/2002 Z. z. o vysokých školách v znení neskorších predpisov je použitie dotácie zo štátneho rozpočtu priamo v kompetencii vysokej školy. </w:t>
      </w:r>
    </w:p>
    <w:p w:rsidR="0084667A" w:rsidRPr="000C262C" w:rsidP="0084667A">
      <w:pPr>
        <w:ind w:firstLine="709"/>
        <w:jc w:val="both"/>
        <w:rPr>
          <w:rFonts w:ascii="Arial Narrow" w:hAnsi="Arial Narrow" w:cs="Arial Narrow"/>
          <w:sz w:val="22"/>
          <w:szCs w:val="24"/>
        </w:rPr>
      </w:pPr>
    </w:p>
    <w:p w:rsidR="0084667A" w:rsidRPr="000C262C" w:rsidP="0084667A">
      <w:pPr>
        <w:ind w:firstLine="708"/>
        <w:jc w:val="both"/>
        <w:rPr>
          <w:rFonts w:ascii="Arial Narrow" w:hAnsi="Arial Narrow" w:cs="Arial Narrow"/>
          <w:sz w:val="22"/>
          <w:szCs w:val="24"/>
        </w:rPr>
      </w:pPr>
      <w:r w:rsidRPr="000C262C">
        <w:rPr>
          <w:rFonts w:ascii="Arial Narrow" w:hAnsi="Arial Narrow" w:cs="Arial Narrow"/>
          <w:sz w:val="22"/>
          <w:szCs w:val="24"/>
        </w:rPr>
        <w:t xml:space="preserve">Vlastné výnosy VVŠ, pozostávajúce napr. z výnosov zo školného od zahraničných študentov, z poplatkov spojených so štúdiom, z kontraktačného výskumu, z ďalšieho vzdelávania a zo zabezpečenia ubytovania a stravovania, sa predpokladajú dosiahnuť v objeme 70,3 mil. eur v roku 2010, v objeme 70,1 mil. eur v roku 2011 a 69,5 mil. eur v roku 2012. Vlastné príjmy majú každoročný klesajúci trend. </w:t>
      </w:r>
    </w:p>
    <w:p w:rsidR="0084667A" w:rsidRPr="000C262C" w:rsidP="0084667A">
      <w:pPr>
        <w:ind w:firstLine="708"/>
        <w:jc w:val="both"/>
        <w:rPr>
          <w:rFonts w:ascii="Arial Narrow" w:hAnsi="Arial Narrow" w:cs="Arial Narrow"/>
          <w:sz w:val="22"/>
          <w:szCs w:val="24"/>
        </w:rPr>
      </w:pPr>
    </w:p>
    <w:p w:rsidR="0084667A" w:rsidRPr="000C262C" w:rsidP="0084667A">
      <w:pPr>
        <w:ind w:firstLine="708"/>
        <w:jc w:val="both"/>
        <w:rPr>
          <w:rFonts w:ascii="Arial Narrow" w:hAnsi="Arial Narrow" w:cs="Arial Narrow"/>
          <w:sz w:val="22"/>
          <w:szCs w:val="24"/>
        </w:rPr>
      </w:pPr>
      <w:r w:rsidRPr="000C262C">
        <w:rPr>
          <w:rFonts w:ascii="Arial Narrow" w:hAnsi="Arial Narrow" w:cs="Arial Narrow"/>
          <w:sz w:val="22"/>
          <w:szCs w:val="24"/>
        </w:rPr>
        <w:t xml:space="preserve">V rokoch 2010 až 2012 sa predpokladá, že VVŠ okrem už vyššie uvedených zdrojov získajú aj granty zo zahraničia každoročne v sume 3,89 mil. eur na financovanie výskumných projektov. </w:t>
      </w:r>
    </w:p>
    <w:p w:rsidR="0084667A" w:rsidRPr="000C262C" w:rsidP="0084667A">
      <w:pPr>
        <w:rPr>
          <w:rFonts w:ascii="Times New Roman" w:hAnsi="Times New Roman" w:cs="Times New Roman"/>
          <w:szCs w:val="24"/>
        </w:rPr>
      </w:pPr>
    </w:p>
    <w:p w:rsidR="0084667A" w:rsidRPr="000C262C" w:rsidP="0084667A">
      <w:pPr>
        <w:ind w:firstLine="708"/>
        <w:jc w:val="both"/>
        <w:outlineLvl w:val="0"/>
        <w:rPr>
          <w:rFonts w:ascii="Arial Narrow" w:hAnsi="Arial Narrow" w:cs="Arial Narrow"/>
          <w:sz w:val="22"/>
          <w:szCs w:val="24"/>
        </w:rPr>
      </w:pPr>
      <w:r w:rsidRPr="000C262C">
        <w:rPr>
          <w:rFonts w:ascii="Arial Narrow" w:hAnsi="Arial Narrow" w:cs="Arial Narrow"/>
          <w:sz w:val="22"/>
          <w:szCs w:val="24"/>
        </w:rPr>
        <w:t>Vývoj príjmovej a výdavkovej časti rozpočtu verejných vysokých škôl na roky 2010 až 2012 je nasledovný:</w:t>
      </w:r>
    </w:p>
    <w:p w:rsidR="0084667A" w:rsidRPr="006551EE" w:rsidP="0084667A">
      <w:pPr>
        <w:ind w:firstLine="708"/>
        <w:jc w:val="both"/>
        <w:outlineLvl w:val="0"/>
        <w:rPr>
          <w:rFonts w:ascii="Arial Narrow" w:hAnsi="Arial Narrow" w:cs="Arial Narrow"/>
          <w:sz w:val="22"/>
          <w:szCs w:val="24"/>
          <w:highlight w:val="yellow"/>
        </w:rPr>
      </w:pPr>
    </w:p>
    <w:tbl>
      <w:tblPr>
        <w:tblStyle w:val="TableNormal"/>
        <w:tblW w:w="9195" w:type="dxa"/>
        <w:tblInd w:w="55" w:type="dxa"/>
        <w:tblLayout w:type="fixed"/>
        <w:tblCellMar>
          <w:left w:w="70" w:type="dxa"/>
          <w:right w:w="70" w:type="dxa"/>
        </w:tblCellMar>
        <w:tblLook w:val="00A0"/>
      </w:tblPr>
      <w:tblGrid>
        <w:gridCol w:w="5055"/>
        <w:gridCol w:w="1035"/>
        <w:gridCol w:w="1035"/>
        <w:gridCol w:w="1035"/>
        <w:gridCol w:w="1035"/>
      </w:tblGrid>
      <w:tr>
        <w:tblPrEx>
          <w:tblW w:w="9195" w:type="dxa"/>
          <w:tblInd w:w="55" w:type="dxa"/>
          <w:tblLayout w:type="fixed"/>
          <w:tblCellMar>
            <w:left w:w="70" w:type="dxa"/>
            <w:right w:w="70" w:type="dxa"/>
          </w:tblCellMar>
          <w:tblLook w:val="00A0"/>
        </w:tblPrEx>
        <w:trPr>
          <w:trHeight w:val="240"/>
        </w:trPr>
        <w:tc>
          <w:tcPr>
            <w:tcW w:w="5055"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84667A" w:rsidRPr="000C262C" w:rsidP="002B1759">
            <w:pPr>
              <w:rPr>
                <w:rFonts w:ascii="Arial Narrow" w:hAnsi="Arial Narrow" w:cs="Arial Narrow"/>
                <w:b/>
                <w:color w:val="FFFFFF"/>
                <w:sz w:val="20"/>
                <w:szCs w:val="24"/>
              </w:rPr>
            </w:pPr>
            <w:r w:rsidRPr="000C262C">
              <w:rPr>
                <w:rFonts w:ascii="Arial Narrow" w:hAnsi="Arial Narrow" w:cs="Arial Narrow"/>
                <w:b/>
                <w:color w:val="FFFFFF"/>
                <w:sz w:val="20"/>
                <w:szCs w:val="24"/>
              </w:rPr>
              <w:t>( v tis. eur)</w:t>
            </w:r>
          </w:p>
        </w:tc>
        <w:tc>
          <w:tcPr>
            <w:tcW w:w="1035"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0C262C" w:rsidP="002B1759">
            <w:pPr>
              <w:jc w:val="center"/>
              <w:rPr>
                <w:rFonts w:ascii="Arial Narrow" w:hAnsi="Arial Narrow" w:cs="Arial Narrow"/>
                <w:b/>
                <w:color w:val="FFFFFF"/>
                <w:sz w:val="20"/>
                <w:szCs w:val="24"/>
              </w:rPr>
            </w:pPr>
            <w:r w:rsidRPr="000C262C">
              <w:rPr>
                <w:rFonts w:ascii="Arial Narrow" w:hAnsi="Arial Narrow" w:cs="Arial Narrow"/>
                <w:b/>
                <w:color w:val="FFFFFF"/>
                <w:sz w:val="20"/>
                <w:szCs w:val="24"/>
              </w:rPr>
              <w:t>2009</w:t>
            </w:r>
          </w:p>
        </w:tc>
        <w:tc>
          <w:tcPr>
            <w:tcW w:w="1035"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0C262C" w:rsidP="002B1759">
            <w:pPr>
              <w:jc w:val="center"/>
              <w:rPr>
                <w:rFonts w:ascii="Arial Narrow" w:hAnsi="Arial Narrow" w:cs="Arial Narrow"/>
                <w:b/>
                <w:color w:val="FFFFFF"/>
                <w:sz w:val="20"/>
                <w:szCs w:val="24"/>
              </w:rPr>
            </w:pPr>
            <w:r w:rsidRPr="000C262C">
              <w:rPr>
                <w:rFonts w:ascii="Arial Narrow" w:hAnsi="Arial Narrow" w:cs="Arial Narrow"/>
                <w:b/>
                <w:color w:val="FFFFFF"/>
                <w:sz w:val="20"/>
                <w:szCs w:val="24"/>
              </w:rPr>
              <w:t>2010</w:t>
            </w:r>
          </w:p>
        </w:tc>
        <w:tc>
          <w:tcPr>
            <w:tcW w:w="1035"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0C262C" w:rsidP="002B1759">
            <w:pPr>
              <w:jc w:val="center"/>
              <w:rPr>
                <w:rFonts w:ascii="Arial Narrow" w:hAnsi="Arial Narrow" w:cs="Arial Narrow"/>
                <w:b/>
                <w:color w:val="FFFFFF"/>
                <w:sz w:val="20"/>
                <w:szCs w:val="24"/>
              </w:rPr>
            </w:pPr>
            <w:r w:rsidRPr="000C262C">
              <w:rPr>
                <w:rFonts w:ascii="Arial Narrow" w:hAnsi="Arial Narrow" w:cs="Arial Narrow"/>
                <w:b/>
                <w:color w:val="FFFFFF"/>
                <w:sz w:val="20"/>
                <w:szCs w:val="24"/>
              </w:rPr>
              <w:t>2011</w:t>
            </w:r>
          </w:p>
        </w:tc>
        <w:tc>
          <w:tcPr>
            <w:tcW w:w="1035" w:type="dxa"/>
            <w:tcBorders>
              <w:top w:val="single" w:sz="4" w:space="0" w:color="auto"/>
              <w:left w:val="nil"/>
              <w:bottom w:val="single" w:sz="4" w:space="0" w:color="auto"/>
              <w:right w:val="single" w:sz="4" w:space="0" w:color="auto"/>
            </w:tcBorders>
            <w:shd w:val="clear" w:color="000000" w:fill="000000"/>
            <w:noWrap/>
            <w:textDirection w:val="lrTb"/>
            <w:vAlign w:val="bottom"/>
          </w:tcPr>
          <w:p w:rsidR="0084667A" w:rsidRPr="000C262C" w:rsidP="002B1759">
            <w:pPr>
              <w:jc w:val="center"/>
              <w:rPr>
                <w:rFonts w:ascii="Arial Narrow" w:hAnsi="Arial Narrow" w:cs="Arial Narrow"/>
                <w:b/>
                <w:color w:val="FFFFFF"/>
                <w:sz w:val="20"/>
                <w:szCs w:val="24"/>
              </w:rPr>
            </w:pPr>
            <w:r w:rsidRPr="000C262C">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Look w:val="00A0"/>
        </w:tblPrEx>
        <w:trPr>
          <w:trHeight w:val="240"/>
        </w:trPr>
        <w:tc>
          <w:tcPr>
            <w:tcW w:w="5055" w:type="dxa"/>
            <w:tcBorders>
              <w:top w:val="single" w:sz="4" w:space="0" w:color="auto"/>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Príjmy VVŠ spolu</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585 38</w:t>
            </w:r>
            <w:r w:rsidR="00D91119">
              <w:rPr>
                <w:rFonts w:ascii="Arial Narrow" w:hAnsi="Arial Narrow" w:cs="Arial Narrow"/>
                <w:b/>
                <w:i/>
                <w:sz w:val="20"/>
                <w:szCs w:val="24"/>
              </w:rPr>
              <w:t>5</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664 94</w:t>
            </w:r>
            <w:r>
              <w:rPr>
                <w:rFonts w:ascii="Arial Narrow" w:hAnsi="Arial Narrow" w:cs="Arial Narrow"/>
                <w:b/>
                <w:i/>
                <w:sz w:val="20"/>
                <w:szCs w:val="24"/>
              </w:rPr>
              <w:t>9</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645 03</w:t>
            </w:r>
            <w:r>
              <w:rPr>
                <w:rFonts w:ascii="Arial Narrow" w:hAnsi="Arial Narrow" w:cs="Arial Narrow"/>
                <w:b/>
                <w:i/>
                <w:sz w:val="20"/>
                <w:szCs w:val="24"/>
              </w:rPr>
              <w:t>4</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645 04</w:t>
            </w:r>
            <w:r>
              <w:rPr>
                <w:rFonts w:ascii="Arial Narrow" w:hAnsi="Arial Narrow" w:cs="Arial Narrow"/>
                <w:b/>
                <w:i/>
                <w:sz w:val="20"/>
                <w:szCs w:val="24"/>
              </w:rPr>
              <w:t>4</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z toho:</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príjmy z podnikania a</w:t>
            </w:r>
            <w:r>
              <w:rPr>
                <w:rFonts w:ascii="Arial Narrow" w:hAnsi="Arial Narrow" w:cs="Arial Narrow"/>
                <w:sz w:val="20"/>
                <w:szCs w:val="24"/>
              </w:rPr>
              <w:t> </w:t>
            </w:r>
            <w:r w:rsidRPr="000C262C">
              <w:rPr>
                <w:rFonts w:ascii="Arial Narrow" w:hAnsi="Arial Narrow" w:cs="Arial Narrow"/>
                <w:sz w:val="20"/>
                <w:szCs w:val="24"/>
              </w:rPr>
              <w:t>vlast</w:t>
            </w:r>
            <w:r>
              <w:rPr>
                <w:rFonts w:ascii="Arial Narrow" w:hAnsi="Arial Narrow" w:cs="Arial Narrow"/>
                <w:sz w:val="20"/>
                <w:szCs w:val="24"/>
              </w:rPr>
              <w:t>níctva</w:t>
            </w:r>
            <w:r w:rsidRPr="000C262C">
              <w:rPr>
                <w:rFonts w:ascii="Arial Narrow" w:hAnsi="Arial Narrow" w:cs="Arial Narrow"/>
                <w:sz w:val="20"/>
                <w:szCs w:val="24"/>
              </w:rPr>
              <w:t xml:space="preserve"> majetku</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732</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644</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xml:space="preserve">▪ </w:t>
            </w:r>
            <w:r>
              <w:rPr>
                <w:rFonts w:ascii="Arial Narrow" w:hAnsi="Arial Narrow" w:cs="Arial Narrow"/>
                <w:sz w:val="20"/>
                <w:szCs w:val="24"/>
              </w:rPr>
              <w:t xml:space="preserve">     admin. poplatky a iné poplatky</w:t>
            </w:r>
            <w:r w:rsidRPr="000C262C">
              <w:rPr>
                <w:rFonts w:ascii="Arial Narrow" w:hAnsi="Arial Narrow" w:cs="Arial Narrow"/>
                <w:sz w:val="20"/>
                <w:szCs w:val="24"/>
              </w:rPr>
              <w:t xml:space="preserve"> a platby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66 229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64 64</w:t>
            </w:r>
            <w:r>
              <w:rPr>
                <w:rFonts w:ascii="Arial Narrow" w:hAnsi="Arial Narrow" w:cs="Arial Narrow"/>
                <w:sz w:val="20"/>
                <w:szCs w:val="24"/>
              </w:rPr>
              <w:t>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64 647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64 648</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kapitálové príjmy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4 380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4 000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3 500</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úroky z</w:t>
            </w:r>
            <w:r>
              <w:rPr>
                <w:rFonts w:ascii="Arial Narrow" w:hAnsi="Arial Narrow" w:cs="Arial Narrow"/>
                <w:sz w:val="20"/>
                <w:szCs w:val="24"/>
              </w:rPr>
              <w:t> </w:t>
            </w:r>
            <w:r w:rsidRPr="000C262C">
              <w:rPr>
                <w:rFonts w:ascii="Arial Narrow" w:hAnsi="Arial Narrow" w:cs="Arial Narrow"/>
                <w:sz w:val="20"/>
                <w:szCs w:val="24"/>
              </w:rPr>
              <w:t>tuz</w:t>
            </w:r>
            <w:r>
              <w:rPr>
                <w:rFonts w:ascii="Arial Narrow" w:hAnsi="Arial Narrow" w:cs="Arial Narrow"/>
                <w:sz w:val="20"/>
                <w:szCs w:val="24"/>
              </w:rPr>
              <w:t>emských</w:t>
            </w:r>
            <w:r w:rsidRPr="000C262C">
              <w:rPr>
                <w:rFonts w:ascii="Arial Narrow" w:hAnsi="Arial Narrow" w:cs="Arial Narrow"/>
                <w:sz w:val="20"/>
                <w:szCs w:val="24"/>
              </w:rPr>
              <w:t xml:space="preserve"> úverov, pôžičiek, NFV</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188</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147</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iné nedaňové príjmy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561</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520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574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590</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transfery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426 105</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451 761</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431 832</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431 834</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z ostat</w:t>
            </w:r>
            <w:r>
              <w:rPr>
                <w:rFonts w:ascii="Arial Narrow" w:hAnsi="Arial Narrow" w:cs="Arial Narrow"/>
                <w:sz w:val="20"/>
                <w:szCs w:val="24"/>
              </w:rPr>
              <w:t>ných</w:t>
            </w:r>
            <w:r w:rsidRPr="000C262C">
              <w:rPr>
                <w:rFonts w:ascii="Arial Narrow" w:hAnsi="Arial Narrow" w:cs="Arial Narrow"/>
                <w:sz w:val="20"/>
                <w:szCs w:val="24"/>
              </w:rPr>
              <w:t xml:space="preserve"> fin</w:t>
            </w:r>
            <w:r>
              <w:rPr>
                <w:rFonts w:ascii="Arial Narrow" w:hAnsi="Arial Narrow" w:cs="Arial Narrow"/>
                <w:sz w:val="20"/>
                <w:szCs w:val="24"/>
              </w:rPr>
              <w:t>ančných</w:t>
            </w:r>
            <w:r w:rsidRPr="000C262C">
              <w:rPr>
                <w:rFonts w:ascii="Arial Narrow" w:hAnsi="Arial Narrow" w:cs="Arial Narrow"/>
                <w:sz w:val="20"/>
                <w:szCs w:val="24"/>
              </w:rPr>
              <w:t xml:space="preserve"> operácií (FO)</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91 516</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142 850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Pr>
                <w:rFonts w:ascii="Arial Narrow" w:hAnsi="Arial Narrow" w:cs="Arial Narrow"/>
                <w:sz w:val="20"/>
                <w:szCs w:val="24"/>
              </w:rPr>
              <w:t>143 1</w:t>
            </w:r>
            <w:r w:rsidRPr="000C262C">
              <w:rPr>
                <w:rFonts w:ascii="Arial Narrow" w:hAnsi="Arial Narrow" w:cs="Arial Narrow"/>
                <w:sz w:val="20"/>
                <w:szCs w:val="24"/>
              </w:rPr>
              <w:t>9</w:t>
            </w:r>
            <w:r>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143 68</w:t>
            </w:r>
            <w:r>
              <w:rPr>
                <w:rFonts w:ascii="Arial Narrow" w:hAnsi="Arial Narrow" w:cs="Arial Narrow"/>
                <w:sz w:val="20"/>
                <w:szCs w:val="24"/>
              </w:rPr>
              <w:t>1</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6551EE" w:rsidP="002B1759">
            <w:pPr>
              <w:rPr>
                <w:rFonts w:ascii="Arial Narrow" w:hAnsi="Arial Narrow" w:cs="Arial Narrow"/>
                <w:sz w:val="20"/>
                <w:szCs w:val="24"/>
                <w:highlight w:val="yellow"/>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single" w:sz="4" w:space="0" w:color="auto"/>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Výdavky VVŠ spolu</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490 177</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521 759</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501 353</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500 682</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z toho:</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i/>
                <w:sz w:val="20"/>
                <w:szCs w:val="24"/>
              </w:rPr>
            </w:pPr>
            <w:r w:rsidRPr="000C262C">
              <w:rPr>
                <w:rFonts w:ascii="Arial Narrow" w:hAnsi="Arial Narrow" w:cs="Arial Narrow"/>
                <w:i/>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mzdy a</w:t>
            </w:r>
            <w:r>
              <w:rPr>
                <w:rFonts w:ascii="Arial Narrow" w:hAnsi="Arial Narrow" w:cs="Arial Narrow"/>
                <w:sz w:val="20"/>
                <w:szCs w:val="24"/>
              </w:rPr>
              <w:t> </w:t>
            </w:r>
            <w:r w:rsidRPr="000C262C">
              <w:rPr>
                <w:rFonts w:ascii="Arial Narrow" w:hAnsi="Arial Narrow" w:cs="Arial Narrow"/>
                <w:sz w:val="20"/>
                <w:szCs w:val="24"/>
              </w:rPr>
              <w:t>odvody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271 854</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280 990</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280 988</w:t>
            </w:r>
          </w:p>
        </w:tc>
        <w:tc>
          <w:tcPr>
            <w:tcW w:w="1035" w:type="dxa"/>
            <w:tcBorders>
              <w:top w:val="single" w:sz="4" w:space="0" w:color="auto"/>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281 000</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tovary a</w:t>
            </w:r>
            <w:r>
              <w:rPr>
                <w:rFonts w:ascii="Arial Narrow" w:hAnsi="Arial Narrow" w:cs="Arial Narrow"/>
                <w:sz w:val="20"/>
                <w:szCs w:val="24"/>
              </w:rPr>
              <w:t> </w:t>
            </w:r>
            <w:r w:rsidRPr="000C262C">
              <w:rPr>
                <w:rFonts w:ascii="Arial Narrow" w:hAnsi="Arial Narrow" w:cs="Arial Narrow"/>
                <w:sz w:val="20"/>
                <w:szCs w:val="24"/>
              </w:rPr>
              <w:t>služby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151 217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157 181</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155 224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149 987</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bežné transfery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65 330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52 657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54 183</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58 737</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splácanie úrokov a ostat</w:t>
            </w:r>
            <w:r>
              <w:rPr>
                <w:rFonts w:ascii="Arial Narrow" w:hAnsi="Arial Narrow" w:cs="Arial Narrow"/>
                <w:sz w:val="20"/>
                <w:szCs w:val="24"/>
              </w:rPr>
              <w:t>né</w:t>
            </w:r>
            <w:r w:rsidRPr="000C262C">
              <w:rPr>
                <w:rFonts w:ascii="Arial Narrow" w:hAnsi="Arial Narrow" w:cs="Arial Narrow"/>
                <w:sz w:val="20"/>
                <w:szCs w:val="24"/>
              </w:rPr>
              <w:t xml:space="preserve"> platby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15</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kapitálové výdavky</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1 719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30 907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10 934</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10 934</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splácanie istín (FO)</w:t>
            </w:r>
          </w:p>
        </w:tc>
        <w:tc>
          <w:tcPr>
            <w:tcW w:w="103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single" w:sz="4" w:space="0" w:color="auto"/>
            </w:tcBorders>
            <w:shd w:val="clear" w:color="000000" w:fill="C0C0C0"/>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Celkový prebytok VVŠ</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95 208</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143 19</w:t>
            </w:r>
            <w:r>
              <w:rPr>
                <w:rFonts w:ascii="Arial Narrow" w:hAnsi="Arial Narrow" w:cs="Arial Narrow"/>
                <w:b/>
                <w:i/>
                <w:sz w:val="20"/>
                <w:szCs w:val="24"/>
              </w:rPr>
              <w:t>0</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143 68</w:t>
            </w:r>
            <w:r>
              <w:rPr>
                <w:rFonts w:ascii="Arial Narrow" w:hAnsi="Arial Narrow" w:cs="Arial Narrow"/>
                <w:b/>
                <w:i/>
                <w:sz w:val="20"/>
                <w:szCs w:val="24"/>
              </w:rPr>
              <w:t>1</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144 36</w:t>
            </w:r>
            <w:r>
              <w:rPr>
                <w:rFonts w:ascii="Arial Narrow" w:hAnsi="Arial Narrow" w:cs="Arial Narrow"/>
                <w:b/>
                <w:i/>
                <w:sz w:val="20"/>
                <w:szCs w:val="24"/>
              </w:rPr>
              <w:t>2</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vylúčenie finančných operácií</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-91 459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-142 841</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-143 18</w:t>
            </w:r>
            <w:r>
              <w:rPr>
                <w:rFonts w:ascii="Arial Narrow" w:hAnsi="Arial Narrow" w:cs="Arial Narrow"/>
                <w:b/>
                <w:i/>
                <w:sz w:val="20"/>
                <w:szCs w:val="24"/>
              </w:rPr>
              <w:t>1</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-143 67</w:t>
            </w:r>
            <w:r>
              <w:rPr>
                <w:rFonts w:ascii="Arial Narrow" w:hAnsi="Arial Narrow" w:cs="Arial Narrow"/>
                <w:b/>
                <w:i/>
                <w:sz w:val="20"/>
                <w:szCs w:val="24"/>
              </w:rPr>
              <w:t>2</w:t>
            </w:r>
          </w:p>
        </w:tc>
      </w:tr>
      <w:tr>
        <w:tblPrEx>
          <w:tblW w:w="9195" w:type="dxa"/>
          <w:tblInd w:w="55" w:type="dxa"/>
          <w:tblLayout w:type="fixed"/>
          <w:tblCellMar>
            <w:left w:w="70" w:type="dxa"/>
            <w:right w:w="70" w:type="dxa"/>
          </w:tblCellMar>
          <w:tblLook w:val="00A0"/>
        </w:tblPrEx>
        <w:trPr>
          <w:trHeight w:val="70"/>
        </w:trPr>
        <w:tc>
          <w:tcPr>
            <w:tcW w:w="505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b/>
                <w:i/>
                <w:sz w:val="20"/>
                <w:szCs w:val="24"/>
              </w:rPr>
            </w:pPr>
            <w:r w:rsidRPr="000C262C">
              <w:rPr>
                <w:rFonts w:ascii="Arial Narrow" w:hAnsi="Arial Narrow" w:cs="Arial Narrow"/>
                <w:b/>
                <w:i/>
                <w:sz w:val="20"/>
                <w:szCs w:val="24"/>
              </w:rPr>
              <w:t>z toho:</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vylúčenie príjmových FO</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-91 516</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-142 850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-143 19</w:t>
            </w:r>
            <w:r>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-143 68</w:t>
            </w:r>
            <w:r>
              <w:rPr>
                <w:rFonts w:ascii="Arial Narrow" w:hAnsi="Arial Narrow" w:cs="Arial Narrow"/>
                <w:sz w:val="20"/>
                <w:szCs w:val="24"/>
              </w:rPr>
              <w:t>1</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single" w:sz="4" w:space="0" w:color="auto"/>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vylúčenie výdavkových FO</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57</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9</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nil"/>
            </w:tcBorders>
            <w:noWrap/>
            <w:textDirection w:val="lrTb"/>
            <w:vAlign w:val="bottom"/>
          </w:tcPr>
          <w:p w:rsidR="0084667A" w:rsidRPr="000C262C" w:rsidP="002B1759">
            <w:pPr>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bottom"/>
          </w:tcPr>
          <w:p w:rsidR="0084667A" w:rsidRPr="000C262C" w:rsidP="002B1759">
            <w:pPr>
              <w:jc w:val="right"/>
              <w:rPr>
                <w:rFonts w:ascii="Arial Narrow" w:hAnsi="Arial Narrow" w:cs="Arial Narrow"/>
                <w:sz w:val="20"/>
                <w:szCs w:val="24"/>
              </w:rPr>
            </w:pPr>
            <w:r w:rsidRPr="000C262C">
              <w:rPr>
                <w:rFonts w:ascii="Arial Narrow" w:hAnsi="Arial Narrow" w:cs="Arial Narrow"/>
                <w:sz w:val="20"/>
                <w:szCs w:val="24"/>
              </w:rPr>
              <w:t> </w:t>
            </w:r>
          </w:p>
        </w:tc>
      </w:tr>
      <w:tr>
        <w:tblPrEx>
          <w:tblW w:w="9195" w:type="dxa"/>
          <w:tblInd w:w="55" w:type="dxa"/>
          <w:tblLayout w:type="fixed"/>
          <w:tblCellMar>
            <w:left w:w="70" w:type="dxa"/>
            <w:right w:w="70" w:type="dxa"/>
          </w:tblCellMar>
          <w:tblLook w:val="00A0"/>
        </w:tblPrEx>
        <w:trPr>
          <w:trHeight w:val="240"/>
        </w:trPr>
        <w:tc>
          <w:tcPr>
            <w:tcW w:w="5055" w:type="dxa"/>
            <w:tcBorders>
              <w:top w:val="nil"/>
              <w:left w:val="single" w:sz="4" w:space="0" w:color="auto"/>
              <w:bottom w:val="single" w:sz="4" w:space="0" w:color="auto"/>
              <w:right w:val="single" w:sz="4" w:space="0" w:color="auto"/>
            </w:tcBorders>
            <w:shd w:val="clear" w:color="000000" w:fill="C0C0C0"/>
            <w:noWrap/>
            <w:textDirection w:val="lrTb"/>
            <w:vAlign w:val="bottom"/>
          </w:tcPr>
          <w:p w:rsidR="0084667A" w:rsidRPr="006551EE" w:rsidP="002B1759">
            <w:pPr>
              <w:rPr>
                <w:rFonts w:ascii="Arial Narrow" w:hAnsi="Arial Narrow" w:cs="Arial Narrow"/>
                <w:b/>
                <w:i/>
                <w:sz w:val="20"/>
                <w:szCs w:val="24"/>
                <w:highlight w:val="yellow"/>
              </w:rPr>
            </w:pPr>
            <w:r w:rsidRPr="000C262C">
              <w:rPr>
                <w:rFonts w:ascii="Arial Narrow" w:hAnsi="Arial Narrow" w:cs="Arial Narrow"/>
                <w:b/>
                <w:i/>
                <w:sz w:val="20"/>
                <w:szCs w:val="24"/>
              </w:rPr>
              <w:t>Prebytok VVŠ (ESA 95)</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3 749</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349</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500</w:t>
            </w:r>
          </w:p>
        </w:tc>
        <w:tc>
          <w:tcPr>
            <w:tcW w:w="1035" w:type="dxa"/>
            <w:tcBorders>
              <w:top w:val="nil"/>
              <w:left w:val="nil"/>
              <w:bottom w:val="single" w:sz="4" w:space="0" w:color="auto"/>
              <w:right w:val="single" w:sz="4" w:space="0" w:color="auto"/>
            </w:tcBorders>
            <w:shd w:val="clear" w:color="000000" w:fill="C0C0C0"/>
            <w:noWrap/>
            <w:textDirection w:val="lrTb"/>
            <w:vAlign w:val="bottom"/>
          </w:tcPr>
          <w:p w:rsidR="0084667A" w:rsidRPr="000C262C" w:rsidP="002B1759">
            <w:pPr>
              <w:jc w:val="right"/>
              <w:rPr>
                <w:rFonts w:ascii="Arial Narrow" w:hAnsi="Arial Narrow" w:cs="Arial Narrow"/>
                <w:b/>
                <w:i/>
                <w:sz w:val="20"/>
                <w:szCs w:val="24"/>
              </w:rPr>
            </w:pPr>
            <w:r w:rsidRPr="000C262C">
              <w:rPr>
                <w:rFonts w:ascii="Arial Narrow" w:hAnsi="Arial Narrow" w:cs="Arial Narrow"/>
                <w:b/>
                <w:i/>
                <w:sz w:val="20"/>
                <w:szCs w:val="24"/>
              </w:rPr>
              <w:t>690</w:t>
            </w:r>
          </w:p>
        </w:tc>
      </w:tr>
    </w:tbl>
    <w:p w:rsidR="0084667A" w:rsidP="0084667A">
      <w:pPr>
        <w:ind w:firstLine="708"/>
        <w:jc w:val="both"/>
        <w:outlineLvl w:val="0"/>
        <w:rPr>
          <w:rFonts w:ascii="Arial Narrow" w:hAnsi="Arial Narrow" w:cs="Arial Narrow"/>
          <w:sz w:val="22"/>
          <w:szCs w:val="24"/>
        </w:rPr>
      </w:pPr>
    </w:p>
    <w:p w:rsidR="0084667A" w:rsidP="0084667A">
      <w:pPr>
        <w:ind w:firstLine="708"/>
        <w:jc w:val="both"/>
        <w:outlineLvl w:val="0"/>
        <w:rPr>
          <w:rFonts w:ascii="Arial Narrow" w:hAnsi="Arial Narrow" w:cs="Arial Narrow"/>
          <w:sz w:val="22"/>
          <w:szCs w:val="24"/>
        </w:rPr>
      </w:pPr>
    </w:p>
    <w:p w:rsidR="0084667A" w:rsidRPr="00026C72" w:rsidP="0084667A">
      <w:pPr>
        <w:rPr>
          <w:rFonts w:ascii="Arial Narrow" w:hAnsi="Arial Narrow" w:cs="Arial Narrow"/>
          <w:b/>
          <w:szCs w:val="24"/>
        </w:rPr>
      </w:pPr>
      <w:r w:rsidRPr="00026C72">
        <w:rPr>
          <w:rFonts w:ascii="Arial Narrow" w:hAnsi="Arial Narrow" w:cs="Arial Narrow"/>
          <w:b/>
          <w:szCs w:val="24"/>
        </w:rPr>
        <w:t xml:space="preserve">10.  Príspevkové organizácie v pôsobnosti štátu, obcí a VÚC </w:t>
      </w:r>
    </w:p>
    <w:p w:rsidR="0084667A" w:rsidRPr="00E26482" w:rsidP="0084667A">
      <w:pPr>
        <w:ind w:firstLine="708"/>
        <w:jc w:val="both"/>
        <w:rPr>
          <w:rFonts w:ascii="Arial Narrow" w:hAnsi="Arial Narrow" w:cs="Arial Narrow"/>
          <w:sz w:val="22"/>
          <w:szCs w:val="24"/>
          <w:highlight w:val="red"/>
        </w:rPr>
      </w:pPr>
    </w:p>
    <w:p w:rsidR="0084667A" w:rsidRPr="005F11EE" w:rsidP="0084667A">
      <w:pPr>
        <w:ind w:firstLine="708"/>
        <w:jc w:val="both"/>
        <w:rPr>
          <w:rFonts w:ascii="Arial Narrow" w:hAnsi="Arial Narrow" w:cs="Arial Narrow"/>
          <w:sz w:val="22"/>
          <w:szCs w:val="24"/>
        </w:rPr>
      </w:pPr>
      <w:r w:rsidRPr="005F11EE">
        <w:rPr>
          <w:rFonts w:ascii="Arial Narrow" w:hAnsi="Arial Narrow" w:cs="Arial Narrow"/>
          <w:sz w:val="22"/>
          <w:szCs w:val="24"/>
        </w:rPr>
        <w:t xml:space="preserve">Súčasťou návrhu rozpočtu verejnej správy na roky 2010 až 2012 sú aj návrhy rozpočtov príspevkových organizácií, ktoré sú v súlade s jednotnou metodikou, platnou pre Európsku úniu, zaradené do sektora verejnej správy. Ide o tie príspevkové organizácie založené štátom, obcami alebo VÚC, u ktorých menej ako 50 % výrobných nákladov je pokrytých tržbami. Zaraďovanie subjektov verejnej správy do príslušných sektorov ekonomiky, ako aj plnenie podmienok pre zaraďovanie subjektov do sektora verejnej správy, je v pôsobnosti Štatistického úradu SR v súlade so zákonom č. 540/2001 Z. z. o štátnej štatistike. </w:t>
      </w:r>
    </w:p>
    <w:p w:rsidR="0084667A" w:rsidRPr="005F11EE" w:rsidP="0084667A">
      <w:pPr>
        <w:ind w:firstLine="708"/>
        <w:jc w:val="both"/>
        <w:rPr>
          <w:rFonts w:ascii="Arial Narrow" w:hAnsi="Arial Narrow" w:cs="Arial Narrow"/>
          <w:sz w:val="22"/>
          <w:szCs w:val="24"/>
        </w:rPr>
      </w:pPr>
    </w:p>
    <w:p w:rsidR="0084667A" w:rsidP="0084667A">
      <w:pPr>
        <w:jc w:val="both"/>
        <w:rPr>
          <w:rFonts w:ascii="Arial Narrow" w:hAnsi="Arial Narrow" w:cs="Arial Narrow"/>
          <w:sz w:val="22"/>
          <w:szCs w:val="24"/>
        </w:rPr>
      </w:pPr>
      <w:r w:rsidRPr="005F11EE">
        <w:rPr>
          <w:rFonts w:ascii="Arial Narrow" w:hAnsi="Arial Narrow" w:cs="Arial Narrow"/>
          <w:sz w:val="22"/>
          <w:szCs w:val="24"/>
        </w:rPr>
        <w:tab/>
        <w:t xml:space="preserve">Návrh rozpočtu príspevkových organizácií v pôsobnosti štátu, obcí a VÚC je spracovaný za tie príspevkové organizácie, ktoré sú zapísané v aktualizovanom štatistickom registri organizácií, vedenom Štatistickým úradom SR a zaradené do sektora verejnej správy v súlade s metodikou ESA 95. </w:t>
      </w:r>
    </w:p>
    <w:p w:rsidR="00C11474" w:rsidRPr="005F11EE" w:rsidP="0084667A">
      <w:pPr>
        <w:jc w:val="both"/>
        <w:rPr>
          <w:rFonts w:ascii="Arial Narrow" w:hAnsi="Arial Narrow" w:cs="Arial Narrow"/>
          <w:sz w:val="22"/>
          <w:szCs w:val="24"/>
        </w:rPr>
      </w:pPr>
    </w:p>
    <w:p w:rsidR="0084667A" w:rsidRPr="005F11EE" w:rsidP="0084667A">
      <w:pPr>
        <w:ind w:firstLine="708"/>
        <w:jc w:val="both"/>
        <w:rPr>
          <w:rFonts w:ascii="Arial Narrow" w:hAnsi="Arial Narrow" w:cs="Arial Narrow"/>
          <w:sz w:val="22"/>
          <w:szCs w:val="24"/>
        </w:rPr>
      </w:pPr>
    </w:p>
    <w:p w:rsidR="0084667A" w:rsidRPr="005F11EE" w:rsidP="0084667A">
      <w:pPr>
        <w:ind w:firstLine="708"/>
        <w:jc w:val="both"/>
        <w:rPr>
          <w:rFonts w:ascii="Arial Narrow" w:hAnsi="Arial Narrow" w:cs="Arial Narrow"/>
          <w:sz w:val="22"/>
          <w:szCs w:val="24"/>
        </w:rPr>
      </w:pPr>
      <w:r w:rsidRPr="005F11EE">
        <w:rPr>
          <w:rFonts w:ascii="Arial Narrow" w:hAnsi="Arial Narrow" w:cs="Arial Narrow"/>
          <w:sz w:val="22"/>
          <w:szCs w:val="24"/>
        </w:rPr>
        <w:t>Do sektora verejnej správy je zaradených 97 príspevkových organizácií v pôsobnosti štátu a 6</w:t>
      </w:r>
      <w:r>
        <w:rPr>
          <w:rFonts w:ascii="Arial Narrow" w:hAnsi="Arial Narrow" w:cs="Arial Narrow"/>
          <w:sz w:val="22"/>
          <w:szCs w:val="24"/>
        </w:rPr>
        <w:t>13</w:t>
      </w:r>
      <w:r w:rsidRPr="005F11EE">
        <w:rPr>
          <w:rFonts w:ascii="Arial Narrow" w:hAnsi="Arial Narrow" w:cs="Arial Narrow"/>
          <w:sz w:val="22"/>
          <w:szCs w:val="24"/>
        </w:rPr>
        <w:t xml:space="preserve"> príspevkových organizácií v pôsobnosti obcí a VÚC.  </w:t>
      </w:r>
    </w:p>
    <w:p w:rsidR="0084667A" w:rsidRPr="005F11EE" w:rsidP="0084667A">
      <w:pPr>
        <w:ind w:firstLine="708"/>
        <w:jc w:val="both"/>
        <w:rPr>
          <w:rFonts w:ascii="Arial Narrow" w:hAnsi="Arial Narrow" w:cs="Arial Narrow"/>
          <w:sz w:val="22"/>
          <w:szCs w:val="24"/>
        </w:rPr>
      </w:pPr>
    </w:p>
    <w:p w:rsidR="0084667A" w:rsidRPr="005F11EE" w:rsidP="0084667A">
      <w:pPr>
        <w:ind w:firstLine="708"/>
        <w:jc w:val="both"/>
        <w:rPr>
          <w:rFonts w:ascii="Arial Narrow" w:hAnsi="Arial Narrow" w:cs="Arial Narrow"/>
          <w:sz w:val="22"/>
          <w:szCs w:val="24"/>
        </w:rPr>
      </w:pPr>
      <w:r w:rsidRPr="005F11EE">
        <w:rPr>
          <w:rFonts w:ascii="Arial Narrow" w:hAnsi="Arial Narrow" w:cs="Arial Narrow"/>
          <w:sz w:val="22"/>
          <w:szCs w:val="24"/>
        </w:rPr>
        <w:t xml:space="preserve">Príspevkové organizácie v pôsobnosti štátu zabezpečujú činnosti najmä v oblasti kultúry, školstva, životného prostredia, pôdohospodárstva, výskumu, služieb a informatiky. Najviac príspevkových organizácií je v pôsobnosti ministerstva kultúry (25), v pôsobnosti SAV (22) a v pôsobnosti ministerstva pôdohospodárstva je (13) príspevkových organizácií. </w:t>
      </w:r>
    </w:p>
    <w:p w:rsidR="0084667A" w:rsidRPr="005F11EE" w:rsidP="0084667A">
      <w:pPr>
        <w:ind w:firstLine="708"/>
        <w:jc w:val="both"/>
        <w:rPr>
          <w:rFonts w:ascii="Arial Narrow" w:hAnsi="Arial Narrow" w:cs="Arial Narrow"/>
          <w:sz w:val="22"/>
          <w:szCs w:val="24"/>
        </w:rPr>
      </w:pPr>
    </w:p>
    <w:p w:rsidR="0084667A" w:rsidRPr="005F11EE" w:rsidP="0084667A">
      <w:pPr>
        <w:ind w:firstLine="708"/>
        <w:jc w:val="both"/>
        <w:rPr>
          <w:rFonts w:ascii="Arial Narrow" w:hAnsi="Arial Narrow" w:cs="Arial Narrow"/>
          <w:sz w:val="22"/>
          <w:szCs w:val="24"/>
        </w:rPr>
      </w:pPr>
      <w:r w:rsidRPr="005F11EE">
        <w:rPr>
          <w:rFonts w:ascii="Arial Narrow" w:hAnsi="Arial Narrow" w:cs="Arial Narrow"/>
          <w:sz w:val="22"/>
          <w:szCs w:val="24"/>
        </w:rPr>
        <w:t>Príspevkové organizácie v pôsobnosti obcí zabezpečujú najmä činnosti na úseku verejnoprospešných prác (technické služby), kultúry (miestne osvetové strediská, miestne kultúrne strediská, knižnice, galérie), sociálnych vecí, športu (plavárne, správy športových zariadení) a v ďalších oblastiach. Príspevkové organizácie zriadené VÚC zabezpečujú hlavne činnosti na úseku dopravy (organizácie zabezpečujúce správu a údržbu ciest II. a III. triedy), kultúry (divadlá, múzeá, galérie, knižnice, hvezdárne a pod.) a na úseku školstva (školy v prírode, stredné odborné učilištia, stredné odborné školy a pod.).</w:t>
      </w:r>
    </w:p>
    <w:p w:rsidR="0084667A" w:rsidRPr="005F11EE" w:rsidP="0084667A">
      <w:pPr>
        <w:jc w:val="both"/>
        <w:rPr>
          <w:rFonts w:ascii="Arial Narrow" w:hAnsi="Arial Narrow" w:cs="Arial Narrow"/>
          <w:sz w:val="22"/>
          <w:szCs w:val="24"/>
        </w:rPr>
      </w:pPr>
    </w:p>
    <w:p w:rsidR="0084667A" w:rsidRPr="005F11EE" w:rsidP="0084667A">
      <w:pPr>
        <w:ind w:firstLine="708"/>
        <w:jc w:val="both"/>
        <w:rPr>
          <w:rFonts w:ascii="Arial Narrow" w:hAnsi="Arial Narrow" w:cs="Arial Narrow"/>
          <w:sz w:val="22"/>
          <w:szCs w:val="24"/>
        </w:rPr>
      </w:pPr>
      <w:r w:rsidRPr="005F11EE">
        <w:rPr>
          <w:rFonts w:ascii="Arial Narrow" w:hAnsi="Arial Narrow" w:cs="Arial Narrow"/>
          <w:sz w:val="22"/>
          <w:szCs w:val="24"/>
        </w:rPr>
        <w:t xml:space="preserve">Vývoj  príjmovej  a  výdavkovej   časti  rozpočtu  príspevkových  organizácií  sektora verejnej správy na roky 2010 až 2012 je nasledovný:        </w:t>
      </w:r>
    </w:p>
    <w:p w:rsidR="0084667A" w:rsidRPr="005F11EE" w:rsidP="0084667A">
      <w:pPr>
        <w:ind w:left="7788"/>
        <w:jc w:val="both"/>
        <w:rPr>
          <w:rFonts w:ascii="Arial Narrow" w:hAnsi="Arial Narrow" w:cs="Arial Narrow"/>
          <w:sz w:val="22"/>
          <w:szCs w:val="24"/>
        </w:rPr>
      </w:pPr>
      <w:r w:rsidRPr="005F11EE">
        <w:rPr>
          <w:rFonts w:ascii="Arial Narrow" w:hAnsi="Arial Narrow" w:cs="Arial Narrow"/>
          <w:sz w:val="22"/>
          <w:szCs w:val="24"/>
        </w:rPr>
        <w:t xml:space="preserve">             </w:t>
      </w:r>
    </w:p>
    <w:tbl>
      <w:tblPr>
        <w:tblStyle w:val="TableNormal"/>
        <w:tblW w:w="9180" w:type="dxa"/>
        <w:tblInd w:w="108" w:type="dxa"/>
        <w:tblBorders>
          <w:top w:val="single" w:sz="4" w:space="0" w:color="auto"/>
          <w:left w:val="single" w:sz="4" w:space="0" w:color="auto"/>
          <w:bottom w:val="single" w:sz="4" w:space="0" w:color="auto"/>
          <w:right w:val="single" w:sz="4" w:space="0" w:color="auto"/>
        </w:tblBorders>
      </w:tblPr>
      <w:tblGrid>
        <w:gridCol w:w="5580"/>
        <w:gridCol w:w="900"/>
        <w:gridCol w:w="900"/>
        <w:gridCol w:w="900"/>
        <w:gridCol w:w="900"/>
      </w:tblGrid>
      <w:tr>
        <w:tblPrEx>
          <w:tblW w:w="9180" w:type="dxa"/>
          <w:tblInd w:w="108" w:type="dxa"/>
          <w:tblBorders>
            <w:top w:val="single" w:sz="4" w:space="0" w:color="auto"/>
            <w:left w:val="single" w:sz="4" w:space="0" w:color="auto"/>
            <w:bottom w:val="single" w:sz="4" w:space="0" w:color="auto"/>
            <w:right w:val="single" w:sz="4" w:space="0" w:color="auto"/>
          </w:tblBorders>
        </w:tblPrEx>
        <w:tc>
          <w:tcPr>
            <w:tcW w:w="558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5F11EE" w:rsidP="002B1759">
            <w:pPr>
              <w:jc w:val="both"/>
              <w:rPr>
                <w:rFonts w:ascii="Arial Narrow" w:hAnsi="Arial Narrow" w:cs="Arial Narrow"/>
                <w:b/>
                <w:color w:val="FFFFFF"/>
                <w:sz w:val="20"/>
                <w:szCs w:val="24"/>
              </w:rPr>
            </w:pPr>
            <w:r w:rsidRPr="005F11EE">
              <w:rPr>
                <w:rFonts w:ascii="Arial Narrow" w:hAnsi="Arial Narrow" w:cs="Arial Narrow"/>
                <w:b/>
                <w:color w:val="FFFFFF"/>
                <w:sz w:val="20"/>
                <w:szCs w:val="24"/>
              </w:rPr>
              <w:t>(v tis. eur)</w:t>
            </w:r>
          </w:p>
        </w:tc>
        <w:tc>
          <w:tcPr>
            <w:tcW w:w="9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5F11EE" w:rsidP="002B1759">
            <w:pPr>
              <w:jc w:val="center"/>
              <w:rPr>
                <w:rFonts w:ascii="Arial Narrow" w:hAnsi="Arial Narrow" w:cs="Arial Narrow"/>
                <w:b/>
                <w:color w:val="FFFFFF"/>
                <w:sz w:val="20"/>
                <w:szCs w:val="24"/>
              </w:rPr>
            </w:pPr>
            <w:r w:rsidRPr="005F11EE">
              <w:rPr>
                <w:rFonts w:ascii="Arial Narrow" w:hAnsi="Arial Narrow" w:cs="Arial Narrow"/>
                <w:b/>
                <w:color w:val="FFFFFF"/>
                <w:sz w:val="20"/>
                <w:szCs w:val="24"/>
              </w:rPr>
              <w:t>2009</w:t>
            </w:r>
          </w:p>
        </w:tc>
        <w:tc>
          <w:tcPr>
            <w:tcW w:w="9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5F11EE" w:rsidP="002B1759">
            <w:pPr>
              <w:jc w:val="center"/>
              <w:rPr>
                <w:rFonts w:ascii="Arial Narrow" w:hAnsi="Arial Narrow" w:cs="Arial Narrow"/>
                <w:b/>
                <w:color w:val="FFFFFF"/>
                <w:sz w:val="20"/>
                <w:szCs w:val="24"/>
              </w:rPr>
            </w:pPr>
            <w:r w:rsidRPr="005F11EE">
              <w:rPr>
                <w:rFonts w:ascii="Arial Narrow" w:hAnsi="Arial Narrow" w:cs="Arial Narrow"/>
                <w:b/>
                <w:color w:val="FFFFFF"/>
                <w:sz w:val="20"/>
                <w:szCs w:val="24"/>
              </w:rPr>
              <w:t>2010</w:t>
            </w:r>
          </w:p>
        </w:tc>
        <w:tc>
          <w:tcPr>
            <w:tcW w:w="9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5F11EE" w:rsidP="002B1759">
            <w:pPr>
              <w:jc w:val="center"/>
              <w:rPr>
                <w:rFonts w:ascii="Arial Narrow" w:hAnsi="Arial Narrow" w:cs="Arial Narrow"/>
                <w:b/>
                <w:color w:val="FFFFFF"/>
                <w:sz w:val="20"/>
                <w:szCs w:val="24"/>
              </w:rPr>
            </w:pPr>
            <w:r w:rsidRPr="005F11EE">
              <w:rPr>
                <w:rFonts w:ascii="Arial Narrow" w:hAnsi="Arial Narrow" w:cs="Arial Narrow"/>
                <w:b/>
                <w:color w:val="FFFFFF"/>
                <w:sz w:val="20"/>
                <w:szCs w:val="24"/>
              </w:rPr>
              <w:t>2011</w:t>
            </w:r>
          </w:p>
        </w:tc>
        <w:tc>
          <w:tcPr>
            <w:tcW w:w="900" w:type="dxa"/>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84667A" w:rsidRPr="005F11EE" w:rsidP="002B1759">
            <w:pPr>
              <w:jc w:val="center"/>
              <w:rPr>
                <w:rFonts w:ascii="Arial Narrow" w:hAnsi="Arial Narrow" w:cs="Arial Narrow"/>
                <w:b/>
                <w:color w:val="FFFFFF"/>
                <w:sz w:val="20"/>
                <w:szCs w:val="24"/>
              </w:rPr>
            </w:pPr>
            <w:r w:rsidRPr="005F11EE">
              <w:rPr>
                <w:rFonts w:ascii="Arial Narrow" w:hAnsi="Arial Narrow" w:cs="Arial Narrow"/>
                <w:b/>
                <w:color w:val="FFFFFF"/>
                <w:sz w:val="20"/>
                <w:szCs w:val="24"/>
              </w:rPr>
              <w:t>2012</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Príjmy PO sektora VS  spolu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ind w:left="80"/>
              <w:jc w:val="right"/>
              <w:rPr>
                <w:rFonts w:ascii="Arial Narrow" w:hAnsi="Arial Narrow" w:cs="Arial Narrow"/>
                <w:b/>
                <w:i/>
                <w:sz w:val="20"/>
                <w:szCs w:val="24"/>
              </w:rPr>
            </w:pPr>
            <w:r w:rsidRPr="005F11EE">
              <w:rPr>
                <w:rFonts w:ascii="Arial Narrow" w:hAnsi="Arial Narrow" w:cs="Arial Narrow"/>
                <w:b/>
                <w:i/>
                <w:sz w:val="20"/>
                <w:szCs w:val="24"/>
              </w:rPr>
              <w:t>677 769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ind w:left="80"/>
              <w:jc w:val="right"/>
              <w:rPr>
                <w:rFonts w:ascii="Arial Narrow" w:hAnsi="Arial Narrow" w:cs="Arial Narrow"/>
                <w:b/>
                <w:i/>
                <w:sz w:val="20"/>
                <w:szCs w:val="24"/>
              </w:rPr>
            </w:pPr>
            <w:r w:rsidRPr="005F11EE">
              <w:rPr>
                <w:rFonts w:ascii="Arial Narrow" w:hAnsi="Arial Narrow" w:cs="Arial Narrow"/>
                <w:b/>
                <w:i/>
                <w:sz w:val="20"/>
                <w:szCs w:val="24"/>
              </w:rPr>
              <w:t>6</w:t>
            </w:r>
            <w:r>
              <w:rPr>
                <w:rFonts w:ascii="Arial Narrow" w:hAnsi="Arial Narrow" w:cs="Arial Narrow"/>
                <w:b/>
                <w:i/>
                <w:sz w:val="20"/>
                <w:szCs w:val="24"/>
              </w:rPr>
              <w:t>79 708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Pr>
                <w:rFonts w:ascii="Arial Narrow" w:hAnsi="Arial Narrow" w:cs="Arial Narrow"/>
                <w:b/>
                <w:i/>
                <w:sz w:val="20"/>
                <w:szCs w:val="24"/>
              </w:rPr>
              <w:t>687 514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Pr>
                <w:rFonts w:ascii="Arial Narrow" w:hAnsi="Arial Narrow" w:cs="Arial Narrow"/>
                <w:b/>
                <w:i/>
                <w:sz w:val="20"/>
                <w:szCs w:val="24"/>
              </w:rPr>
              <w:t>704 042</w:t>
            </w:r>
          </w:p>
        </w:tc>
      </w:tr>
      <w:tr>
        <w:tblPrEx>
          <w:tblW w:w="9180" w:type="dxa"/>
          <w:tblInd w:w="108" w:type="dxa"/>
        </w:tblPrEx>
        <w:tc>
          <w:tcPr>
            <w:tcW w:w="918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8"/>
              </w:numPr>
              <w:jc w:val="both"/>
              <w:rPr>
                <w:rFonts w:ascii="Arial Narrow" w:hAnsi="Arial Narrow" w:cs="Arial Narrow"/>
                <w:sz w:val="20"/>
                <w:szCs w:val="24"/>
              </w:rPr>
            </w:pPr>
            <w:r w:rsidRPr="005F11EE">
              <w:rPr>
                <w:rFonts w:ascii="Arial Narrow" w:hAnsi="Arial Narrow" w:cs="Arial Narrow"/>
                <w:sz w:val="20"/>
                <w:szCs w:val="24"/>
              </w:rPr>
              <w:t>nedaňové príjmy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161 704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174 856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177 600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181 760</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8"/>
              </w:numPr>
              <w:jc w:val="both"/>
              <w:rPr>
                <w:rFonts w:ascii="Arial Narrow" w:hAnsi="Arial Narrow" w:cs="Arial Narrow"/>
                <w:sz w:val="20"/>
                <w:szCs w:val="24"/>
              </w:rPr>
            </w:pPr>
            <w:r w:rsidRPr="005F11EE">
              <w:rPr>
                <w:rFonts w:ascii="Arial Narrow" w:hAnsi="Arial Narrow" w:cs="Arial Narrow"/>
                <w:sz w:val="20"/>
                <w:szCs w:val="24"/>
              </w:rPr>
              <w:t>transfery v rámci sektora VS</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514 704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5</w:t>
            </w:r>
            <w:r>
              <w:rPr>
                <w:rFonts w:ascii="Arial Narrow" w:hAnsi="Arial Narrow" w:cs="Arial Narrow"/>
                <w:sz w:val="20"/>
                <w:szCs w:val="24"/>
              </w:rPr>
              <w:t>03 279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Pr>
                <w:rFonts w:ascii="Arial Narrow" w:hAnsi="Arial Narrow" w:cs="Arial Narrow"/>
                <w:sz w:val="20"/>
                <w:szCs w:val="24"/>
              </w:rPr>
              <w:t>507 093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Pr>
                <w:rFonts w:ascii="Arial Narrow" w:hAnsi="Arial Narrow" w:cs="Arial Narrow"/>
                <w:sz w:val="20"/>
                <w:szCs w:val="24"/>
              </w:rPr>
              <w:t>519 958</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8"/>
              </w:numPr>
              <w:jc w:val="both"/>
              <w:rPr>
                <w:rFonts w:ascii="Arial Narrow" w:hAnsi="Arial Narrow" w:cs="Arial Narrow"/>
                <w:sz w:val="20"/>
                <w:szCs w:val="24"/>
              </w:rPr>
            </w:pPr>
            <w:r>
              <w:rPr>
                <w:rFonts w:ascii="Arial Narrow" w:hAnsi="Arial Narrow" w:cs="Arial Narrow"/>
                <w:sz w:val="20"/>
                <w:szCs w:val="24"/>
              </w:rPr>
              <w:t>zo splátok úverov a pôžičiek</w:t>
            </w:r>
            <w:r w:rsidRPr="005F11EE">
              <w:rPr>
                <w:rFonts w:ascii="Arial Narrow" w:hAnsi="Arial Narrow" w:cs="Arial Narrow"/>
                <w:sz w:val="20"/>
                <w:szCs w:val="24"/>
              </w:rPr>
              <w:t xml:space="preserve"> (FO)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8"/>
              </w:numPr>
              <w:jc w:val="both"/>
              <w:rPr>
                <w:rFonts w:ascii="Arial Narrow" w:hAnsi="Arial Narrow" w:cs="Arial Narrow"/>
                <w:sz w:val="20"/>
                <w:szCs w:val="24"/>
              </w:rPr>
            </w:pPr>
            <w:r w:rsidRPr="005F11EE">
              <w:rPr>
                <w:rFonts w:ascii="Arial Narrow" w:hAnsi="Arial Narrow" w:cs="Arial Narrow"/>
                <w:sz w:val="20"/>
                <w:szCs w:val="24"/>
              </w:rPr>
              <w:t>zosta</w:t>
            </w:r>
            <w:r>
              <w:rPr>
                <w:rFonts w:ascii="Arial Narrow" w:hAnsi="Arial Narrow" w:cs="Arial Narrow"/>
                <w:sz w:val="20"/>
                <w:szCs w:val="24"/>
              </w:rPr>
              <w:t>tok prostriedkov</w:t>
            </w:r>
            <w:r w:rsidRPr="005F11EE">
              <w:rPr>
                <w:rFonts w:ascii="Arial Narrow" w:hAnsi="Arial Narrow" w:cs="Arial Narrow"/>
                <w:sz w:val="20"/>
                <w:szCs w:val="24"/>
              </w:rPr>
              <w:t xml:space="preserve"> z predch</w:t>
            </w:r>
            <w:r>
              <w:rPr>
                <w:rFonts w:ascii="Arial Narrow" w:hAnsi="Arial Narrow" w:cs="Arial Narrow"/>
                <w:sz w:val="20"/>
                <w:szCs w:val="24"/>
              </w:rPr>
              <w:t>ádzajúcich</w:t>
            </w:r>
            <w:r w:rsidRPr="005F11EE">
              <w:rPr>
                <w:rFonts w:ascii="Arial Narrow" w:hAnsi="Arial Narrow" w:cs="Arial Narrow"/>
                <w:sz w:val="20"/>
                <w:szCs w:val="24"/>
              </w:rPr>
              <w:t xml:space="preserve"> rokov a prevod prostr</w:t>
            </w:r>
            <w:r>
              <w:rPr>
                <w:rFonts w:ascii="Arial Narrow" w:hAnsi="Arial Narrow" w:cs="Arial Narrow"/>
                <w:sz w:val="20"/>
                <w:szCs w:val="24"/>
              </w:rPr>
              <w:t>iedkov</w:t>
            </w:r>
            <w:r w:rsidRPr="005F11EE">
              <w:rPr>
                <w:rFonts w:ascii="Arial Narrow" w:hAnsi="Arial Narrow" w:cs="Arial Narrow"/>
                <w:sz w:val="20"/>
                <w:szCs w:val="24"/>
              </w:rPr>
              <w:t xml:space="preserve"> z peňaž</w:t>
            </w:r>
            <w:r>
              <w:rPr>
                <w:rFonts w:ascii="Arial Narrow" w:hAnsi="Arial Narrow" w:cs="Arial Narrow"/>
                <w:sz w:val="20"/>
                <w:szCs w:val="24"/>
              </w:rPr>
              <w:t>ných</w:t>
            </w:r>
            <w:r w:rsidRPr="005F11EE">
              <w:rPr>
                <w:rFonts w:ascii="Arial Narrow" w:hAnsi="Arial Narrow" w:cs="Arial Narrow"/>
                <w:sz w:val="20"/>
                <w:szCs w:val="24"/>
              </w:rPr>
              <w:t xml:space="preserve"> fondov (FO)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1 361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1 573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2 821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2 324</w:t>
            </w:r>
          </w:p>
        </w:tc>
      </w:tr>
      <w:tr>
        <w:tblPrEx>
          <w:tblW w:w="9180" w:type="dxa"/>
          <w:tblInd w:w="108" w:type="dxa"/>
        </w:tblPrEx>
        <w:tc>
          <w:tcPr>
            <w:tcW w:w="918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Výdavky PO sektora VS  spolu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668 261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Pr>
                <w:rFonts w:ascii="Arial Narrow" w:hAnsi="Arial Narrow" w:cs="Arial Narrow"/>
                <w:b/>
                <w:i/>
                <w:sz w:val="20"/>
                <w:szCs w:val="24"/>
              </w:rPr>
              <w:t>671 455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Pr>
                <w:rFonts w:ascii="Arial Narrow" w:hAnsi="Arial Narrow" w:cs="Arial Narrow"/>
                <w:b/>
                <w:i/>
                <w:sz w:val="20"/>
                <w:szCs w:val="24"/>
              </w:rPr>
              <w:t>678 509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Pr>
                <w:rFonts w:ascii="Arial Narrow" w:hAnsi="Arial Narrow" w:cs="Arial Narrow"/>
                <w:b/>
                <w:i/>
                <w:sz w:val="20"/>
                <w:szCs w:val="24"/>
              </w:rPr>
              <w:t>696 388</w:t>
            </w:r>
          </w:p>
        </w:tc>
      </w:tr>
      <w:tr>
        <w:tblPrEx>
          <w:tblW w:w="9180" w:type="dxa"/>
          <w:tblInd w:w="108" w:type="dxa"/>
        </w:tblPrEx>
        <w:tc>
          <w:tcPr>
            <w:tcW w:w="8280" w:type="dxa"/>
            <w:gridSpan w:val="4"/>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10"/>
              </w:numPr>
              <w:jc w:val="both"/>
              <w:rPr>
                <w:rFonts w:ascii="Arial Narrow" w:hAnsi="Arial Narrow" w:cs="Arial Narrow"/>
                <w:sz w:val="20"/>
                <w:szCs w:val="24"/>
              </w:rPr>
            </w:pPr>
            <w:r w:rsidRPr="005F11EE">
              <w:rPr>
                <w:rFonts w:ascii="Arial Narrow" w:hAnsi="Arial Narrow" w:cs="Arial Narrow"/>
                <w:sz w:val="20"/>
                <w:szCs w:val="24"/>
              </w:rPr>
              <w:t>bežné výdavky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633 450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6</w:t>
            </w:r>
            <w:r>
              <w:rPr>
                <w:rFonts w:ascii="Arial Narrow" w:hAnsi="Arial Narrow" w:cs="Arial Narrow"/>
                <w:sz w:val="20"/>
                <w:szCs w:val="24"/>
              </w:rPr>
              <w:t>37 071</w:t>
            </w:r>
            <w:r w:rsidRPr="005F11EE">
              <w:rPr>
                <w:rFonts w:ascii="Arial Narrow" w:hAnsi="Arial Narrow" w:cs="Arial Narrow"/>
                <w:sz w:val="20"/>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6</w:t>
            </w:r>
            <w:r>
              <w:rPr>
                <w:rFonts w:ascii="Arial Narrow" w:hAnsi="Arial Narrow" w:cs="Arial Narrow"/>
                <w:sz w:val="20"/>
                <w:szCs w:val="24"/>
              </w:rPr>
              <w:t>50 965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Pr>
                <w:rFonts w:ascii="Arial Narrow" w:hAnsi="Arial Narrow" w:cs="Arial Narrow"/>
                <w:sz w:val="20"/>
                <w:szCs w:val="24"/>
              </w:rPr>
              <w:t>670 766</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10"/>
              </w:numPr>
              <w:jc w:val="both"/>
              <w:rPr>
                <w:rFonts w:ascii="Arial Narrow" w:hAnsi="Arial Narrow" w:cs="Arial Narrow"/>
                <w:sz w:val="20"/>
                <w:szCs w:val="24"/>
              </w:rPr>
            </w:pPr>
            <w:r w:rsidRPr="005F11EE">
              <w:rPr>
                <w:rFonts w:ascii="Arial Narrow" w:hAnsi="Arial Narrow" w:cs="Arial Narrow"/>
                <w:sz w:val="20"/>
                <w:szCs w:val="24"/>
              </w:rPr>
              <w:t xml:space="preserve">kapitálové výdavky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34 775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3</w:t>
            </w:r>
            <w:r>
              <w:rPr>
                <w:rFonts w:ascii="Arial Narrow" w:hAnsi="Arial Narrow" w:cs="Arial Narrow"/>
                <w:sz w:val="20"/>
                <w:szCs w:val="24"/>
              </w:rPr>
              <w:t>4 366</w:t>
            </w:r>
            <w:r w:rsidRPr="005F11EE">
              <w:rPr>
                <w:rFonts w:ascii="Arial Narrow" w:hAnsi="Arial Narrow" w:cs="Arial Narrow"/>
                <w:sz w:val="20"/>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Pr>
                <w:rFonts w:ascii="Arial Narrow" w:hAnsi="Arial Narrow" w:cs="Arial Narrow"/>
                <w:sz w:val="20"/>
                <w:szCs w:val="24"/>
              </w:rPr>
              <w:t>27 544</w:t>
            </w:r>
            <w:r w:rsidRPr="005F11EE">
              <w:rPr>
                <w:rFonts w:ascii="Arial Narrow" w:hAnsi="Arial Narrow" w:cs="Arial Narrow"/>
                <w:sz w:val="20"/>
                <w:szCs w:val="24"/>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2</w:t>
            </w:r>
            <w:r>
              <w:rPr>
                <w:rFonts w:ascii="Arial Narrow" w:hAnsi="Arial Narrow" w:cs="Arial Narrow"/>
                <w:sz w:val="20"/>
                <w:szCs w:val="24"/>
              </w:rPr>
              <w:t>5 622</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10"/>
              </w:numPr>
              <w:jc w:val="both"/>
              <w:rPr>
                <w:rFonts w:ascii="Arial Narrow" w:hAnsi="Arial Narrow" w:cs="Arial Narrow"/>
                <w:sz w:val="20"/>
                <w:szCs w:val="24"/>
              </w:rPr>
            </w:pPr>
            <w:r w:rsidRPr="005F11EE">
              <w:rPr>
                <w:rFonts w:ascii="Arial Narrow" w:hAnsi="Arial Narrow" w:cs="Arial Narrow"/>
                <w:sz w:val="20"/>
                <w:szCs w:val="24"/>
              </w:rPr>
              <w:t xml:space="preserve">poskytovanie úverov a pôžičiek a splácanie istín (FO)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36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r>
      <w:tr>
        <w:tblPrEx>
          <w:tblW w:w="9180" w:type="dxa"/>
          <w:tblInd w:w="108" w:type="dxa"/>
        </w:tblPrEx>
        <w:tc>
          <w:tcPr>
            <w:tcW w:w="918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Celkový prebytok PO sektora VS</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9 508</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8 253</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9 005</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7 654</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vylúčenie finančných operácií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ind w:left="65"/>
              <w:jc w:val="right"/>
              <w:rPr>
                <w:rFonts w:ascii="Arial Narrow" w:hAnsi="Arial Narrow" w:cs="Arial Narrow"/>
                <w:b/>
                <w:i/>
                <w:sz w:val="20"/>
                <w:szCs w:val="24"/>
              </w:rPr>
            </w:pPr>
            <w:r w:rsidRPr="005F11EE">
              <w:rPr>
                <w:rFonts w:ascii="Arial Narrow" w:hAnsi="Arial Narrow" w:cs="Arial Narrow"/>
                <w:b/>
                <w:i/>
                <w:sz w:val="20"/>
                <w:szCs w:val="24"/>
              </w:rPr>
              <w:t>-1 325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ind w:left="65"/>
              <w:jc w:val="right"/>
              <w:rPr>
                <w:rFonts w:ascii="Arial Narrow" w:hAnsi="Arial Narrow" w:cs="Arial Narrow"/>
                <w:b/>
                <w:i/>
                <w:sz w:val="20"/>
                <w:szCs w:val="24"/>
              </w:rPr>
            </w:pPr>
            <w:r w:rsidRPr="005F11EE">
              <w:rPr>
                <w:rFonts w:ascii="Arial Narrow" w:hAnsi="Arial Narrow" w:cs="Arial Narrow"/>
                <w:b/>
                <w:i/>
                <w:sz w:val="20"/>
                <w:szCs w:val="24"/>
              </w:rPr>
              <w:t>-1 555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-2 821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-2 324</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z toho: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b/>
                <w:i/>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11"/>
              </w:numPr>
              <w:jc w:val="both"/>
              <w:rPr>
                <w:rFonts w:ascii="Arial Narrow" w:hAnsi="Arial Narrow" w:cs="Arial Narrow"/>
                <w:b/>
                <w:sz w:val="20"/>
                <w:szCs w:val="24"/>
              </w:rPr>
            </w:pPr>
            <w:r w:rsidRPr="005F11EE">
              <w:rPr>
                <w:rFonts w:ascii="Arial Narrow" w:hAnsi="Arial Narrow" w:cs="Arial Narrow"/>
                <w:sz w:val="20"/>
                <w:szCs w:val="24"/>
              </w:rPr>
              <w:t>vylúčenie príjmových FO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-1 361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-1 573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- 2 821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-2 324</w:t>
            </w: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numPr>
                <w:numId w:val="11"/>
              </w:numPr>
              <w:jc w:val="both"/>
              <w:rPr>
                <w:rFonts w:ascii="Arial Narrow" w:hAnsi="Arial Narrow" w:cs="Arial Narrow"/>
                <w:sz w:val="20"/>
                <w:szCs w:val="24"/>
              </w:rPr>
            </w:pPr>
            <w:r w:rsidRPr="005F11EE">
              <w:rPr>
                <w:rFonts w:ascii="Arial Narrow" w:hAnsi="Arial Narrow" w:cs="Arial Narrow"/>
                <w:sz w:val="20"/>
                <w:szCs w:val="24"/>
              </w:rPr>
              <w:t>vylúčenie výdavkových FO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36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18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right"/>
              <w:rPr>
                <w:rFonts w:ascii="Arial Narrow" w:hAnsi="Arial Narrow" w:cs="Arial Narrow"/>
                <w:sz w:val="20"/>
                <w:szCs w:val="24"/>
              </w:rPr>
            </w:pPr>
            <w:r w:rsidRPr="005F11EE">
              <w:rPr>
                <w:rFonts w:ascii="Arial Narrow" w:hAnsi="Arial Narrow" w:cs="Arial Narrow"/>
                <w:sz w:val="20"/>
                <w:szCs w:val="24"/>
              </w:rPr>
              <w:t>0</w:t>
            </w:r>
          </w:p>
        </w:tc>
      </w:tr>
      <w:tr>
        <w:tblPrEx>
          <w:tblW w:w="9180" w:type="dxa"/>
          <w:tblInd w:w="108" w:type="dxa"/>
        </w:tblPrEx>
        <w:tc>
          <w:tcPr>
            <w:tcW w:w="9180" w:type="dxa"/>
            <w:gridSpan w:val="5"/>
            <w:tcBorders>
              <w:top w:val="single" w:sz="4" w:space="0" w:color="auto"/>
              <w:left w:val="single" w:sz="4" w:space="0" w:color="auto"/>
              <w:bottom w:val="single" w:sz="4" w:space="0" w:color="auto"/>
              <w:right w:val="single" w:sz="4" w:space="0" w:color="auto"/>
            </w:tcBorders>
            <w:textDirection w:val="lrTb"/>
            <w:vAlign w:val="top"/>
          </w:tcPr>
          <w:p w:rsidR="0084667A" w:rsidRPr="005F11EE" w:rsidP="002B1759">
            <w:pPr>
              <w:jc w:val="both"/>
              <w:rPr>
                <w:rFonts w:ascii="Arial Narrow" w:hAnsi="Arial Narrow" w:cs="Arial Narrow"/>
                <w:sz w:val="20"/>
                <w:szCs w:val="24"/>
              </w:rPr>
            </w:pPr>
          </w:p>
        </w:tc>
      </w:tr>
      <w:tr>
        <w:tblPrEx>
          <w:tblW w:w="9180" w:type="dxa"/>
          <w:tblInd w:w="108" w:type="dxa"/>
        </w:tblPrEx>
        <w:tc>
          <w:tcPr>
            <w:tcW w:w="55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both"/>
              <w:rPr>
                <w:rFonts w:ascii="Arial Narrow" w:hAnsi="Arial Narrow" w:cs="Arial Narrow"/>
                <w:b/>
                <w:i/>
                <w:sz w:val="20"/>
                <w:szCs w:val="24"/>
              </w:rPr>
            </w:pPr>
            <w:r w:rsidRPr="005F11EE">
              <w:rPr>
                <w:rFonts w:ascii="Arial Narrow" w:hAnsi="Arial Narrow" w:cs="Arial Narrow"/>
                <w:b/>
                <w:i/>
                <w:sz w:val="20"/>
                <w:szCs w:val="24"/>
              </w:rPr>
              <w:t>Prebytok  PO sektora VS (ESA 95)</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ind w:left="50"/>
              <w:jc w:val="right"/>
              <w:rPr>
                <w:rFonts w:ascii="Arial Narrow" w:hAnsi="Arial Narrow" w:cs="Arial Narrow"/>
                <w:b/>
                <w:i/>
                <w:sz w:val="20"/>
                <w:szCs w:val="24"/>
              </w:rPr>
            </w:pPr>
            <w:r w:rsidRPr="005F11EE">
              <w:rPr>
                <w:rFonts w:ascii="Arial Narrow" w:hAnsi="Arial Narrow" w:cs="Arial Narrow"/>
                <w:b/>
                <w:i/>
                <w:sz w:val="20"/>
                <w:szCs w:val="24"/>
              </w:rPr>
              <w:t>8 183</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ind w:left="50"/>
              <w:jc w:val="right"/>
              <w:rPr>
                <w:rFonts w:ascii="Arial Narrow" w:hAnsi="Arial Narrow" w:cs="Arial Narrow"/>
                <w:b/>
                <w:i/>
                <w:sz w:val="20"/>
                <w:szCs w:val="24"/>
              </w:rPr>
            </w:pPr>
            <w:r w:rsidRPr="005F11EE">
              <w:rPr>
                <w:rFonts w:ascii="Arial Narrow" w:hAnsi="Arial Narrow" w:cs="Arial Narrow"/>
                <w:b/>
                <w:i/>
                <w:sz w:val="20"/>
                <w:szCs w:val="24"/>
              </w:rPr>
              <w:t>6 698</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6 184</w:t>
            </w:r>
          </w:p>
        </w:tc>
        <w:tc>
          <w:tcPr>
            <w:tcW w:w="90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4667A" w:rsidRPr="005F11EE" w:rsidP="002B1759">
            <w:pPr>
              <w:jc w:val="right"/>
              <w:rPr>
                <w:rFonts w:ascii="Arial Narrow" w:hAnsi="Arial Narrow" w:cs="Arial Narrow"/>
                <w:b/>
                <w:i/>
                <w:sz w:val="20"/>
                <w:szCs w:val="24"/>
              </w:rPr>
            </w:pPr>
            <w:r w:rsidRPr="005F11EE">
              <w:rPr>
                <w:rFonts w:ascii="Arial Narrow" w:hAnsi="Arial Narrow" w:cs="Arial Narrow"/>
                <w:b/>
                <w:i/>
                <w:sz w:val="20"/>
                <w:szCs w:val="24"/>
              </w:rPr>
              <w:t>5 330</w:t>
            </w:r>
          </w:p>
        </w:tc>
      </w:tr>
    </w:tbl>
    <w:p w:rsidR="0084667A" w:rsidP="0084667A">
      <w:pPr>
        <w:ind w:firstLine="708"/>
        <w:jc w:val="both"/>
        <w:rPr>
          <w:rFonts w:ascii="Times New Roman" w:hAnsi="Times New Roman" w:cs="Times New Roman"/>
          <w:szCs w:val="24"/>
        </w:rPr>
      </w:pPr>
    </w:p>
    <w:p w:rsidR="0084667A" w:rsidRPr="006325DF" w:rsidP="0084667A">
      <w:pPr>
        <w:rPr>
          <w:rFonts w:ascii="Times New Roman" w:hAnsi="Times New Roman" w:cs="Times New Roman"/>
          <w:szCs w:val="24"/>
        </w:rPr>
      </w:pPr>
    </w:p>
    <w:p w:rsidR="0084667A" w:rsidRPr="00723F95" w:rsidP="0084667A">
      <w:pPr>
        <w:jc w:val="both"/>
        <w:rPr>
          <w:rFonts w:ascii="Arial Narrow" w:hAnsi="Arial Narrow" w:cs="Arial Narrow"/>
          <w:szCs w:val="24"/>
        </w:rPr>
      </w:pPr>
      <w:r w:rsidRPr="00723F95">
        <w:rPr>
          <w:rFonts w:ascii="Arial Narrow" w:hAnsi="Arial Narrow" w:cs="Arial Narrow"/>
          <w:b/>
          <w:szCs w:val="24"/>
        </w:rPr>
        <w:t>11.</w:t>
      </w:r>
      <w:r w:rsidRPr="00723F95">
        <w:rPr>
          <w:rFonts w:ascii="Arial Narrow" w:hAnsi="Arial Narrow" w:cs="Arial Narrow"/>
          <w:szCs w:val="24"/>
        </w:rPr>
        <w:t xml:space="preserve"> </w:t>
      </w:r>
      <w:r w:rsidRPr="00723F95">
        <w:rPr>
          <w:rFonts w:ascii="Arial Narrow" w:hAnsi="Arial Narrow" w:cs="Arial Narrow"/>
          <w:b/>
          <w:szCs w:val="24"/>
        </w:rPr>
        <w:t>Slovenská televízia</w:t>
      </w:r>
      <w:r w:rsidRPr="00723F95">
        <w:rPr>
          <w:rFonts w:ascii="Arial Narrow" w:hAnsi="Arial Narrow" w:cs="Arial Narrow"/>
          <w:szCs w:val="24"/>
        </w:rPr>
        <w:t xml:space="preserve"> </w:t>
      </w:r>
    </w:p>
    <w:p w:rsidR="0084667A" w:rsidP="0084667A">
      <w:pPr>
        <w:jc w:val="both"/>
        <w:rPr>
          <w:rFonts w:ascii="Arial Narrow" w:hAnsi="Arial Narrow" w:cs="Arial Narrow"/>
          <w:b/>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Vývoj príjmovej a výdavkovej časti rozpočtu Slovenskej televízie (ďalej len „STV“) na roky 20</w:t>
      </w:r>
      <w:r w:rsidR="005F12B1">
        <w:rPr>
          <w:rFonts w:ascii="Arial Narrow" w:hAnsi="Arial Narrow" w:cs="Arial Narrow"/>
          <w:sz w:val="22"/>
          <w:szCs w:val="24"/>
        </w:rPr>
        <w:t xml:space="preserve">10 až </w:t>
      </w:r>
      <w:r>
        <w:rPr>
          <w:rFonts w:ascii="Arial Narrow" w:hAnsi="Arial Narrow" w:cs="Arial Narrow"/>
          <w:sz w:val="22"/>
          <w:szCs w:val="24"/>
        </w:rPr>
        <w:t>2012 je v porovnaní so schváleným rozpočtom na rok 2009 nasledovný:</w:t>
      </w:r>
    </w:p>
    <w:p w:rsidR="0084667A"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p w:rsidR="00E61C92" w:rsidP="0084667A">
      <w:pPr>
        <w:ind w:firstLine="708"/>
        <w:jc w:val="both"/>
        <w:rPr>
          <w:rFonts w:ascii="Arial Narrow" w:hAnsi="Arial Narrow" w:cs="Arial Narrow"/>
          <w:sz w:val="22"/>
          <w:szCs w:val="24"/>
        </w:rPr>
      </w:pPr>
    </w:p>
    <w:tbl>
      <w:tblPr>
        <w:tblStyle w:val="TableNormal"/>
        <w:tblW w:w="5000" w:type="pct"/>
        <w:tblInd w:w="0" w:type="dxa"/>
        <w:tblCellMar>
          <w:left w:w="70" w:type="dxa"/>
          <w:right w:w="70" w:type="dxa"/>
        </w:tblCellMar>
        <w:tblLook w:val="00A0"/>
      </w:tblPr>
      <w:tblGrid>
        <w:gridCol w:w="5197"/>
        <w:gridCol w:w="1042"/>
        <w:gridCol w:w="1042"/>
        <w:gridCol w:w="1042"/>
        <w:gridCol w:w="1045"/>
      </w:tblGrid>
      <w:tr>
        <w:tblPrEx>
          <w:tblW w:w="5000" w:type="pct"/>
          <w:tblInd w:w="0" w:type="dxa"/>
          <w:tblCellMar>
            <w:left w:w="70" w:type="dxa"/>
            <w:right w:w="70" w:type="dxa"/>
          </w:tblCellMar>
          <w:tblLook w:val="00A0"/>
        </w:tblPrEx>
        <w:trPr>
          <w:trHeight w:val="255"/>
        </w:trPr>
        <w:tc>
          <w:tcPr>
            <w:tcW w:w="2774"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84667A" w:rsidRPr="00F430C6" w:rsidP="002B1759">
            <w:pPr>
              <w:jc w:val="both"/>
              <w:rPr>
                <w:rFonts w:ascii="Arial Narrow" w:hAnsi="Arial Narrow" w:cs="Arial Narrow"/>
                <w:b/>
                <w:color w:val="FFFFFF"/>
                <w:sz w:val="20"/>
                <w:szCs w:val="24"/>
              </w:rPr>
            </w:pPr>
            <w:r w:rsidRPr="00F430C6">
              <w:rPr>
                <w:rFonts w:ascii="Arial Narrow" w:hAnsi="Arial Narrow" w:cs="Arial Narrow"/>
                <w:b/>
                <w:color w:val="FFFFFF"/>
                <w:sz w:val="20"/>
                <w:szCs w:val="24"/>
              </w:rPr>
              <w:t>(v tis. eur)</w:t>
            </w:r>
          </w:p>
        </w:tc>
        <w:tc>
          <w:tcPr>
            <w:tcW w:w="556" w:type="pct"/>
            <w:tcBorders>
              <w:top w:val="single" w:sz="4" w:space="0" w:color="auto"/>
              <w:left w:val="nil"/>
              <w:bottom w:val="single" w:sz="4" w:space="0" w:color="auto"/>
              <w:right w:val="single" w:sz="4" w:space="0" w:color="auto"/>
            </w:tcBorders>
            <w:shd w:val="clear" w:color="000000" w:fill="000000"/>
            <w:textDirection w:val="lrTb"/>
            <w:vAlign w:val="center"/>
          </w:tcPr>
          <w:p w:rsidR="0084667A" w:rsidRPr="00F430C6" w:rsidP="002B1759">
            <w:pPr>
              <w:jc w:val="center"/>
              <w:rPr>
                <w:rFonts w:ascii="Arial Narrow" w:hAnsi="Arial Narrow" w:cs="Arial Narrow"/>
                <w:b/>
                <w:color w:val="FFFFFF"/>
                <w:sz w:val="20"/>
                <w:szCs w:val="24"/>
              </w:rPr>
            </w:pPr>
            <w:r w:rsidRPr="00F430C6">
              <w:rPr>
                <w:rFonts w:ascii="Arial Narrow" w:hAnsi="Arial Narrow" w:cs="Arial Narrow"/>
                <w:b/>
                <w:color w:val="FFFFFF"/>
                <w:sz w:val="20"/>
                <w:szCs w:val="24"/>
              </w:rPr>
              <w:t>2009</w:t>
            </w:r>
          </w:p>
        </w:tc>
        <w:tc>
          <w:tcPr>
            <w:tcW w:w="556" w:type="pct"/>
            <w:tcBorders>
              <w:top w:val="single" w:sz="4" w:space="0" w:color="auto"/>
              <w:left w:val="nil"/>
              <w:bottom w:val="single" w:sz="4" w:space="0" w:color="auto"/>
              <w:right w:val="single" w:sz="4" w:space="0" w:color="auto"/>
            </w:tcBorders>
            <w:shd w:val="clear" w:color="000000" w:fill="000000"/>
            <w:textDirection w:val="lrTb"/>
            <w:vAlign w:val="center"/>
          </w:tcPr>
          <w:p w:rsidR="0084667A" w:rsidRPr="00F430C6" w:rsidP="002B1759">
            <w:pPr>
              <w:jc w:val="center"/>
              <w:rPr>
                <w:rFonts w:ascii="Arial Narrow" w:hAnsi="Arial Narrow" w:cs="Arial Narrow"/>
                <w:b/>
                <w:color w:val="FFFFFF"/>
                <w:sz w:val="20"/>
                <w:szCs w:val="24"/>
              </w:rPr>
            </w:pPr>
            <w:r w:rsidRPr="00F430C6">
              <w:rPr>
                <w:rFonts w:ascii="Arial Narrow" w:hAnsi="Arial Narrow" w:cs="Arial Narrow"/>
                <w:b/>
                <w:color w:val="FFFFFF"/>
                <w:sz w:val="20"/>
                <w:szCs w:val="24"/>
              </w:rPr>
              <w:t>2010</w:t>
            </w:r>
          </w:p>
        </w:tc>
        <w:tc>
          <w:tcPr>
            <w:tcW w:w="556" w:type="pct"/>
            <w:tcBorders>
              <w:top w:val="single" w:sz="4" w:space="0" w:color="auto"/>
              <w:left w:val="nil"/>
              <w:bottom w:val="single" w:sz="4" w:space="0" w:color="auto"/>
              <w:right w:val="single" w:sz="4" w:space="0" w:color="auto"/>
            </w:tcBorders>
            <w:shd w:val="clear" w:color="000000" w:fill="000000"/>
            <w:textDirection w:val="lrTb"/>
            <w:vAlign w:val="center"/>
          </w:tcPr>
          <w:p w:rsidR="0084667A" w:rsidRPr="00F430C6" w:rsidP="002B1759">
            <w:pPr>
              <w:jc w:val="center"/>
              <w:rPr>
                <w:rFonts w:ascii="Arial Narrow" w:hAnsi="Arial Narrow" w:cs="Arial Narrow"/>
                <w:b/>
                <w:color w:val="FFFFFF"/>
                <w:sz w:val="20"/>
                <w:szCs w:val="24"/>
              </w:rPr>
            </w:pPr>
            <w:r w:rsidRPr="00F430C6">
              <w:rPr>
                <w:rFonts w:ascii="Arial Narrow" w:hAnsi="Arial Narrow" w:cs="Arial Narrow"/>
                <w:b/>
                <w:color w:val="FFFFFF"/>
                <w:sz w:val="20"/>
                <w:szCs w:val="24"/>
              </w:rPr>
              <w:t>2011</w:t>
            </w:r>
          </w:p>
        </w:tc>
        <w:tc>
          <w:tcPr>
            <w:tcW w:w="558" w:type="pct"/>
            <w:tcBorders>
              <w:top w:val="single" w:sz="4" w:space="0" w:color="auto"/>
              <w:left w:val="nil"/>
              <w:bottom w:val="single" w:sz="4" w:space="0" w:color="auto"/>
              <w:right w:val="single" w:sz="4" w:space="0" w:color="auto"/>
            </w:tcBorders>
            <w:shd w:val="clear" w:color="000000" w:fill="000000"/>
            <w:textDirection w:val="lrTb"/>
            <w:vAlign w:val="center"/>
          </w:tcPr>
          <w:p w:rsidR="0084667A" w:rsidRPr="00F430C6" w:rsidP="002B1759">
            <w:pPr>
              <w:jc w:val="center"/>
              <w:rPr>
                <w:rFonts w:ascii="Arial Narrow" w:hAnsi="Arial Narrow" w:cs="Arial Narrow"/>
                <w:b/>
                <w:color w:val="FFFFFF"/>
                <w:sz w:val="20"/>
                <w:szCs w:val="24"/>
              </w:rPr>
            </w:pPr>
            <w:r w:rsidRPr="00F430C6">
              <w:rPr>
                <w:rFonts w:ascii="Arial Narrow" w:hAnsi="Arial Narrow" w:cs="Arial Narrow"/>
                <w:b/>
                <w:color w:val="FFFFFF"/>
                <w:sz w:val="20"/>
                <w:szCs w:val="24"/>
              </w:rPr>
              <w:t>2012</w:t>
            </w:r>
          </w:p>
        </w:tc>
      </w:tr>
      <w:tr>
        <w:tblPrEx>
          <w:tblW w:w="5000" w:type="pct"/>
          <w:tblInd w:w="0" w:type="dxa"/>
          <w:tblCellMar>
            <w:left w:w="70" w:type="dxa"/>
            <w:right w:w="70" w:type="dxa"/>
          </w:tblCellMar>
          <w:tblLook w:val="00A0"/>
        </w:tblPrEx>
        <w:trPr>
          <w:trHeight w:val="255"/>
        </w:trPr>
        <w:tc>
          <w:tcPr>
            <w:tcW w:w="277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Príjmy STV spolu</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94 826</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64 830</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64 354</w:t>
            </w:r>
          </w:p>
        </w:tc>
        <w:tc>
          <w:tcPr>
            <w:tcW w:w="558"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64 398</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xml:space="preserve">▪   daňové príjmy </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67 227</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54 217</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54 759</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55 30</w:t>
            </w:r>
            <w:r>
              <w:rPr>
                <w:rFonts w:ascii="Arial Narrow" w:hAnsi="Arial Narrow" w:cs="Arial Narrow"/>
                <w:sz w:val="20"/>
                <w:szCs w:val="24"/>
              </w:rPr>
              <w:t>7</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nedaňové príjmy, z toho:</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26 753</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9 013</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7 995</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7 491</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xml:space="preserve">         príjmy z podnikania a z vlastníctva majetku</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249</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305</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315</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325</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bottom"/>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xml:space="preserve">         z reklamy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26 470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7 708</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6 681</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61 647</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xml:space="preserve">         úroky z tuzemských úverov, pôžičiek, vkladov...</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17</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99</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99</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99</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xml:space="preserve">         ostatné nedaňové príjmy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17</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transfer zo štátneho rozpočtu</w:t>
            </w:r>
          </w:p>
        </w:tc>
        <w:tc>
          <w:tcPr>
            <w:tcW w:w="556" w:type="pct"/>
            <w:tcBorders>
              <w:top w:val="nil"/>
              <w:left w:val="nil"/>
              <w:bottom w:val="single" w:sz="4" w:space="0" w:color="auto"/>
              <w:right w:val="single" w:sz="4" w:space="0" w:color="auto"/>
            </w:tcBorders>
            <w:shd w:val="clear" w:color="000000" w:fill="FFFFFF"/>
            <w:noWrap/>
            <w:textDirection w:val="lrTb"/>
            <w:vAlign w:val="bottom"/>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6" w:type="pct"/>
            <w:tcBorders>
              <w:top w:val="nil"/>
              <w:left w:val="nil"/>
              <w:bottom w:val="single" w:sz="4" w:space="0" w:color="auto"/>
              <w:right w:val="single" w:sz="4" w:space="0" w:color="auto"/>
            </w:tcBorders>
            <w:shd w:val="clear" w:color="000000" w:fill="FFFFFF"/>
            <w:noWrap/>
            <w:textDirection w:val="lrTb"/>
            <w:vAlign w:val="bottom"/>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6" w:type="pct"/>
            <w:tcBorders>
              <w:top w:val="nil"/>
              <w:left w:val="nil"/>
              <w:bottom w:val="single" w:sz="4" w:space="0" w:color="auto"/>
              <w:right w:val="single" w:sz="4" w:space="0" w:color="auto"/>
            </w:tcBorders>
            <w:shd w:val="clear" w:color="000000" w:fill="FFFFFF"/>
            <w:noWrap/>
            <w:textDirection w:val="lrTb"/>
            <w:vAlign w:val="bottom"/>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8" w:type="pct"/>
            <w:tcBorders>
              <w:top w:val="nil"/>
              <w:left w:val="nil"/>
              <w:bottom w:val="single" w:sz="4" w:space="0" w:color="auto"/>
              <w:right w:val="single" w:sz="4" w:space="0" w:color="auto"/>
            </w:tcBorders>
            <w:shd w:val="clear" w:color="000000" w:fill="FFFFFF"/>
            <w:noWrap/>
            <w:textDirection w:val="lrTb"/>
            <w:vAlign w:val="bottom"/>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8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zostatok z pred</w:t>
            </w:r>
            <w:r w:rsidR="00AE010C">
              <w:rPr>
                <w:rFonts w:ascii="Arial Narrow" w:hAnsi="Arial Narrow" w:cs="Arial Narrow"/>
                <w:sz w:val="20"/>
                <w:szCs w:val="24"/>
              </w:rPr>
              <w:t>chádzajúcich</w:t>
            </w:r>
            <w:r w:rsidRPr="00F430C6">
              <w:rPr>
                <w:rFonts w:ascii="Arial Narrow" w:hAnsi="Arial Narrow" w:cs="Arial Narrow"/>
                <w:sz w:val="20"/>
                <w:szCs w:val="24"/>
              </w:rPr>
              <w:t xml:space="preserve"> rokov (FO)</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846</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F430C6" w:rsidP="002B1759">
            <w:pPr>
              <w:jc w:val="center"/>
              <w:rPr>
                <w:rFonts w:ascii="Arial Narrow" w:hAnsi="Arial Narrow" w:cs="Arial Narrow"/>
                <w:sz w:val="20"/>
                <w:szCs w:val="24"/>
              </w:rPr>
            </w:pPr>
            <w:r w:rsidRPr="00F430C6">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 xml:space="preserve">Výdavky STV spolu </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94 826</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63 230</w:t>
            </w:r>
          </w:p>
        </w:tc>
        <w:tc>
          <w:tcPr>
            <w:tcW w:w="556"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62 754</w:t>
            </w:r>
          </w:p>
        </w:tc>
        <w:tc>
          <w:tcPr>
            <w:tcW w:w="558" w:type="pct"/>
            <w:tcBorders>
              <w:top w:val="single" w:sz="4" w:space="0" w:color="auto"/>
              <w:left w:val="nil"/>
              <w:bottom w:val="single" w:sz="4" w:space="0" w:color="auto"/>
              <w:right w:val="single" w:sz="4" w:space="0" w:color="auto"/>
            </w:tcBorders>
            <w:shd w:val="clear" w:color="000000" w:fill="auto"/>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62 798</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mzdy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12 660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13 96</w:t>
            </w:r>
            <w:r>
              <w:rPr>
                <w:rFonts w:ascii="Arial Narrow" w:hAnsi="Arial Narrow" w:cs="Arial Narrow"/>
                <w:sz w:val="20"/>
                <w:szCs w:val="24"/>
              </w:rPr>
              <w:t>2</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14 001</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14 194</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odvody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4 333</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4 966</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4 966</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5 049</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tovary a služby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65 771</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38 920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38 046</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37 455</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bežné transfery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2 104</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2 063</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2 090</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2 117</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kapitálové výdavky</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9 958</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3 319</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3 651</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3 983</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noWrap/>
            <w:textDirection w:val="lrTb"/>
            <w:vAlign w:val="center"/>
          </w:tcPr>
          <w:p w:rsidR="0084667A" w:rsidRPr="00F430C6" w:rsidP="002B1759">
            <w:pPr>
              <w:jc w:val="center"/>
              <w:rPr>
                <w:rFonts w:ascii="Arial Narrow" w:hAnsi="Arial Narrow" w:cs="Arial Narrow"/>
                <w:sz w:val="20"/>
                <w:szCs w:val="24"/>
              </w:rPr>
            </w:pPr>
            <w:r w:rsidRPr="00F430C6">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C0C0C0"/>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Celková bilancia STV</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0</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1 600</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1 600</w:t>
            </w:r>
          </w:p>
        </w:tc>
        <w:tc>
          <w:tcPr>
            <w:tcW w:w="558"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i/>
                <w:sz w:val="20"/>
                <w:szCs w:val="24"/>
              </w:rPr>
            </w:pPr>
            <w:r w:rsidRPr="00F430C6">
              <w:rPr>
                <w:rFonts w:ascii="Arial Narrow" w:hAnsi="Arial Narrow" w:cs="Arial Narrow"/>
                <w:b/>
                <w:i/>
                <w:sz w:val="20"/>
                <w:szCs w:val="24"/>
              </w:rPr>
              <w:t>1 600</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noWrap/>
            <w:textDirection w:val="lrTb"/>
            <w:vAlign w:val="center"/>
          </w:tcPr>
          <w:p w:rsidR="0084667A" w:rsidRPr="00F430C6" w:rsidP="002B1759">
            <w:pPr>
              <w:rPr>
                <w:rFonts w:ascii="Arial Narrow" w:hAnsi="Arial Narrow" w:cs="Arial Narrow"/>
                <w:b/>
                <w:sz w:val="20"/>
                <w:szCs w:val="24"/>
              </w:rPr>
            </w:pPr>
            <w:r w:rsidRPr="00F430C6">
              <w:rPr>
                <w:rFonts w:ascii="Arial Narrow" w:hAnsi="Arial Narrow" w:cs="Arial Narrow"/>
                <w:b/>
                <w:sz w:val="20"/>
                <w:szCs w:val="24"/>
              </w:rPr>
              <w:t>vylúčenie finančných operácií</w:t>
            </w:r>
          </w:p>
        </w:tc>
        <w:tc>
          <w:tcPr>
            <w:tcW w:w="556" w:type="pct"/>
            <w:tcBorders>
              <w:top w:val="nil"/>
              <w:left w:val="nil"/>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-846</w:t>
            </w:r>
          </w:p>
        </w:tc>
        <w:tc>
          <w:tcPr>
            <w:tcW w:w="556" w:type="pct"/>
            <w:tcBorders>
              <w:top w:val="nil"/>
              <w:left w:val="nil"/>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-1 600</w:t>
            </w:r>
          </w:p>
        </w:tc>
        <w:tc>
          <w:tcPr>
            <w:tcW w:w="556" w:type="pct"/>
            <w:tcBorders>
              <w:top w:val="nil"/>
              <w:left w:val="nil"/>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-1 600</w:t>
            </w:r>
          </w:p>
        </w:tc>
        <w:tc>
          <w:tcPr>
            <w:tcW w:w="558" w:type="pct"/>
            <w:tcBorders>
              <w:top w:val="nil"/>
              <w:left w:val="nil"/>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-1 600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noWrap/>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vylúčenie príjmových finančných operácií</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-846</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-1 600</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noWrap/>
            <w:textDirection w:val="lrTb"/>
            <w:vAlign w:val="center"/>
          </w:tcPr>
          <w:p w:rsidR="0084667A" w:rsidRPr="00F430C6" w:rsidP="002B1759">
            <w:pPr>
              <w:rPr>
                <w:rFonts w:ascii="Arial Narrow" w:hAnsi="Arial Narrow" w:cs="Arial Narrow"/>
                <w:sz w:val="20"/>
                <w:szCs w:val="24"/>
              </w:rPr>
            </w:pPr>
            <w:r w:rsidRPr="00F430C6">
              <w:rPr>
                <w:rFonts w:ascii="Arial Narrow" w:hAnsi="Arial Narrow" w:cs="Arial Narrow"/>
                <w:sz w:val="20"/>
                <w:szCs w:val="24"/>
              </w:rPr>
              <w:t>▪   vylúčenie výdavkových finančných operácií</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6"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c>
          <w:tcPr>
            <w:tcW w:w="558" w:type="pct"/>
            <w:tcBorders>
              <w:top w:val="nil"/>
              <w:left w:val="nil"/>
              <w:bottom w:val="single" w:sz="4" w:space="0" w:color="auto"/>
              <w:right w:val="single" w:sz="4" w:space="0" w:color="auto"/>
            </w:tcBorders>
            <w:noWrap/>
            <w:textDirection w:val="lrTb"/>
            <w:vAlign w:val="center"/>
          </w:tcPr>
          <w:p w:rsidR="0084667A" w:rsidRPr="00F430C6" w:rsidP="002B1759">
            <w:pPr>
              <w:jc w:val="right"/>
              <w:rPr>
                <w:rFonts w:ascii="Arial Narrow" w:hAnsi="Arial Narrow" w:cs="Arial Narrow"/>
                <w:sz w:val="20"/>
                <w:szCs w:val="24"/>
              </w:rPr>
            </w:pPr>
            <w:r w:rsidRPr="00F430C6">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F430C6" w:rsidP="002B1759">
            <w:pPr>
              <w:jc w:val="center"/>
              <w:rPr>
                <w:rFonts w:ascii="Arial Narrow" w:hAnsi="Arial Narrow" w:cs="Arial Narrow"/>
                <w:sz w:val="20"/>
                <w:szCs w:val="24"/>
              </w:rPr>
            </w:pPr>
            <w:r w:rsidRPr="00F430C6">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4" w:type="pct"/>
            <w:tcBorders>
              <w:top w:val="nil"/>
              <w:left w:val="single" w:sz="4" w:space="0" w:color="auto"/>
              <w:bottom w:val="single" w:sz="4" w:space="0" w:color="auto"/>
              <w:right w:val="single" w:sz="4" w:space="0" w:color="auto"/>
            </w:tcBorders>
            <w:shd w:val="clear" w:color="000000" w:fill="C0C0C0"/>
            <w:noWrap/>
            <w:textDirection w:val="lrTb"/>
            <w:vAlign w:val="center"/>
          </w:tcPr>
          <w:p w:rsidR="0084667A" w:rsidRPr="00F430C6" w:rsidP="002B1759">
            <w:pPr>
              <w:rPr>
                <w:rFonts w:ascii="Arial Narrow" w:hAnsi="Arial Narrow" w:cs="Arial Narrow"/>
                <w:b/>
                <w:i/>
                <w:sz w:val="20"/>
                <w:szCs w:val="24"/>
              </w:rPr>
            </w:pPr>
            <w:r w:rsidRPr="00F430C6">
              <w:rPr>
                <w:rFonts w:ascii="Arial Narrow" w:hAnsi="Arial Narrow" w:cs="Arial Narrow"/>
                <w:b/>
                <w:i/>
                <w:sz w:val="20"/>
                <w:szCs w:val="24"/>
              </w:rPr>
              <w:t>Prebytok</w:t>
            </w:r>
            <w:r w:rsidR="00162110">
              <w:rPr>
                <w:rFonts w:ascii="Arial Narrow" w:hAnsi="Arial Narrow" w:cs="Arial Narrow"/>
                <w:b/>
                <w:i/>
                <w:sz w:val="20"/>
                <w:szCs w:val="24"/>
              </w:rPr>
              <w:t xml:space="preserve"> </w:t>
            </w:r>
            <w:r w:rsidR="002C6FCA">
              <w:rPr>
                <w:rFonts w:ascii="Arial Narrow" w:hAnsi="Arial Narrow" w:cs="Arial Narrow"/>
                <w:b/>
                <w:i/>
                <w:sz w:val="20"/>
                <w:szCs w:val="24"/>
              </w:rPr>
              <w:t xml:space="preserve"> </w:t>
            </w:r>
            <w:r w:rsidRPr="00F430C6">
              <w:rPr>
                <w:rFonts w:ascii="Arial Narrow" w:hAnsi="Arial Narrow" w:cs="Arial Narrow"/>
                <w:b/>
                <w:i/>
                <w:sz w:val="20"/>
                <w:szCs w:val="24"/>
              </w:rPr>
              <w:t>/ schodok STV (ESA 95)</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sz w:val="20"/>
                <w:szCs w:val="24"/>
              </w:rPr>
            </w:pPr>
            <w:r w:rsidRPr="00F430C6">
              <w:rPr>
                <w:rFonts w:ascii="Arial Narrow" w:hAnsi="Arial Narrow" w:cs="Arial Narrow"/>
                <w:b/>
                <w:sz w:val="20"/>
                <w:szCs w:val="24"/>
              </w:rPr>
              <w:t>-846</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sz w:val="20"/>
                <w:szCs w:val="24"/>
              </w:rPr>
            </w:pPr>
            <w:r w:rsidRPr="00F430C6">
              <w:rPr>
                <w:rFonts w:ascii="Arial Narrow" w:hAnsi="Arial Narrow" w:cs="Arial Narrow"/>
                <w:b/>
                <w:sz w:val="20"/>
                <w:szCs w:val="24"/>
              </w:rPr>
              <w:t>0</w:t>
            </w:r>
          </w:p>
        </w:tc>
        <w:tc>
          <w:tcPr>
            <w:tcW w:w="556"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sz w:val="20"/>
                <w:szCs w:val="24"/>
              </w:rPr>
            </w:pPr>
            <w:r w:rsidRPr="00F430C6">
              <w:rPr>
                <w:rFonts w:ascii="Arial Narrow" w:hAnsi="Arial Narrow" w:cs="Arial Narrow"/>
                <w:b/>
                <w:sz w:val="20"/>
                <w:szCs w:val="24"/>
              </w:rPr>
              <w:t>0</w:t>
            </w:r>
          </w:p>
        </w:tc>
        <w:tc>
          <w:tcPr>
            <w:tcW w:w="557" w:type="pct"/>
            <w:tcBorders>
              <w:top w:val="nil"/>
              <w:left w:val="nil"/>
              <w:bottom w:val="single" w:sz="4" w:space="0" w:color="auto"/>
              <w:right w:val="single" w:sz="4" w:space="0" w:color="auto"/>
            </w:tcBorders>
            <w:shd w:val="clear" w:color="000000" w:fill="C0C0C0"/>
            <w:noWrap/>
            <w:textDirection w:val="lrTb"/>
            <w:vAlign w:val="center"/>
          </w:tcPr>
          <w:p w:rsidR="0084667A" w:rsidRPr="00F430C6" w:rsidP="002B1759">
            <w:pPr>
              <w:jc w:val="right"/>
              <w:rPr>
                <w:rFonts w:ascii="Arial Narrow" w:hAnsi="Arial Narrow" w:cs="Arial Narrow"/>
                <w:b/>
                <w:sz w:val="20"/>
                <w:szCs w:val="24"/>
              </w:rPr>
            </w:pPr>
            <w:r w:rsidRPr="00F430C6">
              <w:rPr>
                <w:rFonts w:ascii="Arial Narrow" w:hAnsi="Arial Narrow" w:cs="Arial Narrow"/>
                <w:b/>
                <w:sz w:val="20"/>
                <w:szCs w:val="24"/>
              </w:rPr>
              <w:t>0</w:t>
            </w:r>
          </w:p>
        </w:tc>
      </w:tr>
    </w:tbl>
    <w:p w:rsidR="0084667A" w:rsidP="0084667A">
      <w:pPr>
        <w:ind w:firstLine="708"/>
        <w:jc w:val="both"/>
        <w:rPr>
          <w:rFonts w:ascii="Arial Narrow" w:hAnsi="Arial Narrow" w:cs="Arial Narrow"/>
          <w:sz w:val="22"/>
          <w:szCs w:val="24"/>
        </w:rPr>
      </w:pPr>
    </w:p>
    <w:p w:rsidR="0084667A"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Príjmová časť rozpočtu je tvorená daňovými príjmami, a to úhradami za služby verejnosti poskytované  STV danými zákonom č. 68/2008 Z. z</w:t>
      </w:r>
      <w:r w:rsidRPr="00C52C24">
        <w:rPr>
          <w:rFonts w:ascii="Arial Narrow" w:hAnsi="Arial Narrow" w:cs="Arial Narrow"/>
          <w:sz w:val="22"/>
          <w:szCs w:val="24"/>
        </w:rPr>
        <w:t>. o úhrade za služby verejnosti poskytované Slovenskou televíziou a</w:t>
      </w:r>
      <w:r>
        <w:rPr>
          <w:rFonts w:ascii="Arial Narrow" w:hAnsi="Arial Narrow" w:cs="Arial Narrow"/>
          <w:sz w:val="22"/>
          <w:szCs w:val="24"/>
        </w:rPr>
        <w:t xml:space="preserve"> </w:t>
      </w:r>
      <w:r w:rsidRPr="00C52C24">
        <w:rPr>
          <w:rFonts w:ascii="Arial Narrow" w:hAnsi="Arial Narrow" w:cs="Arial Narrow"/>
          <w:sz w:val="22"/>
          <w:szCs w:val="24"/>
        </w:rPr>
        <w:t>Slovenským rozhlasom a o zmene a doplnení niektorých zákonov</w:t>
      </w:r>
      <w:r>
        <w:rPr>
          <w:rFonts w:ascii="Arial Narrow" w:hAnsi="Arial Narrow" w:cs="Arial Narrow"/>
          <w:sz w:val="22"/>
          <w:szCs w:val="24"/>
        </w:rPr>
        <w:t>, ktorých výška  tvorí 83,6 % z celkových príjmov v roku 2010. Ďalej sú to nedaňové príjmy najmä príjmy z reklamy, ktoré tvoria 11,9 % z celkových príjmov. Medziročný pokles príjmov do roku 2010 je o 31,6 %, spôsobený najmä poklesom príjmov z reklamy ako aj predpokladaným poklesom výberu z úhrad</w:t>
      </w:r>
      <w:r w:rsidRPr="00C52C24">
        <w:rPr>
          <w:rFonts w:ascii="Arial Narrow" w:hAnsi="Arial Narrow" w:cs="Arial Narrow"/>
          <w:sz w:val="22"/>
          <w:szCs w:val="24"/>
        </w:rPr>
        <w:t xml:space="preserve"> za služby verejnosti</w:t>
      </w:r>
      <w:r>
        <w:rPr>
          <w:rFonts w:ascii="Arial Narrow" w:hAnsi="Arial Narrow" w:cs="Arial Narrow"/>
          <w:sz w:val="22"/>
          <w:szCs w:val="24"/>
        </w:rPr>
        <w:t>.</w:t>
      </w:r>
    </w:p>
    <w:p w:rsidR="0084667A" w:rsidP="0084667A">
      <w:pPr>
        <w:autoSpaceDE w:val="0"/>
        <w:autoSpaceDN w:val="0"/>
        <w:adjustRightInd w:val="0"/>
        <w:jc w:val="both"/>
        <w:rPr>
          <w:rFonts w:ascii="Arial Narrow" w:hAnsi="Arial Narrow" w:cs="Arial Narrow"/>
          <w:sz w:val="22"/>
          <w:szCs w:val="24"/>
        </w:rPr>
      </w:pPr>
    </w:p>
    <w:p w:rsidR="0084667A" w:rsidRPr="0043154E"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Výdavková časť rozpočtu medziročne klesá o 33,3 %, čo je dôsledkom</w:t>
      </w:r>
      <w:r w:rsidRPr="0043154E">
        <w:rPr>
          <w:rFonts w:ascii="Arial Narrow" w:hAnsi="Arial Narrow" w:cs="Arial Narrow"/>
          <w:sz w:val="22"/>
          <w:szCs w:val="24"/>
        </w:rPr>
        <w:t xml:space="preserve"> </w:t>
      </w:r>
      <w:r>
        <w:rPr>
          <w:rFonts w:ascii="Arial Narrow" w:hAnsi="Arial Narrow" w:cs="Arial Narrow"/>
          <w:sz w:val="22"/>
          <w:szCs w:val="24"/>
        </w:rPr>
        <w:t xml:space="preserve">znižovania príjmov. Plnenie </w:t>
      </w:r>
      <w:r w:rsidRPr="00541FEE">
        <w:rPr>
          <w:rFonts w:ascii="Arial Narrow" w:hAnsi="Arial Narrow" w:cs="Arial Narrow"/>
          <w:sz w:val="22"/>
          <w:szCs w:val="24"/>
        </w:rPr>
        <w:t>príjmov v roku 2009, poukazuje na nadhodnotenosť schváleného rozpočtu príjmov v roku 2009 (na základe údajov z doložky vplyvov k zákonu č. 68/2008 Z.z.), čo je zohľadnené v príjmoch na roky 2010 až 2012. Uvedené</w:t>
      </w:r>
      <w:r>
        <w:rPr>
          <w:rFonts w:ascii="Arial Narrow" w:hAnsi="Arial Narrow" w:cs="Arial Narrow"/>
          <w:sz w:val="22"/>
          <w:szCs w:val="24"/>
        </w:rPr>
        <w:t xml:space="preserve"> vyvoláva nutnosť výrazného šetrenia na strane výdavkov.  </w:t>
      </w:r>
    </w:p>
    <w:p w:rsidR="0084667A" w:rsidRPr="00723F95" w:rsidP="0084667A">
      <w:pPr>
        <w:jc w:val="both"/>
        <w:rPr>
          <w:rFonts w:ascii="Arial Narrow" w:hAnsi="Arial Narrow" w:cs="Arial Narrow"/>
          <w:szCs w:val="24"/>
        </w:rPr>
      </w:pPr>
      <w:r w:rsidRPr="00723F95">
        <w:rPr>
          <w:rFonts w:ascii="Arial Narrow" w:hAnsi="Arial Narrow" w:cs="Arial Narrow"/>
          <w:szCs w:val="24"/>
        </w:rPr>
        <w:t xml:space="preserve">     </w:t>
      </w:r>
    </w:p>
    <w:p w:rsidR="0084667A" w:rsidRPr="00723F95" w:rsidP="0084667A">
      <w:pPr>
        <w:jc w:val="both"/>
        <w:rPr>
          <w:rFonts w:ascii="Arial Narrow" w:hAnsi="Arial Narrow" w:cs="Arial Narrow"/>
          <w:szCs w:val="24"/>
        </w:rPr>
      </w:pPr>
    </w:p>
    <w:p w:rsidR="0084667A" w:rsidRPr="00723F95" w:rsidP="0084667A">
      <w:pPr>
        <w:jc w:val="both"/>
        <w:rPr>
          <w:rFonts w:ascii="Arial Narrow" w:hAnsi="Arial Narrow" w:cs="Arial Narrow"/>
          <w:szCs w:val="24"/>
        </w:rPr>
      </w:pPr>
      <w:r w:rsidRPr="00723F95">
        <w:rPr>
          <w:rFonts w:ascii="Arial Narrow" w:hAnsi="Arial Narrow" w:cs="Arial Narrow"/>
          <w:b/>
          <w:szCs w:val="24"/>
        </w:rPr>
        <w:t>12.</w:t>
      </w:r>
      <w:r w:rsidRPr="00723F95">
        <w:rPr>
          <w:rFonts w:ascii="Arial Narrow" w:hAnsi="Arial Narrow" w:cs="Arial Narrow"/>
          <w:szCs w:val="24"/>
        </w:rPr>
        <w:t xml:space="preserve"> </w:t>
      </w:r>
      <w:r w:rsidRPr="00723F95">
        <w:rPr>
          <w:rFonts w:ascii="Arial Narrow" w:hAnsi="Arial Narrow" w:cs="Arial Narrow"/>
          <w:b/>
          <w:szCs w:val="24"/>
        </w:rPr>
        <w:t>Slovenský rozhlas</w:t>
      </w:r>
    </w:p>
    <w:p w:rsidR="0084667A" w:rsidP="0084667A">
      <w:pPr>
        <w:jc w:val="both"/>
        <w:rPr>
          <w:rFonts w:ascii="Arial Narrow" w:hAnsi="Arial Narrow" w:cs="Arial Narrow"/>
          <w:b/>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Vývoj príjmovej a výdavkovej časti rozpočtu Slovenského rozhlasu (ďalej len „SRo“) na roky 2010 - 2012 je v porovnaní so schváleným rozpočtom na rok 2009 nasledovný:</w:t>
      </w: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p w:rsidR="00E61C92" w:rsidP="0084667A">
      <w:pPr>
        <w:jc w:val="both"/>
        <w:rPr>
          <w:rFonts w:ascii="Arial Narrow" w:hAnsi="Arial Narrow" w:cs="Arial Narrow"/>
          <w:sz w:val="22"/>
          <w:szCs w:val="24"/>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202"/>
        <w:gridCol w:w="1042"/>
        <w:gridCol w:w="1044"/>
        <w:gridCol w:w="1042"/>
        <w:gridCol w:w="103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300"/>
        </w:trPr>
        <w:tc>
          <w:tcPr>
            <w:tcW w:w="2777"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84667A" w:rsidRPr="00ED7ACF" w:rsidP="002B1759">
            <w:pPr>
              <w:jc w:val="both"/>
              <w:rPr>
                <w:rFonts w:ascii="Arial Narrow" w:hAnsi="Arial Narrow" w:cs="Arial Narrow"/>
                <w:b/>
                <w:color w:val="FFFFFF"/>
                <w:sz w:val="20"/>
                <w:szCs w:val="24"/>
              </w:rPr>
            </w:pPr>
            <w:r>
              <w:rPr>
                <w:rFonts w:ascii="Arial Narrow" w:hAnsi="Arial Narrow" w:cs="Arial Narrow"/>
                <w:b/>
                <w:color w:val="FFFFFF"/>
                <w:sz w:val="20"/>
                <w:szCs w:val="24"/>
              </w:rPr>
              <w:t>(v tis. eur</w:t>
            </w:r>
            <w:r w:rsidRPr="00ED7ACF">
              <w:rPr>
                <w:rFonts w:ascii="Arial Narrow" w:hAnsi="Arial Narrow" w:cs="Arial Narrow"/>
                <w:b/>
                <w:color w:val="FFFFFF"/>
                <w:sz w:val="20"/>
                <w:szCs w:val="24"/>
              </w:rPr>
              <w:t>)</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ED7ACF" w:rsidP="002B1759">
            <w:pPr>
              <w:jc w:val="center"/>
              <w:rPr>
                <w:rFonts w:ascii="Arial Narrow" w:hAnsi="Arial Narrow" w:cs="Arial Narrow"/>
                <w:b/>
                <w:color w:val="FFFFFF"/>
                <w:sz w:val="20"/>
                <w:szCs w:val="24"/>
              </w:rPr>
            </w:pPr>
            <w:r w:rsidRPr="00ED7ACF">
              <w:rPr>
                <w:rFonts w:ascii="Arial Narrow" w:hAnsi="Arial Narrow" w:cs="Arial Narrow"/>
                <w:b/>
                <w:color w:val="FFFFFF"/>
                <w:sz w:val="20"/>
                <w:szCs w:val="24"/>
              </w:rPr>
              <w:t>2009</w:t>
            </w:r>
          </w:p>
        </w:tc>
        <w:tc>
          <w:tcPr>
            <w:tcW w:w="557"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ED7ACF" w:rsidP="002B1759">
            <w:pPr>
              <w:jc w:val="center"/>
              <w:rPr>
                <w:rFonts w:ascii="Arial Narrow" w:hAnsi="Arial Narrow" w:cs="Arial Narrow"/>
                <w:b/>
                <w:color w:val="FFFFFF"/>
                <w:sz w:val="20"/>
                <w:szCs w:val="24"/>
              </w:rPr>
            </w:pPr>
            <w:r w:rsidRPr="00ED7ACF">
              <w:rPr>
                <w:rFonts w:ascii="Arial Narrow" w:hAnsi="Arial Narrow" w:cs="Arial Narrow"/>
                <w:b/>
                <w:color w:val="FFFFFF"/>
                <w:sz w:val="20"/>
                <w:szCs w:val="24"/>
              </w:rPr>
              <w:t>2010</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ED7ACF" w:rsidP="002B1759">
            <w:pPr>
              <w:jc w:val="center"/>
              <w:rPr>
                <w:rFonts w:ascii="Arial Narrow" w:hAnsi="Arial Narrow" w:cs="Arial Narrow"/>
                <w:b/>
                <w:color w:val="FFFFFF"/>
                <w:sz w:val="20"/>
                <w:szCs w:val="24"/>
              </w:rPr>
            </w:pPr>
            <w:r w:rsidRPr="00ED7ACF">
              <w:rPr>
                <w:rFonts w:ascii="Arial Narrow" w:hAnsi="Arial Narrow" w:cs="Arial Narrow"/>
                <w:b/>
                <w:color w:val="FFFFFF"/>
                <w:sz w:val="20"/>
                <w:szCs w:val="24"/>
              </w:rPr>
              <w:t>2011</w:t>
            </w:r>
          </w:p>
        </w:tc>
        <w:tc>
          <w:tcPr>
            <w:tcW w:w="554"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ED7ACF" w:rsidP="002B1759">
            <w:pPr>
              <w:jc w:val="center"/>
              <w:rPr>
                <w:rFonts w:ascii="Arial Narrow" w:hAnsi="Arial Narrow" w:cs="Arial Narrow"/>
                <w:b/>
                <w:color w:val="FFFFFF"/>
                <w:sz w:val="20"/>
                <w:szCs w:val="24"/>
              </w:rPr>
            </w:pPr>
            <w:r w:rsidRPr="00ED7ACF">
              <w:rPr>
                <w:rFonts w:ascii="Arial Narrow" w:hAnsi="Arial Narrow" w:cs="Arial Narrow"/>
                <w:b/>
                <w:color w:val="FFFFFF"/>
                <w:sz w:val="20"/>
                <w:szCs w:val="24"/>
              </w:rPr>
              <w:t>2012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Príjmy SRo spolu</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28 580</w:t>
            </w:r>
          </w:p>
        </w:tc>
        <w:tc>
          <w:tcPr>
            <w:tcW w:w="55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27 226</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27 199</w:t>
            </w:r>
          </w:p>
        </w:tc>
        <w:tc>
          <w:tcPr>
            <w:tcW w:w="55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27 434</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xml:space="preserve">▪   daňové príjmy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23 667</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23 236</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23 468</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23 703</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nedaňové príjmy, z toho:</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2 921</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3 180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Pr>
                <w:rFonts w:ascii="Arial Narrow" w:hAnsi="Arial Narrow" w:cs="Arial Narrow"/>
                <w:sz w:val="20"/>
                <w:szCs w:val="24"/>
              </w:rPr>
              <w:t>2 921</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2 921</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xml:space="preserve">         príjmy z podnikania a z vlastníctva majetku</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295</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355</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295</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295</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xml:space="preserve">         z reklamy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2 622</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2 821</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2 622</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2 622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xml:space="preserve">         úroky z tuzemských úverov, pôžičiek, vkladov...</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transfer zo štátneho rozpočtu</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1 992</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8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zostatok z</w:t>
            </w:r>
            <w:r w:rsidR="00AE010C">
              <w:rPr>
                <w:rFonts w:ascii="Arial Narrow" w:hAnsi="Arial Narrow" w:cs="Arial Narrow"/>
                <w:sz w:val="20"/>
                <w:szCs w:val="24"/>
              </w:rPr>
              <w:t> </w:t>
            </w:r>
            <w:r w:rsidRPr="00ED7ACF">
              <w:rPr>
                <w:rFonts w:ascii="Arial Narrow" w:hAnsi="Arial Narrow" w:cs="Arial Narrow"/>
                <w:sz w:val="20"/>
                <w:szCs w:val="24"/>
              </w:rPr>
              <w:t>pred</w:t>
            </w:r>
            <w:r w:rsidR="00AE010C">
              <w:rPr>
                <w:rFonts w:ascii="Arial Narrow" w:hAnsi="Arial Narrow" w:cs="Arial Narrow"/>
                <w:sz w:val="20"/>
                <w:szCs w:val="24"/>
              </w:rPr>
              <w:t>chádzajúcich</w:t>
            </w:r>
            <w:r w:rsidRPr="00ED7ACF">
              <w:rPr>
                <w:rFonts w:ascii="Arial Narrow" w:hAnsi="Arial Narrow" w:cs="Arial Narrow"/>
                <w:sz w:val="20"/>
                <w:szCs w:val="24"/>
              </w:rPr>
              <w:t xml:space="preserve"> rokov (FO)</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 </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r>
      <w:tr>
        <w:tblPrEx>
          <w:tblW w:w="5000" w:type="pct"/>
          <w:tblInd w:w="0" w:type="dxa"/>
          <w:tblCellMar>
            <w:left w:w="70" w:type="dxa"/>
            <w:right w:w="70" w:type="dxa"/>
          </w:tblCellMar>
          <w:tblLook w:val="00A0"/>
        </w:tblPrEx>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Výdavky SRo spolu</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28 394</w:t>
            </w:r>
          </w:p>
        </w:tc>
        <w:tc>
          <w:tcPr>
            <w:tcW w:w="55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26 416</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26 389</w:t>
            </w:r>
          </w:p>
        </w:tc>
        <w:tc>
          <w:tcPr>
            <w:tcW w:w="55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26 624</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mzdy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7 105</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7 189</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7 785</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8 441</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odvody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2 547</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2 587</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2 799</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3 033</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tovary a služby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13 903</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11 818</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10 80</w:t>
            </w:r>
            <w:r>
              <w:rPr>
                <w:rFonts w:ascii="Arial Narrow" w:hAnsi="Arial Narrow" w:cs="Arial Narrow"/>
                <w:sz w:val="20"/>
                <w:szCs w:val="24"/>
              </w:rPr>
              <w:t>8</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10 108</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bežné transfery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3 129</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3 030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3 072</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3 150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kapitálové výdavky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1 709</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1 792</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1 925</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1 892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výdavky z transakcií s</w:t>
            </w:r>
            <w:r>
              <w:rPr>
                <w:rFonts w:ascii="Arial Narrow" w:hAnsi="Arial Narrow" w:cs="Arial Narrow"/>
                <w:sz w:val="20"/>
                <w:szCs w:val="24"/>
              </w:rPr>
              <w:t> </w:t>
            </w:r>
            <w:r w:rsidRPr="00ED7ACF">
              <w:rPr>
                <w:rFonts w:ascii="Arial Narrow" w:hAnsi="Arial Narrow" w:cs="Arial Narrow"/>
                <w:sz w:val="20"/>
                <w:szCs w:val="24"/>
              </w:rPr>
              <w:t>fin</w:t>
            </w:r>
            <w:r>
              <w:rPr>
                <w:rFonts w:ascii="Arial Narrow" w:hAnsi="Arial Narrow" w:cs="Arial Narrow"/>
                <w:sz w:val="20"/>
                <w:szCs w:val="24"/>
              </w:rPr>
              <w:t>ančn.</w:t>
            </w:r>
            <w:r w:rsidRPr="00ED7ACF">
              <w:rPr>
                <w:rFonts w:ascii="Arial Narrow" w:hAnsi="Arial Narrow" w:cs="Arial Narrow"/>
                <w:sz w:val="20"/>
                <w:szCs w:val="24"/>
              </w:rPr>
              <w:t xml:space="preserve"> akt</w:t>
            </w:r>
            <w:r>
              <w:rPr>
                <w:rFonts w:ascii="Arial Narrow" w:hAnsi="Arial Narrow" w:cs="Arial Narrow"/>
                <w:sz w:val="20"/>
                <w:szCs w:val="24"/>
              </w:rPr>
              <w:t>ívami</w:t>
            </w:r>
            <w:r w:rsidRPr="00ED7ACF">
              <w:rPr>
                <w:rFonts w:ascii="Arial Narrow" w:hAnsi="Arial Narrow" w:cs="Arial Narrow"/>
                <w:sz w:val="20"/>
                <w:szCs w:val="24"/>
              </w:rPr>
              <w:t xml:space="preserve"> a pas</w:t>
            </w:r>
            <w:r>
              <w:rPr>
                <w:rFonts w:ascii="Arial Narrow" w:hAnsi="Arial Narrow" w:cs="Arial Narrow"/>
                <w:sz w:val="20"/>
                <w:szCs w:val="24"/>
              </w:rPr>
              <w:t>ívami</w:t>
            </w:r>
            <w:r w:rsidRPr="00ED7ACF">
              <w:rPr>
                <w:rFonts w:ascii="Arial Narrow" w:hAnsi="Arial Narrow" w:cs="Arial Narrow"/>
                <w:sz w:val="20"/>
                <w:szCs w:val="24"/>
              </w:rPr>
              <w:t>, z toho:</w:t>
            </w:r>
            <w:r>
              <w:rPr>
                <w:rFonts w:ascii="Arial Narrow" w:hAnsi="Arial Narrow" w:cs="Arial Narrow"/>
                <w:sz w:val="20"/>
                <w:szCs w:val="24"/>
              </w:rPr>
              <w:t xml:space="preserve"> </w:t>
            </w:r>
            <w:r w:rsidRPr="00ED7ACF">
              <w:rPr>
                <w:rFonts w:ascii="Arial Narrow" w:hAnsi="Arial Narrow" w:cs="Arial Narrow"/>
                <w:sz w:val="20"/>
                <w:szCs w:val="24"/>
              </w:rPr>
              <w:t xml:space="preserve">(FO)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Pr>
                <w:rFonts w:ascii="Arial Narrow" w:hAnsi="Arial Narrow" w:cs="Arial Narrow"/>
                <w:sz w:val="20"/>
                <w:szCs w:val="24"/>
              </w:rPr>
              <w:t>0</w:t>
            </w:r>
            <w:r w:rsidRPr="00ED7ACF">
              <w:rPr>
                <w:rFonts w:ascii="Arial Narrow" w:hAnsi="Arial Narrow" w:cs="Arial Narrow"/>
                <w:sz w:val="20"/>
                <w:szCs w:val="24"/>
              </w:rPr>
              <w:t> </w:t>
            </w:r>
          </w:p>
        </w:tc>
        <w:tc>
          <w:tcPr>
            <w:tcW w:w="5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Pr>
                <w:rFonts w:ascii="Arial Narrow" w:hAnsi="Arial Narrow" w:cs="Arial Narrow"/>
                <w:sz w:val="20"/>
                <w:szCs w:val="24"/>
              </w:rPr>
              <w:t>0</w:t>
            </w:r>
            <w:r w:rsidRPr="00ED7ACF">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Pr>
                <w:rFonts w:ascii="Arial Narrow" w:hAnsi="Arial Narrow" w:cs="Arial Narrow"/>
                <w:sz w:val="20"/>
                <w:szCs w:val="24"/>
              </w:rPr>
              <w:t>0</w:t>
            </w:r>
            <w:r w:rsidRPr="00ED7ACF">
              <w:rPr>
                <w:rFonts w:ascii="Arial Narrow" w:hAnsi="Arial Narrow" w:cs="Arial Narrow"/>
                <w:sz w:val="20"/>
                <w:szCs w:val="24"/>
              </w:rPr>
              <w:t> </w:t>
            </w:r>
          </w:p>
        </w:tc>
        <w:tc>
          <w:tcPr>
            <w:tcW w:w="55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ED7ACF" w:rsidP="002B1759">
            <w:pPr>
              <w:jc w:val="right"/>
              <w:rPr>
                <w:rFonts w:ascii="Arial Narrow" w:hAnsi="Arial Narrow" w:cs="Arial Narrow"/>
                <w:sz w:val="20"/>
                <w:szCs w:val="24"/>
              </w:rPr>
            </w:pPr>
            <w:r>
              <w:rPr>
                <w:rFonts w:ascii="Arial Narrow" w:hAnsi="Arial Narrow" w:cs="Arial Narrow"/>
                <w:sz w:val="20"/>
                <w:szCs w:val="24"/>
              </w:rPr>
              <w:t>0</w:t>
            </w:r>
            <w:r w:rsidRPr="00ED7AC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jc w:val="center"/>
              <w:rPr>
                <w:rFonts w:ascii="Arial Narrow" w:hAnsi="Arial Narrow" w:cs="Arial Narrow"/>
                <w:sz w:val="20"/>
                <w:szCs w:val="24"/>
              </w:rPr>
            </w:pPr>
            <w:r w:rsidRPr="00ED7AC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Celková bilancia SRo</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186</w:t>
            </w:r>
          </w:p>
        </w:tc>
        <w:tc>
          <w:tcPr>
            <w:tcW w:w="55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810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810</w:t>
            </w:r>
          </w:p>
        </w:tc>
        <w:tc>
          <w:tcPr>
            <w:tcW w:w="554"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810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rPr>
                <w:rFonts w:ascii="Arial Narrow" w:hAnsi="Arial Narrow" w:cs="Arial Narrow"/>
                <w:b/>
                <w:i/>
                <w:sz w:val="20"/>
                <w:szCs w:val="24"/>
              </w:rPr>
            </w:pPr>
            <w:r w:rsidRPr="00F363D9">
              <w:rPr>
                <w:rFonts w:ascii="Arial Narrow" w:hAnsi="Arial Narrow" w:cs="Arial Narrow"/>
                <w:b/>
                <w:i/>
                <w:sz w:val="20"/>
                <w:szCs w:val="24"/>
              </w:rPr>
              <w:t>vylúčenie finančných operácií</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0</w:t>
            </w:r>
          </w:p>
        </w:tc>
        <w:tc>
          <w:tcPr>
            <w:tcW w:w="55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-810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-810</w:t>
            </w:r>
          </w:p>
        </w:tc>
        <w:tc>
          <w:tcPr>
            <w:tcW w:w="554"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-810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vylúčenie príjmových finančných operácií</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c>
          <w:tcPr>
            <w:tcW w:w="554"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-810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rPr>
                <w:rFonts w:ascii="Arial Narrow" w:hAnsi="Arial Narrow" w:cs="Arial Narrow"/>
                <w:sz w:val="20"/>
                <w:szCs w:val="24"/>
              </w:rPr>
            </w:pPr>
            <w:r w:rsidRPr="00ED7ACF">
              <w:rPr>
                <w:rFonts w:ascii="Arial Narrow" w:hAnsi="Arial Narrow" w:cs="Arial Narrow"/>
                <w:sz w:val="20"/>
                <w:szCs w:val="24"/>
              </w:rPr>
              <w:t>▪   vylúčenie výdavkových finančných operácií</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c>
          <w:tcPr>
            <w:tcW w:w="554"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ED7ACF" w:rsidP="002B1759">
            <w:pPr>
              <w:jc w:val="right"/>
              <w:rPr>
                <w:rFonts w:ascii="Arial Narrow" w:hAnsi="Arial Narrow" w:cs="Arial Narrow"/>
                <w:sz w:val="20"/>
                <w:szCs w:val="24"/>
              </w:rPr>
            </w:pPr>
            <w:r w:rsidRPr="00ED7ACF">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ED7ACF" w:rsidP="002B1759">
            <w:pPr>
              <w:jc w:val="center"/>
              <w:rPr>
                <w:rFonts w:ascii="Arial Narrow" w:hAnsi="Arial Narrow" w:cs="Arial Narrow"/>
                <w:sz w:val="20"/>
                <w:szCs w:val="24"/>
              </w:rPr>
            </w:pPr>
            <w:r w:rsidRPr="00ED7AC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70"/>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rPr>
                <w:rFonts w:ascii="Arial Narrow" w:hAnsi="Arial Narrow" w:cs="Arial Narrow"/>
                <w:b/>
                <w:i/>
                <w:sz w:val="20"/>
                <w:szCs w:val="24"/>
              </w:rPr>
            </w:pPr>
            <w:r w:rsidRPr="00ED7ACF">
              <w:rPr>
                <w:rFonts w:ascii="Arial Narrow" w:hAnsi="Arial Narrow" w:cs="Arial Narrow"/>
                <w:b/>
                <w:i/>
                <w:sz w:val="20"/>
                <w:szCs w:val="24"/>
              </w:rPr>
              <w:t>Prebytok</w:t>
            </w:r>
            <w:r w:rsidR="002C6FCA">
              <w:rPr>
                <w:rFonts w:ascii="Arial Narrow" w:hAnsi="Arial Narrow" w:cs="Arial Narrow"/>
                <w:b/>
                <w:i/>
                <w:sz w:val="20"/>
                <w:szCs w:val="24"/>
              </w:rPr>
              <w:t xml:space="preserve"> </w:t>
            </w:r>
            <w:r w:rsidRPr="00ED7ACF">
              <w:rPr>
                <w:rFonts w:ascii="Arial Narrow" w:hAnsi="Arial Narrow" w:cs="Arial Narrow"/>
                <w:b/>
                <w:i/>
                <w:sz w:val="20"/>
                <w:szCs w:val="24"/>
              </w:rPr>
              <w:t xml:space="preserve"> / schodok SRo (ESA 95)</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186</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ED7ACF" w:rsidP="002B1759">
            <w:pPr>
              <w:jc w:val="right"/>
              <w:rPr>
                <w:rFonts w:ascii="Arial Narrow" w:hAnsi="Arial Narrow" w:cs="Arial Narrow"/>
                <w:b/>
                <w:i/>
                <w:sz w:val="20"/>
                <w:szCs w:val="24"/>
              </w:rPr>
            </w:pPr>
            <w:r w:rsidRPr="00ED7ACF">
              <w:rPr>
                <w:rFonts w:ascii="Arial Narrow" w:hAnsi="Arial Narrow" w:cs="Arial Narrow"/>
                <w:b/>
                <w:i/>
                <w:sz w:val="20"/>
                <w:szCs w:val="24"/>
              </w:rPr>
              <w:t>0</w:t>
            </w:r>
          </w:p>
        </w:tc>
      </w:tr>
    </w:tbl>
    <w:p w:rsidR="0084667A" w:rsidP="0084667A">
      <w:pPr>
        <w:jc w:val="both"/>
        <w:rPr>
          <w:rFonts w:ascii="Arial Narrow" w:hAnsi="Arial Narrow" w:cs="Arial Narrow"/>
          <w:sz w:val="22"/>
          <w:szCs w:val="24"/>
        </w:rPr>
      </w:pPr>
    </w:p>
    <w:p w:rsidR="0084667A"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Príjmová časť rozpočtu je tvorená daňovými príjmami, a to úhradami za služby verejnosti poskytované SRo danými zákonom č. 68/2008 Z. z</w:t>
      </w:r>
      <w:r w:rsidRPr="00C52C24">
        <w:rPr>
          <w:rFonts w:ascii="Arial Narrow" w:hAnsi="Arial Narrow" w:cs="Arial Narrow"/>
          <w:sz w:val="22"/>
          <w:szCs w:val="24"/>
        </w:rPr>
        <w:t>. o úhrade za služby verejnosti poskytované Slovenskou televíziou a</w:t>
      </w:r>
      <w:r>
        <w:rPr>
          <w:rFonts w:ascii="Arial Narrow" w:hAnsi="Arial Narrow" w:cs="Arial Narrow"/>
          <w:sz w:val="22"/>
          <w:szCs w:val="24"/>
        </w:rPr>
        <w:t xml:space="preserve"> </w:t>
      </w:r>
      <w:r w:rsidRPr="00C52C24">
        <w:rPr>
          <w:rFonts w:ascii="Arial Narrow" w:hAnsi="Arial Narrow" w:cs="Arial Narrow"/>
          <w:sz w:val="22"/>
          <w:szCs w:val="24"/>
        </w:rPr>
        <w:t>Slovenským rozhlasom a o zmene a doplnení niektorých zákonov</w:t>
      </w:r>
      <w:r>
        <w:rPr>
          <w:rFonts w:ascii="Arial Narrow" w:hAnsi="Arial Narrow" w:cs="Arial Narrow"/>
          <w:sz w:val="22"/>
          <w:szCs w:val="24"/>
        </w:rPr>
        <w:t xml:space="preserve">, ktorých výška tvorí 85,3 % z celkových príjmov v roku 2010. Ďalej sú to nedaňové príjmy, najmä príjmy z reklamy, ktoré tvoria 10,4 % z celkových príjmov. </w:t>
      </w:r>
    </w:p>
    <w:p w:rsidR="0084667A" w:rsidP="0084667A">
      <w:pPr>
        <w:autoSpaceDE w:val="0"/>
        <w:autoSpaceDN w:val="0"/>
        <w:adjustRightInd w:val="0"/>
        <w:jc w:val="both"/>
        <w:rPr>
          <w:rFonts w:ascii="Arial Narrow" w:hAnsi="Arial Narrow" w:cs="Arial Narrow"/>
          <w:sz w:val="22"/>
          <w:szCs w:val="24"/>
        </w:rPr>
      </w:pPr>
    </w:p>
    <w:p w:rsidR="0084667A"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 xml:space="preserve">Pokles celkových príjmov medzi rokom 2010 a 2009 o 4,74 % je spôsobený miernym poklesom v časti daňové príjmy (pokles 1,82 %), ale najmä v návrhu rozpočtu nerozpísaným transferom zo strany MK SR plánovaným v roku 2010, ktorý v roku 2009 predstavoval 1 ,99 mil. eur.  </w:t>
      </w:r>
    </w:p>
    <w:p w:rsidR="0084667A" w:rsidP="0084667A">
      <w:pPr>
        <w:autoSpaceDE w:val="0"/>
        <w:autoSpaceDN w:val="0"/>
        <w:adjustRightInd w:val="0"/>
        <w:jc w:val="both"/>
        <w:rPr>
          <w:rFonts w:ascii="Arial Narrow" w:hAnsi="Arial Narrow" w:cs="Arial Narrow"/>
          <w:sz w:val="22"/>
          <w:szCs w:val="24"/>
        </w:rPr>
      </w:pPr>
    </w:p>
    <w:p w:rsidR="0084667A" w:rsidRPr="005A61A3" w:rsidP="0084667A">
      <w:pPr>
        <w:pStyle w:val="Heading3"/>
        <w:keepNext/>
        <w:spacing w:after="0" w:line="240" w:lineRule="auto"/>
        <w:ind w:firstLine="708"/>
        <w:jc w:val="both"/>
        <w:rPr>
          <w:rFonts w:ascii="Arial Narrow" w:hAnsi="Arial Narrow" w:cs="Arial Narrow"/>
          <w:sz w:val="22"/>
          <w:szCs w:val="24"/>
          <w:lang w:eastAsia="sk-SK"/>
        </w:rPr>
      </w:pPr>
      <w:r w:rsidRPr="005A61A3">
        <w:rPr>
          <w:rFonts w:ascii="Arial Narrow" w:hAnsi="Arial Narrow" w:cs="Arial Narrow"/>
          <w:sz w:val="22"/>
          <w:szCs w:val="24"/>
          <w:lang w:eastAsia="sk-SK"/>
        </w:rPr>
        <w:t>Výdavková časť rozpočtu klesá oproti roku 2009 o</w:t>
      </w:r>
      <w:r>
        <w:rPr>
          <w:rFonts w:ascii="Arial Narrow" w:hAnsi="Arial Narrow" w:cs="Arial Narrow"/>
          <w:sz w:val="22"/>
          <w:szCs w:val="24"/>
          <w:lang w:eastAsia="sk-SK"/>
        </w:rPr>
        <w:t> 6,97</w:t>
      </w:r>
      <w:r w:rsidRPr="005A61A3">
        <w:rPr>
          <w:rFonts w:ascii="Arial Narrow" w:hAnsi="Arial Narrow" w:cs="Arial Narrow"/>
          <w:sz w:val="22"/>
          <w:szCs w:val="24"/>
          <w:lang w:eastAsia="sk-SK"/>
        </w:rPr>
        <w:t xml:space="preserve"> %, čo je dôsledkom znižovania príjmov z titulu </w:t>
      </w:r>
      <w:r w:rsidRPr="004532C3">
        <w:rPr>
          <w:rFonts w:ascii="Arial Narrow" w:hAnsi="Arial Narrow" w:cs="Arial Narrow"/>
          <w:sz w:val="22"/>
          <w:szCs w:val="24"/>
          <w:lang w:eastAsia="sk-SK"/>
        </w:rPr>
        <w:t>nerozpísaného</w:t>
      </w:r>
      <w:r w:rsidRPr="005A61A3">
        <w:rPr>
          <w:rFonts w:ascii="Arial Narrow" w:hAnsi="Arial Narrow" w:cs="Arial Narrow"/>
          <w:sz w:val="22"/>
          <w:szCs w:val="24"/>
          <w:lang w:eastAsia="sk-SK"/>
        </w:rPr>
        <w:t xml:space="preserve"> transferu z MK SR, ktoré sa následne prejavuje najmä znížením v kategórii </w:t>
      </w:r>
      <w:r>
        <w:rPr>
          <w:rFonts w:ascii="Arial Narrow" w:hAnsi="Arial Narrow" w:cs="Arial Narrow"/>
          <w:sz w:val="22"/>
          <w:szCs w:val="24"/>
          <w:lang w:eastAsia="sk-SK"/>
        </w:rPr>
        <w:t xml:space="preserve"> </w:t>
      </w:r>
      <w:r w:rsidRPr="005A61A3">
        <w:rPr>
          <w:rFonts w:ascii="Arial Narrow" w:hAnsi="Arial Narrow" w:cs="Arial Narrow"/>
          <w:sz w:val="22"/>
          <w:szCs w:val="24"/>
          <w:lang w:eastAsia="sk-SK"/>
        </w:rPr>
        <w:t>tovary a služby o </w:t>
      </w:r>
      <w:r w:rsidR="00E61C92">
        <w:rPr>
          <w:rFonts w:ascii="Arial Narrow" w:hAnsi="Arial Narrow" w:cs="Arial Narrow"/>
          <w:sz w:val="22"/>
          <w:szCs w:val="24"/>
          <w:lang w:eastAsia="sk-SK"/>
        </w:rPr>
        <w:t xml:space="preserve">    </w:t>
      </w:r>
      <w:r w:rsidRPr="005A61A3">
        <w:rPr>
          <w:rFonts w:ascii="Arial Narrow" w:hAnsi="Arial Narrow" w:cs="Arial Narrow"/>
          <w:sz w:val="22"/>
          <w:szCs w:val="24"/>
          <w:lang w:eastAsia="sk-SK"/>
        </w:rPr>
        <w:t>15,0 %.</w:t>
      </w:r>
    </w:p>
    <w:p w:rsidR="0084667A" w:rsidRPr="00723F95" w:rsidP="0084667A">
      <w:pPr>
        <w:rPr>
          <w:rFonts w:ascii="Arial Narrow" w:hAnsi="Arial Narrow" w:cs="Arial Narrow"/>
          <w:szCs w:val="24"/>
        </w:rPr>
      </w:pPr>
    </w:p>
    <w:p w:rsidR="0084667A" w:rsidRPr="00723F95" w:rsidP="0084667A">
      <w:pPr>
        <w:rPr>
          <w:rFonts w:ascii="Arial Narrow" w:hAnsi="Arial Narrow" w:cs="Arial Narrow"/>
          <w:szCs w:val="24"/>
        </w:rPr>
      </w:pPr>
    </w:p>
    <w:p w:rsidR="0084667A" w:rsidRPr="00723F95" w:rsidP="0084667A">
      <w:pPr>
        <w:jc w:val="both"/>
        <w:rPr>
          <w:rFonts w:ascii="Arial Narrow" w:hAnsi="Arial Narrow" w:cs="Arial Narrow"/>
          <w:szCs w:val="24"/>
        </w:rPr>
      </w:pPr>
      <w:r w:rsidRPr="00723F95">
        <w:rPr>
          <w:rFonts w:ascii="Arial Narrow" w:hAnsi="Arial Narrow" w:cs="Arial Narrow"/>
          <w:b/>
          <w:szCs w:val="24"/>
        </w:rPr>
        <w:t>13.</w:t>
      </w:r>
      <w:r w:rsidRPr="00723F95">
        <w:rPr>
          <w:rFonts w:ascii="Arial Narrow" w:hAnsi="Arial Narrow" w:cs="Arial Narrow"/>
          <w:szCs w:val="24"/>
        </w:rPr>
        <w:t xml:space="preserve">  </w:t>
      </w:r>
      <w:r w:rsidRPr="00723F95">
        <w:rPr>
          <w:rFonts w:ascii="Arial Narrow" w:hAnsi="Arial Narrow" w:cs="Arial Narrow"/>
          <w:b/>
          <w:szCs w:val="24"/>
        </w:rPr>
        <w:t>Rozhlasová a televízna spoločnosť, s.r.o.</w:t>
      </w:r>
    </w:p>
    <w:p w:rsidR="0084667A" w:rsidP="0084667A">
      <w:pPr>
        <w:jc w:val="both"/>
        <w:rPr>
          <w:rFonts w:ascii="Arial Narrow" w:hAnsi="Arial Narrow" w:cs="Arial Narrow"/>
          <w:b/>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Vývoj príjmovej a výdavkovej časti rozpočtu Rozhlasovej a televíznej spoločnosti (ďalej len RTVS) na roky 2010 – 2012 je nasledovný:</w:t>
      </w:r>
    </w:p>
    <w:p w:rsidR="0084667A" w:rsidP="0084667A">
      <w:pPr>
        <w:jc w:val="both"/>
        <w:rPr>
          <w:rFonts w:ascii="Arial Narrow" w:hAnsi="Arial Narrow" w:cs="Arial Narrow"/>
          <w:sz w:val="22"/>
          <w:szCs w:val="24"/>
        </w:rPr>
      </w:pPr>
    </w:p>
    <w:p w:rsidR="00AF667A" w:rsidP="0084667A">
      <w:pPr>
        <w:jc w:val="both"/>
        <w:rPr>
          <w:rFonts w:ascii="Arial Narrow" w:hAnsi="Arial Narrow" w:cs="Arial Narrow"/>
          <w:sz w:val="22"/>
          <w:szCs w:val="24"/>
        </w:rPr>
      </w:pPr>
    </w:p>
    <w:p w:rsidR="00AF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p w:rsidR="0084667A" w:rsidP="0084667A">
      <w:pPr>
        <w:jc w:val="both"/>
        <w:rPr>
          <w:rFonts w:ascii="Arial Narrow" w:hAnsi="Arial Narrow" w:cs="Arial Narrow"/>
          <w:sz w:val="22"/>
          <w:szCs w:val="24"/>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202"/>
        <w:gridCol w:w="1042"/>
        <w:gridCol w:w="1042"/>
        <w:gridCol w:w="1042"/>
        <w:gridCol w:w="104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300"/>
        </w:trPr>
        <w:tc>
          <w:tcPr>
            <w:tcW w:w="2777"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84667A" w:rsidRPr="00383293" w:rsidP="002B1759">
            <w:pPr>
              <w:jc w:val="both"/>
              <w:rPr>
                <w:rFonts w:ascii="Arial Narrow" w:hAnsi="Arial Narrow" w:cs="Arial Narrow"/>
                <w:b/>
                <w:color w:val="FFFFFF"/>
                <w:sz w:val="20"/>
                <w:szCs w:val="24"/>
              </w:rPr>
            </w:pPr>
            <w:r w:rsidRPr="00383293">
              <w:rPr>
                <w:rFonts w:ascii="Arial Narrow" w:hAnsi="Arial Narrow" w:cs="Arial Narrow"/>
                <w:b/>
                <w:color w:val="FFFFFF"/>
                <w:sz w:val="20"/>
                <w:szCs w:val="24"/>
              </w:rPr>
              <w:t xml:space="preserve">(v tis. </w:t>
            </w:r>
            <w:r>
              <w:rPr>
                <w:rFonts w:ascii="Arial Narrow" w:hAnsi="Arial Narrow" w:cs="Arial Narrow"/>
                <w:b/>
                <w:color w:val="FFFFFF"/>
                <w:sz w:val="20"/>
                <w:szCs w:val="24"/>
              </w:rPr>
              <w:t>eur</w:t>
            </w:r>
            <w:r w:rsidRPr="00383293">
              <w:rPr>
                <w:rFonts w:ascii="Arial Narrow" w:hAnsi="Arial Narrow" w:cs="Arial Narrow"/>
                <w:b/>
                <w:color w:val="FFFFFF"/>
                <w:sz w:val="20"/>
                <w:szCs w:val="24"/>
              </w:rPr>
              <w:t>)</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383293" w:rsidP="002B1759">
            <w:pPr>
              <w:jc w:val="center"/>
              <w:rPr>
                <w:rFonts w:ascii="Arial Narrow" w:hAnsi="Arial Narrow" w:cs="Arial Narrow"/>
                <w:b/>
                <w:color w:val="FFFFFF"/>
                <w:sz w:val="20"/>
                <w:szCs w:val="24"/>
              </w:rPr>
            </w:pPr>
            <w:r w:rsidRPr="00383293">
              <w:rPr>
                <w:rFonts w:ascii="Arial Narrow" w:hAnsi="Arial Narrow" w:cs="Arial Narrow"/>
                <w:b/>
                <w:color w:val="FFFFFF"/>
                <w:sz w:val="20"/>
                <w:szCs w:val="24"/>
              </w:rPr>
              <w:t>2009</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383293" w:rsidP="002B1759">
            <w:pPr>
              <w:jc w:val="center"/>
              <w:rPr>
                <w:rFonts w:ascii="Arial Narrow" w:hAnsi="Arial Narrow" w:cs="Arial Narrow"/>
                <w:b/>
                <w:color w:val="FFFFFF"/>
                <w:sz w:val="20"/>
                <w:szCs w:val="24"/>
              </w:rPr>
            </w:pPr>
            <w:r w:rsidRPr="00383293">
              <w:rPr>
                <w:rFonts w:ascii="Arial Narrow" w:hAnsi="Arial Narrow" w:cs="Arial Narrow"/>
                <w:b/>
                <w:color w:val="FFFFFF"/>
                <w:sz w:val="20"/>
                <w:szCs w:val="24"/>
              </w:rPr>
              <w:t>2010</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383293" w:rsidP="002B1759">
            <w:pPr>
              <w:jc w:val="center"/>
              <w:rPr>
                <w:rFonts w:ascii="Arial Narrow" w:hAnsi="Arial Narrow" w:cs="Arial Narrow"/>
                <w:b/>
                <w:color w:val="FFFFFF"/>
                <w:sz w:val="20"/>
                <w:szCs w:val="24"/>
              </w:rPr>
            </w:pPr>
            <w:r w:rsidRPr="00383293">
              <w:rPr>
                <w:rFonts w:ascii="Arial Narrow" w:hAnsi="Arial Narrow" w:cs="Arial Narrow"/>
                <w:b/>
                <w:color w:val="FFFFFF"/>
                <w:sz w:val="20"/>
                <w:szCs w:val="24"/>
              </w:rPr>
              <w:t>2011</w:t>
            </w:r>
          </w:p>
        </w:tc>
        <w:tc>
          <w:tcPr>
            <w:tcW w:w="555"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383293" w:rsidP="002B1759">
            <w:pPr>
              <w:jc w:val="center"/>
              <w:rPr>
                <w:rFonts w:ascii="Arial Narrow" w:hAnsi="Arial Narrow" w:cs="Arial Narrow"/>
                <w:b/>
                <w:color w:val="FFFFFF"/>
                <w:sz w:val="20"/>
                <w:szCs w:val="24"/>
              </w:rPr>
            </w:pPr>
            <w:r w:rsidRPr="00383293">
              <w:rPr>
                <w:rFonts w:ascii="Arial Narrow" w:hAnsi="Arial Narrow" w:cs="Arial Narrow"/>
                <w:b/>
                <w:color w:val="FFFFFF"/>
                <w:sz w:val="20"/>
                <w:szCs w:val="24"/>
              </w:rPr>
              <w:t>2012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Príjmy RTVS spolu</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3 636</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3 687</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3 724</w:t>
            </w:r>
          </w:p>
        </w:tc>
        <w:tc>
          <w:tcPr>
            <w:tcW w:w="55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3 761</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40"/>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sz w:val="20"/>
                <w:szCs w:val="24"/>
              </w:rPr>
            </w:pPr>
            <w:r>
              <w:rPr>
                <w:rFonts w:ascii="Arial Narrow" w:hAnsi="Arial Narrow" w:cs="Arial Narrow"/>
                <w:sz w:val="20"/>
                <w:szCs w:val="24"/>
              </w:rPr>
              <w:t>▪   transfer od STV a SR</w:t>
            </w:r>
            <w:r w:rsidRPr="00383293">
              <w:rPr>
                <w:rFonts w:ascii="Arial Narrow" w:hAnsi="Arial Narrow" w:cs="Arial Narrow"/>
                <w:sz w:val="20"/>
                <w:szCs w:val="24"/>
              </w:rPr>
              <w:t>o</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3 636</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3 687</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3 724</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3 761</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Výdavky RTVS spolu</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3 636</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3 687</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3 724</w:t>
            </w:r>
          </w:p>
        </w:tc>
        <w:tc>
          <w:tcPr>
            <w:tcW w:w="55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3 761</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mzdy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320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338</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355</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372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odvody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107</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118</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124</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130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tovary a služby</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3 209</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3 23</w:t>
            </w:r>
            <w:r>
              <w:rPr>
                <w:rFonts w:ascii="Arial Narrow" w:hAnsi="Arial Narrow" w:cs="Arial Narrow"/>
                <w:sz w:val="20"/>
                <w:szCs w:val="24"/>
              </w:rPr>
              <w:t>1</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3 24</w:t>
            </w:r>
            <w:r>
              <w:rPr>
                <w:rFonts w:ascii="Arial Narrow" w:hAnsi="Arial Narrow" w:cs="Arial Narrow"/>
                <w:sz w:val="20"/>
                <w:szCs w:val="24"/>
              </w:rPr>
              <w:t>5</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383293" w:rsidP="002B1759">
            <w:pPr>
              <w:jc w:val="right"/>
              <w:rPr>
                <w:rFonts w:ascii="Arial Narrow" w:hAnsi="Arial Narrow" w:cs="Arial Narrow"/>
                <w:sz w:val="20"/>
                <w:szCs w:val="24"/>
              </w:rPr>
            </w:pPr>
            <w:r w:rsidRPr="00383293">
              <w:rPr>
                <w:rFonts w:ascii="Arial Narrow" w:hAnsi="Arial Narrow" w:cs="Arial Narrow"/>
                <w:sz w:val="20"/>
                <w:szCs w:val="24"/>
              </w:rPr>
              <w:t>3 259</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383293" w:rsidP="002B1759">
            <w:pPr>
              <w:rPr>
                <w:rFonts w:ascii="Arial Narrow" w:hAnsi="Arial Narrow" w:cs="Arial Narrow"/>
                <w:sz w:val="20"/>
                <w:szCs w:val="24"/>
              </w:rPr>
            </w:pPr>
            <w:r w:rsidRPr="00383293">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Celková bilancia RTVS</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9B626C" w:rsidP="002B1759">
            <w:pPr>
              <w:rPr>
                <w:rFonts w:ascii="Arial Narrow" w:hAnsi="Arial Narrow" w:cs="Arial Narrow"/>
                <w:b/>
                <w:i/>
                <w:sz w:val="20"/>
                <w:szCs w:val="24"/>
              </w:rPr>
            </w:pPr>
            <w:r w:rsidRPr="009B626C">
              <w:rPr>
                <w:rFonts w:ascii="Arial Narrow" w:hAnsi="Arial Narrow" w:cs="Arial Narrow"/>
                <w:b/>
                <w:i/>
                <w:sz w:val="20"/>
                <w:szCs w:val="24"/>
              </w:rPr>
              <w:t>vylúčenie finančných operácií</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0</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F363D9" w:rsidP="002B1759">
            <w:pPr>
              <w:jc w:val="right"/>
              <w:rPr>
                <w:rFonts w:ascii="Arial Narrow" w:hAnsi="Arial Narrow" w:cs="Arial Narrow"/>
                <w:b/>
                <w:i/>
                <w:sz w:val="20"/>
                <w:szCs w:val="24"/>
              </w:rPr>
            </w:pPr>
            <w:r w:rsidRPr="00F363D9">
              <w:rPr>
                <w:rFonts w:ascii="Arial Narrow" w:hAnsi="Arial Narrow" w:cs="Arial Narrow"/>
                <w:b/>
                <w:i/>
                <w:sz w:val="20"/>
                <w:szCs w:val="24"/>
              </w:rPr>
              <w:t>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383293" w:rsidP="002B1759">
            <w:pPr>
              <w:jc w:val="center"/>
              <w:rPr>
                <w:rFonts w:ascii="Arial Narrow" w:hAnsi="Arial Narrow" w:cs="Arial Narrow"/>
                <w:sz w:val="20"/>
                <w:szCs w:val="24"/>
              </w:rPr>
            </w:pPr>
            <w:r w:rsidRPr="00383293">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rPr>
                <w:rFonts w:ascii="Arial Narrow" w:hAnsi="Arial Narrow" w:cs="Arial Narrow"/>
                <w:b/>
                <w:i/>
                <w:sz w:val="20"/>
                <w:szCs w:val="24"/>
              </w:rPr>
            </w:pPr>
            <w:r w:rsidRPr="00383293">
              <w:rPr>
                <w:rFonts w:ascii="Arial Narrow" w:hAnsi="Arial Narrow" w:cs="Arial Narrow"/>
                <w:b/>
                <w:i/>
                <w:sz w:val="20"/>
                <w:szCs w:val="24"/>
              </w:rPr>
              <w:t>Prebytok</w:t>
            </w:r>
            <w:r w:rsidR="002C6FCA">
              <w:rPr>
                <w:rFonts w:ascii="Arial Narrow" w:hAnsi="Arial Narrow" w:cs="Arial Narrow"/>
                <w:b/>
                <w:i/>
                <w:sz w:val="20"/>
                <w:szCs w:val="24"/>
              </w:rPr>
              <w:t xml:space="preserve"> </w:t>
            </w:r>
            <w:r w:rsidRPr="00383293">
              <w:rPr>
                <w:rFonts w:ascii="Arial Narrow" w:hAnsi="Arial Narrow" w:cs="Arial Narrow"/>
                <w:b/>
                <w:i/>
                <w:sz w:val="20"/>
                <w:szCs w:val="24"/>
              </w:rPr>
              <w:t xml:space="preserve"> / schodok RTVS  (ESA 95)</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383293" w:rsidP="002B1759">
            <w:pPr>
              <w:jc w:val="right"/>
              <w:rPr>
                <w:rFonts w:ascii="Arial Narrow" w:hAnsi="Arial Narrow" w:cs="Arial Narrow"/>
                <w:b/>
                <w:i/>
                <w:sz w:val="20"/>
                <w:szCs w:val="24"/>
              </w:rPr>
            </w:pPr>
            <w:r w:rsidRPr="00383293">
              <w:rPr>
                <w:rFonts w:ascii="Arial Narrow" w:hAnsi="Arial Narrow" w:cs="Arial Narrow"/>
                <w:b/>
                <w:i/>
                <w:sz w:val="20"/>
                <w:szCs w:val="24"/>
              </w:rPr>
              <w:t>0</w:t>
            </w:r>
          </w:p>
        </w:tc>
      </w:tr>
    </w:tbl>
    <w:p w:rsidR="0084667A" w:rsidP="0084667A">
      <w:pPr>
        <w:jc w:val="both"/>
        <w:rPr>
          <w:rFonts w:ascii="Arial Narrow" w:hAnsi="Arial Narrow" w:cs="Arial Narrow"/>
          <w:sz w:val="22"/>
          <w:szCs w:val="24"/>
        </w:rPr>
      </w:pPr>
    </w:p>
    <w:p w:rsidR="0084667A"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Príjmová časť rozpočtu je tvorená iba transferom od ostatných subjektov verejnej správy, a to transferom od STV vo výške 1,84 mil. eur, rovnako aj transferom od SRo vo výške 1,84 mil. eur na rok 2010. Výška transferu je daná zákonom č. 68/2008 Z. z</w:t>
      </w:r>
      <w:r w:rsidRPr="00C52C24">
        <w:rPr>
          <w:rFonts w:ascii="Arial Narrow" w:hAnsi="Arial Narrow" w:cs="Arial Narrow"/>
          <w:sz w:val="22"/>
          <w:szCs w:val="24"/>
        </w:rPr>
        <w:t>. o úhrade za služby verejnosti poskytované Slovenskou televíziou a</w:t>
      </w:r>
      <w:r>
        <w:rPr>
          <w:rFonts w:ascii="Arial Narrow" w:hAnsi="Arial Narrow" w:cs="Arial Narrow"/>
          <w:sz w:val="22"/>
          <w:szCs w:val="24"/>
        </w:rPr>
        <w:t xml:space="preserve"> </w:t>
      </w:r>
      <w:r w:rsidRPr="00C52C24">
        <w:rPr>
          <w:rFonts w:ascii="Arial Narrow" w:hAnsi="Arial Narrow" w:cs="Arial Narrow"/>
          <w:sz w:val="22"/>
          <w:szCs w:val="24"/>
        </w:rPr>
        <w:t>Slovenským rozhlasom a o zmene a doplnení niektorých zákonov</w:t>
      </w:r>
      <w:r>
        <w:rPr>
          <w:rFonts w:ascii="Arial Narrow" w:hAnsi="Arial Narrow" w:cs="Arial Narrow"/>
          <w:sz w:val="22"/>
          <w:szCs w:val="24"/>
        </w:rPr>
        <w:t>.</w:t>
      </w:r>
    </w:p>
    <w:p w:rsidR="0084667A" w:rsidP="0084667A">
      <w:pPr>
        <w:autoSpaceDE w:val="0"/>
        <w:autoSpaceDN w:val="0"/>
        <w:adjustRightInd w:val="0"/>
        <w:ind w:firstLine="708"/>
        <w:jc w:val="both"/>
        <w:rPr>
          <w:rFonts w:ascii="Arial Narrow" w:hAnsi="Arial Narrow" w:cs="Arial Narrow"/>
          <w:sz w:val="22"/>
          <w:szCs w:val="24"/>
        </w:rPr>
      </w:pPr>
    </w:p>
    <w:p w:rsidR="0084667A" w:rsidRPr="00772FBF" w:rsidP="0084667A">
      <w:pPr>
        <w:autoSpaceDE w:val="0"/>
        <w:autoSpaceDN w:val="0"/>
        <w:adjustRightInd w:val="0"/>
        <w:ind w:firstLine="708"/>
        <w:jc w:val="both"/>
        <w:rPr>
          <w:rFonts w:ascii="Arial Narrow" w:hAnsi="Arial Narrow" w:cs="Arial Narrow"/>
          <w:sz w:val="22"/>
          <w:szCs w:val="24"/>
        </w:rPr>
      </w:pPr>
      <w:r>
        <w:rPr>
          <w:rFonts w:ascii="Arial Narrow" w:hAnsi="Arial Narrow" w:cs="Arial Narrow"/>
          <w:sz w:val="22"/>
          <w:szCs w:val="24"/>
        </w:rPr>
        <w:t xml:space="preserve">Výdavková časť rozpočtu je tvorená výdavkami na mzdy, odvody, tovary a služby. Spoločnosť vznikla </w:t>
      </w:r>
      <w:r w:rsidRPr="00D8656E">
        <w:rPr>
          <w:rFonts w:ascii="Arial Narrow" w:hAnsi="Arial Narrow" w:cs="Arial Narrow"/>
          <w:sz w:val="22"/>
          <w:szCs w:val="24"/>
        </w:rPr>
        <w:t>v apríli</w:t>
      </w:r>
      <w:r>
        <w:rPr>
          <w:rFonts w:ascii="Arial Narrow" w:hAnsi="Arial Narrow" w:cs="Arial Narrow"/>
          <w:sz w:val="22"/>
          <w:szCs w:val="24"/>
        </w:rPr>
        <w:t xml:space="preserve"> roku 2008 ako vyberateľ úhrady za službu verejnosti poskytovanú STV a SRo na základe vyššie spomínaného zákona. Náklady vyberateľa úhrady na výber úhrady, kontrolu platenia úhrady a vymáhanie úhrady a pokút podľa tohto zákona uhrádzajú STV a SRo rovným dielom z príjmov z úhrad a pokút, najviac však do sumy 4 % z príjmov z úhrad a pokút. </w:t>
      </w:r>
    </w:p>
    <w:p w:rsidR="0084667A" w:rsidP="0084667A">
      <w:pPr>
        <w:jc w:val="both"/>
        <w:rPr>
          <w:rFonts w:ascii="Arial Narrow" w:hAnsi="Arial Narrow" w:cs="Arial Narrow"/>
          <w:szCs w:val="24"/>
        </w:rPr>
      </w:pPr>
    </w:p>
    <w:p w:rsidR="00AF667A" w:rsidRPr="00BC60D1" w:rsidP="0084667A">
      <w:pPr>
        <w:jc w:val="both"/>
        <w:rPr>
          <w:rFonts w:ascii="Arial Narrow" w:hAnsi="Arial Narrow" w:cs="Arial Narrow"/>
          <w:szCs w:val="24"/>
        </w:rPr>
      </w:pPr>
    </w:p>
    <w:p w:rsidR="0084667A" w:rsidRPr="00BC60D1" w:rsidP="0084667A">
      <w:pPr>
        <w:jc w:val="both"/>
        <w:rPr>
          <w:rFonts w:ascii="Arial Narrow" w:hAnsi="Arial Narrow" w:cs="Arial Narrow"/>
          <w:szCs w:val="24"/>
        </w:rPr>
      </w:pPr>
      <w:r w:rsidRPr="00BC60D1">
        <w:rPr>
          <w:rFonts w:ascii="Arial Narrow" w:hAnsi="Arial Narrow" w:cs="Arial Narrow"/>
          <w:b/>
          <w:szCs w:val="24"/>
        </w:rPr>
        <w:t>14. Tlačová agentúra SR</w:t>
      </w:r>
    </w:p>
    <w:p w:rsidR="0084667A" w:rsidP="0084667A">
      <w:pPr>
        <w:jc w:val="both"/>
        <w:rPr>
          <w:rFonts w:ascii="Arial Narrow" w:hAnsi="Arial Narrow" w:cs="Arial Narrow"/>
          <w:b/>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Tlačová agentúra SR (ďalej len „TASR“) zmenila formu hospodárenia od 1. januára 2009 z príspevkovej organizácie mimo sektora verejnej správy rezortu MK SR na samostatnú verejno-právnu inštitúciu. Vývoj príjmovej a výdavkovej č</w:t>
      </w:r>
      <w:r w:rsidR="00AF667A">
        <w:rPr>
          <w:rFonts w:ascii="Arial Narrow" w:hAnsi="Arial Narrow" w:cs="Arial Narrow"/>
          <w:sz w:val="22"/>
          <w:szCs w:val="24"/>
        </w:rPr>
        <w:t xml:space="preserve">asti rozpočtu TASR na roky 2010 až </w:t>
      </w:r>
      <w:r>
        <w:rPr>
          <w:rFonts w:ascii="Arial Narrow" w:hAnsi="Arial Narrow" w:cs="Arial Narrow"/>
          <w:sz w:val="22"/>
          <w:szCs w:val="24"/>
        </w:rPr>
        <w:t>2012 je nasledovný:</w:t>
      </w: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AF667A" w:rsidP="0084667A">
      <w:pPr>
        <w:ind w:firstLine="708"/>
        <w:jc w:val="both"/>
        <w:rPr>
          <w:rFonts w:ascii="Arial Narrow" w:hAnsi="Arial Narrow" w:cs="Arial Narrow"/>
          <w:sz w:val="22"/>
          <w:szCs w:val="24"/>
        </w:rPr>
      </w:pPr>
    </w:p>
    <w:p w:rsidR="0084667A" w:rsidP="0084667A">
      <w:pPr>
        <w:jc w:val="both"/>
        <w:rPr>
          <w:rFonts w:ascii="Arial Narrow" w:hAnsi="Arial Narrow" w:cs="Arial Narrow"/>
          <w:sz w:val="22"/>
          <w:szCs w:val="24"/>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202"/>
        <w:gridCol w:w="1040"/>
        <w:gridCol w:w="1042"/>
        <w:gridCol w:w="1042"/>
        <w:gridCol w:w="104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84667A" w:rsidRPr="00CE4D3F" w:rsidP="002B1759">
            <w:pPr>
              <w:jc w:val="both"/>
              <w:rPr>
                <w:rFonts w:ascii="Arial Narrow" w:hAnsi="Arial Narrow" w:cs="Arial Narrow"/>
                <w:b/>
                <w:color w:val="FFFFFF"/>
                <w:sz w:val="20"/>
                <w:szCs w:val="24"/>
              </w:rPr>
            </w:pPr>
            <w:r w:rsidRPr="00CE4D3F">
              <w:rPr>
                <w:rFonts w:ascii="Arial Narrow" w:hAnsi="Arial Narrow" w:cs="Arial Narrow"/>
                <w:b/>
                <w:color w:val="FFFFFF"/>
                <w:sz w:val="20"/>
                <w:szCs w:val="24"/>
              </w:rPr>
              <w:t xml:space="preserve">(v tis. </w:t>
            </w:r>
            <w:r>
              <w:rPr>
                <w:rFonts w:ascii="Arial Narrow" w:hAnsi="Arial Narrow" w:cs="Arial Narrow"/>
                <w:b/>
                <w:color w:val="FFFFFF"/>
                <w:sz w:val="20"/>
                <w:szCs w:val="24"/>
              </w:rPr>
              <w:t>eur</w:t>
            </w:r>
            <w:r w:rsidRPr="00CE4D3F">
              <w:rPr>
                <w:rFonts w:ascii="Arial Narrow" w:hAnsi="Arial Narrow" w:cs="Arial Narrow"/>
                <w:b/>
                <w:color w:val="FFFFFF"/>
                <w:sz w:val="20"/>
                <w:szCs w:val="24"/>
              </w:rPr>
              <w:t>)</w:t>
            </w:r>
          </w:p>
        </w:tc>
        <w:tc>
          <w:tcPr>
            <w:tcW w:w="555"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CE4D3F" w:rsidP="002B1759">
            <w:pPr>
              <w:jc w:val="center"/>
              <w:rPr>
                <w:rFonts w:ascii="Arial Narrow" w:hAnsi="Arial Narrow" w:cs="Arial Narrow"/>
                <w:b/>
                <w:color w:val="FFFFFF"/>
                <w:sz w:val="20"/>
                <w:szCs w:val="24"/>
              </w:rPr>
            </w:pPr>
            <w:r w:rsidRPr="00CE4D3F">
              <w:rPr>
                <w:rFonts w:ascii="Arial Narrow" w:hAnsi="Arial Narrow" w:cs="Arial Narrow"/>
                <w:b/>
                <w:color w:val="FFFFFF"/>
                <w:sz w:val="20"/>
                <w:szCs w:val="24"/>
              </w:rPr>
              <w:t>2009</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CE4D3F" w:rsidP="002B1759">
            <w:pPr>
              <w:jc w:val="center"/>
              <w:rPr>
                <w:rFonts w:ascii="Arial Narrow" w:hAnsi="Arial Narrow" w:cs="Arial Narrow"/>
                <w:b/>
                <w:color w:val="FFFFFF"/>
                <w:sz w:val="20"/>
                <w:szCs w:val="24"/>
              </w:rPr>
            </w:pPr>
            <w:r w:rsidRPr="00CE4D3F">
              <w:rPr>
                <w:rFonts w:ascii="Arial Narrow" w:hAnsi="Arial Narrow" w:cs="Arial Narrow"/>
                <w:b/>
                <w:color w:val="FFFFFF"/>
                <w:sz w:val="20"/>
                <w:szCs w:val="24"/>
              </w:rPr>
              <w:t>2010</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CE4D3F" w:rsidP="002B1759">
            <w:pPr>
              <w:jc w:val="center"/>
              <w:rPr>
                <w:rFonts w:ascii="Arial Narrow" w:hAnsi="Arial Narrow" w:cs="Arial Narrow"/>
                <w:b/>
                <w:color w:val="FFFFFF"/>
                <w:sz w:val="20"/>
                <w:szCs w:val="24"/>
              </w:rPr>
            </w:pPr>
            <w:r w:rsidRPr="00CE4D3F">
              <w:rPr>
                <w:rFonts w:ascii="Arial Narrow" w:hAnsi="Arial Narrow" w:cs="Arial Narrow"/>
                <w:b/>
                <w:color w:val="FFFFFF"/>
                <w:sz w:val="20"/>
                <w:szCs w:val="24"/>
              </w:rPr>
              <w:t>2011</w:t>
            </w:r>
          </w:p>
        </w:tc>
        <w:tc>
          <w:tcPr>
            <w:tcW w:w="556" w:type="pct"/>
            <w:tcBorders>
              <w:top w:val="single" w:sz="4" w:space="0" w:color="auto"/>
              <w:left w:val="single" w:sz="4" w:space="0" w:color="auto"/>
              <w:bottom w:val="single" w:sz="4" w:space="0" w:color="auto"/>
              <w:right w:val="single" w:sz="4" w:space="0" w:color="auto"/>
            </w:tcBorders>
            <w:shd w:val="clear" w:color="000000" w:fill="000000"/>
            <w:textDirection w:val="lrTb"/>
            <w:vAlign w:val="center"/>
          </w:tcPr>
          <w:p w:rsidR="0084667A" w:rsidRPr="00CE4D3F" w:rsidP="002B1759">
            <w:pPr>
              <w:jc w:val="center"/>
              <w:rPr>
                <w:rFonts w:ascii="Arial Narrow" w:hAnsi="Arial Narrow" w:cs="Arial Narrow"/>
                <w:b/>
                <w:color w:val="FFFFFF"/>
                <w:sz w:val="20"/>
                <w:szCs w:val="24"/>
              </w:rPr>
            </w:pPr>
            <w:r w:rsidRPr="00CE4D3F">
              <w:rPr>
                <w:rFonts w:ascii="Arial Narrow" w:hAnsi="Arial Narrow" w:cs="Arial Narrow"/>
                <w:b/>
                <w:color w:val="FFFFFF"/>
                <w:sz w:val="20"/>
                <w:szCs w:val="24"/>
              </w:rPr>
              <w:t>2012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Príjmy TASR spolu</w:t>
            </w:r>
          </w:p>
        </w:tc>
        <w:tc>
          <w:tcPr>
            <w:tcW w:w="55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3 63</w:t>
            </w:r>
            <w:r>
              <w:rPr>
                <w:rFonts w:ascii="Arial Narrow" w:hAnsi="Arial Narrow" w:cs="Arial Narrow"/>
                <w:b/>
                <w:i/>
                <w:sz w:val="20"/>
                <w:szCs w:val="24"/>
              </w:rPr>
              <w:t>1</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4 407</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4 635</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4 902</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nedaňové príjmy, z toho:</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1 745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2 150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2 215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2 282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xml:space="preserve">         príjmy z podnikania a z vlastníctva majetku</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16</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xml:space="preserve">         administratívne a iné poplatky</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1 728</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2 142</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2 207</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2 273</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xml:space="preserve">         ostatné nedaňové príjmy</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transfer zo štátneho rozpočtu</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1 886</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2 037</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2 200</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2 400</w:t>
            </w:r>
          </w:p>
        </w:tc>
      </w:tr>
      <w:tr>
        <w:tblPrEx>
          <w:tblW w:w="5000" w:type="pct"/>
          <w:tblInd w:w="0" w:type="dxa"/>
          <w:tblCellMar>
            <w:left w:w="70" w:type="dxa"/>
            <w:right w:w="70" w:type="dxa"/>
          </w:tblCellMar>
          <w:tblLook w:val="00A0"/>
        </w:tblPrEx>
        <w:trPr>
          <w:trHeight w:val="28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zostatok z pred</w:t>
            </w:r>
            <w:r w:rsidR="00AE010C">
              <w:rPr>
                <w:rFonts w:ascii="Arial Narrow" w:hAnsi="Arial Narrow" w:cs="Arial Narrow"/>
                <w:sz w:val="20"/>
                <w:szCs w:val="24"/>
              </w:rPr>
              <w:t>chádzajúcich</w:t>
            </w:r>
            <w:r w:rsidRPr="00CE4D3F">
              <w:rPr>
                <w:rFonts w:ascii="Arial Narrow" w:hAnsi="Arial Narrow" w:cs="Arial Narrow"/>
                <w:sz w:val="20"/>
                <w:szCs w:val="24"/>
              </w:rPr>
              <w:t xml:space="preserve"> rokov (FO)</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jc w:val="center"/>
              <w:rPr>
                <w:rFonts w:ascii="Arial Narrow" w:hAnsi="Arial Narrow" w:cs="Arial Narrow"/>
                <w:sz w:val="20"/>
                <w:szCs w:val="24"/>
              </w:rPr>
            </w:pPr>
            <w:r w:rsidRPr="00CE4D3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Výdavky TASR spolu</w:t>
            </w:r>
          </w:p>
        </w:tc>
        <w:tc>
          <w:tcPr>
            <w:tcW w:w="55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3 575</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4 187</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4 415</w:t>
            </w:r>
          </w:p>
        </w:tc>
        <w:tc>
          <w:tcPr>
            <w:tcW w:w="55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4 682</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z toho:</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mzdy</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1 773</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1 858</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1 951</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2 054</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odvody</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600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634</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665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701</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tovary a služby</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1 197</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1 54</w:t>
            </w:r>
            <w:r>
              <w:rPr>
                <w:rFonts w:ascii="Arial Narrow" w:hAnsi="Arial Narrow" w:cs="Arial Narrow"/>
                <w:sz w:val="20"/>
                <w:szCs w:val="24"/>
              </w:rPr>
              <w:t>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1 649</w:t>
            </w:r>
          </w:p>
        </w:tc>
        <w:tc>
          <w:tcPr>
            <w:tcW w:w="556"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1 777</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bežné transfery</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5</w:t>
            </w:r>
          </w:p>
        </w:tc>
        <w:tc>
          <w:tcPr>
            <w:tcW w:w="556"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5</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kapitálové výdavky</w:t>
            </w:r>
          </w:p>
        </w:tc>
        <w:tc>
          <w:tcPr>
            <w:tcW w:w="555"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145</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145</w:t>
            </w:r>
          </w:p>
        </w:tc>
        <w:tc>
          <w:tcPr>
            <w:tcW w:w="556" w:type="pct"/>
            <w:tcBorders>
              <w:top w:val="single" w:sz="4" w:space="0" w:color="auto"/>
              <w:left w:val="single" w:sz="4" w:space="0" w:color="auto"/>
              <w:bottom w:val="single" w:sz="4" w:space="0" w:color="auto"/>
              <w:right w:val="single" w:sz="4" w:space="0" w:color="auto"/>
            </w:tcBorders>
            <w:noWrap/>
            <w:textDirection w:val="lrTb"/>
            <w:vAlign w:val="bottom"/>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145</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center"/>
              <w:rPr>
                <w:rFonts w:ascii="Arial Narrow" w:hAnsi="Arial Narrow" w:cs="Arial Narrow"/>
                <w:sz w:val="20"/>
                <w:szCs w:val="24"/>
              </w:rPr>
            </w:pPr>
            <w:r w:rsidRPr="00CE4D3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Celková bilancia TASR</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5</w:t>
            </w:r>
            <w:r>
              <w:rPr>
                <w:rFonts w:ascii="Arial Narrow" w:hAnsi="Arial Narrow" w:cs="Arial Narrow"/>
                <w:b/>
                <w:i/>
                <w:sz w:val="20"/>
                <w:szCs w:val="24"/>
              </w:rPr>
              <w:t>6</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220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220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220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9B626C" w:rsidP="002B1759">
            <w:pPr>
              <w:rPr>
                <w:rFonts w:ascii="Arial Narrow" w:hAnsi="Arial Narrow" w:cs="Arial Narrow"/>
                <w:i/>
                <w:sz w:val="20"/>
                <w:szCs w:val="24"/>
              </w:rPr>
            </w:pPr>
            <w:r w:rsidRPr="009B626C">
              <w:rPr>
                <w:rFonts w:ascii="Arial Narrow" w:hAnsi="Arial Narrow" w:cs="Arial Narrow"/>
                <w:b/>
                <w:i/>
                <w:sz w:val="20"/>
                <w:szCs w:val="24"/>
              </w:rPr>
              <w:t>vylúčenie finančných operácií</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-220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9B626C" w:rsidP="002B1759">
            <w:pPr>
              <w:rPr>
                <w:rFonts w:ascii="Arial Narrow" w:hAnsi="Arial Narrow" w:cs="Arial Narrow"/>
                <w:b/>
                <w:i/>
                <w:sz w:val="20"/>
                <w:szCs w:val="24"/>
              </w:rPr>
            </w:pPr>
            <w:r w:rsidRPr="009B626C">
              <w:rPr>
                <w:rFonts w:ascii="Arial Narrow" w:hAnsi="Arial Narrow" w:cs="Arial Narrow"/>
                <w:b/>
                <w:i/>
                <w:sz w:val="20"/>
                <w:szCs w:val="24"/>
              </w:rPr>
              <w:t>z toho:</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sz w:val="20"/>
                <w:szCs w:val="24"/>
              </w:rPr>
            </w:pPr>
            <w:r w:rsidRPr="00CE4D3F">
              <w:rPr>
                <w:rFonts w:ascii="Arial Narrow" w:hAnsi="Arial Narrow" w:cs="Arial Narrow"/>
                <w:b/>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sz w:val="20"/>
                <w:szCs w:val="24"/>
              </w:rPr>
            </w:pPr>
            <w:r w:rsidRPr="00CE4D3F">
              <w:rPr>
                <w:rFonts w:ascii="Arial Narrow" w:hAnsi="Arial Narrow" w:cs="Arial Narrow"/>
                <w:b/>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sz w:val="20"/>
                <w:szCs w:val="24"/>
              </w:rPr>
            </w:pPr>
            <w:r w:rsidRPr="00CE4D3F">
              <w:rPr>
                <w:rFonts w:ascii="Arial Narrow" w:hAnsi="Arial Narrow" w:cs="Arial Narrow"/>
                <w:b/>
                <w:sz w:val="20"/>
                <w:szCs w:val="24"/>
              </w:rPr>
              <w:t> </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b/>
                <w:sz w:val="20"/>
                <w:szCs w:val="24"/>
              </w:rPr>
            </w:pPr>
            <w:r w:rsidRPr="00CE4D3F">
              <w:rPr>
                <w:rFonts w:ascii="Arial Narrow" w:hAnsi="Arial Narrow" w:cs="Arial Narrow"/>
                <w:b/>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vylúčenie príjmových finančných operácií</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-220</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rPr>
                <w:rFonts w:ascii="Arial Narrow" w:hAnsi="Arial Narrow" w:cs="Arial Narrow"/>
                <w:sz w:val="20"/>
                <w:szCs w:val="24"/>
              </w:rPr>
            </w:pPr>
            <w:r w:rsidRPr="00CE4D3F">
              <w:rPr>
                <w:rFonts w:ascii="Arial Narrow" w:hAnsi="Arial Narrow" w:cs="Arial Narrow"/>
                <w:sz w:val="20"/>
                <w:szCs w:val="24"/>
              </w:rPr>
              <w:t>▪ vylúčenie výdavkových finančných operácií</w:t>
            </w:r>
          </w:p>
        </w:tc>
        <w:tc>
          <w:tcPr>
            <w:tcW w:w="555"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c>
          <w:tcPr>
            <w:tcW w:w="556" w:type="pct"/>
            <w:tcBorders>
              <w:top w:val="single" w:sz="4" w:space="0" w:color="auto"/>
              <w:left w:val="single" w:sz="4" w:space="0" w:color="auto"/>
              <w:bottom w:val="single" w:sz="4" w:space="0" w:color="auto"/>
              <w:right w:val="single" w:sz="4" w:space="0" w:color="auto"/>
            </w:tcBorders>
            <w:noWrap/>
            <w:textDirection w:val="lrTb"/>
            <w:vAlign w:val="center"/>
          </w:tcPr>
          <w:p w:rsidR="0084667A" w:rsidRPr="00CE4D3F" w:rsidP="002B1759">
            <w:pPr>
              <w:jc w:val="right"/>
              <w:rPr>
                <w:rFonts w:ascii="Arial Narrow" w:hAnsi="Arial Narrow" w:cs="Arial Narrow"/>
                <w:sz w:val="20"/>
                <w:szCs w:val="24"/>
              </w:rPr>
            </w:pPr>
            <w:r w:rsidRPr="00CE4D3F">
              <w:rPr>
                <w:rFonts w:ascii="Arial Narrow" w:hAnsi="Arial Narrow" w:cs="Arial Narrow"/>
                <w:sz w:val="20"/>
                <w:szCs w:val="24"/>
              </w:rPr>
              <w:t>0</w:t>
            </w:r>
          </w:p>
        </w:tc>
      </w:tr>
      <w:tr>
        <w:tblPrEx>
          <w:tblW w:w="5000" w:type="pct"/>
          <w:tblInd w:w="0" w:type="dxa"/>
          <w:tblCellMar>
            <w:left w:w="70" w:type="dxa"/>
            <w:right w:w="70" w:type="dxa"/>
          </w:tblCellMar>
          <w:tblLook w:val="00A0"/>
        </w:tblPrEx>
        <w:trPr>
          <w:trHeight w:val="255"/>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84667A" w:rsidRPr="00CE4D3F" w:rsidP="002B1759">
            <w:pPr>
              <w:jc w:val="center"/>
              <w:rPr>
                <w:rFonts w:ascii="Arial Narrow" w:hAnsi="Arial Narrow" w:cs="Arial Narrow"/>
                <w:sz w:val="20"/>
                <w:szCs w:val="24"/>
              </w:rPr>
            </w:pPr>
            <w:r w:rsidRPr="00CE4D3F">
              <w:rPr>
                <w:rFonts w:ascii="Arial Narrow" w:hAnsi="Arial Narrow" w:cs="Arial Narrow"/>
                <w:sz w:val="20"/>
                <w:szCs w:val="24"/>
              </w:rPr>
              <w:t> </w:t>
            </w:r>
          </w:p>
        </w:tc>
      </w:tr>
      <w:tr>
        <w:tblPrEx>
          <w:tblW w:w="5000" w:type="pct"/>
          <w:tblInd w:w="0" w:type="dxa"/>
          <w:tblCellMar>
            <w:left w:w="70" w:type="dxa"/>
            <w:right w:w="70" w:type="dxa"/>
          </w:tblCellMar>
          <w:tblLook w:val="00A0"/>
        </w:tblPrEx>
        <w:trPr>
          <w:trHeight w:val="255"/>
        </w:trPr>
        <w:tc>
          <w:tcPr>
            <w:tcW w:w="277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rPr>
                <w:rFonts w:ascii="Arial Narrow" w:hAnsi="Arial Narrow" w:cs="Arial Narrow"/>
                <w:b/>
                <w:i/>
                <w:sz w:val="20"/>
                <w:szCs w:val="24"/>
              </w:rPr>
            </w:pPr>
            <w:r w:rsidRPr="00CE4D3F">
              <w:rPr>
                <w:rFonts w:ascii="Arial Narrow" w:hAnsi="Arial Narrow" w:cs="Arial Narrow"/>
                <w:b/>
                <w:i/>
                <w:sz w:val="20"/>
                <w:szCs w:val="24"/>
              </w:rPr>
              <w:t>Prebytok</w:t>
            </w:r>
            <w:r w:rsidR="002C6FCA">
              <w:rPr>
                <w:rFonts w:ascii="Arial Narrow" w:hAnsi="Arial Narrow" w:cs="Arial Narrow"/>
                <w:b/>
                <w:i/>
                <w:sz w:val="20"/>
                <w:szCs w:val="24"/>
              </w:rPr>
              <w:t xml:space="preserve"> </w:t>
            </w:r>
            <w:r w:rsidR="00162110">
              <w:rPr>
                <w:rFonts w:ascii="Arial Narrow" w:hAnsi="Arial Narrow" w:cs="Arial Narrow"/>
                <w:b/>
                <w:i/>
                <w:sz w:val="20"/>
                <w:szCs w:val="24"/>
              </w:rPr>
              <w:t xml:space="preserve">/ </w:t>
            </w:r>
            <w:r w:rsidRPr="00CE4D3F">
              <w:rPr>
                <w:rFonts w:ascii="Arial Narrow" w:hAnsi="Arial Narrow" w:cs="Arial Narrow"/>
                <w:b/>
                <w:i/>
                <w:sz w:val="20"/>
                <w:szCs w:val="24"/>
              </w:rPr>
              <w:t>schodok TASR (ESA 95)</w:t>
            </w:r>
          </w:p>
        </w:tc>
        <w:tc>
          <w:tcPr>
            <w:tcW w:w="555"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5</w:t>
            </w:r>
            <w:r>
              <w:rPr>
                <w:rFonts w:ascii="Arial Narrow" w:hAnsi="Arial Narrow" w:cs="Arial Narrow"/>
                <w:b/>
                <w:i/>
                <w:sz w:val="20"/>
                <w:szCs w:val="24"/>
              </w:rPr>
              <w:t>6</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0</w:t>
            </w:r>
          </w:p>
        </w:tc>
        <w:tc>
          <w:tcPr>
            <w:tcW w:w="55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CE4D3F" w:rsidP="002B1759">
            <w:pPr>
              <w:jc w:val="right"/>
              <w:rPr>
                <w:rFonts w:ascii="Arial Narrow" w:hAnsi="Arial Narrow" w:cs="Arial Narrow"/>
                <w:b/>
                <w:i/>
                <w:sz w:val="20"/>
                <w:szCs w:val="24"/>
              </w:rPr>
            </w:pPr>
            <w:r w:rsidRPr="00CE4D3F">
              <w:rPr>
                <w:rFonts w:ascii="Arial Narrow" w:hAnsi="Arial Narrow" w:cs="Arial Narrow"/>
                <w:b/>
                <w:i/>
                <w:sz w:val="20"/>
                <w:szCs w:val="24"/>
              </w:rPr>
              <w:t>0</w:t>
            </w:r>
          </w:p>
        </w:tc>
      </w:tr>
    </w:tbl>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Rozpočet príjmov na rok 2009 sa ešte odvíjal od rozpočtu vytvoreného v rozpočtovom rámci 2009 - 2011 pod MK SR, kedy TASR nebola platcom DPH. Vzhľadom na uvedené je zrejmé, že porovnanie príjmov ako aj výdavkov v roku 2010 s rokom 2009, kde je viditeľný 21,4 % nárast v príjmoch a 17,1 % nárast vo výdavkoch nemá vypovedaciu hodnotu.</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sz w:val="22"/>
          <w:szCs w:val="24"/>
        </w:rPr>
      </w:pPr>
      <w:r>
        <w:rPr>
          <w:rFonts w:ascii="Arial Narrow" w:hAnsi="Arial Narrow" w:cs="Arial Narrow"/>
          <w:sz w:val="22"/>
          <w:szCs w:val="24"/>
        </w:rPr>
        <w:t>Príjmová časť rozpočtu je tvorená najmä príjmami z administratívnych poplatkov (predaj spravodajského servisu), ktorých výška tvorí 48,6 % z celkových príjmov v roku 2010 a transferom zo štátneho rozpočtu z Ministerstva kultúry SR, ktorého výška predstavuje 46,2 % z celkových príjmov v roku 2010. Celkové príjmy na rok 2010 sa predpokladajú vo výške 4,41 mil. eur.</w:t>
      </w:r>
    </w:p>
    <w:p w:rsidR="0084667A" w:rsidP="0084667A">
      <w:pPr>
        <w:autoSpaceDE w:val="0"/>
        <w:autoSpaceDN w:val="0"/>
        <w:adjustRightInd w:val="0"/>
        <w:jc w:val="both"/>
        <w:rPr>
          <w:rFonts w:ascii="Arial Narrow" w:hAnsi="Arial Narrow" w:cs="Arial Narrow"/>
          <w:sz w:val="22"/>
          <w:szCs w:val="24"/>
        </w:rPr>
      </w:pPr>
    </w:p>
    <w:p w:rsidR="0084667A" w:rsidRPr="00772FBF" w:rsidP="0084667A">
      <w:pPr>
        <w:ind w:firstLine="708"/>
        <w:jc w:val="both"/>
        <w:rPr>
          <w:rFonts w:ascii="Arial Narrow" w:hAnsi="Arial Narrow" w:cs="Arial Narrow"/>
          <w:sz w:val="22"/>
          <w:szCs w:val="24"/>
        </w:rPr>
      </w:pPr>
      <w:r>
        <w:rPr>
          <w:rFonts w:ascii="Arial Narrow" w:hAnsi="Arial Narrow" w:cs="Arial Narrow"/>
          <w:sz w:val="22"/>
          <w:szCs w:val="24"/>
        </w:rPr>
        <w:t>Výdavková časť rozpočtu TASR odzrkadľuje v celkovej výške príjmovú časť rozpočtu. Najväčšiu časť výdavkov tvoria mzdy s podielom 44,4 % a tovary a služby vo výške 36,9 % z celkových výdavkoch.</w:t>
      </w:r>
      <w:r w:rsidRPr="00772FBF">
        <w:rPr>
          <w:rFonts w:ascii="Arial Narrow" w:hAnsi="Arial Narrow" w:cs="Arial Narrow"/>
          <w:sz w:val="22"/>
          <w:szCs w:val="24"/>
        </w:rPr>
        <w:t xml:space="preserve">   </w:t>
      </w:r>
    </w:p>
    <w:p w:rsidR="0084667A" w:rsidP="0084667A">
      <w:pPr>
        <w:jc w:val="both"/>
        <w:rPr>
          <w:rFonts w:ascii="Arial Narrow" w:hAnsi="Arial Narrow" w:cs="Arial Narrow"/>
          <w:sz w:val="22"/>
          <w:szCs w:val="24"/>
        </w:rPr>
      </w:pPr>
    </w:p>
    <w:p w:rsidR="0084667A" w:rsidP="0084667A">
      <w:pPr>
        <w:ind w:firstLine="708"/>
        <w:jc w:val="both"/>
        <w:rPr>
          <w:rFonts w:ascii="Arial Narrow" w:hAnsi="Arial Narrow" w:cs="Arial Narrow"/>
          <w:b/>
          <w:sz w:val="22"/>
          <w:szCs w:val="24"/>
        </w:rPr>
      </w:pPr>
      <w:r>
        <w:rPr>
          <w:rFonts w:ascii="Arial Narrow" w:hAnsi="Arial Narrow" w:cs="Arial Narrow"/>
          <w:sz w:val="22"/>
          <w:szCs w:val="24"/>
        </w:rPr>
        <w:t xml:space="preserve">Výsledok hospodárenia TASR vzhľadom na jej existenciu ako samostatného subjektu verejnej správy v tomto roku, nie je možné porovnať s predchádzajúcim obdobím. Saldo hospodárenia TASR sa v období 2010 </w:t>
      </w:r>
      <w:r w:rsidR="005F12B1">
        <w:rPr>
          <w:rFonts w:ascii="Arial Narrow" w:hAnsi="Arial Narrow" w:cs="Arial Narrow"/>
          <w:sz w:val="22"/>
          <w:szCs w:val="24"/>
        </w:rPr>
        <w:t>až</w:t>
      </w:r>
      <w:r>
        <w:rPr>
          <w:rFonts w:ascii="Arial Narrow" w:hAnsi="Arial Narrow" w:cs="Arial Narrow"/>
          <w:sz w:val="22"/>
          <w:szCs w:val="24"/>
        </w:rPr>
        <w:t xml:space="preserve"> 2012 predpokladá vyrovnané.</w:t>
      </w:r>
    </w:p>
    <w:p w:rsidR="0084667A" w:rsidRPr="00BC60D1" w:rsidP="0084667A">
      <w:pPr>
        <w:jc w:val="both"/>
        <w:rPr>
          <w:rFonts w:ascii="Arial Narrow" w:hAnsi="Arial Narrow" w:cs="Arial Narrow"/>
          <w:szCs w:val="24"/>
        </w:rPr>
      </w:pPr>
    </w:p>
    <w:p w:rsidR="0084667A" w:rsidRPr="00BC60D1" w:rsidP="0084667A">
      <w:pPr>
        <w:jc w:val="both"/>
        <w:rPr>
          <w:rFonts w:ascii="Arial Narrow" w:hAnsi="Arial Narrow" w:cs="Arial Narrow"/>
          <w:szCs w:val="24"/>
        </w:rPr>
      </w:pPr>
    </w:p>
    <w:p w:rsidR="0084667A" w:rsidRPr="00BC60D1" w:rsidP="0084667A">
      <w:pPr>
        <w:rPr>
          <w:rFonts w:ascii="Arial Narrow" w:hAnsi="Arial Narrow" w:cs="Arial Narrow"/>
          <w:b/>
          <w:szCs w:val="24"/>
        </w:rPr>
      </w:pPr>
      <w:r w:rsidRPr="00BC60D1">
        <w:rPr>
          <w:rFonts w:ascii="Arial Narrow" w:hAnsi="Arial Narrow" w:cs="Arial Narrow"/>
          <w:b/>
          <w:szCs w:val="24"/>
        </w:rPr>
        <w:t>15. Úrad pre dohľad nad výkonom auditu</w:t>
      </w:r>
    </w:p>
    <w:p w:rsidR="0084667A" w:rsidP="0084667A">
      <w:pPr>
        <w:pStyle w:val="BodyText2"/>
        <w:spacing w:after="0"/>
        <w:jc w:val="both"/>
        <w:rPr>
          <w:rFonts w:ascii="Arial Narrow" w:hAnsi="Arial Narrow" w:cs="Arial Narrow"/>
          <w:noProof/>
          <w:sz w:val="22"/>
          <w:szCs w:val="24"/>
        </w:rPr>
      </w:pPr>
    </w:p>
    <w:p w:rsidR="0084667A" w:rsidRPr="00246A7B" w:rsidP="0084667A">
      <w:pPr>
        <w:pStyle w:val="BodyText2"/>
        <w:spacing w:after="0"/>
        <w:ind w:left="0" w:firstLine="708"/>
        <w:jc w:val="both"/>
        <w:rPr>
          <w:rFonts w:ascii="Arial Narrow" w:hAnsi="Arial Narrow" w:cs="Arial Narrow"/>
          <w:noProof/>
          <w:sz w:val="22"/>
          <w:szCs w:val="24"/>
        </w:rPr>
      </w:pPr>
      <w:r w:rsidRPr="00246A7B">
        <w:rPr>
          <w:rFonts w:ascii="Arial Narrow" w:hAnsi="Arial Narrow" w:cs="Arial Narrow"/>
          <w:noProof/>
          <w:sz w:val="22"/>
          <w:szCs w:val="24"/>
        </w:rPr>
        <w:t>Úrad je verejnopráv</w:t>
      </w:r>
      <w:r>
        <w:rPr>
          <w:rFonts w:ascii="Arial Narrow" w:hAnsi="Arial Narrow" w:cs="Arial Narrow"/>
          <w:noProof/>
          <w:sz w:val="22"/>
          <w:szCs w:val="24"/>
        </w:rPr>
        <w:t>na inštitúcia a je klasifikovaný ako subjekt ústrednej štátnej správy</w:t>
      </w:r>
      <w:r w:rsidRPr="00246A7B">
        <w:rPr>
          <w:rFonts w:ascii="Arial Narrow" w:hAnsi="Arial Narrow" w:cs="Arial Narrow"/>
          <w:noProof/>
          <w:sz w:val="22"/>
          <w:szCs w:val="24"/>
        </w:rPr>
        <w:t>. Pri zo</w:t>
      </w:r>
      <w:r>
        <w:rPr>
          <w:rFonts w:ascii="Arial Narrow" w:hAnsi="Arial Narrow" w:cs="Arial Narrow"/>
          <w:noProof/>
          <w:sz w:val="22"/>
          <w:szCs w:val="24"/>
        </w:rPr>
        <w:t>stavovaní rozpočtu Úradu sa vychádza hlavne zo z</w:t>
      </w:r>
      <w:r w:rsidRPr="00246A7B">
        <w:rPr>
          <w:rFonts w:ascii="Arial Narrow" w:hAnsi="Arial Narrow" w:cs="Arial Narrow"/>
          <w:noProof/>
          <w:sz w:val="22"/>
          <w:szCs w:val="24"/>
        </w:rPr>
        <w:t>ákona č. 540/2007 Z. z. o audítoroch, audite a dohľade nad výkonom auditu a o zmene a doplnení zákona č. 431/2002 Z. z o účtovníctve v znení nesko</w:t>
      </w:r>
      <w:r>
        <w:rPr>
          <w:rFonts w:ascii="Arial Narrow" w:hAnsi="Arial Narrow" w:cs="Arial Narrow"/>
          <w:noProof/>
          <w:sz w:val="22"/>
          <w:szCs w:val="24"/>
        </w:rPr>
        <w:t>rších predpisov (ďalej len „zákon“). V súlade s týmto z</w:t>
      </w:r>
      <w:r w:rsidRPr="00246A7B">
        <w:rPr>
          <w:rFonts w:ascii="Arial Narrow" w:hAnsi="Arial Narrow" w:cs="Arial Narrow"/>
          <w:noProof/>
          <w:sz w:val="22"/>
          <w:szCs w:val="24"/>
        </w:rPr>
        <w:t>ákonom Úrad zostavuje rozpočet výnosov a nákladov na príslušný rozpočtový rok. V rozpočte Úradu sa osobitne rozpočtujú náklady na činnosť Rady, správy Úradu, Dozorného výboru a jednotlivých výborov.</w:t>
      </w:r>
    </w:p>
    <w:p w:rsidR="0084667A" w:rsidRPr="00246A7B" w:rsidP="0084667A">
      <w:pPr>
        <w:pStyle w:val="BodyText2"/>
        <w:spacing w:after="0"/>
        <w:ind w:left="0"/>
        <w:jc w:val="both"/>
        <w:rPr>
          <w:rFonts w:ascii="Arial Narrow" w:hAnsi="Arial Narrow" w:cs="Arial Narrow"/>
          <w:noProof/>
          <w:sz w:val="22"/>
          <w:szCs w:val="24"/>
        </w:rPr>
      </w:pPr>
    </w:p>
    <w:p w:rsidR="0084667A" w:rsidP="0084667A">
      <w:pPr>
        <w:pStyle w:val="BodyText2"/>
        <w:spacing w:after="0"/>
        <w:ind w:left="0" w:firstLine="708"/>
        <w:jc w:val="both"/>
        <w:rPr>
          <w:rFonts w:ascii="Arial Narrow" w:hAnsi="Arial Narrow" w:cs="Arial Narrow"/>
          <w:noProof/>
          <w:sz w:val="22"/>
          <w:szCs w:val="24"/>
        </w:rPr>
      </w:pPr>
      <w:r>
        <w:rPr>
          <w:rFonts w:ascii="Arial Narrow" w:hAnsi="Arial Narrow" w:cs="Arial Narrow"/>
          <w:noProof/>
          <w:sz w:val="22"/>
          <w:szCs w:val="24"/>
        </w:rPr>
        <w:t>Hlavnými cielmi</w:t>
      </w:r>
      <w:r w:rsidRPr="00AD1C62">
        <w:rPr>
          <w:rFonts w:ascii="Arial Narrow" w:hAnsi="Arial Narrow" w:cs="Arial Narrow"/>
          <w:noProof/>
          <w:sz w:val="22"/>
          <w:szCs w:val="24"/>
        </w:rPr>
        <w:t xml:space="preserve"> </w:t>
      </w:r>
      <w:r>
        <w:rPr>
          <w:rFonts w:ascii="Arial Narrow" w:hAnsi="Arial Narrow" w:cs="Arial Narrow"/>
          <w:noProof/>
          <w:sz w:val="22"/>
          <w:szCs w:val="24"/>
        </w:rPr>
        <w:t>a činnosťami</w:t>
      </w:r>
      <w:r w:rsidRPr="00AD1C62">
        <w:rPr>
          <w:rFonts w:ascii="Arial Narrow" w:hAnsi="Arial Narrow" w:cs="Arial Narrow"/>
          <w:noProof/>
          <w:sz w:val="22"/>
          <w:szCs w:val="24"/>
        </w:rPr>
        <w:t xml:space="preserve"> Úradu</w:t>
      </w:r>
      <w:r>
        <w:rPr>
          <w:rFonts w:ascii="Arial Narrow" w:hAnsi="Arial Narrow" w:cs="Arial Narrow"/>
          <w:i/>
          <w:noProof/>
          <w:sz w:val="22"/>
          <w:szCs w:val="24"/>
        </w:rPr>
        <w:t xml:space="preserve"> </w:t>
      </w:r>
      <w:r>
        <w:rPr>
          <w:rFonts w:ascii="Arial Narrow" w:hAnsi="Arial Narrow" w:cs="Arial Narrow"/>
          <w:noProof/>
          <w:sz w:val="22"/>
          <w:szCs w:val="24"/>
        </w:rPr>
        <w:t>je p</w:t>
      </w:r>
      <w:r w:rsidRPr="00246A7B">
        <w:rPr>
          <w:rFonts w:ascii="Arial Narrow" w:hAnsi="Arial Narrow" w:cs="Arial Narrow"/>
          <w:noProof/>
          <w:sz w:val="22"/>
          <w:szCs w:val="24"/>
        </w:rPr>
        <w:t>rispievať ku zvyšovaniu dôvery investorov a širokej verejnosti v audit účtovných závierok a v audit súladu výročných správ s účtovnými závierkami</w:t>
      </w:r>
      <w:r>
        <w:rPr>
          <w:rFonts w:ascii="Arial Narrow" w:hAnsi="Arial Narrow" w:cs="Arial Narrow"/>
          <w:noProof/>
          <w:sz w:val="22"/>
          <w:szCs w:val="24"/>
        </w:rPr>
        <w:t xml:space="preserve">. </w:t>
      </w:r>
      <w:r w:rsidRPr="00246A7B">
        <w:rPr>
          <w:rFonts w:ascii="Arial Narrow" w:hAnsi="Arial Narrow" w:cs="Arial Narrow"/>
          <w:noProof/>
          <w:sz w:val="22"/>
          <w:szCs w:val="24"/>
        </w:rPr>
        <w:t>Vytvoriť efektívny systém verejného dohľadu nad výkonom auditu, pričom dohliadanými subjektmi sú Slovenská komora audítorov, audítori a audítorské spoločnosti</w:t>
      </w:r>
      <w:r>
        <w:rPr>
          <w:rFonts w:ascii="Arial Narrow" w:hAnsi="Arial Narrow" w:cs="Arial Narrow"/>
          <w:noProof/>
          <w:sz w:val="22"/>
          <w:szCs w:val="24"/>
        </w:rPr>
        <w:t xml:space="preserve">. </w:t>
      </w:r>
      <w:r w:rsidRPr="00246A7B">
        <w:rPr>
          <w:rFonts w:ascii="Arial Narrow" w:hAnsi="Arial Narrow" w:cs="Arial Narrow"/>
          <w:noProof/>
          <w:sz w:val="22"/>
          <w:szCs w:val="24"/>
        </w:rPr>
        <w:t>Vykonávať tento dohľad nestranne a nezávisle od štátnych orgánov, orgánov územnej samosprávy, iných orgánov verejnej moci a od ďalších právnických alebo fyzických osôb. Osobitný dôraz pritom klásť na výkon auditu v subjektoch verejného záujmu</w:t>
      </w:r>
      <w:r>
        <w:rPr>
          <w:rFonts w:ascii="Arial Narrow" w:hAnsi="Arial Narrow" w:cs="Arial Narrow"/>
          <w:noProof/>
          <w:sz w:val="22"/>
          <w:szCs w:val="24"/>
        </w:rPr>
        <w:t xml:space="preserve">. </w:t>
      </w:r>
      <w:r w:rsidRPr="00246A7B">
        <w:rPr>
          <w:rFonts w:ascii="Arial Narrow" w:hAnsi="Arial Narrow" w:cs="Arial Narrow"/>
          <w:noProof/>
          <w:sz w:val="22"/>
          <w:szCs w:val="24"/>
        </w:rPr>
        <w:t>Spolupracovať s príslušnými orgánmi dohľadu členských krajín Európskej únie a tretích krajín</w:t>
      </w:r>
      <w:r>
        <w:rPr>
          <w:rFonts w:ascii="Arial Narrow" w:hAnsi="Arial Narrow" w:cs="Arial Narrow"/>
          <w:noProof/>
          <w:sz w:val="22"/>
          <w:szCs w:val="24"/>
        </w:rPr>
        <w:t>.</w:t>
      </w:r>
      <w:r>
        <w:rPr>
          <w:rFonts w:ascii="Arial Narrow" w:hAnsi="Arial Narrow" w:cs="Arial Narrow"/>
          <w:i/>
          <w:noProof/>
          <w:sz w:val="22"/>
          <w:szCs w:val="24"/>
        </w:rPr>
        <w:t xml:space="preserve"> </w:t>
      </w:r>
      <w:r w:rsidRPr="00246A7B">
        <w:rPr>
          <w:rFonts w:ascii="Arial Narrow" w:hAnsi="Arial Narrow" w:cs="Arial Narrow"/>
          <w:noProof/>
          <w:sz w:val="22"/>
          <w:szCs w:val="24"/>
        </w:rPr>
        <w:t>Spolupracovať s orgánmi Európskej únie pri tvorbe medzinárodných účtovných štandardov a medzinárodných audítorských štandardov a zabezpečovať ich prístupnosť pre používateľov v Slovenskej republike v štátnom jazyku</w:t>
      </w:r>
      <w:r>
        <w:rPr>
          <w:rFonts w:ascii="Arial Narrow" w:hAnsi="Arial Narrow" w:cs="Arial Narrow"/>
          <w:noProof/>
          <w:sz w:val="22"/>
          <w:szCs w:val="24"/>
        </w:rPr>
        <w:t xml:space="preserve">. </w:t>
      </w:r>
      <w:r w:rsidRPr="00246A7B">
        <w:rPr>
          <w:rFonts w:ascii="Arial Narrow" w:hAnsi="Arial Narrow" w:cs="Arial Narrow"/>
          <w:noProof/>
          <w:sz w:val="22"/>
          <w:szCs w:val="24"/>
        </w:rPr>
        <w:t>Spolupracovať s Ministerstvom financií na príprave právnych predpisov v oblasti účtovníctva a</w:t>
      </w:r>
      <w:r>
        <w:rPr>
          <w:rFonts w:ascii="Arial Narrow" w:hAnsi="Arial Narrow" w:cs="Arial Narrow"/>
          <w:noProof/>
          <w:sz w:val="22"/>
          <w:szCs w:val="24"/>
        </w:rPr>
        <w:t> </w:t>
      </w:r>
      <w:r w:rsidRPr="00246A7B">
        <w:rPr>
          <w:rFonts w:ascii="Arial Narrow" w:hAnsi="Arial Narrow" w:cs="Arial Narrow"/>
          <w:noProof/>
          <w:sz w:val="22"/>
          <w:szCs w:val="24"/>
        </w:rPr>
        <w:t>auditu</w:t>
      </w:r>
      <w:r>
        <w:rPr>
          <w:rFonts w:ascii="Arial Narrow" w:hAnsi="Arial Narrow" w:cs="Arial Narrow"/>
          <w:noProof/>
          <w:sz w:val="22"/>
          <w:szCs w:val="24"/>
        </w:rPr>
        <w:t>.</w:t>
      </w:r>
      <w:r w:rsidRPr="00D676BB">
        <w:rPr>
          <w:rFonts w:ascii="Arial Narrow" w:hAnsi="Arial Narrow" w:cs="Arial Narrow"/>
          <w:noProof/>
          <w:sz w:val="22"/>
          <w:szCs w:val="24"/>
        </w:rPr>
        <w:t xml:space="preserve"> </w:t>
      </w:r>
    </w:p>
    <w:p w:rsidR="0084667A" w:rsidP="0084667A">
      <w:pPr>
        <w:pStyle w:val="BodyText2"/>
        <w:spacing w:after="0"/>
        <w:ind w:left="0"/>
        <w:jc w:val="both"/>
        <w:rPr>
          <w:rFonts w:ascii="Arial Narrow" w:hAnsi="Arial Narrow" w:cs="Arial Narrow"/>
          <w:noProof/>
          <w:sz w:val="22"/>
          <w:szCs w:val="24"/>
        </w:rPr>
      </w:pPr>
    </w:p>
    <w:p w:rsidR="0084667A" w:rsidRPr="00246A7B" w:rsidP="0084667A">
      <w:pPr>
        <w:pStyle w:val="BodyText2"/>
        <w:spacing w:after="0"/>
        <w:ind w:left="0" w:firstLine="708"/>
        <w:jc w:val="both"/>
        <w:rPr>
          <w:rFonts w:ascii="Arial Narrow" w:hAnsi="Arial Narrow" w:cs="Arial Narrow"/>
          <w:noProof/>
          <w:sz w:val="22"/>
          <w:szCs w:val="24"/>
        </w:rPr>
      </w:pPr>
      <w:r>
        <w:rPr>
          <w:rFonts w:ascii="Arial Narrow" w:hAnsi="Arial Narrow" w:cs="Arial Narrow"/>
          <w:noProof/>
          <w:sz w:val="22"/>
          <w:szCs w:val="24"/>
        </w:rPr>
        <w:t>Príjmy</w:t>
      </w:r>
      <w:r w:rsidRPr="00246A7B">
        <w:rPr>
          <w:rFonts w:ascii="Arial Narrow" w:hAnsi="Arial Narrow" w:cs="Arial Narrow"/>
          <w:noProof/>
          <w:sz w:val="22"/>
          <w:szCs w:val="24"/>
        </w:rPr>
        <w:t xml:space="preserve"> Úradu </w:t>
      </w:r>
      <w:r>
        <w:rPr>
          <w:rFonts w:ascii="Arial Narrow" w:hAnsi="Arial Narrow" w:cs="Arial Narrow"/>
          <w:noProof/>
          <w:sz w:val="22"/>
          <w:szCs w:val="24"/>
        </w:rPr>
        <w:t xml:space="preserve">na rok 2010 sú rozpočtované vo výške 712 tis. eur a tvoria ich najmä </w:t>
      </w:r>
      <w:r w:rsidRPr="00246A7B">
        <w:rPr>
          <w:rFonts w:ascii="Arial Narrow" w:hAnsi="Arial Narrow" w:cs="Arial Narrow"/>
          <w:noProof/>
          <w:sz w:val="22"/>
          <w:szCs w:val="24"/>
        </w:rPr>
        <w:t>príspevok zo štátneho rozpočtu</w:t>
      </w:r>
      <w:r>
        <w:rPr>
          <w:rFonts w:ascii="Arial Narrow" w:hAnsi="Arial Narrow" w:cs="Arial Narrow"/>
          <w:noProof/>
          <w:sz w:val="22"/>
          <w:szCs w:val="24"/>
        </w:rPr>
        <w:t xml:space="preserve"> prostredníctvom</w:t>
      </w:r>
      <w:r w:rsidRPr="00246A7B">
        <w:rPr>
          <w:rFonts w:ascii="Arial Narrow" w:hAnsi="Arial Narrow" w:cs="Arial Narrow"/>
          <w:noProof/>
          <w:sz w:val="22"/>
          <w:szCs w:val="24"/>
        </w:rPr>
        <w:t xml:space="preserve"> kapitoly Ministerstva financií Slovenskej republiky</w:t>
      </w:r>
      <w:r>
        <w:rPr>
          <w:rFonts w:ascii="Arial Narrow" w:hAnsi="Arial Narrow" w:cs="Arial Narrow"/>
          <w:noProof/>
          <w:sz w:val="22"/>
          <w:szCs w:val="24"/>
        </w:rPr>
        <w:t xml:space="preserve"> vo výške 262 tis. eur. Ďalšími príjmami sú </w:t>
      </w:r>
      <w:r w:rsidRPr="00246A7B">
        <w:rPr>
          <w:rFonts w:ascii="Arial Narrow" w:hAnsi="Arial Narrow" w:cs="Arial Narrow"/>
          <w:noProof/>
          <w:sz w:val="22"/>
          <w:szCs w:val="24"/>
        </w:rPr>
        <w:t>ročné príspevky subjektov verejného záujmu</w:t>
      </w:r>
      <w:r>
        <w:rPr>
          <w:rFonts w:ascii="Arial Narrow" w:hAnsi="Arial Narrow" w:cs="Arial Narrow"/>
          <w:noProof/>
          <w:sz w:val="22"/>
          <w:szCs w:val="24"/>
        </w:rPr>
        <w:t xml:space="preserve"> rozpočtované v roku 2010 vo výške 411 tis. eur a ostatné (napr. príjmy</w:t>
      </w:r>
      <w:r w:rsidRPr="00246A7B">
        <w:rPr>
          <w:rFonts w:ascii="Arial Narrow" w:hAnsi="Arial Narrow" w:cs="Arial Narrow"/>
          <w:noProof/>
          <w:sz w:val="22"/>
          <w:szCs w:val="24"/>
        </w:rPr>
        <w:t xml:space="preserve"> z</w:t>
      </w:r>
      <w:r>
        <w:rPr>
          <w:rFonts w:ascii="Arial Narrow" w:hAnsi="Arial Narrow" w:cs="Arial Narrow"/>
          <w:noProof/>
          <w:sz w:val="22"/>
          <w:szCs w:val="24"/>
        </w:rPr>
        <w:t> </w:t>
      </w:r>
      <w:r w:rsidRPr="00246A7B">
        <w:rPr>
          <w:rFonts w:ascii="Arial Narrow" w:hAnsi="Arial Narrow" w:cs="Arial Narrow"/>
          <w:noProof/>
          <w:sz w:val="22"/>
          <w:szCs w:val="24"/>
        </w:rPr>
        <w:t>pokút</w:t>
      </w:r>
      <w:r>
        <w:rPr>
          <w:rFonts w:ascii="Arial Narrow" w:hAnsi="Arial Narrow" w:cs="Arial Narrow"/>
          <w:noProof/>
          <w:sz w:val="22"/>
          <w:szCs w:val="24"/>
        </w:rPr>
        <w:t xml:space="preserve">, </w:t>
      </w:r>
      <w:r w:rsidRPr="00246A7B">
        <w:rPr>
          <w:rFonts w:ascii="Arial Narrow" w:hAnsi="Arial Narrow" w:cs="Arial Narrow"/>
          <w:noProof/>
          <w:sz w:val="22"/>
          <w:szCs w:val="24"/>
        </w:rPr>
        <w:t>náhrady za trovy konania</w:t>
      </w:r>
      <w:r>
        <w:rPr>
          <w:rFonts w:ascii="Arial Narrow" w:hAnsi="Arial Narrow" w:cs="Arial Narrow"/>
          <w:noProof/>
          <w:sz w:val="22"/>
          <w:szCs w:val="24"/>
        </w:rPr>
        <w:t xml:space="preserve">, </w:t>
      </w:r>
      <w:r w:rsidRPr="00246A7B">
        <w:rPr>
          <w:rFonts w:ascii="Arial Narrow" w:hAnsi="Arial Narrow" w:cs="Arial Narrow"/>
          <w:noProof/>
          <w:sz w:val="22"/>
          <w:szCs w:val="24"/>
        </w:rPr>
        <w:t>úrok z</w:t>
      </w:r>
      <w:r>
        <w:rPr>
          <w:rFonts w:ascii="Arial Narrow" w:hAnsi="Arial Narrow" w:cs="Arial Narrow"/>
          <w:noProof/>
          <w:sz w:val="22"/>
          <w:szCs w:val="24"/>
        </w:rPr>
        <w:t> </w:t>
      </w:r>
      <w:r w:rsidRPr="00246A7B">
        <w:rPr>
          <w:rFonts w:ascii="Arial Narrow" w:hAnsi="Arial Narrow" w:cs="Arial Narrow"/>
          <w:noProof/>
          <w:sz w:val="22"/>
          <w:szCs w:val="24"/>
        </w:rPr>
        <w:t>omeškania</w:t>
      </w:r>
      <w:r>
        <w:rPr>
          <w:rFonts w:ascii="Arial Narrow" w:hAnsi="Arial Narrow" w:cs="Arial Narrow"/>
          <w:noProof/>
          <w:sz w:val="22"/>
          <w:szCs w:val="24"/>
        </w:rPr>
        <w:t xml:space="preserve">, </w:t>
      </w:r>
      <w:r w:rsidRPr="00246A7B">
        <w:rPr>
          <w:rFonts w:ascii="Arial Narrow" w:hAnsi="Arial Narrow" w:cs="Arial Narrow"/>
          <w:noProof/>
          <w:sz w:val="22"/>
          <w:szCs w:val="24"/>
        </w:rPr>
        <w:t>poplatky za skúšky a</w:t>
      </w:r>
      <w:r>
        <w:rPr>
          <w:rFonts w:ascii="Arial Narrow" w:hAnsi="Arial Narrow" w:cs="Arial Narrow"/>
          <w:noProof/>
          <w:sz w:val="22"/>
          <w:szCs w:val="24"/>
        </w:rPr>
        <w:t> </w:t>
      </w:r>
      <w:r w:rsidRPr="00246A7B">
        <w:rPr>
          <w:rFonts w:ascii="Arial Narrow" w:hAnsi="Arial Narrow" w:cs="Arial Narrow"/>
          <w:noProof/>
          <w:sz w:val="22"/>
          <w:szCs w:val="24"/>
        </w:rPr>
        <w:t>preskúšanie</w:t>
      </w:r>
      <w:r>
        <w:rPr>
          <w:rFonts w:ascii="Arial Narrow" w:hAnsi="Arial Narrow" w:cs="Arial Narrow"/>
          <w:noProof/>
          <w:sz w:val="22"/>
          <w:szCs w:val="24"/>
        </w:rPr>
        <w:t xml:space="preserve">, </w:t>
      </w:r>
      <w:r w:rsidRPr="00246A7B">
        <w:rPr>
          <w:rFonts w:ascii="Arial Narrow" w:hAnsi="Arial Narrow" w:cs="Arial Narrow"/>
          <w:noProof/>
          <w:sz w:val="22"/>
          <w:szCs w:val="24"/>
        </w:rPr>
        <w:t>poplatky za úkony na úrade</w:t>
      </w:r>
      <w:r>
        <w:rPr>
          <w:rFonts w:ascii="Arial Narrow" w:hAnsi="Arial Narrow" w:cs="Arial Narrow"/>
          <w:noProof/>
          <w:sz w:val="22"/>
          <w:szCs w:val="24"/>
        </w:rPr>
        <w:t>) v celkovej výške 39,0 tis. eur.</w:t>
      </w:r>
    </w:p>
    <w:p w:rsidR="0084667A" w:rsidRPr="00246A7B" w:rsidP="0084667A">
      <w:pPr>
        <w:pStyle w:val="BodyText2"/>
        <w:spacing w:after="0"/>
        <w:ind w:left="0"/>
        <w:jc w:val="both"/>
        <w:rPr>
          <w:rFonts w:ascii="Arial Narrow" w:hAnsi="Arial Narrow" w:cs="Arial Narrow"/>
          <w:noProof/>
          <w:sz w:val="22"/>
          <w:szCs w:val="24"/>
        </w:rPr>
      </w:pPr>
    </w:p>
    <w:p w:rsidR="0084667A" w:rsidP="0084667A">
      <w:pPr>
        <w:pStyle w:val="BodyText2"/>
        <w:spacing w:after="0"/>
        <w:ind w:left="0" w:firstLine="708"/>
        <w:jc w:val="both"/>
        <w:rPr>
          <w:rFonts w:ascii="Arial Narrow" w:hAnsi="Arial Narrow" w:cs="Arial Narrow"/>
          <w:noProof/>
          <w:sz w:val="22"/>
          <w:szCs w:val="24"/>
        </w:rPr>
      </w:pPr>
      <w:r>
        <w:rPr>
          <w:rFonts w:ascii="Arial Narrow" w:hAnsi="Arial Narrow" w:cs="Arial Narrow"/>
          <w:noProof/>
          <w:sz w:val="22"/>
          <w:szCs w:val="24"/>
        </w:rPr>
        <w:t>Výdavková</w:t>
      </w:r>
      <w:r w:rsidRPr="00246A7B">
        <w:rPr>
          <w:rFonts w:ascii="Arial Narrow" w:hAnsi="Arial Narrow" w:cs="Arial Narrow"/>
          <w:noProof/>
          <w:sz w:val="22"/>
          <w:szCs w:val="24"/>
        </w:rPr>
        <w:t xml:space="preserve"> časť rozpočtu predstavuje </w:t>
      </w:r>
      <w:r>
        <w:rPr>
          <w:rFonts w:ascii="Arial Narrow" w:hAnsi="Arial Narrow" w:cs="Arial Narrow"/>
          <w:noProof/>
          <w:sz w:val="22"/>
          <w:szCs w:val="24"/>
        </w:rPr>
        <w:t>výdavky</w:t>
      </w:r>
      <w:r w:rsidRPr="00246A7B">
        <w:rPr>
          <w:rFonts w:ascii="Arial Narrow" w:hAnsi="Arial Narrow" w:cs="Arial Narrow"/>
          <w:noProof/>
          <w:sz w:val="22"/>
          <w:szCs w:val="24"/>
        </w:rPr>
        <w:t xml:space="preserve"> spojené so zabezpečením činnosti Úradu. </w:t>
      </w:r>
      <w:r>
        <w:rPr>
          <w:rFonts w:ascii="Arial Narrow" w:hAnsi="Arial Narrow" w:cs="Arial Narrow"/>
          <w:noProof/>
          <w:sz w:val="22"/>
          <w:szCs w:val="24"/>
        </w:rPr>
        <w:t>Medzi objemovo významné časti nákladov rozpočtu patria mzdy, v ktorých sú zahrnuté aj odmeny externým spolupracovníkom zabezpečujúcich základné úlohy Úradu (hlavne dohľady) a s tým súvisiace odvody, nájomné, náklady na preklady relevantné ISA, náklady na audítorské skúšky, cestovné, kancelárske potreby a iné.</w:t>
      </w:r>
    </w:p>
    <w:p w:rsidR="0084667A" w:rsidP="0084667A">
      <w:pPr>
        <w:pStyle w:val="BodyText2"/>
        <w:spacing w:after="0"/>
        <w:ind w:left="0"/>
        <w:jc w:val="both"/>
        <w:rPr>
          <w:rFonts w:ascii="Arial Narrow" w:hAnsi="Arial Narrow" w:cs="Arial Narrow"/>
          <w:noProof/>
          <w:sz w:val="22"/>
          <w:szCs w:val="24"/>
        </w:rPr>
      </w:pPr>
    </w:p>
    <w:p w:rsidR="0084667A" w:rsidRPr="00246A7B" w:rsidP="0084667A">
      <w:pPr>
        <w:pStyle w:val="BodyText2"/>
        <w:spacing w:after="0"/>
        <w:ind w:left="0" w:firstLine="708"/>
        <w:jc w:val="both"/>
        <w:rPr>
          <w:rFonts w:ascii="Arial Narrow" w:hAnsi="Arial Narrow" w:cs="Arial Narrow"/>
          <w:noProof/>
          <w:sz w:val="22"/>
          <w:szCs w:val="24"/>
        </w:rPr>
      </w:pPr>
      <w:r>
        <w:rPr>
          <w:rFonts w:ascii="Arial Narrow" w:hAnsi="Arial Narrow" w:cs="Arial Narrow"/>
          <w:noProof/>
          <w:sz w:val="22"/>
          <w:szCs w:val="24"/>
        </w:rPr>
        <w:t>Vývoj príjmovej a výdavkovej časti rozpočtu úradu na roky 2010 až 2012 je nasledovný:</w:t>
      </w:r>
    </w:p>
    <w:p w:rsidR="0084667A" w:rsidRPr="00D676BB" w:rsidP="0084667A">
      <w:pPr>
        <w:pStyle w:val="BodyText2"/>
        <w:spacing w:after="0"/>
        <w:jc w:val="both"/>
        <w:rPr>
          <w:rFonts w:ascii="Arial Narrow" w:hAnsi="Arial Narrow" w:cs="Arial Narrow"/>
          <w:noProof/>
          <w:sz w:val="22"/>
          <w:szCs w:val="24"/>
        </w:rPr>
      </w:pPr>
    </w:p>
    <w:tbl>
      <w:tblPr>
        <w:tblStyle w:val="TableNormal"/>
        <w:tblpPr w:leftFromText="141" w:rightFromText="141" w:vertAnchor="text" w:horzAnchor="margin" w:tblpY="173"/>
        <w:tblW w:w="9195" w:type="dxa"/>
        <w:tblInd w:w="0" w:type="dxa"/>
        <w:tblLayout w:type="fixed"/>
        <w:tblCellMar>
          <w:left w:w="70" w:type="dxa"/>
          <w:right w:w="70" w:type="dxa"/>
        </w:tblCellMar>
        <w:tblLook w:val="00A0"/>
      </w:tblPr>
      <w:tblGrid>
        <w:gridCol w:w="5055"/>
        <w:gridCol w:w="1035"/>
        <w:gridCol w:w="1035"/>
        <w:gridCol w:w="1035"/>
        <w:gridCol w:w="1035"/>
      </w:tblGrid>
      <w:tr>
        <w:tblPrEx>
          <w:tblW w:w="9195" w:type="dxa"/>
          <w:tblInd w:w="0" w:type="dxa"/>
          <w:tblLayout w:type="fixed"/>
          <w:tblCellMar>
            <w:left w:w="70" w:type="dxa"/>
            <w:right w:w="70" w:type="dxa"/>
          </w:tblCellMar>
          <w:tblLook w:val="00A0"/>
        </w:tblPrEx>
        <w:trPr>
          <w:trHeight w:val="255"/>
        </w:trPr>
        <w:tc>
          <w:tcPr>
            <w:tcW w:w="5055" w:type="dxa"/>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84667A" w:rsidRPr="00D676BB" w:rsidP="002B1759">
            <w:pPr>
              <w:jc w:val="both"/>
              <w:rPr>
                <w:rFonts w:ascii="Arial Narrow" w:hAnsi="Arial Narrow" w:cs="Arial Narrow"/>
                <w:b/>
                <w:color w:val="FFFFFF"/>
                <w:sz w:val="20"/>
                <w:szCs w:val="24"/>
              </w:rPr>
            </w:pPr>
            <w:r w:rsidRPr="00D676BB">
              <w:rPr>
                <w:rFonts w:ascii="Arial Narrow" w:hAnsi="Arial Narrow" w:cs="Arial Narrow"/>
                <w:b/>
                <w:color w:val="FFFFFF"/>
                <w:sz w:val="20"/>
                <w:szCs w:val="24"/>
              </w:rPr>
              <w:t>( v tis. eur)</w:t>
            </w:r>
          </w:p>
        </w:tc>
        <w:tc>
          <w:tcPr>
            <w:tcW w:w="1035" w:type="dxa"/>
            <w:tcBorders>
              <w:top w:val="single" w:sz="4" w:space="0" w:color="auto"/>
              <w:left w:val="nil"/>
              <w:bottom w:val="single" w:sz="4" w:space="0" w:color="auto"/>
              <w:right w:val="single" w:sz="4" w:space="0" w:color="auto"/>
            </w:tcBorders>
            <w:shd w:val="clear" w:color="000000" w:fill="000000"/>
            <w:textDirection w:val="lrTb"/>
            <w:vAlign w:val="center"/>
          </w:tcPr>
          <w:p w:rsidR="0084667A" w:rsidRPr="00D676BB" w:rsidP="002B1759">
            <w:pPr>
              <w:jc w:val="center"/>
              <w:rPr>
                <w:rFonts w:ascii="Arial Narrow" w:hAnsi="Arial Narrow" w:cs="Arial Narrow"/>
                <w:b/>
                <w:color w:val="FFFFFF"/>
                <w:sz w:val="20"/>
                <w:szCs w:val="24"/>
              </w:rPr>
            </w:pPr>
            <w:r w:rsidRPr="00D676BB">
              <w:rPr>
                <w:rFonts w:ascii="Arial Narrow" w:hAnsi="Arial Narrow" w:cs="Arial Narrow"/>
                <w:b/>
                <w:color w:val="FFFFFF"/>
                <w:sz w:val="20"/>
                <w:szCs w:val="24"/>
              </w:rPr>
              <w:t>2009</w:t>
            </w:r>
          </w:p>
        </w:tc>
        <w:tc>
          <w:tcPr>
            <w:tcW w:w="1035" w:type="dxa"/>
            <w:tcBorders>
              <w:top w:val="single" w:sz="4" w:space="0" w:color="auto"/>
              <w:left w:val="nil"/>
              <w:bottom w:val="single" w:sz="4" w:space="0" w:color="auto"/>
              <w:right w:val="single" w:sz="4" w:space="0" w:color="auto"/>
            </w:tcBorders>
            <w:shd w:val="clear" w:color="000000" w:fill="000000"/>
            <w:textDirection w:val="lrTb"/>
            <w:vAlign w:val="center"/>
          </w:tcPr>
          <w:p w:rsidR="0084667A" w:rsidRPr="00D676BB" w:rsidP="002B1759">
            <w:pPr>
              <w:jc w:val="center"/>
              <w:rPr>
                <w:rFonts w:ascii="Arial Narrow" w:hAnsi="Arial Narrow" w:cs="Arial Narrow"/>
                <w:b/>
                <w:color w:val="FFFFFF"/>
                <w:sz w:val="20"/>
                <w:szCs w:val="24"/>
              </w:rPr>
            </w:pPr>
            <w:r w:rsidRPr="00D676BB">
              <w:rPr>
                <w:rFonts w:ascii="Arial Narrow" w:hAnsi="Arial Narrow" w:cs="Arial Narrow"/>
                <w:b/>
                <w:color w:val="FFFFFF"/>
                <w:sz w:val="20"/>
                <w:szCs w:val="24"/>
              </w:rPr>
              <w:t>2010</w:t>
            </w:r>
          </w:p>
        </w:tc>
        <w:tc>
          <w:tcPr>
            <w:tcW w:w="1035" w:type="dxa"/>
            <w:tcBorders>
              <w:top w:val="single" w:sz="4" w:space="0" w:color="auto"/>
              <w:left w:val="nil"/>
              <w:bottom w:val="single" w:sz="4" w:space="0" w:color="auto"/>
              <w:right w:val="single" w:sz="4" w:space="0" w:color="auto"/>
            </w:tcBorders>
            <w:shd w:val="clear" w:color="000000" w:fill="000000"/>
            <w:textDirection w:val="lrTb"/>
            <w:vAlign w:val="center"/>
          </w:tcPr>
          <w:p w:rsidR="0084667A" w:rsidRPr="00D676BB" w:rsidP="002B1759">
            <w:pPr>
              <w:jc w:val="center"/>
              <w:rPr>
                <w:rFonts w:ascii="Arial Narrow" w:hAnsi="Arial Narrow" w:cs="Arial Narrow"/>
                <w:b/>
                <w:color w:val="FFFFFF"/>
                <w:sz w:val="20"/>
                <w:szCs w:val="24"/>
              </w:rPr>
            </w:pPr>
            <w:r w:rsidRPr="00D676BB">
              <w:rPr>
                <w:rFonts w:ascii="Arial Narrow" w:hAnsi="Arial Narrow" w:cs="Arial Narrow"/>
                <w:b/>
                <w:color w:val="FFFFFF"/>
                <w:sz w:val="20"/>
                <w:szCs w:val="24"/>
              </w:rPr>
              <w:t>2011</w:t>
            </w:r>
          </w:p>
        </w:tc>
        <w:tc>
          <w:tcPr>
            <w:tcW w:w="1035" w:type="dxa"/>
            <w:tcBorders>
              <w:top w:val="single" w:sz="4" w:space="0" w:color="auto"/>
              <w:left w:val="nil"/>
              <w:bottom w:val="single" w:sz="4" w:space="0" w:color="auto"/>
              <w:right w:val="single" w:sz="4" w:space="0" w:color="auto"/>
            </w:tcBorders>
            <w:shd w:val="clear" w:color="000000" w:fill="000000"/>
            <w:textDirection w:val="lrTb"/>
            <w:vAlign w:val="center"/>
          </w:tcPr>
          <w:p w:rsidR="0084667A" w:rsidRPr="00D676BB" w:rsidP="002B1759">
            <w:pPr>
              <w:jc w:val="center"/>
              <w:rPr>
                <w:rFonts w:ascii="Arial Narrow" w:hAnsi="Arial Narrow" w:cs="Arial Narrow"/>
                <w:b/>
                <w:color w:val="FFFFFF"/>
                <w:sz w:val="20"/>
                <w:szCs w:val="24"/>
              </w:rPr>
            </w:pPr>
            <w:r w:rsidRPr="00D676BB">
              <w:rPr>
                <w:rFonts w:ascii="Arial Narrow" w:hAnsi="Arial Narrow" w:cs="Arial Narrow"/>
                <w:b/>
                <w:color w:val="FFFFFF"/>
                <w:sz w:val="20"/>
                <w:szCs w:val="24"/>
              </w:rPr>
              <w:t>2012</w:t>
            </w:r>
          </w:p>
        </w:tc>
      </w:tr>
      <w:tr>
        <w:tblPrEx>
          <w:tblW w:w="9195" w:type="dxa"/>
          <w:tblInd w:w="0" w:type="dxa"/>
          <w:tblLayout w:type="fixed"/>
          <w:tblCellMar>
            <w:left w:w="70" w:type="dxa"/>
            <w:right w:w="70" w:type="dxa"/>
          </w:tblCellMar>
          <w:tblLook w:val="00A0"/>
        </w:tblPrEx>
        <w:trPr>
          <w:trHeight w:val="255"/>
        </w:trPr>
        <w:tc>
          <w:tcPr>
            <w:tcW w:w="5055" w:type="dxa"/>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Príjmy UDVA spolu</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898</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712</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718</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718</w:t>
            </w:r>
          </w:p>
        </w:tc>
      </w:tr>
      <w:tr>
        <w:tblPrEx>
          <w:tblW w:w="9195" w:type="dxa"/>
          <w:tblInd w:w="0" w:type="dxa"/>
          <w:tblLayout w:type="fixed"/>
          <w:tblCellMar>
            <w:left w:w="70" w:type="dxa"/>
            <w:right w:w="70" w:type="dxa"/>
          </w:tblCellMar>
          <w:tblLook w:val="00A0"/>
        </w:tblPrEx>
        <w:trPr>
          <w:trHeight w:val="255"/>
        </w:trPr>
        <w:tc>
          <w:tcPr>
            <w:tcW w:w="9195" w:type="dxa"/>
            <w:gridSpan w:val="5"/>
            <w:tcBorders>
              <w:top w:val="single" w:sz="4" w:space="0" w:color="auto"/>
              <w:left w:val="single" w:sz="4" w:space="0" w:color="auto"/>
              <w:bottom w:val="single" w:sz="4" w:space="0" w:color="auto"/>
              <w:right w:val="single" w:sz="4" w:space="0" w:color="000000"/>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z toho:</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nedaňové príjmy, z toho:</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xml:space="preserve">         ostatné nedaňové príjmy</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450</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granty a transfery, z toho</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249</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268</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268</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DA7557">
            <w:pPr>
              <w:ind w:firstLine="400" w:firstLineChars="200"/>
              <w:rPr>
                <w:rFonts w:ascii="Arial Narrow" w:hAnsi="Arial Narrow" w:cs="Arial Narrow"/>
                <w:sz w:val="20"/>
                <w:szCs w:val="24"/>
              </w:rPr>
            </w:pPr>
            <w:r w:rsidRPr="00D676BB">
              <w:rPr>
                <w:rFonts w:ascii="Arial Narrow" w:hAnsi="Arial Narrow" w:cs="Arial Narrow"/>
                <w:sz w:val="20"/>
                <w:szCs w:val="24"/>
              </w:rPr>
              <w:t xml:space="preserve">       zo štátneho rozpočtu</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249</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262</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268</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268</w:t>
            </w:r>
          </w:p>
        </w:tc>
      </w:tr>
      <w:tr>
        <w:tblPrEx>
          <w:tblW w:w="9195" w:type="dxa"/>
          <w:tblInd w:w="0" w:type="dxa"/>
          <w:tblLayout w:type="fixed"/>
          <w:tblCellMar>
            <w:left w:w="70" w:type="dxa"/>
            <w:right w:w="70" w:type="dxa"/>
          </w:tblCellMar>
          <w:tblLook w:val="00A0"/>
        </w:tblPrEx>
        <w:trPr>
          <w:trHeight w:val="28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príjmové finančné operácie, z toho:</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199</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r>
      <w:tr>
        <w:tblPrEx>
          <w:tblW w:w="9195" w:type="dxa"/>
          <w:tblInd w:w="0" w:type="dxa"/>
          <w:tblLayout w:type="fixed"/>
          <w:tblCellMar>
            <w:left w:w="70" w:type="dxa"/>
            <w:right w:w="70" w:type="dxa"/>
          </w:tblCellMar>
          <w:tblLook w:val="00A0"/>
        </w:tblPrEx>
        <w:trPr>
          <w:trHeight w:val="28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DA7557">
            <w:pPr>
              <w:ind w:firstLine="200" w:firstLineChars="100"/>
              <w:rPr>
                <w:rFonts w:ascii="Arial Narrow" w:hAnsi="Arial Narrow" w:cs="Arial Narrow"/>
                <w:sz w:val="20"/>
                <w:szCs w:val="24"/>
              </w:rPr>
            </w:pPr>
            <w:r w:rsidRPr="00D676BB">
              <w:rPr>
                <w:rFonts w:ascii="Arial Narrow" w:hAnsi="Arial Narrow" w:cs="Arial Narrow"/>
                <w:sz w:val="20"/>
                <w:szCs w:val="24"/>
              </w:rPr>
              <w:t xml:space="preserve">     prevod prostriedkov z predchádzajúcich rokov</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199</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nil"/>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single" w:sz="4" w:space="0" w:color="auto"/>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single" w:sz="4" w:space="0" w:color="auto"/>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single" w:sz="4" w:space="0" w:color="auto"/>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r>
      <w:tr>
        <w:tblPrEx>
          <w:tblW w:w="9195" w:type="dxa"/>
          <w:tblInd w:w="0" w:type="dxa"/>
          <w:tblLayout w:type="fixed"/>
          <w:tblCellMar>
            <w:left w:w="70" w:type="dxa"/>
            <w:right w:w="70" w:type="dxa"/>
          </w:tblCellMar>
          <w:tblLook w:val="00A0"/>
        </w:tblPrEx>
        <w:trPr>
          <w:trHeight w:val="255"/>
        </w:trPr>
        <w:tc>
          <w:tcPr>
            <w:tcW w:w="5055" w:type="dxa"/>
            <w:tcBorders>
              <w:top w:val="single" w:sz="4" w:space="0" w:color="auto"/>
              <w:left w:val="single" w:sz="4" w:space="0" w:color="auto"/>
              <w:bottom w:val="single" w:sz="4" w:space="0" w:color="auto"/>
              <w:right w:val="single" w:sz="4" w:space="0" w:color="auto"/>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Výdavky UDVA spolu</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898</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712</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718</w:t>
            </w:r>
          </w:p>
        </w:tc>
        <w:tc>
          <w:tcPr>
            <w:tcW w:w="1035" w:type="dxa"/>
            <w:tcBorders>
              <w:top w:val="single" w:sz="4" w:space="0" w:color="auto"/>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718</w:t>
            </w:r>
          </w:p>
        </w:tc>
      </w:tr>
      <w:tr>
        <w:tblPrEx>
          <w:tblW w:w="9195" w:type="dxa"/>
          <w:tblInd w:w="0" w:type="dxa"/>
          <w:tblLayout w:type="fixed"/>
          <w:tblCellMar>
            <w:left w:w="70" w:type="dxa"/>
            <w:right w:w="70" w:type="dxa"/>
          </w:tblCellMar>
          <w:tblLook w:val="00A0"/>
        </w:tblPrEx>
        <w:trPr>
          <w:trHeight w:val="255"/>
        </w:trPr>
        <w:tc>
          <w:tcPr>
            <w:tcW w:w="9195" w:type="dxa"/>
            <w:gridSpan w:val="5"/>
            <w:tcBorders>
              <w:top w:val="single" w:sz="4" w:space="0" w:color="auto"/>
              <w:left w:val="single" w:sz="4" w:space="0" w:color="auto"/>
              <w:bottom w:val="single" w:sz="4" w:space="0" w:color="auto"/>
              <w:right w:val="single" w:sz="4" w:space="0" w:color="000000"/>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z toho:</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bežné výdavky, z toho:</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865</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712</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718</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718</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shd w:val="clear" w:color="000000" w:fill="FFFFFF"/>
            <w:textDirection w:val="lrTb"/>
            <w:vAlign w:val="center"/>
          </w:tcPr>
          <w:p w:rsidR="0084667A" w:rsidRPr="00D676BB" w:rsidP="00DA7557">
            <w:pPr>
              <w:ind w:firstLine="200" w:firstLineChars="100"/>
              <w:rPr>
                <w:rFonts w:ascii="Arial Narrow" w:hAnsi="Arial Narrow" w:cs="Arial Narrow"/>
                <w:sz w:val="20"/>
                <w:szCs w:val="24"/>
              </w:rPr>
            </w:pPr>
            <w:r w:rsidRPr="00D676BB">
              <w:rPr>
                <w:rFonts w:ascii="Arial Narrow" w:hAnsi="Arial Narrow" w:cs="Arial Narrow"/>
                <w:sz w:val="20"/>
                <w:szCs w:val="24"/>
              </w:rPr>
              <w:t xml:space="preserve">      mzdy </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422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422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422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422</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shd w:val="clear" w:color="000000" w:fill="FFFFFF"/>
            <w:textDirection w:val="lrTb"/>
            <w:vAlign w:val="center"/>
          </w:tcPr>
          <w:p w:rsidR="0084667A" w:rsidRPr="00D676BB" w:rsidP="00DA7557">
            <w:pPr>
              <w:ind w:firstLine="200" w:firstLineChars="100"/>
              <w:rPr>
                <w:rFonts w:ascii="Arial Narrow" w:hAnsi="Arial Narrow" w:cs="Arial Narrow"/>
                <w:sz w:val="20"/>
                <w:szCs w:val="24"/>
              </w:rPr>
            </w:pPr>
            <w:r w:rsidRPr="00D676BB">
              <w:rPr>
                <w:rFonts w:ascii="Arial Narrow" w:hAnsi="Arial Narrow" w:cs="Arial Narrow"/>
                <w:sz w:val="20"/>
                <w:szCs w:val="24"/>
              </w:rPr>
              <w:t xml:space="preserve">      odvody</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82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82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82</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82</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shd w:val="clear" w:color="000000" w:fill="FFFFFF"/>
            <w:textDirection w:val="lrTb"/>
            <w:vAlign w:val="center"/>
          </w:tcPr>
          <w:p w:rsidR="0084667A" w:rsidRPr="00D676BB" w:rsidP="00DA7557">
            <w:pPr>
              <w:ind w:firstLine="200" w:firstLineChars="100"/>
              <w:rPr>
                <w:rFonts w:ascii="Arial Narrow" w:hAnsi="Arial Narrow" w:cs="Arial Narrow"/>
                <w:sz w:val="20"/>
                <w:szCs w:val="24"/>
              </w:rPr>
            </w:pPr>
            <w:r w:rsidRPr="00D676BB">
              <w:rPr>
                <w:rFonts w:ascii="Arial Narrow" w:hAnsi="Arial Narrow" w:cs="Arial Narrow"/>
                <w:sz w:val="20"/>
                <w:szCs w:val="24"/>
              </w:rPr>
              <w:t xml:space="preserve">      tovary a služby</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361</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208</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214</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214</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kapitálové výdavky</w:t>
            </w:r>
          </w:p>
        </w:tc>
        <w:tc>
          <w:tcPr>
            <w:tcW w:w="1035" w:type="dxa"/>
            <w:tcBorders>
              <w:top w:val="nil"/>
              <w:left w:val="nil"/>
              <w:bottom w:val="single" w:sz="4" w:space="0" w:color="auto"/>
              <w:right w:val="single" w:sz="4" w:space="0" w:color="auto"/>
            </w:tcBorders>
            <w:noWrap/>
            <w:textDirection w:val="lrTb"/>
            <w:vAlign w:val="bottom"/>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33</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 </w:t>
            </w:r>
            <w:r>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Pr>
                <w:rFonts w:ascii="Arial Narrow" w:hAnsi="Arial Narrow" w:cs="Arial Narrow"/>
                <w:sz w:val="20"/>
                <w:szCs w:val="24"/>
              </w:rPr>
              <w:t>0</w:t>
            </w:r>
            <w:r w:rsidRPr="00D676BB">
              <w:rPr>
                <w:rFonts w:ascii="Arial Narrow" w:hAnsi="Arial Narrow" w:cs="Arial Narrow"/>
                <w:sz w:val="20"/>
                <w:szCs w:val="24"/>
              </w:rPr>
              <w:t> </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nil"/>
              <w:right w:val="nil"/>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nil"/>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nil"/>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nil"/>
              <w:right w:val="nil"/>
            </w:tcBorders>
            <w:noWrap/>
            <w:textDirection w:val="lrTb"/>
            <w:vAlign w:val="center"/>
          </w:tcPr>
          <w:p w:rsidR="0084667A" w:rsidRPr="00D676BB" w:rsidP="002B1759">
            <w:pPr>
              <w:rPr>
                <w:rFonts w:ascii="Arial Narrow" w:hAnsi="Arial Narrow" w:cs="Arial Narrow"/>
                <w:sz w:val="20"/>
                <w:szCs w:val="24"/>
              </w:rPr>
            </w:pPr>
          </w:p>
        </w:tc>
        <w:tc>
          <w:tcPr>
            <w:tcW w:w="1035" w:type="dxa"/>
            <w:tcBorders>
              <w:top w:val="nil"/>
              <w:left w:val="nil"/>
              <w:bottom w:val="nil"/>
              <w:right w:val="single" w:sz="4" w:space="0" w:color="auto"/>
            </w:tcBorders>
            <w:noWrap/>
            <w:textDirection w:val="lrTb"/>
            <w:vAlign w:val="bottom"/>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r>
      <w:tr>
        <w:tblPrEx>
          <w:tblW w:w="9195" w:type="dxa"/>
          <w:tblInd w:w="0" w:type="dxa"/>
          <w:tblLayout w:type="fixed"/>
          <w:tblCellMar>
            <w:left w:w="70" w:type="dxa"/>
            <w:right w:w="70" w:type="dxa"/>
          </w:tblCellMar>
          <w:tblLook w:val="00A0"/>
        </w:tblPrEx>
        <w:trPr>
          <w:trHeight w:val="255"/>
        </w:trPr>
        <w:tc>
          <w:tcPr>
            <w:tcW w:w="5055"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Celkov</w:t>
            </w:r>
            <w:r w:rsidR="00AE010C">
              <w:rPr>
                <w:rFonts w:ascii="Arial Narrow" w:hAnsi="Arial Narrow" w:cs="Arial Narrow"/>
                <w:b/>
                <w:i/>
                <w:sz w:val="20"/>
                <w:szCs w:val="24"/>
              </w:rPr>
              <w:t>á bilancia</w:t>
            </w:r>
            <w:r w:rsidRPr="00D676BB">
              <w:rPr>
                <w:rFonts w:ascii="Arial Narrow" w:hAnsi="Arial Narrow" w:cs="Arial Narrow"/>
                <w:b/>
                <w:i/>
                <w:sz w:val="20"/>
                <w:szCs w:val="24"/>
              </w:rPr>
              <w:t xml:space="preserve"> UDVA</w:t>
            </w:r>
          </w:p>
        </w:tc>
        <w:tc>
          <w:tcPr>
            <w:tcW w:w="1035" w:type="dxa"/>
            <w:tcBorders>
              <w:top w:val="single" w:sz="4" w:space="0" w:color="auto"/>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single" w:sz="4" w:space="0" w:color="auto"/>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single" w:sz="4" w:space="0" w:color="auto"/>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single" w:sz="4" w:space="0" w:color="auto"/>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vylúčenie finančných operácií</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-199</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r>
      <w:tr>
        <w:tblPrEx>
          <w:tblW w:w="9195" w:type="dxa"/>
          <w:tblInd w:w="0" w:type="dxa"/>
          <w:tblLayout w:type="fixed"/>
          <w:tblCellMar>
            <w:left w:w="70" w:type="dxa"/>
            <w:right w:w="70" w:type="dxa"/>
          </w:tblCellMar>
          <w:tblLook w:val="00A0"/>
        </w:tblPrEx>
        <w:trPr>
          <w:trHeight w:val="255"/>
        </w:trPr>
        <w:tc>
          <w:tcPr>
            <w:tcW w:w="9195" w:type="dxa"/>
            <w:gridSpan w:val="5"/>
            <w:tcBorders>
              <w:top w:val="single" w:sz="4" w:space="0" w:color="auto"/>
              <w:left w:val="single" w:sz="4" w:space="0" w:color="auto"/>
              <w:bottom w:val="single" w:sz="4" w:space="0" w:color="auto"/>
              <w:right w:val="single" w:sz="4" w:space="0" w:color="000000"/>
            </w:tcBorders>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z toho:</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xml:space="preserve">    ▪   vylúčenie príjmových finančných operácií</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-199</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jc w:val="right"/>
              <w:rPr>
                <w:rFonts w:ascii="Arial Narrow" w:hAnsi="Arial Narrow" w:cs="Arial Narrow"/>
                <w:sz w:val="20"/>
                <w:szCs w:val="24"/>
              </w:rPr>
            </w:pPr>
            <w:r w:rsidRPr="00D676BB">
              <w:rPr>
                <w:rFonts w:ascii="Arial Narrow" w:hAnsi="Arial Narrow" w:cs="Arial Narrow"/>
                <w:sz w:val="20"/>
                <w:szCs w:val="24"/>
              </w:rPr>
              <w:t>0</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c>
          <w:tcPr>
            <w:tcW w:w="1035" w:type="dxa"/>
            <w:tcBorders>
              <w:top w:val="nil"/>
              <w:left w:val="nil"/>
              <w:bottom w:val="single" w:sz="4" w:space="0" w:color="auto"/>
              <w:right w:val="single" w:sz="4" w:space="0" w:color="auto"/>
            </w:tcBorders>
            <w:noWrap/>
            <w:textDirection w:val="lrTb"/>
            <w:vAlign w:val="center"/>
          </w:tcPr>
          <w:p w:rsidR="0084667A" w:rsidRPr="00D676BB" w:rsidP="002B1759">
            <w:pPr>
              <w:rPr>
                <w:rFonts w:ascii="Arial Narrow" w:hAnsi="Arial Narrow" w:cs="Arial Narrow"/>
                <w:sz w:val="20"/>
                <w:szCs w:val="24"/>
              </w:rPr>
            </w:pPr>
            <w:r w:rsidRPr="00D676BB">
              <w:rPr>
                <w:rFonts w:ascii="Arial Narrow" w:hAnsi="Arial Narrow" w:cs="Arial Narrow"/>
                <w:sz w:val="20"/>
                <w:szCs w:val="24"/>
              </w:rPr>
              <w:t> </w:t>
            </w:r>
          </w:p>
        </w:tc>
      </w:tr>
      <w:tr>
        <w:tblPrEx>
          <w:tblW w:w="9195" w:type="dxa"/>
          <w:tblInd w:w="0" w:type="dxa"/>
          <w:tblLayout w:type="fixed"/>
          <w:tblCellMar>
            <w:left w:w="70" w:type="dxa"/>
            <w:right w:w="70" w:type="dxa"/>
          </w:tblCellMar>
          <w:tblLook w:val="00A0"/>
        </w:tblPrEx>
        <w:trPr>
          <w:trHeight w:val="255"/>
        </w:trPr>
        <w:tc>
          <w:tcPr>
            <w:tcW w:w="5055" w:type="dxa"/>
            <w:tcBorders>
              <w:top w:val="nil"/>
              <w:left w:val="single" w:sz="4" w:space="0" w:color="auto"/>
              <w:bottom w:val="single" w:sz="4" w:space="0" w:color="auto"/>
              <w:right w:val="single" w:sz="4" w:space="0" w:color="auto"/>
            </w:tcBorders>
            <w:shd w:val="clear" w:color="000000" w:fill="C0C0C0"/>
            <w:noWrap/>
            <w:textDirection w:val="lrTb"/>
            <w:vAlign w:val="center"/>
          </w:tcPr>
          <w:p w:rsidR="0084667A" w:rsidRPr="00D676BB" w:rsidP="002B1759">
            <w:pPr>
              <w:rPr>
                <w:rFonts w:ascii="Arial Narrow" w:hAnsi="Arial Narrow" w:cs="Arial Narrow"/>
                <w:b/>
                <w:i/>
                <w:sz w:val="20"/>
                <w:szCs w:val="24"/>
              </w:rPr>
            </w:pPr>
            <w:r w:rsidRPr="00D676BB">
              <w:rPr>
                <w:rFonts w:ascii="Arial Narrow" w:hAnsi="Arial Narrow" w:cs="Arial Narrow"/>
                <w:b/>
                <w:i/>
                <w:sz w:val="20"/>
                <w:szCs w:val="24"/>
              </w:rPr>
              <w:t>Prebytok</w:t>
            </w:r>
            <w:r w:rsidR="002C6FCA">
              <w:rPr>
                <w:rFonts w:ascii="Arial Narrow" w:hAnsi="Arial Narrow" w:cs="Arial Narrow"/>
                <w:b/>
                <w:i/>
                <w:sz w:val="20"/>
                <w:szCs w:val="24"/>
              </w:rPr>
              <w:t xml:space="preserve"> </w:t>
            </w:r>
            <w:r w:rsidR="00162110">
              <w:rPr>
                <w:rFonts w:ascii="Arial Narrow" w:hAnsi="Arial Narrow" w:cs="Arial Narrow"/>
                <w:b/>
                <w:i/>
                <w:sz w:val="20"/>
                <w:szCs w:val="24"/>
              </w:rPr>
              <w:t xml:space="preserve">/ schodok </w:t>
            </w:r>
            <w:r w:rsidRPr="00D676BB">
              <w:rPr>
                <w:rFonts w:ascii="Arial Narrow" w:hAnsi="Arial Narrow" w:cs="Arial Narrow"/>
                <w:b/>
                <w:i/>
                <w:sz w:val="20"/>
                <w:szCs w:val="24"/>
              </w:rPr>
              <w:t xml:space="preserve"> UDVA (ESA 95)</w:t>
            </w:r>
          </w:p>
        </w:tc>
        <w:tc>
          <w:tcPr>
            <w:tcW w:w="1035" w:type="dxa"/>
            <w:tcBorders>
              <w:top w:val="nil"/>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-199</w:t>
            </w:r>
          </w:p>
        </w:tc>
        <w:tc>
          <w:tcPr>
            <w:tcW w:w="1035" w:type="dxa"/>
            <w:tcBorders>
              <w:top w:val="nil"/>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nil"/>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c>
          <w:tcPr>
            <w:tcW w:w="1035" w:type="dxa"/>
            <w:tcBorders>
              <w:top w:val="nil"/>
              <w:left w:val="nil"/>
              <w:bottom w:val="single" w:sz="4" w:space="0" w:color="auto"/>
              <w:right w:val="single" w:sz="4" w:space="0" w:color="auto"/>
            </w:tcBorders>
            <w:shd w:val="clear" w:color="000000" w:fill="C0C0C0"/>
            <w:noWrap/>
            <w:textDirection w:val="lrTb"/>
            <w:vAlign w:val="center"/>
          </w:tcPr>
          <w:p w:rsidR="0084667A" w:rsidRPr="00D676BB" w:rsidP="002B1759">
            <w:pPr>
              <w:jc w:val="right"/>
              <w:rPr>
                <w:rFonts w:ascii="Arial Narrow" w:hAnsi="Arial Narrow" w:cs="Arial Narrow"/>
                <w:b/>
                <w:i/>
                <w:sz w:val="20"/>
                <w:szCs w:val="24"/>
              </w:rPr>
            </w:pPr>
            <w:r w:rsidRPr="00D676BB">
              <w:rPr>
                <w:rFonts w:ascii="Arial Narrow" w:hAnsi="Arial Narrow" w:cs="Arial Narrow"/>
                <w:b/>
                <w:i/>
                <w:sz w:val="20"/>
                <w:szCs w:val="24"/>
              </w:rPr>
              <w:t>0</w:t>
            </w:r>
          </w:p>
        </w:tc>
      </w:tr>
    </w:tbl>
    <w:p w:rsidR="0084667A" w:rsidP="00702AB5">
      <w:pPr>
        <w:rPr>
          <w:rFonts w:ascii="Times New Roman" w:hAnsi="Times New Roman" w:cs="Times New Roman"/>
          <w:szCs w:val="24"/>
        </w:rPr>
      </w:pPr>
    </w:p>
    <w:p w:rsidR="0084667A" w:rsidP="00702AB5">
      <w:pPr>
        <w:rPr>
          <w:rFonts w:ascii="Times New Roman" w:hAnsi="Times New Roman" w:cs="Times New Roman"/>
          <w:szCs w:val="24"/>
        </w:rPr>
      </w:pPr>
    </w:p>
    <w:p w:rsidR="0084667A" w:rsidP="00702AB5">
      <w:pPr>
        <w:rPr>
          <w:rFonts w:ascii="Times New Roman" w:hAnsi="Times New Roman" w:cs="Times New Roman"/>
          <w:szCs w:val="24"/>
        </w:rPr>
      </w:pPr>
    </w:p>
    <w:p w:rsidR="007E3EAE" w:rsidRPr="00231151" w:rsidP="007E3EAE">
      <w:pPr>
        <w:rPr>
          <w:rFonts w:ascii="Arial Narrow" w:hAnsi="Arial Narrow" w:cs="Arial Narrow"/>
          <w:szCs w:val="24"/>
        </w:rPr>
      </w:pPr>
    </w:p>
    <w:p w:rsidR="007E3EAE" w:rsidRPr="00231151" w:rsidP="007E3EAE">
      <w:pPr>
        <w:rPr>
          <w:rFonts w:ascii="Arial Narrow" w:hAnsi="Arial Narrow" w:cs="Arial Narrow"/>
          <w:szCs w:val="24"/>
        </w:rPr>
      </w:pPr>
    </w:p>
    <w:p w:rsidR="007E3EAE" w:rsidP="007E3EAE">
      <w:pPr>
        <w:rPr>
          <w:rFonts w:ascii="Arial Narrow" w:hAnsi="Arial Narrow" w:cs="Arial Narrow"/>
          <w:szCs w:val="24"/>
        </w:rPr>
      </w:pPr>
      <w:r>
        <w:rPr>
          <w:rFonts w:ascii="Arial Narrow" w:hAnsi="Arial Narrow" w:cs="Arial Narrow"/>
          <w:szCs w:val="24"/>
        </w:rPr>
        <w:br w:type="page"/>
      </w: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FD27F7"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RPr="00231151" w:rsidP="007E3EAE">
      <w:pPr>
        <w:rPr>
          <w:rFonts w:ascii="Arial Narrow" w:hAnsi="Arial Narrow" w:cs="Arial Narrow"/>
          <w:szCs w:val="24"/>
        </w:rPr>
      </w:pPr>
    </w:p>
    <w:p w:rsidR="007E3EAE" w:rsidP="007E3EAE">
      <w:pPr>
        <w:rPr>
          <w:rFonts w:ascii="Arial Narrow" w:hAnsi="Arial Narrow" w:cs="Arial Narrow"/>
          <w:szCs w:val="24"/>
        </w:rPr>
      </w:pPr>
    </w:p>
    <w:p w:rsidR="007E3EAE" w:rsidP="007E3EAE">
      <w:pPr>
        <w:rPr>
          <w:rFonts w:ascii="Arial Narrow" w:hAnsi="Arial Narrow" w:cs="Arial Narrow"/>
          <w:szCs w:val="24"/>
        </w:rPr>
      </w:pPr>
    </w:p>
    <w:p w:rsidR="007E3EAE" w:rsidRPr="00231151" w:rsidP="007E3EAE">
      <w:pPr>
        <w:rPr>
          <w:rFonts w:ascii="Arial Narrow" w:hAnsi="Arial Narrow" w:cs="Arial Narrow"/>
          <w:szCs w:val="24"/>
        </w:rPr>
      </w:pPr>
    </w:p>
    <w:p w:rsidR="007E3EAE" w:rsidRPr="00231151" w:rsidP="007E3EAE">
      <w:pPr>
        <w:rPr>
          <w:rFonts w:ascii="Arial Narrow" w:hAnsi="Arial Narrow" w:cs="Arial Narrow"/>
          <w:szCs w:val="24"/>
        </w:rPr>
      </w:pPr>
    </w:p>
    <w:p w:rsidR="007E3EAE" w:rsidP="007E3EAE">
      <w:pPr>
        <w:jc w:val="center"/>
        <w:rPr>
          <w:rFonts w:ascii="Arial Narrow" w:hAnsi="Arial Narrow" w:cs="Arial Narrow"/>
          <w:b/>
          <w:sz w:val="44"/>
          <w:szCs w:val="24"/>
        </w:rPr>
      </w:pPr>
    </w:p>
    <w:p w:rsidR="007E3EAE"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FD27F7" w:rsidP="007E3EAE">
      <w:pPr>
        <w:jc w:val="center"/>
        <w:rPr>
          <w:rFonts w:ascii="Arial Narrow" w:hAnsi="Arial Narrow" w:cs="Arial Narrow"/>
          <w:b/>
          <w:sz w:val="44"/>
          <w:szCs w:val="24"/>
        </w:rPr>
      </w:pPr>
    </w:p>
    <w:p w:rsidR="007E3EAE" w:rsidRPr="00231151" w:rsidP="007E3EAE">
      <w:pPr>
        <w:jc w:val="center"/>
        <w:rPr>
          <w:rFonts w:ascii="Arial Narrow" w:hAnsi="Arial Narrow" w:cs="Arial Narrow"/>
          <w:b/>
          <w:sz w:val="44"/>
          <w:szCs w:val="24"/>
        </w:rPr>
      </w:pPr>
      <w:r w:rsidRPr="00231151">
        <w:rPr>
          <w:rFonts w:ascii="Arial Narrow" w:hAnsi="Arial Narrow" w:cs="Arial Narrow"/>
          <w:b/>
          <w:sz w:val="44"/>
          <w:szCs w:val="24"/>
        </w:rPr>
        <w:t xml:space="preserve">Príloha č. </w:t>
      </w:r>
      <w:r>
        <w:rPr>
          <w:rFonts w:ascii="Arial Narrow" w:hAnsi="Arial Narrow" w:cs="Arial Narrow"/>
          <w:b/>
          <w:sz w:val="44"/>
          <w:szCs w:val="24"/>
        </w:rPr>
        <w:t>2</w:t>
      </w:r>
    </w:p>
    <w:p w:rsidR="007E3EAE" w:rsidRPr="00231151" w:rsidP="007E3EAE">
      <w:pPr>
        <w:jc w:val="center"/>
        <w:rPr>
          <w:rFonts w:ascii="Arial Narrow" w:hAnsi="Arial Narrow" w:cs="Arial Narrow"/>
          <w:b/>
          <w:sz w:val="44"/>
          <w:szCs w:val="24"/>
        </w:rPr>
      </w:pPr>
    </w:p>
    <w:p w:rsidR="007E3EAE" w:rsidRPr="00E34526" w:rsidP="007E3EAE">
      <w:pPr>
        <w:jc w:val="center"/>
        <w:rPr>
          <w:rFonts w:ascii="Arial Narrow" w:hAnsi="Arial Narrow" w:cs="Arial Narrow"/>
          <w:b/>
          <w:sz w:val="44"/>
          <w:szCs w:val="24"/>
        </w:rPr>
      </w:pPr>
      <w:r w:rsidRPr="00E34526">
        <w:rPr>
          <w:rFonts w:ascii="Arial Narrow" w:hAnsi="Arial Narrow" w:cs="Arial Narrow"/>
          <w:b/>
          <w:sz w:val="44"/>
          <w:szCs w:val="24"/>
        </w:rPr>
        <w:t>Rozpočtové vzťahy SR a EÚ</w:t>
      </w:r>
    </w:p>
    <w:p w:rsidR="007E3EAE" w:rsidP="007E3EAE">
      <w:pPr>
        <w:rPr>
          <w:rFonts w:ascii="Arial Narrow" w:hAnsi="Arial Narrow" w:cs="Arial Narrow"/>
          <w:b/>
          <w:sz w:val="28"/>
          <w:szCs w:val="24"/>
        </w:rPr>
      </w:pPr>
    </w:p>
    <w:p w:rsidR="000802DE" w:rsidRPr="00D55E35" w:rsidP="000802DE">
      <w:pPr>
        <w:rPr>
          <w:rFonts w:ascii="Arial Narrow" w:hAnsi="Arial Narrow" w:cs="Arial Narrow"/>
          <w:b/>
          <w:sz w:val="28"/>
          <w:szCs w:val="24"/>
        </w:rPr>
      </w:pPr>
      <w:r w:rsidR="007E3EAE">
        <w:rPr>
          <w:rFonts w:ascii="Times New Roman" w:hAnsi="Times New Roman" w:cs="Times New Roman"/>
          <w:szCs w:val="24"/>
        </w:rPr>
        <w:br w:type="page"/>
      </w:r>
      <w:r w:rsidRPr="00D55E35">
        <w:rPr>
          <w:rFonts w:ascii="Arial Narrow" w:hAnsi="Arial Narrow" w:cs="Arial Narrow"/>
          <w:b/>
          <w:sz w:val="28"/>
          <w:szCs w:val="24"/>
        </w:rPr>
        <w:t>Rozpočtové vzťahy SR a</w:t>
      </w:r>
      <w:r>
        <w:rPr>
          <w:rFonts w:ascii="Arial Narrow" w:hAnsi="Arial Narrow" w:cs="Arial Narrow"/>
          <w:b/>
          <w:sz w:val="28"/>
          <w:szCs w:val="24"/>
        </w:rPr>
        <w:t> </w:t>
      </w:r>
      <w:r w:rsidRPr="00D55E35">
        <w:rPr>
          <w:rFonts w:ascii="Arial Narrow" w:hAnsi="Arial Narrow" w:cs="Arial Narrow"/>
          <w:b/>
          <w:sz w:val="28"/>
          <w:szCs w:val="24"/>
        </w:rPr>
        <w:t>EÚ</w:t>
      </w:r>
    </w:p>
    <w:p w:rsidR="000802DE" w:rsidP="000802DE">
      <w:pPr>
        <w:rPr>
          <w:rFonts w:ascii="Arial Narrow" w:hAnsi="Arial Narrow" w:cs="Arial Narrow"/>
          <w:szCs w:val="24"/>
        </w:rPr>
      </w:pPr>
    </w:p>
    <w:p w:rsidR="000802DE" w:rsidRPr="00D55E35" w:rsidP="000802DE">
      <w:pPr>
        <w:rPr>
          <w:rFonts w:ascii="Arial Narrow" w:hAnsi="Arial Narrow" w:cs="Arial Narrow"/>
          <w:szCs w:val="24"/>
        </w:rPr>
      </w:pPr>
    </w:p>
    <w:p w:rsidR="000802DE" w:rsidRPr="00D55E35" w:rsidP="000802DE">
      <w:pPr>
        <w:jc w:val="both"/>
        <w:rPr>
          <w:rFonts w:ascii="Arial Narrow" w:hAnsi="Arial Narrow" w:cs="Arial Narrow"/>
          <w:b/>
          <w:szCs w:val="24"/>
        </w:rPr>
      </w:pPr>
      <w:r>
        <w:rPr>
          <w:rFonts w:ascii="Arial Narrow" w:hAnsi="Arial Narrow" w:cs="Arial Narrow"/>
          <w:b/>
          <w:szCs w:val="24"/>
        </w:rPr>
        <w:t>1. Základné predpoklady tvorby návrhu rozpočtu verejnej správy na roky 2010 až 2012 pre</w:t>
      </w:r>
      <w:r w:rsidRPr="00D55E35">
        <w:rPr>
          <w:rFonts w:ascii="Arial Narrow" w:hAnsi="Arial Narrow" w:cs="Arial Narrow"/>
          <w:b/>
          <w:szCs w:val="24"/>
        </w:rPr>
        <w:t xml:space="preserve"> odvody</w:t>
      </w:r>
      <w:r>
        <w:rPr>
          <w:rFonts w:ascii="Arial Narrow" w:hAnsi="Arial Narrow" w:cs="Arial Narrow"/>
          <w:b/>
          <w:szCs w:val="24"/>
        </w:rPr>
        <w:t xml:space="preserve"> a príspevky Slovenskej republiky do všeobecného rozpočtu Európskej únie</w:t>
      </w:r>
    </w:p>
    <w:p w:rsidR="000802DE" w:rsidRPr="005273D3"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sidRPr="005273D3">
        <w:rPr>
          <w:rFonts w:ascii="Arial Narrow" w:hAnsi="Arial Narrow" w:cs="Arial Narrow"/>
          <w:sz w:val="22"/>
          <w:szCs w:val="24"/>
        </w:rPr>
        <w:t>Základným východiskom pr</w:t>
      </w:r>
      <w:r>
        <w:rPr>
          <w:rFonts w:ascii="Arial Narrow" w:hAnsi="Arial Narrow" w:cs="Arial Narrow"/>
          <w:sz w:val="22"/>
          <w:szCs w:val="24"/>
        </w:rPr>
        <w:t>e vypracovanie odhadu odvodov Slovenskej republiky</w:t>
      </w:r>
      <w:r w:rsidRPr="005273D3">
        <w:rPr>
          <w:rFonts w:ascii="Arial Narrow" w:hAnsi="Arial Narrow" w:cs="Arial Narrow"/>
          <w:sz w:val="22"/>
          <w:szCs w:val="24"/>
        </w:rPr>
        <w:t xml:space="preserve"> d</w:t>
      </w:r>
      <w:r>
        <w:rPr>
          <w:rFonts w:ascii="Arial Narrow" w:hAnsi="Arial Narrow" w:cs="Arial Narrow"/>
          <w:sz w:val="22"/>
          <w:szCs w:val="24"/>
        </w:rPr>
        <w:t>o všeobecného rozpočtu Európskej únie na roky 2010 až 2012 sú závery zo zasadnut</w:t>
      </w:r>
      <w:r w:rsidRPr="005273D3">
        <w:rPr>
          <w:rFonts w:ascii="Arial Narrow" w:hAnsi="Arial Narrow" w:cs="Arial Narrow"/>
          <w:sz w:val="22"/>
          <w:szCs w:val="24"/>
        </w:rPr>
        <w:t xml:space="preserve">ia Poradného výboru pre vlastné zdroje (ACOR) </w:t>
      </w:r>
      <w:r>
        <w:rPr>
          <w:rFonts w:ascii="Arial Narrow" w:hAnsi="Arial Narrow" w:cs="Arial Narrow"/>
          <w:sz w:val="22"/>
          <w:szCs w:val="24"/>
        </w:rPr>
        <w:t xml:space="preserve">      </w:t>
      </w:r>
      <w:r w:rsidRPr="005273D3">
        <w:rPr>
          <w:rFonts w:ascii="Arial Narrow" w:hAnsi="Arial Narrow" w:cs="Arial Narrow"/>
          <w:sz w:val="22"/>
          <w:szCs w:val="24"/>
        </w:rPr>
        <w:t>z</w:t>
      </w:r>
      <w:r>
        <w:rPr>
          <w:rFonts w:ascii="Arial Narrow" w:hAnsi="Arial Narrow" w:cs="Arial Narrow"/>
          <w:sz w:val="22"/>
          <w:szCs w:val="24"/>
        </w:rPr>
        <w:t xml:space="preserve"> 12.</w:t>
      </w:r>
      <w:r w:rsidRPr="005273D3">
        <w:rPr>
          <w:rFonts w:ascii="Arial Narrow" w:hAnsi="Arial Narrow" w:cs="Arial Narrow"/>
          <w:sz w:val="22"/>
          <w:szCs w:val="24"/>
        </w:rPr>
        <w:t xml:space="preserve"> mája </w:t>
      </w:r>
      <w:r>
        <w:rPr>
          <w:rFonts w:ascii="Arial Narrow" w:hAnsi="Arial Narrow" w:cs="Arial Narrow"/>
          <w:sz w:val="22"/>
          <w:szCs w:val="24"/>
        </w:rPr>
        <w:t>2009</w:t>
      </w:r>
      <w:r w:rsidRPr="005273D3">
        <w:rPr>
          <w:rFonts w:ascii="Arial Narrow" w:hAnsi="Arial Narrow" w:cs="Arial Narrow"/>
          <w:sz w:val="22"/>
          <w:szCs w:val="24"/>
        </w:rPr>
        <w:t xml:space="preserve"> pri súčasnom </w:t>
      </w:r>
      <w:r>
        <w:rPr>
          <w:rFonts w:ascii="Arial Narrow" w:hAnsi="Arial Narrow" w:cs="Arial Narrow"/>
          <w:sz w:val="22"/>
          <w:szCs w:val="24"/>
        </w:rPr>
        <w:t xml:space="preserve">zohľadnení </w:t>
      </w:r>
      <w:r w:rsidRPr="007D6F9F">
        <w:rPr>
          <w:rFonts w:ascii="Arial Narrow" w:hAnsi="Arial Narrow" w:cs="Arial Narrow"/>
          <w:sz w:val="22"/>
          <w:szCs w:val="24"/>
        </w:rPr>
        <w:t>fi</w:t>
      </w:r>
      <w:r>
        <w:rPr>
          <w:rFonts w:ascii="Arial Narrow" w:hAnsi="Arial Narrow" w:cs="Arial Narrow"/>
          <w:sz w:val="22"/>
          <w:szCs w:val="24"/>
        </w:rPr>
        <w:t>nančného rámca Európskej únie na roky 2007 až</w:t>
      </w:r>
      <w:r w:rsidRPr="007D6F9F">
        <w:rPr>
          <w:rFonts w:ascii="Arial Narrow" w:hAnsi="Arial Narrow" w:cs="Arial Narrow"/>
          <w:sz w:val="22"/>
          <w:szCs w:val="24"/>
        </w:rPr>
        <w:t xml:space="preserve"> 2013.</w:t>
      </w:r>
    </w:p>
    <w:p w:rsidR="000802DE" w:rsidP="000802DE">
      <w:pPr>
        <w:jc w:val="both"/>
        <w:rPr>
          <w:rFonts w:ascii="Arial Narrow" w:hAnsi="Arial Narrow" w:cs="Arial Narrow"/>
          <w:sz w:val="22"/>
          <w:szCs w:val="24"/>
        </w:rPr>
      </w:pPr>
    </w:p>
    <w:p w:rsidR="000802DE" w:rsidRPr="005273D3" w:rsidP="000802DE">
      <w:pPr>
        <w:ind w:firstLine="708"/>
        <w:jc w:val="both"/>
        <w:rPr>
          <w:rFonts w:ascii="Arial Narrow" w:hAnsi="Arial Narrow" w:cs="Arial Narrow"/>
          <w:sz w:val="22"/>
          <w:szCs w:val="24"/>
        </w:rPr>
      </w:pPr>
      <w:r>
        <w:rPr>
          <w:rFonts w:ascii="Arial Narrow" w:hAnsi="Arial Narrow" w:cs="Arial Narrow"/>
          <w:sz w:val="22"/>
          <w:szCs w:val="24"/>
        </w:rPr>
        <w:t>Odhad odvodov Slovenskej republiky do všeobecného rozpočtu Európskej únie na roky 2010 až 2012 je vypracovaný na základe nového rozhodnutia Rady</w:t>
      </w:r>
      <w:r w:rsidRPr="005273D3">
        <w:rPr>
          <w:rFonts w:ascii="Arial Narrow" w:hAnsi="Arial Narrow" w:cs="Arial Narrow"/>
          <w:sz w:val="22"/>
          <w:szCs w:val="24"/>
        </w:rPr>
        <w:t xml:space="preserve"> o systéme vlastných zdrojov </w:t>
      </w:r>
      <w:r>
        <w:rPr>
          <w:rFonts w:ascii="Arial Narrow" w:hAnsi="Arial Narrow" w:cs="Arial Narrow"/>
          <w:sz w:val="22"/>
          <w:szCs w:val="24"/>
        </w:rPr>
        <w:t>Európskych spoločenstiev</w:t>
      </w:r>
      <w:r w:rsidRPr="005273D3">
        <w:rPr>
          <w:rFonts w:ascii="Arial Narrow" w:hAnsi="Arial Narrow" w:cs="Arial Narrow"/>
          <w:sz w:val="22"/>
          <w:szCs w:val="24"/>
        </w:rPr>
        <w:t>,</w:t>
      </w:r>
      <w:r>
        <w:rPr>
          <w:rFonts w:ascii="Arial Narrow" w:hAnsi="Arial Narrow" w:cs="Arial Narrow"/>
          <w:sz w:val="22"/>
          <w:szCs w:val="24"/>
        </w:rPr>
        <w:t xml:space="preserve"> ktoré vstúpilo do platnosti dňa 1. marca 2009.</w:t>
      </w:r>
    </w:p>
    <w:p w:rsidR="000802DE" w:rsidP="000802DE">
      <w:pPr>
        <w:jc w:val="both"/>
        <w:rPr>
          <w:rFonts w:ascii="Arial Narrow" w:hAnsi="Arial Narrow" w:cs="Arial Narrow"/>
          <w:sz w:val="22"/>
          <w:szCs w:val="24"/>
        </w:rPr>
      </w:pPr>
    </w:p>
    <w:p w:rsidR="000802DE" w:rsidRPr="007D6F9F" w:rsidP="000802DE">
      <w:pPr>
        <w:ind w:firstLine="708"/>
        <w:jc w:val="both"/>
        <w:rPr>
          <w:rFonts w:ascii="Arial Narrow" w:hAnsi="Arial Narrow" w:cs="Arial Narrow"/>
          <w:sz w:val="22"/>
          <w:szCs w:val="24"/>
        </w:rPr>
      </w:pPr>
      <w:r>
        <w:rPr>
          <w:rFonts w:ascii="Arial Narrow" w:hAnsi="Arial Narrow" w:cs="Arial Narrow"/>
          <w:sz w:val="22"/>
          <w:szCs w:val="24"/>
        </w:rPr>
        <w:t>O</w:t>
      </w:r>
      <w:r w:rsidRPr="007D6F9F">
        <w:rPr>
          <w:rFonts w:ascii="Arial Narrow" w:hAnsi="Arial Narrow" w:cs="Arial Narrow"/>
          <w:sz w:val="22"/>
          <w:szCs w:val="24"/>
        </w:rPr>
        <w:t xml:space="preserve">d roku 2011 </w:t>
      </w:r>
      <w:r>
        <w:rPr>
          <w:rFonts w:ascii="Arial Narrow" w:hAnsi="Arial Narrow" w:cs="Arial Narrow"/>
          <w:sz w:val="22"/>
          <w:szCs w:val="24"/>
        </w:rPr>
        <w:t xml:space="preserve">bude Slovenská republika </w:t>
      </w:r>
      <w:r w:rsidRPr="007D6F9F">
        <w:rPr>
          <w:rFonts w:ascii="Arial Narrow" w:hAnsi="Arial Narrow" w:cs="Arial Narrow"/>
          <w:sz w:val="22"/>
          <w:szCs w:val="24"/>
        </w:rPr>
        <w:t>prispievať aj do Európskeho rozvojového fondu</w:t>
      </w:r>
      <w:r>
        <w:rPr>
          <w:rStyle w:val="FootnoteReference"/>
          <w:rFonts w:ascii="Arial Narrow" w:hAnsi="Arial Narrow" w:cs="Arial Narrow"/>
          <w:sz w:val="22"/>
          <w:szCs w:val="24"/>
        </w:rPr>
        <w:footnoteReference w:id="2"/>
      </w:r>
      <w:r w:rsidRPr="007D6F9F">
        <w:rPr>
          <w:rFonts w:ascii="Arial Narrow" w:hAnsi="Arial Narrow" w:cs="Arial Narrow"/>
          <w:sz w:val="22"/>
          <w:szCs w:val="24"/>
        </w:rPr>
        <w:t>.</w:t>
      </w:r>
    </w:p>
    <w:p w:rsidR="000802DE" w:rsidRPr="005273D3" w:rsidP="000802DE">
      <w:pPr>
        <w:jc w:val="both"/>
        <w:rPr>
          <w:rFonts w:ascii="Arial Narrow" w:hAnsi="Arial Narrow" w:cs="Arial Narrow"/>
          <w:sz w:val="22"/>
          <w:szCs w:val="24"/>
        </w:rPr>
      </w:pPr>
    </w:p>
    <w:p w:rsidR="000802DE" w:rsidRPr="005273D3" w:rsidP="000802DE">
      <w:pPr>
        <w:jc w:val="both"/>
        <w:rPr>
          <w:rFonts w:ascii="Arial Narrow" w:hAnsi="Arial Narrow" w:cs="Arial Narrow"/>
          <w:sz w:val="22"/>
          <w:szCs w:val="24"/>
        </w:rPr>
      </w:pPr>
    </w:p>
    <w:p w:rsidR="000802DE" w:rsidRPr="007E3EAE" w:rsidP="000802DE">
      <w:pPr>
        <w:pStyle w:val="BodyText"/>
        <w:rPr>
          <w:rFonts w:ascii="Arial Narrow" w:hAnsi="Arial Narrow" w:cs="Arial Narrow"/>
          <w:b/>
          <w:szCs w:val="24"/>
        </w:rPr>
      </w:pPr>
      <w:r w:rsidRPr="007E3EAE">
        <w:rPr>
          <w:rFonts w:ascii="Arial Narrow" w:hAnsi="Arial Narrow" w:cs="Arial Narrow"/>
          <w:b/>
          <w:szCs w:val="24"/>
        </w:rPr>
        <w:t xml:space="preserve">2. Odvody a príspevky Slovenskej republiky do všeobecného rozpočtu Európskej únie  </w:t>
      </w:r>
    </w:p>
    <w:p w:rsidR="000802DE" w:rsidRPr="005273D3" w:rsidP="000802DE">
      <w:pPr>
        <w:jc w:val="both"/>
        <w:rPr>
          <w:rFonts w:ascii="Arial Narrow" w:hAnsi="Arial Narrow" w:cs="Arial Narrow"/>
          <w:sz w:val="22"/>
          <w:szCs w:val="24"/>
        </w:rPr>
      </w:pPr>
    </w:p>
    <w:p w:rsidR="000802DE" w:rsidRPr="005273D3" w:rsidP="000802DE">
      <w:pPr>
        <w:jc w:val="both"/>
        <w:rPr>
          <w:rFonts w:ascii="Arial Narrow" w:hAnsi="Arial Narrow" w:cs="Arial Narrow"/>
          <w:sz w:val="22"/>
          <w:szCs w:val="24"/>
        </w:rPr>
      </w:pPr>
      <w:r w:rsidRPr="005273D3">
        <w:rPr>
          <w:rFonts w:ascii="Arial Narrow" w:hAnsi="Arial Narrow" w:cs="Arial Narrow"/>
          <w:sz w:val="22"/>
          <w:szCs w:val="24"/>
          <w:u w:val="single"/>
        </w:rPr>
        <w:t>Tabuľka č. 1:</w:t>
      </w:r>
      <w:r>
        <w:rPr>
          <w:rFonts w:ascii="Arial Narrow" w:hAnsi="Arial Narrow" w:cs="Arial Narrow"/>
          <w:sz w:val="22"/>
          <w:szCs w:val="24"/>
        </w:rPr>
        <w:t xml:space="preserve"> Odvody</w:t>
      </w:r>
      <w:r w:rsidRPr="005273D3">
        <w:rPr>
          <w:rFonts w:ascii="Arial Narrow" w:hAnsi="Arial Narrow" w:cs="Arial Narrow"/>
          <w:sz w:val="22"/>
          <w:szCs w:val="24"/>
        </w:rPr>
        <w:t xml:space="preserve"> SR do všeobecného rozpočtu EÚ v rok</w:t>
      </w:r>
      <w:r>
        <w:rPr>
          <w:rFonts w:ascii="Arial Narrow" w:hAnsi="Arial Narrow" w:cs="Arial Narrow"/>
          <w:sz w:val="22"/>
          <w:szCs w:val="24"/>
        </w:rPr>
        <w:t xml:space="preserve">och 2010 až 2012 </w:t>
      </w:r>
    </w:p>
    <w:p w:rsidR="000802DE" w:rsidP="000802DE">
      <w:pPr>
        <w:rPr>
          <w:rFonts w:ascii="Times New Roman" w:hAnsi="Times New Roman" w:cs="Times New Roman"/>
          <w:sz w:val="16"/>
          <w:szCs w:val="24"/>
        </w:rPr>
      </w:pPr>
      <w:r>
        <w:rPr>
          <w:rFonts w:ascii="Times New Roman" w:hAnsi="Times New Roman" w:cs="Times New Roman"/>
          <w:szCs w:val="24"/>
        </w:rPr>
        <w:tab/>
        <w:tab/>
        <w:tab/>
        <w:tab/>
        <w:tab/>
        <w:tab/>
        <w:tab/>
        <w:tab/>
        <w:tab/>
        <w:tab/>
        <w:tab/>
        <w:t xml:space="preserve">         </w:t>
      </w:r>
      <w:r>
        <w:rPr>
          <w:rFonts w:ascii="Times New Roman" w:hAnsi="Times New Roman" w:cs="Times New Roman"/>
          <w:sz w:val="16"/>
          <w:szCs w:val="24"/>
        </w:rPr>
        <w:t>(v eurách)</w:t>
      </w:r>
    </w:p>
    <w:tbl>
      <w:tblPr>
        <w:tblStyle w:val="TableNormal"/>
        <w:tblW w:w="8920" w:type="dxa"/>
        <w:tblInd w:w="55" w:type="dxa"/>
        <w:tblCellMar>
          <w:left w:w="70" w:type="dxa"/>
          <w:right w:w="70" w:type="dxa"/>
        </w:tblCellMar>
      </w:tblPr>
      <w:tblGrid>
        <w:gridCol w:w="4900"/>
        <w:gridCol w:w="1340"/>
        <w:gridCol w:w="1340"/>
        <w:gridCol w:w="1340"/>
      </w:tblGrid>
      <w:tr>
        <w:tblPrEx>
          <w:tblW w:w="8920" w:type="dxa"/>
          <w:tblInd w:w="55" w:type="dxa"/>
          <w:tblCellMar>
            <w:left w:w="70" w:type="dxa"/>
            <w:right w:w="70" w:type="dxa"/>
          </w:tblCellMar>
        </w:tblPrEx>
        <w:trPr>
          <w:trHeight w:val="255"/>
        </w:trPr>
        <w:tc>
          <w:tcPr>
            <w:tcW w:w="4900" w:type="dxa"/>
            <w:tcBorders>
              <w:top w:val="single" w:sz="4" w:space="0" w:color="auto"/>
              <w:left w:val="single" w:sz="4" w:space="0" w:color="auto"/>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sz w:val="20"/>
                <w:szCs w:val="24"/>
              </w:rPr>
            </w:pP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noWrap/>
            <w:textDirection w:val="lrTb"/>
            <w:vAlign w:val="center"/>
          </w:tcPr>
          <w:p w:rsidR="000802DE" w:rsidP="007139CD">
            <w:pPr>
              <w:rPr>
                <w:rFonts w:ascii="Arial Narrow" w:hAnsi="Arial Narrow" w:cs="Arial Narrow"/>
                <w:sz w:val="20"/>
                <w:szCs w:val="24"/>
              </w:rPr>
            </w:pPr>
            <w:r>
              <w:rPr>
                <w:rFonts w:ascii="Arial Narrow" w:hAnsi="Arial Narrow" w:cs="Arial Narrow"/>
                <w:sz w:val="20"/>
                <w:szCs w:val="24"/>
              </w:rPr>
              <w:t>Tradičné vlastné zdroje</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 xml:space="preserve">129 600 000  </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132 192 000</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134 835 840</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shd w:val="clear" w:color="auto" w:fill="C0C0C0"/>
            <w:noWrap/>
            <w:textDirection w:val="lrTb"/>
            <w:vAlign w:val="center"/>
          </w:tcPr>
          <w:p w:rsidR="000802DE" w:rsidP="007139CD">
            <w:pPr>
              <w:rPr>
                <w:rFonts w:ascii="Arial Narrow" w:hAnsi="Arial Narrow" w:cs="Arial Narrow"/>
                <w:b/>
                <w:sz w:val="20"/>
                <w:szCs w:val="24"/>
              </w:rPr>
            </w:pPr>
            <w:r>
              <w:rPr>
                <w:rFonts w:ascii="Arial Narrow" w:hAnsi="Arial Narrow" w:cs="Arial Narrow"/>
                <w:b/>
                <w:sz w:val="20"/>
                <w:szCs w:val="24"/>
              </w:rPr>
              <w:t>Odvody SR spolu vrátane tradičných vlastných zdrojov</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901 477 039  </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782 678 375  </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 841 808 812 </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shd w:val="clear" w:color="auto" w:fill="C0C0C0"/>
            <w:noWrap/>
            <w:textDirection w:val="lrTb"/>
            <w:vAlign w:val="center"/>
          </w:tcPr>
          <w:p w:rsidR="000802DE" w:rsidP="007139CD">
            <w:pPr>
              <w:rPr>
                <w:rFonts w:ascii="Arial Narrow" w:hAnsi="Arial Narrow" w:cs="Arial Narrow"/>
                <w:b/>
                <w:sz w:val="20"/>
                <w:szCs w:val="24"/>
              </w:rPr>
            </w:pPr>
            <w:r>
              <w:rPr>
                <w:rFonts w:ascii="Arial Narrow" w:hAnsi="Arial Narrow" w:cs="Arial Narrow"/>
                <w:b/>
                <w:sz w:val="20"/>
                <w:szCs w:val="24"/>
              </w:rPr>
              <w:t>Odvody SR spolu bez tradičných vlastných zdrojov</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771 877 039  </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650 486 375  </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 xml:space="preserve"> 706 972 972 </w:t>
            </w:r>
          </w:p>
        </w:tc>
      </w:tr>
    </w:tbl>
    <w:p w:rsidR="000802DE" w:rsidP="000802DE">
      <w:pPr>
        <w:jc w:val="both"/>
        <w:rPr>
          <w:rFonts w:ascii="Arial Narrow" w:hAnsi="Arial Narrow" w:cs="Arial Narrow"/>
          <w:sz w:val="22"/>
          <w:szCs w:val="24"/>
        </w:rPr>
      </w:pPr>
    </w:p>
    <w:p w:rsidR="000802DE" w:rsidRPr="005273D3" w:rsidP="000802DE">
      <w:pPr>
        <w:pStyle w:val="BodyText"/>
        <w:rPr>
          <w:rFonts w:ascii="Arial Narrow" w:hAnsi="Arial Narrow" w:cs="Arial Narrow"/>
          <w:spacing w:val="-4"/>
          <w:sz w:val="22"/>
          <w:szCs w:val="24"/>
          <w:lang w:eastAsia="cs-CZ"/>
        </w:rPr>
      </w:pPr>
      <w:r w:rsidRPr="005273D3">
        <w:rPr>
          <w:rFonts w:ascii="Arial Narrow" w:hAnsi="Arial Narrow" w:cs="Arial Narrow"/>
          <w:spacing w:val="-4"/>
          <w:sz w:val="22"/>
          <w:szCs w:val="24"/>
          <w:u w:val="single"/>
          <w:lang w:eastAsia="cs-CZ"/>
        </w:rPr>
        <w:t>Tabuľka č. 2:</w:t>
      </w:r>
      <w:r>
        <w:rPr>
          <w:rFonts w:ascii="Arial Narrow" w:hAnsi="Arial Narrow" w:cs="Arial Narrow"/>
          <w:spacing w:val="-4"/>
          <w:sz w:val="22"/>
          <w:szCs w:val="24"/>
          <w:lang w:eastAsia="cs-CZ"/>
        </w:rPr>
        <w:t xml:space="preserve"> Príspevky SR do Európskeho rozvojového fondu v rokoch 2010 až 2012</w:t>
      </w:r>
    </w:p>
    <w:p w:rsidR="000802DE" w:rsidP="000802DE">
      <w:pPr>
        <w:pStyle w:val="BodyText"/>
        <w:rPr>
          <w:rFonts w:ascii="Arial Narrow" w:hAnsi="Arial Narrow" w:cs="Arial Narrow"/>
          <w:sz w:val="22"/>
          <w:szCs w:val="24"/>
          <w:lang w:eastAsia="cs-CZ"/>
        </w:rPr>
      </w:pPr>
      <w:r>
        <w:rPr>
          <w:rFonts w:ascii="Arial Narrow" w:hAnsi="Arial Narrow" w:cs="Arial Narrow"/>
          <w:sz w:val="22"/>
          <w:szCs w:val="24"/>
          <w:lang w:eastAsia="cs-CZ"/>
        </w:rPr>
        <w:tab/>
        <w:tab/>
        <w:tab/>
        <w:tab/>
        <w:tab/>
        <w:tab/>
        <w:tab/>
        <w:tab/>
        <w:tab/>
        <w:tab/>
        <w:tab/>
        <w:t xml:space="preserve">         </w:t>
      </w:r>
      <w:r>
        <w:rPr>
          <w:rFonts w:ascii="Arial Narrow" w:hAnsi="Arial Narrow" w:cs="Arial Narrow"/>
          <w:sz w:val="16"/>
          <w:szCs w:val="24"/>
        </w:rPr>
        <w:t>(v eurách)</w:t>
      </w:r>
    </w:p>
    <w:tbl>
      <w:tblPr>
        <w:tblStyle w:val="TableNormal"/>
        <w:tblW w:w="8920" w:type="dxa"/>
        <w:tblInd w:w="55" w:type="dxa"/>
        <w:tblCellMar>
          <w:left w:w="70" w:type="dxa"/>
          <w:right w:w="70" w:type="dxa"/>
        </w:tblCellMar>
      </w:tblPr>
      <w:tblGrid>
        <w:gridCol w:w="4900"/>
        <w:gridCol w:w="1340"/>
        <w:gridCol w:w="1340"/>
        <w:gridCol w:w="1340"/>
      </w:tblGrid>
      <w:tr>
        <w:tblPrEx>
          <w:tblW w:w="8920" w:type="dxa"/>
          <w:tblInd w:w="55" w:type="dxa"/>
          <w:tblCellMar>
            <w:left w:w="70" w:type="dxa"/>
            <w:right w:w="70" w:type="dxa"/>
          </w:tblCellMar>
        </w:tblPrEx>
        <w:trPr>
          <w:trHeight w:val="255"/>
        </w:trPr>
        <w:tc>
          <w:tcPr>
            <w:tcW w:w="4900" w:type="dxa"/>
            <w:tcBorders>
              <w:top w:val="single" w:sz="4" w:space="0" w:color="auto"/>
              <w:left w:val="single" w:sz="4" w:space="0" w:color="auto"/>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sz w:val="20"/>
                <w:szCs w:val="24"/>
              </w:rPr>
            </w:pP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noWrap/>
            <w:textDirection w:val="lrTb"/>
            <w:vAlign w:val="center"/>
          </w:tcPr>
          <w:p w:rsidR="000802DE" w:rsidP="007139CD">
            <w:pPr>
              <w:pStyle w:val="BodyText"/>
              <w:jc w:val="left"/>
              <w:rPr>
                <w:rFonts w:ascii="Arial Narrow" w:hAnsi="Arial Narrow" w:cs="Arial Narrow"/>
                <w:sz w:val="20"/>
                <w:szCs w:val="24"/>
              </w:rPr>
            </w:pPr>
            <w:r>
              <w:rPr>
                <w:rFonts w:ascii="Arial Narrow" w:hAnsi="Arial Narrow" w:cs="Arial Narrow"/>
                <w:sz w:val="20"/>
                <w:szCs w:val="24"/>
              </w:rPr>
              <w:t>Príspevky SR do Európskeho rozvojového fondu</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0</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4 880 000</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4 880 000</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shd w:val="clear" w:color="auto" w:fill="C0C0C0"/>
            <w:noWrap/>
            <w:textDirection w:val="lrTb"/>
            <w:vAlign w:val="center"/>
          </w:tcPr>
          <w:p w:rsidR="000802DE" w:rsidP="007139CD">
            <w:pPr>
              <w:pStyle w:val="BodyText"/>
              <w:jc w:val="left"/>
              <w:rPr>
                <w:rFonts w:ascii="Arial Narrow" w:hAnsi="Arial Narrow" w:cs="Arial Narrow"/>
                <w:b/>
                <w:sz w:val="20"/>
                <w:szCs w:val="24"/>
              </w:rPr>
            </w:pPr>
            <w:r>
              <w:rPr>
                <w:rFonts w:ascii="Arial Narrow" w:hAnsi="Arial Narrow" w:cs="Arial Narrow"/>
                <w:b/>
                <w:sz w:val="20"/>
                <w:szCs w:val="24"/>
              </w:rPr>
              <w:t>Príspevky SR do všeobecného rozpočtu EÚ spolu</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0</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4 880 000</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4 880 000</w:t>
            </w:r>
          </w:p>
        </w:tc>
      </w:tr>
    </w:tbl>
    <w:p w:rsidR="000802DE" w:rsidP="000802DE">
      <w:pPr>
        <w:pStyle w:val="BodyText"/>
        <w:rPr>
          <w:rFonts w:ascii="Arial Narrow" w:hAnsi="Arial Narrow" w:cs="Arial Narrow"/>
          <w:sz w:val="22"/>
          <w:szCs w:val="24"/>
          <w:lang w:eastAsia="cs-CZ"/>
        </w:rPr>
      </w:pPr>
    </w:p>
    <w:p w:rsidR="000802DE" w:rsidP="000802DE">
      <w:pPr>
        <w:pStyle w:val="BodyText"/>
        <w:rPr>
          <w:rFonts w:ascii="Arial Narrow" w:hAnsi="Arial Narrow" w:cs="Arial Narrow"/>
          <w:sz w:val="22"/>
          <w:szCs w:val="24"/>
          <w:lang w:eastAsia="cs-CZ"/>
        </w:rPr>
      </w:pPr>
    </w:p>
    <w:p w:rsidR="000802DE" w:rsidP="000802DE">
      <w:pPr>
        <w:pStyle w:val="BodyText"/>
        <w:ind w:firstLine="708"/>
        <w:rPr>
          <w:rFonts w:ascii="Arial Narrow" w:hAnsi="Arial Narrow" w:cs="Arial Narrow"/>
          <w:sz w:val="22"/>
          <w:szCs w:val="24"/>
          <w:lang w:eastAsia="cs-CZ"/>
        </w:rPr>
      </w:pPr>
      <w:r>
        <w:rPr>
          <w:rFonts w:ascii="Arial Narrow" w:hAnsi="Arial Narrow" w:cs="Arial Narrow"/>
          <w:sz w:val="22"/>
          <w:szCs w:val="24"/>
          <w:lang w:eastAsia="cs-CZ"/>
        </w:rPr>
        <w:t xml:space="preserve">Celkové odvody a príspevky Slovenskej republiky do všeobecného rozpočtu Európskej únie v rokoch </w:t>
      </w:r>
      <w:r>
        <w:rPr>
          <w:rFonts w:ascii="Arial Narrow" w:hAnsi="Arial Narrow" w:cs="Arial Narrow"/>
          <w:sz w:val="22"/>
          <w:szCs w:val="24"/>
        </w:rPr>
        <w:t>2010 až 2012</w:t>
      </w:r>
      <w:r>
        <w:rPr>
          <w:rFonts w:ascii="Arial Narrow" w:hAnsi="Arial Narrow" w:cs="Arial Narrow"/>
          <w:sz w:val="22"/>
          <w:szCs w:val="24"/>
          <w:lang w:eastAsia="cs-CZ"/>
        </w:rPr>
        <w:t xml:space="preserve"> vyjadruje nasledovná tabuľka.</w:t>
      </w:r>
    </w:p>
    <w:p w:rsidR="000802DE" w:rsidP="000802DE">
      <w:pPr>
        <w:pStyle w:val="BodyText"/>
        <w:rPr>
          <w:rFonts w:ascii="Arial Narrow" w:hAnsi="Arial Narrow" w:cs="Arial Narrow"/>
          <w:sz w:val="22"/>
          <w:szCs w:val="24"/>
          <w:lang w:eastAsia="cs-CZ"/>
        </w:rPr>
      </w:pPr>
    </w:p>
    <w:p w:rsidR="000802DE" w:rsidP="000802DE">
      <w:pPr>
        <w:pStyle w:val="BodyText"/>
        <w:rPr>
          <w:rFonts w:ascii="Arial Narrow" w:hAnsi="Arial Narrow" w:cs="Arial Narrow"/>
          <w:spacing w:val="-4"/>
          <w:sz w:val="22"/>
          <w:szCs w:val="24"/>
          <w:lang w:eastAsia="cs-CZ"/>
        </w:rPr>
      </w:pPr>
      <w:r w:rsidRPr="00807BD4">
        <w:rPr>
          <w:rFonts w:ascii="Arial Narrow" w:hAnsi="Arial Narrow" w:cs="Arial Narrow"/>
          <w:spacing w:val="-4"/>
          <w:sz w:val="22"/>
          <w:szCs w:val="24"/>
          <w:u w:val="single"/>
          <w:lang w:eastAsia="cs-CZ"/>
        </w:rPr>
        <w:t xml:space="preserve">Tabuľka č. </w:t>
      </w:r>
      <w:r>
        <w:rPr>
          <w:rFonts w:ascii="Arial Narrow" w:hAnsi="Arial Narrow" w:cs="Arial Narrow"/>
          <w:spacing w:val="-4"/>
          <w:sz w:val="22"/>
          <w:szCs w:val="24"/>
          <w:u w:val="single"/>
          <w:lang w:eastAsia="cs-CZ"/>
        </w:rPr>
        <w:t>3</w:t>
      </w:r>
      <w:r w:rsidRPr="00807BD4">
        <w:rPr>
          <w:rFonts w:ascii="Arial Narrow" w:hAnsi="Arial Narrow" w:cs="Arial Narrow"/>
          <w:spacing w:val="-4"/>
          <w:sz w:val="22"/>
          <w:szCs w:val="24"/>
          <w:u w:val="single"/>
          <w:lang w:eastAsia="cs-CZ"/>
        </w:rPr>
        <w:t>:</w:t>
      </w:r>
      <w:r>
        <w:rPr>
          <w:rFonts w:ascii="Arial Narrow" w:hAnsi="Arial Narrow" w:cs="Arial Narrow"/>
          <w:spacing w:val="-4"/>
          <w:sz w:val="22"/>
          <w:szCs w:val="24"/>
          <w:lang w:eastAsia="cs-CZ"/>
        </w:rPr>
        <w:t xml:space="preserve"> Odvody a príspevky SR do všeobecného rozpočtu EÚ v rokoch </w:t>
      </w:r>
      <w:r>
        <w:rPr>
          <w:rFonts w:ascii="Arial Narrow" w:hAnsi="Arial Narrow" w:cs="Arial Narrow"/>
          <w:sz w:val="22"/>
          <w:szCs w:val="24"/>
        </w:rPr>
        <w:t>2010 až 2012</w:t>
      </w:r>
    </w:p>
    <w:p w:rsidR="000802DE" w:rsidP="000802DE">
      <w:pPr>
        <w:jc w:val="both"/>
        <w:rPr>
          <w:rFonts w:ascii="Arial Narrow" w:hAnsi="Arial Narrow" w:cs="Arial Narrow"/>
          <w:sz w:val="22"/>
          <w:szCs w:val="24"/>
        </w:rPr>
      </w:pPr>
      <w:r>
        <w:rPr>
          <w:rFonts w:ascii="Arial Narrow" w:hAnsi="Arial Narrow" w:cs="Arial Narrow"/>
          <w:sz w:val="22"/>
          <w:szCs w:val="24"/>
        </w:rPr>
        <w:tab/>
        <w:tab/>
        <w:tab/>
        <w:tab/>
        <w:tab/>
        <w:tab/>
        <w:tab/>
        <w:tab/>
        <w:tab/>
        <w:tab/>
        <w:tab/>
        <w:t xml:space="preserve">         </w:t>
      </w:r>
      <w:r>
        <w:rPr>
          <w:rFonts w:ascii="Arial Narrow" w:hAnsi="Arial Narrow" w:cs="Arial Narrow"/>
          <w:sz w:val="16"/>
          <w:szCs w:val="24"/>
        </w:rPr>
        <w:t>(v eurách)</w:t>
      </w:r>
    </w:p>
    <w:tbl>
      <w:tblPr>
        <w:tblStyle w:val="TableNormal"/>
        <w:tblW w:w="8920" w:type="dxa"/>
        <w:tblInd w:w="55" w:type="dxa"/>
        <w:tblCellMar>
          <w:left w:w="70" w:type="dxa"/>
          <w:right w:w="70" w:type="dxa"/>
        </w:tblCellMar>
      </w:tblPr>
      <w:tblGrid>
        <w:gridCol w:w="4900"/>
        <w:gridCol w:w="1340"/>
        <w:gridCol w:w="1340"/>
        <w:gridCol w:w="1340"/>
      </w:tblGrid>
      <w:tr>
        <w:tblPrEx>
          <w:tblW w:w="8920" w:type="dxa"/>
          <w:tblInd w:w="55" w:type="dxa"/>
          <w:tblCellMar>
            <w:left w:w="70" w:type="dxa"/>
            <w:right w:w="70" w:type="dxa"/>
          </w:tblCellMar>
        </w:tblPrEx>
        <w:trPr>
          <w:trHeight w:val="255"/>
        </w:trPr>
        <w:tc>
          <w:tcPr>
            <w:tcW w:w="4900" w:type="dxa"/>
            <w:tcBorders>
              <w:top w:val="single" w:sz="4" w:space="0" w:color="auto"/>
              <w:left w:val="single" w:sz="4" w:space="0" w:color="auto"/>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sz w:val="20"/>
                <w:szCs w:val="24"/>
              </w:rPr>
            </w:pP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340" w:type="dxa"/>
            <w:tcBorders>
              <w:top w:val="single" w:sz="4" w:space="0" w:color="auto"/>
              <w:left w:val="nil"/>
              <w:bottom w:val="single" w:sz="4" w:space="0" w:color="auto"/>
              <w:right w:val="single" w:sz="4" w:space="0" w:color="auto"/>
            </w:tcBorders>
            <w:shd w:val="clear" w:color="auto" w:fill="333333"/>
            <w:noWrap/>
            <w:textDirection w:val="lrTb"/>
            <w:vAlign w:val="center"/>
          </w:tcPr>
          <w:p w:rsidR="000802DE" w:rsidP="007139CD">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noWrap/>
            <w:textDirection w:val="lrTb"/>
            <w:vAlign w:val="center"/>
          </w:tcPr>
          <w:p w:rsidR="000802DE" w:rsidP="007139CD">
            <w:pPr>
              <w:rPr>
                <w:rFonts w:ascii="Arial Narrow" w:hAnsi="Arial Narrow" w:cs="Arial Narrow"/>
                <w:sz w:val="20"/>
                <w:szCs w:val="24"/>
              </w:rPr>
            </w:pPr>
            <w:r>
              <w:rPr>
                <w:rFonts w:ascii="Arial Narrow" w:hAnsi="Arial Narrow" w:cs="Arial Narrow"/>
                <w:sz w:val="20"/>
                <w:szCs w:val="24"/>
              </w:rPr>
              <w:t>Odvody SR spolu vrátane tradičných vlastných zdrojov</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901 477 039</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 xml:space="preserve">782 678 375 </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 xml:space="preserve">841 808 812 </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noWrap/>
            <w:textDirection w:val="lrTb"/>
            <w:vAlign w:val="center"/>
          </w:tcPr>
          <w:p w:rsidR="000802DE" w:rsidP="007139CD">
            <w:pPr>
              <w:pStyle w:val="BodyText"/>
              <w:jc w:val="left"/>
              <w:rPr>
                <w:rFonts w:ascii="Arial Narrow" w:hAnsi="Arial Narrow" w:cs="Arial Narrow"/>
                <w:sz w:val="20"/>
                <w:szCs w:val="24"/>
              </w:rPr>
            </w:pPr>
            <w:r>
              <w:rPr>
                <w:rFonts w:ascii="Arial Narrow" w:hAnsi="Arial Narrow" w:cs="Arial Narrow"/>
                <w:sz w:val="20"/>
                <w:szCs w:val="24"/>
              </w:rPr>
              <w:t>Príspevky SR do všeobecného rozpočtu EÚ spolu</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0</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4 880 000</w:t>
            </w:r>
          </w:p>
        </w:tc>
        <w:tc>
          <w:tcPr>
            <w:tcW w:w="1340" w:type="dxa"/>
            <w:tcBorders>
              <w:top w:val="nil"/>
              <w:left w:val="nil"/>
              <w:bottom w:val="single" w:sz="4" w:space="0" w:color="auto"/>
              <w:right w:val="single" w:sz="4" w:space="0" w:color="auto"/>
            </w:tcBorders>
            <w:noWrap/>
            <w:textDirection w:val="lrTb"/>
            <w:vAlign w:val="center"/>
          </w:tcPr>
          <w:p w:rsidR="000802DE" w:rsidP="007139CD">
            <w:pPr>
              <w:jc w:val="right"/>
              <w:rPr>
                <w:rFonts w:ascii="Arial Narrow" w:hAnsi="Arial Narrow" w:cs="Arial Narrow"/>
                <w:sz w:val="20"/>
                <w:szCs w:val="24"/>
              </w:rPr>
            </w:pPr>
            <w:r>
              <w:rPr>
                <w:rFonts w:ascii="Arial Narrow" w:hAnsi="Arial Narrow" w:cs="Arial Narrow"/>
                <w:sz w:val="20"/>
                <w:szCs w:val="24"/>
              </w:rPr>
              <w:t>4 880 000</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shd w:val="clear" w:color="auto" w:fill="C0C0C0"/>
            <w:noWrap/>
            <w:textDirection w:val="lrTb"/>
            <w:vAlign w:val="center"/>
          </w:tcPr>
          <w:p w:rsidR="000802DE" w:rsidP="007139CD">
            <w:pPr>
              <w:rPr>
                <w:rFonts w:ascii="Arial Narrow" w:hAnsi="Arial Narrow" w:cs="Arial Narrow"/>
                <w:b/>
                <w:sz w:val="20"/>
                <w:szCs w:val="24"/>
              </w:rPr>
            </w:pPr>
            <w:r>
              <w:rPr>
                <w:rFonts w:ascii="Arial Narrow" w:hAnsi="Arial Narrow" w:cs="Arial Narrow"/>
                <w:b/>
                <w:sz w:val="20"/>
                <w:szCs w:val="24"/>
              </w:rPr>
              <w:t>Odvody a príspevky SR spolu vrátane tradičných vlastných zdrojov</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901 477 039</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787 558 375</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846 688 812</w:t>
            </w:r>
          </w:p>
        </w:tc>
      </w:tr>
      <w:tr>
        <w:tblPrEx>
          <w:tblW w:w="8920" w:type="dxa"/>
          <w:tblInd w:w="55" w:type="dxa"/>
          <w:tblCellMar>
            <w:left w:w="70" w:type="dxa"/>
            <w:right w:w="70" w:type="dxa"/>
          </w:tblCellMar>
        </w:tblPrEx>
        <w:trPr>
          <w:trHeight w:val="255"/>
        </w:trPr>
        <w:tc>
          <w:tcPr>
            <w:tcW w:w="4900" w:type="dxa"/>
            <w:tcBorders>
              <w:top w:val="nil"/>
              <w:left w:val="single" w:sz="4" w:space="0" w:color="auto"/>
              <w:bottom w:val="single" w:sz="4" w:space="0" w:color="auto"/>
              <w:right w:val="single" w:sz="4" w:space="0" w:color="auto"/>
            </w:tcBorders>
            <w:shd w:val="clear" w:color="auto" w:fill="C0C0C0"/>
            <w:noWrap/>
            <w:textDirection w:val="lrTb"/>
            <w:vAlign w:val="center"/>
          </w:tcPr>
          <w:p w:rsidR="000802DE" w:rsidP="007139CD">
            <w:pPr>
              <w:rPr>
                <w:rFonts w:ascii="Arial Narrow" w:hAnsi="Arial Narrow" w:cs="Arial Narrow"/>
                <w:b/>
                <w:sz w:val="20"/>
                <w:szCs w:val="24"/>
              </w:rPr>
            </w:pPr>
            <w:r>
              <w:rPr>
                <w:rFonts w:ascii="Arial Narrow" w:hAnsi="Arial Narrow" w:cs="Arial Narrow"/>
                <w:b/>
                <w:sz w:val="20"/>
                <w:szCs w:val="24"/>
              </w:rPr>
              <w:t>Odvody a príspevky SR spolu bez tradičných vlastných zdrojov</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771 877 039</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655 366 375</w:t>
            </w:r>
          </w:p>
        </w:tc>
        <w:tc>
          <w:tcPr>
            <w:tcW w:w="1340" w:type="dxa"/>
            <w:tcBorders>
              <w:top w:val="nil"/>
              <w:left w:val="nil"/>
              <w:bottom w:val="single" w:sz="4" w:space="0" w:color="auto"/>
              <w:right w:val="single" w:sz="4" w:space="0" w:color="auto"/>
            </w:tcBorders>
            <w:shd w:val="clear" w:color="auto" w:fill="C0C0C0"/>
            <w:noWrap/>
            <w:textDirection w:val="lrTb"/>
            <w:vAlign w:val="center"/>
          </w:tcPr>
          <w:p w:rsidR="000802DE" w:rsidP="007139CD">
            <w:pPr>
              <w:jc w:val="right"/>
              <w:rPr>
                <w:rFonts w:ascii="Arial Narrow" w:hAnsi="Arial Narrow" w:cs="Arial Narrow"/>
                <w:b/>
                <w:sz w:val="20"/>
                <w:szCs w:val="24"/>
              </w:rPr>
            </w:pPr>
            <w:r>
              <w:rPr>
                <w:rFonts w:ascii="Arial Narrow" w:hAnsi="Arial Narrow" w:cs="Arial Narrow"/>
                <w:b/>
                <w:sz w:val="20"/>
                <w:szCs w:val="24"/>
              </w:rPr>
              <w:t>711 852 972</w:t>
            </w:r>
          </w:p>
        </w:tc>
      </w:tr>
    </w:tbl>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RPr="007E3EAE" w:rsidP="000802DE">
      <w:pPr>
        <w:pStyle w:val="BodyText"/>
        <w:rPr>
          <w:rFonts w:ascii="Arial Narrow" w:hAnsi="Arial Narrow" w:cs="Arial Narrow"/>
          <w:b/>
          <w:szCs w:val="24"/>
        </w:rPr>
      </w:pPr>
      <w:r w:rsidRPr="007E3EAE">
        <w:rPr>
          <w:rFonts w:ascii="Arial Narrow" w:hAnsi="Arial Narrow" w:cs="Arial Narrow"/>
          <w:b/>
          <w:szCs w:val="24"/>
        </w:rPr>
        <w:t xml:space="preserve">3. Príjmy zo všeobecného rozpočtu EÚ a príjmy SR na základe medzinárodných zmlúv, ktorými je Slovenská republika viazaná v rokoch 2010 až 2012 </w:t>
      </w:r>
    </w:p>
    <w:p w:rsidR="000802DE" w:rsidP="000802DE">
      <w:pPr>
        <w:jc w:val="both"/>
        <w:rPr>
          <w:rFonts w:ascii="Arial Narrow" w:hAnsi="Arial Narrow" w:cs="Arial Narrow"/>
          <w:b/>
          <w:sz w:val="22"/>
          <w:szCs w:val="24"/>
        </w:rPr>
      </w:pPr>
    </w:p>
    <w:p w:rsidR="000802DE" w:rsidP="000802DE">
      <w:pPr>
        <w:ind w:firstLine="708"/>
        <w:jc w:val="both"/>
        <w:rPr>
          <w:rFonts w:ascii="Arial Narrow" w:hAnsi="Arial Narrow" w:cs="Arial Narrow"/>
          <w:b/>
          <w:sz w:val="22"/>
          <w:szCs w:val="24"/>
        </w:rPr>
      </w:pPr>
      <w:r>
        <w:rPr>
          <w:rFonts w:ascii="Arial Narrow" w:hAnsi="Arial Narrow" w:cs="Arial Narrow"/>
          <w:sz w:val="22"/>
          <w:szCs w:val="24"/>
        </w:rPr>
        <w:t>Príjmy zo všeobecného rozpočtu EÚ, uvedené v nasledujúcej tabuľke, rozdeľujeme na príjmy, ktoré sú zaradené do príjmov a výdavkov štátneho rozpočtu v zmysle §§ 7 a 8 zákona 523/2004 Z. z. o rozpočtových pravidlách verejnej správy a o zmene a doplnení niektorých zákonov v znení neskorších predpisov a príjmy, ktoré nie sú zaradené do príjmov a výdavkov štátneho rozpočtu. Do príjmov a výdavkov štátneho rozpočtu sa rovnako nezaraďujú iné prostriedky zo zahraničia, poskytnuté Slovenskej republike na základe medzinárodných zmlúv medzi Slovenskou republikou a inými štátmi.</w:t>
      </w:r>
    </w:p>
    <w:p w:rsidR="000802DE" w:rsidP="000802DE">
      <w:pPr>
        <w:jc w:val="both"/>
        <w:rPr>
          <w:rFonts w:ascii="Arial Narrow" w:hAnsi="Arial Narrow" w:cs="Arial Narrow"/>
          <w:b/>
          <w:sz w:val="22"/>
          <w:szCs w:val="24"/>
        </w:rPr>
      </w:pPr>
    </w:p>
    <w:p w:rsidR="000802DE" w:rsidP="000802DE">
      <w:pPr>
        <w:pStyle w:val="BodyText"/>
        <w:rPr>
          <w:rFonts w:ascii="Arial Narrow" w:hAnsi="Arial Narrow" w:cs="Arial Narrow"/>
          <w:spacing w:val="-4"/>
          <w:sz w:val="22"/>
          <w:szCs w:val="24"/>
          <w:lang w:eastAsia="cs-CZ"/>
        </w:rPr>
      </w:pPr>
      <w:r w:rsidRPr="00807BD4">
        <w:rPr>
          <w:rFonts w:ascii="Arial Narrow" w:hAnsi="Arial Narrow" w:cs="Arial Narrow"/>
          <w:spacing w:val="-4"/>
          <w:sz w:val="22"/>
          <w:szCs w:val="24"/>
          <w:u w:val="single"/>
          <w:lang w:eastAsia="cs-CZ"/>
        </w:rPr>
        <w:t xml:space="preserve">Tabuľka č. </w:t>
      </w:r>
      <w:r>
        <w:rPr>
          <w:rFonts w:ascii="Arial Narrow" w:hAnsi="Arial Narrow" w:cs="Arial Narrow"/>
          <w:spacing w:val="-4"/>
          <w:sz w:val="22"/>
          <w:szCs w:val="24"/>
          <w:u w:val="single"/>
          <w:lang w:eastAsia="cs-CZ"/>
        </w:rPr>
        <w:t>4</w:t>
      </w:r>
      <w:r w:rsidRPr="00807BD4">
        <w:rPr>
          <w:rFonts w:ascii="Arial Narrow" w:hAnsi="Arial Narrow" w:cs="Arial Narrow"/>
          <w:spacing w:val="-4"/>
          <w:sz w:val="22"/>
          <w:szCs w:val="24"/>
          <w:u w:val="single"/>
          <w:lang w:eastAsia="cs-CZ"/>
        </w:rPr>
        <w:t>:</w:t>
      </w:r>
      <w:r>
        <w:rPr>
          <w:rFonts w:ascii="Arial Narrow" w:hAnsi="Arial Narrow" w:cs="Arial Narrow"/>
          <w:spacing w:val="-4"/>
          <w:sz w:val="22"/>
          <w:szCs w:val="24"/>
          <w:lang w:eastAsia="cs-CZ"/>
        </w:rPr>
        <w:t xml:space="preserve"> Príjmy SR zo všeobecného rozpočtu EÚ a príjmy SR na základe medzinárodných zmlúv, ktorými je Slovenská republika viazaná v rokoch 2010 až 2012 </w:t>
      </w:r>
    </w:p>
    <w:p w:rsidR="000802DE" w:rsidP="000802DE">
      <w:pPr>
        <w:pStyle w:val="BodyText"/>
        <w:jc w:val="right"/>
        <w:rPr>
          <w:rFonts w:ascii="Arial Narrow" w:hAnsi="Arial Narrow" w:cs="Arial Narrow"/>
          <w:spacing w:val="-4"/>
          <w:sz w:val="22"/>
          <w:szCs w:val="24"/>
          <w:lang w:eastAsia="cs-CZ"/>
        </w:rPr>
      </w:pPr>
      <w:r>
        <w:rPr>
          <w:rFonts w:ascii="Arial Narrow" w:hAnsi="Arial Narrow" w:cs="Arial Narrow"/>
          <w:sz w:val="22"/>
          <w:szCs w:val="24"/>
        </w:rPr>
        <w:t xml:space="preserve">         </w:t>
      </w:r>
      <w:r>
        <w:rPr>
          <w:rFonts w:ascii="Arial Narrow" w:hAnsi="Arial Narrow" w:cs="Arial Narrow"/>
          <w:sz w:val="16"/>
          <w:szCs w:val="24"/>
        </w:rPr>
        <w:t>(v eurách)</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8"/>
        <w:gridCol w:w="2386"/>
        <w:gridCol w:w="1411"/>
        <w:gridCol w:w="1413"/>
        <w:gridCol w:w="1415"/>
        <w:gridCol w:w="141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46"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rPr>
                <w:rFonts w:ascii="Arial Narrow" w:hAnsi="Arial Narrow" w:cs="Arial Narrow"/>
                <w:spacing w:val="-4"/>
                <w:sz w:val="22"/>
                <w:szCs w:val="24"/>
                <w:lang w:eastAsia="cs-CZ"/>
              </w:rPr>
            </w:pPr>
          </w:p>
        </w:tc>
        <w:tc>
          <w:tcPr>
            <w:tcW w:w="126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rPr>
                <w:rFonts w:ascii="Arial Narrow" w:hAnsi="Arial Narrow" w:cs="Arial Narrow"/>
                <w:spacing w:val="-4"/>
                <w:sz w:val="22"/>
                <w:szCs w:val="24"/>
                <w:lang w:eastAsia="cs-CZ"/>
              </w:rPr>
            </w:pPr>
          </w:p>
        </w:tc>
        <w:tc>
          <w:tcPr>
            <w:tcW w:w="747"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748"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749"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c>
          <w:tcPr>
            <w:tcW w:w="748"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0 -  201</w:t>
            </w:r>
            <w:r>
              <w:rPr>
                <w:rFonts w:ascii="Arial Narrow" w:hAnsi="Arial Narrow" w:cs="Arial Narrow"/>
                <w:b/>
                <w:spacing w:val="-4"/>
                <w:sz w:val="22"/>
                <w:szCs w:val="24"/>
                <w:lang w:eastAsia="cs-CZ"/>
              </w:rPr>
              <w:t>2</w:t>
            </w:r>
          </w:p>
        </w:tc>
      </w:tr>
      <w:tr>
        <w:tblPrEx>
          <w:tblW w:w="5000" w:type="pct"/>
          <w:tblInd w:w="0" w:type="dxa"/>
          <w:tblLayout w:type="fixed"/>
          <w:tblLook w:val="01E0"/>
        </w:tblPrEx>
        <w:trPr>
          <w:trHeight w:val="488"/>
        </w:trPr>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A1=A11+A12+A13+A14</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Poľnohospodárske fondy v tom:</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765 943 639</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637 668 787</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549 546 531</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BB437B" w:rsidP="007139CD">
            <w:pPr>
              <w:pStyle w:val="BodyTex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1 953 158 957</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A11</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Priame platby</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241 128 100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281 663 800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318 448 100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841 240 000</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A12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Trhovo orientované výdavky</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32 807 310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28 005 910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23 926 977</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84 740 197</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A13</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Program rozvoja vidieka</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489 708 793</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325 404 000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204 627 500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1 019 740 293</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A14</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Európsky fond pre rybné hospodárstvo</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2 299 436</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2 595 077</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2 543 954</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7 438 467</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A2=A21+A22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lef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Štrukturálne operácie</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2 131 556 975</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2 383 912 339</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2 020 250 992</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BB437B"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6 535 720 306</w:t>
            </w:r>
          </w:p>
        </w:tc>
      </w:tr>
      <w:tr>
        <w:tblPrEx>
          <w:tblW w:w="5000" w:type="pct"/>
          <w:tblInd w:w="0" w:type="dxa"/>
          <w:tblLayout w:type="fixed"/>
          <w:tblLook w:val="01E0"/>
        </w:tblPrEx>
        <w:trPr>
          <w:trHeight w:val="337"/>
        </w:trPr>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A21</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Štrukturálne fondy (bez INTERREG IVC a INTERACTII)</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1 377 845 398</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1 604 431 556</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1 379 205 116</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4 361 482 070</w:t>
            </w:r>
          </w:p>
        </w:tc>
      </w:tr>
      <w:tr>
        <w:tblPrEx>
          <w:tblW w:w="5000" w:type="pct"/>
          <w:tblInd w:w="0" w:type="dxa"/>
          <w:tblLayout w:type="fixed"/>
          <w:tblLook w:val="01E0"/>
        </w:tblPrEx>
        <w:trPr>
          <w:trHeight w:val="405"/>
        </w:trPr>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A22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jc w:val="righ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Kohézny fond</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753 711 577</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779 480 783</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641 045 876</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spacing w:before="240"/>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2 174 238 236</w:t>
            </w:r>
          </w:p>
        </w:tc>
      </w:tr>
      <w:tr>
        <w:tblPrEx>
          <w:tblW w:w="5000" w:type="pct"/>
          <w:tblInd w:w="0" w:type="dxa"/>
          <w:tblLayout w:type="fixed"/>
          <w:tblLook w:val="01E0"/>
        </w:tblPrEx>
        <w:trPr>
          <w:trHeight w:val="720"/>
        </w:trPr>
        <w:tc>
          <w:tcPr>
            <w:tcW w:w="746"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spacing w:before="240"/>
              <w:rPr>
                <w:rFonts w:ascii="Arial Narrow" w:hAnsi="Arial Narrow" w:cs="Arial Narrow"/>
                <w:b/>
                <w:spacing w:val="-4"/>
                <w:sz w:val="22"/>
                <w:szCs w:val="24"/>
                <w:lang w:eastAsia="cs-CZ"/>
              </w:rPr>
            </w:pPr>
          </w:p>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A=A1+A2</w:t>
            </w:r>
          </w:p>
        </w:tc>
        <w:tc>
          <w:tcPr>
            <w:tcW w:w="1263"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Príjmy z EÚ zaradené do príjmov a výdavkov štátneho rozpočtu spolu</w:t>
            </w:r>
          </w:p>
        </w:tc>
        <w:tc>
          <w:tcPr>
            <w:tcW w:w="747"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2 897 500 614</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3 021 581 126</w:t>
            </w:r>
          </w:p>
        </w:tc>
        <w:tc>
          <w:tcPr>
            <w:tcW w:w="749"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2 569 797 523</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8 488 879 263</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B1</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Pr>
                <w:rFonts w:ascii="Arial Narrow" w:hAnsi="Arial Narrow" w:cs="Arial Narrow"/>
                <w:spacing w:val="-4"/>
                <w:sz w:val="22"/>
                <w:szCs w:val="24"/>
                <w:lang w:eastAsia="cs-CZ"/>
              </w:rPr>
              <w:t>Programy Európskej územnej spolupráce</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12 052 580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11 513 739</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11 788 988</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35 355 274</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B2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Predvstupové fondy</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3 059 682</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3 059 682</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B3</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Vnútorné politiky/vnútorné opatrenia</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160 083 812</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161 755 763</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303 425 763</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625 265 338</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rPr>
                <w:rFonts w:ascii="Arial Narrow" w:hAnsi="Arial Narrow" w:cs="Arial Narrow"/>
                <w:b/>
                <w:spacing w:val="-4"/>
                <w:sz w:val="22"/>
                <w:szCs w:val="24"/>
                <w:lang w:eastAsia="cs-CZ"/>
              </w:rPr>
            </w:pPr>
          </w:p>
          <w:p w:rsidR="000802DE" w:rsidRPr="00166CC7" w:rsidP="007139CD">
            <w:pPr>
              <w:pStyle w:val="BodyText"/>
              <w:rPr>
                <w:rFonts w:ascii="Arial Narrow" w:hAnsi="Arial Narrow" w:cs="Arial Narrow"/>
                <w:b/>
                <w:spacing w:val="-4"/>
                <w:sz w:val="22"/>
                <w:szCs w:val="24"/>
                <w:lang w:eastAsia="cs-CZ"/>
              </w:rPr>
            </w:pPr>
          </w:p>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B=B1+B2+B3</w:t>
            </w:r>
          </w:p>
        </w:tc>
        <w:tc>
          <w:tcPr>
            <w:tcW w:w="1263"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Príjmy z EÚ nezaradené do príjmov a výdavkov štátneho rozpočtu spolu</w:t>
            </w:r>
          </w:p>
        </w:tc>
        <w:tc>
          <w:tcPr>
            <w:tcW w:w="747"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175 196 074</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173 269 502</w:t>
            </w:r>
          </w:p>
        </w:tc>
        <w:tc>
          <w:tcPr>
            <w:tcW w:w="749"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315 214 718</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663 680 294</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C=A+B</w:t>
            </w:r>
          </w:p>
        </w:tc>
        <w:tc>
          <w:tcPr>
            <w:tcW w:w="1263"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rPr>
                <w:rFonts w:ascii="Arial Narrow" w:hAnsi="Arial Narrow" w:cs="Arial Narrow"/>
                <w:b/>
                <w:spacing w:val="-4"/>
                <w:sz w:val="22"/>
                <w:szCs w:val="24"/>
                <w:u w:val="single"/>
                <w:lang w:eastAsia="cs-CZ"/>
              </w:rPr>
            </w:pPr>
            <w:r w:rsidRPr="00166CC7">
              <w:rPr>
                <w:rFonts w:ascii="Arial Narrow" w:hAnsi="Arial Narrow" w:cs="Arial Narrow"/>
                <w:b/>
                <w:spacing w:val="-4"/>
                <w:sz w:val="22"/>
                <w:szCs w:val="24"/>
                <w:lang w:eastAsia="cs-CZ"/>
              </w:rPr>
              <w:t>Príjmy z EÚ spolu</w:t>
            </w:r>
          </w:p>
        </w:tc>
        <w:tc>
          <w:tcPr>
            <w:tcW w:w="747"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3 072 696 688</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3 194 850 628</w:t>
            </w:r>
          </w:p>
        </w:tc>
        <w:tc>
          <w:tcPr>
            <w:tcW w:w="749"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2 885 012 241</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166C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9 152 559 557</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P="007139CD">
            <w:pPr>
              <w:pStyle w:val="BodyText"/>
              <w:rPr>
                <w:rFonts w:ascii="Arial Narrow" w:hAnsi="Arial Narrow" w:cs="Arial Narrow"/>
                <w:spacing w:val="-4"/>
                <w:sz w:val="22"/>
                <w:szCs w:val="24"/>
                <w:lang w:eastAsia="cs-CZ"/>
              </w:rPr>
            </w:pPr>
          </w:p>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D=D1+D2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Iné prostriedky zo zahraničia na základe medzinárodných zmlúv v tom:</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42 256 000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37 987 000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6 766 000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87 009 000</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D1</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Pr>
                <w:rFonts w:ascii="Arial Narrow" w:hAnsi="Arial Narrow" w:cs="Arial Narrow"/>
                <w:spacing w:val="-4"/>
                <w:sz w:val="22"/>
                <w:szCs w:val="24"/>
                <w:lang w:eastAsia="cs-CZ"/>
              </w:rPr>
              <w:t>Finančný mechanizmus EHP a Nórsky finančný mechanizmus</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29 918 000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26 796 000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56 714 000</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rPr>
                <w:rFonts w:ascii="Arial Narrow" w:hAnsi="Arial Narrow" w:cs="Arial Narrow"/>
                <w:spacing w:val="-4"/>
                <w:sz w:val="22"/>
                <w:szCs w:val="24"/>
                <w:lang w:eastAsia="cs-CZ"/>
              </w:rPr>
            </w:pPr>
          </w:p>
          <w:p w:rsidR="000802DE" w:rsidRPr="00166CC7" w:rsidP="007139CD">
            <w:pPr>
              <w:pStyle w:val="BodyText"/>
              <w:rPr>
                <w:rFonts w:ascii="Arial Narrow" w:hAnsi="Arial Narrow" w:cs="Arial Narrow"/>
                <w:spacing w:val="-4"/>
                <w:sz w:val="22"/>
                <w:szCs w:val="24"/>
                <w:lang w:eastAsia="cs-CZ"/>
              </w:rPr>
            </w:pPr>
            <w:r w:rsidRPr="00166CC7">
              <w:rPr>
                <w:rFonts w:ascii="Arial Narrow" w:hAnsi="Arial Narrow" w:cs="Arial Narrow"/>
                <w:spacing w:val="-4"/>
                <w:sz w:val="22"/>
                <w:szCs w:val="24"/>
                <w:lang w:eastAsia="cs-CZ"/>
              </w:rPr>
              <w:t>D2</w:t>
            </w:r>
          </w:p>
        </w:tc>
        <w:tc>
          <w:tcPr>
            <w:tcW w:w="1263" w:type="pct"/>
            <w:tcBorders>
              <w:top w:val="single" w:sz="4" w:space="0" w:color="auto"/>
              <w:left w:val="single" w:sz="4" w:space="0" w:color="auto"/>
              <w:bottom w:val="single" w:sz="4" w:space="0" w:color="auto"/>
              <w:right w:val="single" w:sz="4" w:space="0" w:color="auto"/>
            </w:tcBorders>
            <w:textDirection w:val="lrTb"/>
            <w:vAlign w:val="top"/>
          </w:tcPr>
          <w:p w:rsidR="000802DE" w:rsidRPr="00166CC7" w:rsidP="007139CD">
            <w:pPr>
              <w:pStyle w:val="BodyText"/>
              <w:rPr>
                <w:rFonts w:ascii="Arial Narrow" w:hAnsi="Arial Narrow" w:cs="Arial Narrow"/>
                <w:spacing w:val="-4"/>
                <w:sz w:val="22"/>
                <w:szCs w:val="24"/>
                <w:lang w:eastAsia="cs-CZ"/>
              </w:rPr>
            </w:pPr>
            <w:r>
              <w:rPr>
                <w:rFonts w:ascii="Arial Narrow" w:hAnsi="Arial Narrow" w:cs="Arial Narrow"/>
                <w:spacing w:val="-4"/>
                <w:sz w:val="22"/>
                <w:szCs w:val="24"/>
                <w:lang w:eastAsia="cs-CZ"/>
              </w:rPr>
              <w:t>Švajčiarsky finančný mechanizmus</w:t>
            </w:r>
          </w:p>
        </w:tc>
        <w:tc>
          <w:tcPr>
            <w:tcW w:w="747"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12 338 000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11 191 000</w:t>
            </w:r>
          </w:p>
        </w:tc>
        <w:tc>
          <w:tcPr>
            <w:tcW w:w="74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6 766 000</w:t>
            </w:r>
          </w:p>
        </w:tc>
        <w:tc>
          <w:tcPr>
            <w:tcW w:w="748"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pStyle w:val="BodyText"/>
              <w:jc w:val="right"/>
              <w:rPr>
                <w:rFonts w:ascii="Arial Narrow" w:hAnsi="Arial Narrow" w:cs="Arial Narrow"/>
                <w:spacing w:val="-4"/>
                <w:sz w:val="22"/>
                <w:szCs w:val="24"/>
                <w:lang w:eastAsia="cs-CZ"/>
              </w:rPr>
            </w:pPr>
          </w:p>
          <w:p w:rsidR="000802DE" w:rsidRPr="00166CC7" w:rsidP="007139CD">
            <w:pPr>
              <w:pStyle w:val="BodyText"/>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30 295 000</w:t>
            </w:r>
          </w:p>
        </w:tc>
      </w:tr>
      <w:tr>
        <w:tblPrEx>
          <w:tblW w:w="5000" w:type="pct"/>
          <w:tblInd w:w="0" w:type="dxa"/>
          <w:tblLayout w:type="fixed"/>
          <w:tblLook w:val="01E0"/>
        </w:tblPrEx>
        <w:tc>
          <w:tcPr>
            <w:tcW w:w="746"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rPr>
                <w:rFonts w:ascii="Arial Narrow" w:hAnsi="Arial Narrow" w:cs="Arial Narrow"/>
                <w:b/>
                <w:spacing w:val="-4"/>
                <w:sz w:val="22"/>
                <w:szCs w:val="24"/>
                <w:lang w:eastAsia="cs-CZ"/>
              </w:rPr>
            </w:pPr>
          </w:p>
          <w:p w:rsidR="000802DE" w:rsidP="007139CD">
            <w:pPr>
              <w:pStyle w:val="BodyText"/>
              <w:rPr>
                <w:rFonts w:ascii="Arial Narrow" w:hAnsi="Arial Narrow" w:cs="Arial Narrow"/>
                <w:b/>
                <w:spacing w:val="-4"/>
                <w:sz w:val="22"/>
                <w:szCs w:val="24"/>
                <w:lang w:eastAsia="cs-CZ"/>
              </w:rPr>
            </w:pPr>
          </w:p>
          <w:p w:rsidR="000802DE" w:rsidP="007139CD">
            <w:pPr>
              <w:pStyle w:val="BodyText"/>
              <w:rPr>
                <w:rFonts w:ascii="Arial Narrow" w:hAnsi="Arial Narrow" w:cs="Arial Narrow"/>
                <w:b/>
                <w:spacing w:val="-4"/>
                <w:sz w:val="22"/>
                <w:szCs w:val="24"/>
                <w:lang w:eastAsia="cs-CZ"/>
              </w:rPr>
            </w:pPr>
          </w:p>
          <w:p w:rsidR="000802DE" w:rsidP="007139CD">
            <w:pPr>
              <w:pStyle w:val="BodyText"/>
              <w:rPr>
                <w:rFonts w:ascii="Arial Narrow" w:hAnsi="Arial Narrow" w:cs="Arial Narrow"/>
                <w:b/>
                <w:spacing w:val="-4"/>
                <w:sz w:val="22"/>
                <w:szCs w:val="24"/>
                <w:lang w:eastAsia="cs-CZ"/>
              </w:rPr>
            </w:pPr>
          </w:p>
          <w:p w:rsidR="000802DE" w:rsidRPr="00166CC7" w:rsidP="007139CD">
            <w:pPr>
              <w:pStyle w:val="BodyText"/>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E=C+D</w:t>
            </w:r>
          </w:p>
        </w:tc>
        <w:tc>
          <w:tcPr>
            <w:tcW w:w="1263"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7F6159" w:rsidP="007139CD">
            <w:pPr>
              <w:pStyle w:val="BodyText"/>
              <w:rPr>
                <w:rFonts w:ascii="Arial Narrow" w:hAnsi="Arial Narrow" w:cs="Arial Narrow"/>
                <w:b/>
                <w:spacing w:val="-4"/>
                <w:sz w:val="22"/>
                <w:szCs w:val="24"/>
                <w:lang w:eastAsia="cs-CZ"/>
              </w:rPr>
            </w:pPr>
            <w:r w:rsidRPr="007F6159">
              <w:rPr>
                <w:rFonts w:ascii="Arial Narrow" w:hAnsi="Arial Narrow" w:cs="Arial Narrow"/>
                <w:b/>
                <w:spacing w:val="-4"/>
                <w:sz w:val="22"/>
                <w:szCs w:val="24"/>
                <w:lang w:eastAsia="cs-CZ"/>
              </w:rPr>
              <w:t>Príjmy z EÚ a iné prostriedky zo zahraničia na základe medzinárodných zmlúv spolu</w:t>
            </w:r>
          </w:p>
        </w:tc>
        <w:tc>
          <w:tcPr>
            <w:tcW w:w="747"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7625F2"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3 114 952 688</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7625F2"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3 232 837 628</w:t>
            </w:r>
          </w:p>
        </w:tc>
        <w:tc>
          <w:tcPr>
            <w:tcW w:w="749"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7625F2"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2 891 778 241</w:t>
            </w:r>
          </w:p>
        </w:tc>
        <w:tc>
          <w:tcPr>
            <w:tcW w:w="748"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P="007139CD">
            <w:pPr>
              <w:pStyle w:val="BodyText"/>
              <w:jc w:val="right"/>
              <w:rPr>
                <w:rFonts w:ascii="Arial Narrow" w:hAnsi="Arial Narrow" w:cs="Arial Narrow"/>
                <w:b/>
                <w:spacing w:val="-4"/>
                <w:sz w:val="22"/>
                <w:szCs w:val="24"/>
                <w:lang w:eastAsia="cs-CZ"/>
              </w:rPr>
            </w:pPr>
          </w:p>
          <w:p w:rsidR="000802DE" w:rsidRPr="007625F2"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9 239 568 557</w:t>
            </w:r>
          </w:p>
        </w:tc>
      </w:tr>
    </w:tbl>
    <w:p w:rsidR="007E3EAE" w:rsidP="000802DE">
      <w:pPr>
        <w:ind w:firstLine="708"/>
        <w:jc w:val="both"/>
        <w:rPr>
          <w:rFonts w:ascii="Arial Narrow" w:hAnsi="Arial Narrow" w:cs="Arial Narrow"/>
          <w:spacing w:val="-4"/>
          <w:sz w:val="22"/>
          <w:szCs w:val="24"/>
          <w:lang w:eastAsia="cs-CZ"/>
        </w:rPr>
      </w:pPr>
    </w:p>
    <w:p w:rsidR="000802DE" w:rsidP="000802DE">
      <w:pPr>
        <w:ind w:firstLine="708"/>
        <w:jc w:val="both"/>
        <w:rPr>
          <w:rFonts w:ascii="Arial Narrow" w:hAnsi="Arial Narrow" w:cs="Arial Narrow"/>
          <w:sz w:val="22"/>
          <w:szCs w:val="24"/>
        </w:rPr>
      </w:pPr>
      <w:r w:rsidRPr="00371EB9">
        <w:rPr>
          <w:rFonts w:ascii="Arial Narrow" w:hAnsi="Arial Narrow" w:cs="Arial Narrow"/>
          <w:spacing w:val="-4"/>
          <w:sz w:val="22"/>
          <w:szCs w:val="24"/>
          <w:lang w:eastAsia="cs-CZ"/>
        </w:rPr>
        <w:t xml:space="preserve">V rokoch </w:t>
      </w:r>
      <w:r>
        <w:rPr>
          <w:rFonts w:ascii="Arial Narrow" w:hAnsi="Arial Narrow" w:cs="Arial Narrow"/>
          <w:spacing w:val="-4"/>
          <w:sz w:val="22"/>
          <w:szCs w:val="24"/>
          <w:lang w:eastAsia="cs-CZ"/>
        </w:rPr>
        <w:t xml:space="preserve">2010 až 2012 sa v kapitole Ministerstva pôdohospodárstva SR rozpočtujú príjmy z Európskeho poľnohospodárskeho záručného fondu a Európskeho poľnohospodárskeho fondu pre rozvoj vidieka na priame platby, trhovo orientované výdavky a prostriedky v rámci Plánu rozvoja vidieka. V prípade stanovenia priamych platieb sa vychádzalo z odhadov čerpania zdrojov určených na jednotnú platbu na plochu a osobitnej platby na cukor. Do odhadov sú zahrnuté osobitná platba a prechodná platba na ovocie a zeleninu, platba na pestovanie energetických plodín a dodatočné priame platby.  Očakávané príjmy z Európskeho poľnohospodárskeho fondu pre rozvoj vidieka a Európskeho fondu pre rybné hospodárstvo sa rozpočtujú vo väzbe na programové dokumenty Program rozvoja vidieka SR 2007 – 2013 a Operačný program Rybné hospodárstvo 2007 – 2013, schválené Európskou komisiou. </w:t>
      </w:r>
      <w:r>
        <w:rPr>
          <w:rFonts w:ascii="Arial Narrow" w:hAnsi="Arial Narrow" w:cs="Arial Narrow"/>
          <w:sz w:val="22"/>
          <w:szCs w:val="24"/>
        </w:rPr>
        <w:t>V rámci Programu rozvoja vidieka SR 2007 – 2013 sú rozpočtované prostriedky tiež v súvislosti s Európskym plánom oživenia hospodárstva vo väzbe na rozhodnutie Rady č. 2009/434/ES z 25. mája 2009, tzv. recovery package.</w:t>
      </w:r>
    </w:p>
    <w:p w:rsidR="000802DE" w:rsidP="000802DE">
      <w:pPr>
        <w:jc w:val="both"/>
        <w:rPr>
          <w:rFonts w:ascii="Arial Narrow" w:hAnsi="Arial Narrow" w:cs="Arial Narrow"/>
          <w:spacing w:val="-4"/>
          <w:sz w:val="22"/>
          <w:szCs w:val="24"/>
          <w:lang w:eastAsia="cs-CZ"/>
        </w:rPr>
      </w:pPr>
    </w:p>
    <w:p w:rsidR="000802DE" w:rsidP="000802DE">
      <w:pPr>
        <w:ind w:firstLine="708"/>
        <w:jc w:val="both"/>
        <w:rPr>
          <w:rFonts w:ascii="Arial Narrow" w:hAnsi="Arial Narrow" w:cs="Arial Narrow"/>
          <w:spacing w:val="-4"/>
          <w:sz w:val="22"/>
          <w:szCs w:val="24"/>
          <w:lang w:eastAsia="cs-CZ"/>
        </w:rPr>
      </w:pPr>
      <w:r>
        <w:rPr>
          <w:rFonts w:ascii="Arial Narrow" w:hAnsi="Arial Narrow" w:cs="Arial Narrow"/>
          <w:spacing w:val="-4"/>
          <w:sz w:val="22"/>
          <w:szCs w:val="24"/>
          <w:lang w:eastAsia="cs-CZ"/>
        </w:rPr>
        <w:t>Odhady očakávaných príjmov v prípade štrukturálnych fondov a Kohézneho fondu vyplývajú z úrovne záväzkov programového obdobia 2007 – 2013 podľa programových dokumentov, schválených Európskou komisiou  v rámci Národného strategického referenčného rámca. V prípade Kohézneho fondu sa v roku 2010 očakávajú tiež príjmy z projektov skráteného programového obdobia, ktorých implementácia sa začala v roku 2006. Príjmy z prostriedkov EÚ na základe záväzkov prvého programového obdobia sú zahrnuté v rozpočte kapitol, implementujúcich Národný rozvojový plán a na roky 2010 až 2012 sa nerozpočtujú.</w:t>
      </w:r>
    </w:p>
    <w:p w:rsidR="000802DE" w:rsidP="000802DE">
      <w:pPr>
        <w:jc w:val="both"/>
        <w:rPr>
          <w:rFonts w:ascii="Arial Narrow" w:hAnsi="Arial Narrow" w:cs="Arial Narrow"/>
          <w:spacing w:val="-4"/>
          <w:sz w:val="22"/>
          <w:szCs w:val="24"/>
          <w:lang w:eastAsia="cs-CZ"/>
        </w:rPr>
      </w:pPr>
    </w:p>
    <w:p w:rsidR="000802DE" w:rsidP="000802DE">
      <w:pPr>
        <w:ind w:firstLine="708"/>
        <w:jc w:val="both"/>
        <w:rPr>
          <w:rFonts w:ascii="Arial Narrow" w:hAnsi="Arial Narrow" w:cs="Arial Narrow"/>
          <w:spacing w:val="-4"/>
          <w:sz w:val="22"/>
          <w:szCs w:val="24"/>
          <w:lang w:eastAsia="cs-CZ"/>
        </w:rPr>
      </w:pPr>
      <w:r>
        <w:rPr>
          <w:rFonts w:ascii="Arial Narrow" w:hAnsi="Arial Narrow" w:cs="Arial Narrow"/>
          <w:spacing w:val="-4"/>
          <w:sz w:val="22"/>
          <w:szCs w:val="24"/>
          <w:lang w:eastAsia="cs-CZ"/>
        </w:rPr>
        <w:t>Z predvstupových fondov sa očakávajú príjmy z fondu ISPA, z  ktorého budú ukončované projekty nasledujúci rok.</w:t>
      </w:r>
    </w:p>
    <w:p w:rsidR="000802DE" w:rsidP="000802DE">
      <w:pPr>
        <w:jc w:val="both"/>
        <w:rPr>
          <w:rFonts w:ascii="Arial Narrow" w:hAnsi="Arial Narrow" w:cs="Arial Narrow"/>
          <w:spacing w:val="-4"/>
          <w:sz w:val="22"/>
          <w:szCs w:val="24"/>
          <w:lang w:eastAsia="cs-CZ"/>
        </w:rPr>
      </w:pPr>
    </w:p>
    <w:p w:rsidR="000802DE" w:rsidP="000802DE">
      <w:pPr>
        <w:ind w:firstLine="708"/>
        <w:jc w:val="both"/>
        <w:rPr>
          <w:rFonts w:ascii="Arial Narrow" w:hAnsi="Arial Narrow" w:cs="Arial Narrow"/>
          <w:spacing w:val="-4"/>
          <w:sz w:val="22"/>
          <w:szCs w:val="24"/>
          <w:lang w:eastAsia="cs-CZ"/>
        </w:rPr>
      </w:pPr>
      <w:r>
        <w:rPr>
          <w:rFonts w:ascii="Arial Narrow" w:hAnsi="Arial Narrow" w:cs="Arial Narrow"/>
          <w:spacing w:val="-4"/>
          <w:sz w:val="22"/>
          <w:szCs w:val="24"/>
          <w:lang w:eastAsia="cs-CZ"/>
        </w:rPr>
        <w:t>V rámci vnútorných politík sa očakávajú príjmy v rokoch 2010 až 2012 z vnútorných opatrení a vnútorných politík podľa záväzkov finančného rámca na roky 2007 - 2013 a z prostriedkov na odstavenie bloku V1 atómovej elektrárne Jaslovské Bohunice. Odhady čerpania prostriedkov sú zobrazené v nasledovnej tabuľke.</w:t>
      </w:r>
    </w:p>
    <w:p w:rsidR="000802DE" w:rsidP="000802DE">
      <w:pPr>
        <w:jc w:val="both"/>
        <w:rPr>
          <w:rFonts w:ascii="Arial Narrow" w:hAnsi="Arial Narrow" w:cs="Arial Narrow"/>
          <w:spacing w:val="-4"/>
          <w:sz w:val="22"/>
          <w:szCs w:val="24"/>
          <w:lang w:eastAsia="cs-CZ"/>
        </w:rPr>
      </w:pPr>
    </w:p>
    <w:p w:rsidR="000802DE" w:rsidP="000802DE">
      <w:pPr>
        <w:jc w:val="both"/>
        <w:rPr>
          <w:rFonts w:ascii="Arial Narrow" w:hAnsi="Arial Narrow" w:cs="Arial Narrow"/>
          <w:spacing w:val="-4"/>
          <w:sz w:val="22"/>
          <w:szCs w:val="24"/>
          <w:lang w:eastAsia="cs-CZ"/>
        </w:rPr>
      </w:pPr>
      <w:r w:rsidRPr="00807BD4">
        <w:rPr>
          <w:rFonts w:ascii="Arial Narrow" w:hAnsi="Arial Narrow" w:cs="Arial Narrow"/>
          <w:spacing w:val="-4"/>
          <w:sz w:val="22"/>
          <w:szCs w:val="24"/>
          <w:u w:val="single"/>
          <w:lang w:eastAsia="cs-CZ"/>
        </w:rPr>
        <w:t xml:space="preserve">Tabuľka č. </w:t>
      </w:r>
      <w:r>
        <w:rPr>
          <w:rFonts w:ascii="Arial Narrow" w:hAnsi="Arial Narrow" w:cs="Arial Narrow"/>
          <w:spacing w:val="-4"/>
          <w:sz w:val="22"/>
          <w:szCs w:val="24"/>
          <w:u w:val="single"/>
          <w:lang w:eastAsia="cs-CZ"/>
        </w:rPr>
        <w:t>5</w:t>
      </w:r>
      <w:r w:rsidRPr="00807BD4">
        <w:rPr>
          <w:rFonts w:ascii="Arial Narrow" w:hAnsi="Arial Narrow" w:cs="Arial Narrow"/>
          <w:spacing w:val="-4"/>
          <w:sz w:val="22"/>
          <w:szCs w:val="24"/>
          <w:u w:val="single"/>
          <w:lang w:eastAsia="cs-CZ"/>
        </w:rPr>
        <w:t>:</w:t>
      </w:r>
      <w:r>
        <w:rPr>
          <w:rFonts w:ascii="Arial Narrow" w:hAnsi="Arial Narrow" w:cs="Arial Narrow"/>
          <w:spacing w:val="-4"/>
          <w:sz w:val="22"/>
          <w:szCs w:val="24"/>
          <w:lang w:eastAsia="cs-CZ"/>
        </w:rPr>
        <w:t xml:space="preserve"> Odhad čerpania prostriedkov z vnútorných politík EÚ a z programov Európskej územnej spolupráce v rokoch 2010 až 2012 </w:t>
      </w:r>
    </w:p>
    <w:p w:rsidR="000802DE" w:rsidRPr="005E3E57" w:rsidP="000802DE">
      <w:pPr>
        <w:pStyle w:val="BodyText"/>
        <w:jc w:val="right"/>
        <w:rPr>
          <w:rFonts w:ascii="Arial Narrow" w:hAnsi="Arial Narrow" w:cs="Arial Narrow"/>
          <w:spacing w:val="-4"/>
          <w:sz w:val="16"/>
          <w:szCs w:val="24"/>
          <w:lang w:eastAsia="cs-CZ"/>
        </w:rPr>
      </w:pPr>
      <w:r w:rsidRPr="005E3E57">
        <w:rPr>
          <w:rFonts w:ascii="Arial Narrow" w:hAnsi="Arial Narrow" w:cs="Arial Narrow"/>
          <w:sz w:val="16"/>
          <w:szCs w:val="24"/>
        </w:rPr>
        <w:t xml:space="preserve">         (v eurách)</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2361"/>
        <w:gridCol w:w="2361"/>
        <w:gridCol w:w="23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pStyle w:val="BodyText"/>
              <w:rPr>
                <w:rFonts w:ascii="Arial Narrow" w:hAnsi="Arial Narrow" w:cs="Arial Narrow"/>
                <w:spacing w:val="-4"/>
                <w:sz w:val="22"/>
                <w:szCs w:val="24"/>
                <w:lang w:eastAsia="cs-CZ"/>
              </w:rPr>
            </w:pP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pacing w:val="-4"/>
                <w:sz w:val="22"/>
                <w:szCs w:val="24"/>
                <w:lang w:eastAsia="cs-CZ"/>
              </w:rPr>
            </w:pPr>
            <w:r w:rsidRPr="000A40C7">
              <w:rPr>
                <w:rFonts w:ascii="Arial Narrow" w:hAnsi="Arial Narrow" w:cs="Arial Narrow"/>
                <w:spacing w:val="-4"/>
                <w:sz w:val="22"/>
                <w:szCs w:val="24"/>
                <w:lang w:eastAsia="cs-CZ"/>
              </w:rPr>
              <w:t>Vnútorné politiky a vnútorné opatrenia</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89 853 812</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102 755 763</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105 195 763</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pacing w:val="-4"/>
                <w:sz w:val="22"/>
                <w:szCs w:val="24"/>
                <w:lang w:eastAsia="cs-CZ"/>
              </w:rPr>
            </w:pPr>
            <w:r>
              <w:rPr>
                <w:rFonts w:ascii="Arial Narrow" w:hAnsi="Arial Narrow" w:cs="Arial Narrow"/>
                <w:spacing w:val="-4"/>
                <w:sz w:val="22"/>
                <w:szCs w:val="24"/>
                <w:lang w:eastAsia="cs-CZ"/>
              </w:rPr>
              <w:t>Programy Európskej územnej spolupráce</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12 052 580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11 513 739</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11 788 955</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pacing w:val="-4"/>
                <w:sz w:val="22"/>
                <w:szCs w:val="24"/>
                <w:lang w:eastAsia="cs-CZ"/>
              </w:rPr>
            </w:pPr>
            <w:r w:rsidRPr="000A40C7">
              <w:rPr>
                <w:rFonts w:ascii="Arial Narrow" w:hAnsi="Arial Narrow" w:cs="Arial Narrow"/>
                <w:spacing w:val="-4"/>
                <w:sz w:val="22"/>
                <w:szCs w:val="24"/>
                <w:lang w:eastAsia="cs-CZ"/>
              </w:rPr>
              <w:t>Odstavenie bloku V1 Jaslovských Bohuníc</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70 230 000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59 000 000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pacing w:val="-4"/>
                <w:sz w:val="22"/>
                <w:szCs w:val="24"/>
                <w:lang w:eastAsia="cs-CZ"/>
              </w:rPr>
            </w:pPr>
          </w:p>
          <w:p w:rsidR="000802DE" w:rsidRPr="000A40C7" w:rsidP="007139CD">
            <w:pPr>
              <w:jc w:val="right"/>
              <w:rPr>
                <w:rFonts w:ascii="Arial Narrow" w:hAnsi="Arial Narrow" w:cs="Arial Narrow"/>
                <w:spacing w:val="-4"/>
                <w:sz w:val="22"/>
                <w:szCs w:val="24"/>
                <w:lang w:eastAsia="cs-CZ"/>
              </w:rPr>
            </w:pPr>
            <w:r>
              <w:rPr>
                <w:rFonts w:ascii="Arial Narrow" w:hAnsi="Arial Narrow" w:cs="Arial Narrow"/>
                <w:spacing w:val="-4"/>
                <w:sz w:val="22"/>
                <w:szCs w:val="24"/>
                <w:lang w:eastAsia="cs-CZ"/>
              </w:rPr>
              <w:t>198 230 000</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pStyle w:val="BodyText"/>
              <w:jc w:val="left"/>
              <w:rPr>
                <w:rFonts w:ascii="Arial Narrow" w:hAnsi="Arial Narrow" w:cs="Arial Narrow"/>
                <w:b/>
                <w:spacing w:val="-4"/>
                <w:sz w:val="22"/>
                <w:szCs w:val="24"/>
                <w:lang w:eastAsia="cs-CZ"/>
              </w:rPr>
            </w:pPr>
            <w:r w:rsidRPr="000A40C7">
              <w:rPr>
                <w:rFonts w:ascii="Arial Narrow" w:hAnsi="Arial Narrow" w:cs="Arial Narrow"/>
                <w:b/>
                <w:spacing w:val="-4"/>
                <w:sz w:val="22"/>
                <w:szCs w:val="24"/>
                <w:lang w:eastAsia="cs-CZ"/>
              </w:rPr>
              <w:t>Vnútorné politiky EÚ</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172 136 392</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173 269 502</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pStyle w:val="BodyText"/>
              <w:jc w:val="right"/>
              <w:rPr>
                <w:rFonts w:ascii="Arial Narrow" w:hAnsi="Arial Narrow" w:cs="Arial Narrow"/>
                <w:b/>
                <w:spacing w:val="-4"/>
                <w:sz w:val="22"/>
                <w:szCs w:val="24"/>
                <w:lang w:eastAsia="cs-CZ"/>
              </w:rPr>
            </w:pPr>
            <w:r>
              <w:rPr>
                <w:rFonts w:ascii="Arial Narrow" w:hAnsi="Arial Narrow" w:cs="Arial Narrow"/>
                <w:b/>
                <w:spacing w:val="-4"/>
                <w:sz w:val="22"/>
                <w:szCs w:val="24"/>
                <w:lang w:eastAsia="cs-CZ"/>
              </w:rPr>
              <w:t>315 214 718</w:t>
            </w:r>
          </w:p>
        </w:tc>
      </w:tr>
    </w:tbl>
    <w:p w:rsidR="000802DE" w:rsidRPr="00371EB9" w:rsidP="000802DE">
      <w:pPr>
        <w:jc w:val="both"/>
        <w:rPr>
          <w:rFonts w:ascii="Arial Narrow" w:hAnsi="Arial Narrow" w:cs="Arial Narrow"/>
          <w:spacing w:val="-4"/>
          <w:sz w:val="22"/>
          <w:szCs w:val="24"/>
          <w:lang w:eastAsia="cs-CZ"/>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Príjmy z vnútorných politík EÚ, programy Európskej územnej spolupráce, príjmy na odstavenie bloku VI Jaslovských Bohuníc BIDSF, príjmy z finančného mechanizmu EHP, Nórskeho finančného mechanizmu a Švajčiarskeho finančného mechanizmu majú charakter grantu a nie sú súčasťou príjmov a výdavkov štátneho rozpočtu.</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V prípade finančného mechanizmu EHP a Nórskeho finančného mechanizmu sa implementácia začala podpisom memoránd o porozumení začiatkom roka 2005. Pre oba mechanizmy je pre Slovenskú republiku na celé obdobie vyplácania alokovaná suma 70 329 000 euro. Príjem prostriedkov je ovplyvnený charakterom procesu podpisovania zmlúv, do ktorého vstupuje aj Úrad pre finančný mechanizmus, ktorý odsúhlasuje návrhy zmlúv.  Počas celého obdobia prijímania prostriedkov budú prostriedky finančného mechanizmu EHP a Nórskeho finančného mechanizmu predplatené z prostriedkov štátneho rozpočtu a následne budú refundované z prostriedkov oboch mechanizmov.</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 xml:space="preserve">Predpokladaný objem príspevku Švajčiarskej konfederácie prostredníctvom Švajčiarskeho finančného mechanizmu pre Slovenskú republiku na obdobie päť rokov počnúc rokom 2006 je 66 866 000 CHF. Podpora z daného mechanizmu bude smerovať najmä do oblasti bezpečnosti, stability, životného prostredia, infraštruktúry, ľudského a sociálneho rozvoja a podpory súkromného sektora. </w:t>
      </w:r>
    </w:p>
    <w:p w:rsidR="000802DE" w:rsidP="000802DE">
      <w:pPr>
        <w:jc w:val="both"/>
        <w:rPr>
          <w:rFonts w:ascii="Arial Narrow" w:hAnsi="Arial Narrow" w:cs="Arial Narrow"/>
          <w:sz w:val="22"/>
          <w:szCs w:val="24"/>
        </w:rPr>
      </w:pPr>
    </w:p>
    <w:p w:rsidR="000802DE" w:rsidRPr="007E3EAE" w:rsidP="000802DE">
      <w:pPr>
        <w:jc w:val="both"/>
        <w:rPr>
          <w:rFonts w:ascii="Arial Narrow" w:hAnsi="Arial Narrow" w:cs="Arial Narrow"/>
          <w:b/>
          <w:szCs w:val="24"/>
        </w:rPr>
      </w:pPr>
      <w:r w:rsidRPr="007E3EAE">
        <w:rPr>
          <w:rFonts w:ascii="Arial Narrow" w:hAnsi="Arial Narrow" w:cs="Arial Narrow"/>
          <w:b/>
          <w:szCs w:val="24"/>
        </w:rPr>
        <w:t>4. Výdavky na financovanie spoločných programov a spolufinancovanie povstupových fondov a výdavky na financovanie poľnohospodárskych fondov</w:t>
      </w:r>
    </w:p>
    <w:p w:rsidR="000802DE" w:rsidP="000802DE">
      <w:pPr>
        <w:jc w:val="both"/>
        <w:rPr>
          <w:rFonts w:ascii="Arial Narrow" w:hAnsi="Arial Narrow" w:cs="Arial Narrow"/>
          <w:b/>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Výdavky na financovanie spoločných programov a  spolufinancovanie povstupových príjmov sú súčasťou výdavkov štátneho rozpočtu v zmysle § 8 zákona č. 523/2004 Z. z. o rozpočtových pravidlách verejnej správy a o zmene a doplnení niektorých zákonov v znení neskorších predpisov. Pri stanovení uvedených výdavkov a spolufinancovania povstupových príjmov zo všeobecného rozpočtu EÚ  sa vychádza zo schválených programových dokumentov na druhé programové obdobie.</w:t>
      </w: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pacing w:val="-4"/>
          <w:sz w:val="22"/>
          <w:szCs w:val="24"/>
          <w:lang w:eastAsia="cs-CZ"/>
        </w:rPr>
      </w:pPr>
      <w:r w:rsidRPr="00807BD4">
        <w:rPr>
          <w:rFonts w:ascii="Arial Narrow" w:hAnsi="Arial Narrow" w:cs="Arial Narrow"/>
          <w:spacing w:val="-4"/>
          <w:sz w:val="22"/>
          <w:szCs w:val="24"/>
          <w:u w:val="single"/>
          <w:lang w:eastAsia="cs-CZ"/>
        </w:rPr>
        <w:t xml:space="preserve">Tabuľka č. </w:t>
      </w:r>
      <w:r>
        <w:rPr>
          <w:rFonts w:ascii="Arial Narrow" w:hAnsi="Arial Narrow" w:cs="Arial Narrow"/>
          <w:spacing w:val="-4"/>
          <w:sz w:val="22"/>
          <w:szCs w:val="24"/>
          <w:u w:val="single"/>
          <w:lang w:eastAsia="cs-CZ"/>
        </w:rPr>
        <w:t>6</w:t>
      </w:r>
      <w:r w:rsidRPr="00807BD4">
        <w:rPr>
          <w:rFonts w:ascii="Arial Narrow" w:hAnsi="Arial Narrow" w:cs="Arial Narrow"/>
          <w:spacing w:val="-4"/>
          <w:sz w:val="22"/>
          <w:szCs w:val="24"/>
          <w:u w:val="single"/>
          <w:lang w:eastAsia="cs-CZ"/>
        </w:rPr>
        <w:t>:</w:t>
      </w:r>
      <w:r>
        <w:rPr>
          <w:rFonts w:ascii="Arial Narrow" w:hAnsi="Arial Narrow" w:cs="Arial Narrow"/>
          <w:spacing w:val="-4"/>
          <w:sz w:val="22"/>
          <w:szCs w:val="24"/>
          <w:lang w:eastAsia="cs-CZ"/>
        </w:rPr>
        <w:t xml:space="preserve"> Odhad výdavkov na financovanie spoločných programov a spolufinancovanie povstupových príjmov zo všeobecného rozpočtu EÚ zo štátneho rozpočtu v rokoch 2010 až 2012 </w:t>
      </w:r>
    </w:p>
    <w:p w:rsidR="000802DE" w:rsidRPr="005E3E57" w:rsidP="000802DE">
      <w:pPr>
        <w:pStyle w:val="BodyText"/>
        <w:jc w:val="right"/>
        <w:rPr>
          <w:rFonts w:ascii="Arial Narrow" w:hAnsi="Arial Narrow" w:cs="Arial Narrow"/>
          <w:spacing w:val="-4"/>
          <w:sz w:val="18"/>
          <w:szCs w:val="24"/>
          <w:lang w:eastAsia="cs-CZ"/>
        </w:rPr>
      </w:pPr>
      <w:r>
        <w:rPr>
          <w:rFonts w:ascii="Times New Roman" w:hAnsi="Times New Roman" w:cs="Times New Roman"/>
          <w:szCs w:val="24"/>
        </w:rPr>
        <w:t xml:space="preserve">         </w:t>
      </w:r>
      <w:r w:rsidRPr="005E3E57">
        <w:rPr>
          <w:rFonts w:ascii="Arial Narrow" w:hAnsi="Arial Narrow" w:cs="Arial Narrow"/>
          <w:sz w:val="18"/>
          <w:szCs w:val="24"/>
        </w:rPr>
        <w:t>(v eurách)</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1"/>
        <w:gridCol w:w="2284"/>
        <w:gridCol w:w="1517"/>
        <w:gridCol w:w="1517"/>
        <w:gridCol w:w="151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8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pStyle w:val="BodyText"/>
              <w:rPr>
                <w:rFonts w:ascii="Arial Narrow" w:hAnsi="Arial Narrow" w:cs="Arial Narrow"/>
                <w:spacing w:val="-4"/>
                <w:sz w:val="22"/>
                <w:szCs w:val="24"/>
                <w:lang w:eastAsia="cs-CZ"/>
              </w:rPr>
            </w:pPr>
          </w:p>
        </w:tc>
        <w:tc>
          <w:tcPr>
            <w:tcW w:w="1209"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pStyle w:val="BodyText"/>
              <w:rPr>
                <w:rFonts w:ascii="Arial Narrow" w:hAnsi="Arial Narrow" w:cs="Arial Narrow"/>
                <w:spacing w:val="-4"/>
                <w:sz w:val="22"/>
                <w:szCs w:val="24"/>
                <w:lang w:eastAsia="cs-CZ"/>
              </w:rPr>
            </w:pPr>
          </w:p>
        </w:tc>
        <w:tc>
          <w:tcPr>
            <w:tcW w:w="80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80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80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A1</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Predvstupové fondy</w:t>
            </w:r>
            <w:r>
              <w:rPr>
                <w:rFonts w:ascii="Arial Narrow" w:hAnsi="Arial Narrow" w:cs="Arial Narrow"/>
                <w:sz w:val="22"/>
                <w:szCs w:val="24"/>
              </w:rPr>
              <w:t xml:space="preserve"> a PF</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4 844 151</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3 000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3 000</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A2</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Pr>
                <w:rFonts w:ascii="Arial Narrow" w:hAnsi="Arial Narrow" w:cs="Arial Narrow"/>
                <w:sz w:val="22"/>
                <w:szCs w:val="24"/>
              </w:rPr>
              <w:t>Programy Európskej územnej spolupráce</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3 489 705</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3 574 779</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3 575 450</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A3</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Finančný mechanizmus EHP a Nórsky finančný mechanizmus</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5 613 100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5 759 200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3 930 200</w:t>
            </w:r>
          </w:p>
        </w:tc>
      </w:tr>
      <w:tr>
        <w:tblPrEx>
          <w:tblW w:w="5000" w:type="pct"/>
          <w:tblInd w:w="0" w:type="dxa"/>
          <w:tblLook w:val="00A0"/>
        </w:tblPrEx>
        <w:trPr>
          <w:trHeight w:val="52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A4</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Švajčiarsky finančný mechanizmus</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6 292 100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3 898 100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1 488 100</w:t>
            </w:r>
          </w:p>
        </w:tc>
      </w:tr>
      <w:tr>
        <w:tblPrEx>
          <w:tblW w:w="5000" w:type="pct"/>
          <w:tblInd w:w="0" w:type="dxa"/>
          <w:tblLook w:val="00A0"/>
        </w:tblPrEx>
        <w:trPr>
          <w:trHeight w:val="22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A5</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Vnútorné politiky a vnútorné opatrenia</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4 674 368</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4 964 670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5 466 000</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p>
          <w:p w:rsidR="000802DE" w:rsidRPr="000A40C7" w:rsidP="007139CD">
            <w:pPr>
              <w:jc w:val="both"/>
              <w:rPr>
                <w:rFonts w:ascii="Arial Narrow" w:hAnsi="Arial Narrow" w:cs="Arial Narrow"/>
                <w:b/>
                <w:sz w:val="22"/>
                <w:szCs w:val="24"/>
              </w:rPr>
            </w:pPr>
          </w:p>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A=A1+A2+A3+</w:t>
            </w:r>
          </w:p>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A4+A5</w:t>
            </w:r>
          </w:p>
        </w:tc>
        <w:tc>
          <w:tcPr>
            <w:tcW w:w="1209"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Výdavky na financovanie spoločných programov spolu</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24 913 424</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18 199 749</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14 462 750</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B1=B11+B12+B13+B14+B15</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Poľnohospodárske fondy v tom:</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3E7555" w:rsidP="007139CD">
            <w:pPr>
              <w:jc w:val="right"/>
              <w:rPr>
                <w:rFonts w:ascii="Arial Narrow" w:hAnsi="Arial Narrow" w:cs="Arial Narrow"/>
                <w:b/>
                <w:sz w:val="22"/>
                <w:szCs w:val="24"/>
              </w:rPr>
            </w:pPr>
            <w:r>
              <w:rPr>
                <w:rFonts w:ascii="Arial Narrow" w:hAnsi="Arial Narrow" w:cs="Arial Narrow"/>
                <w:b/>
                <w:sz w:val="22"/>
                <w:szCs w:val="24"/>
              </w:rPr>
              <w:t>284 342 857</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3E7555" w:rsidP="007139CD">
            <w:pPr>
              <w:jc w:val="right"/>
              <w:rPr>
                <w:rFonts w:ascii="Arial Narrow" w:hAnsi="Arial Narrow" w:cs="Arial Narrow"/>
                <w:b/>
                <w:sz w:val="22"/>
                <w:szCs w:val="24"/>
              </w:rPr>
            </w:pPr>
            <w:r>
              <w:rPr>
                <w:rFonts w:ascii="Arial Narrow" w:hAnsi="Arial Narrow" w:cs="Arial Narrow"/>
                <w:b/>
                <w:sz w:val="22"/>
                <w:szCs w:val="24"/>
              </w:rPr>
              <w:t>140 344 745</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3E7555" w:rsidP="007139CD">
            <w:pPr>
              <w:jc w:val="right"/>
              <w:rPr>
                <w:rFonts w:ascii="Arial Narrow" w:hAnsi="Arial Narrow" w:cs="Arial Narrow"/>
                <w:b/>
                <w:sz w:val="22"/>
                <w:szCs w:val="24"/>
              </w:rPr>
            </w:pPr>
            <w:r>
              <w:rPr>
                <w:rFonts w:ascii="Arial Narrow" w:hAnsi="Arial Narrow" w:cs="Arial Narrow"/>
                <w:b/>
                <w:sz w:val="22"/>
                <w:szCs w:val="24"/>
              </w:rPr>
              <w:t>103 040 131</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B11</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Rozvoj vidieka</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161 445 374</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99 796 000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61 122 500</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both"/>
              <w:rPr>
                <w:rFonts w:ascii="Arial Narrow" w:hAnsi="Arial Narrow" w:cs="Arial Narrow"/>
                <w:sz w:val="22"/>
                <w:szCs w:val="24"/>
              </w:rPr>
            </w:pPr>
          </w:p>
          <w:p w:rsidR="000802DE"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B12</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Medziročné vyrovnanie úrovní priamych platieb voči EÚ</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40 535 700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36 784 300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38 572 010</w:t>
            </w:r>
          </w:p>
        </w:tc>
      </w:tr>
      <w:tr>
        <w:tblPrEx>
          <w:tblW w:w="5000" w:type="pct"/>
          <w:tblInd w:w="0" w:type="dxa"/>
          <w:tblLook w:val="00A0"/>
        </w:tblPrEx>
        <w:trPr>
          <w:trHeight w:val="300"/>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B13</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Národná vyrovnávacia platba</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78 734 160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r>
      <w:tr>
        <w:tblPrEx>
          <w:tblW w:w="5000" w:type="pct"/>
          <w:tblInd w:w="0" w:type="dxa"/>
          <w:tblLook w:val="00A0"/>
        </w:tblPrEx>
        <w:trPr>
          <w:trHeight w:val="25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B14</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Trhovo orientované výdavky</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2 740 283</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2 763 019</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2 361 247</w:t>
            </w:r>
          </w:p>
        </w:tc>
      </w:tr>
      <w:tr>
        <w:tblPrEx>
          <w:tblW w:w="5000" w:type="pct"/>
          <w:tblInd w:w="0" w:type="dxa"/>
          <w:tblLook w:val="00A0"/>
        </w:tblPrEx>
        <w:trPr>
          <w:trHeight w:val="23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B15</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Spolufinancovanie EFF</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887 340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1 001 426</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984 374</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B2=B21+B22</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Štrukturálne operácie v tom:</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C55E90" w:rsidP="007139CD">
            <w:pPr>
              <w:jc w:val="right"/>
              <w:rPr>
                <w:rFonts w:ascii="Arial Narrow" w:hAnsi="Arial Narrow" w:cs="Arial Narrow"/>
                <w:b/>
                <w:sz w:val="22"/>
                <w:szCs w:val="24"/>
              </w:rPr>
            </w:pPr>
            <w:r>
              <w:rPr>
                <w:rFonts w:ascii="Arial Narrow" w:hAnsi="Arial Narrow" w:cs="Arial Narrow"/>
                <w:b/>
                <w:sz w:val="22"/>
                <w:szCs w:val="24"/>
              </w:rPr>
              <w:t>373 071 427</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C55E90" w:rsidP="007139CD">
            <w:pPr>
              <w:jc w:val="right"/>
              <w:rPr>
                <w:rFonts w:ascii="Arial Narrow" w:hAnsi="Arial Narrow" w:cs="Arial Narrow"/>
                <w:b/>
                <w:sz w:val="22"/>
                <w:szCs w:val="24"/>
              </w:rPr>
            </w:pPr>
            <w:r>
              <w:rPr>
                <w:rFonts w:ascii="Arial Narrow" w:hAnsi="Arial Narrow" w:cs="Arial Narrow"/>
                <w:b/>
                <w:sz w:val="22"/>
                <w:szCs w:val="24"/>
              </w:rPr>
              <w:t>415 656 436</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C55E90" w:rsidP="007139CD">
            <w:pPr>
              <w:jc w:val="right"/>
              <w:rPr>
                <w:rFonts w:ascii="Arial Narrow" w:hAnsi="Arial Narrow" w:cs="Arial Narrow"/>
                <w:b/>
                <w:sz w:val="22"/>
                <w:szCs w:val="24"/>
              </w:rPr>
            </w:pPr>
            <w:r>
              <w:rPr>
                <w:rFonts w:ascii="Arial Narrow" w:hAnsi="Arial Narrow" w:cs="Arial Narrow"/>
                <w:b/>
                <w:sz w:val="22"/>
                <w:szCs w:val="24"/>
              </w:rPr>
              <w:t>356 112 516</w:t>
            </w:r>
          </w:p>
        </w:tc>
      </w:tr>
      <w:tr>
        <w:tblPrEx>
          <w:tblW w:w="5000" w:type="pct"/>
          <w:tblInd w:w="0" w:type="dxa"/>
          <w:tblLook w:val="00A0"/>
        </w:tblPrEx>
        <w:trPr>
          <w:trHeight w:val="22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B21</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Štrukturálne fondy</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248 186 577</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289 253 861</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254 139 620</w:t>
            </w:r>
          </w:p>
        </w:tc>
      </w:tr>
      <w:tr>
        <w:tblPrEx>
          <w:tblW w:w="5000" w:type="pct"/>
          <w:tblInd w:w="0" w:type="dxa"/>
          <w:tblLook w:val="00A0"/>
        </w:tblPrEx>
        <w:trPr>
          <w:trHeight w:val="285"/>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z toho EIB</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223 874 943</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261 742 248</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214 767 068</w:t>
            </w:r>
          </w:p>
        </w:tc>
      </w:tr>
      <w:tr>
        <w:tblPrEx>
          <w:tblW w:w="5000" w:type="pct"/>
          <w:tblInd w:w="0" w:type="dxa"/>
          <w:tblLook w:val="00A0"/>
        </w:tblPrEx>
        <w:trPr>
          <w:trHeight w:val="210"/>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B22</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sidRPr="000A40C7">
              <w:rPr>
                <w:rFonts w:ascii="Arial Narrow" w:hAnsi="Arial Narrow" w:cs="Arial Narrow"/>
                <w:sz w:val="22"/>
                <w:szCs w:val="24"/>
              </w:rPr>
              <w:t>Kohézny fond</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124 884 850</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126 402 575</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101 972 896</w:t>
            </w:r>
          </w:p>
        </w:tc>
      </w:tr>
      <w:tr>
        <w:tblPrEx>
          <w:tblW w:w="5000" w:type="pct"/>
          <w:tblInd w:w="0" w:type="dxa"/>
          <w:tblLook w:val="00A0"/>
        </w:tblPrEx>
        <w:trPr>
          <w:trHeight w:val="277"/>
        </w:trPr>
        <w:tc>
          <w:tcPr>
            <w:tcW w:w="138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ztoho EIB</w:t>
            </w:r>
          </w:p>
        </w:tc>
        <w:tc>
          <w:tcPr>
            <w:tcW w:w="1209"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rPr>
                <w:rFonts w:ascii="Arial Narrow" w:hAnsi="Arial Narrow" w:cs="Arial Narrow"/>
                <w:i/>
                <w:sz w:val="22"/>
                <w:szCs w:val="24"/>
              </w:rPr>
            </w:pP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120 241 751</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126 402 575</w:t>
            </w:r>
          </w:p>
        </w:tc>
        <w:tc>
          <w:tcPr>
            <w:tcW w:w="803" w:type="pct"/>
            <w:tcBorders>
              <w:top w:val="single" w:sz="4" w:space="0" w:color="auto"/>
              <w:left w:val="single" w:sz="4" w:space="0" w:color="auto"/>
              <w:bottom w:val="single" w:sz="4" w:space="0" w:color="auto"/>
              <w:right w:val="single" w:sz="4" w:space="0" w:color="auto"/>
            </w:tcBorders>
            <w:textDirection w:val="lrTb"/>
            <w:vAlign w:val="top"/>
          </w:tcPr>
          <w:p w:rsidR="000802DE" w:rsidRPr="001A77FA" w:rsidP="007139CD">
            <w:pPr>
              <w:jc w:val="right"/>
              <w:rPr>
                <w:rFonts w:ascii="Arial Narrow" w:hAnsi="Arial Narrow" w:cs="Arial Narrow"/>
                <w:i/>
                <w:sz w:val="22"/>
                <w:szCs w:val="24"/>
              </w:rPr>
            </w:pPr>
            <w:r>
              <w:rPr>
                <w:rFonts w:ascii="Arial Narrow" w:hAnsi="Arial Narrow" w:cs="Arial Narrow"/>
                <w:i/>
                <w:sz w:val="22"/>
                <w:szCs w:val="24"/>
              </w:rPr>
              <w:t>101 972 896</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p>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B=B1+B2</w:t>
            </w:r>
          </w:p>
        </w:tc>
        <w:tc>
          <w:tcPr>
            <w:tcW w:w="1209"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Spolufinancovanie spolu</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657 414 284</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556 001 181</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459 152 647</w:t>
            </w:r>
          </w:p>
        </w:tc>
      </w:tr>
      <w:tr>
        <w:tblPrEx>
          <w:tblW w:w="5000" w:type="pct"/>
          <w:tblInd w:w="0" w:type="dxa"/>
          <w:tblLook w:val="00A0"/>
        </w:tblPrEx>
        <w:tc>
          <w:tcPr>
            <w:tcW w:w="138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both"/>
              <w:rPr>
                <w:rFonts w:ascii="Arial Narrow" w:hAnsi="Arial Narrow" w:cs="Arial Narrow"/>
                <w:b/>
                <w:sz w:val="22"/>
                <w:szCs w:val="24"/>
              </w:rPr>
            </w:pPr>
          </w:p>
          <w:p w:rsidR="000802DE" w:rsidP="007139CD">
            <w:pPr>
              <w:jc w:val="both"/>
              <w:rPr>
                <w:rFonts w:ascii="Arial Narrow" w:hAnsi="Arial Narrow" w:cs="Arial Narrow"/>
                <w:b/>
                <w:sz w:val="22"/>
                <w:szCs w:val="24"/>
              </w:rPr>
            </w:pPr>
          </w:p>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C=A+B</w:t>
            </w:r>
          </w:p>
        </w:tc>
        <w:tc>
          <w:tcPr>
            <w:tcW w:w="1209"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 xml:space="preserve">Výdavky </w:t>
            </w:r>
            <w:r>
              <w:rPr>
                <w:rFonts w:ascii="Arial Narrow" w:hAnsi="Arial Narrow" w:cs="Arial Narrow"/>
                <w:b/>
                <w:sz w:val="22"/>
                <w:szCs w:val="24"/>
              </w:rPr>
              <w:t xml:space="preserve"> na spoločné programy </w:t>
            </w:r>
            <w:r w:rsidRPr="000A40C7">
              <w:rPr>
                <w:rFonts w:ascii="Arial Narrow" w:hAnsi="Arial Narrow" w:cs="Arial Narrow"/>
                <w:b/>
                <w:sz w:val="22"/>
                <w:szCs w:val="24"/>
              </w:rPr>
              <w:t>a spolufinancovanie spolu</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682 327 708</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574 200 930</w:t>
            </w:r>
          </w:p>
        </w:tc>
        <w:tc>
          <w:tcPr>
            <w:tcW w:w="803"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473 615 397</w:t>
            </w:r>
          </w:p>
        </w:tc>
      </w:tr>
    </w:tbl>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 xml:space="preserve">Výdavky na financovanie spoločných programov, v tom predvstupového fondu ISPA/KF, Finančného mechanizmu EHP, Nórskeho finančného mechanizmu a Švajčiarskeho finančného mechanizmu sú zabezpečené v kapitole Všeobecná pokladničná správa. Tieto výdavky zahŕňajú aj prostriedky na financovanie kurzových rozdielov, dane z úrokov, predfinancovanie záverečnej platby, bankové poplatky za vedenie účtov a pod. V kapitole Všeobecná pokladničná správa sú vyčlenené tiež prostriedky štátneho rozpočtu na preplatenie cestovných výdavkov zamestnancov ústredných orgánov štátnej správy a iných inštitúcií, súvisiacich s účasťou zástupcov Slovenskej republiky na zasadnutiach výborov a pracovných skupín Rady Európskej únie pre roky 2010 až 2012 v sume po 265 </w:t>
      </w:r>
      <w:r w:rsidR="003A17C7">
        <w:rPr>
          <w:rFonts w:ascii="Arial Narrow" w:hAnsi="Arial Narrow" w:cs="Arial Narrow"/>
          <w:sz w:val="22"/>
          <w:szCs w:val="24"/>
        </w:rPr>
        <w:t>eur</w:t>
      </w:r>
      <w:r>
        <w:rPr>
          <w:rFonts w:ascii="Arial Narrow" w:hAnsi="Arial Narrow" w:cs="Arial Narrow"/>
          <w:sz w:val="22"/>
          <w:szCs w:val="24"/>
        </w:rPr>
        <w:t xml:space="preserve">. Výdavky na spolufinancovanie Európskej územnej spolupráce sú rozpočtované v príslušných rozpočtových kapitolách. </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V rámci finančného mechanizmu EHP a Nórskeho finančného mechanizmu sa výdavky na spolufinancovanie zabezpečujú do výšky 15 % z celkovej sumy oprávnených výdavkov. Celková výška vychádza z odhadov očakávaných výdavkov Národného kontaktného bodu, t. j. Úradu vlády SR, ktorý je zodpovedný za implementáciu týchto finančných nástrojov.</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Spolufinancovanie príjmov z poľnohospodárskych fondov sa zabezpečuje v rámci  výdavkov kapitoly Ministerstva pôdohospodárstva SR. V prípade projektov Kohézneho fondu prvého programového obdobia spolufinancovanie vychádza zo schválených finančných memoránd a je zabezpečené už len v kapitole Ministerstva životného prostredia SR s ohľadom na ukončovanie implementácie projektov.</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Prostriedky štátneho rozpočtu na spolufinancovanie projektov, podporovaných zo štrukturálnych fondov a Kohézneho fondu sú súčasťou programových štruktúr príslušných rozpočtových kapitol, podieľajúcich sa na implementácii programových dokumentov druhého programového obdobia. Miera spolufinancovania je daná v Národnom strategickom referenčnom rámci a v jednotlivých programových dokumentoch. V objeme spolufinancovania je premietnutý odhad spolufinancovania z Rámcového úveru od Európskej investičnej banky na spolufinancovanie Národného strategického referenčného rámca na roky 2007 – 2013.</w:t>
      </w:r>
    </w:p>
    <w:p w:rsidR="000802DE" w:rsidP="000802DE">
      <w:pPr>
        <w:jc w:val="both"/>
        <w:rPr>
          <w:rFonts w:ascii="Arial Narrow" w:hAnsi="Arial Narrow" w:cs="Arial Narrow"/>
          <w:b/>
          <w:sz w:val="22"/>
          <w:szCs w:val="24"/>
        </w:rPr>
      </w:pPr>
    </w:p>
    <w:p w:rsidR="000802DE" w:rsidRPr="007E3EAE" w:rsidP="000802DE">
      <w:pPr>
        <w:jc w:val="both"/>
        <w:rPr>
          <w:rFonts w:ascii="Arial Narrow" w:hAnsi="Arial Narrow" w:cs="Arial Narrow"/>
          <w:b/>
          <w:szCs w:val="24"/>
        </w:rPr>
      </w:pPr>
      <w:r w:rsidRPr="007E3EAE">
        <w:rPr>
          <w:rFonts w:ascii="Arial Narrow" w:hAnsi="Arial Narrow" w:cs="Arial Narrow"/>
          <w:b/>
          <w:szCs w:val="24"/>
        </w:rPr>
        <w:t>5. Rezerva na prostriedky Európskej únie a odvody Európskej únii</w:t>
      </w:r>
    </w:p>
    <w:p w:rsidR="000802DE" w:rsidRPr="005273D3"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Rozpočtová rezerva na prostriedky EÚ a odvody EÚ slúži na administrovanie prostriedkov štrukturálnych fondov, Kohézneho fondu, príjmov z poľnohospodárskych fondov, odvodov Európskej únii a na výdavky na zefektívnenie systému finančného riadenia EÚ fondov a iných finančných nástrojov. Rozpočtuje sa v kapitole Všeobecná pokladničná správa. Vytvorenie uvedenej rezervy je nevyhnutné na zabezpečenie plynulého financovania  spoločných programov. Rezerva slúži na krytie rozpočtom nevyhnutých a nepredvídaných výdavkov, ktoré vzniknú v priebehu roka, ako sú napríklad bankové poplatky za vedenie účtov, kurzové rozdiely, daň z úrokov, rýchlejšia realizácia projektov a pod.</w:t>
      </w:r>
    </w:p>
    <w:p w:rsidR="000802DE" w:rsidRPr="005273D3" w:rsidP="000802DE">
      <w:pPr>
        <w:jc w:val="both"/>
        <w:rPr>
          <w:rFonts w:ascii="Arial Narrow" w:hAnsi="Arial Narrow" w:cs="Arial Narrow"/>
          <w:sz w:val="22"/>
          <w:szCs w:val="24"/>
        </w:rPr>
      </w:pPr>
    </w:p>
    <w:p w:rsidR="000802DE" w:rsidP="000802DE">
      <w:pPr>
        <w:jc w:val="both"/>
        <w:rPr>
          <w:rFonts w:ascii="Arial Narrow" w:hAnsi="Arial Narrow" w:cs="Arial Narrow"/>
          <w:spacing w:val="-4"/>
          <w:sz w:val="22"/>
          <w:szCs w:val="24"/>
          <w:lang w:eastAsia="cs-CZ"/>
        </w:rPr>
      </w:pPr>
      <w:r w:rsidRPr="005273D3">
        <w:rPr>
          <w:rFonts w:ascii="Arial Narrow" w:hAnsi="Arial Narrow" w:cs="Arial Narrow"/>
          <w:sz w:val="22"/>
          <w:szCs w:val="24"/>
          <w:u w:val="single"/>
        </w:rPr>
        <w:t xml:space="preserve">Tabuľka č. </w:t>
      </w:r>
      <w:r>
        <w:rPr>
          <w:rFonts w:ascii="Arial Narrow" w:hAnsi="Arial Narrow" w:cs="Arial Narrow"/>
          <w:sz w:val="22"/>
          <w:szCs w:val="24"/>
          <w:u w:val="single"/>
        </w:rPr>
        <w:t>7</w:t>
      </w:r>
      <w:r w:rsidRPr="005273D3">
        <w:rPr>
          <w:rFonts w:ascii="Arial Narrow" w:hAnsi="Arial Narrow" w:cs="Arial Narrow"/>
          <w:sz w:val="22"/>
          <w:szCs w:val="24"/>
          <w:u w:val="single"/>
        </w:rPr>
        <w:t>:</w:t>
      </w:r>
      <w:r w:rsidRPr="005273D3">
        <w:rPr>
          <w:rFonts w:ascii="Arial Narrow" w:hAnsi="Arial Narrow" w:cs="Arial Narrow"/>
          <w:sz w:val="22"/>
          <w:szCs w:val="24"/>
        </w:rPr>
        <w:t xml:space="preserve"> Rezerva na prostriedky Európskej únie a od</w:t>
      </w:r>
      <w:r>
        <w:rPr>
          <w:rFonts w:ascii="Arial Narrow" w:hAnsi="Arial Narrow" w:cs="Arial Narrow"/>
          <w:sz w:val="22"/>
          <w:szCs w:val="24"/>
        </w:rPr>
        <w:t xml:space="preserve">vody Európskej únii na roky </w:t>
      </w:r>
      <w:r>
        <w:rPr>
          <w:rFonts w:ascii="Arial Narrow" w:hAnsi="Arial Narrow" w:cs="Arial Narrow"/>
          <w:spacing w:val="-4"/>
          <w:sz w:val="22"/>
          <w:szCs w:val="24"/>
          <w:lang w:eastAsia="cs-CZ"/>
        </w:rPr>
        <w:t xml:space="preserve">2010 až 2012 </w:t>
      </w:r>
    </w:p>
    <w:p w:rsidR="000802DE" w:rsidRPr="000062A0" w:rsidP="000802DE">
      <w:pPr>
        <w:pStyle w:val="BodyText"/>
        <w:jc w:val="right"/>
        <w:rPr>
          <w:rFonts w:ascii="Arial Narrow" w:hAnsi="Arial Narrow" w:cs="Arial Narrow"/>
          <w:spacing w:val="-4"/>
          <w:sz w:val="16"/>
          <w:szCs w:val="24"/>
          <w:lang w:eastAsia="cs-CZ"/>
        </w:rPr>
      </w:pPr>
      <w:r w:rsidRPr="000062A0">
        <w:rPr>
          <w:rFonts w:ascii="Arial Narrow" w:hAnsi="Arial Narrow" w:cs="Arial Narrow"/>
          <w:sz w:val="16"/>
          <w:szCs w:val="24"/>
        </w:rPr>
        <w:t xml:space="preserve">         (v eurách)</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3"/>
        <w:gridCol w:w="2378"/>
        <w:gridCol w:w="2380"/>
        <w:gridCol w:w="20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415"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0802DE" w:rsidRPr="000A40C7" w:rsidP="007139CD">
            <w:pPr>
              <w:rPr>
                <w:rFonts w:ascii="Arial Narrow" w:hAnsi="Arial Narrow" w:cs="Arial Narrow"/>
                <w:sz w:val="20"/>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126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1066"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r>
      <w:tr>
        <w:tblPrEx>
          <w:tblW w:w="5000" w:type="pct"/>
          <w:tblInd w:w="0" w:type="dxa"/>
          <w:tblLook w:val="00A0"/>
        </w:tblPrEx>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Rezerva na štrukturálne operácie v tom:</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7118E2" w:rsidP="007139CD">
            <w:pPr>
              <w:jc w:val="right"/>
              <w:rPr>
                <w:rFonts w:ascii="Arial Narrow" w:hAnsi="Arial Narrow" w:cs="Arial Narrow"/>
                <w:b/>
                <w:sz w:val="22"/>
                <w:szCs w:val="24"/>
              </w:rPr>
            </w:pPr>
            <w:r>
              <w:rPr>
                <w:rFonts w:ascii="Arial Narrow" w:hAnsi="Arial Narrow" w:cs="Arial Narrow"/>
                <w:b/>
                <w:sz w:val="22"/>
                <w:szCs w:val="24"/>
              </w:rPr>
              <w:t>8 883 549</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7118E2" w:rsidP="007139CD">
            <w:pPr>
              <w:jc w:val="right"/>
              <w:rPr>
                <w:rFonts w:ascii="Arial Narrow" w:hAnsi="Arial Narrow" w:cs="Arial Narrow"/>
                <w:b/>
                <w:sz w:val="22"/>
                <w:szCs w:val="24"/>
              </w:rPr>
            </w:pPr>
            <w:r>
              <w:rPr>
                <w:rFonts w:ascii="Arial Narrow" w:hAnsi="Arial Narrow" w:cs="Arial Narrow"/>
                <w:b/>
                <w:sz w:val="22"/>
                <w:szCs w:val="24"/>
              </w:rPr>
              <w:t>7 071 723</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7118E2" w:rsidP="007139CD">
            <w:pPr>
              <w:jc w:val="right"/>
              <w:rPr>
                <w:rFonts w:ascii="Arial Narrow" w:hAnsi="Arial Narrow" w:cs="Arial Narrow"/>
                <w:b/>
                <w:sz w:val="22"/>
                <w:szCs w:val="24"/>
              </w:rPr>
            </w:pPr>
            <w:r>
              <w:rPr>
                <w:rFonts w:ascii="Arial Narrow" w:hAnsi="Arial Narrow" w:cs="Arial Narrow"/>
                <w:b/>
                <w:sz w:val="22"/>
                <w:szCs w:val="24"/>
              </w:rPr>
              <w:t>7 071 723</w:t>
            </w:r>
          </w:p>
        </w:tc>
      </w:tr>
      <w:tr>
        <w:tblPrEx>
          <w:tblW w:w="5000" w:type="pct"/>
          <w:tblInd w:w="0" w:type="dxa"/>
          <w:tblLook w:val="00A0"/>
        </w:tblPrEx>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Rezerva na štrukturálne fondy</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8 731 419</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7 071 723</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7 071 723</w:t>
            </w:r>
          </w:p>
        </w:tc>
      </w:tr>
      <w:tr>
        <w:tblPrEx>
          <w:tblW w:w="5000" w:type="pct"/>
          <w:tblInd w:w="0" w:type="dxa"/>
          <w:tblLook w:val="00A0"/>
        </w:tblPrEx>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Rezerva na Kohézny fond</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152 130</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r>
      <w:tr>
        <w:tblPrEx>
          <w:tblW w:w="5000" w:type="pct"/>
          <w:tblInd w:w="0" w:type="dxa"/>
          <w:tblLook w:val="00A0"/>
        </w:tblPrEx>
        <w:trPr>
          <w:trHeight w:val="240"/>
        </w:trPr>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Rezerva na odvody EÚ</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42 078 032</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383 682</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364 880</w:t>
            </w:r>
          </w:p>
        </w:tc>
      </w:tr>
      <w:tr>
        <w:tblPrEx>
          <w:tblW w:w="5000" w:type="pct"/>
          <w:tblInd w:w="0" w:type="dxa"/>
          <w:tblLook w:val="00A0"/>
        </w:tblPrEx>
        <w:trPr>
          <w:trHeight w:val="292"/>
        </w:trPr>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Rezerva na financovanie poľnohospodárskych fondov</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2 875 042</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2 073 458</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2 073 027</w:t>
            </w:r>
          </w:p>
        </w:tc>
      </w:tr>
      <w:tr>
        <w:tblPrEx>
          <w:tblW w:w="5000" w:type="pct"/>
          <w:tblInd w:w="0" w:type="dxa"/>
          <w:tblLook w:val="00A0"/>
        </w:tblPrEx>
        <w:trPr>
          <w:trHeight w:val="235"/>
        </w:trPr>
        <w:tc>
          <w:tcPr>
            <w:tcW w:w="1415"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Výdavky na zefektívnenie systému finančného riadenia EÚ fondov a iných finančných nástrojov</w:t>
            </w:r>
          </w:p>
        </w:tc>
        <w:tc>
          <w:tcPr>
            <w:tcW w:w="1259"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1 991 635</w:t>
            </w:r>
          </w:p>
        </w:tc>
        <w:tc>
          <w:tcPr>
            <w:tcW w:w="126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1 659 696</w:t>
            </w:r>
          </w:p>
        </w:tc>
        <w:tc>
          <w:tcPr>
            <w:tcW w:w="1066"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1 659 696</w:t>
            </w:r>
          </w:p>
        </w:tc>
      </w:tr>
      <w:tr>
        <w:tblPrEx>
          <w:tblW w:w="5000" w:type="pct"/>
          <w:tblInd w:w="0" w:type="dxa"/>
          <w:tblLook w:val="00A0"/>
        </w:tblPrEx>
        <w:trPr>
          <w:trHeight w:val="268"/>
        </w:trPr>
        <w:tc>
          <w:tcPr>
            <w:tcW w:w="1415"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Rezerva na prostriedky EÚ a odvody EÚ spolu</w:t>
            </w:r>
          </w:p>
        </w:tc>
        <w:tc>
          <w:tcPr>
            <w:tcW w:w="1259"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55 828 258</w:t>
            </w:r>
          </w:p>
        </w:tc>
        <w:tc>
          <w:tcPr>
            <w:tcW w:w="1260"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11 188 559</w:t>
            </w:r>
          </w:p>
        </w:tc>
        <w:tc>
          <w:tcPr>
            <w:tcW w:w="1066"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P="007139CD">
            <w:pPr>
              <w:jc w:val="right"/>
              <w:rPr>
                <w:rFonts w:ascii="Arial Narrow" w:hAnsi="Arial Narrow" w:cs="Arial Narrow"/>
                <w:b/>
                <w:sz w:val="22"/>
                <w:szCs w:val="24"/>
              </w:rPr>
            </w:pPr>
          </w:p>
          <w:p w:rsidR="000802DE" w:rsidRPr="000A40C7" w:rsidP="007139CD">
            <w:pPr>
              <w:jc w:val="right"/>
              <w:rPr>
                <w:rFonts w:ascii="Arial Narrow" w:hAnsi="Arial Narrow" w:cs="Arial Narrow"/>
                <w:b/>
                <w:sz w:val="22"/>
                <w:szCs w:val="24"/>
              </w:rPr>
            </w:pPr>
            <w:r>
              <w:rPr>
                <w:rFonts w:ascii="Arial Narrow" w:hAnsi="Arial Narrow" w:cs="Arial Narrow"/>
                <w:b/>
                <w:sz w:val="22"/>
                <w:szCs w:val="24"/>
              </w:rPr>
              <w:t>11 169 326</w:t>
            </w:r>
          </w:p>
        </w:tc>
      </w:tr>
    </w:tbl>
    <w:p w:rsidR="000802DE" w:rsidP="000802DE">
      <w:pPr>
        <w:jc w:val="both"/>
        <w:rPr>
          <w:rFonts w:ascii="Arial Narrow" w:hAnsi="Arial Narrow" w:cs="Arial Narrow"/>
          <w:sz w:val="22"/>
          <w:szCs w:val="24"/>
        </w:rPr>
      </w:pPr>
    </w:p>
    <w:p w:rsidR="000802DE" w:rsidRPr="007E3EAE" w:rsidP="000802DE">
      <w:pPr>
        <w:jc w:val="both"/>
        <w:rPr>
          <w:rFonts w:ascii="Arial Narrow" w:hAnsi="Arial Narrow" w:cs="Arial Narrow"/>
          <w:b/>
          <w:szCs w:val="24"/>
        </w:rPr>
      </w:pPr>
      <w:r w:rsidRPr="007E3EAE">
        <w:rPr>
          <w:rFonts w:ascii="Arial Narrow" w:hAnsi="Arial Narrow" w:cs="Arial Narrow"/>
          <w:b/>
          <w:szCs w:val="24"/>
        </w:rPr>
        <w:t xml:space="preserve">6. Stav pohľadávok SR voči EÚ </w:t>
      </w:r>
    </w:p>
    <w:p w:rsidR="000802DE" w:rsidP="000802DE">
      <w:pPr>
        <w:jc w:val="both"/>
        <w:rPr>
          <w:rFonts w:ascii="Arial Narrow" w:hAnsi="Arial Narrow" w:cs="Arial Narrow"/>
          <w:b/>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 xml:space="preserve">V rozpočte verejnej správy na roky </w:t>
      </w:r>
      <w:r>
        <w:rPr>
          <w:rFonts w:ascii="Arial Narrow" w:hAnsi="Arial Narrow" w:cs="Arial Narrow"/>
          <w:spacing w:val="-4"/>
          <w:sz w:val="22"/>
          <w:szCs w:val="24"/>
          <w:lang w:eastAsia="cs-CZ"/>
        </w:rPr>
        <w:t xml:space="preserve">2010 až 2012 </w:t>
      </w:r>
      <w:r>
        <w:rPr>
          <w:rFonts w:ascii="Arial Narrow" w:hAnsi="Arial Narrow" w:cs="Arial Narrow"/>
          <w:sz w:val="22"/>
          <w:szCs w:val="24"/>
        </w:rPr>
        <w:t>sú vyčlenené finančné prostriedky na predfinancovanie prostriedkov z rozpočtu EÚ, čo znamená pre SR pohľadávku voči EÚ v nasledujúcich rokoch. V prípade priamych platieb v rámci Európskeho poľnohospodárskeho záručného fondu k ich preplateniu zo strany Európskej komisie dôjde v nasledujúcom roku. Tento trend bude pokračovať do vyrovnania úrovne priamych platieb s EÚ a to až do roku 2013.</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Pohľadávka v prípade platieb zo štrukturálnych fondov a Kohézneho fondu vzniká z dôvodu časového nesúladu medzi platbami prostriedkov EÚ zo zdrojov štátneho rozpočtu a plnením príjmov z prostriedkov EÚ.</w:t>
      </w:r>
    </w:p>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Pr>
          <w:rFonts w:ascii="Arial Narrow" w:hAnsi="Arial Narrow" w:cs="Arial Narrow"/>
          <w:sz w:val="22"/>
          <w:szCs w:val="24"/>
        </w:rPr>
        <w:t>Stav pohľadávok v jednotlivých rokoch a medziročné nárasty sú uvedené v tabuľke.</w:t>
      </w: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pacing w:val="-4"/>
          <w:sz w:val="22"/>
          <w:szCs w:val="24"/>
          <w:lang w:eastAsia="cs-CZ"/>
        </w:rPr>
      </w:pPr>
      <w:r w:rsidRPr="005273D3">
        <w:rPr>
          <w:rFonts w:ascii="Arial Narrow" w:hAnsi="Arial Narrow" w:cs="Arial Narrow"/>
          <w:sz w:val="22"/>
          <w:szCs w:val="24"/>
          <w:u w:val="single"/>
        </w:rPr>
        <w:t xml:space="preserve">Tabuľka č. </w:t>
      </w:r>
      <w:r>
        <w:rPr>
          <w:rFonts w:ascii="Arial Narrow" w:hAnsi="Arial Narrow" w:cs="Arial Narrow"/>
          <w:sz w:val="22"/>
          <w:szCs w:val="24"/>
          <w:u w:val="single"/>
        </w:rPr>
        <w:t>8</w:t>
      </w:r>
      <w:r w:rsidRPr="005273D3">
        <w:rPr>
          <w:rFonts w:ascii="Arial Narrow" w:hAnsi="Arial Narrow" w:cs="Arial Narrow"/>
          <w:sz w:val="22"/>
          <w:szCs w:val="24"/>
          <w:u w:val="single"/>
        </w:rPr>
        <w:t>:</w:t>
      </w:r>
      <w:r w:rsidRPr="005273D3">
        <w:rPr>
          <w:rFonts w:ascii="Arial Narrow" w:hAnsi="Arial Narrow" w:cs="Arial Narrow"/>
          <w:sz w:val="22"/>
          <w:szCs w:val="24"/>
        </w:rPr>
        <w:t xml:space="preserve"> </w:t>
      </w:r>
      <w:r>
        <w:rPr>
          <w:rFonts w:ascii="Arial Narrow" w:hAnsi="Arial Narrow" w:cs="Arial Narrow"/>
          <w:sz w:val="22"/>
          <w:szCs w:val="24"/>
        </w:rPr>
        <w:t xml:space="preserve"> Stav pohľadávok ku koncu roka a ich medziročný nárast v rokoch </w:t>
      </w:r>
      <w:r>
        <w:rPr>
          <w:rFonts w:ascii="Arial Narrow" w:hAnsi="Arial Narrow" w:cs="Arial Narrow"/>
          <w:spacing w:val="-4"/>
          <w:sz w:val="22"/>
          <w:szCs w:val="24"/>
          <w:lang w:eastAsia="cs-CZ"/>
        </w:rPr>
        <w:t xml:space="preserve">2010 až 2012 </w:t>
      </w:r>
    </w:p>
    <w:p w:rsidR="000802DE" w:rsidP="000802DE">
      <w:pPr>
        <w:jc w:val="right"/>
        <w:rPr>
          <w:rFonts w:ascii="Arial Narrow" w:hAnsi="Arial Narrow" w:cs="Arial Narrow"/>
          <w:sz w:val="22"/>
          <w:szCs w:val="24"/>
        </w:rPr>
      </w:pPr>
      <w:r w:rsidRPr="000062A0">
        <w:rPr>
          <w:rFonts w:ascii="Arial Narrow" w:hAnsi="Arial Narrow" w:cs="Arial Narrow"/>
          <w:sz w:val="16"/>
          <w:szCs w:val="24"/>
        </w:rPr>
        <w:t xml:space="preserve">         (v eurách</w:t>
      </w:r>
      <w:r>
        <w:rPr>
          <w:rFonts w:ascii="Arial Narrow" w:hAnsi="Arial Narrow" w:cs="Arial Narrow"/>
          <w:sz w:val="16"/>
          <w:szCs w:val="24"/>
        </w:rPr>
        <w:t>)</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2361"/>
        <w:gridCol w:w="2361"/>
        <w:gridCol w:w="23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jc w:val="both"/>
              <w:rPr>
                <w:rFonts w:ascii="Arial Narrow" w:hAnsi="Arial Narrow" w:cs="Arial Narrow"/>
                <w:sz w:val="22"/>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1250"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r>
      <w:tr>
        <w:tblPrEx>
          <w:tblW w:w="5000" w:type="pct"/>
          <w:tblInd w:w="0" w:type="dxa"/>
          <w:tblLook w:val="00A0"/>
        </w:tblPrEx>
        <w:trPr>
          <w:trHeight w:val="601"/>
        </w:trPr>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Pohľadávka na priame platby</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40 535 700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36 784 300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38 572 010</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rPr>
                <w:rFonts w:ascii="Arial Narrow" w:hAnsi="Arial Narrow" w:cs="Arial Narrow"/>
                <w:sz w:val="22"/>
                <w:szCs w:val="24"/>
              </w:rPr>
            </w:pPr>
            <w:r w:rsidRPr="000A40C7">
              <w:rPr>
                <w:rFonts w:ascii="Arial Narrow" w:hAnsi="Arial Narrow" w:cs="Arial Narrow"/>
                <w:sz w:val="22"/>
                <w:szCs w:val="24"/>
              </w:rPr>
              <w:t>Pohľadávka na štrukturálne fondy</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58 457 850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c>
          <w:tcPr>
            <w:tcW w:w="1250"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0</w:t>
            </w:r>
          </w:p>
        </w:tc>
      </w:tr>
      <w:tr>
        <w:tblPrEx>
          <w:tblW w:w="5000" w:type="pct"/>
          <w:tblInd w:w="0" w:type="dxa"/>
          <w:tblLook w:val="00A0"/>
        </w:tblPrEx>
        <w:tc>
          <w:tcPr>
            <w:tcW w:w="1250"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Pohľadávky celkom</w:t>
            </w:r>
          </w:p>
        </w:tc>
        <w:tc>
          <w:tcPr>
            <w:tcW w:w="1250"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98 993 550</w:t>
            </w:r>
          </w:p>
        </w:tc>
        <w:tc>
          <w:tcPr>
            <w:tcW w:w="1250"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36 784 300</w:t>
            </w:r>
          </w:p>
        </w:tc>
        <w:tc>
          <w:tcPr>
            <w:tcW w:w="1250" w:type="pct"/>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38 572 010</w:t>
            </w:r>
          </w:p>
        </w:tc>
      </w:tr>
      <w:tr>
        <w:tblPrEx>
          <w:tblW w:w="5000" w:type="pct"/>
          <w:tblInd w:w="0" w:type="dxa"/>
          <w:tblLook w:val="00A0"/>
        </w:tblPrEx>
        <w:trPr>
          <w:trHeight w:val="200"/>
        </w:trPr>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Medziročný nárast</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43 526 245</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-13 777 271</w:t>
            </w:r>
          </w:p>
        </w:tc>
        <w:tc>
          <w:tcPr>
            <w:tcW w:w="1250" w:type="pct"/>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-46 644 269</w:t>
            </w:r>
          </w:p>
        </w:tc>
      </w:tr>
    </w:tbl>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RPr="007E3EAE" w:rsidP="000802DE">
      <w:pPr>
        <w:jc w:val="both"/>
        <w:rPr>
          <w:rFonts w:ascii="Arial Narrow" w:hAnsi="Arial Narrow" w:cs="Arial Narrow"/>
          <w:b/>
          <w:szCs w:val="24"/>
        </w:rPr>
      </w:pPr>
      <w:r w:rsidRPr="007E3EAE">
        <w:rPr>
          <w:rFonts w:ascii="Arial Narrow" w:hAnsi="Arial Narrow" w:cs="Arial Narrow"/>
          <w:b/>
          <w:szCs w:val="24"/>
        </w:rPr>
        <w:t xml:space="preserve">7. Čistá finančná pozícia SR voči EÚ v rokoch 2010 až 2012 </w:t>
      </w:r>
    </w:p>
    <w:p w:rsidR="000802DE" w:rsidP="000802DE">
      <w:pPr>
        <w:jc w:val="both"/>
        <w:rPr>
          <w:rFonts w:ascii="Arial Narrow" w:hAnsi="Arial Narrow" w:cs="Arial Narrow"/>
          <w:b/>
          <w:sz w:val="22"/>
          <w:szCs w:val="24"/>
        </w:rPr>
      </w:pPr>
    </w:p>
    <w:p w:rsidR="000802DE" w:rsidP="000802DE">
      <w:pPr>
        <w:ind w:firstLine="708"/>
        <w:jc w:val="both"/>
        <w:rPr>
          <w:rFonts w:ascii="Arial Narrow" w:hAnsi="Arial Narrow" w:cs="Arial Narrow"/>
          <w:b/>
          <w:sz w:val="22"/>
          <w:szCs w:val="24"/>
        </w:rPr>
      </w:pPr>
      <w:r>
        <w:rPr>
          <w:rFonts w:ascii="Arial Narrow" w:hAnsi="Arial Narrow" w:cs="Arial Narrow"/>
          <w:sz w:val="22"/>
          <w:szCs w:val="24"/>
        </w:rPr>
        <w:t xml:space="preserve">Čistá finančná pozícia SR na roky </w:t>
      </w:r>
      <w:r>
        <w:rPr>
          <w:rFonts w:ascii="Arial Narrow" w:hAnsi="Arial Narrow" w:cs="Arial Narrow"/>
          <w:spacing w:val="-4"/>
          <w:sz w:val="22"/>
          <w:szCs w:val="24"/>
          <w:lang w:eastAsia="cs-CZ"/>
        </w:rPr>
        <w:t xml:space="preserve">2010 až 2012 </w:t>
      </w:r>
      <w:r>
        <w:rPr>
          <w:rFonts w:ascii="Arial Narrow" w:hAnsi="Arial Narrow" w:cs="Arial Narrow"/>
          <w:sz w:val="22"/>
          <w:szCs w:val="24"/>
        </w:rPr>
        <w:t xml:space="preserve">bude vykazovať priaznivý trend aj po zohľadnení dopadov odvodov a príspevkov do všeobecného rozpočtu EÚ na štátny rozpočet. Čistá finančná pozícia SR voči EÚ na roky </w:t>
      </w:r>
      <w:r>
        <w:rPr>
          <w:rFonts w:ascii="Arial Narrow" w:hAnsi="Arial Narrow" w:cs="Arial Narrow"/>
          <w:spacing w:val="-4"/>
          <w:sz w:val="22"/>
          <w:szCs w:val="24"/>
          <w:lang w:eastAsia="cs-CZ"/>
        </w:rPr>
        <w:t xml:space="preserve">2010 až 2012 </w:t>
      </w:r>
      <w:r>
        <w:rPr>
          <w:rFonts w:ascii="Arial Narrow" w:hAnsi="Arial Narrow" w:cs="Arial Narrow"/>
          <w:sz w:val="22"/>
          <w:szCs w:val="24"/>
        </w:rPr>
        <w:t xml:space="preserve">pri zohľadnení medziročného nárastu pohľadávok voči EÚ sa odhaduje na úrovni                                                        6 599 940 036 </w:t>
      </w:r>
      <w:r w:rsidR="003A17C7">
        <w:rPr>
          <w:rFonts w:ascii="Arial Narrow" w:hAnsi="Arial Narrow" w:cs="Arial Narrow"/>
          <w:sz w:val="22"/>
          <w:szCs w:val="24"/>
        </w:rPr>
        <w:t>eur</w:t>
      </w:r>
      <w:r w:rsidRPr="00BC72BC">
        <w:rPr>
          <w:rFonts w:ascii="Arial Narrow" w:hAnsi="Arial Narrow" w:cs="Arial Narrow"/>
          <w:b/>
          <w:sz w:val="22"/>
          <w:szCs w:val="24"/>
        </w:rPr>
        <w:t>.</w:t>
      </w:r>
    </w:p>
    <w:p w:rsidR="000802DE" w:rsidP="000802DE">
      <w:pPr>
        <w:jc w:val="both"/>
        <w:rPr>
          <w:rFonts w:ascii="Arial Narrow" w:hAnsi="Arial Narrow" w:cs="Arial Narrow"/>
          <w:b/>
          <w:sz w:val="22"/>
          <w:szCs w:val="24"/>
        </w:rPr>
      </w:pPr>
    </w:p>
    <w:p w:rsidR="000802DE" w:rsidP="000802DE">
      <w:pPr>
        <w:jc w:val="both"/>
        <w:rPr>
          <w:rFonts w:ascii="Arial Narrow" w:hAnsi="Arial Narrow" w:cs="Arial Narrow"/>
          <w:sz w:val="22"/>
          <w:szCs w:val="24"/>
        </w:rPr>
      </w:pPr>
      <w:r w:rsidRPr="005273D3">
        <w:rPr>
          <w:rFonts w:ascii="Arial Narrow" w:hAnsi="Arial Narrow" w:cs="Arial Narrow"/>
          <w:sz w:val="22"/>
          <w:szCs w:val="24"/>
          <w:u w:val="single"/>
        </w:rPr>
        <w:t xml:space="preserve">Tabuľka č. </w:t>
      </w:r>
      <w:r>
        <w:rPr>
          <w:rFonts w:ascii="Arial Narrow" w:hAnsi="Arial Narrow" w:cs="Arial Narrow"/>
          <w:sz w:val="22"/>
          <w:szCs w:val="24"/>
          <w:u w:val="single"/>
        </w:rPr>
        <w:t>9</w:t>
      </w:r>
      <w:r w:rsidRPr="005273D3">
        <w:rPr>
          <w:rFonts w:ascii="Arial Narrow" w:hAnsi="Arial Narrow" w:cs="Arial Narrow"/>
          <w:sz w:val="22"/>
          <w:szCs w:val="24"/>
          <w:u w:val="single"/>
        </w:rPr>
        <w:t>:</w:t>
      </w:r>
      <w:r w:rsidRPr="005273D3">
        <w:rPr>
          <w:rFonts w:ascii="Arial Narrow" w:hAnsi="Arial Narrow" w:cs="Arial Narrow"/>
          <w:sz w:val="22"/>
          <w:szCs w:val="24"/>
        </w:rPr>
        <w:t xml:space="preserve"> </w:t>
      </w:r>
      <w:r>
        <w:rPr>
          <w:rFonts w:ascii="Arial Narrow" w:hAnsi="Arial Narrow" w:cs="Arial Narrow"/>
          <w:sz w:val="22"/>
          <w:szCs w:val="24"/>
        </w:rPr>
        <w:t xml:space="preserve"> Odhad čistej finančnej pozície SR v rokoch </w:t>
      </w:r>
      <w:r>
        <w:rPr>
          <w:rFonts w:ascii="Arial Narrow" w:hAnsi="Arial Narrow" w:cs="Arial Narrow"/>
          <w:spacing w:val="-4"/>
          <w:sz w:val="22"/>
          <w:szCs w:val="24"/>
          <w:lang w:eastAsia="cs-CZ"/>
        </w:rPr>
        <w:t xml:space="preserve">2010 až 2012 </w:t>
      </w:r>
    </w:p>
    <w:p w:rsidR="000802DE" w:rsidP="000802DE">
      <w:pPr>
        <w:jc w:val="right"/>
        <w:rPr>
          <w:rFonts w:ascii="Arial Narrow" w:hAnsi="Arial Narrow" w:cs="Arial Narrow"/>
          <w:sz w:val="22"/>
          <w:szCs w:val="24"/>
        </w:rPr>
      </w:pPr>
      <w:r w:rsidRPr="000062A0">
        <w:rPr>
          <w:rFonts w:ascii="Arial Narrow" w:hAnsi="Arial Narrow" w:cs="Arial Narrow"/>
          <w:sz w:val="16"/>
          <w:szCs w:val="24"/>
        </w:rPr>
        <w:t xml:space="preserve">         (v eurách</w:t>
      </w:r>
      <w:r>
        <w:rPr>
          <w:rFonts w:ascii="Arial Narrow" w:hAnsi="Arial Narrow" w:cs="Arial Narrow"/>
          <w:sz w:val="16"/>
          <w:szCs w:val="24"/>
        </w:rPr>
        <w:t>)</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
        <w:gridCol w:w="2703"/>
        <w:gridCol w:w="1874"/>
        <w:gridCol w:w="1874"/>
        <w:gridCol w:w="187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93"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jc w:val="both"/>
              <w:rPr>
                <w:rFonts w:ascii="Arial Narrow" w:hAnsi="Arial Narrow" w:cs="Arial Narrow"/>
                <w:sz w:val="22"/>
                <w:szCs w:val="24"/>
              </w:rPr>
            </w:pPr>
          </w:p>
        </w:tc>
        <w:tc>
          <w:tcPr>
            <w:tcW w:w="1431"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0A40C7" w:rsidP="007139CD">
            <w:pPr>
              <w:jc w:val="both"/>
              <w:rPr>
                <w:rFonts w:ascii="Arial Narrow" w:hAnsi="Arial Narrow" w:cs="Arial Narrow"/>
                <w:sz w:val="22"/>
                <w:szCs w:val="24"/>
              </w:rPr>
            </w:pPr>
          </w:p>
        </w:tc>
        <w:tc>
          <w:tcPr>
            <w:tcW w:w="992"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w:t>
            </w:r>
            <w:r>
              <w:rPr>
                <w:rFonts w:ascii="Arial Narrow" w:hAnsi="Arial Narrow" w:cs="Arial Narrow"/>
                <w:b/>
                <w:spacing w:val="-4"/>
                <w:sz w:val="22"/>
                <w:szCs w:val="24"/>
                <w:lang w:eastAsia="cs-CZ"/>
              </w:rPr>
              <w:t>1</w:t>
            </w:r>
            <w:r w:rsidRPr="00166CC7">
              <w:rPr>
                <w:rFonts w:ascii="Arial Narrow" w:hAnsi="Arial Narrow" w:cs="Arial Narrow"/>
                <w:b/>
                <w:spacing w:val="-4"/>
                <w:sz w:val="22"/>
                <w:szCs w:val="24"/>
                <w:lang w:eastAsia="cs-CZ"/>
              </w:rPr>
              <w:t>0</w:t>
            </w:r>
          </w:p>
        </w:tc>
        <w:tc>
          <w:tcPr>
            <w:tcW w:w="992"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1</w:t>
            </w:r>
          </w:p>
        </w:tc>
        <w:tc>
          <w:tcPr>
            <w:tcW w:w="992" w:type="pc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802DE" w:rsidRPr="00166CC7" w:rsidP="007139CD">
            <w:pPr>
              <w:pStyle w:val="BodyText"/>
              <w:jc w:val="center"/>
              <w:rPr>
                <w:rFonts w:ascii="Arial Narrow" w:hAnsi="Arial Narrow" w:cs="Arial Narrow"/>
                <w:b/>
                <w:spacing w:val="-4"/>
                <w:sz w:val="22"/>
                <w:szCs w:val="24"/>
                <w:lang w:eastAsia="cs-CZ"/>
              </w:rPr>
            </w:pPr>
            <w:r w:rsidRPr="00166CC7">
              <w:rPr>
                <w:rFonts w:ascii="Arial Narrow" w:hAnsi="Arial Narrow" w:cs="Arial Narrow"/>
                <w:b/>
                <w:spacing w:val="-4"/>
                <w:sz w:val="22"/>
                <w:szCs w:val="24"/>
                <w:lang w:eastAsia="cs-CZ"/>
              </w:rPr>
              <w:t>201</w:t>
            </w:r>
            <w:r>
              <w:rPr>
                <w:rFonts w:ascii="Arial Narrow" w:hAnsi="Arial Narrow" w:cs="Arial Narrow"/>
                <w:b/>
                <w:spacing w:val="-4"/>
                <w:sz w:val="22"/>
                <w:szCs w:val="24"/>
                <w:lang w:eastAsia="cs-CZ"/>
              </w:rPr>
              <w:t>2</w:t>
            </w:r>
          </w:p>
        </w:tc>
      </w:tr>
      <w:tr>
        <w:tblPrEx>
          <w:tblW w:w="5000" w:type="pct"/>
          <w:tblInd w:w="0" w:type="dxa"/>
          <w:tblLook w:val="00A0"/>
        </w:tblPrEx>
        <w:tc>
          <w:tcPr>
            <w:tcW w:w="59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A</w:t>
            </w:r>
          </w:p>
        </w:tc>
        <w:tc>
          <w:tcPr>
            <w:tcW w:w="1431"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Odvody a príspevky SR do všeobecného rozpočtu EÚ</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901 477 039</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787 558 375</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846 688 812</w:t>
            </w:r>
          </w:p>
        </w:tc>
      </w:tr>
      <w:tr>
        <w:tblPrEx>
          <w:tblW w:w="5000" w:type="pct"/>
          <w:tblInd w:w="0" w:type="dxa"/>
          <w:tblLook w:val="00A0"/>
        </w:tblPrEx>
        <w:tc>
          <w:tcPr>
            <w:tcW w:w="59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B</w:t>
            </w:r>
          </w:p>
        </w:tc>
        <w:tc>
          <w:tcPr>
            <w:tcW w:w="1431"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Príjmy z EÚ spolu</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3 072 696 688</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3 194 850 628</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right"/>
              <w:rPr>
                <w:rFonts w:ascii="Arial Narrow" w:hAnsi="Arial Narrow" w:cs="Arial Narrow"/>
                <w:sz w:val="22"/>
                <w:szCs w:val="24"/>
              </w:rPr>
            </w:pPr>
            <w:r>
              <w:rPr>
                <w:rFonts w:ascii="Arial Narrow" w:hAnsi="Arial Narrow" w:cs="Arial Narrow"/>
                <w:sz w:val="22"/>
                <w:szCs w:val="24"/>
              </w:rPr>
              <w:t>2 885 012 241</w:t>
            </w:r>
          </w:p>
        </w:tc>
      </w:tr>
      <w:tr>
        <w:tblPrEx>
          <w:tblW w:w="5000" w:type="pct"/>
          <w:tblInd w:w="0" w:type="dxa"/>
          <w:tblLook w:val="00A0"/>
        </w:tblPrEx>
        <w:tc>
          <w:tcPr>
            <w:tcW w:w="593"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p>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C</w:t>
            </w:r>
          </w:p>
        </w:tc>
        <w:tc>
          <w:tcPr>
            <w:tcW w:w="1431" w:type="pct"/>
            <w:tcBorders>
              <w:top w:val="single" w:sz="4" w:space="0" w:color="auto"/>
              <w:left w:val="single" w:sz="4" w:space="0" w:color="auto"/>
              <w:bottom w:val="single" w:sz="4" w:space="0" w:color="auto"/>
              <w:right w:val="single" w:sz="4" w:space="0" w:color="auto"/>
            </w:tcBorders>
            <w:textDirection w:val="lrTb"/>
            <w:vAlign w:val="top"/>
          </w:tcPr>
          <w:p w:rsidR="000802DE" w:rsidRPr="000A40C7" w:rsidP="007139CD">
            <w:pPr>
              <w:jc w:val="both"/>
              <w:rPr>
                <w:rFonts w:ascii="Arial Narrow" w:hAnsi="Arial Narrow" w:cs="Arial Narrow"/>
                <w:sz w:val="22"/>
                <w:szCs w:val="24"/>
              </w:rPr>
            </w:pPr>
            <w:r w:rsidRPr="000A40C7">
              <w:rPr>
                <w:rFonts w:ascii="Arial Narrow" w:hAnsi="Arial Narrow" w:cs="Arial Narrow"/>
                <w:sz w:val="22"/>
                <w:szCs w:val="24"/>
              </w:rPr>
              <w:t xml:space="preserve">Medziročný nárast pohľadávok </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ind w:left="360"/>
              <w:rPr>
                <w:rFonts w:ascii="Arial Narrow" w:hAnsi="Arial Narrow" w:cs="Arial Narrow"/>
                <w:sz w:val="22"/>
                <w:szCs w:val="24"/>
              </w:rPr>
            </w:pPr>
          </w:p>
          <w:p w:rsidR="000802DE" w:rsidRPr="000A40C7" w:rsidP="007139CD">
            <w:pPr>
              <w:ind w:left="360"/>
              <w:jc w:val="right"/>
              <w:rPr>
                <w:rFonts w:ascii="Arial Narrow" w:hAnsi="Arial Narrow" w:cs="Arial Narrow"/>
                <w:sz w:val="22"/>
                <w:szCs w:val="24"/>
              </w:rPr>
            </w:pPr>
            <w:r>
              <w:rPr>
                <w:rFonts w:ascii="Arial Narrow" w:hAnsi="Arial Narrow" w:cs="Arial Narrow"/>
                <w:sz w:val="22"/>
                <w:szCs w:val="24"/>
              </w:rPr>
              <w:t>43 526 245</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jc w:val="right"/>
              <w:rPr>
                <w:rFonts w:ascii="Arial Narrow" w:hAnsi="Arial Narrow" w:cs="Arial Narrow"/>
                <w:sz w:val="22"/>
                <w:szCs w:val="24"/>
              </w:rPr>
            </w:pPr>
          </w:p>
          <w:p w:rsidR="000802DE" w:rsidRPr="000A40C7" w:rsidP="007139CD">
            <w:pPr>
              <w:jc w:val="right"/>
              <w:rPr>
                <w:rFonts w:ascii="Arial Narrow" w:hAnsi="Arial Narrow" w:cs="Arial Narrow"/>
                <w:sz w:val="22"/>
                <w:szCs w:val="24"/>
              </w:rPr>
            </w:pPr>
            <w:r>
              <w:rPr>
                <w:rFonts w:ascii="Arial Narrow" w:hAnsi="Arial Narrow" w:cs="Arial Narrow"/>
                <w:sz w:val="22"/>
                <w:szCs w:val="24"/>
              </w:rPr>
              <w:t>-13 777 271</w:t>
            </w:r>
          </w:p>
        </w:tc>
        <w:tc>
          <w:tcPr>
            <w:tcW w:w="992" w:type="pct"/>
            <w:tcBorders>
              <w:top w:val="single" w:sz="4" w:space="0" w:color="auto"/>
              <w:left w:val="single" w:sz="4" w:space="0" w:color="auto"/>
              <w:bottom w:val="single" w:sz="4" w:space="0" w:color="auto"/>
              <w:right w:val="single" w:sz="4" w:space="0" w:color="auto"/>
            </w:tcBorders>
            <w:textDirection w:val="lrTb"/>
            <w:vAlign w:val="top"/>
          </w:tcPr>
          <w:p w:rsidR="000802DE" w:rsidP="007139CD">
            <w:pPr>
              <w:ind w:left="360"/>
              <w:rPr>
                <w:rFonts w:ascii="Arial Narrow" w:hAnsi="Arial Narrow" w:cs="Arial Narrow"/>
                <w:sz w:val="22"/>
                <w:szCs w:val="24"/>
              </w:rPr>
            </w:pPr>
          </w:p>
          <w:p w:rsidR="000802DE" w:rsidRPr="000A40C7" w:rsidP="007139CD">
            <w:pPr>
              <w:ind w:left="360"/>
              <w:jc w:val="right"/>
              <w:rPr>
                <w:rFonts w:ascii="Arial Narrow" w:hAnsi="Arial Narrow" w:cs="Arial Narrow"/>
                <w:sz w:val="22"/>
                <w:szCs w:val="24"/>
              </w:rPr>
            </w:pPr>
            <w:r>
              <w:rPr>
                <w:rFonts w:ascii="Arial Narrow" w:hAnsi="Arial Narrow" w:cs="Arial Narrow"/>
                <w:sz w:val="22"/>
                <w:szCs w:val="24"/>
              </w:rPr>
              <w:t>-46 644 269</w:t>
            </w:r>
          </w:p>
        </w:tc>
      </w:tr>
      <w:tr>
        <w:tblPrEx>
          <w:tblW w:w="5000" w:type="pct"/>
          <w:tblInd w:w="0" w:type="dxa"/>
          <w:tblLook w:val="00A0"/>
        </w:tblPrEx>
        <w:tc>
          <w:tcPr>
            <w:tcW w:w="593" w:type="pct"/>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D=B+C-A</w:t>
            </w:r>
          </w:p>
        </w:tc>
        <w:tc>
          <w:tcPr>
            <w:tcW w:w="1431" w:type="pct"/>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0802DE" w:rsidRPr="000A40C7" w:rsidP="007139CD">
            <w:pPr>
              <w:jc w:val="both"/>
              <w:rPr>
                <w:rFonts w:ascii="Arial Narrow" w:hAnsi="Arial Narrow" w:cs="Arial Narrow"/>
                <w:b/>
                <w:sz w:val="22"/>
                <w:szCs w:val="24"/>
              </w:rPr>
            </w:pPr>
            <w:r w:rsidRPr="000A40C7">
              <w:rPr>
                <w:rFonts w:ascii="Arial Narrow" w:hAnsi="Arial Narrow" w:cs="Arial Narrow"/>
                <w:b/>
                <w:sz w:val="22"/>
                <w:szCs w:val="24"/>
              </w:rPr>
              <w:t>Čistá finančná pozícia SR</w:t>
            </w:r>
          </w:p>
        </w:tc>
        <w:tc>
          <w:tcPr>
            <w:tcW w:w="992" w:type="pct"/>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0802DE" w:rsidRPr="000A40C7" w:rsidP="007139CD">
            <w:pPr>
              <w:jc w:val="right"/>
              <w:rPr>
                <w:rFonts w:ascii="Arial Narrow" w:hAnsi="Arial Narrow" w:cs="Arial Narrow"/>
                <w:b/>
                <w:sz w:val="22"/>
                <w:szCs w:val="24"/>
              </w:rPr>
            </w:pPr>
            <w:r>
              <w:rPr>
                <w:rFonts w:ascii="Arial Narrow" w:hAnsi="Arial Narrow" w:cs="Arial Narrow"/>
                <w:b/>
                <w:sz w:val="22"/>
                <w:szCs w:val="24"/>
              </w:rPr>
              <w:t>2 214 745 894</w:t>
            </w:r>
          </w:p>
        </w:tc>
        <w:tc>
          <w:tcPr>
            <w:tcW w:w="992" w:type="pct"/>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0802DE" w:rsidRPr="000A40C7" w:rsidP="007139CD">
            <w:pPr>
              <w:jc w:val="right"/>
              <w:rPr>
                <w:rFonts w:ascii="Arial Narrow" w:hAnsi="Arial Narrow" w:cs="Arial Narrow"/>
                <w:b/>
                <w:sz w:val="22"/>
                <w:szCs w:val="24"/>
              </w:rPr>
            </w:pPr>
            <w:r>
              <w:rPr>
                <w:rFonts w:ascii="Arial Narrow" w:hAnsi="Arial Narrow" w:cs="Arial Narrow"/>
                <w:b/>
                <w:sz w:val="22"/>
                <w:szCs w:val="24"/>
              </w:rPr>
              <w:t>2 393 514 982</w:t>
            </w:r>
          </w:p>
        </w:tc>
        <w:tc>
          <w:tcPr>
            <w:tcW w:w="992" w:type="pct"/>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0802DE" w:rsidRPr="000A40C7" w:rsidP="007139CD">
            <w:pPr>
              <w:jc w:val="right"/>
              <w:rPr>
                <w:rFonts w:ascii="Arial Narrow" w:hAnsi="Arial Narrow" w:cs="Arial Narrow"/>
                <w:b/>
                <w:sz w:val="22"/>
                <w:szCs w:val="24"/>
              </w:rPr>
            </w:pPr>
            <w:r>
              <w:rPr>
                <w:rFonts w:ascii="Arial Narrow" w:hAnsi="Arial Narrow" w:cs="Arial Narrow"/>
                <w:b/>
                <w:sz w:val="22"/>
                <w:szCs w:val="24"/>
              </w:rPr>
              <w:t>1 991 679 160</w:t>
            </w:r>
          </w:p>
        </w:tc>
      </w:tr>
    </w:tbl>
    <w:p w:rsidR="000802DE" w:rsidP="000802DE">
      <w:pPr>
        <w:jc w:val="both"/>
        <w:rPr>
          <w:rFonts w:ascii="Arial Narrow" w:hAnsi="Arial Narrow" w:cs="Arial Narrow"/>
          <w:sz w:val="22"/>
          <w:szCs w:val="24"/>
        </w:rPr>
      </w:pPr>
    </w:p>
    <w:p w:rsidR="000802DE" w:rsidRPr="00BC72BC" w:rsidP="000802DE">
      <w:pPr>
        <w:ind w:firstLine="708"/>
        <w:jc w:val="both"/>
        <w:rPr>
          <w:rFonts w:ascii="Arial Narrow" w:hAnsi="Arial Narrow" w:cs="Arial Narrow"/>
          <w:sz w:val="22"/>
          <w:szCs w:val="24"/>
        </w:rPr>
      </w:pPr>
      <w:r>
        <w:rPr>
          <w:rFonts w:ascii="Arial Narrow" w:hAnsi="Arial Narrow" w:cs="Arial Narrow"/>
          <w:sz w:val="22"/>
          <w:szCs w:val="24"/>
        </w:rPr>
        <w:t>Príjmy z EÚ majú pozitívny dopad na bilanciu Slovenska, ale neutrálny dopad na verejné financie. Vyplýva to z toho, že časť príjmov z EÚ je príjmom štátneho rozpočtu vo forme transferov a súčasne aj výdavkom štátneho rozpočtu vo forme bežných výdavkov a kapitálových výdavkov a druhá časť príjmov vôbec nevstupuje do štátneho rozpočtu.</w:t>
      </w: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FD27F7"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0802DE" w:rsidP="000802DE">
      <w:pPr>
        <w:jc w:val="both"/>
        <w:rPr>
          <w:rFonts w:ascii="Arial Narrow" w:hAnsi="Arial Narrow" w:cs="Arial Narrow"/>
          <w:sz w:val="22"/>
          <w:szCs w:val="24"/>
        </w:rPr>
      </w:pPr>
    </w:p>
    <w:p w:rsidR="005F12B1" w:rsidP="00702AB5">
      <w:pPr>
        <w:rPr>
          <w:rFonts w:ascii="Times New Roman" w:hAnsi="Times New Roman" w:cs="Times New Roman"/>
          <w:szCs w:val="24"/>
        </w:rPr>
      </w:pPr>
    </w:p>
    <w:p w:rsidR="000802DE" w:rsidP="000802DE">
      <w:pPr>
        <w:pStyle w:val="Heading3"/>
        <w:keepNext/>
        <w:spacing w:before="240" w:after="60" w:line="240" w:lineRule="auto"/>
        <w:jc w:val="center"/>
        <w:rPr>
          <w:rFonts w:ascii="Arial Narrow" w:hAnsi="Arial Narrow" w:cs="Arial Narrow"/>
          <w:b/>
          <w:sz w:val="44"/>
          <w:szCs w:val="24"/>
          <w:lang w:eastAsia="sk-SK"/>
        </w:rPr>
      </w:pPr>
    </w:p>
    <w:p w:rsidR="000802DE" w:rsidP="000802DE">
      <w:pPr>
        <w:pStyle w:val="Heading3"/>
        <w:keepNext/>
        <w:spacing w:before="240" w:after="60" w:line="240" w:lineRule="auto"/>
        <w:jc w:val="center"/>
        <w:rPr>
          <w:rFonts w:ascii="Arial Narrow" w:hAnsi="Arial Narrow" w:cs="Arial Narrow"/>
          <w:b/>
          <w:sz w:val="44"/>
          <w:szCs w:val="24"/>
          <w:lang w:eastAsia="sk-SK"/>
        </w:rPr>
      </w:pPr>
    </w:p>
    <w:p w:rsidR="000802DE" w:rsidP="000802DE">
      <w:pPr>
        <w:pStyle w:val="Heading3"/>
        <w:keepNext/>
        <w:spacing w:before="240" w:after="60" w:line="240" w:lineRule="auto"/>
        <w:jc w:val="center"/>
        <w:rPr>
          <w:rFonts w:ascii="Arial Narrow" w:hAnsi="Arial Narrow" w:cs="Arial Narrow"/>
          <w:b/>
          <w:sz w:val="44"/>
          <w:szCs w:val="24"/>
          <w:lang w:eastAsia="sk-SK"/>
        </w:rPr>
      </w:pPr>
    </w:p>
    <w:p w:rsidR="000802DE" w:rsidP="000802DE">
      <w:pPr>
        <w:pStyle w:val="Heading3"/>
        <w:keepNext/>
        <w:spacing w:before="240" w:after="60" w:line="240" w:lineRule="auto"/>
        <w:jc w:val="center"/>
        <w:rPr>
          <w:rFonts w:ascii="Arial Narrow" w:hAnsi="Arial Narrow" w:cs="Arial Narrow"/>
          <w:b/>
          <w:sz w:val="44"/>
          <w:szCs w:val="24"/>
          <w:lang w:eastAsia="sk-SK"/>
        </w:rPr>
      </w:pPr>
    </w:p>
    <w:p w:rsidR="00FD27F7" w:rsidP="00FD27F7">
      <w:pPr>
        <w:rPr>
          <w:rFonts w:ascii="Times New Roman" w:hAnsi="Times New Roman" w:cs="Times New Roman"/>
          <w:szCs w:val="24"/>
        </w:rPr>
      </w:pPr>
    </w:p>
    <w:p w:rsidR="00FD27F7" w:rsidP="00FD27F7">
      <w:pPr>
        <w:rPr>
          <w:rFonts w:ascii="Times New Roman" w:hAnsi="Times New Roman" w:cs="Times New Roman"/>
          <w:szCs w:val="24"/>
        </w:rPr>
      </w:pPr>
    </w:p>
    <w:p w:rsidR="00FD27F7" w:rsidRPr="00FD27F7" w:rsidP="00FD27F7">
      <w:pPr>
        <w:rPr>
          <w:rFonts w:ascii="Times New Roman" w:hAnsi="Times New Roman" w:cs="Times New Roman"/>
          <w:szCs w:val="24"/>
        </w:rPr>
      </w:pPr>
    </w:p>
    <w:p w:rsidR="00FD27F7" w:rsidP="000802DE">
      <w:pPr>
        <w:pStyle w:val="Heading3"/>
        <w:keepNext/>
        <w:spacing w:before="240" w:after="60" w:line="240" w:lineRule="auto"/>
        <w:jc w:val="center"/>
        <w:rPr>
          <w:rFonts w:ascii="Arial Narrow" w:hAnsi="Arial Narrow" w:cs="Arial Narrow"/>
          <w:b/>
          <w:sz w:val="44"/>
          <w:szCs w:val="24"/>
          <w:lang w:eastAsia="sk-SK"/>
        </w:rPr>
      </w:pPr>
    </w:p>
    <w:p w:rsidR="00FD27F7" w:rsidP="000802DE">
      <w:pPr>
        <w:pStyle w:val="Heading3"/>
        <w:keepNext/>
        <w:spacing w:before="240" w:after="60" w:line="240" w:lineRule="auto"/>
        <w:jc w:val="center"/>
        <w:rPr>
          <w:rFonts w:ascii="Arial Narrow" w:hAnsi="Arial Narrow" w:cs="Arial Narrow"/>
          <w:b/>
          <w:sz w:val="44"/>
          <w:szCs w:val="24"/>
          <w:lang w:eastAsia="sk-SK"/>
        </w:rPr>
      </w:pPr>
    </w:p>
    <w:p w:rsidR="00FD27F7" w:rsidP="000802DE">
      <w:pPr>
        <w:pStyle w:val="Heading3"/>
        <w:keepNext/>
        <w:spacing w:before="240" w:after="60" w:line="240" w:lineRule="auto"/>
        <w:jc w:val="center"/>
        <w:rPr>
          <w:rFonts w:ascii="Arial Narrow" w:hAnsi="Arial Narrow" w:cs="Arial Narrow"/>
          <w:b/>
          <w:sz w:val="44"/>
          <w:szCs w:val="24"/>
          <w:lang w:eastAsia="sk-SK"/>
        </w:rPr>
      </w:pPr>
    </w:p>
    <w:p w:rsidR="00FD27F7" w:rsidP="000802DE">
      <w:pPr>
        <w:pStyle w:val="Heading3"/>
        <w:keepNext/>
        <w:spacing w:before="240" w:after="60" w:line="240" w:lineRule="auto"/>
        <w:jc w:val="center"/>
        <w:rPr>
          <w:rFonts w:ascii="Arial Narrow" w:hAnsi="Arial Narrow" w:cs="Arial Narrow"/>
          <w:b/>
          <w:sz w:val="44"/>
          <w:szCs w:val="24"/>
          <w:lang w:eastAsia="sk-SK"/>
        </w:rPr>
      </w:pPr>
    </w:p>
    <w:p w:rsidR="00FD27F7" w:rsidP="000802DE">
      <w:pPr>
        <w:pStyle w:val="Heading3"/>
        <w:keepNext/>
        <w:spacing w:before="240" w:after="60" w:line="240" w:lineRule="auto"/>
        <w:jc w:val="center"/>
        <w:rPr>
          <w:rFonts w:ascii="Arial Narrow" w:hAnsi="Arial Narrow" w:cs="Arial Narrow"/>
          <w:b/>
          <w:sz w:val="44"/>
          <w:szCs w:val="24"/>
          <w:lang w:eastAsia="sk-SK"/>
        </w:rPr>
      </w:pPr>
    </w:p>
    <w:p w:rsidR="000802DE" w:rsidRPr="00CF4632" w:rsidP="000802DE">
      <w:pPr>
        <w:pStyle w:val="Heading3"/>
        <w:keepNext/>
        <w:spacing w:before="240" w:after="60" w:line="240" w:lineRule="auto"/>
        <w:jc w:val="center"/>
        <w:rPr>
          <w:rFonts w:ascii="Arial Narrow" w:hAnsi="Arial Narrow" w:cs="Arial Narrow"/>
          <w:b/>
          <w:sz w:val="44"/>
          <w:szCs w:val="24"/>
          <w:lang w:eastAsia="sk-SK"/>
        </w:rPr>
      </w:pPr>
      <w:r w:rsidRPr="00CF4632">
        <w:rPr>
          <w:rFonts w:ascii="Arial Narrow" w:hAnsi="Arial Narrow" w:cs="Arial Narrow"/>
          <w:b/>
          <w:sz w:val="44"/>
          <w:szCs w:val="24"/>
          <w:lang w:eastAsia="sk-SK"/>
        </w:rPr>
        <w:t>Príloha č. 3</w:t>
      </w:r>
    </w:p>
    <w:p w:rsidR="000802DE" w:rsidRPr="00CF4632" w:rsidP="000802DE">
      <w:pPr>
        <w:pStyle w:val="Heading3"/>
        <w:keepNext/>
        <w:spacing w:before="240" w:after="60" w:line="240" w:lineRule="auto"/>
        <w:rPr>
          <w:rFonts w:ascii="Arial Narrow" w:hAnsi="Arial Narrow" w:cs="Arial Narrow"/>
          <w:b/>
          <w:sz w:val="44"/>
          <w:szCs w:val="24"/>
          <w:lang w:eastAsia="sk-SK"/>
        </w:rPr>
      </w:pPr>
    </w:p>
    <w:p w:rsidR="000802DE" w:rsidRPr="00CF4632" w:rsidP="000802DE">
      <w:pPr>
        <w:pStyle w:val="Header"/>
        <w:jc w:val="center"/>
        <w:rPr>
          <w:b/>
          <w:sz w:val="44"/>
          <w:szCs w:val="24"/>
        </w:rPr>
      </w:pPr>
      <w:r w:rsidRPr="00CF4632">
        <w:rPr>
          <w:b/>
          <w:sz w:val="44"/>
          <w:szCs w:val="24"/>
        </w:rPr>
        <w:t xml:space="preserve">Stratégia riadenia štátneho dlhu na roky 2007 </w:t>
      </w:r>
      <w:r>
        <w:rPr>
          <w:b/>
          <w:sz w:val="44"/>
          <w:szCs w:val="24"/>
        </w:rPr>
        <w:t>až</w:t>
      </w:r>
      <w:r w:rsidRPr="00CF4632">
        <w:rPr>
          <w:b/>
          <w:sz w:val="44"/>
          <w:szCs w:val="24"/>
        </w:rPr>
        <w:t xml:space="preserve"> 2010</w:t>
      </w:r>
    </w:p>
    <w:p w:rsidR="000802DE" w:rsidRPr="00CF4632" w:rsidP="000802DE">
      <w:pPr>
        <w:pStyle w:val="Header"/>
        <w:ind w:firstLine="0"/>
        <w:rPr>
          <w:b/>
          <w:sz w:val="44"/>
          <w:szCs w:val="24"/>
        </w:rPr>
      </w:pPr>
    </w:p>
    <w:p w:rsidR="000802DE" w:rsidRPr="00CF4632" w:rsidP="000802DE">
      <w:pPr>
        <w:pStyle w:val="Header"/>
        <w:ind w:firstLine="0"/>
        <w:jc w:val="center"/>
        <w:rPr>
          <w:b/>
          <w:sz w:val="44"/>
          <w:szCs w:val="24"/>
        </w:rPr>
      </w:pPr>
      <w:r w:rsidRPr="00CF4632">
        <w:rPr>
          <w:b/>
          <w:sz w:val="44"/>
          <w:szCs w:val="24"/>
        </w:rPr>
        <w:t>Aktualizácia 2009</w:t>
      </w: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rPr>
          <w:rFonts w:ascii="Times New Roman" w:hAnsi="Times New Roman" w:cs="Times New Roman"/>
          <w:szCs w:val="24"/>
        </w:rPr>
      </w:pPr>
    </w:p>
    <w:p w:rsidR="000802DE" w:rsidRPr="006076F5" w:rsidP="000802DE">
      <w:pPr>
        <w:jc w:val="center"/>
        <w:rPr>
          <w:rFonts w:ascii="Times New Roman" w:hAnsi="Times New Roman" w:cs="Times New Roman"/>
          <w:b/>
          <w:szCs w:val="24"/>
        </w:rPr>
      </w:pPr>
      <w:r>
        <w:rPr>
          <w:rFonts w:ascii="Times New Roman" w:hAnsi="Times New Roman" w:cs="Times New Roman"/>
          <w:b/>
          <w:szCs w:val="24"/>
        </w:rPr>
        <w:t>September</w:t>
      </w:r>
      <w:r w:rsidRPr="006076F5">
        <w:rPr>
          <w:rFonts w:ascii="Times New Roman" w:hAnsi="Times New Roman" w:cs="Times New Roman"/>
          <w:b/>
          <w:szCs w:val="24"/>
        </w:rPr>
        <w:t xml:space="preserve"> 200</w:t>
      </w:r>
      <w:r>
        <w:rPr>
          <w:rFonts w:ascii="Times New Roman" w:hAnsi="Times New Roman" w:cs="Times New Roman"/>
          <w:b/>
          <w:szCs w:val="24"/>
        </w:rPr>
        <w:t>9</w:t>
      </w:r>
    </w:p>
    <w:p w:rsidR="000802DE" w:rsidRPr="00EE18F3" w:rsidP="000802DE">
      <w:pPr>
        <w:pStyle w:val="Heading1"/>
        <w:jc w:val="center"/>
        <w:rPr>
          <w:rFonts w:ascii="Arial Narrow" w:hAnsi="Arial Narrow" w:cs="Arial Narrow"/>
          <w:sz w:val="28"/>
          <w:szCs w:val="24"/>
        </w:rPr>
      </w:pPr>
      <w:r w:rsidRPr="006076F5">
        <w:rPr>
          <w:szCs w:val="24"/>
        </w:rPr>
        <w:br w:type="page"/>
      </w:r>
      <w:bookmarkStart w:id="0" w:name="_Toc235596849"/>
      <w:r w:rsidRPr="00EE18F3">
        <w:rPr>
          <w:rFonts w:ascii="Arial Narrow" w:hAnsi="Arial Narrow" w:cs="Arial Narrow"/>
          <w:sz w:val="28"/>
          <w:szCs w:val="24"/>
        </w:rPr>
        <w:t>Úvod</w:t>
      </w:r>
      <w:bookmarkEnd w:id="0"/>
      <w:r w:rsidRPr="00EE18F3">
        <w:rPr>
          <w:rFonts w:ascii="Arial Narrow" w:hAnsi="Arial Narrow" w:cs="Arial Narrow"/>
          <w:sz w:val="28"/>
          <w:szCs w:val="24"/>
        </w:rPr>
        <w:t xml:space="preserve"> </w:t>
      </w:r>
    </w:p>
    <w:p w:rsidR="000802DE" w:rsidRPr="00630C2F" w:rsidP="000802DE">
      <w:pPr>
        <w:rPr>
          <w:rFonts w:ascii="Times New Roman" w:hAnsi="Times New Roman" w:cs="Times New Roman"/>
          <w:szCs w:val="24"/>
        </w:rPr>
      </w:pPr>
    </w:p>
    <w:p w:rsidR="000802DE" w:rsidP="000802DE">
      <w:pPr>
        <w:spacing w:after="120"/>
        <w:ind w:firstLine="708"/>
        <w:jc w:val="both"/>
        <w:rPr>
          <w:rFonts w:ascii="Arial Narrow" w:hAnsi="Arial Narrow" w:cs="Arial Narrow"/>
          <w:sz w:val="22"/>
          <w:szCs w:val="24"/>
        </w:rPr>
      </w:pPr>
      <w:r>
        <w:rPr>
          <w:rFonts w:ascii="Arial Narrow" w:hAnsi="Arial Narrow" w:cs="Arial Narrow"/>
          <w:sz w:val="22"/>
          <w:szCs w:val="24"/>
        </w:rPr>
        <w:t xml:space="preserve">Napĺňanie </w:t>
      </w:r>
      <w:r w:rsidRPr="004E09DA">
        <w:rPr>
          <w:rFonts w:ascii="Arial Narrow" w:hAnsi="Arial Narrow" w:cs="Arial Narrow"/>
          <w:sz w:val="22"/>
          <w:szCs w:val="24"/>
        </w:rPr>
        <w:t>„Stratégi</w:t>
      </w:r>
      <w:r>
        <w:rPr>
          <w:rFonts w:ascii="Arial Narrow" w:hAnsi="Arial Narrow" w:cs="Arial Narrow"/>
          <w:sz w:val="22"/>
          <w:szCs w:val="24"/>
        </w:rPr>
        <w:t>e</w:t>
      </w:r>
      <w:r w:rsidRPr="004E09DA">
        <w:rPr>
          <w:rFonts w:ascii="Arial Narrow" w:hAnsi="Arial Narrow" w:cs="Arial Narrow"/>
          <w:sz w:val="22"/>
          <w:szCs w:val="24"/>
        </w:rPr>
        <w:t xml:space="preserve"> riadenia štátneho dlhu na roky 2007 až 2010“ </w:t>
      </w:r>
      <w:r>
        <w:rPr>
          <w:rFonts w:ascii="Arial Narrow" w:hAnsi="Arial Narrow" w:cs="Arial Narrow"/>
          <w:sz w:val="22"/>
          <w:szCs w:val="24"/>
        </w:rPr>
        <w:t>v roku 2008 ovplyvnili dve podstatné skutočnosti – globálna finančná kríza (prehĺbená po páde banky Lehman Brothers v septembri 2008) a príprava SR na prijatie meny euro 1.1.2009.</w:t>
      </w:r>
      <w:r w:rsidRPr="004E09DA">
        <w:rPr>
          <w:rFonts w:ascii="Arial Narrow" w:hAnsi="Arial Narrow" w:cs="Arial Narrow"/>
          <w:sz w:val="22"/>
          <w:szCs w:val="24"/>
        </w:rPr>
        <w:t xml:space="preserve"> </w:t>
      </w:r>
      <w:r>
        <w:rPr>
          <w:rFonts w:ascii="Arial Narrow" w:hAnsi="Arial Narrow" w:cs="Arial Narrow"/>
          <w:sz w:val="22"/>
          <w:szCs w:val="24"/>
        </w:rPr>
        <w:t xml:space="preserve">Kríza finančných trhov neumožnila plánované vydanie eurobondu v roku 2008. Vďaka prísnemu dodržiavaniu zvolenej stratégie to nemalo negatívny vplyv na riadenie krytia štátneho dlhu a na výdavky na dlhovú službu v horizonte najbližších rokov (2009 a 2010). </w:t>
      </w:r>
    </w:p>
    <w:p w:rsidR="000802DE" w:rsidP="000802DE">
      <w:pPr>
        <w:spacing w:after="120"/>
        <w:ind w:firstLine="708"/>
        <w:jc w:val="both"/>
        <w:rPr>
          <w:rFonts w:ascii="Arial Narrow" w:hAnsi="Arial Narrow" w:cs="Arial Narrow"/>
          <w:sz w:val="22"/>
          <w:szCs w:val="24"/>
        </w:rPr>
      </w:pPr>
      <w:r w:rsidRPr="004E09DA">
        <w:rPr>
          <w:rFonts w:ascii="Arial Narrow" w:hAnsi="Arial Narrow" w:cs="Arial Narrow"/>
          <w:sz w:val="22"/>
          <w:szCs w:val="24"/>
        </w:rPr>
        <w:t xml:space="preserve">Nastavenie jednotlivých parametrov štátneho dlhu v stratégii sa po </w:t>
      </w:r>
      <w:r>
        <w:rPr>
          <w:rFonts w:ascii="Arial Narrow" w:hAnsi="Arial Narrow" w:cs="Arial Narrow"/>
          <w:sz w:val="22"/>
          <w:szCs w:val="24"/>
        </w:rPr>
        <w:t>dvoj</w:t>
      </w:r>
      <w:r w:rsidRPr="004E09DA">
        <w:rPr>
          <w:rFonts w:ascii="Arial Narrow" w:hAnsi="Arial Narrow" w:cs="Arial Narrow"/>
          <w:sz w:val="22"/>
          <w:szCs w:val="24"/>
        </w:rPr>
        <w:t xml:space="preserve">ročnom hodnotení ukazuje ako správne a vhodné pre podmienky </w:t>
      </w:r>
      <w:r>
        <w:rPr>
          <w:rFonts w:ascii="Arial Narrow" w:hAnsi="Arial Narrow" w:cs="Arial Narrow"/>
          <w:sz w:val="22"/>
          <w:szCs w:val="24"/>
        </w:rPr>
        <w:t xml:space="preserve">riadenia </w:t>
      </w:r>
      <w:r w:rsidRPr="004E09DA">
        <w:rPr>
          <w:rFonts w:ascii="Arial Narrow" w:hAnsi="Arial Narrow" w:cs="Arial Narrow"/>
          <w:sz w:val="22"/>
          <w:szCs w:val="24"/>
        </w:rPr>
        <w:t>štátneho dlhu SR.</w:t>
      </w:r>
      <w:r>
        <w:rPr>
          <w:rFonts w:ascii="Arial Narrow" w:hAnsi="Arial Narrow" w:cs="Arial Narrow"/>
          <w:sz w:val="22"/>
          <w:szCs w:val="24"/>
        </w:rPr>
        <w:t xml:space="preserve"> Je potrebné konštatovať, že z dôvodu globálnej finančnej krízy nie je možné v potrebnej hodnote a za prijateľných podmienok emitovať štátne dlhopisy so splatnosťou presahujúcou 5 rokov.</w:t>
      </w:r>
      <w:r w:rsidRPr="004E09DA">
        <w:rPr>
          <w:rFonts w:ascii="Arial Narrow" w:hAnsi="Arial Narrow" w:cs="Arial Narrow"/>
          <w:sz w:val="22"/>
          <w:szCs w:val="24"/>
        </w:rPr>
        <w:t xml:space="preserve"> </w:t>
      </w:r>
      <w:r>
        <w:rPr>
          <w:rFonts w:ascii="Arial Narrow" w:hAnsi="Arial Narrow" w:cs="Arial Narrow"/>
          <w:sz w:val="22"/>
          <w:szCs w:val="24"/>
        </w:rPr>
        <w:t xml:space="preserve">Z tohto dôvodu sa postupne zhoršuje štruktúra krytia štátneho dlhu. Ak sa situácia na svetovom a európskom finančnom trhu podstatným spôsobom nezlepší, v roku 2010 nebude možné exaktne dodržiavať stanovené limity refinančného a úrokového rizika. </w:t>
      </w:r>
    </w:p>
    <w:p w:rsidR="000802DE" w:rsidP="000802DE">
      <w:pPr>
        <w:spacing w:after="120"/>
        <w:ind w:firstLine="708"/>
        <w:jc w:val="both"/>
        <w:rPr>
          <w:rFonts w:ascii="Arial Narrow" w:hAnsi="Arial Narrow" w:cs="Arial Narrow"/>
          <w:sz w:val="22"/>
          <w:szCs w:val="24"/>
        </w:rPr>
      </w:pPr>
      <w:r>
        <w:rPr>
          <w:rFonts w:ascii="Arial Narrow" w:hAnsi="Arial Narrow" w:cs="Arial Narrow"/>
          <w:sz w:val="22"/>
          <w:szCs w:val="24"/>
        </w:rPr>
        <w:t xml:space="preserve">V porovnaní s krajinami EÚ má SR jedny z najprísnejších pravidiel riadenia štátneho dlhu. Napriek tomuto faktu, je SR jednou z mála krajín EÚ, ktorá v čase pretrvávajúcej krízy „nezmäkčovala“ kritériá a limity riadenia štátneho dlhu.  </w:t>
      </w:r>
      <w:r w:rsidRPr="004E09DA">
        <w:rPr>
          <w:rFonts w:ascii="Arial Narrow" w:hAnsi="Arial Narrow" w:cs="Arial Narrow"/>
          <w:sz w:val="22"/>
          <w:szCs w:val="24"/>
        </w:rPr>
        <w:t xml:space="preserve">Dôsledné napĺňanie cieľov stratégie prinieslo </w:t>
      </w:r>
      <w:r>
        <w:rPr>
          <w:rFonts w:ascii="Arial Narrow" w:hAnsi="Arial Narrow" w:cs="Arial Narrow"/>
          <w:sz w:val="22"/>
          <w:szCs w:val="24"/>
        </w:rPr>
        <w:t xml:space="preserve">aj </w:t>
      </w:r>
      <w:r w:rsidR="00CD07E2">
        <w:rPr>
          <w:rFonts w:ascii="Arial Narrow" w:hAnsi="Arial Narrow" w:cs="Arial Narrow"/>
          <w:sz w:val="22"/>
          <w:szCs w:val="24"/>
        </w:rPr>
        <w:t xml:space="preserve">v </w:t>
      </w:r>
      <w:r>
        <w:rPr>
          <w:rFonts w:ascii="Arial Narrow" w:hAnsi="Arial Narrow" w:cs="Arial Narrow"/>
          <w:sz w:val="22"/>
          <w:szCs w:val="24"/>
        </w:rPr>
        <w:t xml:space="preserve">roku 2008 </w:t>
      </w:r>
      <w:r w:rsidRPr="004E09DA">
        <w:rPr>
          <w:rFonts w:ascii="Arial Narrow" w:hAnsi="Arial Narrow" w:cs="Arial Narrow"/>
          <w:sz w:val="22"/>
          <w:szCs w:val="24"/>
        </w:rPr>
        <w:t>potrebnú stabilitu do</w:t>
      </w:r>
      <w:r>
        <w:rPr>
          <w:rFonts w:ascii="Arial Narrow" w:hAnsi="Arial Narrow" w:cs="Arial Narrow"/>
          <w:sz w:val="22"/>
          <w:szCs w:val="24"/>
        </w:rPr>
        <w:t xml:space="preserve"> </w:t>
      </w:r>
      <w:r w:rsidRPr="00A86F4E">
        <w:rPr>
          <w:rFonts w:ascii="Arial Narrow" w:hAnsi="Arial Narrow" w:cs="Arial Narrow"/>
          <w:sz w:val="22"/>
          <w:szCs w:val="24"/>
        </w:rPr>
        <w:t xml:space="preserve">rozpočtu </w:t>
      </w:r>
      <w:r>
        <w:rPr>
          <w:rFonts w:ascii="Arial Narrow" w:hAnsi="Arial Narrow" w:cs="Arial Narrow"/>
          <w:sz w:val="22"/>
          <w:szCs w:val="24"/>
        </w:rPr>
        <w:t>š</w:t>
      </w:r>
      <w:r w:rsidRPr="00A86F4E">
        <w:rPr>
          <w:rFonts w:ascii="Arial Narrow" w:hAnsi="Arial Narrow" w:cs="Arial Narrow"/>
          <w:sz w:val="22"/>
          <w:szCs w:val="24"/>
        </w:rPr>
        <w:t>tátn</w:t>
      </w:r>
      <w:r>
        <w:rPr>
          <w:rFonts w:ascii="Arial Narrow" w:hAnsi="Arial Narrow" w:cs="Arial Narrow"/>
          <w:sz w:val="22"/>
          <w:szCs w:val="24"/>
        </w:rPr>
        <w:t>eho</w:t>
      </w:r>
      <w:r w:rsidRPr="00A86F4E">
        <w:rPr>
          <w:rFonts w:ascii="Arial Narrow" w:hAnsi="Arial Narrow" w:cs="Arial Narrow"/>
          <w:sz w:val="22"/>
          <w:szCs w:val="24"/>
        </w:rPr>
        <w:t xml:space="preserve"> dlh</w:t>
      </w:r>
      <w:r>
        <w:rPr>
          <w:rFonts w:ascii="Arial Narrow" w:hAnsi="Arial Narrow" w:cs="Arial Narrow"/>
          <w:sz w:val="22"/>
          <w:szCs w:val="24"/>
        </w:rPr>
        <w:t>u</w:t>
      </w:r>
      <w:r w:rsidRPr="004E09DA">
        <w:rPr>
          <w:rFonts w:ascii="Arial Narrow" w:hAnsi="Arial Narrow" w:cs="Arial Narrow"/>
          <w:sz w:val="22"/>
          <w:szCs w:val="24"/>
        </w:rPr>
        <w:t xml:space="preserve"> a spolu s vhodnou emisnou politikou významné úspory v štátnom rozpočte. </w:t>
      </w:r>
      <w:r>
        <w:rPr>
          <w:rFonts w:ascii="Arial Narrow" w:hAnsi="Arial Narrow" w:cs="Arial Narrow"/>
          <w:sz w:val="22"/>
          <w:szCs w:val="24"/>
        </w:rPr>
        <w:t xml:space="preserve">Prípadné prehodnotenie spôsobu riadenia štátneho dlhu bude vhodné stanoviť až v „Stratégii riadenia štátneho dlhu na roky 2010 až 2014“ po parlamentných voľbách v roku 2010 v súlade s novým programovým vyhlásením vlády SR. </w:t>
      </w:r>
    </w:p>
    <w:p w:rsidR="000802DE" w:rsidP="000802DE">
      <w:pPr>
        <w:spacing w:after="120"/>
        <w:ind w:firstLine="708"/>
        <w:jc w:val="both"/>
        <w:rPr>
          <w:rFonts w:ascii="Arial Narrow" w:hAnsi="Arial Narrow" w:cs="Arial Narrow"/>
          <w:sz w:val="22"/>
          <w:szCs w:val="24"/>
        </w:rPr>
      </w:pPr>
      <w:r w:rsidRPr="004E09DA">
        <w:rPr>
          <w:rFonts w:ascii="Arial Narrow" w:hAnsi="Arial Narrow" w:cs="Arial Narrow"/>
          <w:sz w:val="22"/>
          <w:szCs w:val="24"/>
        </w:rPr>
        <w:t xml:space="preserve">Riadenie krytia štátneho dlhu prostredníctvom sledovania, riadenia a vyhodnocovania trhových finančných rizík podľa schválenej stratégie zabránilo </w:t>
      </w:r>
      <w:r>
        <w:rPr>
          <w:rFonts w:ascii="Arial Narrow" w:hAnsi="Arial Narrow" w:cs="Arial Narrow"/>
          <w:sz w:val="22"/>
          <w:szCs w:val="24"/>
        </w:rPr>
        <w:t xml:space="preserve">aj </w:t>
      </w:r>
      <w:r w:rsidR="00CD07E2">
        <w:rPr>
          <w:rFonts w:ascii="Arial Narrow" w:hAnsi="Arial Narrow" w:cs="Arial Narrow"/>
          <w:sz w:val="22"/>
          <w:szCs w:val="24"/>
        </w:rPr>
        <w:t xml:space="preserve">v </w:t>
      </w:r>
      <w:r>
        <w:rPr>
          <w:rFonts w:ascii="Arial Narrow" w:hAnsi="Arial Narrow" w:cs="Arial Narrow"/>
          <w:sz w:val="22"/>
          <w:szCs w:val="24"/>
        </w:rPr>
        <w:t xml:space="preserve">roku 2008 </w:t>
      </w:r>
      <w:r w:rsidRPr="004E09DA">
        <w:rPr>
          <w:rFonts w:ascii="Arial Narrow" w:hAnsi="Arial Narrow" w:cs="Arial Narrow"/>
          <w:sz w:val="22"/>
          <w:szCs w:val="24"/>
        </w:rPr>
        <w:t>dodatočným výdavkom štátneho rozpočtu v súvislosti s globálnou finančnou krízou na úrovni niekoľkých miliárd slovenských korún. Zhoršené podmienky na svetových finančných trhoch pretrvávajúce od augusta 2007 mali na rozdiel od iných porovnateľných krajín na výdavky štátneho rozpočtu v roku 200</w:t>
      </w:r>
      <w:r>
        <w:rPr>
          <w:rFonts w:ascii="Arial Narrow" w:hAnsi="Arial Narrow" w:cs="Arial Narrow"/>
          <w:sz w:val="22"/>
          <w:szCs w:val="24"/>
        </w:rPr>
        <w:t>8</w:t>
      </w:r>
      <w:r w:rsidRPr="004E09DA">
        <w:rPr>
          <w:rFonts w:ascii="Arial Narrow" w:hAnsi="Arial Narrow" w:cs="Arial Narrow"/>
          <w:sz w:val="22"/>
          <w:szCs w:val="24"/>
        </w:rPr>
        <w:t xml:space="preserve"> minimálny vplyv.</w:t>
      </w:r>
      <w:r>
        <w:rPr>
          <w:rFonts w:ascii="Arial Narrow" w:hAnsi="Arial Narrow" w:cs="Arial Narrow"/>
          <w:sz w:val="22"/>
          <w:szCs w:val="24"/>
        </w:rPr>
        <w:t xml:space="preserve"> </w:t>
      </w:r>
    </w:p>
    <w:p w:rsidR="000802DE" w:rsidRPr="00630C2F" w:rsidP="000802DE">
      <w:pPr>
        <w:spacing w:after="120"/>
        <w:ind w:firstLine="708"/>
        <w:jc w:val="both"/>
        <w:rPr>
          <w:rFonts w:ascii="Arial Narrow" w:hAnsi="Arial Narrow" w:cs="Arial Narrow"/>
          <w:sz w:val="22"/>
          <w:szCs w:val="24"/>
        </w:rPr>
      </w:pPr>
      <w:r w:rsidRPr="001E53C8">
        <w:rPr>
          <w:rFonts w:ascii="Arial Narrow" w:hAnsi="Arial Narrow" w:cs="Arial Narrow"/>
          <w:sz w:val="22"/>
          <w:szCs w:val="24"/>
        </w:rPr>
        <w:t xml:space="preserve">Dokument je rozdelený do </w:t>
      </w:r>
      <w:r>
        <w:rPr>
          <w:rFonts w:ascii="Arial Narrow" w:hAnsi="Arial Narrow" w:cs="Arial Narrow"/>
          <w:sz w:val="22"/>
          <w:szCs w:val="24"/>
        </w:rPr>
        <w:t>štyroch</w:t>
      </w:r>
      <w:r w:rsidRPr="001E53C8">
        <w:rPr>
          <w:rFonts w:ascii="Arial Narrow" w:hAnsi="Arial Narrow" w:cs="Arial Narrow"/>
          <w:sz w:val="22"/>
          <w:szCs w:val="24"/>
        </w:rPr>
        <w:t xml:space="preserve"> kapitol. V prvej kapitole je zobrazená štruktúra a vývoj </w:t>
      </w:r>
      <w:r>
        <w:rPr>
          <w:rFonts w:ascii="Arial Narrow" w:hAnsi="Arial Narrow" w:cs="Arial Narrow"/>
          <w:sz w:val="22"/>
          <w:szCs w:val="24"/>
        </w:rPr>
        <w:t>štátneho a verejného dlhu</w:t>
      </w:r>
      <w:r w:rsidRPr="001E53C8">
        <w:rPr>
          <w:rFonts w:ascii="Arial Narrow" w:hAnsi="Arial Narrow" w:cs="Arial Narrow"/>
          <w:sz w:val="22"/>
          <w:szCs w:val="24"/>
        </w:rPr>
        <w:t>. V druhej kapitole sú jednotlivo vyhodnotené ciele, ktoré boli špecifikované v Stratégii riadenia štátneho dlhu pre roky 2007 až 2010. Z časového hľadiska sa hodnotenie zameralo na vývoj v roku 2008, prípadne v prv</w:t>
      </w:r>
      <w:r>
        <w:rPr>
          <w:rFonts w:ascii="Arial Narrow" w:hAnsi="Arial Narrow" w:cs="Arial Narrow"/>
          <w:sz w:val="22"/>
          <w:szCs w:val="24"/>
        </w:rPr>
        <w:t>om</w:t>
      </w:r>
      <w:r w:rsidRPr="001E53C8">
        <w:rPr>
          <w:rFonts w:ascii="Arial Narrow" w:hAnsi="Arial Narrow" w:cs="Arial Narrow"/>
          <w:sz w:val="22"/>
          <w:szCs w:val="24"/>
        </w:rPr>
        <w:t xml:space="preserve"> </w:t>
      </w:r>
      <w:r>
        <w:rPr>
          <w:rFonts w:ascii="Arial Narrow" w:hAnsi="Arial Narrow" w:cs="Arial Narrow"/>
          <w:sz w:val="22"/>
          <w:szCs w:val="24"/>
        </w:rPr>
        <w:t>polroku</w:t>
      </w:r>
      <w:r w:rsidRPr="001E53C8">
        <w:rPr>
          <w:rFonts w:ascii="Arial Narrow" w:hAnsi="Arial Narrow" w:cs="Arial Narrow"/>
          <w:sz w:val="22"/>
          <w:szCs w:val="24"/>
        </w:rPr>
        <w:t xml:space="preserve"> 2009. Tretia kapitola popisuje makroekonomický a fiškálny vývoj v hlavných svetových ekonomikách (USA, eurozóna) a na Slovensku, najmä s prihliadnutím na vývoj na finančnom trhu. Najdôležitejšou udalosťou, ktorá zásadne ovplyvňuje svetovú ekonomiku, je globálna hospodárska a finančná kríza, ktorej je v rámci tejto kapitoly venovaná jedna časť. Súčasťou tretej kapitoly je aj fiškálny výhľad Slovenska</w:t>
      </w:r>
      <w:r>
        <w:rPr>
          <w:rFonts w:ascii="Arial Narrow" w:hAnsi="Arial Narrow" w:cs="Arial Narrow"/>
          <w:sz w:val="22"/>
          <w:szCs w:val="24"/>
        </w:rPr>
        <w:t xml:space="preserve"> a vplyv vstupu do eurozóny na riadenie štátneho dlhu</w:t>
      </w:r>
      <w:r w:rsidRPr="001E53C8">
        <w:rPr>
          <w:rFonts w:ascii="Arial Narrow" w:hAnsi="Arial Narrow" w:cs="Arial Narrow"/>
          <w:sz w:val="22"/>
          <w:szCs w:val="24"/>
        </w:rPr>
        <w:t xml:space="preserve">. Štvrtá kapitola obsahuje pohľad na financovanie štátneho dlhu </w:t>
      </w:r>
      <w:r>
        <w:rPr>
          <w:rFonts w:ascii="Arial Narrow" w:hAnsi="Arial Narrow" w:cs="Arial Narrow"/>
          <w:sz w:val="22"/>
          <w:szCs w:val="24"/>
        </w:rPr>
        <w:t>v horizonte nasledujúcich rokov</w:t>
      </w:r>
      <w:r w:rsidRPr="001E53C8">
        <w:rPr>
          <w:rFonts w:ascii="Arial Narrow" w:hAnsi="Arial Narrow" w:cs="Arial Narrow"/>
          <w:sz w:val="22"/>
          <w:szCs w:val="24"/>
        </w:rPr>
        <w:t>. Zámery, ciele a parametre v Stratégii riadenia štátneho dlhu 2007 až 2010 boli nastavené správne a pre obdobie rokov 2008 až 2010 nie je potrebná zásadnejšia zmena v riadení</w:t>
      </w:r>
      <w:r>
        <w:rPr>
          <w:rFonts w:ascii="Arial Narrow" w:hAnsi="Arial Narrow" w:cs="Arial Narrow"/>
          <w:sz w:val="22"/>
          <w:szCs w:val="24"/>
        </w:rPr>
        <w:t xml:space="preserve"> štátneho dlhu.</w:t>
      </w:r>
    </w:p>
    <w:p w:rsidR="000802DE" w:rsidRPr="00FC2264" w:rsidP="000802DE">
      <w:pPr>
        <w:pStyle w:val="Heading1"/>
        <w:numPr>
          <w:numId w:val="2"/>
        </w:numPr>
        <w:spacing w:before="0"/>
        <w:ind w:left="357" w:hanging="357"/>
        <w:rPr>
          <w:rFonts w:ascii="Arial Narrow" w:hAnsi="Arial Narrow" w:cs="Arial Narrow"/>
          <w:sz w:val="24"/>
          <w:szCs w:val="24"/>
        </w:rPr>
      </w:pPr>
      <w:r w:rsidRPr="00630C2F">
        <w:rPr>
          <w:szCs w:val="24"/>
        </w:rPr>
        <w:br w:type="page"/>
      </w:r>
      <w:bookmarkStart w:id="1" w:name="_Toc235596850"/>
      <w:r w:rsidRPr="00FC2264">
        <w:rPr>
          <w:rFonts w:ascii="Arial Narrow" w:hAnsi="Arial Narrow" w:cs="Arial Narrow"/>
          <w:sz w:val="24"/>
          <w:szCs w:val="24"/>
        </w:rPr>
        <w:t>Štruktúra štátneho a verejného dlhu SR</w:t>
      </w:r>
      <w:bookmarkEnd w:id="1"/>
    </w:p>
    <w:p w:rsidR="000802DE" w:rsidRPr="0036016A" w:rsidP="000802DE">
      <w:pPr>
        <w:autoSpaceDE w:val="0"/>
        <w:autoSpaceDN w:val="0"/>
        <w:adjustRightInd w:val="0"/>
        <w:ind w:firstLine="708"/>
        <w:jc w:val="both"/>
        <w:rPr>
          <w:rFonts w:ascii="Arial Narrow" w:hAnsi="Arial Narrow" w:cs="Arial Narrow"/>
          <w:sz w:val="22"/>
          <w:szCs w:val="24"/>
        </w:rPr>
      </w:pPr>
      <w:r w:rsidRPr="0036016A">
        <w:rPr>
          <w:rFonts w:ascii="Arial Narrow" w:hAnsi="Arial Narrow" w:cs="Arial Narrow"/>
          <w:sz w:val="22"/>
          <w:szCs w:val="24"/>
        </w:rPr>
        <w:t xml:space="preserve">Štátny dlh ku koncu roka 2008 dosiahol 17,7 mld. </w:t>
      </w:r>
      <w:r w:rsidR="003A17C7">
        <w:rPr>
          <w:rFonts w:ascii="Arial Narrow" w:hAnsi="Arial Narrow" w:cs="Arial Narrow"/>
          <w:sz w:val="22"/>
          <w:szCs w:val="24"/>
        </w:rPr>
        <w:t>eur</w:t>
      </w:r>
      <w:r w:rsidRPr="0036016A">
        <w:rPr>
          <w:rFonts w:ascii="Arial Narrow" w:hAnsi="Arial Narrow" w:cs="Arial Narrow"/>
          <w:sz w:val="22"/>
          <w:szCs w:val="24"/>
        </w:rPr>
        <w:t>, čo predstavovalo 26</w:t>
      </w:r>
      <w:r>
        <w:rPr>
          <w:rFonts w:ascii="Arial Narrow" w:hAnsi="Arial Narrow" w:cs="Arial Narrow"/>
          <w:sz w:val="22"/>
          <w:szCs w:val="24"/>
        </w:rPr>
        <w:t xml:space="preserve"> </w:t>
      </w:r>
      <w:r w:rsidRPr="0036016A">
        <w:rPr>
          <w:rFonts w:ascii="Arial Narrow" w:hAnsi="Arial Narrow" w:cs="Arial Narrow"/>
          <w:sz w:val="22"/>
          <w:szCs w:val="24"/>
        </w:rPr>
        <w:t>% z HDP. Z toho až 94</w:t>
      </w:r>
      <w:r>
        <w:rPr>
          <w:rFonts w:ascii="Arial Narrow" w:hAnsi="Arial Narrow" w:cs="Arial Narrow"/>
          <w:sz w:val="22"/>
          <w:szCs w:val="24"/>
        </w:rPr>
        <w:t xml:space="preserve"> </w:t>
      </w:r>
      <w:r w:rsidRPr="0036016A">
        <w:rPr>
          <w:rFonts w:ascii="Arial Narrow" w:hAnsi="Arial Narrow" w:cs="Arial Narrow"/>
          <w:sz w:val="22"/>
          <w:szCs w:val="24"/>
        </w:rPr>
        <w:t xml:space="preserve">% tvorili emitované cenné papiere. Podiel úverov na štátnom dlhu </w:t>
      </w:r>
      <w:r>
        <w:rPr>
          <w:rFonts w:ascii="Arial Narrow" w:hAnsi="Arial Narrow" w:cs="Arial Narrow"/>
          <w:sz w:val="22"/>
          <w:szCs w:val="24"/>
        </w:rPr>
        <w:t>predstavoval</w:t>
      </w:r>
      <w:r w:rsidRPr="0036016A">
        <w:rPr>
          <w:rFonts w:ascii="Arial Narrow" w:hAnsi="Arial Narrow" w:cs="Arial Narrow"/>
          <w:sz w:val="22"/>
          <w:szCs w:val="24"/>
        </w:rPr>
        <w:t xml:space="preserve"> iba 6</w:t>
      </w:r>
      <w:r>
        <w:rPr>
          <w:rFonts w:ascii="Arial Narrow" w:hAnsi="Arial Narrow" w:cs="Arial Narrow"/>
          <w:sz w:val="22"/>
          <w:szCs w:val="24"/>
        </w:rPr>
        <w:t xml:space="preserve"> </w:t>
      </w:r>
      <w:r w:rsidRPr="0036016A">
        <w:rPr>
          <w:rFonts w:ascii="Arial Narrow" w:hAnsi="Arial Narrow" w:cs="Arial Narrow"/>
          <w:sz w:val="22"/>
          <w:szCs w:val="24"/>
        </w:rPr>
        <w:t>%. Z menového hľadiska bol štátny dlh do konca roku 2008 denominovaný prevažne v slovenských korunách a v eurách. Od prijatia eura je podiel dlhu denominovaného v domácej mene až 99,5</w:t>
      </w:r>
      <w:r>
        <w:rPr>
          <w:rFonts w:ascii="Arial Narrow" w:hAnsi="Arial Narrow" w:cs="Arial Narrow"/>
          <w:sz w:val="22"/>
          <w:szCs w:val="24"/>
        </w:rPr>
        <w:t xml:space="preserve"> </w:t>
      </w:r>
      <w:r w:rsidRPr="0036016A">
        <w:rPr>
          <w:rFonts w:ascii="Arial Narrow" w:hAnsi="Arial Narrow" w:cs="Arial Narrow"/>
          <w:sz w:val="22"/>
          <w:szCs w:val="24"/>
        </w:rPr>
        <w:t xml:space="preserve">%. Podiel ostatných mien bol zanedbateľný a kumulatívne nepresiahol 0,5 %. </w:t>
      </w:r>
    </w:p>
    <w:p w:rsidR="000802DE" w:rsidRPr="0036016A" w:rsidP="000802DE">
      <w:pPr>
        <w:autoSpaceDE w:val="0"/>
        <w:autoSpaceDN w:val="0"/>
        <w:adjustRightInd w:val="0"/>
        <w:jc w:val="both"/>
        <w:rPr>
          <w:rFonts w:ascii="Arial Narrow" w:hAnsi="Arial Narrow" w:cs="Arial Narrow"/>
          <w:sz w:val="22"/>
          <w:szCs w:val="24"/>
        </w:rPr>
      </w:pPr>
    </w:p>
    <w:tbl>
      <w:tblPr>
        <w:tblStyle w:val="TableNormal"/>
        <w:tblW w:w="9026" w:type="dxa"/>
        <w:jc w:val="center"/>
        <w:tblInd w:w="0" w:type="dxa"/>
        <w:tblCellMar>
          <w:left w:w="70" w:type="dxa"/>
          <w:right w:w="70" w:type="dxa"/>
        </w:tblCellMar>
      </w:tblPr>
      <w:tblGrid>
        <w:gridCol w:w="1929"/>
        <w:gridCol w:w="1470"/>
        <w:gridCol w:w="1470"/>
        <w:gridCol w:w="1460"/>
        <w:gridCol w:w="1382"/>
        <w:gridCol w:w="1315"/>
      </w:tblGrid>
      <w:tr>
        <w:tblPrEx>
          <w:tblW w:w="9026" w:type="dxa"/>
          <w:jc w:val="center"/>
          <w:tblInd w:w="0" w:type="dxa"/>
          <w:tblCellMar>
            <w:left w:w="70" w:type="dxa"/>
            <w:right w:w="70" w:type="dxa"/>
          </w:tblCellMar>
        </w:tblPrEx>
        <w:trPr>
          <w:trHeight w:val="255"/>
          <w:jc w:val="center"/>
        </w:trPr>
        <w:tc>
          <w:tcPr>
            <w:tcW w:w="9026" w:type="dxa"/>
            <w:gridSpan w:val="6"/>
            <w:tcBorders>
              <w:top w:val="nil"/>
              <w:left w:val="nil"/>
              <w:bottom w:val="nil"/>
              <w:right w:val="nil"/>
            </w:tcBorders>
            <w:shd w:val="clear" w:color="auto" w:fill="000000"/>
            <w:noWrap/>
            <w:textDirection w:val="lrTb"/>
            <w:vAlign w:val="bottom"/>
          </w:tcPr>
          <w:p w:rsidR="000802DE" w:rsidRPr="001E53C8" w:rsidP="007139CD">
            <w:pPr>
              <w:rPr>
                <w:rFonts w:ascii="Arial" w:hAnsi="Arial" w:cs="Arial"/>
                <w:b/>
                <w:color w:val="FFFFFF"/>
                <w:sz w:val="20"/>
                <w:szCs w:val="24"/>
              </w:rPr>
            </w:pPr>
            <w:r w:rsidRPr="001E53C8">
              <w:rPr>
                <w:rFonts w:ascii="Arial" w:hAnsi="Arial" w:cs="Arial"/>
                <w:b/>
                <w:color w:val="FFFFFF"/>
                <w:sz w:val="20"/>
                <w:szCs w:val="24"/>
              </w:rPr>
              <w:t>Štruktúra štátneho dlhu v menovitej hodnote a štátny dlh z menového hľadiska</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Položka</w:t>
            </w:r>
          </w:p>
        </w:tc>
        <w:tc>
          <w:tcPr>
            <w:tcW w:w="147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Stav v mil. €</w:t>
            </w:r>
          </w:p>
        </w:tc>
        <w:tc>
          <w:tcPr>
            <w:tcW w:w="147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Stav v mil. €</w:t>
            </w:r>
          </w:p>
        </w:tc>
        <w:tc>
          <w:tcPr>
            <w:tcW w:w="146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Stav v mil. €</w:t>
            </w:r>
          </w:p>
        </w:tc>
        <w:tc>
          <w:tcPr>
            <w:tcW w:w="1382"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 z HDP</w:t>
            </w:r>
          </w:p>
        </w:tc>
        <w:tc>
          <w:tcPr>
            <w:tcW w:w="1315"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 z celku</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 Stav k:</w:t>
            </w:r>
          </w:p>
        </w:tc>
        <w:tc>
          <w:tcPr>
            <w:tcW w:w="147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k 31.12.2006</w:t>
            </w:r>
          </w:p>
        </w:tc>
        <w:tc>
          <w:tcPr>
            <w:tcW w:w="147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k 31.12.2007</w:t>
            </w:r>
          </w:p>
        </w:tc>
        <w:tc>
          <w:tcPr>
            <w:tcW w:w="1460"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k 31.12.2008</w:t>
            </w:r>
          </w:p>
        </w:tc>
        <w:tc>
          <w:tcPr>
            <w:tcW w:w="1382"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Pr>
                <w:rFonts w:ascii="Arial" w:hAnsi="Arial" w:cs="Arial"/>
                <w:b/>
                <w:sz w:val="20"/>
                <w:szCs w:val="24"/>
              </w:rPr>
              <w:t xml:space="preserve">k </w:t>
            </w:r>
            <w:r w:rsidRPr="001E53C8">
              <w:rPr>
                <w:rFonts w:ascii="Arial" w:hAnsi="Arial" w:cs="Arial"/>
                <w:b/>
                <w:sz w:val="20"/>
                <w:szCs w:val="24"/>
              </w:rPr>
              <w:t>31.12.2008</w:t>
            </w:r>
          </w:p>
        </w:tc>
        <w:tc>
          <w:tcPr>
            <w:tcW w:w="1315" w:type="dxa"/>
            <w:tcBorders>
              <w:top w:val="nil"/>
              <w:left w:val="nil"/>
              <w:bottom w:val="nil"/>
              <w:right w:val="nil"/>
            </w:tcBorders>
            <w:shd w:val="clear" w:color="auto" w:fill="C0C0C0"/>
            <w:noWrap/>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k 31.12.2008</w:t>
            </w:r>
          </w:p>
        </w:tc>
      </w:tr>
      <w:tr>
        <w:tblPrEx>
          <w:tblW w:w="9026" w:type="dxa"/>
          <w:jc w:val="center"/>
          <w:tblInd w:w="0" w:type="dxa"/>
          <w:tblCellMar>
            <w:left w:w="70" w:type="dxa"/>
            <w:right w:w="70" w:type="dxa"/>
          </w:tblCellMar>
        </w:tblPrEx>
        <w:trPr>
          <w:trHeight w:val="525"/>
          <w:jc w:val="center"/>
        </w:trPr>
        <w:tc>
          <w:tcPr>
            <w:tcW w:w="1929" w:type="dxa"/>
            <w:tcBorders>
              <w:top w:val="nil"/>
              <w:left w:val="nil"/>
              <w:bottom w:val="nil"/>
              <w:right w:val="nil"/>
            </w:tcBorders>
            <w:textDirection w:val="lrTb"/>
            <w:vAlign w:val="bottom"/>
          </w:tcPr>
          <w:p w:rsidR="000802DE" w:rsidRPr="001E53C8" w:rsidP="007139CD">
            <w:pPr>
              <w:rPr>
                <w:rFonts w:ascii="Arial" w:hAnsi="Arial" w:cs="Arial"/>
                <w:b/>
                <w:sz w:val="20"/>
                <w:szCs w:val="24"/>
              </w:rPr>
            </w:pPr>
            <w:r w:rsidRPr="001E53C8">
              <w:rPr>
                <w:rFonts w:ascii="Arial" w:hAnsi="Arial" w:cs="Arial"/>
                <w:b/>
                <w:sz w:val="20"/>
                <w:szCs w:val="24"/>
              </w:rPr>
              <w:t>Štátny dlh v menovitej hodnote</w:t>
            </w:r>
          </w:p>
        </w:tc>
        <w:tc>
          <w:tcPr>
            <w:tcW w:w="1470" w:type="dxa"/>
            <w:tcBorders>
              <w:top w:val="nil"/>
              <w:left w:val="nil"/>
              <w:bottom w:val="nil"/>
              <w:right w:val="nil"/>
            </w:tcBorders>
            <w:noWrap/>
            <w:textDirection w:val="lrTb"/>
            <w:vAlign w:val="bottom"/>
          </w:tcPr>
          <w:p w:rsidR="000802DE" w:rsidP="007139CD">
            <w:pPr>
              <w:jc w:val="right"/>
              <w:rPr>
                <w:rFonts w:ascii="Arial" w:hAnsi="Arial" w:cs="Arial"/>
                <w:b/>
                <w:sz w:val="20"/>
                <w:szCs w:val="24"/>
              </w:rPr>
            </w:pPr>
            <w:r>
              <w:rPr>
                <w:rFonts w:ascii="Arial" w:hAnsi="Arial" w:cs="Arial"/>
                <w:b/>
                <w:sz w:val="20"/>
                <w:szCs w:val="24"/>
              </w:rPr>
              <w:t>16 098</w:t>
            </w:r>
          </w:p>
        </w:tc>
        <w:tc>
          <w:tcPr>
            <w:tcW w:w="1470" w:type="dxa"/>
            <w:tcBorders>
              <w:top w:val="nil"/>
              <w:left w:val="nil"/>
              <w:bottom w:val="nil"/>
              <w:right w:val="nil"/>
            </w:tcBorders>
            <w:noWrap/>
            <w:textDirection w:val="lrTb"/>
            <w:vAlign w:val="bottom"/>
          </w:tcPr>
          <w:p w:rsidR="000802DE" w:rsidP="007139CD">
            <w:pPr>
              <w:jc w:val="right"/>
              <w:rPr>
                <w:rFonts w:ascii="Arial" w:hAnsi="Arial" w:cs="Arial"/>
                <w:b/>
                <w:sz w:val="20"/>
                <w:szCs w:val="24"/>
              </w:rPr>
            </w:pPr>
            <w:r>
              <w:rPr>
                <w:rFonts w:ascii="Arial" w:hAnsi="Arial" w:cs="Arial"/>
                <w:b/>
                <w:sz w:val="20"/>
                <w:szCs w:val="24"/>
              </w:rPr>
              <w:t>17 302</w:t>
            </w:r>
          </w:p>
        </w:tc>
        <w:tc>
          <w:tcPr>
            <w:tcW w:w="1460" w:type="dxa"/>
            <w:tcBorders>
              <w:top w:val="nil"/>
              <w:left w:val="nil"/>
              <w:bottom w:val="nil"/>
              <w:right w:val="nil"/>
            </w:tcBorders>
            <w:noWrap/>
            <w:textDirection w:val="lrTb"/>
            <w:vAlign w:val="bottom"/>
          </w:tcPr>
          <w:p w:rsidR="000802DE" w:rsidP="007139CD">
            <w:pPr>
              <w:jc w:val="right"/>
              <w:rPr>
                <w:rFonts w:ascii="Arial" w:hAnsi="Arial" w:cs="Arial"/>
                <w:b/>
                <w:sz w:val="20"/>
                <w:szCs w:val="24"/>
              </w:rPr>
            </w:pPr>
            <w:r>
              <w:rPr>
                <w:rFonts w:ascii="Arial" w:hAnsi="Arial" w:cs="Arial"/>
                <w:b/>
                <w:sz w:val="20"/>
                <w:szCs w:val="24"/>
              </w:rPr>
              <w:t>17 651</w:t>
            </w:r>
          </w:p>
        </w:tc>
        <w:tc>
          <w:tcPr>
            <w:tcW w:w="1382" w:type="dxa"/>
            <w:tcBorders>
              <w:top w:val="nil"/>
              <w:left w:val="nil"/>
              <w:bottom w:val="nil"/>
              <w:right w:val="nil"/>
            </w:tcBorders>
            <w:noWrap/>
            <w:textDirection w:val="lrTb"/>
            <w:vAlign w:val="bottom"/>
          </w:tcPr>
          <w:p w:rsidR="000802DE" w:rsidP="007139CD">
            <w:pPr>
              <w:jc w:val="right"/>
              <w:rPr>
                <w:rFonts w:ascii="Arial" w:hAnsi="Arial" w:cs="Arial"/>
                <w:sz w:val="20"/>
                <w:szCs w:val="24"/>
              </w:rPr>
            </w:pPr>
            <w:r>
              <w:rPr>
                <w:rFonts w:ascii="Arial" w:hAnsi="Arial" w:cs="Arial"/>
                <w:sz w:val="20"/>
                <w:szCs w:val="24"/>
              </w:rPr>
              <w:t>26,2</w:t>
            </w:r>
          </w:p>
        </w:tc>
        <w:tc>
          <w:tcPr>
            <w:tcW w:w="1315" w:type="dxa"/>
            <w:tcBorders>
              <w:top w:val="nil"/>
              <w:left w:val="nil"/>
              <w:bottom w:val="nil"/>
              <w:right w:val="nil"/>
            </w:tcBorders>
            <w:noWrap/>
            <w:textDirection w:val="lrTb"/>
            <w:vAlign w:val="bottom"/>
          </w:tcPr>
          <w:p w:rsidR="000802DE" w:rsidP="007139CD">
            <w:pPr>
              <w:jc w:val="right"/>
              <w:rPr>
                <w:rFonts w:ascii="Arial" w:hAnsi="Arial" w:cs="Arial"/>
                <w:sz w:val="20"/>
                <w:szCs w:val="24"/>
              </w:rPr>
            </w:pPr>
            <w:r>
              <w:rPr>
                <w:rFonts w:ascii="Arial" w:hAnsi="Arial" w:cs="Arial"/>
                <w:sz w:val="20"/>
                <w:szCs w:val="24"/>
              </w:rPr>
              <w:t>100,0</w:t>
            </w:r>
          </w:p>
        </w:tc>
      </w:tr>
      <w:tr>
        <w:tblPrEx>
          <w:tblW w:w="9026" w:type="dxa"/>
          <w:jc w:val="center"/>
          <w:tblInd w:w="0" w:type="dxa"/>
          <w:tblCellMar>
            <w:left w:w="70" w:type="dxa"/>
            <w:right w:w="70" w:type="dxa"/>
          </w:tblCellMar>
        </w:tblPrEx>
        <w:trPr>
          <w:trHeight w:val="255"/>
          <w:jc w:val="center"/>
        </w:trPr>
        <w:tc>
          <w:tcPr>
            <w:tcW w:w="1929" w:type="dxa"/>
            <w:tcBorders>
              <w:top w:val="single" w:sz="8" w:space="0" w:color="auto"/>
              <w:left w:val="nil"/>
              <w:bottom w:val="nil"/>
              <w:right w:val="nil"/>
            </w:tcBorders>
            <w:noWrap/>
            <w:textDirection w:val="lrTb"/>
            <w:vAlign w:val="bottom"/>
          </w:tcPr>
          <w:p w:rsidR="000802DE" w:rsidRPr="001E53C8" w:rsidP="007139CD">
            <w:pPr>
              <w:rPr>
                <w:rFonts w:ascii="Arial" w:hAnsi="Arial" w:cs="Arial"/>
                <w:sz w:val="20"/>
                <w:szCs w:val="24"/>
              </w:rPr>
            </w:pPr>
            <w:r w:rsidRPr="001E53C8">
              <w:rPr>
                <w:rFonts w:ascii="Arial" w:hAnsi="Arial" w:cs="Arial"/>
                <w:sz w:val="20"/>
                <w:szCs w:val="24"/>
              </w:rPr>
              <w:t>Cenné papiere</w:t>
            </w:r>
          </w:p>
        </w:tc>
        <w:tc>
          <w:tcPr>
            <w:tcW w:w="1470" w:type="dxa"/>
            <w:tcBorders>
              <w:top w:val="single" w:sz="8" w:space="0" w:color="auto"/>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14 486</w:t>
            </w:r>
          </w:p>
        </w:tc>
        <w:tc>
          <w:tcPr>
            <w:tcW w:w="1470" w:type="dxa"/>
            <w:tcBorders>
              <w:top w:val="single" w:sz="8" w:space="0" w:color="auto"/>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16 104</w:t>
            </w:r>
          </w:p>
        </w:tc>
        <w:tc>
          <w:tcPr>
            <w:tcW w:w="1460" w:type="dxa"/>
            <w:tcBorders>
              <w:top w:val="single" w:sz="8" w:space="0" w:color="auto"/>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16 614</w:t>
            </w:r>
          </w:p>
        </w:tc>
        <w:tc>
          <w:tcPr>
            <w:tcW w:w="1382" w:type="dxa"/>
            <w:tcBorders>
              <w:top w:val="single" w:sz="8" w:space="0" w:color="auto"/>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24,</w:t>
            </w:r>
            <w:r>
              <w:rPr>
                <w:rFonts w:ascii="Arial" w:hAnsi="Arial" w:cs="Arial"/>
                <w:sz w:val="20"/>
                <w:szCs w:val="24"/>
              </w:rPr>
              <w:t>7</w:t>
            </w:r>
          </w:p>
        </w:tc>
        <w:tc>
          <w:tcPr>
            <w:tcW w:w="1315" w:type="dxa"/>
            <w:tcBorders>
              <w:top w:val="single" w:sz="8" w:space="0" w:color="auto"/>
              <w:left w:val="nil"/>
              <w:bottom w:val="nil"/>
              <w:right w:val="nil"/>
            </w:tcBorders>
            <w:noWrap/>
            <w:textDirection w:val="lrTb"/>
            <w:vAlign w:val="bottom"/>
          </w:tcPr>
          <w:p w:rsidR="000802DE" w:rsidRPr="001E53C8" w:rsidP="007139CD">
            <w:pPr>
              <w:jc w:val="right"/>
              <w:rPr>
                <w:rFonts w:ascii="Arial" w:hAnsi="Arial" w:cs="Arial"/>
                <w:sz w:val="20"/>
                <w:szCs w:val="24"/>
              </w:rPr>
            </w:pPr>
            <w:r>
              <w:rPr>
                <w:rFonts w:ascii="Arial" w:hAnsi="Arial" w:cs="Arial"/>
                <w:sz w:val="20"/>
                <w:szCs w:val="24"/>
              </w:rPr>
              <w:t>94,1</w:t>
            </w:r>
          </w:p>
        </w:tc>
      </w:tr>
      <w:tr>
        <w:tblPrEx>
          <w:tblW w:w="9026" w:type="dxa"/>
          <w:jc w:val="center"/>
          <w:tblInd w:w="0" w:type="dxa"/>
          <w:tblCellMar>
            <w:left w:w="70" w:type="dxa"/>
            <w:right w:w="70" w:type="dxa"/>
          </w:tblCellMar>
        </w:tblPrEx>
        <w:trPr>
          <w:trHeight w:val="179"/>
          <w:jc w:val="center"/>
        </w:trPr>
        <w:tc>
          <w:tcPr>
            <w:tcW w:w="1929" w:type="dxa"/>
            <w:tcBorders>
              <w:top w:val="nil"/>
              <w:left w:val="nil"/>
              <w:bottom w:val="nil"/>
              <w:right w:val="nil"/>
            </w:tcBorders>
            <w:noWrap/>
            <w:textDirection w:val="lrTb"/>
            <w:vAlign w:val="bottom"/>
          </w:tcPr>
          <w:p w:rsidR="000802DE" w:rsidRPr="001E53C8" w:rsidP="007139CD">
            <w:pPr>
              <w:rPr>
                <w:rFonts w:ascii="Arial" w:hAnsi="Arial" w:cs="Arial"/>
                <w:sz w:val="20"/>
                <w:szCs w:val="24"/>
              </w:rPr>
            </w:pPr>
            <w:r w:rsidRPr="001E53C8">
              <w:rPr>
                <w:rFonts w:ascii="Arial" w:hAnsi="Arial" w:cs="Arial"/>
                <w:sz w:val="20"/>
                <w:szCs w:val="24"/>
              </w:rPr>
              <w:t>Úvery</w:t>
            </w:r>
          </w:p>
        </w:tc>
        <w:tc>
          <w:tcPr>
            <w:tcW w:w="147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916</w:t>
            </w:r>
          </w:p>
        </w:tc>
        <w:tc>
          <w:tcPr>
            <w:tcW w:w="147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1 198</w:t>
            </w:r>
          </w:p>
        </w:tc>
        <w:tc>
          <w:tcPr>
            <w:tcW w:w="146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1 037</w:t>
            </w:r>
          </w:p>
        </w:tc>
        <w:tc>
          <w:tcPr>
            <w:tcW w:w="1382"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1,5</w:t>
            </w:r>
          </w:p>
        </w:tc>
        <w:tc>
          <w:tcPr>
            <w:tcW w:w="1315"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Pr>
                <w:rFonts w:ascii="Arial" w:hAnsi="Arial" w:cs="Arial"/>
                <w:sz w:val="20"/>
                <w:szCs w:val="24"/>
              </w:rPr>
              <w:t>5,9</w:t>
            </w:r>
          </w:p>
        </w:tc>
      </w:tr>
      <w:tr>
        <w:tblPrEx>
          <w:tblW w:w="9026" w:type="dxa"/>
          <w:jc w:val="center"/>
          <w:tblInd w:w="0" w:type="dxa"/>
          <w:tblCellMar>
            <w:left w:w="70" w:type="dxa"/>
            <w:right w:w="70" w:type="dxa"/>
          </w:tblCellMar>
        </w:tblPrEx>
        <w:trPr>
          <w:trHeight w:val="525"/>
          <w:jc w:val="center"/>
        </w:trPr>
        <w:tc>
          <w:tcPr>
            <w:tcW w:w="1929" w:type="dxa"/>
            <w:tcBorders>
              <w:top w:val="nil"/>
              <w:left w:val="nil"/>
              <w:bottom w:val="nil"/>
              <w:right w:val="nil"/>
            </w:tcBorders>
            <w:textDirection w:val="lrTb"/>
            <w:vAlign w:val="bottom"/>
          </w:tcPr>
          <w:p w:rsidR="000802DE" w:rsidRPr="001E53C8" w:rsidP="007139CD">
            <w:pPr>
              <w:rPr>
                <w:rFonts w:ascii="Arial" w:hAnsi="Arial" w:cs="Arial"/>
                <w:sz w:val="20"/>
                <w:szCs w:val="24"/>
              </w:rPr>
            </w:pPr>
            <w:r w:rsidRPr="001E53C8">
              <w:rPr>
                <w:rFonts w:ascii="Arial" w:hAnsi="Arial" w:cs="Arial"/>
                <w:sz w:val="20"/>
                <w:szCs w:val="24"/>
              </w:rPr>
              <w:t>Riziká z realizácie štátnych záruk</w:t>
            </w:r>
          </w:p>
        </w:tc>
        <w:tc>
          <w:tcPr>
            <w:tcW w:w="147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696</w:t>
            </w:r>
          </w:p>
        </w:tc>
        <w:tc>
          <w:tcPr>
            <w:tcW w:w="147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0</w:t>
            </w:r>
          </w:p>
        </w:tc>
        <w:tc>
          <w:tcPr>
            <w:tcW w:w="1460"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0</w:t>
            </w:r>
          </w:p>
        </w:tc>
        <w:tc>
          <w:tcPr>
            <w:tcW w:w="1382"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sidRPr="001E53C8">
              <w:rPr>
                <w:rFonts w:ascii="Arial" w:hAnsi="Arial" w:cs="Arial"/>
                <w:sz w:val="20"/>
                <w:szCs w:val="24"/>
              </w:rPr>
              <w:t>0,0</w:t>
            </w:r>
          </w:p>
        </w:tc>
        <w:tc>
          <w:tcPr>
            <w:tcW w:w="1315" w:type="dxa"/>
            <w:tcBorders>
              <w:top w:val="nil"/>
              <w:left w:val="nil"/>
              <w:bottom w:val="nil"/>
              <w:right w:val="nil"/>
            </w:tcBorders>
            <w:noWrap/>
            <w:textDirection w:val="lrTb"/>
            <w:vAlign w:val="bottom"/>
          </w:tcPr>
          <w:p w:rsidR="000802DE" w:rsidRPr="001E53C8" w:rsidP="007139CD">
            <w:pPr>
              <w:jc w:val="right"/>
              <w:rPr>
                <w:rFonts w:ascii="Arial" w:hAnsi="Arial" w:cs="Arial"/>
                <w:sz w:val="20"/>
                <w:szCs w:val="24"/>
              </w:rPr>
            </w:pPr>
            <w:r>
              <w:rPr>
                <w:rFonts w:ascii="Arial" w:hAnsi="Arial" w:cs="Arial"/>
                <w:sz w:val="20"/>
                <w:szCs w:val="24"/>
              </w:rPr>
              <w:t>0,0</w:t>
            </w:r>
          </w:p>
        </w:tc>
      </w:tr>
      <w:tr>
        <w:tblPrEx>
          <w:tblW w:w="9026" w:type="dxa"/>
          <w:jc w:val="center"/>
          <w:tblInd w:w="0" w:type="dxa"/>
          <w:tblCellMar>
            <w:left w:w="70" w:type="dxa"/>
            <w:right w:w="70" w:type="dxa"/>
          </w:tblCellMar>
        </w:tblPrEx>
        <w:trPr>
          <w:trHeight w:val="255"/>
          <w:jc w:val="center"/>
        </w:trPr>
        <w:tc>
          <w:tcPr>
            <w:tcW w:w="1929" w:type="dxa"/>
            <w:tcBorders>
              <w:top w:val="single" w:sz="8" w:space="0" w:color="auto"/>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SKK</w:t>
            </w:r>
          </w:p>
        </w:tc>
        <w:tc>
          <w:tcPr>
            <w:tcW w:w="1470"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11 917</w:t>
            </w:r>
          </w:p>
        </w:tc>
        <w:tc>
          <w:tcPr>
            <w:tcW w:w="1470"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12 544</w:t>
            </w:r>
          </w:p>
        </w:tc>
        <w:tc>
          <w:tcPr>
            <w:tcW w:w="1460"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13 376</w:t>
            </w:r>
          </w:p>
        </w:tc>
        <w:tc>
          <w:tcPr>
            <w:tcW w:w="1382"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19,</w:t>
            </w:r>
            <w:r>
              <w:rPr>
                <w:rFonts w:ascii="Arial" w:hAnsi="Arial" w:cs="Arial"/>
                <w:sz w:val="20"/>
                <w:szCs w:val="24"/>
              </w:rPr>
              <w:t>9</w:t>
            </w:r>
          </w:p>
        </w:tc>
        <w:tc>
          <w:tcPr>
            <w:tcW w:w="1315"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75,8</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EUR</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4 101</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4 683</w:t>
            </w:r>
          </w:p>
        </w:tc>
        <w:tc>
          <w:tcPr>
            <w:tcW w:w="146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4 189</w:t>
            </w:r>
          </w:p>
        </w:tc>
        <w:tc>
          <w:tcPr>
            <w:tcW w:w="138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6,2</w:t>
            </w:r>
          </w:p>
        </w:tc>
        <w:tc>
          <w:tcPr>
            <w:tcW w:w="131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23,7</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USD</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2</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46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38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0,0</w:t>
            </w:r>
          </w:p>
        </w:tc>
        <w:tc>
          <w:tcPr>
            <w:tcW w:w="131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0,0</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JPY</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70</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70</w:t>
            </w:r>
          </w:p>
        </w:tc>
        <w:tc>
          <w:tcPr>
            <w:tcW w:w="146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82</w:t>
            </w:r>
          </w:p>
        </w:tc>
        <w:tc>
          <w:tcPr>
            <w:tcW w:w="138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0,1</w:t>
            </w:r>
          </w:p>
        </w:tc>
        <w:tc>
          <w:tcPr>
            <w:tcW w:w="131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0,5</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CZK</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46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38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0,0</w:t>
            </w:r>
          </w:p>
        </w:tc>
        <w:tc>
          <w:tcPr>
            <w:tcW w:w="131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0,0</w:t>
            </w:r>
          </w:p>
        </w:tc>
      </w:tr>
      <w:tr>
        <w:tblPrEx>
          <w:tblW w:w="9026" w:type="dxa"/>
          <w:jc w:val="center"/>
          <w:tblInd w:w="0" w:type="dxa"/>
          <w:tblCellMar>
            <w:left w:w="70" w:type="dxa"/>
            <w:right w:w="70" w:type="dxa"/>
          </w:tblCellMar>
        </w:tblPrEx>
        <w:trPr>
          <w:trHeight w:val="255"/>
          <w:jc w:val="center"/>
        </w:trPr>
        <w:tc>
          <w:tcPr>
            <w:tcW w:w="1929"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CHF</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8</w:t>
            </w:r>
          </w:p>
        </w:tc>
        <w:tc>
          <w:tcPr>
            <w:tcW w:w="147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w:t>
            </w:r>
          </w:p>
        </w:tc>
        <w:tc>
          <w:tcPr>
            <w:tcW w:w="146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w:t>
            </w:r>
          </w:p>
        </w:tc>
        <w:tc>
          <w:tcPr>
            <w:tcW w:w="138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0,0</w:t>
            </w:r>
          </w:p>
        </w:tc>
        <w:tc>
          <w:tcPr>
            <w:tcW w:w="131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Pr>
                <w:rFonts w:ascii="Arial" w:hAnsi="Arial" w:cs="Arial"/>
                <w:sz w:val="20"/>
                <w:szCs w:val="24"/>
              </w:rPr>
              <w:t>0,0</w:t>
            </w:r>
          </w:p>
        </w:tc>
      </w:tr>
      <w:tr>
        <w:tblPrEx>
          <w:tblW w:w="9026" w:type="dxa"/>
          <w:jc w:val="center"/>
          <w:tblInd w:w="0" w:type="dxa"/>
          <w:tblCellMar>
            <w:left w:w="70" w:type="dxa"/>
            <w:right w:w="70" w:type="dxa"/>
          </w:tblCellMar>
        </w:tblPrEx>
        <w:trPr>
          <w:trHeight w:val="255"/>
          <w:jc w:val="center"/>
        </w:trPr>
        <w:tc>
          <w:tcPr>
            <w:tcW w:w="9026" w:type="dxa"/>
            <w:gridSpan w:val="6"/>
            <w:tcBorders>
              <w:top w:val="nil"/>
              <w:left w:val="nil"/>
              <w:bottom w:val="nil"/>
              <w:right w:val="nil"/>
            </w:tcBorders>
            <w:noWrap/>
            <w:textDirection w:val="lrTb"/>
            <w:vAlign w:val="bottom"/>
          </w:tcPr>
          <w:p w:rsidR="000802DE" w:rsidRPr="002A1456" w:rsidP="007139CD">
            <w:pPr>
              <w:jc w:val="right"/>
              <w:rPr>
                <w:rFonts w:ascii="Arial" w:hAnsi="Arial" w:cs="Arial"/>
                <w:i/>
                <w:sz w:val="16"/>
                <w:szCs w:val="24"/>
              </w:rPr>
            </w:pPr>
            <w:r w:rsidRPr="002A1456">
              <w:rPr>
                <w:rFonts w:ascii="Arial" w:hAnsi="Arial" w:cs="Arial"/>
                <w:i/>
                <w:sz w:val="16"/>
                <w:szCs w:val="24"/>
              </w:rPr>
              <w:t>Zdroj: MF SR</w:t>
            </w:r>
          </w:p>
        </w:tc>
      </w:tr>
    </w:tbl>
    <w:p w:rsidR="000802DE" w:rsidRPr="00630C2F" w:rsidP="000802DE">
      <w:pPr>
        <w:rPr>
          <w:rFonts w:ascii="Arial Narrow" w:hAnsi="Arial Narrow" w:cs="Arial Narrow"/>
          <w:sz w:val="22"/>
          <w:szCs w:val="24"/>
          <w:highlight w:val="cyan"/>
        </w:rPr>
      </w:pPr>
    </w:p>
    <w:p w:rsidR="000802DE" w:rsidRPr="009B4FDB" w:rsidP="000802DE">
      <w:pPr>
        <w:ind w:firstLine="708"/>
        <w:jc w:val="both"/>
        <w:rPr>
          <w:rFonts w:ascii="Arial Narrow" w:hAnsi="Arial Narrow" w:cs="Arial Narrow"/>
          <w:sz w:val="22"/>
          <w:szCs w:val="24"/>
        </w:rPr>
      </w:pPr>
      <w:r w:rsidRPr="009B4FDB">
        <w:rPr>
          <w:rFonts w:ascii="Arial Narrow" w:hAnsi="Arial Narrow" w:cs="Arial Narrow"/>
          <w:sz w:val="22"/>
          <w:szCs w:val="24"/>
        </w:rPr>
        <w:t>Z teritoriálneho hľadiska predstavoval domáci štátny dlh (veriteľom je rezident) 59</w:t>
      </w:r>
      <w:r>
        <w:rPr>
          <w:rFonts w:ascii="Arial Narrow" w:hAnsi="Arial Narrow" w:cs="Arial Narrow"/>
          <w:sz w:val="22"/>
          <w:szCs w:val="24"/>
        </w:rPr>
        <w:t xml:space="preserve"> </w:t>
      </w:r>
      <w:r w:rsidRPr="009B4FDB">
        <w:rPr>
          <w:rFonts w:ascii="Arial Narrow" w:hAnsi="Arial Narrow" w:cs="Arial Narrow"/>
          <w:sz w:val="22"/>
          <w:szCs w:val="24"/>
        </w:rPr>
        <w:t>% z celkového dlhu a zahraničný dlh (veriteľom je nerezident) 41</w:t>
      </w:r>
      <w:r>
        <w:rPr>
          <w:rFonts w:ascii="Arial Narrow" w:hAnsi="Arial Narrow" w:cs="Arial Narrow"/>
          <w:sz w:val="22"/>
          <w:szCs w:val="24"/>
        </w:rPr>
        <w:t xml:space="preserve"> </w:t>
      </w:r>
      <w:r w:rsidRPr="009B4FDB">
        <w:rPr>
          <w:rFonts w:ascii="Arial Narrow" w:hAnsi="Arial Narrow" w:cs="Arial Narrow"/>
          <w:sz w:val="22"/>
          <w:szCs w:val="24"/>
        </w:rPr>
        <w:t>%. Z časového hľadiska tvoril dlhodobý dlh</w:t>
      </w:r>
      <w:r>
        <w:rPr>
          <w:rFonts w:ascii="Arial Narrow" w:hAnsi="Arial Narrow" w:cs="Arial Narrow"/>
          <w:sz w:val="22"/>
          <w:szCs w:val="24"/>
        </w:rPr>
        <w:t xml:space="preserve"> (splatnosť nad jeden rok) </w:t>
      </w:r>
      <w:r w:rsidRPr="009B4FDB">
        <w:rPr>
          <w:rFonts w:ascii="Arial Narrow" w:hAnsi="Arial Narrow" w:cs="Arial Narrow"/>
          <w:sz w:val="22"/>
          <w:szCs w:val="24"/>
        </w:rPr>
        <w:t>ku koncu roku 2008 takmer 95</w:t>
      </w:r>
      <w:r>
        <w:rPr>
          <w:rFonts w:ascii="Arial Narrow" w:hAnsi="Arial Narrow" w:cs="Arial Narrow"/>
          <w:sz w:val="22"/>
          <w:szCs w:val="24"/>
        </w:rPr>
        <w:t xml:space="preserve"> </w:t>
      </w:r>
      <w:r w:rsidRPr="009B4FDB">
        <w:rPr>
          <w:rFonts w:ascii="Arial Narrow" w:hAnsi="Arial Narrow" w:cs="Arial Narrow"/>
          <w:sz w:val="22"/>
          <w:szCs w:val="24"/>
        </w:rPr>
        <w:t xml:space="preserve">% z celkového dlhu. </w:t>
      </w:r>
    </w:p>
    <w:p w:rsidR="000802DE" w:rsidRPr="00630C2F" w:rsidP="000802DE">
      <w:pPr>
        <w:rPr>
          <w:rFonts w:ascii="Arial Narrow" w:hAnsi="Arial Narrow" w:cs="Arial Narrow"/>
          <w:sz w:val="22"/>
          <w:szCs w:val="24"/>
          <w:highlight w:val="cyan"/>
        </w:rPr>
      </w:pPr>
    </w:p>
    <w:tbl>
      <w:tblPr>
        <w:tblStyle w:val="TableNormal"/>
        <w:tblW w:w="9031" w:type="dxa"/>
        <w:jc w:val="center"/>
        <w:tblInd w:w="0" w:type="dxa"/>
        <w:tblCellMar>
          <w:left w:w="70" w:type="dxa"/>
          <w:right w:w="70" w:type="dxa"/>
        </w:tblCellMar>
      </w:tblPr>
      <w:tblGrid>
        <w:gridCol w:w="1995"/>
        <w:gridCol w:w="1480"/>
        <w:gridCol w:w="1435"/>
        <w:gridCol w:w="1462"/>
        <w:gridCol w:w="1348"/>
        <w:gridCol w:w="1311"/>
      </w:tblGrid>
      <w:tr>
        <w:tblPrEx>
          <w:tblW w:w="9031" w:type="dxa"/>
          <w:jc w:val="center"/>
          <w:tblInd w:w="0" w:type="dxa"/>
          <w:tblCellMar>
            <w:left w:w="70" w:type="dxa"/>
            <w:right w:w="70" w:type="dxa"/>
          </w:tblCellMar>
        </w:tblPrEx>
        <w:trPr>
          <w:trHeight w:val="255"/>
          <w:jc w:val="center"/>
        </w:trPr>
        <w:tc>
          <w:tcPr>
            <w:tcW w:w="9031" w:type="dxa"/>
            <w:gridSpan w:val="6"/>
            <w:tcBorders>
              <w:top w:val="nil"/>
              <w:left w:val="nil"/>
              <w:bottom w:val="nil"/>
              <w:right w:val="nil"/>
            </w:tcBorders>
            <w:shd w:val="clear" w:color="auto" w:fill="000000"/>
            <w:noWrap/>
            <w:textDirection w:val="lrTb"/>
            <w:vAlign w:val="bottom"/>
          </w:tcPr>
          <w:p w:rsidR="000802DE" w:rsidRPr="002A1456" w:rsidP="007139CD">
            <w:pPr>
              <w:rPr>
                <w:rFonts w:ascii="Arial" w:hAnsi="Arial" w:cs="Arial"/>
                <w:b/>
                <w:color w:val="FFFFFF"/>
                <w:sz w:val="20"/>
                <w:szCs w:val="24"/>
              </w:rPr>
            </w:pPr>
            <w:r w:rsidRPr="002A1456">
              <w:rPr>
                <w:rFonts w:ascii="Arial" w:hAnsi="Arial" w:cs="Arial"/>
                <w:b/>
                <w:color w:val="FFFFFF"/>
                <w:sz w:val="20"/>
                <w:szCs w:val="24"/>
              </w:rPr>
              <w:t>Štátny dlh z teritoriálneho a časového hľadiska</w:t>
            </w:r>
          </w:p>
        </w:tc>
      </w:tr>
      <w:tr>
        <w:tblPrEx>
          <w:tblW w:w="9031" w:type="dxa"/>
          <w:jc w:val="center"/>
          <w:tblInd w:w="0" w:type="dxa"/>
          <w:tblCellMar>
            <w:left w:w="70" w:type="dxa"/>
            <w:right w:w="70" w:type="dxa"/>
          </w:tblCellMar>
        </w:tblPrEx>
        <w:trPr>
          <w:trHeight w:val="255"/>
          <w:jc w:val="center"/>
        </w:trPr>
        <w:tc>
          <w:tcPr>
            <w:tcW w:w="1995" w:type="dxa"/>
            <w:tcBorders>
              <w:top w:val="nil"/>
              <w:left w:val="nil"/>
              <w:bottom w:val="nil"/>
              <w:right w:val="nil"/>
            </w:tcBorders>
            <w:shd w:val="clear" w:color="auto" w:fill="C0C0C0"/>
            <w:noWrap/>
            <w:textDirection w:val="lrTb"/>
            <w:vAlign w:val="bottom"/>
          </w:tcPr>
          <w:p w:rsidR="000802DE" w:rsidRPr="002A1456" w:rsidP="007139CD">
            <w:pPr>
              <w:ind w:left="-55"/>
              <w:rPr>
                <w:rFonts w:ascii="Arial" w:hAnsi="Arial" w:cs="Arial"/>
                <w:b/>
                <w:sz w:val="20"/>
                <w:szCs w:val="24"/>
              </w:rPr>
            </w:pPr>
            <w:r w:rsidRPr="002A1456">
              <w:rPr>
                <w:rFonts w:ascii="Arial" w:hAnsi="Arial" w:cs="Arial"/>
                <w:b/>
                <w:sz w:val="20"/>
                <w:szCs w:val="24"/>
              </w:rPr>
              <w:t> </w:t>
            </w:r>
          </w:p>
        </w:tc>
        <w:tc>
          <w:tcPr>
            <w:tcW w:w="1480"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Stav v mil. €</w:t>
            </w:r>
          </w:p>
        </w:tc>
        <w:tc>
          <w:tcPr>
            <w:tcW w:w="1435"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Stav v mil. €</w:t>
            </w:r>
          </w:p>
        </w:tc>
        <w:tc>
          <w:tcPr>
            <w:tcW w:w="1462"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Stav v mil. €</w:t>
            </w:r>
          </w:p>
        </w:tc>
        <w:tc>
          <w:tcPr>
            <w:tcW w:w="1348"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 z HDP</w:t>
            </w:r>
          </w:p>
        </w:tc>
        <w:tc>
          <w:tcPr>
            <w:tcW w:w="1311"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 z celku</w:t>
            </w:r>
          </w:p>
        </w:tc>
      </w:tr>
      <w:tr>
        <w:tblPrEx>
          <w:tblW w:w="9031" w:type="dxa"/>
          <w:jc w:val="center"/>
          <w:tblInd w:w="0" w:type="dxa"/>
          <w:tblCellMar>
            <w:left w:w="70" w:type="dxa"/>
            <w:right w:w="70" w:type="dxa"/>
          </w:tblCellMar>
        </w:tblPrEx>
        <w:trPr>
          <w:trHeight w:val="275"/>
          <w:jc w:val="center"/>
        </w:trPr>
        <w:tc>
          <w:tcPr>
            <w:tcW w:w="1995"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stav k:</w:t>
            </w:r>
          </w:p>
        </w:tc>
        <w:tc>
          <w:tcPr>
            <w:tcW w:w="1480"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k 31.12.2006</w:t>
            </w:r>
          </w:p>
        </w:tc>
        <w:tc>
          <w:tcPr>
            <w:tcW w:w="1435"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k 31.12.2007</w:t>
            </w:r>
          </w:p>
        </w:tc>
        <w:tc>
          <w:tcPr>
            <w:tcW w:w="1462"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k 31.12.2008</w:t>
            </w:r>
          </w:p>
        </w:tc>
        <w:tc>
          <w:tcPr>
            <w:tcW w:w="1348"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k 31.12.2008</w:t>
            </w:r>
          </w:p>
        </w:tc>
        <w:tc>
          <w:tcPr>
            <w:tcW w:w="1311" w:type="dxa"/>
            <w:tcBorders>
              <w:top w:val="nil"/>
              <w:left w:val="nil"/>
              <w:bottom w:val="nil"/>
              <w:right w:val="nil"/>
            </w:tcBorders>
            <w:shd w:val="clear" w:color="auto" w:fill="C0C0C0"/>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k 31.12.2008</w:t>
            </w:r>
          </w:p>
        </w:tc>
      </w:tr>
      <w:tr>
        <w:tblPrEx>
          <w:tblW w:w="9031" w:type="dxa"/>
          <w:jc w:val="center"/>
          <w:tblInd w:w="0" w:type="dxa"/>
          <w:tblCellMar>
            <w:left w:w="70" w:type="dxa"/>
            <w:right w:w="70" w:type="dxa"/>
          </w:tblCellMar>
        </w:tblPrEx>
        <w:trPr>
          <w:trHeight w:val="270"/>
          <w:jc w:val="center"/>
        </w:trPr>
        <w:tc>
          <w:tcPr>
            <w:tcW w:w="1995" w:type="dxa"/>
            <w:tcBorders>
              <w:top w:val="nil"/>
              <w:left w:val="nil"/>
              <w:bottom w:val="nil"/>
              <w:right w:val="nil"/>
            </w:tcBorders>
            <w:noWrap/>
            <w:textDirection w:val="lrTb"/>
            <w:vAlign w:val="bottom"/>
          </w:tcPr>
          <w:p w:rsidR="000802DE" w:rsidRPr="002A1456" w:rsidP="007139CD">
            <w:pPr>
              <w:rPr>
                <w:rFonts w:ascii="Arial" w:hAnsi="Arial" w:cs="Arial"/>
                <w:b/>
                <w:sz w:val="20"/>
                <w:szCs w:val="24"/>
              </w:rPr>
            </w:pPr>
            <w:r w:rsidRPr="002A1456">
              <w:rPr>
                <w:rFonts w:ascii="Arial" w:hAnsi="Arial" w:cs="Arial"/>
                <w:b/>
                <w:sz w:val="20"/>
                <w:szCs w:val="24"/>
              </w:rPr>
              <w:t>Štátny dlh v menovitej hodnote</w:t>
            </w:r>
          </w:p>
        </w:tc>
        <w:tc>
          <w:tcPr>
            <w:tcW w:w="1480" w:type="dxa"/>
            <w:tcBorders>
              <w:top w:val="nil"/>
              <w:left w:val="nil"/>
              <w:bottom w:val="nil"/>
              <w:right w:val="nil"/>
            </w:tcBorders>
            <w:noWrap/>
            <w:textDirection w:val="lrTb"/>
            <w:vAlign w:val="bottom"/>
          </w:tcPr>
          <w:p w:rsidR="000802DE" w:rsidRPr="002A1456" w:rsidP="007139CD">
            <w:pPr>
              <w:jc w:val="right"/>
              <w:rPr>
                <w:rFonts w:ascii="Arial" w:hAnsi="Arial" w:cs="Arial"/>
                <w:b/>
                <w:sz w:val="20"/>
                <w:szCs w:val="24"/>
              </w:rPr>
            </w:pPr>
            <w:r w:rsidRPr="002A1456">
              <w:rPr>
                <w:rFonts w:ascii="Arial" w:hAnsi="Arial" w:cs="Arial"/>
                <w:b/>
                <w:sz w:val="20"/>
                <w:szCs w:val="24"/>
              </w:rPr>
              <w:t>16 098</w:t>
            </w:r>
          </w:p>
        </w:tc>
        <w:tc>
          <w:tcPr>
            <w:tcW w:w="1435" w:type="dxa"/>
            <w:tcBorders>
              <w:top w:val="nil"/>
              <w:left w:val="nil"/>
              <w:bottom w:val="nil"/>
              <w:right w:val="nil"/>
            </w:tcBorders>
            <w:noWrap/>
            <w:textDirection w:val="lrTb"/>
            <w:vAlign w:val="bottom"/>
          </w:tcPr>
          <w:p w:rsidR="000802DE" w:rsidRPr="002A1456" w:rsidP="007139CD">
            <w:pPr>
              <w:jc w:val="right"/>
              <w:rPr>
                <w:rFonts w:ascii="Arial" w:hAnsi="Arial" w:cs="Arial"/>
                <w:b/>
                <w:sz w:val="20"/>
                <w:szCs w:val="24"/>
              </w:rPr>
            </w:pPr>
            <w:r w:rsidRPr="002A1456">
              <w:rPr>
                <w:rFonts w:ascii="Arial" w:hAnsi="Arial" w:cs="Arial"/>
                <w:b/>
                <w:sz w:val="20"/>
                <w:szCs w:val="24"/>
              </w:rPr>
              <w:t>17 302</w:t>
            </w:r>
          </w:p>
        </w:tc>
        <w:tc>
          <w:tcPr>
            <w:tcW w:w="1462" w:type="dxa"/>
            <w:tcBorders>
              <w:top w:val="nil"/>
              <w:left w:val="nil"/>
              <w:bottom w:val="nil"/>
              <w:right w:val="nil"/>
            </w:tcBorders>
            <w:noWrap/>
            <w:textDirection w:val="lrTb"/>
            <w:vAlign w:val="bottom"/>
          </w:tcPr>
          <w:p w:rsidR="000802DE" w:rsidRPr="002A1456" w:rsidP="007139CD">
            <w:pPr>
              <w:jc w:val="right"/>
              <w:rPr>
                <w:rFonts w:ascii="Arial" w:hAnsi="Arial" w:cs="Arial"/>
                <w:b/>
                <w:sz w:val="20"/>
                <w:szCs w:val="24"/>
              </w:rPr>
            </w:pPr>
            <w:r w:rsidRPr="002A1456">
              <w:rPr>
                <w:rFonts w:ascii="Arial" w:hAnsi="Arial" w:cs="Arial"/>
                <w:b/>
                <w:sz w:val="20"/>
                <w:szCs w:val="24"/>
              </w:rPr>
              <w:t>17 651</w:t>
            </w:r>
          </w:p>
        </w:tc>
        <w:tc>
          <w:tcPr>
            <w:tcW w:w="1348"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26,2</w:t>
            </w:r>
          </w:p>
        </w:tc>
        <w:tc>
          <w:tcPr>
            <w:tcW w:w="1311"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100,0</w:t>
            </w:r>
          </w:p>
        </w:tc>
      </w:tr>
      <w:tr>
        <w:tblPrEx>
          <w:tblW w:w="9031" w:type="dxa"/>
          <w:jc w:val="center"/>
          <w:tblInd w:w="0" w:type="dxa"/>
          <w:tblCellMar>
            <w:left w:w="70" w:type="dxa"/>
            <w:right w:w="70" w:type="dxa"/>
          </w:tblCellMar>
        </w:tblPrEx>
        <w:trPr>
          <w:trHeight w:val="255"/>
          <w:jc w:val="center"/>
        </w:trPr>
        <w:tc>
          <w:tcPr>
            <w:tcW w:w="1995" w:type="dxa"/>
            <w:tcBorders>
              <w:top w:val="single" w:sz="8" w:space="0" w:color="auto"/>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domáci</w:t>
            </w:r>
          </w:p>
        </w:tc>
        <w:tc>
          <w:tcPr>
            <w:tcW w:w="1480"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9 053</w:t>
            </w:r>
          </w:p>
        </w:tc>
        <w:tc>
          <w:tcPr>
            <w:tcW w:w="1435"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10 265</w:t>
            </w:r>
          </w:p>
        </w:tc>
        <w:tc>
          <w:tcPr>
            <w:tcW w:w="1462"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10 444</w:t>
            </w:r>
          </w:p>
        </w:tc>
        <w:tc>
          <w:tcPr>
            <w:tcW w:w="1348"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15,5</w:t>
            </w:r>
          </w:p>
        </w:tc>
        <w:tc>
          <w:tcPr>
            <w:tcW w:w="1311"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59,2</w:t>
            </w:r>
          </w:p>
        </w:tc>
      </w:tr>
      <w:tr>
        <w:tblPrEx>
          <w:tblW w:w="9031" w:type="dxa"/>
          <w:jc w:val="center"/>
          <w:tblInd w:w="0" w:type="dxa"/>
          <w:tblCellMar>
            <w:left w:w="70" w:type="dxa"/>
            <w:right w:w="70" w:type="dxa"/>
          </w:tblCellMar>
        </w:tblPrEx>
        <w:trPr>
          <w:trHeight w:val="270"/>
          <w:jc w:val="center"/>
        </w:trPr>
        <w:tc>
          <w:tcPr>
            <w:tcW w:w="1995"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zahraničný</w:t>
            </w:r>
          </w:p>
        </w:tc>
        <w:tc>
          <w:tcPr>
            <w:tcW w:w="148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7 046</w:t>
            </w:r>
          </w:p>
        </w:tc>
        <w:tc>
          <w:tcPr>
            <w:tcW w:w="143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7 038</w:t>
            </w:r>
          </w:p>
        </w:tc>
        <w:tc>
          <w:tcPr>
            <w:tcW w:w="146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7 207</w:t>
            </w:r>
          </w:p>
        </w:tc>
        <w:tc>
          <w:tcPr>
            <w:tcW w:w="1348"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10,7</w:t>
            </w:r>
          </w:p>
        </w:tc>
        <w:tc>
          <w:tcPr>
            <w:tcW w:w="1311"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40,8</w:t>
            </w:r>
          </w:p>
        </w:tc>
      </w:tr>
      <w:tr>
        <w:tblPrEx>
          <w:tblW w:w="9031" w:type="dxa"/>
          <w:jc w:val="center"/>
          <w:tblInd w:w="0" w:type="dxa"/>
          <w:tblCellMar>
            <w:left w:w="70" w:type="dxa"/>
            <w:right w:w="70" w:type="dxa"/>
          </w:tblCellMar>
        </w:tblPrEx>
        <w:trPr>
          <w:trHeight w:val="255"/>
          <w:jc w:val="center"/>
        </w:trPr>
        <w:tc>
          <w:tcPr>
            <w:tcW w:w="1995" w:type="dxa"/>
            <w:tcBorders>
              <w:top w:val="single" w:sz="8" w:space="0" w:color="auto"/>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krátkodobý</w:t>
            </w:r>
          </w:p>
        </w:tc>
        <w:tc>
          <w:tcPr>
            <w:tcW w:w="1480"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35</w:t>
            </w:r>
          </w:p>
        </w:tc>
        <w:tc>
          <w:tcPr>
            <w:tcW w:w="1435"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0</w:t>
            </w:r>
          </w:p>
        </w:tc>
        <w:tc>
          <w:tcPr>
            <w:tcW w:w="1462"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741</w:t>
            </w:r>
          </w:p>
        </w:tc>
        <w:tc>
          <w:tcPr>
            <w:tcW w:w="1348"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1,1</w:t>
            </w:r>
          </w:p>
        </w:tc>
        <w:tc>
          <w:tcPr>
            <w:tcW w:w="1311" w:type="dxa"/>
            <w:tcBorders>
              <w:top w:val="single" w:sz="8" w:space="0" w:color="auto"/>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4,2</w:t>
            </w:r>
          </w:p>
        </w:tc>
      </w:tr>
      <w:tr>
        <w:tblPrEx>
          <w:tblW w:w="9031" w:type="dxa"/>
          <w:jc w:val="center"/>
          <w:tblInd w:w="0" w:type="dxa"/>
          <w:tblCellMar>
            <w:left w:w="70" w:type="dxa"/>
            <w:right w:w="70" w:type="dxa"/>
          </w:tblCellMar>
        </w:tblPrEx>
        <w:trPr>
          <w:trHeight w:val="255"/>
          <w:jc w:val="center"/>
        </w:trPr>
        <w:tc>
          <w:tcPr>
            <w:tcW w:w="1995" w:type="dxa"/>
            <w:tcBorders>
              <w:top w:val="nil"/>
              <w:left w:val="nil"/>
              <w:bottom w:val="nil"/>
              <w:right w:val="nil"/>
            </w:tcBorders>
            <w:noWrap/>
            <w:textDirection w:val="lrTb"/>
            <w:vAlign w:val="bottom"/>
          </w:tcPr>
          <w:p w:rsidR="000802DE" w:rsidRPr="002A1456" w:rsidP="007139CD">
            <w:pPr>
              <w:rPr>
                <w:rFonts w:ascii="Arial" w:hAnsi="Arial" w:cs="Arial"/>
                <w:sz w:val="20"/>
                <w:szCs w:val="24"/>
              </w:rPr>
            </w:pPr>
            <w:r w:rsidRPr="002A1456">
              <w:rPr>
                <w:rFonts w:ascii="Arial" w:hAnsi="Arial" w:cs="Arial"/>
                <w:sz w:val="20"/>
                <w:szCs w:val="24"/>
              </w:rPr>
              <w:t>dlhodobý</w:t>
            </w:r>
          </w:p>
        </w:tc>
        <w:tc>
          <w:tcPr>
            <w:tcW w:w="1480"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16 064</w:t>
            </w:r>
          </w:p>
        </w:tc>
        <w:tc>
          <w:tcPr>
            <w:tcW w:w="1435"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17 302</w:t>
            </w:r>
          </w:p>
        </w:tc>
        <w:tc>
          <w:tcPr>
            <w:tcW w:w="1462"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16 910</w:t>
            </w:r>
          </w:p>
        </w:tc>
        <w:tc>
          <w:tcPr>
            <w:tcW w:w="1348"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25,1</w:t>
            </w:r>
          </w:p>
        </w:tc>
        <w:tc>
          <w:tcPr>
            <w:tcW w:w="1311" w:type="dxa"/>
            <w:tcBorders>
              <w:top w:val="nil"/>
              <w:left w:val="nil"/>
              <w:bottom w:val="nil"/>
              <w:right w:val="nil"/>
            </w:tcBorders>
            <w:noWrap/>
            <w:textDirection w:val="lrTb"/>
            <w:vAlign w:val="bottom"/>
          </w:tcPr>
          <w:p w:rsidR="000802DE" w:rsidRPr="002A1456" w:rsidP="007139CD">
            <w:pPr>
              <w:jc w:val="right"/>
              <w:rPr>
                <w:rFonts w:ascii="Arial" w:hAnsi="Arial" w:cs="Arial"/>
                <w:sz w:val="20"/>
                <w:szCs w:val="24"/>
              </w:rPr>
            </w:pPr>
            <w:r w:rsidRPr="002A1456">
              <w:rPr>
                <w:rFonts w:ascii="Arial" w:hAnsi="Arial" w:cs="Arial"/>
                <w:sz w:val="20"/>
                <w:szCs w:val="24"/>
              </w:rPr>
              <w:t>95,8</w:t>
            </w:r>
          </w:p>
        </w:tc>
      </w:tr>
      <w:tr>
        <w:tblPrEx>
          <w:tblW w:w="9031" w:type="dxa"/>
          <w:jc w:val="center"/>
          <w:tblInd w:w="0" w:type="dxa"/>
          <w:tblCellMar>
            <w:left w:w="70" w:type="dxa"/>
            <w:right w:w="70" w:type="dxa"/>
          </w:tblCellMar>
        </w:tblPrEx>
        <w:trPr>
          <w:trHeight w:val="255"/>
          <w:jc w:val="center"/>
        </w:trPr>
        <w:tc>
          <w:tcPr>
            <w:tcW w:w="9031" w:type="dxa"/>
            <w:gridSpan w:val="6"/>
            <w:tcBorders>
              <w:top w:val="nil"/>
              <w:left w:val="nil"/>
              <w:bottom w:val="nil"/>
              <w:right w:val="nil"/>
            </w:tcBorders>
            <w:noWrap/>
            <w:textDirection w:val="lrTb"/>
            <w:vAlign w:val="bottom"/>
          </w:tcPr>
          <w:p w:rsidR="000802DE" w:rsidRPr="002A1456" w:rsidP="007139CD">
            <w:pPr>
              <w:jc w:val="right"/>
              <w:rPr>
                <w:rFonts w:ascii="Arial" w:hAnsi="Arial" w:cs="Arial"/>
                <w:i/>
                <w:sz w:val="16"/>
                <w:szCs w:val="24"/>
              </w:rPr>
            </w:pPr>
            <w:r w:rsidRPr="002A1456">
              <w:rPr>
                <w:rFonts w:ascii="Arial" w:hAnsi="Arial" w:cs="Arial"/>
                <w:i/>
                <w:sz w:val="16"/>
                <w:szCs w:val="24"/>
              </w:rPr>
              <w:t>Zdroj: MF SR</w:t>
            </w:r>
          </w:p>
        </w:tc>
      </w:tr>
    </w:tbl>
    <w:p w:rsidR="000802DE" w:rsidRPr="00630C2F" w:rsidP="000802DE">
      <w:pPr>
        <w:rPr>
          <w:rFonts w:ascii="Arial Narrow" w:hAnsi="Arial Narrow" w:cs="Arial Narrow"/>
          <w:sz w:val="22"/>
          <w:szCs w:val="24"/>
          <w:highlight w:val="cyan"/>
        </w:rPr>
      </w:pPr>
    </w:p>
    <w:p w:rsidR="000802DE" w:rsidRPr="009B4FDB" w:rsidP="000802DE">
      <w:pPr>
        <w:ind w:firstLine="708"/>
        <w:jc w:val="both"/>
        <w:rPr>
          <w:rFonts w:ascii="Arial Narrow" w:hAnsi="Arial Narrow" w:cs="Arial Narrow"/>
          <w:sz w:val="22"/>
          <w:szCs w:val="24"/>
        </w:rPr>
      </w:pPr>
      <w:r w:rsidRPr="009B4FDB">
        <w:rPr>
          <w:rFonts w:ascii="Arial Narrow" w:hAnsi="Arial Narrow" w:cs="Arial Narrow"/>
          <w:sz w:val="22"/>
          <w:szCs w:val="24"/>
        </w:rPr>
        <w:t xml:space="preserve">Celkový dlh verejnej správy, ktorý okrem štátneho dlhu zahŕňa aj dlh ostatných zložiek verejnej správy, bol ku koncu roka 2008 necelých 19 mld. </w:t>
      </w:r>
      <w:r w:rsidR="003A17C7">
        <w:rPr>
          <w:rFonts w:ascii="Arial Narrow" w:hAnsi="Arial Narrow" w:cs="Arial Narrow"/>
          <w:sz w:val="22"/>
          <w:szCs w:val="24"/>
        </w:rPr>
        <w:t>eur</w:t>
      </w:r>
      <w:r w:rsidRPr="009B4FDB">
        <w:rPr>
          <w:rFonts w:ascii="Arial Narrow" w:hAnsi="Arial Narrow" w:cs="Arial Narrow"/>
          <w:sz w:val="22"/>
          <w:szCs w:val="24"/>
        </w:rPr>
        <w:t>, čo predstavovalo 27,6</w:t>
      </w:r>
      <w:r>
        <w:rPr>
          <w:rFonts w:ascii="Arial Narrow" w:hAnsi="Arial Narrow" w:cs="Arial Narrow"/>
          <w:sz w:val="22"/>
          <w:szCs w:val="24"/>
        </w:rPr>
        <w:t xml:space="preserve"> </w:t>
      </w:r>
      <w:r w:rsidRPr="009B4FDB">
        <w:rPr>
          <w:rFonts w:ascii="Arial Narrow" w:hAnsi="Arial Narrow" w:cs="Arial Narrow"/>
          <w:sz w:val="22"/>
          <w:szCs w:val="24"/>
        </w:rPr>
        <w:t>% z HDP. Ukazovateľ dlhu verejnej správy je dôležitý z hľadiska hodnotenia plnenia maastrichtského kritéria. Podľa tohto kritéria dlh verejnej správy nesmie presiahnuť 60</w:t>
      </w:r>
      <w:r>
        <w:rPr>
          <w:rFonts w:ascii="Arial Narrow" w:hAnsi="Arial Narrow" w:cs="Arial Narrow"/>
          <w:sz w:val="22"/>
          <w:szCs w:val="24"/>
        </w:rPr>
        <w:t xml:space="preserve"> </w:t>
      </w:r>
      <w:r w:rsidRPr="009B4FDB">
        <w:rPr>
          <w:rFonts w:ascii="Arial Narrow" w:hAnsi="Arial Narrow" w:cs="Arial Narrow"/>
          <w:sz w:val="22"/>
          <w:szCs w:val="24"/>
        </w:rPr>
        <w:t>% HDP. Verejný dlh na Slovensku je teda výrazne pod referenčnou hodnotou a toto kritérium je plnené s rezervou. Rozhodujúcou zložkou dlhu verejnej správy je štátny dlh, ktorého podiel je až 95</w:t>
      </w:r>
      <w:r>
        <w:rPr>
          <w:rFonts w:ascii="Arial Narrow" w:hAnsi="Arial Narrow" w:cs="Arial Narrow"/>
          <w:sz w:val="22"/>
          <w:szCs w:val="24"/>
        </w:rPr>
        <w:t xml:space="preserve"> </w:t>
      </w:r>
      <w:r w:rsidRPr="009B4FDB">
        <w:rPr>
          <w:rFonts w:ascii="Arial Narrow" w:hAnsi="Arial Narrow" w:cs="Arial Narrow"/>
          <w:sz w:val="22"/>
          <w:szCs w:val="24"/>
        </w:rPr>
        <w:t xml:space="preserve">%. </w:t>
      </w:r>
    </w:p>
    <w:p w:rsidR="000802DE" w:rsidRPr="00630C2F" w:rsidP="000802DE">
      <w:pPr>
        <w:jc w:val="both"/>
        <w:rPr>
          <w:rFonts w:ascii="Arial Narrow" w:hAnsi="Arial Narrow" w:cs="Arial Narrow"/>
          <w:sz w:val="22"/>
          <w:szCs w:val="24"/>
          <w:highlight w:val="cyan"/>
        </w:rPr>
      </w:pPr>
    </w:p>
    <w:tbl>
      <w:tblPr>
        <w:tblStyle w:val="TableNormal"/>
        <w:tblW w:w="9796" w:type="dxa"/>
        <w:tblInd w:w="55" w:type="dxa"/>
        <w:tblCellMar>
          <w:left w:w="70" w:type="dxa"/>
          <w:right w:w="70" w:type="dxa"/>
        </w:tblCellMar>
      </w:tblPr>
      <w:tblGrid>
        <w:gridCol w:w="2715"/>
        <w:gridCol w:w="1440"/>
        <w:gridCol w:w="1440"/>
        <w:gridCol w:w="1440"/>
        <w:gridCol w:w="1344"/>
        <w:gridCol w:w="1417"/>
      </w:tblGrid>
      <w:tr>
        <w:tblPrEx>
          <w:tblW w:w="9796" w:type="dxa"/>
          <w:tblInd w:w="55" w:type="dxa"/>
          <w:tblCellMar>
            <w:left w:w="70" w:type="dxa"/>
            <w:right w:w="70" w:type="dxa"/>
          </w:tblCellMar>
        </w:tblPrEx>
        <w:trPr>
          <w:trHeight w:val="255"/>
        </w:trPr>
        <w:tc>
          <w:tcPr>
            <w:tcW w:w="9796" w:type="dxa"/>
            <w:gridSpan w:val="6"/>
            <w:tcBorders>
              <w:top w:val="nil"/>
              <w:left w:val="nil"/>
              <w:bottom w:val="nil"/>
              <w:right w:val="nil"/>
            </w:tcBorders>
            <w:shd w:val="clear" w:color="auto" w:fill="000000"/>
            <w:noWrap/>
            <w:textDirection w:val="lrTb"/>
            <w:vAlign w:val="bottom"/>
          </w:tcPr>
          <w:p w:rsidR="000802DE" w:rsidRPr="00C2486D" w:rsidP="007139CD">
            <w:pPr>
              <w:rPr>
                <w:rFonts w:ascii="Arial" w:hAnsi="Arial" w:cs="Arial"/>
                <w:b/>
                <w:color w:val="FFFFFF"/>
                <w:sz w:val="20"/>
                <w:szCs w:val="24"/>
              </w:rPr>
            </w:pPr>
            <w:r w:rsidRPr="00C2486D">
              <w:rPr>
                <w:rFonts w:ascii="Arial" w:hAnsi="Arial" w:cs="Arial"/>
                <w:b/>
                <w:color w:val="FFFFFF"/>
                <w:sz w:val="20"/>
                <w:szCs w:val="24"/>
              </w:rPr>
              <w:t>Dlh verejnej správy – maastrichtský</w:t>
            </w:r>
          </w:p>
        </w:tc>
      </w:tr>
      <w:tr>
        <w:tblPrEx>
          <w:tblW w:w="9796" w:type="dxa"/>
          <w:tblInd w:w="55" w:type="dxa"/>
          <w:tblCellMar>
            <w:left w:w="70" w:type="dxa"/>
            <w:right w:w="70" w:type="dxa"/>
          </w:tblCellMar>
        </w:tblPrEx>
        <w:trPr>
          <w:trHeight w:val="255"/>
        </w:trPr>
        <w:tc>
          <w:tcPr>
            <w:tcW w:w="2715"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 </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Stav v mil. €</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Stav v mil. €</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Stav v mil. €</w:t>
            </w:r>
          </w:p>
        </w:tc>
        <w:tc>
          <w:tcPr>
            <w:tcW w:w="1344"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 z HDP</w:t>
            </w:r>
          </w:p>
        </w:tc>
        <w:tc>
          <w:tcPr>
            <w:tcW w:w="1417"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 z celku</w:t>
            </w:r>
          </w:p>
        </w:tc>
      </w:tr>
      <w:tr>
        <w:tblPrEx>
          <w:tblW w:w="9796" w:type="dxa"/>
          <w:tblInd w:w="55" w:type="dxa"/>
          <w:tblCellMar>
            <w:left w:w="70" w:type="dxa"/>
            <w:right w:w="70" w:type="dxa"/>
          </w:tblCellMar>
        </w:tblPrEx>
        <w:trPr>
          <w:trHeight w:val="255"/>
        </w:trPr>
        <w:tc>
          <w:tcPr>
            <w:tcW w:w="2715"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stav k:</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k 31.12.2006</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k 31.12.2007</w:t>
            </w:r>
          </w:p>
        </w:tc>
        <w:tc>
          <w:tcPr>
            <w:tcW w:w="1440"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k 31.12.2008</w:t>
            </w:r>
          </w:p>
        </w:tc>
        <w:tc>
          <w:tcPr>
            <w:tcW w:w="1344"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k 31.12.2008</w:t>
            </w:r>
          </w:p>
        </w:tc>
        <w:tc>
          <w:tcPr>
            <w:tcW w:w="1417" w:type="dxa"/>
            <w:tcBorders>
              <w:top w:val="nil"/>
              <w:left w:val="nil"/>
              <w:bottom w:val="nil"/>
              <w:right w:val="nil"/>
            </w:tcBorders>
            <w:shd w:val="clear" w:color="auto" w:fill="C0C0C0"/>
            <w:noWrap/>
            <w:textDirection w:val="lrTb"/>
            <w:vAlign w:val="bottom"/>
          </w:tcPr>
          <w:p w:rsidR="000802DE" w:rsidRPr="00C2486D" w:rsidP="007139CD">
            <w:pPr>
              <w:rPr>
                <w:rFonts w:ascii="Arial" w:hAnsi="Arial" w:cs="Arial"/>
                <w:b/>
                <w:sz w:val="20"/>
                <w:szCs w:val="24"/>
              </w:rPr>
            </w:pPr>
            <w:r w:rsidRPr="00C2486D">
              <w:rPr>
                <w:rFonts w:ascii="Arial" w:hAnsi="Arial" w:cs="Arial"/>
                <w:b/>
                <w:sz w:val="20"/>
                <w:szCs w:val="24"/>
              </w:rPr>
              <w:t>k 31.12.2008</w:t>
            </w:r>
          </w:p>
        </w:tc>
      </w:tr>
      <w:tr>
        <w:tblPrEx>
          <w:tblW w:w="9796" w:type="dxa"/>
          <w:tblInd w:w="55" w:type="dxa"/>
          <w:tblCellMar>
            <w:left w:w="70" w:type="dxa"/>
            <w:right w:w="70" w:type="dxa"/>
          </w:tblCellMar>
        </w:tblPrEx>
        <w:trPr>
          <w:trHeight w:val="255"/>
        </w:trPr>
        <w:tc>
          <w:tcPr>
            <w:tcW w:w="2715" w:type="dxa"/>
            <w:tcBorders>
              <w:top w:val="nil"/>
              <w:left w:val="nil"/>
              <w:bottom w:val="nil"/>
              <w:right w:val="nil"/>
            </w:tcBorders>
            <w:noWrap/>
            <w:textDirection w:val="lrTb"/>
            <w:vAlign w:val="bottom"/>
          </w:tcPr>
          <w:p w:rsidR="000802DE" w:rsidRPr="00C2486D" w:rsidP="007139CD">
            <w:pPr>
              <w:rPr>
                <w:rFonts w:ascii="Arial" w:hAnsi="Arial" w:cs="Arial"/>
                <w:sz w:val="20"/>
                <w:szCs w:val="24"/>
              </w:rPr>
            </w:pPr>
            <w:r w:rsidRPr="00C2486D">
              <w:rPr>
                <w:rFonts w:ascii="Arial" w:hAnsi="Arial" w:cs="Arial"/>
                <w:sz w:val="20"/>
                <w:szCs w:val="24"/>
              </w:rPr>
              <w:t>Dlh verejnej správy - maastrichtský</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16 770</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18 053</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18 613</w:t>
            </w:r>
          </w:p>
        </w:tc>
        <w:tc>
          <w:tcPr>
            <w:tcW w:w="1344"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27,6</w:t>
            </w:r>
          </w:p>
        </w:tc>
        <w:tc>
          <w:tcPr>
            <w:tcW w:w="1417"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100,0</w:t>
            </w:r>
          </w:p>
        </w:tc>
      </w:tr>
      <w:tr>
        <w:tblPrEx>
          <w:tblW w:w="9796" w:type="dxa"/>
          <w:tblInd w:w="55" w:type="dxa"/>
          <w:tblCellMar>
            <w:left w:w="70" w:type="dxa"/>
            <w:right w:w="70" w:type="dxa"/>
          </w:tblCellMar>
        </w:tblPrEx>
        <w:trPr>
          <w:trHeight w:val="510"/>
        </w:trPr>
        <w:tc>
          <w:tcPr>
            <w:tcW w:w="2715" w:type="dxa"/>
            <w:tcBorders>
              <w:top w:val="nil"/>
              <w:left w:val="nil"/>
              <w:bottom w:val="nil"/>
              <w:right w:val="nil"/>
            </w:tcBorders>
            <w:textDirection w:val="lrTb"/>
            <w:vAlign w:val="bottom"/>
          </w:tcPr>
          <w:p w:rsidR="000802DE" w:rsidRPr="00C2486D" w:rsidP="007139CD">
            <w:pPr>
              <w:rPr>
                <w:rFonts w:ascii="Arial" w:hAnsi="Arial" w:cs="Arial"/>
                <w:color w:val="000000"/>
                <w:sz w:val="20"/>
                <w:szCs w:val="24"/>
              </w:rPr>
            </w:pPr>
            <w:r w:rsidRPr="00C2486D">
              <w:rPr>
                <w:rFonts w:ascii="Arial" w:hAnsi="Arial" w:cs="Arial"/>
                <w:color w:val="000000"/>
                <w:sz w:val="20"/>
                <w:szCs w:val="24"/>
              </w:rPr>
              <w:t>Štátny dlh (vrátane vkladov dobrov. klientov ŠP)</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16 127</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17 335</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17 684</w:t>
            </w:r>
          </w:p>
        </w:tc>
        <w:tc>
          <w:tcPr>
            <w:tcW w:w="1344"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26,3</w:t>
            </w:r>
          </w:p>
        </w:tc>
        <w:tc>
          <w:tcPr>
            <w:tcW w:w="1417"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95,0</w:t>
            </w:r>
          </w:p>
        </w:tc>
      </w:tr>
      <w:tr>
        <w:tblPrEx>
          <w:tblW w:w="9796" w:type="dxa"/>
          <w:tblInd w:w="55" w:type="dxa"/>
          <w:tblCellMar>
            <w:left w:w="70" w:type="dxa"/>
            <w:right w:w="70" w:type="dxa"/>
          </w:tblCellMar>
        </w:tblPrEx>
        <w:trPr>
          <w:trHeight w:val="510"/>
        </w:trPr>
        <w:tc>
          <w:tcPr>
            <w:tcW w:w="2715" w:type="dxa"/>
            <w:tcBorders>
              <w:top w:val="nil"/>
              <w:left w:val="nil"/>
              <w:bottom w:val="nil"/>
              <w:right w:val="nil"/>
            </w:tcBorders>
            <w:textDirection w:val="lrTb"/>
            <w:vAlign w:val="bottom"/>
          </w:tcPr>
          <w:p w:rsidR="000802DE" w:rsidRPr="00C2486D" w:rsidP="007139CD">
            <w:pPr>
              <w:rPr>
                <w:rFonts w:ascii="Arial" w:hAnsi="Arial" w:cs="Arial"/>
                <w:sz w:val="20"/>
                <w:szCs w:val="24"/>
              </w:rPr>
            </w:pPr>
            <w:r w:rsidRPr="00C2486D">
              <w:rPr>
                <w:rFonts w:ascii="Arial" w:hAnsi="Arial" w:cs="Arial"/>
                <w:sz w:val="20"/>
                <w:szCs w:val="24"/>
              </w:rPr>
              <w:t>Dlh ostatných zložiek verejnej správy</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643</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717</w:t>
            </w:r>
          </w:p>
        </w:tc>
        <w:tc>
          <w:tcPr>
            <w:tcW w:w="1440"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929</w:t>
            </w:r>
          </w:p>
        </w:tc>
        <w:tc>
          <w:tcPr>
            <w:tcW w:w="1344"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1,4</w:t>
            </w:r>
          </w:p>
        </w:tc>
        <w:tc>
          <w:tcPr>
            <w:tcW w:w="1417" w:type="dxa"/>
            <w:tcBorders>
              <w:top w:val="nil"/>
              <w:left w:val="nil"/>
              <w:bottom w:val="nil"/>
              <w:right w:val="nil"/>
            </w:tcBorders>
            <w:noWrap/>
            <w:textDirection w:val="lrTb"/>
            <w:vAlign w:val="bottom"/>
          </w:tcPr>
          <w:p w:rsidR="000802DE" w:rsidRPr="00C2486D" w:rsidP="007139CD">
            <w:pPr>
              <w:jc w:val="right"/>
              <w:rPr>
                <w:rFonts w:ascii="Arial" w:hAnsi="Arial" w:cs="Arial"/>
                <w:sz w:val="20"/>
                <w:szCs w:val="24"/>
              </w:rPr>
            </w:pPr>
            <w:r w:rsidRPr="00C2486D">
              <w:rPr>
                <w:rFonts w:ascii="Arial" w:hAnsi="Arial" w:cs="Arial"/>
                <w:sz w:val="20"/>
                <w:szCs w:val="24"/>
              </w:rPr>
              <w:t>5,0</w:t>
            </w:r>
          </w:p>
        </w:tc>
      </w:tr>
      <w:tr>
        <w:tblPrEx>
          <w:tblW w:w="9796" w:type="dxa"/>
          <w:tblInd w:w="55" w:type="dxa"/>
          <w:tblCellMar>
            <w:left w:w="70" w:type="dxa"/>
            <w:right w:w="70" w:type="dxa"/>
          </w:tblCellMar>
        </w:tblPrEx>
        <w:trPr>
          <w:trHeight w:val="255"/>
        </w:trPr>
        <w:tc>
          <w:tcPr>
            <w:tcW w:w="9796" w:type="dxa"/>
            <w:gridSpan w:val="6"/>
            <w:tcBorders>
              <w:top w:val="nil"/>
              <w:left w:val="nil"/>
              <w:bottom w:val="nil"/>
              <w:right w:val="nil"/>
            </w:tcBorders>
            <w:noWrap/>
            <w:textDirection w:val="lrTb"/>
            <w:vAlign w:val="bottom"/>
          </w:tcPr>
          <w:p w:rsidR="000802DE" w:rsidRPr="00C2486D" w:rsidP="007139CD">
            <w:pPr>
              <w:jc w:val="right"/>
              <w:rPr>
                <w:rFonts w:ascii="Arial" w:hAnsi="Arial" w:cs="Arial"/>
                <w:i/>
                <w:sz w:val="16"/>
                <w:szCs w:val="24"/>
              </w:rPr>
            </w:pPr>
            <w:r w:rsidRPr="00C2486D">
              <w:rPr>
                <w:rFonts w:ascii="Arial" w:hAnsi="Arial" w:cs="Arial"/>
                <w:i/>
                <w:sz w:val="16"/>
                <w:szCs w:val="24"/>
              </w:rPr>
              <w:t>Zdroj: MF SR</w:t>
            </w:r>
          </w:p>
        </w:tc>
      </w:tr>
    </w:tbl>
    <w:p w:rsidR="000802DE" w:rsidRPr="00707028" w:rsidP="000802DE">
      <w:pPr>
        <w:pStyle w:val="Heading1"/>
        <w:numPr>
          <w:numId w:val="2"/>
        </w:numPr>
        <w:spacing w:before="0"/>
        <w:ind w:left="357" w:hanging="357"/>
        <w:rPr>
          <w:rFonts w:ascii="Arial Narrow" w:hAnsi="Arial Narrow" w:cs="Arial Narrow"/>
          <w:color w:val="000000"/>
          <w:sz w:val="24"/>
          <w:szCs w:val="24"/>
        </w:rPr>
      </w:pPr>
      <w:r w:rsidRPr="00630C2F">
        <w:rPr>
          <w:szCs w:val="24"/>
          <w:highlight w:val="cyan"/>
        </w:rPr>
        <w:br w:type="page"/>
      </w:r>
      <w:bookmarkStart w:id="2" w:name="_Toc235596851"/>
      <w:r w:rsidRPr="00707028">
        <w:rPr>
          <w:rFonts w:ascii="Arial Narrow" w:hAnsi="Arial Narrow" w:cs="Arial Narrow"/>
          <w:color w:val="000000"/>
          <w:sz w:val="24"/>
          <w:szCs w:val="24"/>
        </w:rPr>
        <w:t>Vyhodnotenie plnenia cieľov stanovených v stratégii</w:t>
      </w:r>
      <w:bookmarkEnd w:id="2"/>
      <w:r w:rsidRPr="00707028">
        <w:rPr>
          <w:rFonts w:ascii="Arial Narrow" w:hAnsi="Arial Narrow" w:cs="Arial Narrow"/>
          <w:color w:val="000000"/>
          <w:sz w:val="24"/>
          <w:szCs w:val="24"/>
        </w:rPr>
        <w:t xml:space="preserve"> </w:t>
      </w:r>
      <w:r>
        <w:rPr>
          <w:rFonts w:ascii="Arial Narrow" w:hAnsi="Arial Narrow" w:cs="Arial Narrow"/>
          <w:color w:val="000000"/>
          <w:sz w:val="24"/>
          <w:szCs w:val="24"/>
        </w:rPr>
        <w:t xml:space="preserve"> </w:t>
      </w:r>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Z hľadiska súčasného stavu dlhového portfólia schválená stratégia riadenia štátneho dlhu pre roky 2007 až 2010 vychádza z potrieb zlepšovania a udržiavania súčasného stavu parametrov štátneho dlhu. Hlavné ciele stratégie sú:</w:t>
      </w:r>
      <w:r>
        <w:rPr>
          <w:rFonts w:ascii="Arial Narrow" w:hAnsi="Arial Narrow" w:cs="Arial Narrow"/>
          <w:color w:val="000000"/>
          <w:sz w:val="22"/>
          <w:szCs w:val="24"/>
        </w:rPr>
        <w:t xml:space="preserve"> </w:t>
      </w:r>
    </w:p>
    <w:p w:rsidR="000802DE" w:rsidRPr="002F7C96" w:rsidP="000802DE">
      <w:pPr>
        <w:numPr>
          <w:numId w:val="1"/>
        </w:numPr>
        <w:spacing w:after="120"/>
        <w:ind w:left="540" w:hanging="357"/>
        <w:jc w:val="both"/>
        <w:rPr>
          <w:rFonts w:ascii="Arial Narrow" w:hAnsi="Arial Narrow" w:cs="Arial Narrow"/>
          <w:color w:val="000000"/>
          <w:sz w:val="22"/>
          <w:szCs w:val="24"/>
        </w:rPr>
      </w:pPr>
      <w:r w:rsidRPr="002F7C96">
        <w:rPr>
          <w:rFonts w:ascii="Arial Narrow" w:hAnsi="Arial Narrow" w:cs="Arial Narrow"/>
          <w:color w:val="000000"/>
          <w:sz w:val="22"/>
          <w:szCs w:val="24"/>
        </w:rPr>
        <w:t>Zmenšenie počtu emisií nových štátnych cenných papierov a štandardizovanie veľkosti jednotlivých emisií</w:t>
      </w:r>
      <w:r>
        <w:rPr>
          <w:rFonts w:ascii="Arial Narrow" w:hAnsi="Arial Narrow" w:cs="Arial Narrow"/>
          <w:color w:val="000000"/>
          <w:sz w:val="22"/>
          <w:szCs w:val="24"/>
        </w:rPr>
        <w:t>.</w:t>
      </w:r>
    </w:p>
    <w:p w:rsidR="000802DE" w:rsidRPr="002F7C96" w:rsidP="000802DE">
      <w:pPr>
        <w:numPr>
          <w:numId w:val="1"/>
        </w:numPr>
        <w:spacing w:after="120"/>
        <w:ind w:left="540" w:hanging="357"/>
        <w:jc w:val="both"/>
        <w:rPr>
          <w:rFonts w:ascii="Arial Narrow" w:hAnsi="Arial Narrow" w:cs="Arial Narrow"/>
          <w:color w:val="000000"/>
          <w:sz w:val="22"/>
          <w:szCs w:val="24"/>
        </w:rPr>
      </w:pPr>
      <w:r w:rsidRPr="002F7C96">
        <w:rPr>
          <w:rFonts w:ascii="Arial Narrow" w:hAnsi="Arial Narrow" w:cs="Arial Narrow"/>
          <w:color w:val="000000"/>
          <w:sz w:val="22"/>
          <w:szCs w:val="24"/>
        </w:rPr>
        <w:t>Zlepšenie transparentnosti zámerov emitenta (MF SR) a jeho komunikácie s investormi a finančnými trhmi</w:t>
      </w:r>
      <w:r>
        <w:rPr>
          <w:rFonts w:ascii="Arial Narrow" w:hAnsi="Arial Narrow" w:cs="Arial Narrow"/>
          <w:color w:val="000000"/>
          <w:sz w:val="22"/>
          <w:szCs w:val="24"/>
        </w:rPr>
        <w:t>.</w:t>
      </w:r>
    </w:p>
    <w:p w:rsidR="000802DE" w:rsidRPr="002F7C96" w:rsidP="000802DE">
      <w:pPr>
        <w:numPr>
          <w:numId w:val="1"/>
        </w:numPr>
        <w:spacing w:after="120"/>
        <w:ind w:left="540" w:hanging="357"/>
        <w:jc w:val="both"/>
        <w:rPr>
          <w:rFonts w:ascii="Arial Narrow" w:hAnsi="Arial Narrow" w:cs="Arial Narrow"/>
          <w:color w:val="000000"/>
          <w:sz w:val="22"/>
          <w:szCs w:val="24"/>
        </w:rPr>
      </w:pPr>
      <w:r w:rsidRPr="002F7C96">
        <w:rPr>
          <w:rFonts w:ascii="Arial Narrow" w:hAnsi="Arial Narrow" w:cs="Arial Narrow"/>
          <w:color w:val="000000"/>
          <w:sz w:val="22"/>
          <w:szCs w:val="24"/>
        </w:rPr>
        <w:t>Optimalizácia nákladov (výdavkov) štátneho rozpočtu na obsluhu štátneho dlhu</w:t>
      </w:r>
      <w:r>
        <w:rPr>
          <w:rFonts w:ascii="Arial Narrow" w:hAnsi="Arial Narrow" w:cs="Arial Narrow"/>
          <w:color w:val="000000"/>
          <w:sz w:val="22"/>
          <w:szCs w:val="24"/>
        </w:rPr>
        <w:t>.</w:t>
      </w:r>
    </w:p>
    <w:p w:rsidR="000802DE" w:rsidRPr="002F7C96" w:rsidP="000802DE">
      <w:pPr>
        <w:numPr>
          <w:numId w:val="1"/>
        </w:numPr>
        <w:tabs>
          <w:tab w:val="clear" w:pos="360"/>
        </w:tabs>
        <w:spacing w:after="120"/>
        <w:ind w:hanging="180"/>
        <w:jc w:val="both"/>
        <w:rPr>
          <w:rFonts w:ascii="Arial Narrow" w:hAnsi="Arial Narrow" w:cs="Arial Narrow"/>
          <w:color w:val="000000"/>
          <w:sz w:val="22"/>
          <w:szCs w:val="24"/>
        </w:rPr>
      </w:pPr>
      <w:r w:rsidRPr="002F7C96">
        <w:rPr>
          <w:rFonts w:ascii="Arial Narrow" w:hAnsi="Arial Narrow" w:cs="Arial Narrow"/>
          <w:color w:val="000000"/>
          <w:sz w:val="22"/>
          <w:szCs w:val="24"/>
        </w:rPr>
        <w:t>Dosiahnutie a udržanie stanovených limitov pre refinančné a úrokové riziko, ako aj  udržanie dosiahnutej priemernej splatnosti portfólia štátnych cenných papierov a durácie portfólia štátnych cenných papierov ako sekundárnych veličín</w:t>
      </w:r>
      <w:r>
        <w:rPr>
          <w:rFonts w:ascii="Arial Narrow" w:hAnsi="Arial Narrow" w:cs="Arial Narrow"/>
          <w:color w:val="000000"/>
          <w:sz w:val="22"/>
          <w:szCs w:val="24"/>
        </w:rPr>
        <w:t>.</w:t>
      </w:r>
    </w:p>
    <w:p w:rsidR="000802DE" w:rsidRPr="002F7C96" w:rsidP="000802DE">
      <w:pPr>
        <w:numPr>
          <w:numId w:val="1"/>
        </w:numPr>
        <w:spacing w:after="120"/>
        <w:ind w:left="540" w:hanging="357"/>
        <w:jc w:val="both"/>
        <w:rPr>
          <w:rFonts w:ascii="Arial Narrow" w:hAnsi="Arial Narrow" w:cs="Arial Narrow"/>
          <w:color w:val="000000"/>
          <w:sz w:val="22"/>
          <w:szCs w:val="24"/>
        </w:rPr>
      </w:pPr>
      <w:r w:rsidRPr="002F7C96">
        <w:rPr>
          <w:rFonts w:ascii="Arial Narrow" w:hAnsi="Arial Narrow" w:cs="Arial Narrow"/>
          <w:color w:val="000000"/>
          <w:sz w:val="22"/>
          <w:szCs w:val="24"/>
        </w:rPr>
        <w:t>Postupné zväčšovanie podielu štátneho dlhu v zahraničných menác</w:t>
      </w:r>
      <w:r>
        <w:rPr>
          <w:rFonts w:ascii="Arial Narrow" w:hAnsi="Arial Narrow" w:cs="Arial Narrow"/>
          <w:color w:val="000000"/>
          <w:sz w:val="22"/>
          <w:szCs w:val="24"/>
        </w:rPr>
        <w:t>h v pomere k slovenským korunám.</w:t>
      </w:r>
    </w:p>
    <w:p w:rsidR="000802DE" w:rsidRPr="002F7C96" w:rsidP="000802DE">
      <w:pPr>
        <w:numPr>
          <w:numId w:val="1"/>
        </w:numPr>
        <w:spacing w:after="120"/>
        <w:ind w:left="540" w:hanging="357"/>
        <w:jc w:val="both"/>
        <w:rPr>
          <w:rFonts w:ascii="Arial Narrow" w:hAnsi="Arial Narrow" w:cs="Arial Narrow"/>
          <w:color w:val="000000"/>
          <w:sz w:val="22"/>
          <w:szCs w:val="24"/>
        </w:rPr>
      </w:pPr>
      <w:r w:rsidRPr="002F7C96">
        <w:rPr>
          <w:rFonts w:ascii="Arial Narrow" w:hAnsi="Arial Narrow" w:cs="Arial Narrow"/>
          <w:color w:val="000000"/>
          <w:sz w:val="22"/>
          <w:szCs w:val="24"/>
        </w:rPr>
        <w:t>Prehodnotenie a v prípade vhodných podmienok na trhu uskutočnenie emisie štátnych dlhopisov pre obyvateľstvo.</w:t>
      </w:r>
    </w:p>
    <w:p w:rsidR="000802DE" w:rsidRPr="0004106E" w:rsidP="000802DE">
      <w:pPr>
        <w:pStyle w:val="Heading3"/>
        <w:keepNext/>
        <w:numPr>
          <w:ilvl w:val="1"/>
          <w:numId w:val="2"/>
        </w:numPr>
        <w:tabs>
          <w:tab w:val="clear" w:pos="792"/>
          <w:tab w:val="num" w:pos="851"/>
        </w:tabs>
        <w:spacing w:before="240" w:after="60" w:line="240" w:lineRule="auto"/>
        <w:ind w:left="993" w:hanging="567"/>
        <w:rPr>
          <w:rFonts w:ascii="Arial Narrow" w:hAnsi="Arial Narrow" w:cs="Arial Narrow"/>
          <w:b/>
          <w:color w:val="000000"/>
          <w:sz w:val="22"/>
          <w:szCs w:val="24"/>
          <w:lang w:eastAsia="sk-SK"/>
        </w:rPr>
      </w:pPr>
      <w:bookmarkStart w:id="3" w:name="_Toc234999670"/>
      <w:bookmarkStart w:id="4" w:name="_Toc235596852"/>
      <w:r w:rsidRPr="0004106E">
        <w:rPr>
          <w:rFonts w:ascii="Arial Narrow" w:hAnsi="Arial Narrow" w:cs="Arial Narrow"/>
          <w:b/>
          <w:color w:val="000000"/>
          <w:sz w:val="22"/>
          <w:szCs w:val="24"/>
          <w:lang w:eastAsia="sk-SK"/>
        </w:rPr>
        <w:t>Zmenšenie počtu emisií nových štátnych cenných papierov a štandardizovanie ich veľkosti</w:t>
      </w:r>
      <w:bookmarkEnd w:id="3"/>
      <w:bookmarkEnd w:id="4"/>
    </w:p>
    <w:p w:rsidR="000802DE" w:rsidRPr="00E1565C" w:rsidP="000802DE">
      <w:pPr>
        <w:spacing w:after="120"/>
        <w:ind w:firstLine="708"/>
        <w:jc w:val="both"/>
        <w:rPr>
          <w:rFonts w:ascii="Arial Narrow" w:hAnsi="Arial Narrow" w:cs="Arial Narrow"/>
          <w:sz w:val="22"/>
          <w:szCs w:val="24"/>
        </w:rPr>
      </w:pPr>
      <w:bookmarkStart w:id="5" w:name="_Toc234999671"/>
      <w:r w:rsidRPr="00E1565C">
        <w:rPr>
          <w:rFonts w:ascii="Arial Narrow" w:hAnsi="Arial Narrow" w:cs="Arial Narrow"/>
          <w:sz w:val="22"/>
          <w:szCs w:val="24"/>
        </w:rPr>
        <w:t>V roku 2008 ARDAL pokračovala v štandardnej komunikácii s finančnými trhmi a investormi doma aj v zahraničí. V závere roka 2008 bol vypracovaný a zverejnený záväzný harmonogram emisií a aukcií štátnych cenných papierov na rok 2009. Publikovanie harmonogramu na celý rok vopred a jeho záväznosť sú pozitívne hodnotené domácimi a zahraničnými investormi a finančnými trhmi.</w:t>
      </w:r>
      <w:r>
        <w:rPr>
          <w:rFonts w:ascii="Arial Narrow" w:hAnsi="Arial Narrow" w:cs="Arial Narrow"/>
          <w:sz w:val="22"/>
          <w:szCs w:val="24"/>
        </w:rPr>
        <w:t xml:space="preserve"> </w:t>
      </w:r>
      <w:r w:rsidRPr="00E1565C">
        <w:rPr>
          <w:rFonts w:ascii="Arial Narrow" w:hAnsi="Arial Narrow" w:cs="Arial Narrow"/>
          <w:sz w:val="22"/>
          <w:szCs w:val="24"/>
        </w:rPr>
        <w:t>Uverejnením harmonogramu na rok 2009 sa Slovensko zaradilo k nemnohým krajinám, ktoré napriek kríze na finančných trhoch nezmenili správanie.</w:t>
      </w:r>
    </w:p>
    <w:p w:rsidR="000802DE" w:rsidRPr="00E1565C" w:rsidP="000802DE">
      <w:pPr>
        <w:jc w:val="both"/>
        <w:rPr>
          <w:rFonts w:ascii="Arial Narrow" w:hAnsi="Arial Narrow" w:cs="Arial Narrow"/>
          <w:sz w:val="22"/>
          <w:szCs w:val="24"/>
        </w:rPr>
      </w:pPr>
      <w:r w:rsidRPr="00E1565C">
        <w:rPr>
          <w:rFonts w:ascii="Arial Narrow" w:hAnsi="Arial Narrow" w:cs="Arial Narrow"/>
          <w:sz w:val="22"/>
          <w:szCs w:val="24"/>
        </w:rPr>
        <w:t xml:space="preserve">Na pravidelných interaktívnych stretnutiach s investormi ARDAL informoval o aktuálnych zámeroch MF SR a ARDAL v oblasti primárneho a sekundárneho trhu štátnych cenných papierov. Predmetom stretnutí bolo aj vyhodnotenie aukcií štátnych cenných papierov v uplynulom období. </w:t>
      </w:r>
    </w:p>
    <w:p w:rsidR="000802DE" w:rsidRPr="0004106E" w:rsidP="000802DE">
      <w:pPr>
        <w:pStyle w:val="Heading3"/>
        <w:keepNext/>
        <w:numPr>
          <w:ilvl w:val="1"/>
          <w:numId w:val="2"/>
        </w:numPr>
        <w:tabs>
          <w:tab w:val="clear" w:pos="792"/>
          <w:tab w:val="num" w:pos="851"/>
        </w:tabs>
        <w:spacing w:before="240" w:after="60" w:line="240" w:lineRule="auto"/>
        <w:ind w:left="1440" w:hanging="1014"/>
        <w:rPr>
          <w:rFonts w:ascii="Arial Narrow" w:hAnsi="Arial Narrow" w:cs="Arial Narrow"/>
          <w:b/>
          <w:color w:val="000000"/>
          <w:sz w:val="22"/>
          <w:szCs w:val="24"/>
          <w:lang w:eastAsia="sk-SK"/>
        </w:rPr>
      </w:pPr>
      <w:bookmarkStart w:id="6" w:name="_Toc235596853"/>
      <w:r w:rsidRPr="0004106E">
        <w:rPr>
          <w:rFonts w:ascii="Arial Narrow" w:hAnsi="Arial Narrow" w:cs="Arial Narrow"/>
          <w:b/>
          <w:color w:val="000000"/>
          <w:sz w:val="22"/>
          <w:szCs w:val="24"/>
          <w:lang w:eastAsia="sk-SK"/>
        </w:rPr>
        <w:t>Zlepšenie transparentnosti zámerov emitenta (MF SR)</w:t>
      </w:r>
      <w:bookmarkEnd w:id="5"/>
      <w:bookmarkEnd w:id="6"/>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Ako každý rok aj v roku 2008 ARDAL pokračovala v štandardnej komunikácii s finančnými trhmi a investormi doma aj v zahraničí. V závere roka 2008 bol vypracovaný a zverejnený záväzný harmonogram emisií a aukcií štátnych cenných papierov na rok 2009. Publikovanie záväzného harmonogramu na celý rok vopred a jeho záväznosť sú pozitívne hodnotené domácimi a zahraničnými investormi a finančnými trhmi a uverejnením harmonogramu na rok 2009 sa Slovensko zaradilo k nemnohým krajinám, ktoré napriek kríze na finančných trhoch nezmenili správanie.</w:t>
      </w:r>
    </w:p>
    <w:p w:rsidR="000802DE" w:rsidRPr="002F7C96" w:rsidP="000802DE">
      <w:pPr>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 xml:space="preserve">Na pravidelných interaktívnych stretnutiach s investormi ARDAL informoval o aktuálnych zámeroch MF SR a ARDAL v oblasti primárneho a sekundárneho trhu štátnych cenných papierov. Predmetom stretnutí bolo aj vyhodnotenie aukcií štátnych cenných papierov v uplynulom období. </w:t>
      </w:r>
    </w:p>
    <w:p w:rsidR="000802DE" w:rsidRPr="0004106E" w:rsidP="000802DE">
      <w:pPr>
        <w:pStyle w:val="Heading3"/>
        <w:keepNext/>
        <w:numPr>
          <w:ilvl w:val="1"/>
          <w:numId w:val="2"/>
        </w:numPr>
        <w:tabs>
          <w:tab w:val="clear" w:pos="792"/>
          <w:tab w:val="num" w:pos="851"/>
        </w:tabs>
        <w:spacing w:before="240" w:after="60" w:line="240" w:lineRule="auto"/>
        <w:ind w:left="1440" w:hanging="1014"/>
        <w:rPr>
          <w:rFonts w:ascii="Arial Narrow" w:hAnsi="Arial Narrow" w:cs="Arial Narrow"/>
          <w:b/>
          <w:color w:val="000000"/>
          <w:sz w:val="22"/>
          <w:szCs w:val="24"/>
          <w:lang w:eastAsia="sk-SK"/>
        </w:rPr>
      </w:pPr>
      <w:bookmarkStart w:id="7" w:name="_Toc234999672"/>
      <w:bookmarkStart w:id="8" w:name="_Toc235596854"/>
      <w:r w:rsidRPr="0004106E">
        <w:rPr>
          <w:rFonts w:ascii="Arial Narrow" w:hAnsi="Arial Narrow" w:cs="Arial Narrow"/>
          <w:b/>
          <w:color w:val="000000"/>
          <w:sz w:val="22"/>
          <w:szCs w:val="24"/>
          <w:lang w:eastAsia="sk-SK"/>
        </w:rPr>
        <w:t>Optimalizácia nákladov štátneho rozpočtu na obsluhu štátneho dlhu</w:t>
      </w:r>
      <w:bookmarkEnd w:id="7"/>
      <w:bookmarkEnd w:id="8"/>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Priemerná úroková sadzba novo emitovaných štátnych dlhopisov na domácom trhu oproti roku 2007 v súlade s pohybom úrokových sadzieb na trhu vzrástla zo 4,160 % p. a. na 4,650 % p. a. Kreditné (rizikové) marže v roku 2008 enormne vzrástli u všetkých krajín. V prípade Slovenska uvedená marža narástla, ale vďaka vstupu do EMU  bol nárast najmenší z nových členských krajín EU.</w:t>
      </w:r>
    </w:p>
    <w:p w:rsidR="000802DE" w:rsidRPr="00A659BB" w:rsidP="000802DE">
      <w:pPr>
        <w:spacing w:after="120"/>
        <w:ind w:firstLine="708"/>
        <w:jc w:val="both"/>
        <w:rPr>
          <w:rFonts w:ascii="Arial Narrow" w:hAnsi="Arial Narrow" w:cs="Arial Narrow"/>
          <w:sz w:val="22"/>
          <w:szCs w:val="24"/>
        </w:rPr>
      </w:pPr>
      <w:r w:rsidRPr="00A659BB">
        <w:rPr>
          <w:rFonts w:ascii="Arial Narrow" w:hAnsi="Arial Narrow" w:cs="Arial Narrow"/>
          <w:sz w:val="22"/>
          <w:szCs w:val="24"/>
        </w:rPr>
        <w:t>Na európskom kapitálovom trhu neboli od začiatku roku 2008 vhodné podmienky pre emisiu slovenského Eurobondu a po krachu Lehman Brothers v septembri sa zhoršili natoľko, že bolo rozhodnuté odložiť emisiu Eurobondu až na rok 2009.</w:t>
      </w:r>
      <w:r>
        <w:rPr>
          <w:rFonts w:ascii="Arial Narrow" w:hAnsi="Arial Narrow" w:cs="Arial Narrow"/>
          <w:sz w:val="22"/>
          <w:szCs w:val="24"/>
        </w:rPr>
        <w:t xml:space="preserve"> </w:t>
      </w:r>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K 31.12.2008 bola priemerná úroková sadzba portfólia nesplatených štátnych dlhopisov denominovaných v slovenských korunách 4,406 % p. a. (vážená hodnotou), štátnych dlhopisov denominovaných v </w:t>
      </w:r>
      <w:r w:rsidR="003A17C7">
        <w:rPr>
          <w:rFonts w:ascii="Arial Narrow" w:hAnsi="Arial Narrow" w:cs="Arial Narrow"/>
          <w:color w:val="000000"/>
          <w:sz w:val="22"/>
          <w:szCs w:val="24"/>
        </w:rPr>
        <w:t>eur</w:t>
      </w:r>
      <w:r w:rsidRPr="002F7C96">
        <w:rPr>
          <w:rFonts w:ascii="Arial Narrow" w:hAnsi="Arial Narrow" w:cs="Arial Narrow"/>
          <w:color w:val="000000"/>
          <w:sz w:val="22"/>
          <w:szCs w:val="24"/>
        </w:rPr>
        <w:t xml:space="preserve"> 4,804 % p. a. a celého portfólia 4,501 % p. a. (nárast z hodnoty 4,464 % p. a. z konca roka 2007).</w:t>
      </w:r>
    </w:p>
    <w:p w:rsidR="000802DE" w:rsidRPr="0004106E" w:rsidP="000802DE">
      <w:pPr>
        <w:pStyle w:val="Heading3"/>
        <w:keepNext/>
        <w:numPr>
          <w:ilvl w:val="1"/>
          <w:numId w:val="2"/>
        </w:numPr>
        <w:tabs>
          <w:tab w:val="clear" w:pos="792"/>
          <w:tab w:val="num" w:pos="851"/>
        </w:tabs>
        <w:spacing w:before="240" w:after="60" w:line="240" w:lineRule="auto"/>
        <w:ind w:left="1440" w:hanging="1014"/>
        <w:rPr>
          <w:rFonts w:ascii="Arial Narrow" w:hAnsi="Arial Narrow" w:cs="Arial Narrow"/>
          <w:b/>
          <w:color w:val="000000"/>
          <w:sz w:val="22"/>
          <w:szCs w:val="24"/>
          <w:lang w:eastAsia="sk-SK"/>
        </w:rPr>
      </w:pPr>
      <w:bookmarkStart w:id="9" w:name="_Toc234999673"/>
      <w:bookmarkStart w:id="10" w:name="_Toc235596855"/>
      <w:r w:rsidRPr="0004106E">
        <w:rPr>
          <w:rFonts w:ascii="Arial Narrow" w:hAnsi="Arial Narrow" w:cs="Arial Narrow"/>
          <w:b/>
          <w:color w:val="000000"/>
          <w:sz w:val="22"/>
          <w:szCs w:val="24"/>
          <w:lang w:eastAsia="sk-SK"/>
        </w:rPr>
        <w:t>Vyhodnotenie ukazovateľov stanovených v stratégii</w:t>
      </w:r>
      <w:bookmarkEnd w:id="9"/>
      <w:bookmarkEnd w:id="10"/>
      <w:r w:rsidRPr="0004106E">
        <w:rPr>
          <w:rFonts w:ascii="Arial Narrow" w:hAnsi="Arial Narrow" w:cs="Arial Narrow"/>
          <w:b/>
          <w:color w:val="000000"/>
          <w:sz w:val="22"/>
          <w:szCs w:val="24"/>
          <w:lang w:eastAsia="sk-SK"/>
        </w:rPr>
        <w:t xml:space="preserve"> </w:t>
      </w:r>
    </w:p>
    <w:p w:rsidR="000802DE" w:rsidRPr="002F7C96" w:rsidP="000802DE">
      <w:pPr>
        <w:spacing w:before="120"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Pre udržiavanie refinančného a úrokového rizika na akceptovateľnej úrovni bol stratégiou zavedený systém monitorovania a vyhodnocovania týchto rizík, podobne ako v iných krajinách eurozóny. Bol zavedený limit kumulatívnej splatnosti a precenenia dlhu vrátane úrokov v jednom roku a limitu kumulatívnej splatnosti a precenenia dlhu vrátane úrokov do 5 rokov. Zavedené hraničné hodnoty a ich dodržiavanie pozitívne vplývajú aj na vývoj priemernej splatnosti a durácie, ktoré sú  sledované až ako sekundárne veličiny.</w:t>
      </w:r>
    </w:p>
    <w:p w:rsidR="000802DE" w:rsidRPr="002F7C96" w:rsidP="000802DE">
      <w:pPr>
        <w:spacing w:before="120"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V prípade refinančného rizika je strategickým zámerom dodržiavanie limitu kumulatívnej splatnosti v jednom roku na 22,5 % celkového dlhu a limit kumulatívnej splatnosti na najbližších 5 rokov na 60 % celkového dlhu.</w:t>
      </w:r>
    </w:p>
    <w:p w:rsidR="000802DE" w:rsidRPr="002F7C96" w:rsidP="000802DE">
      <w:pPr>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V prípade rizika z precenenia je smerodajný limit na precenenie štátneho dlhu v prvom roku na úrovni 25 % celkového dlhu a kumulatívne za 5 rokov na úrovni  65 % celkového dlhu.</w:t>
      </w:r>
    </w:p>
    <w:p w:rsidR="000802DE" w:rsidRPr="002F7C96" w:rsidP="000802DE">
      <w:pPr>
        <w:spacing w:before="240" w:after="120"/>
        <w:jc w:val="both"/>
        <w:rPr>
          <w:rFonts w:ascii="Arial Narrow" w:hAnsi="Arial Narrow" w:cs="Arial Narrow"/>
          <w:i/>
          <w:color w:val="000000"/>
          <w:sz w:val="22"/>
          <w:szCs w:val="24"/>
        </w:rPr>
      </w:pPr>
      <w:r w:rsidRPr="002F7C96">
        <w:rPr>
          <w:rFonts w:ascii="Arial Narrow" w:hAnsi="Arial Narrow" w:cs="Arial Narrow"/>
          <w:i/>
          <w:color w:val="000000"/>
          <w:sz w:val="22"/>
          <w:szCs w:val="24"/>
        </w:rPr>
        <w:t>Refinančné riziko</w:t>
      </w:r>
      <w:r>
        <w:rPr>
          <w:rFonts w:ascii="Arial Narrow" w:hAnsi="Arial Narrow" w:cs="Arial Narrow"/>
          <w:i/>
          <w:color w:val="000000"/>
          <w:sz w:val="22"/>
          <w:szCs w:val="24"/>
        </w:rPr>
        <w:t xml:space="preserve"> </w:t>
      </w:r>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Kumulatívna splatnosť v jednom roku k 31.12.2008 bola 21,36 % (k 31.6.2009 je to 21,38 %) z celkovej hodnoty dlhu (maximum podľa stratégie je 22,5 %) a kumulatívna splatnosť na najbližších 5 rokov 57,86 % z celkovej hodnoty dlhu (k 31.6.2009 je to 62,07 %), pričom limit je maximálne 60 %</w:t>
      </w:r>
      <w:r>
        <w:rPr>
          <w:rFonts w:ascii="Arial Narrow" w:hAnsi="Arial Narrow" w:cs="Arial Narrow"/>
          <w:color w:val="000000"/>
          <w:sz w:val="22"/>
          <w:szCs w:val="24"/>
        </w:rPr>
        <w:t>. Z toho vyplýva, že v súčasnosti sa mierne neplní len limit pri 5 ročnej kumulatívnej splatnosti</w:t>
      </w:r>
      <w:r w:rsidRPr="002F7C96">
        <w:rPr>
          <w:rFonts w:ascii="Arial Narrow" w:hAnsi="Arial Narrow" w:cs="Arial Narrow"/>
          <w:color w:val="000000"/>
          <w:sz w:val="22"/>
          <w:szCs w:val="24"/>
        </w:rPr>
        <w:t xml:space="preserve">. Kríza na finančných trhoch, príklon investorov k veľmi krátkym splatnostiam a nevýhodné podmienky na vydanie eurobondu pomocou syndikátu zapríčinilo zväčšenie podielu finančných prostriedkov (so splatnosťou do 1 roka) použitých zo systému Štátnej pokladnice (ŠP) oproti začiatku roka 2008, čím sa zmenila štruktúra krytia dlhu. K 31.12.2008 MF SR prostredníctvom refinančného systému ŠP využívalo pre potreby krytia dlhu 2,30 mld. </w:t>
      </w:r>
      <w:r>
        <w:rPr>
          <w:rFonts w:ascii="Arial Narrow" w:hAnsi="Arial Narrow" w:cs="Arial Narrow"/>
          <w:color w:val="000000"/>
          <w:sz w:val="22"/>
          <w:szCs w:val="24"/>
        </w:rPr>
        <w:t>eur</w:t>
      </w:r>
      <w:r w:rsidRPr="002F7C96">
        <w:rPr>
          <w:rFonts w:ascii="Arial Narrow" w:hAnsi="Arial Narrow" w:cs="Arial Narrow"/>
          <w:color w:val="000000"/>
          <w:sz w:val="22"/>
          <w:szCs w:val="24"/>
        </w:rPr>
        <w:t xml:space="preserve"> (69,35 mld. Sk).</w:t>
      </w:r>
    </w:p>
    <w:p w:rsidR="000802DE" w:rsidRPr="002F7C96" w:rsidP="000802DE">
      <w:pPr>
        <w:ind w:left="708"/>
        <w:jc w:val="both"/>
        <w:rPr>
          <w:rFonts w:ascii="Arial Narrow" w:hAnsi="Arial Narrow" w:cs="Arial Narrow"/>
          <w:i/>
          <w:color w:val="000000"/>
          <w:sz w:val="22"/>
          <w:szCs w:val="24"/>
        </w:rPr>
      </w:pPr>
      <w:r w:rsidRPr="002F7C96">
        <w:rPr>
          <w:rFonts w:ascii="Arial Narrow" w:hAnsi="Arial Narrow" w:cs="Arial Narrow"/>
          <w:i/>
          <w:color w:val="000000"/>
          <w:sz w:val="22"/>
          <w:szCs w:val="24"/>
        </w:rPr>
        <w:t xml:space="preserve">       Ukazovatele refinančného rizika:</w:t>
      </w:r>
    </w:p>
    <w:tbl>
      <w:tblPr>
        <w:tblStyle w:val="TableNormal"/>
        <w:tblW w:w="7190" w:type="dxa"/>
        <w:jc w:val="center"/>
        <w:tblInd w:w="0" w:type="dxa"/>
        <w:tblCellMar>
          <w:left w:w="70" w:type="dxa"/>
          <w:right w:w="70" w:type="dxa"/>
        </w:tblCellMar>
      </w:tblPr>
      <w:tblGrid>
        <w:gridCol w:w="630"/>
        <w:gridCol w:w="1120"/>
        <w:gridCol w:w="1341"/>
        <w:gridCol w:w="819"/>
        <w:gridCol w:w="1120"/>
        <w:gridCol w:w="1341"/>
        <w:gridCol w:w="819"/>
      </w:tblGrid>
      <w:tr>
        <w:tblPrEx>
          <w:tblW w:w="7190" w:type="dxa"/>
          <w:jc w:val="center"/>
          <w:tblInd w:w="0" w:type="dxa"/>
          <w:tblCellMar>
            <w:left w:w="70" w:type="dxa"/>
            <w:right w:w="70" w:type="dxa"/>
          </w:tblCellMar>
        </w:tblPrEx>
        <w:trPr>
          <w:trHeight w:val="255"/>
          <w:jc w:val="center"/>
        </w:trPr>
        <w:tc>
          <w:tcPr>
            <w:tcW w:w="630" w:type="dxa"/>
            <w:tcBorders>
              <w:top w:val="single" w:sz="4" w:space="0" w:color="auto"/>
              <w:left w:val="single" w:sz="4" w:space="0" w:color="auto"/>
              <w:bottom w:val="nil"/>
              <w:right w:val="nil"/>
            </w:tcBorders>
            <w:shd w:val="clear" w:color="auto" w:fill="000000"/>
            <w:noWrap/>
            <w:textDirection w:val="lrTb"/>
            <w:vAlign w:val="bottom"/>
          </w:tcPr>
          <w:p w:rsidR="000802DE" w:rsidRPr="00397902" w:rsidP="007139CD">
            <w:pPr>
              <w:rPr>
                <w:rFonts w:ascii="Arial" w:hAnsi="Arial" w:cs="Arial"/>
                <w:b/>
                <w:color w:val="FFFFFF"/>
                <w:sz w:val="20"/>
                <w:szCs w:val="24"/>
              </w:rPr>
            </w:pPr>
          </w:p>
        </w:tc>
        <w:tc>
          <w:tcPr>
            <w:tcW w:w="3280" w:type="dxa"/>
            <w:gridSpan w:val="3"/>
            <w:tcBorders>
              <w:top w:val="single" w:sz="4" w:space="0" w:color="auto"/>
              <w:left w:val="nil"/>
              <w:bottom w:val="nil"/>
              <w:right w:val="nil"/>
            </w:tcBorders>
            <w:shd w:val="clear" w:color="auto" w:fill="000000"/>
            <w:noWrap/>
            <w:textDirection w:val="lrTb"/>
            <w:vAlign w:val="bottom"/>
          </w:tcPr>
          <w:p w:rsidR="000802DE" w:rsidRPr="00397902" w:rsidP="007139CD">
            <w:pPr>
              <w:jc w:val="center"/>
              <w:rPr>
                <w:rFonts w:ascii="Arial" w:hAnsi="Arial" w:cs="Arial"/>
                <w:b/>
                <w:color w:val="FFFFFF"/>
                <w:sz w:val="20"/>
                <w:szCs w:val="24"/>
              </w:rPr>
            </w:pPr>
            <w:r w:rsidRPr="00397902">
              <w:rPr>
                <w:rFonts w:ascii="Arial" w:hAnsi="Arial" w:cs="Arial"/>
                <w:b/>
                <w:color w:val="FFFFFF"/>
                <w:sz w:val="20"/>
                <w:szCs w:val="24"/>
              </w:rPr>
              <w:t>Refinančné riziko k 31.12.2008</w:t>
            </w:r>
          </w:p>
        </w:tc>
        <w:tc>
          <w:tcPr>
            <w:tcW w:w="3280" w:type="dxa"/>
            <w:gridSpan w:val="3"/>
            <w:tcBorders>
              <w:top w:val="single" w:sz="4" w:space="0" w:color="auto"/>
              <w:left w:val="nil"/>
              <w:bottom w:val="nil"/>
              <w:right w:val="nil"/>
            </w:tcBorders>
            <w:shd w:val="clear" w:color="auto" w:fill="000000"/>
            <w:noWrap/>
            <w:textDirection w:val="lrTb"/>
            <w:vAlign w:val="bottom"/>
          </w:tcPr>
          <w:p w:rsidR="000802DE" w:rsidRPr="00397902" w:rsidP="007139CD">
            <w:pPr>
              <w:jc w:val="center"/>
              <w:rPr>
                <w:rFonts w:ascii="Arial" w:hAnsi="Arial" w:cs="Arial"/>
                <w:b/>
                <w:color w:val="FFFFFF"/>
                <w:sz w:val="20"/>
                <w:szCs w:val="24"/>
              </w:rPr>
            </w:pPr>
            <w:r w:rsidRPr="00397902">
              <w:rPr>
                <w:rFonts w:ascii="Arial" w:hAnsi="Arial" w:cs="Arial"/>
                <w:b/>
                <w:color w:val="FFFFFF"/>
                <w:sz w:val="20"/>
                <w:szCs w:val="24"/>
              </w:rPr>
              <w:t>Refinančné riziko k 31.6.2009</w:t>
            </w:r>
          </w:p>
        </w:tc>
      </w:tr>
      <w:tr>
        <w:tblPrEx>
          <w:tblW w:w="7190" w:type="dxa"/>
          <w:jc w:val="center"/>
          <w:tblInd w:w="0" w:type="dxa"/>
          <w:tblCellMar>
            <w:left w:w="70" w:type="dxa"/>
            <w:right w:w="70" w:type="dxa"/>
          </w:tblCellMar>
        </w:tblPrEx>
        <w:trPr>
          <w:trHeight w:val="510"/>
          <w:jc w:val="center"/>
        </w:trPr>
        <w:tc>
          <w:tcPr>
            <w:tcW w:w="630" w:type="dxa"/>
            <w:tcBorders>
              <w:top w:val="nil"/>
              <w:left w:val="single" w:sz="4" w:space="0" w:color="auto"/>
              <w:bottom w:val="nil"/>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Roky</w:t>
            </w:r>
          </w:p>
        </w:tc>
        <w:tc>
          <w:tcPr>
            <w:tcW w:w="1120"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Účtovný dlh</w:t>
            </w:r>
          </w:p>
        </w:tc>
        <w:tc>
          <w:tcPr>
            <w:tcW w:w="1341"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Dlh podľa Maastrichtu*</w:t>
            </w:r>
          </w:p>
        </w:tc>
        <w:tc>
          <w:tcPr>
            <w:tcW w:w="819" w:type="dxa"/>
            <w:tcBorders>
              <w:top w:val="nil"/>
              <w:left w:val="nil"/>
              <w:bottom w:val="nil"/>
              <w:right w:val="single" w:sz="4" w:space="0" w:color="auto"/>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Limit</w:t>
            </w:r>
          </w:p>
        </w:tc>
        <w:tc>
          <w:tcPr>
            <w:tcW w:w="1120"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Účtovný dlh</w:t>
            </w:r>
          </w:p>
        </w:tc>
        <w:tc>
          <w:tcPr>
            <w:tcW w:w="1341"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Dlh podľa Maastrichtu*</w:t>
            </w:r>
          </w:p>
        </w:tc>
        <w:tc>
          <w:tcPr>
            <w:tcW w:w="819" w:type="dxa"/>
            <w:tcBorders>
              <w:top w:val="nil"/>
              <w:left w:val="nil"/>
              <w:bottom w:val="nil"/>
              <w:right w:val="single" w:sz="4" w:space="0" w:color="auto"/>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Limit</w:t>
            </w:r>
          </w:p>
        </w:tc>
      </w:tr>
      <w:tr>
        <w:tblPrEx>
          <w:tblW w:w="7190" w:type="dxa"/>
          <w:jc w:val="center"/>
          <w:tblInd w:w="0" w:type="dxa"/>
          <w:tblCellMar>
            <w:left w:w="70" w:type="dxa"/>
            <w:right w:w="70" w:type="dxa"/>
          </w:tblCellMar>
        </w:tblPrEx>
        <w:trPr>
          <w:trHeight w:val="255"/>
          <w:jc w:val="center"/>
        </w:trPr>
        <w:tc>
          <w:tcPr>
            <w:tcW w:w="630" w:type="dxa"/>
            <w:tcBorders>
              <w:top w:val="nil"/>
              <w:left w:val="single" w:sz="4" w:space="0" w:color="auto"/>
              <w:bottom w:val="nil"/>
              <w:right w:val="nil"/>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1</w:t>
            </w:r>
          </w:p>
        </w:tc>
        <w:tc>
          <w:tcPr>
            <w:tcW w:w="1120"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21,36%</w:t>
            </w:r>
          </w:p>
        </w:tc>
        <w:tc>
          <w:tcPr>
            <w:tcW w:w="1341"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19,47%</w:t>
            </w:r>
          </w:p>
        </w:tc>
        <w:tc>
          <w:tcPr>
            <w:tcW w:w="819" w:type="dxa"/>
            <w:tcBorders>
              <w:top w:val="nil"/>
              <w:left w:val="nil"/>
              <w:bottom w:val="nil"/>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22,50%</w:t>
            </w:r>
          </w:p>
        </w:tc>
        <w:tc>
          <w:tcPr>
            <w:tcW w:w="1120"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21,38%</w:t>
            </w:r>
          </w:p>
        </w:tc>
        <w:tc>
          <w:tcPr>
            <w:tcW w:w="1341"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18,69%</w:t>
            </w:r>
          </w:p>
        </w:tc>
        <w:tc>
          <w:tcPr>
            <w:tcW w:w="819" w:type="dxa"/>
            <w:tcBorders>
              <w:top w:val="nil"/>
              <w:left w:val="nil"/>
              <w:bottom w:val="nil"/>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22,50%</w:t>
            </w:r>
          </w:p>
        </w:tc>
      </w:tr>
      <w:tr>
        <w:tblPrEx>
          <w:tblW w:w="7190" w:type="dxa"/>
          <w:jc w:val="center"/>
          <w:tblInd w:w="0" w:type="dxa"/>
          <w:tblCellMar>
            <w:left w:w="70" w:type="dxa"/>
            <w:right w:w="70" w:type="dxa"/>
          </w:tblCellMar>
        </w:tblPrEx>
        <w:trPr>
          <w:trHeight w:val="255"/>
          <w:jc w:val="center"/>
        </w:trPr>
        <w:tc>
          <w:tcPr>
            <w:tcW w:w="630" w:type="dxa"/>
            <w:tcBorders>
              <w:top w:val="nil"/>
              <w:left w:val="single" w:sz="4" w:space="0" w:color="auto"/>
              <w:bottom w:val="single" w:sz="4" w:space="0" w:color="auto"/>
              <w:right w:val="nil"/>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5</w:t>
            </w:r>
          </w:p>
        </w:tc>
        <w:tc>
          <w:tcPr>
            <w:tcW w:w="1120"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57,86%</w:t>
            </w:r>
          </w:p>
        </w:tc>
        <w:tc>
          <w:tcPr>
            <w:tcW w:w="1341"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56,84%</w:t>
            </w:r>
          </w:p>
        </w:tc>
        <w:tc>
          <w:tcPr>
            <w:tcW w:w="819" w:type="dxa"/>
            <w:tcBorders>
              <w:top w:val="nil"/>
              <w:left w:val="nil"/>
              <w:bottom w:val="single" w:sz="4" w:space="0" w:color="auto"/>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60,00%</w:t>
            </w:r>
          </w:p>
        </w:tc>
        <w:tc>
          <w:tcPr>
            <w:tcW w:w="1120"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62,07%</w:t>
            </w:r>
          </w:p>
        </w:tc>
        <w:tc>
          <w:tcPr>
            <w:tcW w:w="1341"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60,77%</w:t>
            </w:r>
          </w:p>
        </w:tc>
        <w:tc>
          <w:tcPr>
            <w:tcW w:w="819" w:type="dxa"/>
            <w:tcBorders>
              <w:top w:val="nil"/>
              <w:left w:val="nil"/>
              <w:bottom w:val="single" w:sz="4" w:space="0" w:color="auto"/>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60,00%</w:t>
            </w:r>
          </w:p>
        </w:tc>
      </w:tr>
    </w:tbl>
    <w:p w:rsidR="000802DE" w:rsidRPr="002F7C96" w:rsidP="000802DE">
      <w:pPr>
        <w:ind w:left="992" w:firstLine="708"/>
        <w:jc w:val="both"/>
        <w:rPr>
          <w:rFonts w:ascii="Arial Narrow" w:hAnsi="Arial Narrow" w:cs="Arial Narrow"/>
          <w:color w:val="000000"/>
          <w:sz w:val="22"/>
          <w:szCs w:val="24"/>
        </w:rPr>
      </w:pPr>
      <w:r w:rsidRPr="002F7C96">
        <w:rPr>
          <w:rFonts w:ascii="Arial Narrow" w:hAnsi="Arial Narrow" w:cs="Arial Narrow"/>
          <w:i/>
          <w:color w:val="000000"/>
          <w:sz w:val="22"/>
          <w:szCs w:val="24"/>
        </w:rPr>
        <w:t>* Dlh podľa Maastrichtu nezahŕňa záväzky MF SR voči Štátnej pokladnici.</w:t>
      </w:r>
    </w:p>
    <w:p w:rsidR="000802DE" w:rsidRPr="002F7C96" w:rsidP="000802DE">
      <w:pPr>
        <w:jc w:val="both"/>
        <w:rPr>
          <w:rFonts w:ascii="Arial Narrow" w:hAnsi="Arial Narrow" w:cs="Arial Narrow"/>
          <w:color w:val="000000"/>
          <w:sz w:val="22"/>
          <w:szCs w:val="24"/>
        </w:rPr>
      </w:pPr>
    </w:p>
    <w:p w:rsidR="000802DE" w:rsidRPr="002F7C96" w:rsidP="000802DE">
      <w:pPr>
        <w:spacing w:after="120"/>
        <w:jc w:val="both"/>
        <w:rPr>
          <w:rFonts w:ascii="Arial Narrow" w:hAnsi="Arial Narrow" w:cs="Arial Narrow"/>
          <w:i/>
          <w:color w:val="000000"/>
          <w:sz w:val="22"/>
          <w:szCs w:val="24"/>
        </w:rPr>
      </w:pPr>
      <w:r w:rsidRPr="002F7C96">
        <w:rPr>
          <w:rFonts w:ascii="Arial Narrow" w:hAnsi="Arial Narrow" w:cs="Arial Narrow"/>
          <w:i/>
          <w:color w:val="000000"/>
          <w:sz w:val="22"/>
          <w:szCs w:val="24"/>
        </w:rPr>
        <w:t>Úrokové riziko</w:t>
      </w:r>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Stanovený limit z precenenia štátneho dlhu v prvom roku na úrovni 25 % celkového dlhu bol aj v minulosti prekročený a dosahoval k 31.12.2008 hodnotu 29,53 % (k 31.6.2009 sa zhoršil na 30,72 %). Pri posudzovaní kumulatívnej hodnoty  za 5 rokov bol stanovený limit na úrovni  65 % celkového dlhu dodržaný. Ku koncu roka 2008 dosahoval hodnotu 59,91 % z celkového dlhu (k 31.6.2009 je tento limit mierne prekročený 65,26 %).</w:t>
      </w:r>
    </w:p>
    <w:p w:rsidR="000802DE" w:rsidRPr="002F7C96" w:rsidP="000802DE">
      <w:pPr>
        <w:ind w:left="708"/>
        <w:jc w:val="both"/>
        <w:rPr>
          <w:rFonts w:ascii="Arial Narrow" w:hAnsi="Arial Narrow" w:cs="Arial Narrow"/>
          <w:i/>
          <w:color w:val="000000"/>
          <w:sz w:val="22"/>
          <w:szCs w:val="24"/>
        </w:rPr>
      </w:pPr>
      <w:r w:rsidRPr="002F7C96">
        <w:rPr>
          <w:rFonts w:ascii="Arial Narrow" w:hAnsi="Arial Narrow" w:cs="Arial Narrow"/>
          <w:i/>
          <w:color w:val="000000"/>
          <w:sz w:val="22"/>
          <w:szCs w:val="24"/>
        </w:rPr>
        <w:t xml:space="preserve">      Ukazovatele úrokového rizika:</w:t>
      </w:r>
    </w:p>
    <w:tbl>
      <w:tblPr>
        <w:tblStyle w:val="TableNormal"/>
        <w:tblW w:w="7190" w:type="dxa"/>
        <w:jc w:val="center"/>
        <w:tblInd w:w="0" w:type="dxa"/>
        <w:tblCellMar>
          <w:left w:w="70" w:type="dxa"/>
          <w:right w:w="70" w:type="dxa"/>
        </w:tblCellMar>
      </w:tblPr>
      <w:tblGrid>
        <w:gridCol w:w="630"/>
        <w:gridCol w:w="1120"/>
        <w:gridCol w:w="1341"/>
        <w:gridCol w:w="819"/>
        <w:gridCol w:w="1120"/>
        <w:gridCol w:w="1341"/>
        <w:gridCol w:w="819"/>
      </w:tblGrid>
      <w:tr>
        <w:tblPrEx>
          <w:tblW w:w="7190" w:type="dxa"/>
          <w:jc w:val="center"/>
          <w:tblInd w:w="0" w:type="dxa"/>
          <w:tblCellMar>
            <w:left w:w="70" w:type="dxa"/>
            <w:right w:w="70" w:type="dxa"/>
          </w:tblCellMar>
        </w:tblPrEx>
        <w:trPr>
          <w:trHeight w:val="255"/>
          <w:jc w:val="center"/>
        </w:trPr>
        <w:tc>
          <w:tcPr>
            <w:tcW w:w="630" w:type="dxa"/>
            <w:tcBorders>
              <w:top w:val="single" w:sz="4" w:space="0" w:color="auto"/>
              <w:left w:val="single" w:sz="4" w:space="0" w:color="auto"/>
              <w:bottom w:val="nil"/>
              <w:right w:val="nil"/>
            </w:tcBorders>
            <w:shd w:val="clear" w:color="auto" w:fill="000000"/>
            <w:noWrap/>
            <w:textDirection w:val="lrTb"/>
            <w:vAlign w:val="bottom"/>
          </w:tcPr>
          <w:p w:rsidR="000802DE" w:rsidRPr="00397902" w:rsidP="007139CD">
            <w:pPr>
              <w:rPr>
                <w:rFonts w:ascii="Arial" w:hAnsi="Arial" w:cs="Arial"/>
                <w:b/>
                <w:color w:val="FFFFFF"/>
                <w:sz w:val="20"/>
                <w:szCs w:val="24"/>
              </w:rPr>
            </w:pPr>
          </w:p>
        </w:tc>
        <w:tc>
          <w:tcPr>
            <w:tcW w:w="3280" w:type="dxa"/>
            <w:gridSpan w:val="3"/>
            <w:tcBorders>
              <w:top w:val="single" w:sz="4" w:space="0" w:color="auto"/>
              <w:left w:val="nil"/>
              <w:bottom w:val="nil"/>
              <w:right w:val="single" w:sz="4" w:space="0" w:color="000000"/>
            </w:tcBorders>
            <w:shd w:val="clear" w:color="auto" w:fill="000000"/>
            <w:noWrap/>
            <w:textDirection w:val="lrTb"/>
            <w:vAlign w:val="bottom"/>
          </w:tcPr>
          <w:p w:rsidR="000802DE" w:rsidRPr="00397902" w:rsidP="007139CD">
            <w:pPr>
              <w:jc w:val="center"/>
              <w:rPr>
                <w:rFonts w:ascii="Arial" w:hAnsi="Arial" w:cs="Arial"/>
                <w:b/>
                <w:color w:val="FFFFFF"/>
                <w:sz w:val="20"/>
                <w:szCs w:val="24"/>
              </w:rPr>
            </w:pPr>
            <w:r w:rsidRPr="00397902">
              <w:rPr>
                <w:rFonts w:ascii="Arial" w:hAnsi="Arial" w:cs="Arial"/>
                <w:b/>
                <w:color w:val="FFFFFF"/>
                <w:sz w:val="20"/>
                <w:szCs w:val="24"/>
              </w:rPr>
              <w:t>Úrokové riziko k 31.12.2008</w:t>
            </w:r>
          </w:p>
        </w:tc>
        <w:tc>
          <w:tcPr>
            <w:tcW w:w="3280" w:type="dxa"/>
            <w:gridSpan w:val="3"/>
            <w:tcBorders>
              <w:top w:val="single" w:sz="4" w:space="0" w:color="auto"/>
              <w:left w:val="nil"/>
              <w:bottom w:val="nil"/>
              <w:right w:val="single" w:sz="4" w:space="0" w:color="000000"/>
            </w:tcBorders>
            <w:shd w:val="clear" w:color="auto" w:fill="000000"/>
            <w:noWrap/>
            <w:textDirection w:val="lrTb"/>
            <w:vAlign w:val="bottom"/>
          </w:tcPr>
          <w:p w:rsidR="000802DE" w:rsidRPr="00397902" w:rsidP="007139CD">
            <w:pPr>
              <w:jc w:val="center"/>
              <w:rPr>
                <w:rFonts w:ascii="Arial" w:hAnsi="Arial" w:cs="Arial"/>
                <w:b/>
                <w:color w:val="FFFFFF"/>
                <w:sz w:val="20"/>
                <w:szCs w:val="24"/>
              </w:rPr>
            </w:pPr>
            <w:r w:rsidRPr="00397902">
              <w:rPr>
                <w:rFonts w:ascii="Arial" w:hAnsi="Arial" w:cs="Arial"/>
                <w:b/>
                <w:color w:val="FFFFFF"/>
                <w:sz w:val="20"/>
                <w:szCs w:val="24"/>
              </w:rPr>
              <w:t>Úrokové riziko k 31.6.2009</w:t>
            </w:r>
          </w:p>
        </w:tc>
      </w:tr>
      <w:tr>
        <w:tblPrEx>
          <w:tblW w:w="7190" w:type="dxa"/>
          <w:jc w:val="center"/>
          <w:tblInd w:w="0" w:type="dxa"/>
          <w:tblCellMar>
            <w:left w:w="70" w:type="dxa"/>
            <w:right w:w="70" w:type="dxa"/>
          </w:tblCellMar>
        </w:tblPrEx>
        <w:trPr>
          <w:trHeight w:val="510"/>
          <w:jc w:val="center"/>
        </w:trPr>
        <w:tc>
          <w:tcPr>
            <w:tcW w:w="630" w:type="dxa"/>
            <w:tcBorders>
              <w:top w:val="nil"/>
              <w:left w:val="single" w:sz="4" w:space="0" w:color="auto"/>
              <w:bottom w:val="nil"/>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Roky</w:t>
            </w:r>
          </w:p>
        </w:tc>
        <w:tc>
          <w:tcPr>
            <w:tcW w:w="1120"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Účtovný dlh</w:t>
            </w:r>
          </w:p>
        </w:tc>
        <w:tc>
          <w:tcPr>
            <w:tcW w:w="1341" w:type="dxa"/>
            <w:tcBorders>
              <w:top w:val="nil"/>
              <w:left w:val="nil"/>
              <w:bottom w:val="none" w:sz="0" w:space="0" w:color="auto"/>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Dlh podľa Maastrichtu*</w:t>
            </w:r>
          </w:p>
        </w:tc>
        <w:tc>
          <w:tcPr>
            <w:tcW w:w="819" w:type="dxa"/>
            <w:tcBorders>
              <w:top w:val="nil"/>
              <w:left w:val="nil"/>
              <w:bottom w:val="nil"/>
              <w:right w:val="single" w:sz="4" w:space="0" w:color="auto"/>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Limit</w:t>
            </w:r>
          </w:p>
        </w:tc>
        <w:tc>
          <w:tcPr>
            <w:tcW w:w="1120" w:type="dxa"/>
            <w:tcBorders>
              <w:top w:val="nil"/>
              <w:left w:val="nil"/>
              <w:bottom w:val="nil"/>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Účtovný dlh</w:t>
            </w:r>
          </w:p>
        </w:tc>
        <w:tc>
          <w:tcPr>
            <w:tcW w:w="1341" w:type="dxa"/>
            <w:tcBorders>
              <w:top w:val="nil"/>
              <w:left w:val="nil"/>
              <w:bottom w:val="nil"/>
              <w:right w:val="nil"/>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Dlh podľa Maastrichtu*</w:t>
            </w:r>
          </w:p>
        </w:tc>
        <w:tc>
          <w:tcPr>
            <w:tcW w:w="819" w:type="dxa"/>
            <w:tcBorders>
              <w:top w:val="nil"/>
              <w:left w:val="nil"/>
              <w:bottom w:val="nil"/>
              <w:right w:val="single" w:sz="4" w:space="0" w:color="auto"/>
            </w:tcBorders>
            <w:shd w:val="clear" w:color="auto" w:fill="C0C0C0"/>
            <w:textDirection w:val="lrTb"/>
            <w:vAlign w:val="bottom"/>
          </w:tcPr>
          <w:p w:rsidR="000802DE" w:rsidRPr="002F7C96" w:rsidP="007139CD">
            <w:pPr>
              <w:rPr>
                <w:rFonts w:ascii="Arial" w:hAnsi="Arial" w:cs="Arial"/>
                <w:b/>
                <w:color w:val="000000"/>
                <w:sz w:val="20"/>
                <w:szCs w:val="24"/>
              </w:rPr>
            </w:pPr>
            <w:r w:rsidRPr="002F7C96">
              <w:rPr>
                <w:rFonts w:ascii="Arial" w:hAnsi="Arial" w:cs="Arial"/>
                <w:b/>
                <w:color w:val="000000"/>
                <w:sz w:val="20"/>
                <w:szCs w:val="24"/>
              </w:rPr>
              <w:t>Limit</w:t>
            </w:r>
          </w:p>
        </w:tc>
      </w:tr>
      <w:tr>
        <w:tblPrEx>
          <w:tblW w:w="7190" w:type="dxa"/>
          <w:jc w:val="center"/>
          <w:tblInd w:w="0" w:type="dxa"/>
          <w:tblCellMar>
            <w:left w:w="70" w:type="dxa"/>
            <w:right w:w="70" w:type="dxa"/>
          </w:tblCellMar>
        </w:tblPrEx>
        <w:trPr>
          <w:trHeight w:val="255"/>
          <w:jc w:val="center"/>
        </w:trPr>
        <w:tc>
          <w:tcPr>
            <w:tcW w:w="630" w:type="dxa"/>
            <w:tcBorders>
              <w:top w:val="nil"/>
              <w:left w:val="single" w:sz="4" w:space="0" w:color="auto"/>
              <w:bottom w:val="nil"/>
              <w:right w:val="nil"/>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1</w:t>
            </w:r>
          </w:p>
        </w:tc>
        <w:tc>
          <w:tcPr>
            <w:tcW w:w="1120"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29,53%</w:t>
            </w:r>
          </w:p>
        </w:tc>
        <w:tc>
          <w:tcPr>
            <w:tcW w:w="1341"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27,83%</w:t>
            </w:r>
          </w:p>
        </w:tc>
        <w:tc>
          <w:tcPr>
            <w:tcW w:w="819" w:type="dxa"/>
            <w:tcBorders>
              <w:top w:val="nil"/>
              <w:left w:val="nil"/>
              <w:bottom w:val="nil"/>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25,00%</w:t>
            </w:r>
          </w:p>
        </w:tc>
        <w:tc>
          <w:tcPr>
            <w:tcW w:w="1120"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30,72%</w:t>
            </w:r>
          </w:p>
        </w:tc>
        <w:tc>
          <w:tcPr>
            <w:tcW w:w="1341" w:type="dxa"/>
            <w:tcBorders>
              <w:top w:val="nil"/>
              <w:left w:val="nil"/>
              <w:bottom w:val="nil"/>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28,35%</w:t>
            </w:r>
          </w:p>
        </w:tc>
        <w:tc>
          <w:tcPr>
            <w:tcW w:w="819" w:type="dxa"/>
            <w:tcBorders>
              <w:top w:val="nil"/>
              <w:left w:val="nil"/>
              <w:bottom w:val="nil"/>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25,00%</w:t>
            </w:r>
          </w:p>
        </w:tc>
      </w:tr>
      <w:tr>
        <w:tblPrEx>
          <w:tblW w:w="7190" w:type="dxa"/>
          <w:jc w:val="center"/>
          <w:tblInd w:w="0" w:type="dxa"/>
          <w:tblCellMar>
            <w:left w:w="70" w:type="dxa"/>
            <w:right w:w="70" w:type="dxa"/>
          </w:tblCellMar>
        </w:tblPrEx>
        <w:trPr>
          <w:trHeight w:val="255"/>
          <w:jc w:val="center"/>
        </w:trPr>
        <w:tc>
          <w:tcPr>
            <w:tcW w:w="630" w:type="dxa"/>
            <w:tcBorders>
              <w:top w:val="nil"/>
              <w:left w:val="single" w:sz="4" w:space="0" w:color="auto"/>
              <w:bottom w:val="single" w:sz="4" w:space="0" w:color="auto"/>
              <w:right w:val="nil"/>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5</w:t>
            </w:r>
          </w:p>
        </w:tc>
        <w:tc>
          <w:tcPr>
            <w:tcW w:w="1120"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59,91%</w:t>
            </w:r>
          </w:p>
        </w:tc>
        <w:tc>
          <w:tcPr>
            <w:tcW w:w="1341"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58,94%</w:t>
            </w:r>
          </w:p>
        </w:tc>
        <w:tc>
          <w:tcPr>
            <w:tcW w:w="819" w:type="dxa"/>
            <w:tcBorders>
              <w:top w:val="nil"/>
              <w:left w:val="nil"/>
              <w:bottom w:val="single" w:sz="4" w:space="0" w:color="auto"/>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65,00%</w:t>
            </w:r>
          </w:p>
        </w:tc>
        <w:tc>
          <w:tcPr>
            <w:tcW w:w="1120"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65,26%</w:t>
            </w:r>
          </w:p>
        </w:tc>
        <w:tc>
          <w:tcPr>
            <w:tcW w:w="1341" w:type="dxa"/>
            <w:tcBorders>
              <w:top w:val="nil"/>
              <w:left w:val="nil"/>
              <w:bottom w:val="single" w:sz="4" w:space="0" w:color="auto"/>
              <w:right w:val="nil"/>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64,07%</w:t>
            </w:r>
          </w:p>
        </w:tc>
        <w:tc>
          <w:tcPr>
            <w:tcW w:w="819" w:type="dxa"/>
            <w:tcBorders>
              <w:top w:val="nil"/>
              <w:left w:val="nil"/>
              <w:bottom w:val="single" w:sz="4" w:space="0" w:color="auto"/>
              <w:right w:val="single" w:sz="4" w:space="0" w:color="auto"/>
            </w:tcBorders>
            <w:noWrap/>
            <w:textDirection w:val="lrTb"/>
            <w:vAlign w:val="bottom"/>
          </w:tcPr>
          <w:p w:rsidR="000802DE" w:rsidRPr="002F7C96" w:rsidP="007139CD">
            <w:pPr>
              <w:jc w:val="right"/>
              <w:rPr>
                <w:rFonts w:ascii="Arial" w:hAnsi="Arial" w:cs="Arial"/>
                <w:color w:val="000000"/>
                <w:sz w:val="20"/>
                <w:szCs w:val="24"/>
              </w:rPr>
            </w:pPr>
            <w:r w:rsidRPr="002F7C96">
              <w:rPr>
                <w:rFonts w:ascii="Arial" w:hAnsi="Arial" w:cs="Arial"/>
                <w:color w:val="000000"/>
                <w:sz w:val="20"/>
                <w:szCs w:val="24"/>
              </w:rPr>
              <w:t>65,00%</w:t>
            </w:r>
          </w:p>
        </w:tc>
      </w:tr>
    </w:tbl>
    <w:p w:rsidR="000802DE" w:rsidRPr="002F7C96" w:rsidP="000802DE">
      <w:pPr>
        <w:ind w:left="992" w:firstLine="708"/>
        <w:jc w:val="both"/>
        <w:rPr>
          <w:rFonts w:ascii="Arial Narrow" w:hAnsi="Arial Narrow" w:cs="Arial Narrow"/>
          <w:color w:val="000000"/>
          <w:sz w:val="22"/>
          <w:szCs w:val="24"/>
        </w:rPr>
      </w:pPr>
      <w:r w:rsidRPr="002F7C96">
        <w:rPr>
          <w:rFonts w:ascii="Arial Narrow" w:hAnsi="Arial Narrow" w:cs="Arial Narrow"/>
          <w:i/>
          <w:color w:val="000000"/>
          <w:sz w:val="22"/>
          <w:szCs w:val="24"/>
        </w:rPr>
        <w:t>* Dlh podľa Maastrichtu nezahŕňa záväzky MF SR voči Štátnej pokladnici.</w:t>
      </w:r>
    </w:p>
    <w:p w:rsidR="000802DE" w:rsidRPr="002F7C96" w:rsidP="000802DE">
      <w:pPr>
        <w:spacing w:after="120"/>
        <w:jc w:val="both"/>
        <w:rPr>
          <w:rFonts w:ascii="Arial Narrow" w:hAnsi="Arial Narrow" w:cs="Arial Narrow"/>
          <w:color w:val="000000"/>
          <w:sz w:val="22"/>
          <w:szCs w:val="24"/>
        </w:rPr>
      </w:pPr>
    </w:p>
    <w:p w:rsidR="000802DE" w:rsidRPr="002F7C96" w:rsidP="000802DE">
      <w:pPr>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V porovnaní s inými európskymi krajinami MF SR prostredníctvom systému ŠP využíva voľné verejné zdroje v oveľa väčšom rozsahu, čo prináša väčšie šetrenie výdavkov štátneho rozpočtu, ale zároveň zhoršenie niektorých dôležitých podielových ukazovateľov štátneho dlhu</w:t>
      </w:r>
      <w:r>
        <w:rPr>
          <w:rFonts w:ascii="Arial Narrow" w:hAnsi="Arial Narrow" w:cs="Arial Narrow"/>
          <w:color w:val="000000"/>
          <w:sz w:val="22"/>
          <w:szCs w:val="24"/>
        </w:rPr>
        <w:t xml:space="preserve">. Zdroje zo ŠP majú krátkodobý charakter a preto zhoršujú ukazovatele refinančného rizika, avšak pri ich využívaní </w:t>
      </w:r>
      <w:r w:rsidRPr="002F7C96">
        <w:rPr>
          <w:rFonts w:ascii="Arial Narrow" w:hAnsi="Arial Narrow" w:cs="Arial Narrow"/>
          <w:color w:val="000000"/>
          <w:sz w:val="22"/>
          <w:szCs w:val="24"/>
        </w:rPr>
        <w:t>nehrozí nedostatok likvidity, nakoľko tieto zdroje „neopustia“ systém v krátkom časovom horizonte a</w:t>
      </w:r>
      <w:r>
        <w:rPr>
          <w:rFonts w:ascii="Arial Narrow" w:hAnsi="Arial Narrow" w:cs="Arial Narrow"/>
          <w:color w:val="000000"/>
          <w:sz w:val="22"/>
          <w:szCs w:val="24"/>
        </w:rPr>
        <w:t> </w:t>
      </w:r>
      <w:r w:rsidRPr="002F7C96">
        <w:rPr>
          <w:rFonts w:ascii="Arial Narrow" w:hAnsi="Arial Narrow" w:cs="Arial Narrow"/>
          <w:color w:val="000000"/>
          <w:sz w:val="22"/>
          <w:szCs w:val="24"/>
        </w:rPr>
        <w:t>neočakávane</w:t>
      </w:r>
      <w:r>
        <w:rPr>
          <w:rFonts w:ascii="Arial Narrow" w:hAnsi="Arial Narrow" w:cs="Arial Narrow"/>
          <w:color w:val="000000"/>
          <w:sz w:val="22"/>
          <w:szCs w:val="24"/>
        </w:rPr>
        <w:t xml:space="preserve">. Podobne pri úrokovom riziku, zdroje zo ŠP, vzhľadom na ich charakter, reagujú na zmeny krátkodobých úrokových sadzieb na trhu, avšak ich zmeny nie sú výraznejšie ako zmeny trhových sadzieb.  </w:t>
      </w:r>
    </w:p>
    <w:p w:rsidR="000802DE" w:rsidRPr="002F7C96" w:rsidP="000802DE">
      <w:pPr>
        <w:ind w:left="454"/>
        <w:jc w:val="both"/>
        <w:rPr>
          <w:rFonts w:ascii="Arial Narrow" w:hAnsi="Arial Narrow" w:cs="Arial Narrow"/>
          <w:color w:val="000000"/>
          <w:sz w:val="22"/>
          <w:szCs w:val="24"/>
        </w:rPr>
      </w:pPr>
    </w:p>
    <w:p w:rsidR="000802DE" w:rsidRPr="002F7C96" w:rsidP="000802DE">
      <w:pPr>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Zlepšenie týchto ukazovateľov by bolo možné úpravami cez finančné deriváty (prevažne úrokové swapy), ktoré sú bežne využívané v iných dlhových agentúrach, zmenou pohyblivých úrokových sadzieb na fixné. Predpokladom realizácie týchto obchodov je dobudovanie potrebnej infraštruktúry, najmä zlepšenie podmienok platobného styku, účtovnej metodiky a podpísanie tzv. ISDA zmluvy. Daný stav je tiež možné vylepšiť aj prípadnou zahraničnou emisiou s fixným kupónom a splatnosťou 10 a viac rokov, nakoľko predaj takejto emisie na domácom trhu je pre nízky záujem zo strany investorov limitovaný.</w:t>
      </w:r>
    </w:p>
    <w:p w:rsidR="000802DE" w:rsidRPr="002F7C96" w:rsidP="000802DE">
      <w:pPr>
        <w:spacing w:after="120"/>
        <w:jc w:val="both"/>
        <w:rPr>
          <w:rFonts w:ascii="Arial Narrow" w:hAnsi="Arial Narrow" w:cs="Arial Narrow"/>
          <w:i/>
          <w:color w:val="000000"/>
          <w:sz w:val="22"/>
          <w:szCs w:val="24"/>
        </w:rPr>
      </w:pPr>
    </w:p>
    <w:p w:rsidR="000802DE" w:rsidRPr="002F7C96" w:rsidP="000802DE">
      <w:pPr>
        <w:spacing w:after="120"/>
        <w:jc w:val="both"/>
        <w:rPr>
          <w:rFonts w:ascii="Arial Narrow" w:hAnsi="Arial Narrow" w:cs="Arial Narrow"/>
          <w:i/>
          <w:color w:val="000000"/>
          <w:sz w:val="22"/>
          <w:szCs w:val="24"/>
        </w:rPr>
      </w:pPr>
      <w:r w:rsidRPr="002F7C96">
        <w:rPr>
          <w:rFonts w:ascii="Arial Narrow" w:hAnsi="Arial Narrow" w:cs="Arial Narrow"/>
          <w:i/>
          <w:color w:val="000000"/>
          <w:sz w:val="22"/>
          <w:szCs w:val="24"/>
        </w:rPr>
        <w:t>Vývoj durácie a priemernej splatnosti</w:t>
      </w:r>
    </w:p>
    <w:p w:rsidR="000802DE" w:rsidRPr="002F7C96" w:rsidP="000802DE">
      <w:pPr>
        <w:spacing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 xml:space="preserve">Tieto veličiny sú, podľa Stratégie riadenia štátneho dlhu na roky 2007 až 2010 sledované až ako sekundárne. Uvedené ukazovatele sú na stabilnej úrovni viac rokov. </w:t>
      </w:r>
      <w:r>
        <w:rPr>
          <w:rFonts w:ascii="Arial Narrow" w:hAnsi="Arial Narrow" w:cs="Arial Narrow"/>
          <w:color w:val="000000"/>
          <w:sz w:val="22"/>
          <w:szCs w:val="24"/>
        </w:rPr>
        <w:t xml:space="preserve"> </w:t>
      </w:r>
    </w:p>
    <w:p w:rsidR="000802DE" w:rsidRPr="002F7C96" w:rsidP="000802DE">
      <w:pPr>
        <w:ind w:firstLine="540"/>
        <w:jc w:val="both"/>
        <w:rPr>
          <w:rFonts w:ascii="Arial Narrow" w:hAnsi="Arial Narrow" w:cs="Arial Narrow"/>
          <w:i/>
          <w:color w:val="000000"/>
          <w:sz w:val="22"/>
          <w:szCs w:val="24"/>
        </w:rPr>
      </w:pPr>
      <w:r w:rsidRPr="002F7C96">
        <w:rPr>
          <w:rFonts w:ascii="Arial Narrow" w:hAnsi="Arial Narrow" w:cs="Arial Narrow"/>
          <w:i/>
          <w:color w:val="000000"/>
          <w:sz w:val="22"/>
          <w:szCs w:val="24"/>
        </w:rPr>
        <w:t xml:space="preserve"> Vývoj durácie a priemernej splatnosti portfólia dlhopisov a úverov:</w:t>
      </w:r>
    </w:p>
    <w:tbl>
      <w:tblPr>
        <w:tblStyle w:val="TableNormal"/>
        <w:tblW w:w="8043" w:type="dxa"/>
        <w:jc w:val="center"/>
        <w:tblInd w:w="0" w:type="dxa"/>
        <w:tblCellMar>
          <w:left w:w="70" w:type="dxa"/>
          <w:right w:w="70" w:type="dxa"/>
        </w:tblCellMar>
      </w:tblPr>
      <w:tblGrid>
        <w:gridCol w:w="2204"/>
        <w:gridCol w:w="697"/>
        <w:gridCol w:w="697"/>
        <w:gridCol w:w="697"/>
        <w:gridCol w:w="697"/>
        <w:gridCol w:w="697"/>
        <w:gridCol w:w="697"/>
        <w:gridCol w:w="697"/>
        <w:gridCol w:w="960"/>
      </w:tblGrid>
      <w:tr>
        <w:tblPrEx>
          <w:tblW w:w="8043" w:type="dxa"/>
          <w:jc w:val="center"/>
          <w:tblInd w:w="0" w:type="dxa"/>
          <w:tblCellMar>
            <w:left w:w="70" w:type="dxa"/>
            <w:right w:w="70" w:type="dxa"/>
          </w:tblCellMar>
        </w:tblPrEx>
        <w:trPr>
          <w:trHeight w:val="255"/>
          <w:jc w:val="center"/>
        </w:trPr>
        <w:tc>
          <w:tcPr>
            <w:tcW w:w="220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802DE" w:rsidRPr="005F3DE6" w:rsidP="007139CD">
            <w:pPr>
              <w:jc w:val="center"/>
              <w:rPr>
                <w:rFonts w:ascii="Arial" w:hAnsi="Arial" w:cs="Arial"/>
                <w:b/>
                <w:color w:val="FFFFFF"/>
                <w:sz w:val="20"/>
                <w:szCs w:val="24"/>
              </w:rPr>
            </w:pPr>
            <w:r w:rsidRPr="005F3DE6">
              <w:rPr>
                <w:rFonts w:ascii="Arial" w:hAnsi="Arial" w:cs="Arial"/>
                <w:b/>
                <w:color w:val="FFFFFF"/>
                <w:sz w:val="20"/>
                <w:szCs w:val="24"/>
              </w:rPr>
              <w:t>Rok</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2002</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2003</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2004</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2005</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2006</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2007</w:t>
            </w:r>
          </w:p>
        </w:tc>
        <w:tc>
          <w:tcPr>
            <w:tcW w:w="697"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2008</w:t>
            </w:r>
          </w:p>
        </w:tc>
        <w:tc>
          <w:tcPr>
            <w:tcW w:w="960" w:type="dxa"/>
            <w:tcBorders>
              <w:top w:val="single" w:sz="4" w:space="0" w:color="auto"/>
              <w:left w:val="nil"/>
              <w:bottom w:val="single" w:sz="4" w:space="0" w:color="auto"/>
              <w:right w:val="single" w:sz="4" w:space="0" w:color="auto"/>
            </w:tcBorders>
            <w:shd w:val="clear" w:color="auto" w:fill="000000"/>
            <w:textDirection w:val="lrTb"/>
            <w:vAlign w:val="center"/>
          </w:tcPr>
          <w:p w:rsidR="000802DE" w:rsidRPr="005F3DE6" w:rsidP="007139CD">
            <w:pPr>
              <w:rPr>
                <w:rFonts w:ascii="Arial" w:hAnsi="Arial" w:cs="Arial"/>
                <w:b/>
                <w:color w:val="FFFFFF"/>
                <w:sz w:val="20"/>
                <w:szCs w:val="24"/>
              </w:rPr>
            </w:pPr>
            <w:r w:rsidRPr="005F3DE6">
              <w:rPr>
                <w:rFonts w:ascii="Arial" w:hAnsi="Arial" w:cs="Arial"/>
                <w:b/>
                <w:color w:val="FFFFFF"/>
                <w:sz w:val="20"/>
                <w:szCs w:val="24"/>
              </w:rPr>
              <w:t>2009*</w:t>
            </w:r>
          </w:p>
        </w:tc>
      </w:tr>
      <w:tr>
        <w:tblPrEx>
          <w:tblW w:w="8043" w:type="dxa"/>
          <w:jc w:val="center"/>
          <w:tblInd w:w="0" w:type="dxa"/>
          <w:tblCellMar>
            <w:left w:w="70" w:type="dxa"/>
            <w:right w:w="70" w:type="dxa"/>
          </w:tblCellMar>
        </w:tblPrEx>
        <w:trPr>
          <w:trHeight w:val="255"/>
          <w:jc w:val="center"/>
        </w:trPr>
        <w:tc>
          <w:tcPr>
            <w:tcW w:w="2204" w:type="dxa"/>
            <w:tcBorders>
              <w:top w:val="nil"/>
              <w:left w:val="single" w:sz="4" w:space="0" w:color="auto"/>
              <w:bottom w:val="single" w:sz="4" w:space="0" w:color="auto"/>
              <w:right w:val="single" w:sz="4" w:space="0" w:color="auto"/>
            </w:tcBorders>
            <w:textDirection w:val="lrTb"/>
            <w:vAlign w:val="center"/>
          </w:tcPr>
          <w:p w:rsidR="000802DE" w:rsidRPr="002F7C96" w:rsidP="007139CD">
            <w:pPr>
              <w:jc w:val="center"/>
              <w:rPr>
                <w:rFonts w:ascii="Arial" w:hAnsi="Arial" w:cs="Arial"/>
                <w:b/>
                <w:color w:val="000000"/>
                <w:sz w:val="20"/>
                <w:szCs w:val="24"/>
              </w:rPr>
            </w:pPr>
            <w:r w:rsidRPr="002F7C96">
              <w:rPr>
                <w:rFonts w:ascii="Arial" w:hAnsi="Arial" w:cs="Arial"/>
                <w:b/>
                <w:color w:val="000000"/>
                <w:sz w:val="20"/>
                <w:szCs w:val="24"/>
              </w:rPr>
              <w:t>Durácia</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2,8</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2,43</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3,55</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3,16</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3,99</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4,13</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4,39</w:t>
            </w:r>
          </w:p>
        </w:tc>
        <w:tc>
          <w:tcPr>
            <w:tcW w:w="960" w:type="dxa"/>
            <w:tcBorders>
              <w:top w:val="nil"/>
              <w:left w:val="nil"/>
              <w:bottom w:val="single" w:sz="4" w:space="0" w:color="auto"/>
              <w:right w:val="single" w:sz="4" w:space="0" w:color="auto"/>
            </w:tcBorders>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4,22</w:t>
            </w:r>
          </w:p>
        </w:tc>
      </w:tr>
      <w:tr>
        <w:tblPrEx>
          <w:tblW w:w="8043" w:type="dxa"/>
          <w:jc w:val="center"/>
          <w:tblInd w:w="0" w:type="dxa"/>
          <w:tblCellMar>
            <w:left w:w="70" w:type="dxa"/>
            <w:right w:w="70" w:type="dxa"/>
          </w:tblCellMar>
        </w:tblPrEx>
        <w:trPr>
          <w:trHeight w:val="355"/>
          <w:jc w:val="center"/>
        </w:trPr>
        <w:tc>
          <w:tcPr>
            <w:tcW w:w="2204" w:type="dxa"/>
            <w:tcBorders>
              <w:top w:val="nil"/>
              <w:left w:val="single" w:sz="4" w:space="0" w:color="auto"/>
              <w:bottom w:val="single" w:sz="4" w:space="0" w:color="auto"/>
              <w:right w:val="single" w:sz="4" w:space="0" w:color="auto"/>
            </w:tcBorders>
            <w:textDirection w:val="lrTb"/>
            <w:vAlign w:val="center"/>
          </w:tcPr>
          <w:p w:rsidR="000802DE" w:rsidRPr="002F7C96" w:rsidP="007139CD">
            <w:pPr>
              <w:jc w:val="center"/>
              <w:rPr>
                <w:rFonts w:ascii="Arial" w:hAnsi="Arial" w:cs="Arial"/>
                <w:b/>
                <w:color w:val="000000"/>
                <w:sz w:val="20"/>
                <w:szCs w:val="24"/>
              </w:rPr>
            </w:pPr>
            <w:r w:rsidRPr="002F7C96">
              <w:rPr>
                <w:rFonts w:ascii="Arial" w:hAnsi="Arial" w:cs="Arial"/>
                <w:b/>
                <w:color w:val="000000"/>
                <w:sz w:val="20"/>
                <w:szCs w:val="24"/>
              </w:rPr>
              <w:t>Priemerná splatnosť</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3,29</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3,82</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4,65</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4,55</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5,13</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5,07</w:t>
            </w:r>
          </w:p>
        </w:tc>
        <w:tc>
          <w:tcPr>
            <w:tcW w:w="697" w:type="dxa"/>
            <w:tcBorders>
              <w:top w:val="nil"/>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5,29</w:t>
            </w:r>
          </w:p>
        </w:tc>
        <w:tc>
          <w:tcPr>
            <w:tcW w:w="960" w:type="dxa"/>
            <w:tcBorders>
              <w:top w:val="nil"/>
              <w:left w:val="nil"/>
              <w:bottom w:val="single" w:sz="4" w:space="0" w:color="auto"/>
              <w:right w:val="single" w:sz="4" w:space="0" w:color="auto"/>
            </w:tcBorders>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5,02</w:t>
            </w:r>
          </w:p>
        </w:tc>
      </w:tr>
    </w:tbl>
    <w:p w:rsidR="000802DE" w:rsidRPr="002F7C96" w:rsidP="000802DE">
      <w:pPr>
        <w:ind w:left="5664" w:firstLine="708"/>
        <w:jc w:val="center"/>
        <w:rPr>
          <w:rFonts w:ascii="Arial Narrow" w:hAnsi="Arial Narrow" w:cs="Arial Narrow"/>
          <w:i/>
          <w:color w:val="000000"/>
          <w:sz w:val="22"/>
          <w:szCs w:val="24"/>
        </w:rPr>
      </w:pPr>
      <w:r w:rsidRPr="002F7C96">
        <w:rPr>
          <w:rFonts w:ascii="Arial Narrow" w:hAnsi="Arial Narrow" w:cs="Arial Narrow"/>
          <w:i/>
          <w:color w:val="000000"/>
          <w:sz w:val="22"/>
          <w:szCs w:val="24"/>
        </w:rPr>
        <w:t>* údaje k 30.06.2009</w:t>
      </w:r>
    </w:p>
    <w:p w:rsidR="000802DE" w:rsidRPr="00D43D37" w:rsidP="000802DE">
      <w:pPr>
        <w:pStyle w:val="Heading3"/>
        <w:keepNext/>
        <w:numPr>
          <w:ilvl w:val="1"/>
          <w:numId w:val="2"/>
        </w:numPr>
        <w:tabs>
          <w:tab w:val="clear" w:pos="792"/>
          <w:tab w:val="num" w:pos="851"/>
        </w:tabs>
        <w:spacing w:before="240" w:after="60" w:line="240" w:lineRule="auto"/>
        <w:ind w:left="1440" w:hanging="1014"/>
        <w:rPr>
          <w:rFonts w:ascii="Arial Narrow" w:hAnsi="Arial Narrow" w:cs="Arial Narrow"/>
          <w:b/>
          <w:color w:val="000000"/>
          <w:sz w:val="22"/>
          <w:szCs w:val="24"/>
          <w:lang w:eastAsia="sk-SK"/>
        </w:rPr>
      </w:pPr>
      <w:bookmarkStart w:id="11" w:name="_Toc234999674"/>
      <w:bookmarkStart w:id="12" w:name="_Toc235596856"/>
      <w:r w:rsidRPr="00D43D37">
        <w:rPr>
          <w:rFonts w:ascii="Arial Narrow" w:hAnsi="Arial Narrow" w:cs="Arial Narrow"/>
          <w:b/>
          <w:color w:val="000000"/>
          <w:sz w:val="22"/>
          <w:szCs w:val="24"/>
          <w:lang w:eastAsia="sk-SK"/>
        </w:rPr>
        <w:t xml:space="preserve">Optimalizácia podielu štátneho dlhu v domácej mene voči </w:t>
      </w:r>
      <w:bookmarkEnd w:id="11"/>
      <w:bookmarkEnd w:id="12"/>
      <w:r>
        <w:rPr>
          <w:rFonts w:ascii="Arial Narrow" w:hAnsi="Arial Narrow" w:cs="Arial Narrow"/>
          <w:b/>
          <w:color w:val="000000"/>
          <w:sz w:val="22"/>
          <w:szCs w:val="24"/>
          <w:lang w:eastAsia="sk-SK"/>
        </w:rPr>
        <w:t>euru</w:t>
      </w:r>
    </w:p>
    <w:p w:rsidR="000802DE" w:rsidRPr="002F7C96" w:rsidP="000802DE">
      <w:pPr>
        <w:spacing w:before="120" w:after="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V súlade so zámerom uvedeným v stratégii riadenia dlhu vydať každý rok jeden Eurobond Slovensko malo v pláne emitovať v roku 2008 dlhopis na európskom trhu. Pretrvávajúce nevýhodné podmienky zapríčinené zhoršujúcou sa krízou na finančných trhoch spôsobili odklad emisie na druhý polrok. Pád banky Lehman Brothers v septembri 2008 a následné zastavenie obchodovania na trhoch znemožnilo akékoľvek úvahy o vydaní eurobondu prostredníctvom syndikátu.</w:t>
      </w:r>
    </w:p>
    <w:p w:rsidR="000802DE" w:rsidRPr="002F7C96" w:rsidP="000802DE">
      <w:pPr>
        <w:spacing w:after="24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Keďže začiatkom roku 2009 vstúpilo Slovensko do EMU</w:t>
      </w:r>
      <w:r>
        <w:rPr>
          <w:rFonts w:ascii="Arial Narrow" w:hAnsi="Arial Narrow" w:cs="Arial Narrow"/>
          <w:color w:val="000000"/>
          <w:sz w:val="22"/>
          <w:szCs w:val="24"/>
        </w:rPr>
        <w:t>,</w:t>
      </w:r>
      <w:r w:rsidRPr="002F7C96">
        <w:rPr>
          <w:rFonts w:ascii="Arial Narrow" w:hAnsi="Arial Narrow" w:cs="Arial Narrow"/>
          <w:color w:val="000000"/>
          <w:sz w:val="22"/>
          <w:szCs w:val="24"/>
        </w:rPr>
        <w:t xml:space="preserve"> v ďalšom období je vydávanie dlhopisov v cudzích menách podmienené výhodnosťou takého zadlženia v zmysle menších nákladov, alebo menšieho rizika (napr. diverzifikácia investorského portfólia, zmenšenie refinančného rizika, výhodná doba do splatnosti). </w:t>
      </w:r>
    </w:p>
    <w:tbl>
      <w:tblPr>
        <w:tblStyle w:val="TableNormal"/>
        <w:tblW w:w="7575" w:type="dxa"/>
        <w:jc w:val="center"/>
        <w:tblInd w:w="0" w:type="dxa"/>
        <w:tblCellMar>
          <w:left w:w="70" w:type="dxa"/>
          <w:right w:w="70" w:type="dxa"/>
        </w:tblCellMar>
      </w:tblPr>
      <w:tblGrid>
        <w:gridCol w:w="3280"/>
        <w:gridCol w:w="1055"/>
        <w:gridCol w:w="1080"/>
        <w:gridCol w:w="1080"/>
        <w:gridCol w:w="1080"/>
      </w:tblGrid>
      <w:tr>
        <w:tblPrEx>
          <w:tblW w:w="7575" w:type="dxa"/>
          <w:jc w:val="center"/>
          <w:tblInd w:w="0" w:type="dxa"/>
          <w:tblCellMar>
            <w:left w:w="70" w:type="dxa"/>
            <w:right w:w="70" w:type="dxa"/>
          </w:tblCellMar>
        </w:tblPrEx>
        <w:trPr>
          <w:trHeight w:val="255"/>
          <w:jc w:val="center"/>
        </w:trPr>
        <w:tc>
          <w:tcPr>
            <w:tcW w:w="3280"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 xml:space="preserve">Štruktúra dlhopisov podľa meny </w:t>
            </w:r>
          </w:p>
        </w:tc>
        <w:tc>
          <w:tcPr>
            <w:tcW w:w="1055"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XII-2006</w:t>
            </w:r>
          </w:p>
        </w:tc>
        <w:tc>
          <w:tcPr>
            <w:tcW w:w="1080"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XII-2007</w:t>
            </w:r>
          </w:p>
        </w:tc>
        <w:tc>
          <w:tcPr>
            <w:tcW w:w="1080" w:type="dxa"/>
            <w:tcBorders>
              <w:top w:val="single" w:sz="4" w:space="0" w:color="auto"/>
              <w:left w:val="nil"/>
              <w:bottom w:val="single" w:sz="4" w:space="0" w:color="auto"/>
              <w:right w:val="single" w:sz="4" w:space="0" w:color="auto"/>
            </w:tcBorders>
            <w:shd w:val="clear" w:color="auto" w:fill="000000"/>
            <w:textDirection w:val="lrTb"/>
            <w:vAlign w:val="bottom"/>
          </w:tcPr>
          <w:p w:rsidR="000802DE" w:rsidRPr="005F3DE6" w:rsidP="007139CD">
            <w:pPr>
              <w:jc w:val="both"/>
              <w:rPr>
                <w:rFonts w:ascii="Arial" w:hAnsi="Arial" w:cs="Arial"/>
                <w:b/>
                <w:color w:val="FFFFFF"/>
                <w:sz w:val="20"/>
                <w:szCs w:val="24"/>
              </w:rPr>
            </w:pPr>
            <w:r w:rsidRPr="005F3DE6">
              <w:rPr>
                <w:rFonts w:ascii="Arial" w:hAnsi="Arial" w:cs="Arial"/>
                <w:b/>
                <w:color w:val="FFFFFF"/>
                <w:sz w:val="20"/>
                <w:szCs w:val="24"/>
              </w:rPr>
              <w:t>XII -2008</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0802DE" w:rsidRPr="005F3DE6" w:rsidP="007139CD">
            <w:pPr>
              <w:rPr>
                <w:rFonts w:ascii="Arial" w:hAnsi="Arial" w:cs="Arial"/>
                <w:b/>
                <w:color w:val="FFFFFF"/>
                <w:sz w:val="20"/>
                <w:szCs w:val="24"/>
              </w:rPr>
            </w:pPr>
            <w:r w:rsidRPr="005F3DE6">
              <w:rPr>
                <w:rFonts w:ascii="Arial" w:hAnsi="Arial" w:cs="Arial"/>
                <w:b/>
                <w:color w:val="FFFFFF"/>
                <w:sz w:val="20"/>
                <w:szCs w:val="24"/>
              </w:rPr>
              <w:t>VI -2009</w:t>
            </w:r>
          </w:p>
        </w:tc>
      </w:tr>
      <w:tr>
        <w:tblPrEx>
          <w:tblW w:w="7575" w:type="dxa"/>
          <w:jc w:val="center"/>
          <w:tblInd w:w="0" w:type="dxa"/>
          <w:tblCellMar>
            <w:left w:w="70" w:type="dxa"/>
            <w:right w:w="70" w:type="dxa"/>
          </w:tblCellMar>
        </w:tblPrEx>
        <w:trPr>
          <w:trHeight w:val="255"/>
          <w:jc w:val="center"/>
        </w:trPr>
        <w:tc>
          <w:tcPr>
            <w:tcW w:w="3280" w:type="dxa"/>
            <w:tcBorders>
              <w:top w:val="nil"/>
              <w:left w:val="single" w:sz="4" w:space="0" w:color="auto"/>
              <w:bottom w:val="single" w:sz="4" w:space="0" w:color="auto"/>
              <w:right w:val="single" w:sz="4" w:space="0" w:color="auto"/>
            </w:tcBorders>
            <w:noWrap/>
            <w:textDirection w:val="lrTb"/>
            <w:vAlign w:val="bottom"/>
          </w:tcPr>
          <w:p w:rsidR="000802DE" w:rsidRPr="002F7C96" w:rsidP="007139CD">
            <w:pPr>
              <w:jc w:val="both"/>
              <w:rPr>
                <w:rFonts w:ascii="Arial" w:hAnsi="Arial" w:cs="Arial"/>
                <w:color w:val="000000"/>
                <w:sz w:val="20"/>
                <w:szCs w:val="24"/>
              </w:rPr>
            </w:pPr>
            <w:r w:rsidRPr="002F7C96">
              <w:rPr>
                <w:rFonts w:ascii="Arial" w:hAnsi="Arial" w:cs="Arial"/>
                <w:color w:val="000000"/>
                <w:sz w:val="20"/>
                <w:szCs w:val="24"/>
              </w:rPr>
              <w:t>EUR</w:t>
            </w:r>
          </w:p>
        </w:tc>
        <w:tc>
          <w:tcPr>
            <w:tcW w:w="1055" w:type="dxa"/>
            <w:tcBorders>
              <w:top w:val="single" w:sz="4" w:space="0" w:color="auto"/>
              <w:left w:val="nil"/>
              <w:bottom w:val="single" w:sz="4" w:space="0" w:color="auto"/>
              <w:right w:val="single" w:sz="4" w:space="0" w:color="auto"/>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19,81%</w:t>
            </w:r>
          </w:p>
        </w:tc>
        <w:tc>
          <w:tcPr>
            <w:tcW w:w="1080" w:type="dxa"/>
            <w:tcBorders>
              <w:top w:val="nil"/>
              <w:left w:val="nil"/>
              <w:bottom w:val="single" w:sz="4" w:space="0" w:color="auto"/>
              <w:right w:val="single" w:sz="4" w:space="0" w:color="auto"/>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24,24%</w:t>
            </w:r>
          </w:p>
        </w:tc>
        <w:tc>
          <w:tcPr>
            <w:tcW w:w="1080" w:type="dxa"/>
            <w:tcBorders>
              <w:top w:val="single" w:sz="4" w:space="0" w:color="auto"/>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22,05%</w:t>
            </w:r>
          </w:p>
        </w:tc>
        <w:tc>
          <w:tcPr>
            <w:tcW w:w="1080" w:type="dxa"/>
            <w:tcBorders>
              <w:top w:val="single" w:sz="4" w:space="0" w:color="auto"/>
              <w:left w:val="nil"/>
              <w:bottom w:val="single" w:sz="4" w:space="0" w:color="auto"/>
              <w:right w:val="single" w:sz="4" w:space="0" w:color="auto"/>
            </w:tcBorders>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100%</w:t>
            </w:r>
          </w:p>
        </w:tc>
      </w:tr>
      <w:tr>
        <w:tblPrEx>
          <w:tblW w:w="7575" w:type="dxa"/>
          <w:jc w:val="center"/>
          <w:tblInd w:w="0" w:type="dxa"/>
          <w:tblCellMar>
            <w:left w:w="70" w:type="dxa"/>
            <w:right w:w="70" w:type="dxa"/>
          </w:tblCellMar>
        </w:tblPrEx>
        <w:trPr>
          <w:trHeight w:val="255"/>
          <w:jc w:val="center"/>
        </w:trPr>
        <w:tc>
          <w:tcPr>
            <w:tcW w:w="3280" w:type="dxa"/>
            <w:tcBorders>
              <w:top w:val="nil"/>
              <w:left w:val="single" w:sz="4" w:space="0" w:color="auto"/>
              <w:bottom w:val="single" w:sz="4" w:space="0" w:color="auto"/>
              <w:right w:val="single" w:sz="4" w:space="0" w:color="auto"/>
            </w:tcBorders>
            <w:noWrap/>
            <w:textDirection w:val="lrTb"/>
            <w:vAlign w:val="bottom"/>
          </w:tcPr>
          <w:p w:rsidR="000802DE" w:rsidRPr="002F7C96" w:rsidP="007139CD">
            <w:pPr>
              <w:jc w:val="both"/>
              <w:rPr>
                <w:rFonts w:ascii="Arial" w:hAnsi="Arial" w:cs="Arial"/>
                <w:color w:val="000000"/>
                <w:sz w:val="20"/>
                <w:szCs w:val="24"/>
              </w:rPr>
            </w:pPr>
            <w:r w:rsidRPr="002F7C96">
              <w:rPr>
                <w:rFonts w:ascii="Arial" w:hAnsi="Arial" w:cs="Arial"/>
                <w:color w:val="000000"/>
                <w:sz w:val="20"/>
                <w:szCs w:val="24"/>
              </w:rPr>
              <w:t>SKK</w:t>
            </w:r>
          </w:p>
        </w:tc>
        <w:tc>
          <w:tcPr>
            <w:tcW w:w="1055" w:type="dxa"/>
            <w:tcBorders>
              <w:top w:val="single" w:sz="4" w:space="0" w:color="auto"/>
              <w:left w:val="nil"/>
              <w:bottom w:val="single" w:sz="4" w:space="0" w:color="auto"/>
              <w:right w:val="single" w:sz="4" w:space="0" w:color="auto"/>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80,19%</w:t>
            </w:r>
          </w:p>
        </w:tc>
        <w:tc>
          <w:tcPr>
            <w:tcW w:w="1080" w:type="dxa"/>
            <w:tcBorders>
              <w:top w:val="nil"/>
              <w:left w:val="nil"/>
              <w:bottom w:val="single" w:sz="4" w:space="0" w:color="auto"/>
              <w:right w:val="single" w:sz="4" w:space="0" w:color="auto"/>
            </w:tcBorders>
            <w:noWrap/>
            <w:textDirection w:val="lrTb"/>
            <w:vAlign w:val="bottom"/>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75,76%</w:t>
            </w:r>
          </w:p>
        </w:tc>
        <w:tc>
          <w:tcPr>
            <w:tcW w:w="1080" w:type="dxa"/>
            <w:tcBorders>
              <w:top w:val="single" w:sz="4" w:space="0" w:color="auto"/>
              <w:left w:val="nil"/>
              <w:bottom w:val="single" w:sz="4" w:space="0" w:color="auto"/>
              <w:right w:val="single" w:sz="4" w:space="0" w:color="auto"/>
            </w:tcBorders>
            <w:noWrap/>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77,95%</w:t>
            </w:r>
          </w:p>
        </w:tc>
        <w:tc>
          <w:tcPr>
            <w:tcW w:w="1080" w:type="dxa"/>
            <w:tcBorders>
              <w:top w:val="single" w:sz="4" w:space="0" w:color="auto"/>
              <w:left w:val="nil"/>
              <w:bottom w:val="single" w:sz="4" w:space="0" w:color="auto"/>
              <w:right w:val="single" w:sz="4" w:space="0" w:color="auto"/>
            </w:tcBorders>
            <w:textDirection w:val="lrTb"/>
            <w:vAlign w:val="center"/>
          </w:tcPr>
          <w:p w:rsidR="000802DE" w:rsidRPr="002F7C96" w:rsidP="007139CD">
            <w:pPr>
              <w:jc w:val="center"/>
              <w:rPr>
                <w:rFonts w:ascii="Arial" w:hAnsi="Arial" w:cs="Arial"/>
                <w:color w:val="000000"/>
                <w:sz w:val="20"/>
                <w:szCs w:val="24"/>
              </w:rPr>
            </w:pPr>
            <w:r w:rsidRPr="002F7C96">
              <w:rPr>
                <w:rFonts w:ascii="Arial" w:hAnsi="Arial" w:cs="Arial"/>
                <w:color w:val="000000"/>
                <w:sz w:val="20"/>
                <w:szCs w:val="24"/>
              </w:rPr>
              <w:t>0%</w:t>
            </w:r>
          </w:p>
        </w:tc>
      </w:tr>
    </w:tbl>
    <w:p w:rsidR="000802DE" w:rsidRPr="00D43D37" w:rsidP="000802DE">
      <w:pPr>
        <w:pStyle w:val="Heading3"/>
        <w:keepNext/>
        <w:numPr>
          <w:ilvl w:val="1"/>
          <w:numId w:val="2"/>
        </w:numPr>
        <w:tabs>
          <w:tab w:val="clear" w:pos="792"/>
          <w:tab w:val="num" w:pos="851"/>
        </w:tabs>
        <w:spacing w:before="480" w:after="60" w:line="240" w:lineRule="auto"/>
        <w:ind w:left="851" w:hanging="425"/>
        <w:rPr>
          <w:rFonts w:ascii="Arial Narrow" w:hAnsi="Arial Narrow" w:cs="Arial Narrow"/>
          <w:b/>
          <w:color w:val="000000"/>
          <w:sz w:val="22"/>
          <w:szCs w:val="24"/>
          <w:lang w:eastAsia="sk-SK"/>
        </w:rPr>
      </w:pPr>
      <w:bookmarkStart w:id="13" w:name="_Toc234999675"/>
      <w:bookmarkStart w:id="14" w:name="_Toc235596857"/>
      <w:r w:rsidRPr="00D43D37">
        <w:rPr>
          <w:rFonts w:ascii="Arial Narrow" w:hAnsi="Arial Narrow" w:cs="Arial Narrow"/>
          <w:b/>
          <w:color w:val="000000"/>
          <w:sz w:val="22"/>
          <w:szCs w:val="24"/>
          <w:lang w:eastAsia="sk-SK"/>
        </w:rPr>
        <w:t>Prehodnotenie a v prípade vhodných podmienok na trhu uskutočnenie emisie štátnych dlhopisov pre obyvateľstvo</w:t>
      </w:r>
      <w:bookmarkEnd w:id="13"/>
      <w:bookmarkEnd w:id="14"/>
    </w:p>
    <w:p w:rsidR="000802DE" w:rsidP="000802DE">
      <w:pPr>
        <w:spacing w:before="120" w:after="120"/>
        <w:ind w:firstLine="708"/>
        <w:jc w:val="both"/>
        <w:rPr>
          <w:rFonts w:ascii="Arial Narrow" w:hAnsi="Arial Narrow" w:cs="Arial Narrow"/>
          <w:color w:val="000000"/>
          <w:sz w:val="22"/>
          <w:szCs w:val="24"/>
        </w:rPr>
      </w:pPr>
      <w:r>
        <w:rPr>
          <w:rFonts w:ascii="Arial Narrow" w:hAnsi="Arial Narrow" w:cs="Arial Narrow"/>
          <w:color w:val="000000"/>
          <w:sz w:val="22"/>
          <w:szCs w:val="24"/>
        </w:rPr>
        <w:t>Ministerstvo f</w:t>
      </w:r>
      <w:r w:rsidRPr="002F7C96">
        <w:rPr>
          <w:rFonts w:ascii="Arial Narrow" w:hAnsi="Arial Narrow" w:cs="Arial Narrow"/>
          <w:color w:val="000000"/>
          <w:sz w:val="22"/>
          <w:szCs w:val="24"/>
        </w:rPr>
        <w:t xml:space="preserve">inancií </w:t>
      </w:r>
      <w:r>
        <w:rPr>
          <w:rFonts w:ascii="Arial Narrow" w:hAnsi="Arial Narrow" w:cs="Arial Narrow"/>
          <w:color w:val="000000"/>
          <w:sz w:val="22"/>
          <w:szCs w:val="24"/>
        </w:rPr>
        <w:t xml:space="preserve">SR </w:t>
      </w:r>
      <w:r w:rsidRPr="002F7C96">
        <w:rPr>
          <w:rFonts w:ascii="Arial Narrow" w:hAnsi="Arial Narrow" w:cs="Arial Narrow"/>
          <w:color w:val="000000"/>
          <w:sz w:val="22"/>
          <w:szCs w:val="24"/>
        </w:rPr>
        <w:t>v spolupráci s</w:t>
      </w:r>
      <w:r>
        <w:rPr>
          <w:rFonts w:ascii="Arial Narrow" w:hAnsi="Arial Narrow" w:cs="Arial Narrow"/>
          <w:color w:val="000000"/>
          <w:sz w:val="22"/>
          <w:szCs w:val="24"/>
        </w:rPr>
        <w:t> </w:t>
      </w:r>
      <w:r w:rsidRPr="002F7C96">
        <w:rPr>
          <w:rFonts w:ascii="Arial Narrow" w:hAnsi="Arial Narrow" w:cs="Arial Narrow"/>
          <w:color w:val="000000"/>
          <w:sz w:val="22"/>
          <w:szCs w:val="24"/>
        </w:rPr>
        <w:t xml:space="preserve"> Agentúr</w:t>
      </w:r>
      <w:r>
        <w:rPr>
          <w:rFonts w:ascii="Arial Narrow" w:hAnsi="Arial Narrow" w:cs="Arial Narrow"/>
          <w:color w:val="000000"/>
          <w:sz w:val="22"/>
          <w:szCs w:val="24"/>
        </w:rPr>
        <w:t>ou</w:t>
      </w:r>
      <w:r w:rsidRPr="002F7C96">
        <w:rPr>
          <w:rFonts w:ascii="Arial Narrow" w:hAnsi="Arial Narrow" w:cs="Arial Narrow"/>
          <w:color w:val="000000"/>
          <w:sz w:val="22"/>
          <w:szCs w:val="24"/>
        </w:rPr>
        <w:t xml:space="preserve"> pre riadenie dlhu a likvidity pokračuje v príprave na uskutočnenie emisie predmetných dlhopisov v rámci primárneho trhu a prípadného obchodovania s nimi v rámci sekundárneho trhu. Tento projekt je technicky oveľa náročnejší, ekonomicky značne nákladnejší ako vydanie „normálnych“ štátnych dlhopisov, pričom získané zdroje sú rádovo menšie. Navyše úspešnosť takejto emisie je značne závislá od podmienok na finančnom trhu, hlavne od úrokových sadzieb. Navyše kríza na finančných trhoch a opatrenia vlád európskych krajín (aj Slovenskej) na ochranu vkladov v bankách odstránili najväčšiu výhodu emisie štátnych dlhopisov – bezrizikovosť investície v porovnaní s ostatnými produktmi na finančnom trhu.</w:t>
      </w:r>
    </w:p>
    <w:p w:rsidR="000802DE" w:rsidRPr="002F7C96" w:rsidP="000802DE">
      <w:pPr>
        <w:spacing w:before="120" w:after="120"/>
        <w:ind w:firstLine="708"/>
        <w:jc w:val="both"/>
        <w:rPr>
          <w:rFonts w:ascii="Arial Narrow" w:hAnsi="Arial Narrow" w:cs="Arial Narrow"/>
          <w:color w:val="000000"/>
          <w:sz w:val="22"/>
          <w:szCs w:val="24"/>
        </w:rPr>
      </w:pPr>
    </w:p>
    <w:p w:rsidR="000802DE" w:rsidRPr="00D43D37" w:rsidP="000802DE">
      <w:pPr>
        <w:pStyle w:val="Heading1"/>
        <w:numPr>
          <w:numId w:val="2"/>
        </w:numPr>
        <w:spacing w:before="0"/>
        <w:ind w:left="357" w:hanging="357"/>
        <w:jc w:val="both"/>
        <w:rPr>
          <w:rFonts w:ascii="Arial Narrow" w:hAnsi="Arial Narrow" w:cs="Arial Narrow"/>
          <w:sz w:val="24"/>
          <w:szCs w:val="24"/>
        </w:rPr>
      </w:pPr>
      <w:bookmarkStart w:id="15" w:name="_Toc235596858"/>
      <w:r w:rsidRPr="00D43D37">
        <w:rPr>
          <w:rFonts w:ascii="Arial Narrow" w:hAnsi="Arial Narrow" w:cs="Arial Narrow"/>
          <w:sz w:val="24"/>
          <w:szCs w:val="24"/>
        </w:rPr>
        <w:t>Makroekonomický a fiškálny vývoj</w:t>
      </w:r>
      <w:bookmarkEnd w:id="15"/>
      <w:r>
        <w:rPr>
          <w:rFonts w:ascii="Arial Narrow" w:hAnsi="Arial Narrow" w:cs="Arial Narrow"/>
          <w:sz w:val="24"/>
          <w:szCs w:val="24"/>
        </w:rPr>
        <w:t xml:space="preserve"> </w:t>
      </w:r>
    </w:p>
    <w:p w:rsidR="000802DE" w:rsidRPr="006C2A17" w:rsidP="000802DE">
      <w:pPr>
        <w:spacing w:after="120"/>
        <w:ind w:firstLine="708"/>
        <w:jc w:val="both"/>
        <w:rPr>
          <w:rFonts w:ascii="Arial Narrow" w:hAnsi="Arial Narrow" w:cs="Arial Narrow"/>
          <w:sz w:val="22"/>
          <w:szCs w:val="24"/>
        </w:rPr>
      </w:pPr>
      <w:r w:rsidRPr="006C2A17">
        <w:rPr>
          <w:rFonts w:ascii="Arial Narrow" w:hAnsi="Arial Narrow" w:cs="Arial Narrow"/>
          <w:sz w:val="22"/>
          <w:szCs w:val="24"/>
        </w:rPr>
        <w:t>Finančné trhy v SR sú pod vplyvom prehlbujúcej integrácie a zrýchľujúcej ekonomickej konvergencie a stávajú sa jednoznačnou súčasťou jednotného európskeho trhu vrátane trhu s finančnými aktívami. Z tohto hľadiska je pre vývoj slovenského finančného trhu rozhodujúci vývoj v eurozóne a okolitých krajinách v stredoeurópskom regióne. Ich výhľad je však podmienený trendmi v najväčších obchodných centrách v USA, eurozóne, Veľkej Británii či Japonsku.</w:t>
      </w:r>
    </w:p>
    <w:p w:rsidR="000802DE" w:rsidRPr="00D43D37"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sz w:val="22"/>
          <w:szCs w:val="24"/>
          <w:lang w:eastAsia="sk-SK"/>
        </w:rPr>
      </w:pPr>
      <w:bookmarkStart w:id="16" w:name="_Toc235596859"/>
      <w:r w:rsidRPr="00D43D37">
        <w:rPr>
          <w:rFonts w:ascii="Arial Narrow" w:hAnsi="Arial Narrow" w:cs="Arial Narrow"/>
          <w:b/>
          <w:sz w:val="22"/>
          <w:szCs w:val="24"/>
          <w:lang w:eastAsia="sk-SK"/>
        </w:rPr>
        <w:t>Globálna kríza</w:t>
      </w:r>
      <w:bookmarkEnd w:id="16"/>
      <w:r>
        <w:rPr>
          <w:rFonts w:ascii="Arial Narrow" w:hAnsi="Arial Narrow" w:cs="Arial Narrow"/>
          <w:b/>
          <w:sz w:val="22"/>
          <w:szCs w:val="24"/>
          <w:lang w:eastAsia="sk-SK"/>
        </w:rPr>
        <w:t xml:space="preserve"> </w:t>
      </w:r>
    </w:p>
    <w:p w:rsidR="000802DE" w:rsidP="000802DE">
      <w:pPr>
        <w:spacing w:before="120" w:after="120"/>
        <w:ind w:firstLine="708"/>
        <w:jc w:val="both"/>
        <w:rPr>
          <w:rFonts w:ascii="Arial Narrow" w:hAnsi="Arial Narrow" w:cs="Arial Narrow"/>
          <w:sz w:val="22"/>
          <w:szCs w:val="24"/>
        </w:rPr>
      </w:pPr>
      <w:r w:rsidRPr="006076F5">
        <w:rPr>
          <w:rFonts w:ascii="Arial Narrow" w:hAnsi="Arial Narrow" w:cs="Arial Narrow"/>
          <w:sz w:val="22"/>
          <w:szCs w:val="24"/>
        </w:rPr>
        <w:t>Najvýznamnejším faktorom výv</w:t>
      </w:r>
      <w:r>
        <w:rPr>
          <w:rFonts w:ascii="Arial Narrow" w:hAnsi="Arial Narrow" w:cs="Arial Narrow"/>
          <w:sz w:val="22"/>
          <w:szCs w:val="24"/>
        </w:rPr>
        <w:t>oja finančných trhov</w:t>
      </w:r>
      <w:r w:rsidRPr="006076F5">
        <w:rPr>
          <w:rFonts w:ascii="Arial Narrow" w:hAnsi="Arial Narrow" w:cs="Arial Narrow"/>
          <w:sz w:val="22"/>
          <w:szCs w:val="24"/>
        </w:rPr>
        <w:t>, s následným vplyvom aj na Slovensko, bola globálna finanč</w:t>
      </w:r>
      <w:r>
        <w:rPr>
          <w:rFonts w:ascii="Arial Narrow" w:hAnsi="Arial Narrow" w:cs="Arial Narrow"/>
          <w:sz w:val="22"/>
          <w:szCs w:val="24"/>
        </w:rPr>
        <w:t>ná a hospodárska kríza. Tlaky na finančný sektor a celková neistota vyústili</w:t>
      </w:r>
      <w:r w:rsidRPr="006261F7">
        <w:rPr>
          <w:rFonts w:ascii="Arial Narrow" w:hAnsi="Arial Narrow" w:cs="Arial Narrow"/>
          <w:sz w:val="22"/>
          <w:szCs w:val="24"/>
        </w:rPr>
        <w:t xml:space="preserve"> do spr</w:t>
      </w:r>
      <w:r>
        <w:rPr>
          <w:rFonts w:ascii="Arial Narrow" w:hAnsi="Arial Narrow" w:cs="Arial Narrow"/>
          <w:sz w:val="22"/>
          <w:szCs w:val="24"/>
        </w:rPr>
        <w:t>ísňovania úverových štandardov</w:t>
      </w:r>
      <w:r w:rsidRPr="004D0BCB">
        <w:rPr>
          <w:rFonts w:ascii="Arial Narrow" w:hAnsi="Arial Narrow" w:cs="Arial Narrow"/>
          <w:sz w:val="22"/>
          <w:szCs w:val="24"/>
        </w:rPr>
        <w:t xml:space="preserve"> </w:t>
      </w:r>
      <w:r w:rsidRPr="00255039">
        <w:rPr>
          <w:rFonts w:ascii="Arial Narrow" w:hAnsi="Arial Narrow" w:cs="Arial Narrow"/>
          <w:sz w:val="22"/>
          <w:szCs w:val="24"/>
        </w:rPr>
        <w:t>a nedostatk</w:t>
      </w:r>
      <w:r>
        <w:rPr>
          <w:rFonts w:ascii="Arial Narrow" w:hAnsi="Arial Narrow" w:cs="Arial Narrow"/>
          <w:sz w:val="22"/>
          <w:szCs w:val="24"/>
        </w:rPr>
        <w:t>u</w:t>
      </w:r>
      <w:r w:rsidRPr="00255039">
        <w:rPr>
          <w:rFonts w:ascii="Arial Narrow" w:hAnsi="Arial Narrow" w:cs="Arial Narrow"/>
          <w:sz w:val="22"/>
          <w:szCs w:val="24"/>
        </w:rPr>
        <w:t xml:space="preserve"> likvi</w:t>
      </w:r>
      <w:r>
        <w:rPr>
          <w:rFonts w:ascii="Arial Narrow" w:hAnsi="Arial Narrow" w:cs="Arial Narrow"/>
          <w:sz w:val="22"/>
          <w:szCs w:val="24"/>
        </w:rPr>
        <w:t>dity, čo</w:t>
      </w:r>
      <w:r w:rsidRPr="00255039">
        <w:rPr>
          <w:rFonts w:ascii="Arial Narrow" w:hAnsi="Arial Narrow" w:cs="Arial Narrow"/>
          <w:sz w:val="22"/>
          <w:szCs w:val="24"/>
        </w:rPr>
        <w:t xml:space="preserve"> </w:t>
      </w:r>
      <w:r>
        <w:rPr>
          <w:rFonts w:ascii="Arial Narrow" w:hAnsi="Arial Narrow" w:cs="Arial Narrow"/>
          <w:sz w:val="22"/>
          <w:szCs w:val="24"/>
        </w:rPr>
        <w:t>výrazne napomohlo prelievaniu problémov z finančných trhov</w:t>
      </w:r>
      <w:r w:rsidRPr="00255039">
        <w:rPr>
          <w:rFonts w:ascii="Arial Narrow" w:hAnsi="Arial Narrow" w:cs="Arial Narrow"/>
          <w:sz w:val="22"/>
          <w:szCs w:val="24"/>
        </w:rPr>
        <w:t xml:space="preserve"> do reálnej ekonomiky. </w:t>
      </w:r>
      <w:r>
        <w:rPr>
          <w:rFonts w:ascii="Arial Narrow" w:hAnsi="Arial Narrow" w:cs="Arial Narrow"/>
          <w:sz w:val="22"/>
          <w:szCs w:val="24"/>
        </w:rPr>
        <w:t>Dôvera v budúci ekonomický vývoj vyjadrená v indikátoroch ekonomického sentimentu sa vo viacerých krajinách vplyvom krízy výrazne zhoršila. Od druhej polovice roka 2008 sa tieto tendencie začali negatívne premietať do ukazovateľov reálnej ekonomiky</w:t>
      </w:r>
      <w:r w:rsidRPr="00FE518A">
        <w:rPr>
          <w:rFonts w:ascii="Arial Narrow" w:hAnsi="Arial Narrow" w:cs="Arial Narrow"/>
          <w:sz w:val="22"/>
          <w:szCs w:val="24"/>
        </w:rPr>
        <w:t xml:space="preserve"> </w:t>
      </w:r>
      <w:r>
        <w:rPr>
          <w:rFonts w:ascii="Arial Narrow" w:hAnsi="Arial Narrow" w:cs="Arial Narrow"/>
          <w:sz w:val="22"/>
          <w:szCs w:val="24"/>
        </w:rPr>
        <w:t xml:space="preserve">vyspelých krajín. Medzi prvé príznaky sa zaradili výrazné poklesy stavebných objednávok, ku koncu roka 2008 mnohé krajiny zaznamenali výrazné prepady priemyselnej produkcie a zahraničného obchodu. Práve transmisný kanál zahraničného obchodu rozšíril krízu do celého sveta a čoraz viac sa začal skloňovať pojem globálna ekonomická kríza. </w:t>
      </w:r>
      <w:r w:rsidRPr="002A2877">
        <w:rPr>
          <w:rFonts w:ascii="Arial Narrow" w:hAnsi="Arial Narrow" w:cs="Arial Narrow"/>
          <w:sz w:val="22"/>
          <w:szCs w:val="24"/>
        </w:rPr>
        <w:t xml:space="preserve">Väčšina rozvinutých ekonomík sa dostala do recesie a rozvíjajúce sa ekonomiky zaznamenali výrazný pokles ekonomickej aktivity. Svetový obchod sa prepadáva a medzinárodné finančné toky sa oslabujú. </w:t>
      </w:r>
      <w:r>
        <w:rPr>
          <w:rFonts w:ascii="Arial Narrow" w:hAnsi="Arial Narrow" w:cs="Arial Narrow"/>
          <w:sz w:val="22"/>
          <w:szCs w:val="24"/>
        </w:rPr>
        <w:t xml:space="preserve">Vo svojej poslednej prognóze z apríla 2009 to potvrdil aj MMF, podľa ktorého by mala ekonomika sveta poklesnúť v roku 2009 o 1,3 %, čo je najväčší pád za posledných 60 rokov. </w:t>
      </w:r>
      <w:r w:rsidRPr="002A2877">
        <w:rPr>
          <w:rFonts w:ascii="Arial Narrow" w:hAnsi="Arial Narrow" w:cs="Arial Narrow"/>
          <w:sz w:val="22"/>
          <w:szCs w:val="24"/>
        </w:rPr>
        <w:t xml:space="preserve">Očakáva sa, že svetový finančný systém po určitej stabilizácii bude čeliť ďalšiemu náporu, keď sa negatívny vývoj </w:t>
      </w:r>
      <w:r>
        <w:rPr>
          <w:rFonts w:ascii="Arial Narrow" w:hAnsi="Arial Narrow" w:cs="Arial Narrow"/>
          <w:sz w:val="22"/>
          <w:szCs w:val="24"/>
        </w:rPr>
        <w:t xml:space="preserve">v reálnej ekonomike </w:t>
      </w:r>
      <w:r w:rsidRPr="002A2877">
        <w:rPr>
          <w:rFonts w:ascii="Arial Narrow" w:hAnsi="Arial Narrow" w:cs="Arial Narrow"/>
          <w:sz w:val="22"/>
          <w:szCs w:val="24"/>
        </w:rPr>
        <w:t>odrazí späť do finančného systému</w:t>
      </w:r>
      <w:r>
        <w:rPr>
          <w:rFonts w:ascii="Arial Narrow" w:hAnsi="Arial Narrow" w:cs="Arial Narrow"/>
          <w:sz w:val="22"/>
          <w:szCs w:val="24"/>
        </w:rPr>
        <w:t xml:space="preserve">, prostredníctvom zhoršenej platobnej schopnosti podnikov a domácností. </w:t>
      </w:r>
      <w:r w:rsidRPr="002A2877">
        <w:rPr>
          <w:rFonts w:ascii="Arial Narrow" w:hAnsi="Arial Narrow" w:cs="Arial Narrow"/>
          <w:sz w:val="22"/>
          <w:szCs w:val="24"/>
        </w:rPr>
        <w:t>Aktualizácia správy Medzinárodného menového fondu o finančnej stabilite z apríla tohto roka naznačuje ďalšie zhoršenie podmienok a rizík ovplyvňujúcich finančnú stabilitu vo svete.</w:t>
      </w:r>
    </w:p>
    <w:tbl>
      <w:tblPr>
        <w:tblStyle w:val="TableNormal"/>
        <w:tblpPr w:leftFromText="141" w:rightFromText="141" w:vertAnchor="text" w:horzAnchor="margin" w:tblpXSpec="center" w:tblpY="100"/>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53"/>
        <w:gridCol w:w="284"/>
        <w:gridCol w:w="4391"/>
      </w:tblGrid>
      <w:tr>
        <w:tblPrEx>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167"/>
        </w:trPr>
        <w:tc>
          <w:tcPr>
            <w:tcW w:w="4253" w:type="dxa"/>
            <w:tcBorders>
              <w:top w:val="nil"/>
              <w:left w:val="nil"/>
              <w:bottom w:val="nil"/>
              <w:right w:val="nil"/>
            </w:tcBorders>
            <w:shd w:val="clear" w:color="auto" w:fill="000000"/>
            <w:textDirection w:val="lrTb"/>
            <w:vAlign w:val="top"/>
          </w:tcPr>
          <w:p w:rsidR="000802DE" w:rsidRPr="006076F5" w:rsidP="007139CD">
            <w:pPr>
              <w:spacing w:before="40"/>
              <w:rPr>
                <w:rFonts w:ascii="Arial Narrow" w:hAnsi="Arial Narrow" w:cs="Arial Narrow"/>
                <w:b/>
                <w:color w:val="FFFFFF"/>
                <w:sz w:val="20"/>
                <w:szCs w:val="24"/>
              </w:rPr>
            </w:pPr>
            <w:r w:rsidRPr="006076F5">
              <w:rPr>
                <w:rFonts w:ascii="Arial Narrow" w:hAnsi="Arial Narrow" w:cs="Arial Narrow"/>
                <w:b/>
                <w:color w:val="FFFFFF"/>
                <w:sz w:val="20"/>
                <w:szCs w:val="24"/>
              </w:rPr>
              <w:t>Vývoj na akciových trhoch</w:t>
            </w:r>
          </w:p>
        </w:tc>
        <w:tc>
          <w:tcPr>
            <w:tcW w:w="284" w:type="dxa"/>
            <w:tcBorders>
              <w:top w:val="nil"/>
              <w:left w:val="nil"/>
              <w:bottom w:val="nil"/>
              <w:right w:val="nil"/>
            </w:tcBorders>
            <w:textDirection w:val="lrTb"/>
            <w:vAlign w:val="top"/>
          </w:tcPr>
          <w:p w:rsidR="000802DE" w:rsidRPr="006076F5" w:rsidP="007139CD">
            <w:pPr>
              <w:spacing w:before="40"/>
              <w:rPr>
                <w:rFonts w:ascii="Arial Narrow" w:hAnsi="Arial Narrow" w:cs="Arial Narrow"/>
                <w:b/>
                <w:color w:val="FFFFFF"/>
                <w:sz w:val="22"/>
                <w:szCs w:val="24"/>
              </w:rPr>
            </w:pPr>
          </w:p>
        </w:tc>
        <w:tc>
          <w:tcPr>
            <w:tcW w:w="4391" w:type="dxa"/>
            <w:tcBorders>
              <w:top w:val="nil"/>
              <w:left w:val="nil"/>
              <w:bottom w:val="nil"/>
              <w:right w:val="nil"/>
            </w:tcBorders>
            <w:shd w:val="clear" w:color="auto" w:fill="000000"/>
            <w:textDirection w:val="lrTb"/>
            <w:vAlign w:val="top"/>
          </w:tcPr>
          <w:p w:rsidR="000802DE" w:rsidRPr="006076F5" w:rsidP="007139CD">
            <w:pPr>
              <w:spacing w:before="40"/>
              <w:rPr>
                <w:rFonts w:ascii="Arial Narrow" w:hAnsi="Arial Narrow" w:cs="Arial Narrow"/>
                <w:b/>
                <w:color w:val="FFFFFF"/>
                <w:sz w:val="20"/>
                <w:szCs w:val="24"/>
              </w:rPr>
            </w:pPr>
            <w:r>
              <w:rPr>
                <w:rFonts w:ascii="Arial Narrow" w:hAnsi="Arial Narrow" w:cs="Arial Narrow"/>
                <w:b/>
                <w:color w:val="FFFFFF"/>
                <w:sz w:val="20"/>
                <w:szCs w:val="24"/>
              </w:rPr>
              <w:t xml:space="preserve">Vývoj svetového HDP </w:t>
            </w:r>
          </w:p>
        </w:tc>
      </w:tr>
      <w:tr>
        <w:tblPrEx>
          <w:tblW w:w="0" w:type="auto"/>
          <w:tblInd w:w="0" w:type="dxa"/>
          <w:tblLayout w:type="fixed"/>
          <w:tblLook w:val="01E0"/>
        </w:tblPrEx>
        <w:trPr>
          <w:trHeight w:val="2942"/>
        </w:trPr>
        <w:tc>
          <w:tcPr>
            <w:tcW w:w="4253" w:type="dxa"/>
            <w:tcBorders>
              <w:top w:val="nil"/>
              <w:left w:val="nil"/>
              <w:bottom w:val="single" w:sz="4" w:space="0" w:color="auto"/>
              <w:right w:val="nil"/>
            </w:tcBorders>
            <w:textDirection w:val="lrTb"/>
            <w:vAlign w:val="top"/>
          </w:tcPr>
          <w:p w:rsidR="000802DE" w:rsidRPr="006076F5" w:rsidP="007139CD">
            <w:pPr>
              <w:spacing w:before="40"/>
              <w:rPr>
                <w:rFonts w:ascii="Arial Narrow" w:hAnsi="Arial Narrow" w:cs="Arial Narrow"/>
                <w:b/>
                <w:sz w:val="22"/>
                <w:szCs w:val="24"/>
              </w:rPr>
            </w:pPr>
            <w:r>
              <w:rPr>
                <w:rFonts w:ascii="Times New Roman" w:hAnsi="Times New Roman"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5" type="#_x0000_t75" style="width:210.9pt;height:148.35pt;margin-top:0.4pt;margin-left:-7.05pt;position:absolute;visibility:visible;z-index:251659264" filled="f" stroked="f">
                  <v:imagedata r:id="rId5" o:title=""/>
                  <o:diagram v:ext="edit"/>
                </v:shape>
              </w:pict>
            </w:r>
          </w:p>
        </w:tc>
        <w:tc>
          <w:tcPr>
            <w:tcW w:w="284" w:type="dxa"/>
            <w:tcBorders>
              <w:top w:val="nil"/>
              <w:left w:val="nil"/>
              <w:bottom w:val="nil"/>
              <w:right w:val="nil"/>
            </w:tcBorders>
            <w:textDirection w:val="lrTb"/>
            <w:vAlign w:val="top"/>
          </w:tcPr>
          <w:p w:rsidR="000802DE" w:rsidRPr="006076F5" w:rsidP="007139CD">
            <w:pPr>
              <w:spacing w:before="40"/>
              <w:rPr>
                <w:rFonts w:ascii="Arial Narrow" w:hAnsi="Arial Narrow" w:cs="Arial Narrow"/>
                <w:b/>
                <w:sz w:val="22"/>
                <w:szCs w:val="24"/>
              </w:rPr>
            </w:pPr>
          </w:p>
        </w:tc>
        <w:tc>
          <w:tcPr>
            <w:tcW w:w="4391" w:type="dxa"/>
            <w:tcBorders>
              <w:top w:val="nil"/>
              <w:left w:val="nil"/>
              <w:bottom w:val="single" w:sz="4" w:space="0" w:color="auto"/>
              <w:right w:val="nil"/>
            </w:tcBorders>
            <w:textDirection w:val="lrTb"/>
            <w:vAlign w:val="top"/>
          </w:tcPr>
          <w:p w:rsidR="000802DE" w:rsidRPr="009B4375" w:rsidP="007139CD">
            <w:pPr>
              <w:rPr>
                <w:rFonts w:ascii="Arial Narrow" w:hAnsi="Arial Narrow" w:cs="Arial Narrow"/>
                <w:sz w:val="22"/>
                <w:szCs w:val="24"/>
              </w:rPr>
            </w:pPr>
          </w:p>
          <w:p w:rsidR="000802DE" w:rsidRPr="009B4375" w:rsidP="007139CD">
            <w:pPr>
              <w:jc w:val="center"/>
              <w:rPr>
                <w:rFonts w:ascii="Arial Narrow" w:hAnsi="Arial Narrow" w:cs="Arial Narrow"/>
                <w:sz w:val="22"/>
                <w:szCs w:val="24"/>
              </w:rPr>
            </w:pPr>
            <w:r>
              <w:rPr>
                <w:rFonts w:ascii="Arial Narrow" w:hAnsi="Arial Narrow" w:cs="Arial Narrow"/>
                <w:sz w:val="22"/>
                <w:szCs w:val="24"/>
              </w:rPr>
              <w:pict>
                <v:shape id="_x0000_i1026" type="#_x0000_t75" style="width:207.75pt;height:135.65pt;mso-position-horizontal-relative:char;mso-position-vertical-relative:line">
                  <v:imagedata r:id="rId6" o:title=""/>
                  <o:diagram v:ext="edit"/>
                  <w10:wrap type="none"/>
                  <w10:anchorlock/>
                </v:shape>
              </w:pict>
            </w:r>
          </w:p>
        </w:tc>
      </w:tr>
      <w:tr>
        <w:tblPrEx>
          <w:tblW w:w="0" w:type="auto"/>
          <w:tblInd w:w="0" w:type="dxa"/>
          <w:tblLayout w:type="fixed"/>
          <w:tblLook w:val="01E0"/>
        </w:tblPrEx>
        <w:tc>
          <w:tcPr>
            <w:tcW w:w="4253" w:type="dxa"/>
            <w:tcBorders>
              <w:top w:val="single" w:sz="4" w:space="0" w:color="auto"/>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r w:rsidRPr="006076F5">
              <w:rPr>
                <w:rFonts w:ascii="Arial Narrow" w:hAnsi="Arial Narrow" w:cs="Arial Narrow"/>
                <w:i/>
                <w:sz w:val="18"/>
                <w:szCs w:val="24"/>
              </w:rPr>
              <w:t xml:space="preserve"> Zdroj: REUTERS</w:t>
            </w:r>
          </w:p>
        </w:tc>
        <w:tc>
          <w:tcPr>
            <w:tcW w:w="284" w:type="dxa"/>
            <w:tcBorders>
              <w:top w:val="nil"/>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p>
        </w:tc>
        <w:tc>
          <w:tcPr>
            <w:tcW w:w="4391" w:type="dxa"/>
            <w:tcBorders>
              <w:top w:val="single" w:sz="4" w:space="0" w:color="auto"/>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r>
              <w:rPr>
                <w:rFonts w:ascii="Arial Narrow" w:hAnsi="Arial Narrow" w:cs="Arial Narrow"/>
                <w:i/>
                <w:sz w:val="18"/>
                <w:szCs w:val="24"/>
              </w:rPr>
              <w:t>Zdroj: MMF</w:t>
            </w:r>
          </w:p>
        </w:tc>
      </w:tr>
    </w:tbl>
    <w:p w:rsidR="000802DE" w:rsidRPr="00D43D37"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sz w:val="22"/>
          <w:szCs w:val="24"/>
          <w:lang w:eastAsia="sk-SK"/>
        </w:rPr>
      </w:pPr>
      <w:bookmarkStart w:id="17" w:name="_Toc235596860"/>
      <w:r w:rsidRPr="00D43D37">
        <w:rPr>
          <w:rFonts w:ascii="Arial Narrow" w:hAnsi="Arial Narrow" w:cs="Arial Narrow"/>
          <w:b/>
          <w:sz w:val="22"/>
          <w:szCs w:val="24"/>
          <w:lang w:eastAsia="sk-SK"/>
        </w:rPr>
        <w:t>Ekonomický vývoj v USA a</w:t>
      </w:r>
      <w:r>
        <w:rPr>
          <w:rFonts w:ascii="Arial Narrow" w:hAnsi="Arial Narrow" w:cs="Arial Narrow"/>
          <w:b/>
          <w:sz w:val="22"/>
          <w:szCs w:val="24"/>
          <w:lang w:eastAsia="sk-SK"/>
        </w:rPr>
        <w:t> </w:t>
      </w:r>
      <w:r w:rsidRPr="00D43D37">
        <w:rPr>
          <w:rFonts w:ascii="Arial Narrow" w:hAnsi="Arial Narrow" w:cs="Arial Narrow"/>
          <w:b/>
          <w:sz w:val="22"/>
          <w:szCs w:val="24"/>
          <w:lang w:eastAsia="sk-SK"/>
        </w:rPr>
        <w:t>eurozóne</w:t>
      </w:r>
      <w:bookmarkEnd w:id="17"/>
      <w:r>
        <w:rPr>
          <w:rFonts w:ascii="Arial Narrow" w:hAnsi="Arial Narrow" w:cs="Arial Narrow"/>
          <w:b/>
          <w:sz w:val="22"/>
          <w:szCs w:val="24"/>
          <w:lang w:eastAsia="sk-SK"/>
        </w:rPr>
        <w:t xml:space="preserve"> </w:t>
      </w:r>
    </w:p>
    <w:p w:rsidR="000802DE" w:rsidRPr="006076F5" w:rsidP="000802DE">
      <w:pPr>
        <w:spacing w:after="120"/>
        <w:ind w:firstLine="708"/>
        <w:jc w:val="both"/>
        <w:rPr>
          <w:rFonts w:ascii="Arial Narrow" w:hAnsi="Arial Narrow" w:cs="Arial Narrow"/>
          <w:sz w:val="22"/>
          <w:szCs w:val="24"/>
        </w:rPr>
      </w:pPr>
      <w:r w:rsidRPr="006076F5">
        <w:rPr>
          <w:rFonts w:ascii="Arial Narrow" w:hAnsi="Arial Narrow" w:cs="Arial Narrow"/>
          <w:sz w:val="22"/>
          <w:szCs w:val="24"/>
        </w:rPr>
        <w:t xml:space="preserve">Ekonomický vývoj v USA bol jednoznačne pod vplyvom hypotekárnej krízy, </w:t>
      </w:r>
      <w:r>
        <w:rPr>
          <w:rFonts w:ascii="Arial Narrow" w:hAnsi="Arial Narrow" w:cs="Arial Narrow"/>
          <w:sz w:val="22"/>
          <w:szCs w:val="24"/>
        </w:rPr>
        <w:t xml:space="preserve">keď sa v druhej polovici roka 2008 prehĺbili problémy vyvolané krízou a v USA zaznamenali medzikvartálny pokles HDP. Napriek tomu sa ekonomike USA v roku 2008 podarilo rásť na úrovni 1,1 % a to vďaka rozsiahlym fiškálnym stimulom z prvej polovici roka. Pokles ekonomiky sa prehĺbil predovšetkým v štvrtom kvartáli, keď HDP zaznamenalo medzikvartálny pokles o 1,6 %. V prvom kvartáli 2009 prišlo k ďalšiemu poklesu o 1,4 %, čo sa nepriaznivo odrazilo na ukazovateľoch nezamestnanosti, ktorá stúpla na úroveň 8,1 % (v roku 2008 5,8 %). V roku 2009 by podľa prognóz Európskej komisie malo prísť k nárastu nezamestnanosti na úroveň 8,9 %. V prvých mesiacoch roka 2009 pokračoval výrazný prepad priemyselnej produkcie, ktorý v apríli zaznamenal pokles o14,3 %. Prehĺbenie recesie a pokles svetových cien komodít sa podpísal pod pokles inflačných tlakov. Inflácia meraná indexom spotrebiteľských cien zaznamenala v marci a apríli pokles na úrovni 0,4 resp. 0,7 %. </w:t>
      </w:r>
      <w:r w:rsidRPr="006076F5">
        <w:rPr>
          <w:rFonts w:ascii="Arial Narrow" w:hAnsi="Arial Narrow" w:cs="Arial Narrow"/>
          <w:sz w:val="22"/>
          <w:szCs w:val="24"/>
        </w:rPr>
        <w:t xml:space="preserve">Na </w:t>
      </w:r>
      <w:r>
        <w:rPr>
          <w:rFonts w:ascii="Arial Narrow" w:hAnsi="Arial Narrow" w:cs="Arial Narrow"/>
          <w:sz w:val="22"/>
          <w:szCs w:val="24"/>
        </w:rPr>
        <w:t xml:space="preserve">výrazný pokles ekonomickej aktivity </w:t>
      </w:r>
      <w:r w:rsidRPr="006076F5">
        <w:rPr>
          <w:rFonts w:ascii="Arial Narrow" w:hAnsi="Arial Narrow" w:cs="Arial Narrow"/>
          <w:sz w:val="22"/>
          <w:szCs w:val="24"/>
        </w:rPr>
        <w:t xml:space="preserve">reagovala americká centrálna banka FED bezprecedentnými zníženiami základnej úrokovej sadzby (tzv. federal funds target rate). </w:t>
      </w:r>
      <w:r>
        <w:rPr>
          <w:rFonts w:ascii="Arial Narrow" w:hAnsi="Arial Narrow" w:cs="Arial Narrow"/>
          <w:sz w:val="22"/>
          <w:szCs w:val="24"/>
        </w:rPr>
        <w:t>Od septembra 2007 do apríla 2009</w:t>
      </w:r>
      <w:r w:rsidRPr="006076F5">
        <w:rPr>
          <w:rFonts w:ascii="Arial Narrow" w:hAnsi="Arial Narrow" w:cs="Arial Narrow"/>
          <w:sz w:val="22"/>
          <w:szCs w:val="24"/>
        </w:rPr>
        <w:t xml:space="preserve"> FED znížil sadzby dokopy až</w:t>
      </w:r>
      <w:r>
        <w:rPr>
          <w:rFonts w:ascii="Arial Narrow" w:hAnsi="Arial Narrow" w:cs="Arial Narrow"/>
          <w:sz w:val="22"/>
          <w:szCs w:val="24"/>
        </w:rPr>
        <w:t xml:space="preserve"> o 5,00</w:t>
      </w:r>
      <w:r w:rsidRPr="006076F5">
        <w:rPr>
          <w:rFonts w:ascii="Arial Narrow" w:hAnsi="Arial Narrow" w:cs="Arial Narrow"/>
          <w:sz w:val="22"/>
          <w:szCs w:val="24"/>
        </w:rPr>
        <w:t xml:space="preserve"> p.b. (z 5,25</w:t>
      </w:r>
      <w:r>
        <w:rPr>
          <w:rFonts w:ascii="Arial Narrow" w:hAnsi="Arial Narrow" w:cs="Arial Narrow"/>
          <w:sz w:val="22"/>
          <w:szCs w:val="24"/>
        </w:rPr>
        <w:t xml:space="preserve"> </w:t>
      </w:r>
      <w:r w:rsidRPr="006076F5">
        <w:rPr>
          <w:rFonts w:ascii="Arial Narrow" w:hAnsi="Arial Narrow" w:cs="Arial Narrow"/>
          <w:sz w:val="22"/>
          <w:szCs w:val="24"/>
        </w:rPr>
        <w:t xml:space="preserve">% na </w:t>
      </w:r>
      <w:r>
        <w:rPr>
          <w:rFonts w:ascii="Arial Narrow" w:hAnsi="Arial Narrow" w:cs="Arial Narrow"/>
          <w:sz w:val="22"/>
          <w:szCs w:val="24"/>
        </w:rPr>
        <w:t xml:space="preserve">0,25 </w:t>
      </w:r>
      <w:r w:rsidRPr="006076F5">
        <w:rPr>
          <w:rFonts w:ascii="Arial Narrow" w:hAnsi="Arial Narrow" w:cs="Arial Narrow"/>
          <w:sz w:val="22"/>
          <w:szCs w:val="24"/>
        </w:rPr>
        <w:t xml:space="preserve">%). </w:t>
      </w:r>
    </w:p>
    <w:tbl>
      <w:tblPr>
        <w:tblStyle w:val="TableNormal"/>
        <w:tblpPr w:leftFromText="141" w:rightFromText="141" w:vertAnchor="text" w:horzAnchor="margin" w:tblpXSpec="center" w:tblpY="100"/>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53"/>
        <w:gridCol w:w="284"/>
        <w:gridCol w:w="4391"/>
      </w:tblGrid>
      <w:tr>
        <w:tblPrEx>
          <w:tblW w:w="0" w:type="auto"/>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167"/>
        </w:trPr>
        <w:tc>
          <w:tcPr>
            <w:tcW w:w="4253" w:type="dxa"/>
            <w:tcBorders>
              <w:top w:val="nil"/>
              <w:left w:val="nil"/>
              <w:bottom w:val="nil"/>
              <w:right w:val="nil"/>
            </w:tcBorders>
            <w:shd w:val="clear" w:color="auto" w:fill="000000"/>
            <w:textDirection w:val="lrTb"/>
            <w:vAlign w:val="top"/>
          </w:tcPr>
          <w:p w:rsidR="000802DE" w:rsidRPr="006076F5" w:rsidP="007139CD">
            <w:pPr>
              <w:spacing w:before="40"/>
              <w:rPr>
                <w:rFonts w:ascii="Arial Narrow" w:hAnsi="Arial Narrow" w:cs="Arial Narrow"/>
                <w:b/>
                <w:color w:val="FFFFFF"/>
                <w:sz w:val="20"/>
                <w:szCs w:val="24"/>
              </w:rPr>
            </w:pPr>
            <w:r w:rsidRPr="006076F5">
              <w:rPr>
                <w:rFonts w:ascii="Arial Narrow" w:hAnsi="Arial Narrow" w:cs="Arial Narrow"/>
                <w:b/>
                <w:color w:val="FFFFFF"/>
                <w:sz w:val="20"/>
                <w:szCs w:val="24"/>
              </w:rPr>
              <w:t>Reálny rast HDP v USA (zmena oproti predošlému štvrťroku)</w:t>
            </w:r>
          </w:p>
        </w:tc>
        <w:tc>
          <w:tcPr>
            <w:tcW w:w="284" w:type="dxa"/>
            <w:tcBorders>
              <w:top w:val="nil"/>
              <w:left w:val="nil"/>
              <w:bottom w:val="nil"/>
              <w:right w:val="nil"/>
            </w:tcBorders>
            <w:textDirection w:val="lrTb"/>
            <w:vAlign w:val="top"/>
          </w:tcPr>
          <w:p w:rsidR="000802DE" w:rsidRPr="006076F5" w:rsidP="007139CD">
            <w:pPr>
              <w:spacing w:before="40"/>
              <w:rPr>
                <w:rFonts w:ascii="Arial Narrow" w:hAnsi="Arial Narrow" w:cs="Arial Narrow"/>
                <w:b/>
                <w:color w:val="FFFFFF"/>
                <w:sz w:val="22"/>
                <w:szCs w:val="24"/>
              </w:rPr>
            </w:pPr>
          </w:p>
        </w:tc>
        <w:tc>
          <w:tcPr>
            <w:tcW w:w="4391" w:type="dxa"/>
            <w:tcBorders>
              <w:top w:val="nil"/>
              <w:left w:val="nil"/>
              <w:bottom w:val="nil"/>
              <w:right w:val="nil"/>
            </w:tcBorders>
            <w:shd w:val="clear" w:color="auto" w:fill="000000"/>
            <w:textDirection w:val="lrTb"/>
            <w:vAlign w:val="center"/>
          </w:tcPr>
          <w:p w:rsidR="000802DE" w:rsidRPr="006076F5" w:rsidP="007139CD">
            <w:pPr>
              <w:spacing w:before="40"/>
              <w:rPr>
                <w:rFonts w:ascii="Arial Narrow" w:hAnsi="Arial Narrow" w:cs="Arial Narrow"/>
                <w:b/>
                <w:color w:val="FFFFFF"/>
                <w:sz w:val="20"/>
                <w:szCs w:val="24"/>
              </w:rPr>
            </w:pPr>
            <w:r w:rsidRPr="006076F5">
              <w:rPr>
                <w:rFonts w:ascii="Arial Narrow" w:hAnsi="Arial Narrow" w:cs="Arial Narrow"/>
                <w:b/>
                <w:color w:val="FFFFFF"/>
                <w:sz w:val="20"/>
                <w:szCs w:val="24"/>
              </w:rPr>
              <w:t>Vývoj výmenného kurzu USD/EUR</w:t>
            </w:r>
          </w:p>
        </w:tc>
      </w:tr>
      <w:tr>
        <w:tblPrEx>
          <w:tblW w:w="0" w:type="auto"/>
          <w:tblInd w:w="-38" w:type="dxa"/>
          <w:tblLayout w:type="fixed"/>
          <w:tblCellMar>
            <w:left w:w="70" w:type="dxa"/>
            <w:right w:w="70" w:type="dxa"/>
          </w:tblCellMar>
          <w:tblLook w:val="01E0"/>
        </w:tblPrEx>
        <w:trPr>
          <w:trHeight w:val="2924"/>
        </w:trPr>
        <w:tc>
          <w:tcPr>
            <w:tcW w:w="4253" w:type="dxa"/>
            <w:tcBorders>
              <w:top w:val="nil"/>
              <w:left w:val="nil"/>
              <w:bottom w:val="single" w:sz="4" w:space="0" w:color="auto"/>
              <w:right w:val="nil"/>
            </w:tcBorders>
            <w:textDirection w:val="lrTb"/>
            <w:vAlign w:val="top"/>
          </w:tcPr>
          <w:p w:rsidR="000802DE" w:rsidRPr="008A6E2A" w:rsidP="007139CD">
            <w:pPr>
              <w:rPr>
                <w:rFonts w:ascii="Arial Narrow" w:hAnsi="Arial Narrow" w:cs="Arial Narrow"/>
                <w:sz w:val="22"/>
                <w:szCs w:val="24"/>
              </w:rPr>
            </w:pPr>
            <w:r>
              <w:rPr>
                <w:rFonts w:ascii="Times New Roman" w:hAnsi="Times New Roman" w:cs="Times New Roman"/>
                <w:noProof/>
                <w:szCs w:val="24"/>
              </w:rPr>
              <w:pict>
                <v:shape id="_x0000_s1027" type="#_x0000_t75" style="width:213pt;height:153pt;margin-top:3pt;margin-left:-6.3pt;position:absolute;z-index:251658240">
                  <v:imagedata r:id="rId7" o:title=""/>
                  <o:diagram v:ext="edit"/>
                  <w10:anchorlock/>
                </v:shape>
              </w:pict>
            </w:r>
          </w:p>
          <w:p w:rsidR="000802DE" w:rsidRPr="008A6E2A" w:rsidP="007139CD">
            <w:pPr>
              <w:rPr>
                <w:rFonts w:ascii="Arial Narrow" w:hAnsi="Arial Narrow" w:cs="Arial Narrow"/>
                <w:sz w:val="22"/>
                <w:szCs w:val="24"/>
              </w:rPr>
            </w:pPr>
          </w:p>
          <w:p w:rsidR="000802DE" w:rsidRPr="008A6E2A" w:rsidP="007139CD">
            <w:pPr>
              <w:jc w:val="cente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rPr>
                <w:rFonts w:ascii="Arial Narrow" w:hAnsi="Arial Narrow" w:cs="Arial Narrow"/>
                <w:sz w:val="22"/>
                <w:szCs w:val="24"/>
              </w:rPr>
            </w:pPr>
          </w:p>
          <w:p w:rsidR="000802DE" w:rsidRPr="003E035E" w:rsidP="007139CD">
            <w:pPr>
              <w:jc w:val="center"/>
              <w:rPr>
                <w:rFonts w:ascii="Arial Narrow" w:hAnsi="Arial Narrow" w:cs="Arial Narrow"/>
                <w:sz w:val="22"/>
                <w:szCs w:val="24"/>
              </w:rPr>
            </w:pPr>
          </w:p>
        </w:tc>
        <w:tc>
          <w:tcPr>
            <w:tcW w:w="284" w:type="dxa"/>
            <w:tcBorders>
              <w:top w:val="nil"/>
              <w:left w:val="nil"/>
              <w:bottom w:val="nil"/>
              <w:right w:val="nil"/>
            </w:tcBorders>
            <w:textDirection w:val="lrTb"/>
            <w:vAlign w:val="top"/>
          </w:tcPr>
          <w:p w:rsidR="000802DE" w:rsidRPr="006076F5" w:rsidP="007139CD">
            <w:pPr>
              <w:spacing w:before="40"/>
              <w:rPr>
                <w:rFonts w:ascii="Arial Narrow" w:hAnsi="Arial Narrow" w:cs="Arial Narrow"/>
                <w:b/>
                <w:sz w:val="22"/>
                <w:szCs w:val="24"/>
              </w:rPr>
            </w:pPr>
            <w:r>
              <w:rPr>
                <w:rFonts w:ascii="Times New Roman" w:hAnsi="Times New Roman" w:cs="Times New Roman"/>
                <w:noProof/>
                <w:szCs w:val="24"/>
              </w:rPr>
              <w:pict>
                <v:shape id="Obrázok 2" o:spid="_x0000_s1028" type="#_x0000_t75" style="width:216.75pt;height:161.25pt;margin-top:1.2pt;margin-left:7pt;position:absolute;visibility:visible;z-index:251660288" filled="f" stroked="f">
                  <v:imagedata r:id="rId8" o:title=""/>
                  <o:diagram v:ext="edit"/>
                  <w10:anchorlock/>
                </v:shape>
              </w:pict>
            </w:r>
          </w:p>
        </w:tc>
        <w:tc>
          <w:tcPr>
            <w:tcW w:w="4391" w:type="dxa"/>
            <w:tcBorders>
              <w:top w:val="nil"/>
              <w:left w:val="nil"/>
              <w:bottom w:val="single" w:sz="4" w:space="0" w:color="auto"/>
              <w:right w:val="nil"/>
            </w:tcBorders>
            <w:textDirection w:val="lrTb"/>
            <w:vAlign w:val="top"/>
          </w:tcPr>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6076F5" w:rsidP="007139CD">
            <w:pPr>
              <w:spacing w:before="40"/>
              <w:rPr>
                <w:rFonts w:ascii="Arial Narrow" w:hAnsi="Arial Narrow" w:cs="Arial Narrow"/>
                <w:b/>
                <w:sz w:val="22"/>
                <w:szCs w:val="24"/>
              </w:rPr>
            </w:pPr>
          </w:p>
          <w:p w:rsidR="000802DE" w:rsidRPr="008A6E2A" w:rsidP="007139CD">
            <w:pPr>
              <w:rPr>
                <w:rFonts w:ascii="Arial Narrow" w:hAnsi="Arial Narrow" w:cs="Arial Narrow"/>
                <w:sz w:val="22"/>
                <w:szCs w:val="24"/>
              </w:rPr>
            </w:pPr>
          </w:p>
          <w:p w:rsidR="000802DE" w:rsidRPr="008A6E2A" w:rsidP="007139CD">
            <w:pPr>
              <w:rPr>
                <w:rFonts w:ascii="Arial Narrow" w:hAnsi="Arial Narrow" w:cs="Arial Narrow"/>
                <w:sz w:val="22"/>
                <w:szCs w:val="24"/>
              </w:rPr>
            </w:pPr>
          </w:p>
          <w:p w:rsidR="000802DE" w:rsidRPr="008A6E2A" w:rsidP="007139CD">
            <w:pPr>
              <w:rPr>
                <w:rFonts w:ascii="Arial Narrow" w:hAnsi="Arial Narrow" w:cs="Arial Narrow"/>
                <w:sz w:val="22"/>
                <w:szCs w:val="24"/>
              </w:rPr>
            </w:pPr>
          </w:p>
          <w:p w:rsidR="000802DE" w:rsidRPr="008A6E2A" w:rsidP="007139CD">
            <w:pPr>
              <w:rPr>
                <w:rFonts w:ascii="Arial Narrow" w:hAnsi="Arial Narrow" w:cs="Arial Narrow"/>
                <w:sz w:val="22"/>
                <w:szCs w:val="24"/>
              </w:rPr>
            </w:pPr>
          </w:p>
          <w:p w:rsidR="000802DE" w:rsidRPr="008A6E2A" w:rsidP="007139CD">
            <w:pPr>
              <w:jc w:val="center"/>
              <w:rPr>
                <w:rFonts w:ascii="Arial Narrow" w:hAnsi="Arial Narrow" w:cs="Arial Narrow"/>
                <w:sz w:val="22"/>
                <w:szCs w:val="24"/>
              </w:rPr>
            </w:pPr>
          </w:p>
        </w:tc>
      </w:tr>
      <w:tr>
        <w:tblPrEx>
          <w:tblW w:w="0" w:type="auto"/>
          <w:tblInd w:w="0" w:type="dxa"/>
          <w:tblLayout w:type="fixed"/>
          <w:tblLook w:val="01E0"/>
        </w:tblPrEx>
        <w:tc>
          <w:tcPr>
            <w:tcW w:w="4253" w:type="dxa"/>
            <w:tcBorders>
              <w:top w:val="single" w:sz="4" w:space="0" w:color="auto"/>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r w:rsidRPr="006076F5">
              <w:rPr>
                <w:rFonts w:ascii="Arial Narrow" w:hAnsi="Arial Narrow" w:cs="Arial Narrow"/>
                <w:i/>
                <w:sz w:val="18"/>
                <w:szCs w:val="24"/>
              </w:rPr>
              <w:t xml:space="preserve">Zdroj: OECD </w:t>
            </w:r>
          </w:p>
        </w:tc>
        <w:tc>
          <w:tcPr>
            <w:tcW w:w="284" w:type="dxa"/>
            <w:tcBorders>
              <w:top w:val="nil"/>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p>
        </w:tc>
        <w:tc>
          <w:tcPr>
            <w:tcW w:w="4391" w:type="dxa"/>
            <w:tcBorders>
              <w:top w:val="single" w:sz="4" w:space="0" w:color="auto"/>
              <w:left w:val="nil"/>
              <w:bottom w:val="nil"/>
              <w:right w:val="nil"/>
            </w:tcBorders>
            <w:textDirection w:val="lrTb"/>
            <w:vAlign w:val="top"/>
          </w:tcPr>
          <w:p w:rsidR="000802DE" w:rsidRPr="006076F5" w:rsidP="007139CD">
            <w:pPr>
              <w:spacing w:before="40"/>
              <w:jc w:val="right"/>
              <w:rPr>
                <w:rFonts w:ascii="Arial Narrow" w:hAnsi="Arial Narrow" w:cs="Arial Narrow"/>
                <w:i/>
                <w:sz w:val="18"/>
                <w:szCs w:val="24"/>
              </w:rPr>
            </w:pPr>
            <w:r w:rsidRPr="006076F5">
              <w:rPr>
                <w:rFonts w:ascii="Arial Narrow" w:hAnsi="Arial Narrow" w:cs="Arial Narrow"/>
                <w:i/>
                <w:sz w:val="18"/>
                <w:szCs w:val="24"/>
              </w:rPr>
              <w:t>Zdroj: REUTERS</w:t>
            </w:r>
          </w:p>
        </w:tc>
      </w:tr>
    </w:tbl>
    <w:p w:rsidR="000802DE" w:rsidP="000802DE">
      <w:pPr>
        <w:jc w:val="both"/>
        <w:rPr>
          <w:rFonts w:ascii="Arial Narrow" w:hAnsi="Arial Narrow" w:cs="Arial Narrow"/>
          <w:sz w:val="22"/>
          <w:szCs w:val="24"/>
        </w:rPr>
      </w:pPr>
    </w:p>
    <w:p w:rsidR="000802DE" w:rsidP="000802DE">
      <w:pPr>
        <w:ind w:firstLine="708"/>
        <w:jc w:val="both"/>
        <w:rPr>
          <w:rFonts w:ascii="Arial Narrow" w:hAnsi="Arial Narrow" w:cs="Arial Narrow"/>
          <w:sz w:val="22"/>
          <w:szCs w:val="24"/>
        </w:rPr>
      </w:pPr>
      <w:r w:rsidRPr="00DC1ABB">
        <w:rPr>
          <w:rFonts w:ascii="Arial Narrow" w:hAnsi="Arial Narrow" w:cs="Arial Narrow"/>
          <w:sz w:val="22"/>
          <w:szCs w:val="24"/>
        </w:rPr>
        <w:t xml:space="preserve">Rast reálneho HDP v eurozóne dosiahol </w:t>
      </w:r>
      <w:r>
        <w:rPr>
          <w:rFonts w:ascii="Arial Narrow" w:hAnsi="Arial Narrow" w:cs="Arial Narrow"/>
          <w:sz w:val="22"/>
          <w:szCs w:val="24"/>
        </w:rPr>
        <w:t>hodnotu 0,7 %</w:t>
      </w:r>
      <w:r w:rsidRPr="00DC1ABB">
        <w:rPr>
          <w:rFonts w:ascii="Arial Narrow" w:hAnsi="Arial Narrow" w:cs="Arial Narrow"/>
          <w:sz w:val="22"/>
          <w:szCs w:val="24"/>
        </w:rPr>
        <w:t xml:space="preserve"> </w:t>
      </w:r>
      <w:r>
        <w:rPr>
          <w:rFonts w:ascii="Arial Narrow" w:hAnsi="Arial Narrow" w:cs="Arial Narrow"/>
          <w:sz w:val="22"/>
          <w:szCs w:val="24"/>
        </w:rPr>
        <w:t xml:space="preserve">v roku 2008, predovšetkým v druhej polovici roka sa prejavili dôsledky krízy. V prvom štvrťroku 2009 prišlo k poklesu ekonomiky medziročne o 2,5 %, čo je najväčší kvartálny pokles od 70 rokov minulého storočia. Na pozadí poklesu je predovšetkým pokles stavu zásob a ďalší prepad investícii. Priemyselná produkcia klesla v marci o 17,5 % a vývoj ukazovateľa priemyselných objednávok nateraz nenaznačuje žiadne zlepšenie. Európska komisia očakáva, že krajiny eurozóny zaznamenajú v roku 2009 pokles HDP na úrovni 4,0 %. </w:t>
      </w:r>
      <w:r w:rsidRPr="00DC1ABB">
        <w:rPr>
          <w:rFonts w:ascii="Arial Narrow" w:hAnsi="Arial Narrow" w:cs="Arial Narrow"/>
          <w:sz w:val="22"/>
          <w:szCs w:val="24"/>
        </w:rPr>
        <w:t>Nezamestnanosť ešte v roku 2008 plne nereflektovala výrazné zníženie ekonomického rastu, keď prišlo len k miernemu náras</w:t>
      </w:r>
      <w:r>
        <w:rPr>
          <w:rFonts w:ascii="Arial Narrow" w:hAnsi="Arial Narrow" w:cs="Arial Narrow"/>
          <w:sz w:val="22"/>
          <w:szCs w:val="24"/>
        </w:rPr>
        <w:t xml:space="preserve">tu nezamestnanosti na úroveň 7,6 % ( v roku 2007 7,5 </w:t>
      </w:r>
      <w:r w:rsidRPr="00DC1ABB">
        <w:rPr>
          <w:rFonts w:ascii="Arial Narrow" w:hAnsi="Arial Narrow" w:cs="Arial Narrow"/>
          <w:sz w:val="22"/>
          <w:szCs w:val="24"/>
        </w:rPr>
        <w:t xml:space="preserve">%). </w:t>
      </w:r>
      <w:r>
        <w:rPr>
          <w:rFonts w:ascii="Arial Narrow" w:hAnsi="Arial Narrow" w:cs="Arial Narrow"/>
          <w:sz w:val="22"/>
          <w:szCs w:val="24"/>
        </w:rPr>
        <w:t xml:space="preserve">V roku 2009 sa však už </w:t>
      </w:r>
      <w:r w:rsidRPr="00DC1ABB">
        <w:rPr>
          <w:rFonts w:ascii="Arial Narrow" w:hAnsi="Arial Narrow" w:cs="Arial Narrow"/>
          <w:sz w:val="22"/>
          <w:szCs w:val="24"/>
        </w:rPr>
        <w:t>naplno prejav</w:t>
      </w:r>
      <w:r>
        <w:rPr>
          <w:rFonts w:ascii="Arial Narrow" w:hAnsi="Arial Narrow" w:cs="Arial Narrow"/>
          <w:sz w:val="22"/>
          <w:szCs w:val="24"/>
        </w:rPr>
        <w:t>ujú</w:t>
      </w:r>
      <w:r w:rsidRPr="00DC1ABB">
        <w:rPr>
          <w:rFonts w:ascii="Arial Narrow" w:hAnsi="Arial Narrow" w:cs="Arial Narrow"/>
          <w:sz w:val="22"/>
          <w:szCs w:val="24"/>
        </w:rPr>
        <w:t xml:space="preserve"> efekt</w:t>
      </w:r>
      <w:r>
        <w:rPr>
          <w:rFonts w:ascii="Arial Narrow" w:hAnsi="Arial Narrow" w:cs="Arial Narrow"/>
          <w:sz w:val="22"/>
          <w:szCs w:val="24"/>
        </w:rPr>
        <w:t>y</w:t>
      </w:r>
      <w:r w:rsidRPr="00DC1ABB">
        <w:rPr>
          <w:rFonts w:ascii="Arial Narrow" w:hAnsi="Arial Narrow" w:cs="Arial Narrow"/>
          <w:sz w:val="22"/>
          <w:szCs w:val="24"/>
        </w:rPr>
        <w:t xml:space="preserve"> poklesu ekonomickej aktivity</w:t>
      </w:r>
      <w:r>
        <w:rPr>
          <w:rFonts w:ascii="Arial Narrow" w:hAnsi="Arial Narrow" w:cs="Arial Narrow"/>
          <w:sz w:val="22"/>
          <w:szCs w:val="24"/>
        </w:rPr>
        <w:t xml:space="preserve">. V apríli 2009 sa jej hodnota vyšplhala na úroveň 9,2 %, na celý rok Európska komisia </w:t>
      </w:r>
      <w:r w:rsidRPr="00DC1ABB">
        <w:rPr>
          <w:rFonts w:ascii="Arial Narrow" w:hAnsi="Arial Narrow" w:cs="Arial Narrow"/>
          <w:sz w:val="22"/>
          <w:szCs w:val="24"/>
        </w:rPr>
        <w:t>očakáva</w:t>
      </w:r>
      <w:r>
        <w:rPr>
          <w:rFonts w:ascii="Arial Narrow" w:hAnsi="Arial Narrow" w:cs="Arial Narrow"/>
          <w:sz w:val="22"/>
          <w:szCs w:val="24"/>
        </w:rPr>
        <w:t xml:space="preserve"> </w:t>
      </w:r>
      <w:r w:rsidRPr="00DC1ABB">
        <w:rPr>
          <w:rFonts w:ascii="Arial Narrow" w:hAnsi="Arial Narrow" w:cs="Arial Narrow"/>
          <w:sz w:val="22"/>
          <w:szCs w:val="24"/>
        </w:rPr>
        <w:t xml:space="preserve">nezamestnanosť </w:t>
      </w:r>
      <w:r>
        <w:rPr>
          <w:rFonts w:ascii="Arial Narrow" w:hAnsi="Arial Narrow" w:cs="Arial Narrow"/>
          <w:sz w:val="22"/>
          <w:szCs w:val="24"/>
        </w:rPr>
        <w:t xml:space="preserve">na úrovni 9,9 </w:t>
      </w:r>
      <w:r w:rsidRPr="00DC1ABB">
        <w:rPr>
          <w:rFonts w:ascii="Arial Narrow" w:hAnsi="Arial Narrow" w:cs="Arial Narrow"/>
          <w:sz w:val="22"/>
          <w:szCs w:val="24"/>
        </w:rPr>
        <w:t xml:space="preserve">%. </w:t>
      </w:r>
      <w:r>
        <w:rPr>
          <w:rFonts w:ascii="Arial Narrow" w:hAnsi="Arial Narrow" w:cs="Arial Narrow"/>
          <w:sz w:val="22"/>
          <w:szCs w:val="24"/>
        </w:rPr>
        <w:t xml:space="preserve">Vzhľadom na zhoršujúci sa ekonomický vývoj eurozóny, pri poklese rastu cien (v máji bola hodnota HICP 0,6 %) pristúpila </w:t>
      </w:r>
      <w:r w:rsidRPr="00DC1ABB">
        <w:rPr>
          <w:rFonts w:ascii="Arial Narrow" w:hAnsi="Arial Narrow" w:cs="Arial Narrow"/>
          <w:sz w:val="22"/>
          <w:szCs w:val="24"/>
        </w:rPr>
        <w:t>ECB</w:t>
      </w:r>
      <w:r>
        <w:rPr>
          <w:rFonts w:ascii="Arial Narrow" w:hAnsi="Arial Narrow" w:cs="Arial Narrow"/>
          <w:sz w:val="22"/>
          <w:szCs w:val="24"/>
        </w:rPr>
        <w:t xml:space="preserve"> k </w:t>
      </w:r>
      <w:r w:rsidRPr="00DC1ABB">
        <w:rPr>
          <w:rFonts w:ascii="Arial Narrow" w:hAnsi="Arial Narrow" w:cs="Arial Narrow"/>
          <w:sz w:val="22"/>
          <w:szCs w:val="24"/>
        </w:rPr>
        <w:t>niekoľko</w:t>
      </w:r>
      <w:r>
        <w:rPr>
          <w:rFonts w:ascii="Arial Narrow" w:hAnsi="Arial Narrow" w:cs="Arial Narrow"/>
          <w:sz w:val="22"/>
          <w:szCs w:val="24"/>
        </w:rPr>
        <w:t>násobnému znižovaniu sadzieb zo 4,25 % (október 2008) až na súčasnú úroveň 1</w:t>
      </w:r>
      <w:r w:rsidRPr="00DC1ABB">
        <w:rPr>
          <w:rFonts w:ascii="Arial Narrow" w:hAnsi="Arial Narrow" w:cs="Arial Narrow"/>
          <w:sz w:val="22"/>
          <w:szCs w:val="24"/>
        </w:rPr>
        <w:t>,</w:t>
      </w:r>
      <w:r>
        <w:rPr>
          <w:rFonts w:ascii="Arial Narrow" w:hAnsi="Arial Narrow" w:cs="Arial Narrow"/>
          <w:sz w:val="22"/>
          <w:szCs w:val="24"/>
        </w:rPr>
        <w:t>0</w:t>
      </w:r>
      <w:r w:rsidRPr="00DC1ABB">
        <w:rPr>
          <w:rFonts w:ascii="Arial Narrow" w:hAnsi="Arial Narrow" w:cs="Arial Narrow"/>
          <w:sz w:val="22"/>
          <w:szCs w:val="24"/>
        </w:rPr>
        <w:t xml:space="preserve"> %.</w:t>
      </w:r>
    </w:p>
    <w:p w:rsidR="000802DE" w:rsidRPr="006C2A17" w:rsidP="000802DE">
      <w:pPr>
        <w:jc w:val="both"/>
        <w:rPr>
          <w:rFonts w:ascii="Times New Roman" w:hAnsi="Times New Roman" w:cs="Times New Roman"/>
          <w:sz w:val="22"/>
          <w:szCs w:val="24"/>
        </w:rPr>
      </w:pPr>
    </w:p>
    <w:p w:rsidR="000802DE" w:rsidRPr="00E04287"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sz w:val="22"/>
          <w:szCs w:val="24"/>
          <w:lang w:eastAsia="sk-SK"/>
        </w:rPr>
      </w:pPr>
      <w:bookmarkStart w:id="18" w:name="_Toc235596861"/>
      <w:r w:rsidRPr="00E04287">
        <w:rPr>
          <w:rFonts w:ascii="Arial Narrow" w:hAnsi="Arial Narrow" w:cs="Arial Narrow"/>
          <w:b/>
          <w:sz w:val="22"/>
          <w:szCs w:val="24"/>
          <w:lang w:eastAsia="sk-SK"/>
        </w:rPr>
        <w:t>Ekonomický vývoj v</w:t>
      </w:r>
      <w:r>
        <w:rPr>
          <w:rFonts w:ascii="Arial Narrow" w:hAnsi="Arial Narrow" w:cs="Arial Narrow"/>
          <w:b/>
          <w:sz w:val="22"/>
          <w:szCs w:val="24"/>
          <w:lang w:eastAsia="sk-SK"/>
        </w:rPr>
        <w:t> </w:t>
      </w:r>
      <w:r w:rsidRPr="00E04287">
        <w:rPr>
          <w:rFonts w:ascii="Arial Narrow" w:hAnsi="Arial Narrow" w:cs="Arial Narrow"/>
          <w:b/>
          <w:sz w:val="22"/>
          <w:szCs w:val="24"/>
          <w:lang w:eastAsia="sk-SK"/>
        </w:rPr>
        <w:t>SR</w:t>
      </w:r>
      <w:bookmarkEnd w:id="18"/>
      <w:r>
        <w:rPr>
          <w:rFonts w:ascii="Arial Narrow" w:hAnsi="Arial Narrow" w:cs="Arial Narrow"/>
          <w:b/>
          <w:sz w:val="22"/>
          <w:szCs w:val="24"/>
          <w:lang w:eastAsia="sk-SK"/>
        </w:rPr>
        <w:t xml:space="preserve"> </w:t>
      </w:r>
    </w:p>
    <w:p w:rsidR="000802DE" w:rsidP="000802DE">
      <w:pPr>
        <w:spacing w:before="120" w:after="120"/>
        <w:ind w:firstLine="708"/>
        <w:jc w:val="both"/>
        <w:rPr>
          <w:rFonts w:ascii="Arial Narrow" w:hAnsi="Arial Narrow" w:cs="Arial Narrow"/>
          <w:sz w:val="22"/>
          <w:szCs w:val="24"/>
        </w:rPr>
      </w:pPr>
      <w:r>
        <w:rPr>
          <w:rFonts w:ascii="Arial Narrow" w:hAnsi="Arial Narrow" w:cs="Arial Narrow"/>
          <w:sz w:val="22"/>
          <w:szCs w:val="24"/>
        </w:rPr>
        <w:t>Po spomaľujúcom sa, aj keď stále vysokom raste na úrovni 6,4 % v roku 2008 zažila slovenská ekonomika v prvom štvrťroku 2009 nepríjemný šok v podobe ekonomického poklesu o 5,6 %, spôsobeného predovšetkým poklesom zahraničného dopytu po slovenských exportoch. Pokles však zaznamenali takmer všetky zložky použitia HDP. Reálna mzda vzrástla v prvom štvrťroku o 1,6 % (oproti 3,3 % v roku 2008) a po dlhej dobe tak znova predbehla vývoj produktivity práce, ktorý dokonca klesol, keďže zamestnanosť poklesla medziročne len o 0,1 %. Miera nezamestnanosti (podľa VZPS) tak zostala zachovaná na úrovni 10,5 %.</w:t>
      </w:r>
      <w:r w:rsidRPr="00793541">
        <w:rPr>
          <w:rFonts w:ascii="Arial Narrow" w:hAnsi="Arial Narrow" w:cs="Arial Narrow"/>
          <w:sz w:val="22"/>
          <w:szCs w:val="24"/>
        </w:rPr>
        <w:t xml:space="preserve"> </w:t>
      </w:r>
      <w:r>
        <w:rPr>
          <w:rFonts w:ascii="Arial Narrow" w:hAnsi="Arial Narrow" w:cs="Arial Narrow"/>
          <w:sz w:val="22"/>
          <w:szCs w:val="24"/>
        </w:rPr>
        <w:t>V roku 2008 dosiahol d</w:t>
      </w:r>
      <w:r w:rsidRPr="003301CF">
        <w:rPr>
          <w:rFonts w:ascii="Arial Narrow" w:hAnsi="Arial Narrow" w:cs="Arial Narrow"/>
          <w:sz w:val="22"/>
          <w:szCs w:val="24"/>
        </w:rPr>
        <w:t xml:space="preserve">eficit bežného účtu platobnej bilancie úroveň 4,4 mld. </w:t>
      </w:r>
      <w:r>
        <w:rPr>
          <w:rFonts w:ascii="Arial Narrow" w:hAnsi="Arial Narrow" w:cs="Arial Narrow"/>
          <w:sz w:val="22"/>
          <w:szCs w:val="24"/>
        </w:rPr>
        <w:t>eur</w:t>
      </w:r>
      <w:r w:rsidRPr="003301CF">
        <w:rPr>
          <w:rFonts w:ascii="Arial Narrow" w:hAnsi="Arial Narrow" w:cs="Arial Narrow"/>
          <w:sz w:val="22"/>
          <w:szCs w:val="24"/>
        </w:rPr>
        <w:t xml:space="preserve">, pričom v porovnaní s rokom 2007 </w:t>
      </w:r>
      <w:r>
        <w:rPr>
          <w:rFonts w:ascii="Arial Narrow" w:hAnsi="Arial Narrow" w:cs="Arial Narrow"/>
          <w:sz w:val="22"/>
          <w:szCs w:val="24"/>
        </w:rPr>
        <w:t xml:space="preserve">bol </w:t>
      </w:r>
      <w:r w:rsidRPr="003301CF">
        <w:rPr>
          <w:rFonts w:ascii="Arial Narrow" w:hAnsi="Arial Narrow" w:cs="Arial Narrow"/>
          <w:sz w:val="22"/>
          <w:szCs w:val="24"/>
        </w:rPr>
        <w:t>o 1,1 mld. Sk vyšší, vplyvom rastu defic</w:t>
      </w:r>
      <w:r>
        <w:rPr>
          <w:rFonts w:ascii="Arial Narrow" w:hAnsi="Arial Narrow" w:cs="Arial Narrow"/>
          <w:sz w:val="22"/>
          <w:szCs w:val="24"/>
        </w:rPr>
        <w:t>itu bilancie tovarov aj služieb. Za prvé 3 mesiace roku 2009 dosiahlo saldo bežného účtu -576,4 mil. eur.</w:t>
      </w:r>
    </w:p>
    <w:p w:rsidR="000802DE" w:rsidP="000802DE">
      <w:pPr>
        <w:spacing w:before="120" w:after="120"/>
        <w:jc w:val="both"/>
        <w:rPr>
          <w:rFonts w:ascii="Arial Narrow" w:hAnsi="Arial Narrow" w:cs="Arial Narrow"/>
          <w:sz w:val="22"/>
          <w:szCs w:val="24"/>
        </w:rPr>
      </w:pPr>
      <w:r>
        <w:rPr>
          <w:rFonts w:ascii="Arial Narrow" w:hAnsi="Arial Narrow" w:cs="Arial Narrow"/>
          <w:sz w:val="22"/>
          <w:szCs w:val="24"/>
        </w:rPr>
        <w:t xml:space="preserve">Zhoršujúci sa vývoj bol premietnutý aj do prognózy makroekonomického vývoja. </w:t>
      </w:r>
      <w:r w:rsidRPr="0014577E">
        <w:rPr>
          <w:rFonts w:ascii="Arial Narrow" w:hAnsi="Arial Narrow" w:cs="Arial Narrow"/>
          <w:sz w:val="22"/>
          <w:szCs w:val="24"/>
        </w:rPr>
        <w:t>V roku 2009 by mala ek</w:t>
      </w:r>
      <w:r>
        <w:rPr>
          <w:rFonts w:ascii="Arial Narrow" w:hAnsi="Arial Narrow" w:cs="Arial Narrow"/>
          <w:sz w:val="22"/>
          <w:szCs w:val="24"/>
        </w:rPr>
        <w:t xml:space="preserve">onomika  reálne klesnúť o 6,2 %. </w:t>
      </w:r>
      <w:r w:rsidRPr="0014577E">
        <w:rPr>
          <w:rFonts w:ascii="Arial Narrow" w:hAnsi="Arial Narrow" w:cs="Arial Narrow"/>
          <w:sz w:val="22"/>
          <w:szCs w:val="24"/>
        </w:rPr>
        <w:t xml:space="preserve">Príčinou </w:t>
      </w:r>
      <w:r>
        <w:rPr>
          <w:rFonts w:ascii="Arial Narrow" w:hAnsi="Arial Narrow" w:cs="Arial Narrow"/>
          <w:sz w:val="22"/>
          <w:szCs w:val="24"/>
        </w:rPr>
        <w:t>takéhoto vývoja</w:t>
      </w:r>
      <w:r w:rsidRPr="0014577E">
        <w:rPr>
          <w:rFonts w:ascii="Arial Narrow" w:hAnsi="Arial Narrow" w:cs="Arial Narrow"/>
          <w:sz w:val="22"/>
          <w:szCs w:val="24"/>
        </w:rPr>
        <w:t xml:space="preserve"> HDP na Slovensku je spomalenie rastu u našich obchodných partnerov, čo má za následok zníženie dopytu po slovenských vývozoch a z neho vyplývajúce sekundárne efekty – pokles zamestnanosti, spotreby a investícií. Medzi ďalšie faktory ovplyvňujúce ekonomický vývoj patrí ochladzovanie úverovej aktivity, keďže celková hodnota úverov v ekonomike stagnuje, pričom medzi novými úvermi dominujú prevádzkové úvery. Konjunkturálne prieskumy ukazujú klesajúci trend indikátora ekonomického sentimentu už od druhej polovice 2007. </w:t>
      </w:r>
      <w:r>
        <w:rPr>
          <w:rFonts w:ascii="Arial Narrow" w:hAnsi="Arial Narrow" w:cs="Arial Narrow"/>
          <w:sz w:val="22"/>
          <w:szCs w:val="24"/>
        </w:rPr>
        <w:t>Globálna kríza sa prejaví aj v nižšej inflácii, raste ne</w:t>
      </w:r>
      <w:r w:rsidRPr="0014577E">
        <w:rPr>
          <w:rFonts w:ascii="Arial Narrow" w:hAnsi="Arial Narrow" w:cs="Arial Narrow"/>
          <w:sz w:val="22"/>
          <w:szCs w:val="24"/>
        </w:rPr>
        <w:t>zamestnanos</w:t>
      </w:r>
      <w:r>
        <w:rPr>
          <w:rFonts w:ascii="Arial Narrow" w:hAnsi="Arial Narrow" w:cs="Arial Narrow"/>
          <w:sz w:val="22"/>
          <w:szCs w:val="24"/>
        </w:rPr>
        <w:t>ti</w:t>
      </w:r>
      <w:r w:rsidRPr="0014577E">
        <w:rPr>
          <w:rFonts w:ascii="Arial Narrow" w:hAnsi="Arial Narrow" w:cs="Arial Narrow"/>
          <w:sz w:val="22"/>
          <w:szCs w:val="24"/>
        </w:rPr>
        <w:t xml:space="preserve">, ako aj </w:t>
      </w:r>
      <w:r>
        <w:rPr>
          <w:rFonts w:ascii="Arial Narrow" w:hAnsi="Arial Narrow" w:cs="Arial Narrow"/>
          <w:sz w:val="22"/>
          <w:szCs w:val="24"/>
        </w:rPr>
        <w:t xml:space="preserve">horšom </w:t>
      </w:r>
      <w:r w:rsidRPr="0014577E">
        <w:rPr>
          <w:rFonts w:ascii="Arial Narrow" w:hAnsi="Arial Narrow" w:cs="Arial Narrow"/>
          <w:sz w:val="22"/>
          <w:szCs w:val="24"/>
        </w:rPr>
        <w:t>sald</w:t>
      </w:r>
      <w:r>
        <w:rPr>
          <w:rFonts w:ascii="Arial Narrow" w:hAnsi="Arial Narrow" w:cs="Arial Narrow"/>
          <w:sz w:val="22"/>
          <w:szCs w:val="24"/>
        </w:rPr>
        <w:t>e</w:t>
      </w:r>
      <w:r w:rsidRPr="0014577E">
        <w:rPr>
          <w:rFonts w:ascii="Arial Narrow" w:hAnsi="Arial Narrow" w:cs="Arial Narrow"/>
          <w:sz w:val="22"/>
          <w:szCs w:val="24"/>
        </w:rPr>
        <w:t xml:space="preserve"> bežného účtu platobnej bilancie</w:t>
      </w:r>
      <w:r>
        <w:rPr>
          <w:rFonts w:ascii="Arial Narrow" w:hAnsi="Arial Narrow" w:cs="Arial Narrow"/>
          <w:sz w:val="22"/>
          <w:szCs w:val="24"/>
        </w:rPr>
        <w:t xml:space="preserve">. </w:t>
      </w:r>
      <w:r w:rsidRPr="0014577E">
        <w:rPr>
          <w:rFonts w:ascii="Arial Narrow" w:hAnsi="Arial Narrow" w:cs="Arial Narrow"/>
          <w:sz w:val="22"/>
          <w:szCs w:val="24"/>
        </w:rPr>
        <w:t xml:space="preserve"> </w:t>
      </w:r>
      <w:r>
        <w:rPr>
          <w:rFonts w:ascii="Arial Narrow" w:hAnsi="Arial Narrow" w:cs="Arial Narrow"/>
          <w:sz w:val="22"/>
          <w:szCs w:val="24"/>
        </w:rPr>
        <w:t>Dno aktuálnej krízy sa očakáva v roku 2010, pričom vývoj ekonomiky sa bude následne mierne zlepšovať.</w:t>
      </w:r>
    </w:p>
    <w:p w:rsidR="000802DE" w:rsidRPr="008C28F8" w:rsidP="000802DE">
      <w:pPr>
        <w:spacing w:before="120" w:after="120"/>
        <w:jc w:val="both"/>
        <w:rPr>
          <w:rFonts w:ascii="Arial Narrow" w:hAnsi="Arial Narrow" w:cs="Arial Narrow"/>
          <w:sz w:val="22"/>
          <w:szCs w:val="24"/>
        </w:rPr>
      </w:pPr>
    </w:p>
    <w:tbl>
      <w:tblPr>
        <w:tblStyle w:val="TableNormal"/>
        <w:tblW w:w="5981" w:type="dxa"/>
        <w:jc w:val="center"/>
        <w:tblInd w:w="0" w:type="dxa"/>
        <w:tblCellMar>
          <w:left w:w="70" w:type="dxa"/>
          <w:right w:w="70" w:type="dxa"/>
        </w:tblCellMar>
      </w:tblPr>
      <w:tblGrid>
        <w:gridCol w:w="432"/>
        <w:gridCol w:w="2844"/>
        <w:gridCol w:w="541"/>
        <w:gridCol w:w="593"/>
        <w:gridCol w:w="505"/>
        <w:gridCol w:w="561"/>
        <w:gridCol w:w="505"/>
      </w:tblGrid>
      <w:tr>
        <w:tblPrEx>
          <w:tblW w:w="5981" w:type="dxa"/>
          <w:jc w:val="center"/>
          <w:tblInd w:w="0" w:type="dxa"/>
          <w:tblCellMar>
            <w:left w:w="70" w:type="dxa"/>
            <w:right w:w="70" w:type="dxa"/>
          </w:tblCellMar>
        </w:tblPrEx>
        <w:trPr>
          <w:trHeight w:val="270"/>
          <w:jc w:val="center"/>
        </w:trPr>
        <w:tc>
          <w:tcPr>
            <w:tcW w:w="5981" w:type="dxa"/>
            <w:gridSpan w:val="7"/>
            <w:tcBorders>
              <w:top w:val="single" w:sz="8" w:space="0" w:color="auto"/>
              <w:left w:val="single" w:sz="8" w:space="0" w:color="auto"/>
              <w:bottom w:val="nil"/>
              <w:right w:val="single" w:sz="8" w:space="0" w:color="000000"/>
            </w:tcBorders>
            <w:shd w:val="clear" w:color="auto" w:fill="000000"/>
            <w:noWrap/>
            <w:textDirection w:val="lrTb"/>
            <w:vAlign w:val="bottom"/>
          </w:tcPr>
          <w:p w:rsidR="000802DE" w:rsidRPr="0014577E" w:rsidP="007139CD">
            <w:pPr>
              <w:jc w:val="center"/>
              <w:rPr>
                <w:rFonts w:ascii="Arial Narrow" w:hAnsi="Arial Narrow" w:cs="Arial Narrow"/>
                <w:color w:val="FFFFFF"/>
                <w:sz w:val="20"/>
                <w:szCs w:val="24"/>
              </w:rPr>
            </w:pPr>
            <w:r w:rsidRPr="0014577E">
              <w:rPr>
                <w:rFonts w:ascii="Arial Narrow" w:hAnsi="Arial Narrow" w:cs="Arial Narrow"/>
                <w:color w:val="FFFFFF"/>
                <w:sz w:val="20"/>
                <w:szCs w:val="24"/>
              </w:rPr>
              <w:t>PROGNÓZA MF SR - HLAVNÉ INDIKÁTORY EKONOMIKY (</w:t>
            </w:r>
            <w:r>
              <w:rPr>
                <w:rFonts w:ascii="Arial Narrow" w:hAnsi="Arial Narrow" w:cs="Arial Narrow"/>
                <w:color w:val="FFFFFF"/>
                <w:sz w:val="20"/>
                <w:szCs w:val="24"/>
              </w:rPr>
              <w:t>september</w:t>
            </w:r>
            <w:r w:rsidRPr="0014577E">
              <w:rPr>
                <w:rFonts w:ascii="Arial Narrow" w:hAnsi="Arial Narrow" w:cs="Arial Narrow"/>
                <w:color w:val="FFFFFF"/>
                <w:sz w:val="20"/>
                <w:szCs w:val="24"/>
              </w:rPr>
              <w:t xml:space="preserve"> 2009)</w:t>
            </w:r>
          </w:p>
        </w:tc>
      </w:tr>
      <w:tr>
        <w:tblPrEx>
          <w:tblW w:w="5981" w:type="dxa"/>
          <w:jc w:val="center"/>
          <w:tblInd w:w="0" w:type="dxa"/>
          <w:tblCellMar>
            <w:left w:w="70" w:type="dxa"/>
            <w:right w:w="70" w:type="dxa"/>
          </w:tblCellMar>
        </w:tblPrEx>
        <w:trPr>
          <w:trHeight w:val="285"/>
          <w:jc w:val="center"/>
        </w:trPr>
        <w:tc>
          <w:tcPr>
            <w:tcW w:w="432" w:type="dxa"/>
            <w:tcBorders>
              <w:top w:val="nil"/>
              <w:left w:val="single" w:sz="8" w:space="0" w:color="auto"/>
              <w:bottom w:val="single" w:sz="8" w:space="0" w:color="auto"/>
              <w:right w:val="nil"/>
            </w:tcBorders>
            <w:shd w:val="clear" w:color="auto" w:fill="C0C0C0"/>
            <w:noWrap/>
            <w:textDirection w:val="lrTb"/>
            <w:vAlign w:val="bottom"/>
          </w:tcPr>
          <w:p w:rsidR="000802DE" w:rsidRPr="0014577E" w:rsidP="007139CD">
            <w:pPr>
              <w:jc w:val="center"/>
              <w:rPr>
                <w:rFonts w:ascii="Arial Narrow" w:hAnsi="Arial Narrow" w:cs="Arial Narrow"/>
                <w:b/>
                <w:sz w:val="20"/>
                <w:szCs w:val="24"/>
              </w:rPr>
            </w:pPr>
            <w:r w:rsidRPr="0014577E">
              <w:rPr>
                <w:rFonts w:ascii="Arial Narrow" w:hAnsi="Arial Narrow" w:cs="Arial Narrow"/>
                <w:b/>
                <w:sz w:val="20"/>
                <w:szCs w:val="24"/>
              </w:rPr>
              <w:t>P.č.</w:t>
            </w:r>
          </w:p>
        </w:tc>
        <w:tc>
          <w:tcPr>
            <w:tcW w:w="2844" w:type="dxa"/>
            <w:tcBorders>
              <w:top w:val="nil"/>
              <w:left w:val="nil"/>
              <w:bottom w:val="single" w:sz="8" w:space="0" w:color="auto"/>
              <w:right w:val="nil"/>
            </w:tcBorders>
            <w:shd w:val="clear" w:color="auto" w:fill="C0C0C0"/>
            <w:noWrap/>
            <w:textDirection w:val="lrTb"/>
            <w:vAlign w:val="bottom"/>
          </w:tcPr>
          <w:p w:rsidR="000802DE" w:rsidRPr="0014577E" w:rsidP="007139CD">
            <w:pPr>
              <w:rPr>
                <w:rFonts w:ascii="Arial Narrow" w:hAnsi="Arial Narrow" w:cs="Arial Narrow"/>
                <w:b/>
                <w:sz w:val="20"/>
                <w:szCs w:val="24"/>
              </w:rPr>
            </w:pPr>
            <w:r w:rsidRPr="0014577E">
              <w:rPr>
                <w:rFonts w:ascii="Arial Narrow" w:hAnsi="Arial Narrow" w:cs="Arial Narrow"/>
                <w:b/>
                <w:sz w:val="20"/>
                <w:szCs w:val="24"/>
              </w:rPr>
              <w:t>Ukazovateľ (v %)</w:t>
            </w:r>
          </w:p>
        </w:tc>
        <w:tc>
          <w:tcPr>
            <w:tcW w:w="541" w:type="dxa"/>
            <w:tcBorders>
              <w:top w:val="nil"/>
              <w:left w:val="nil"/>
              <w:bottom w:val="single" w:sz="8" w:space="0" w:color="auto"/>
              <w:right w:val="single" w:sz="8" w:space="0" w:color="auto"/>
            </w:tcBorders>
            <w:shd w:val="clear" w:color="auto" w:fill="C0C0C0"/>
            <w:noWrap/>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Skut.</w:t>
            </w:r>
          </w:p>
        </w:tc>
        <w:tc>
          <w:tcPr>
            <w:tcW w:w="2164" w:type="dxa"/>
            <w:gridSpan w:val="4"/>
            <w:tcBorders>
              <w:top w:val="nil"/>
              <w:left w:val="nil"/>
              <w:bottom w:val="single" w:sz="8" w:space="0" w:color="auto"/>
              <w:right w:val="single" w:sz="8" w:space="0" w:color="000000"/>
            </w:tcBorders>
            <w:shd w:val="clear" w:color="auto" w:fill="C0C0C0"/>
            <w:noWrap/>
            <w:textDirection w:val="lrTb"/>
            <w:vAlign w:val="bottom"/>
          </w:tcPr>
          <w:p w:rsidR="000802DE" w:rsidRPr="0014577E" w:rsidP="007139CD">
            <w:pPr>
              <w:jc w:val="center"/>
              <w:rPr>
                <w:rFonts w:ascii="Arial Narrow" w:hAnsi="Arial Narrow" w:cs="Arial Narrow"/>
                <w:b/>
                <w:sz w:val="20"/>
                <w:szCs w:val="24"/>
              </w:rPr>
            </w:pPr>
            <w:r w:rsidRPr="0014577E">
              <w:rPr>
                <w:rFonts w:ascii="Arial Narrow" w:hAnsi="Arial Narrow" w:cs="Arial Narrow"/>
                <w:b/>
                <w:sz w:val="20"/>
                <w:szCs w:val="24"/>
              </w:rPr>
              <w:t>Prognóza</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 </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 </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2008</w:t>
            </w:r>
          </w:p>
        </w:tc>
        <w:tc>
          <w:tcPr>
            <w:tcW w:w="593" w:type="dxa"/>
            <w:tcBorders>
              <w:top w:val="nil"/>
              <w:left w:val="nil"/>
              <w:bottom w:val="nil"/>
              <w:right w:val="nil"/>
            </w:tcBorders>
            <w:shd w:val="clear" w:color="auto" w:fill="FFFFFF"/>
            <w:noWrap/>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2009</w:t>
            </w:r>
          </w:p>
        </w:tc>
        <w:tc>
          <w:tcPr>
            <w:tcW w:w="505" w:type="dxa"/>
            <w:tcBorders>
              <w:top w:val="nil"/>
              <w:left w:val="nil"/>
              <w:bottom w:val="nil"/>
              <w:right w:val="nil"/>
            </w:tcBorders>
            <w:shd w:val="clear" w:color="auto" w:fill="FFFFFF"/>
            <w:noWrap/>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2010</w:t>
            </w:r>
          </w:p>
        </w:tc>
        <w:tc>
          <w:tcPr>
            <w:tcW w:w="561" w:type="dxa"/>
            <w:tcBorders>
              <w:top w:val="nil"/>
              <w:left w:val="nil"/>
              <w:bottom w:val="nil"/>
              <w:right w:val="nil"/>
            </w:tcBorders>
            <w:shd w:val="clear" w:color="auto" w:fill="FFFFFF"/>
            <w:noWrap/>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2011</w:t>
            </w:r>
          </w:p>
        </w:tc>
        <w:tc>
          <w:tcPr>
            <w:tcW w:w="505" w:type="dxa"/>
            <w:tcBorders>
              <w:top w:val="nil"/>
              <w:left w:val="nil"/>
              <w:bottom w:val="nil"/>
              <w:right w:val="single" w:sz="8" w:space="0" w:color="auto"/>
            </w:tcBorders>
            <w:shd w:val="clear" w:color="auto" w:fill="FFFFFF"/>
            <w:textDirection w:val="lrTb"/>
            <w:vAlign w:val="bottom"/>
          </w:tcPr>
          <w:p w:rsidR="000802DE" w:rsidRPr="0014577E" w:rsidP="007139CD">
            <w:pPr>
              <w:jc w:val="right"/>
              <w:rPr>
                <w:rFonts w:ascii="Arial Narrow" w:hAnsi="Arial Narrow" w:cs="Arial Narrow"/>
                <w:b/>
                <w:sz w:val="20"/>
                <w:szCs w:val="24"/>
              </w:rPr>
            </w:pPr>
            <w:r w:rsidRPr="0014577E">
              <w:rPr>
                <w:rFonts w:ascii="Arial Narrow" w:hAnsi="Arial Narrow" w:cs="Arial Narrow"/>
                <w:b/>
                <w:sz w:val="20"/>
                <w:szCs w:val="24"/>
              </w:rPr>
              <w:t>2012</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1</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HDP, reálny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6,4</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-5,7</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1,9</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4,1</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5,4</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2</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spotreba domácností, reálny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6,1</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-0,4</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1,5</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3,4</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4,9</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3</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investície, reálny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6,8</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-10,3</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2,9</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4,1</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5,1</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4</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Pr>
                <w:rFonts w:ascii="Arial Narrow" w:hAnsi="Arial Narrow" w:cs="Arial Narrow"/>
                <w:sz w:val="20"/>
                <w:szCs w:val="24"/>
              </w:rPr>
              <w:t>Import tovarov a služieb, reálny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Pr>
                <w:rFonts w:ascii="Arial Narrow" w:hAnsi="Arial Narrow" w:cs="Arial Narrow"/>
                <w:sz w:val="20"/>
                <w:szCs w:val="24"/>
              </w:rPr>
              <w:t>3,3</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-14,7</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3,2</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5,6</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8,4</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5</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export tovarov a služieb, reálny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3,2</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-15,2</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2,9</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7,1</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10,0</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6</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zamestnanosť (VZPS),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3,2</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-2,2</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0,2</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1,0</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1,8</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7</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miera nezamestnanosti (VZSP)</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9,6</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11,7</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12,1</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11,6</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11,0</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8</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reálna mzda, rast</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3,3</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0,8</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0,2</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2,3</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3,2</w:t>
            </w:r>
          </w:p>
        </w:tc>
      </w:tr>
      <w:tr>
        <w:tblPrEx>
          <w:tblW w:w="5981" w:type="dxa"/>
          <w:jc w:val="center"/>
          <w:tblInd w:w="0" w:type="dxa"/>
          <w:tblCellMar>
            <w:left w:w="70" w:type="dxa"/>
            <w:right w:w="70" w:type="dxa"/>
          </w:tblCellMar>
        </w:tblPrEx>
        <w:trPr>
          <w:trHeight w:val="270"/>
          <w:jc w:val="center"/>
        </w:trPr>
        <w:tc>
          <w:tcPr>
            <w:tcW w:w="432" w:type="dxa"/>
            <w:tcBorders>
              <w:top w:val="nil"/>
              <w:left w:val="single" w:sz="8" w:space="0" w:color="auto"/>
              <w:bottom w:val="nil"/>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sidRPr="0014577E">
              <w:rPr>
                <w:rFonts w:ascii="Arial Narrow" w:hAnsi="Arial Narrow" w:cs="Arial Narrow"/>
                <w:sz w:val="20"/>
                <w:szCs w:val="24"/>
              </w:rPr>
              <w:t>9</w:t>
            </w:r>
          </w:p>
        </w:tc>
        <w:tc>
          <w:tcPr>
            <w:tcW w:w="2844" w:type="dxa"/>
            <w:tcBorders>
              <w:top w:val="nil"/>
              <w:left w:val="nil"/>
              <w:bottom w:val="nil"/>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inflácia (priemer ročná; HICP)</w:t>
            </w:r>
          </w:p>
        </w:tc>
        <w:tc>
          <w:tcPr>
            <w:tcW w:w="541" w:type="dxa"/>
            <w:tcBorders>
              <w:top w:val="nil"/>
              <w:left w:val="nil"/>
              <w:bottom w:val="nil"/>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3,9</w:t>
            </w:r>
          </w:p>
        </w:tc>
        <w:tc>
          <w:tcPr>
            <w:tcW w:w="593"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1,2</w:t>
            </w:r>
          </w:p>
        </w:tc>
        <w:tc>
          <w:tcPr>
            <w:tcW w:w="505"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2,6</w:t>
            </w:r>
          </w:p>
        </w:tc>
        <w:tc>
          <w:tcPr>
            <w:tcW w:w="561" w:type="dxa"/>
            <w:tcBorders>
              <w:top w:val="nil"/>
              <w:left w:val="nil"/>
              <w:bottom w:val="nil"/>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3,7</w:t>
            </w:r>
          </w:p>
        </w:tc>
        <w:tc>
          <w:tcPr>
            <w:tcW w:w="505" w:type="dxa"/>
            <w:tcBorders>
              <w:top w:val="nil"/>
              <w:left w:val="nil"/>
              <w:bottom w:val="nil"/>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4,1</w:t>
            </w:r>
          </w:p>
        </w:tc>
      </w:tr>
      <w:tr>
        <w:tblPrEx>
          <w:tblW w:w="5981" w:type="dxa"/>
          <w:jc w:val="center"/>
          <w:tblInd w:w="0" w:type="dxa"/>
          <w:tblCellMar>
            <w:left w:w="70" w:type="dxa"/>
            <w:right w:w="70" w:type="dxa"/>
          </w:tblCellMar>
        </w:tblPrEx>
        <w:trPr>
          <w:trHeight w:val="285"/>
          <w:jc w:val="center"/>
        </w:trPr>
        <w:tc>
          <w:tcPr>
            <w:tcW w:w="432" w:type="dxa"/>
            <w:tcBorders>
              <w:top w:val="nil"/>
              <w:left w:val="single" w:sz="8" w:space="0" w:color="auto"/>
              <w:bottom w:val="single" w:sz="8" w:space="0" w:color="auto"/>
              <w:right w:val="nil"/>
            </w:tcBorders>
            <w:shd w:val="clear" w:color="auto" w:fill="FFFFFF"/>
            <w:noWrap/>
            <w:textDirection w:val="lrTb"/>
            <w:vAlign w:val="bottom"/>
          </w:tcPr>
          <w:p w:rsidR="000802DE" w:rsidRPr="0014577E" w:rsidP="007139CD">
            <w:pPr>
              <w:jc w:val="center"/>
              <w:rPr>
                <w:rFonts w:ascii="Arial Narrow" w:hAnsi="Arial Narrow" w:cs="Arial Narrow"/>
                <w:sz w:val="20"/>
                <w:szCs w:val="24"/>
              </w:rPr>
            </w:pPr>
            <w:r>
              <w:rPr>
                <w:rFonts w:ascii="Arial Narrow" w:hAnsi="Arial Narrow" w:cs="Arial Narrow"/>
                <w:sz w:val="20"/>
                <w:szCs w:val="24"/>
              </w:rPr>
              <w:t>10</w:t>
            </w:r>
          </w:p>
        </w:tc>
        <w:tc>
          <w:tcPr>
            <w:tcW w:w="2844" w:type="dxa"/>
            <w:tcBorders>
              <w:top w:val="nil"/>
              <w:left w:val="nil"/>
              <w:bottom w:val="single" w:sz="8" w:space="0" w:color="auto"/>
              <w:right w:val="nil"/>
            </w:tcBorders>
            <w:shd w:val="clear" w:color="auto" w:fill="FFFFFF"/>
            <w:noWrap/>
            <w:textDirection w:val="lrTb"/>
            <w:vAlign w:val="bottom"/>
          </w:tcPr>
          <w:p w:rsidR="000802DE" w:rsidRPr="0014577E" w:rsidP="007139CD">
            <w:pPr>
              <w:rPr>
                <w:rFonts w:ascii="Arial Narrow" w:hAnsi="Arial Narrow" w:cs="Arial Narrow"/>
                <w:sz w:val="20"/>
                <w:szCs w:val="24"/>
              </w:rPr>
            </w:pPr>
            <w:r w:rsidRPr="0014577E">
              <w:rPr>
                <w:rFonts w:ascii="Arial Narrow" w:hAnsi="Arial Narrow" w:cs="Arial Narrow"/>
                <w:sz w:val="20"/>
                <w:szCs w:val="24"/>
              </w:rPr>
              <w:t>bežný účet, (podiel na HDP)</w:t>
            </w:r>
          </w:p>
        </w:tc>
        <w:tc>
          <w:tcPr>
            <w:tcW w:w="541" w:type="dxa"/>
            <w:tcBorders>
              <w:top w:val="nil"/>
              <w:left w:val="nil"/>
              <w:bottom w:val="single" w:sz="8" w:space="0" w:color="auto"/>
              <w:right w:val="single" w:sz="8" w:space="0" w:color="auto"/>
            </w:tcBorders>
            <w:shd w:val="clear" w:color="auto" w:fill="FFFFFF"/>
            <w:noWrap/>
            <w:textDirection w:val="lrTb"/>
            <w:vAlign w:val="bottom"/>
          </w:tcPr>
          <w:p w:rsidR="000802DE" w:rsidRPr="0014577E" w:rsidP="007139CD">
            <w:pPr>
              <w:jc w:val="right"/>
              <w:rPr>
                <w:rFonts w:ascii="Arial Narrow" w:hAnsi="Arial Narrow" w:cs="Arial Narrow"/>
                <w:sz w:val="20"/>
                <w:szCs w:val="24"/>
              </w:rPr>
            </w:pPr>
            <w:r w:rsidRPr="0014577E">
              <w:rPr>
                <w:rFonts w:ascii="Arial Narrow" w:hAnsi="Arial Narrow" w:cs="Arial Narrow"/>
                <w:sz w:val="20"/>
                <w:szCs w:val="24"/>
              </w:rPr>
              <w:t>-6,5</w:t>
            </w:r>
          </w:p>
        </w:tc>
        <w:tc>
          <w:tcPr>
            <w:tcW w:w="593" w:type="dxa"/>
            <w:tcBorders>
              <w:top w:val="nil"/>
              <w:left w:val="nil"/>
              <w:bottom w:val="single" w:sz="8" w:space="0" w:color="auto"/>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-5,8</w:t>
            </w:r>
          </w:p>
        </w:tc>
        <w:tc>
          <w:tcPr>
            <w:tcW w:w="505" w:type="dxa"/>
            <w:tcBorders>
              <w:top w:val="nil"/>
              <w:left w:val="nil"/>
              <w:bottom w:val="single" w:sz="8" w:space="0" w:color="auto"/>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-5,2</w:t>
            </w:r>
          </w:p>
        </w:tc>
        <w:tc>
          <w:tcPr>
            <w:tcW w:w="561" w:type="dxa"/>
            <w:tcBorders>
              <w:top w:val="nil"/>
              <w:left w:val="nil"/>
              <w:bottom w:val="single" w:sz="8" w:space="0" w:color="auto"/>
              <w:right w:val="nil"/>
            </w:tcBorders>
            <w:shd w:val="clear" w:color="auto" w:fill="FFFFFF"/>
            <w:noWrap/>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-4,8</w:t>
            </w:r>
          </w:p>
        </w:tc>
        <w:tc>
          <w:tcPr>
            <w:tcW w:w="505" w:type="dxa"/>
            <w:tcBorders>
              <w:top w:val="nil"/>
              <w:left w:val="nil"/>
              <w:bottom w:val="single" w:sz="8" w:space="0" w:color="auto"/>
              <w:right w:val="single" w:sz="8" w:space="0" w:color="auto"/>
            </w:tcBorders>
            <w:shd w:val="clear" w:color="auto" w:fill="FFFFFF"/>
            <w:textDirection w:val="lrTb"/>
            <w:vAlign w:val="bottom"/>
          </w:tcPr>
          <w:p w:rsidR="000802DE" w:rsidRPr="00AA3336" w:rsidP="007139CD">
            <w:pPr>
              <w:jc w:val="right"/>
              <w:rPr>
                <w:rFonts w:ascii="Arial Narrow" w:hAnsi="Arial Narrow" w:cs="Arial Narrow"/>
                <w:sz w:val="20"/>
                <w:szCs w:val="24"/>
              </w:rPr>
            </w:pPr>
            <w:r w:rsidRPr="00AA3336">
              <w:rPr>
                <w:rFonts w:ascii="Arial Narrow" w:hAnsi="Arial Narrow" w:cs="Arial Narrow"/>
                <w:sz w:val="20"/>
                <w:szCs w:val="24"/>
              </w:rPr>
              <w:t>-4,0</w:t>
            </w:r>
          </w:p>
        </w:tc>
      </w:tr>
      <w:tr>
        <w:tblPrEx>
          <w:tblW w:w="5981" w:type="dxa"/>
          <w:jc w:val="center"/>
          <w:tblInd w:w="0" w:type="dxa"/>
          <w:tblCellMar>
            <w:left w:w="70" w:type="dxa"/>
            <w:right w:w="70" w:type="dxa"/>
          </w:tblCellMar>
        </w:tblPrEx>
        <w:trPr>
          <w:trHeight w:val="270"/>
          <w:jc w:val="center"/>
        </w:trPr>
        <w:tc>
          <w:tcPr>
            <w:tcW w:w="432" w:type="dxa"/>
            <w:tcBorders>
              <w:top w:val="nil"/>
              <w:left w:val="nil"/>
              <w:bottom w:val="nil"/>
              <w:right w:val="nil"/>
            </w:tcBorders>
            <w:noWrap/>
            <w:textDirection w:val="lrTb"/>
            <w:vAlign w:val="bottom"/>
          </w:tcPr>
          <w:p w:rsidR="000802DE" w:rsidP="007139CD">
            <w:pPr>
              <w:jc w:val="center"/>
              <w:rPr>
                <w:rFonts w:ascii="Arial Narrow" w:hAnsi="Arial Narrow" w:cs="Arial Narrow"/>
                <w:sz w:val="20"/>
                <w:szCs w:val="24"/>
              </w:rPr>
            </w:pPr>
          </w:p>
        </w:tc>
        <w:tc>
          <w:tcPr>
            <w:tcW w:w="2844" w:type="dxa"/>
            <w:tcBorders>
              <w:top w:val="nil"/>
              <w:left w:val="nil"/>
              <w:bottom w:val="nil"/>
              <w:right w:val="nil"/>
            </w:tcBorders>
            <w:shd w:val="clear" w:color="auto" w:fill="FFFFFF"/>
            <w:noWrap/>
            <w:textDirection w:val="lrTb"/>
            <w:vAlign w:val="bottom"/>
          </w:tcPr>
          <w:p w:rsidR="000802DE" w:rsidP="007139CD">
            <w:pPr>
              <w:rPr>
                <w:rFonts w:ascii="Arial Narrow" w:hAnsi="Arial Narrow" w:cs="Arial Narrow"/>
                <w:sz w:val="20"/>
                <w:szCs w:val="24"/>
              </w:rPr>
            </w:pPr>
            <w:r>
              <w:rPr>
                <w:rFonts w:ascii="Arial Narrow" w:hAnsi="Arial Narrow" w:cs="Arial Narrow"/>
                <w:sz w:val="20"/>
                <w:szCs w:val="24"/>
              </w:rPr>
              <w:t> </w:t>
            </w:r>
          </w:p>
        </w:tc>
        <w:tc>
          <w:tcPr>
            <w:tcW w:w="2705" w:type="dxa"/>
            <w:gridSpan w:val="5"/>
            <w:tcBorders>
              <w:top w:val="single" w:sz="8" w:space="0" w:color="auto"/>
              <w:left w:val="nil"/>
              <w:bottom w:val="nil"/>
              <w:right w:val="nil"/>
            </w:tcBorders>
            <w:shd w:val="clear" w:color="auto" w:fill="FFFFFF"/>
            <w:noWrap/>
            <w:textDirection w:val="lrTb"/>
            <w:vAlign w:val="bottom"/>
          </w:tcPr>
          <w:p w:rsidR="000802DE" w:rsidP="007139CD">
            <w:pPr>
              <w:jc w:val="right"/>
              <w:rPr>
                <w:rFonts w:ascii="Arial Narrow" w:hAnsi="Arial Narrow" w:cs="Arial Narrow"/>
                <w:sz w:val="20"/>
                <w:szCs w:val="24"/>
              </w:rPr>
            </w:pPr>
            <w:r>
              <w:rPr>
                <w:rFonts w:ascii="Arial Narrow" w:hAnsi="Arial Narrow" w:cs="Arial Narrow"/>
                <w:sz w:val="20"/>
                <w:szCs w:val="24"/>
              </w:rPr>
              <w:t> </w:t>
            </w:r>
            <w:r>
              <w:rPr>
                <w:rFonts w:ascii="Arial Narrow" w:hAnsi="Arial Narrow" w:cs="Arial Narrow"/>
                <w:sz w:val="16"/>
                <w:szCs w:val="24"/>
              </w:rPr>
              <w:t>Zdroj: ŠÚ SR, MF SR</w:t>
            </w:r>
          </w:p>
        </w:tc>
      </w:tr>
    </w:tbl>
    <w:p w:rsidR="000802DE" w:rsidP="000802DE">
      <w:pPr>
        <w:pStyle w:val="Heading3"/>
        <w:keepNext/>
        <w:spacing w:before="240" w:after="60" w:line="240" w:lineRule="auto"/>
        <w:rPr>
          <w:rFonts w:ascii="Arial Narrow" w:hAnsi="Arial Narrow" w:cs="Arial Narrow"/>
          <w:b/>
          <w:color w:val="000000"/>
          <w:sz w:val="22"/>
          <w:szCs w:val="24"/>
          <w:lang w:eastAsia="sk-SK"/>
        </w:rPr>
      </w:pPr>
    </w:p>
    <w:p w:rsidR="000802DE" w:rsidRPr="00A96DBA" w:rsidP="000802DE">
      <w:pPr>
        <w:pStyle w:val="Heading3"/>
        <w:keepNext/>
        <w:numPr>
          <w:ilvl w:val="1"/>
          <w:numId w:val="2"/>
        </w:numPr>
        <w:tabs>
          <w:tab w:val="clear" w:pos="792"/>
        </w:tabs>
        <w:spacing w:before="240" w:after="60" w:line="240" w:lineRule="auto"/>
        <w:ind w:left="851"/>
        <w:rPr>
          <w:rFonts w:ascii="Arial Narrow" w:hAnsi="Arial Narrow" w:cs="Arial Narrow"/>
          <w:b/>
          <w:sz w:val="22"/>
          <w:szCs w:val="24"/>
          <w:lang w:eastAsia="sk-SK"/>
        </w:rPr>
      </w:pPr>
      <w:bookmarkStart w:id="19" w:name="_Toc235596862"/>
      <w:r w:rsidRPr="00A96DBA">
        <w:rPr>
          <w:rFonts w:ascii="Arial Narrow" w:hAnsi="Arial Narrow" w:cs="Arial Narrow"/>
          <w:b/>
          <w:sz w:val="22"/>
          <w:szCs w:val="24"/>
          <w:lang w:eastAsia="sk-SK"/>
        </w:rPr>
        <w:t>Vývoj na európskom a slovenskom dlhopisovom trhu</w:t>
      </w:r>
      <w:bookmarkEnd w:id="19"/>
      <w:r>
        <w:rPr>
          <w:rFonts w:ascii="Arial Narrow" w:hAnsi="Arial Narrow" w:cs="Arial Narrow"/>
          <w:b/>
          <w:sz w:val="22"/>
          <w:szCs w:val="24"/>
          <w:lang w:eastAsia="sk-SK"/>
        </w:rPr>
        <w:t xml:space="preserve"> </w:t>
      </w:r>
    </w:p>
    <w:p w:rsidR="000802DE" w:rsidRPr="00E458D8" w:rsidP="000802DE">
      <w:pPr>
        <w:spacing w:before="120"/>
        <w:ind w:firstLine="708"/>
        <w:jc w:val="both"/>
        <w:rPr>
          <w:rFonts w:ascii="Arial Narrow" w:hAnsi="Arial Narrow" w:cs="Arial Narrow"/>
          <w:color w:val="000000"/>
          <w:sz w:val="22"/>
          <w:szCs w:val="24"/>
        </w:rPr>
      </w:pPr>
      <w:r w:rsidRPr="00BB74A4">
        <w:rPr>
          <w:rFonts w:ascii="Arial Narrow" w:hAnsi="Arial Narrow" w:cs="Arial Narrow"/>
          <w:sz w:val="22"/>
          <w:szCs w:val="24"/>
        </w:rPr>
        <w:t xml:space="preserve">Negatívny vývoj na svetových finančných trhoch, v reálnej ekonomike, pretrvávajúca averzia investorov k riziku </w:t>
      </w:r>
      <w:r w:rsidRPr="00E458D8">
        <w:rPr>
          <w:rFonts w:ascii="Arial Narrow" w:hAnsi="Arial Narrow" w:cs="Arial Narrow"/>
          <w:sz w:val="22"/>
          <w:szCs w:val="24"/>
        </w:rPr>
        <w:t xml:space="preserve">a potreba financovania rozsiahlych fiškálnych stimulačných balíčkov sa preniesla aj na európsky </w:t>
      </w:r>
      <w:r w:rsidRPr="00E458D8">
        <w:rPr>
          <w:rFonts w:ascii="Arial Narrow" w:hAnsi="Arial Narrow" w:cs="Arial Narrow"/>
          <w:color w:val="000000"/>
          <w:sz w:val="22"/>
          <w:szCs w:val="24"/>
        </w:rPr>
        <w:t>dlhopisový trh. Z</w:t>
      </w:r>
      <w:r w:rsidRPr="006230BD">
        <w:rPr>
          <w:rFonts w:ascii="Arial Narrow" w:hAnsi="Arial Narrow" w:cs="Arial Narrow"/>
          <w:color w:val="0000FF"/>
          <w:sz w:val="22"/>
          <w:szCs w:val="24"/>
        </w:rPr>
        <w:t xml:space="preserve"> </w:t>
      </w:r>
      <w:r w:rsidRPr="00E458D8">
        <w:rPr>
          <w:rFonts w:ascii="Arial Narrow" w:hAnsi="Arial Narrow" w:cs="Arial Narrow"/>
          <w:color w:val="000000"/>
          <w:sz w:val="22"/>
          <w:szCs w:val="24"/>
        </w:rPr>
        <w:t>dôvodu narastajúcej nervozity a nedôvery investorov sa už počas septembra roku 2007 na sekundárnom kapitálovom trhu takmer prestali obchodovať dlhopisy krajín strednej a východnej Európy (SVE). Kvôli násobnému zväčšeniu obchodnej marže (kúpa – predaj) bolo na paneurópskom burzovom trhu MTS uskutočnených len niekoľko obchodov. V kótovaní dlhopisov krajín SVE došlo na všetkých trhoch k značnému útlmu až k dočasnému pozastaveniu. Situácia sa ešte zhoršila po bankrote banky Lehman Brothers v septembri 2008 a až masívne injekcie hotovosti do finančných trhov vo väčšine krajín EU ale najmä v USA zastavili zhoršovanie a viedli k postupnému miernemu zlepšovaniu finančných trhov na situáciu spred bankrotu Lehman Brothers.</w:t>
      </w:r>
    </w:p>
    <w:p w:rsidR="000802DE" w:rsidRPr="00E458D8" w:rsidP="000802DE">
      <w:pPr>
        <w:spacing w:before="120"/>
        <w:ind w:firstLine="708"/>
        <w:jc w:val="both"/>
        <w:rPr>
          <w:rFonts w:ascii="Arial Narrow" w:hAnsi="Arial Narrow" w:cs="Arial Narrow"/>
          <w:color w:val="000000"/>
          <w:sz w:val="22"/>
          <w:szCs w:val="24"/>
        </w:rPr>
      </w:pPr>
      <w:r w:rsidRPr="00E458D8">
        <w:rPr>
          <w:rFonts w:ascii="Arial Narrow" w:hAnsi="Arial Narrow" w:cs="Arial Narrow"/>
          <w:color w:val="000000"/>
          <w:sz w:val="22"/>
          <w:szCs w:val="24"/>
        </w:rPr>
        <w:t xml:space="preserve">Základným znakom nepriaznivej situácie a averzie investorov k riziku bolo výrazné zvýšenie spreadov vo všetkých segmentoch finančného trhu. Nárast sa najviac prejavil na medzibankovom peňažnom trhu a neskôr pri rizikovej prirážke dlhopisov podnikovej sféry a  vládnych cenných papierov. Spready štátnych dlhopisov voči nemeckým bundom sa oproti začiatku roku 2008 zvýšili vo všetkých krajinách Európskej únie. Najvýraznejší nárast spreadov zaznamenali krajiny, ktoré boli krízou zasiahnuté najtvrdšie, t.j. predovšetkým pobaltské krajiny. Aj pri niektorých rozvinutých krajinách eurozóny sa spready z takmer nulovej úrovne začiatkom roka 2008 dostali až k hodnote 1 p.b. Spready Slovenska sa </w:t>
      </w:r>
      <w:r>
        <w:rPr>
          <w:rFonts w:ascii="Arial Narrow" w:hAnsi="Arial Narrow" w:cs="Arial Narrow"/>
          <w:color w:val="000000"/>
          <w:sz w:val="22"/>
          <w:szCs w:val="24"/>
        </w:rPr>
        <w:t xml:space="preserve">v posledných mesiacoch </w:t>
      </w:r>
      <w:r w:rsidRPr="00E458D8">
        <w:rPr>
          <w:rFonts w:ascii="Arial Narrow" w:hAnsi="Arial Narrow" w:cs="Arial Narrow"/>
          <w:color w:val="000000"/>
          <w:sz w:val="22"/>
          <w:szCs w:val="24"/>
        </w:rPr>
        <w:t>pohybujú tesne pod úrovňou 2 p.b. a sú 17. najvyššie v rámci EÚ a 14. najvyššie v rámci eurozóny. Z krajín eurozóny má vyššie spready štátnych dlhopisov Grécko a Írsko.</w:t>
      </w:r>
      <w:r>
        <w:rPr>
          <w:rFonts w:ascii="Arial Narrow" w:hAnsi="Arial Narrow" w:cs="Arial Narrow"/>
          <w:color w:val="000000"/>
          <w:sz w:val="22"/>
          <w:szCs w:val="24"/>
        </w:rPr>
        <w:t xml:space="preserve"> </w:t>
      </w:r>
    </w:p>
    <w:p w:rsidR="000802DE" w:rsidRPr="00E458D8" w:rsidP="000802DE">
      <w:pPr>
        <w:spacing w:before="120"/>
        <w:jc w:val="both"/>
        <w:rPr>
          <w:rFonts w:ascii="Arial Narrow" w:hAnsi="Arial Narrow" w:cs="Arial Narrow"/>
          <w:color w:val="000000"/>
          <w:sz w:val="22"/>
          <w:szCs w:val="24"/>
          <w:highlight w:val="cyan"/>
        </w:rPr>
      </w:pPr>
    </w:p>
    <w:tbl>
      <w:tblPr>
        <w:tblStyle w:val="TableNormal"/>
        <w:tblW w:w="7783" w:type="dxa"/>
        <w:jc w:val="center"/>
        <w:tblInd w:w="0" w:type="dxa"/>
        <w:tblCellMar>
          <w:left w:w="70" w:type="dxa"/>
          <w:right w:w="70" w:type="dxa"/>
        </w:tblCellMar>
      </w:tblPr>
      <w:tblGrid>
        <w:gridCol w:w="7783"/>
      </w:tblGrid>
      <w:tr>
        <w:tblPrEx>
          <w:tblW w:w="7783" w:type="dxa"/>
          <w:jc w:val="center"/>
          <w:tblInd w:w="0" w:type="dxa"/>
          <w:tblCellMar>
            <w:left w:w="70" w:type="dxa"/>
            <w:right w:w="70" w:type="dxa"/>
          </w:tblCellMar>
        </w:tblPrEx>
        <w:trPr>
          <w:trHeight w:val="184"/>
          <w:jc w:val="center"/>
        </w:trPr>
        <w:tc>
          <w:tcPr>
            <w:tcW w:w="7783" w:type="dxa"/>
            <w:tcBorders>
              <w:top w:val="nil"/>
              <w:left w:val="nil"/>
              <w:bottom w:val="nil"/>
              <w:right w:val="nil"/>
            </w:tcBorders>
            <w:shd w:val="clear" w:color="auto" w:fill="000000"/>
            <w:noWrap/>
            <w:textDirection w:val="lrTb"/>
            <w:vAlign w:val="bottom"/>
          </w:tcPr>
          <w:p w:rsidR="000802DE" w:rsidRPr="003F1C60" w:rsidP="007139CD">
            <w:pPr>
              <w:rPr>
                <w:rFonts w:ascii="Arial Narrow" w:hAnsi="Arial Narrow" w:cs="Arial Narrow"/>
                <w:b/>
                <w:color w:val="FFFFFF"/>
                <w:sz w:val="20"/>
                <w:szCs w:val="24"/>
              </w:rPr>
            </w:pPr>
            <w:r w:rsidRPr="003F1C60">
              <w:rPr>
                <w:rFonts w:ascii="Arial Narrow" w:hAnsi="Arial Narrow" w:cs="Arial Narrow"/>
                <w:b/>
                <w:color w:val="FFFFFF"/>
                <w:sz w:val="20"/>
                <w:szCs w:val="24"/>
              </w:rPr>
              <w:t xml:space="preserve">Spready </w:t>
            </w:r>
            <w:r>
              <w:rPr>
                <w:rFonts w:ascii="Arial Narrow" w:hAnsi="Arial Narrow" w:cs="Arial Narrow"/>
                <w:b/>
                <w:color w:val="FFFFFF"/>
                <w:sz w:val="20"/>
                <w:szCs w:val="24"/>
              </w:rPr>
              <w:t xml:space="preserve">10 ročných dlhopisov </w:t>
            </w:r>
            <w:r w:rsidRPr="003F1C60">
              <w:rPr>
                <w:rFonts w:ascii="Arial Narrow" w:hAnsi="Arial Narrow" w:cs="Arial Narrow"/>
                <w:b/>
                <w:color w:val="FFFFFF"/>
                <w:sz w:val="20"/>
                <w:szCs w:val="24"/>
              </w:rPr>
              <w:t>krajín EÚ oproti nemeckým bundom (p.b.)</w:t>
            </w:r>
          </w:p>
        </w:tc>
      </w:tr>
      <w:tr>
        <w:tblPrEx>
          <w:tblW w:w="7783" w:type="dxa"/>
          <w:jc w:val="center"/>
          <w:tblInd w:w="0" w:type="dxa"/>
          <w:tblCellMar>
            <w:left w:w="70" w:type="dxa"/>
            <w:right w:w="70" w:type="dxa"/>
          </w:tblCellMar>
        </w:tblPrEx>
        <w:trPr>
          <w:trHeight w:val="273"/>
          <w:jc w:val="center"/>
        </w:trPr>
        <w:tc>
          <w:tcPr>
            <w:tcW w:w="7783" w:type="dxa"/>
            <w:vMerge w:val="restart"/>
            <w:tcBorders>
              <w:top w:val="nil"/>
              <w:left w:val="nil"/>
              <w:bottom w:val="nil"/>
              <w:right w:val="nil"/>
            </w:tcBorders>
            <w:noWrap/>
            <w:textDirection w:val="lrTb"/>
            <w:vAlign w:val="bottom"/>
          </w:tcPr>
          <w:p w:rsidR="000802DE" w:rsidP="007139CD">
            <w:pPr>
              <w:jc w:val="center"/>
              <w:rPr>
                <w:rFonts w:ascii="Arial" w:hAnsi="Arial" w:cs="Arial"/>
                <w:sz w:val="20"/>
                <w:szCs w:val="24"/>
              </w:rPr>
            </w:pPr>
            <w:r>
              <w:rPr>
                <w:rFonts w:ascii="Times New Roman" w:hAnsi="Times New Roman" w:cs="Times New Roman"/>
                <w:noProof/>
                <w:szCs w:val="24"/>
              </w:rPr>
              <w:pict>
                <v:shape id="Obrázok 3" o:spid="_x0000_s1029" type="#_x0000_t75" style="width:395.55pt;height:190.05pt;margin-top:3.65pt;margin-left:-12.95pt;position:absolute;visibility:visible;z-index:251661312" filled="f" stroked="f">
                  <v:imagedata r:id="rId9" o:title=""/>
                  <o:diagram v:ext="edit"/>
                  <w10:anchorlock/>
                </v:shape>
              </w:pict>
            </w:r>
          </w:p>
          <w:p w:rsidR="000802DE" w:rsidP="007139CD">
            <w:pPr>
              <w:jc w:val="center"/>
              <w:rPr>
                <w:rFonts w:ascii="Arial" w:hAnsi="Arial" w:cs="Arial"/>
                <w:sz w:val="20"/>
                <w:szCs w:val="24"/>
              </w:rPr>
            </w:pPr>
          </w:p>
          <w:p w:rsidR="000802DE" w:rsidP="007139CD">
            <w:pPr>
              <w:jc w:val="center"/>
              <w:rPr>
                <w:rFonts w:ascii="Arial" w:hAnsi="Arial" w:cs="Arial"/>
                <w:sz w:val="20"/>
                <w:szCs w:val="24"/>
              </w:rPr>
            </w:pPr>
          </w:p>
          <w:p w:rsidR="000802DE" w:rsidP="007139CD">
            <w:pPr>
              <w:jc w:val="center"/>
              <w:rPr>
                <w:rFonts w:ascii="Arial" w:hAnsi="Arial" w:cs="Arial"/>
                <w:sz w:val="20"/>
                <w:szCs w:val="24"/>
              </w:rPr>
            </w:pPr>
          </w:p>
          <w:p w:rsidR="000802DE" w:rsidRPr="00607700" w:rsidP="007139CD">
            <w:pPr>
              <w:jc w:val="cente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672"/>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273"/>
          <w:jc w:val="center"/>
        </w:trPr>
        <w:tc>
          <w:tcPr>
            <w:tcW w:w="7783" w:type="dxa"/>
            <w:vMerge/>
            <w:tcBorders>
              <w:top w:val="nil"/>
              <w:left w:val="nil"/>
              <w:bottom w:val="nil"/>
              <w:right w:val="nil"/>
            </w:tcBorders>
            <w:textDirection w:val="lrTb"/>
            <w:vAlign w:val="center"/>
          </w:tcPr>
          <w:p w:rsidR="000802DE" w:rsidRPr="00607700" w:rsidP="007139CD">
            <w:pPr>
              <w:rPr>
                <w:rFonts w:ascii="Arial" w:hAnsi="Arial" w:cs="Arial"/>
                <w:sz w:val="20"/>
                <w:szCs w:val="24"/>
              </w:rPr>
            </w:pPr>
          </w:p>
        </w:tc>
      </w:tr>
      <w:tr>
        <w:tblPrEx>
          <w:tblW w:w="7783" w:type="dxa"/>
          <w:jc w:val="center"/>
          <w:tblInd w:w="0" w:type="dxa"/>
          <w:tblCellMar>
            <w:left w:w="70" w:type="dxa"/>
            <w:right w:w="70" w:type="dxa"/>
          </w:tblCellMar>
        </w:tblPrEx>
        <w:trPr>
          <w:trHeight w:val="99"/>
          <w:jc w:val="center"/>
        </w:trPr>
        <w:tc>
          <w:tcPr>
            <w:tcW w:w="7783" w:type="dxa"/>
            <w:tcBorders>
              <w:top w:val="single" w:sz="4" w:space="0" w:color="auto"/>
              <w:left w:val="nil"/>
              <w:bottom w:val="nil"/>
              <w:right w:val="nil"/>
            </w:tcBorders>
            <w:noWrap/>
            <w:textDirection w:val="lrTb"/>
            <w:vAlign w:val="bottom"/>
          </w:tcPr>
          <w:p w:rsidR="000802DE" w:rsidRPr="00607700" w:rsidP="007139CD">
            <w:pPr>
              <w:jc w:val="right"/>
              <w:rPr>
                <w:rFonts w:ascii="Arial" w:hAnsi="Arial" w:cs="Arial"/>
                <w:i/>
                <w:sz w:val="16"/>
                <w:szCs w:val="24"/>
              </w:rPr>
            </w:pPr>
            <w:r w:rsidRPr="00607700">
              <w:rPr>
                <w:rFonts w:ascii="Arial" w:hAnsi="Arial" w:cs="Arial"/>
                <w:i/>
                <w:sz w:val="16"/>
                <w:szCs w:val="24"/>
              </w:rPr>
              <w:t xml:space="preserve">Zdroj: </w:t>
            </w:r>
            <w:r>
              <w:rPr>
                <w:rFonts w:ascii="Arial" w:hAnsi="Arial" w:cs="Arial"/>
                <w:i/>
                <w:sz w:val="16"/>
                <w:szCs w:val="24"/>
              </w:rPr>
              <w:t>Reuters</w:t>
            </w:r>
            <w:r w:rsidRPr="00607700">
              <w:rPr>
                <w:rFonts w:ascii="Arial" w:hAnsi="Arial" w:cs="Arial"/>
                <w:i/>
                <w:sz w:val="16"/>
                <w:szCs w:val="24"/>
              </w:rPr>
              <w:t xml:space="preserve"> </w:t>
            </w:r>
          </w:p>
        </w:tc>
      </w:tr>
    </w:tbl>
    <w:p w:rsidR="000802DE" w:rsidRPr="00E458D8" w:rsidP="000802DE">
      <w:pPr>
        <w:spacing w:before="120"/>
        <w:ind w:firstLine="708"/>
        <w:jc w:val="both"/>
        <w:rPr>
          <w:rFonts w:ascii="Arial Narrow" w:hAnsi="Arial Narrow" w:cs="Arial Narrow"/>
          <w:color w:val="000000"/>
          <w:sz w:val="22"/>
          <w:szCs w:val="24"/>
        </w:rPr>
      </w:pPr>
      <w:r w:rsidRPr="00E458D8">
        <w:rPr>
          <w:rFonts w:ascii="Arial Narrow" w:hAnsi="Arial Narrow" w:cs="Arial Narrow"/>
          <w:color w:val="000000"/>
          <w:sz w:val="22"/>
          <w:szCs w:val="24"/>
        </w:rPr>
        <w:t>Nárast nedôvery investorov sa prejavil aj na primárnom trhu. Krajiny SVE zrušili alebo odložili emisie zahraničných dlhopisov. Emitované boli len dlhopisy krajín, ktoré súrne potrebovali finančné zdroje na pokrytie svojich aktuálnych potrieb (splatné záväzky). Niektoré krajiny (Maďarsko, Lotyšsko a iné) vzhľadom k nemožnosti vydať dlhopisy boli nútené požiadať o pomoc EC, IMF a WB.</w:t>
      </w:r>
      <w:r>
        <w:rPr>
          <w:rFonts w:ascii="Arial Narrow" w:hAnsi="Arial Narrow" w:cs="Arial Narrow"/>
          <w:color w:val="000000"/>
          <w:sz w:val="22"/>
          <w:szCs w:val="24"/>
        </w:rPr>
        <w:t xml:space="preserve"> </w:t>
      </w:r>
    </w:p>
    <w:p w:rsidR="000802DE" w:rsidRPr="00501448" w:rsidP="000802DE">
      <w:pPr>
        <w:spacing w:before="120"/>
        <w:ind w:firstLine="708"/>
        <w:jc w:val="both"/>
        <w:rPr>
          <w:rFonts w:ascii="Arial Narrow" w:hAnsi="Arial Narrow" w:cs="Arial Narrow"/>
          <w:color w:val="000000"/>
          <w:sz w:val="22"/>
          <w:szCs w:val="24"/>
        </w:rPr>
      </w:pPr>
      <w:r w:rsidRPr="00501448">
        <w:rPr>
          <w:rFonts w:ascii="Arial Narrow" w:hAnsi="Arial Narrow" w:cs="Arial Narrow"/>
          <w:color w:val="000000"/>
          <w:sz w:val="22"/>
          <w:szCs w:val="24"/>
        </w:rPr>
        <w:t>Podmienkam na peňažnom a kapitálovom trhu zmeneným v dôsledku krízy bola prispôsobená aj emisná politika. Relatívne dobré podmienky na vydávanie domácich štátnych dlhopisov ARDAL využila najmä do septembra 2008. Naopak, od septembra z dôvodu menej priaznivých úrokových sadzieb, ale hlavne nedostatočnému dopytu boli akceptované menšie množstvá v jednotlivých aukciách. Z týchto dôvodov neboli v roku 2008 emitované dlhopisy v množstve predpokladanom pri zostavovaní rozpočtu. V roku 2008 bolo plánované vydanie dlhopisov v účtovnej hodnote 75,4 mld. Sk. (vrátane emisie eurobondu) a skutočne vydaných bolo 52,591 mld. Sk vrátane emisií štátnych pokladničných poukážok. Zvyšok potrieb bol pokrytý zdrojmi zo Štátnej pokladnice.</w:t>
      </w:r>
    </w:p>
    <w:p w:rsidR="000802DE" w:rsidRPr="00501448" w:rsidP="000802DE">
      <w:pPr>
        <w:spacing w:before="120"/>
        <w:ind w:firstLine="708"/>
        <w:jc w:val="both"/>
        <w:rPr>
          <w:rFonts w:ascii="Arial Narrow" w:hAnsi="Arial Narrow" w:cs="Arial Narrow"/>
          <w:color w:val="000000"/>
          <w:sz w:val="22"/>
          <w:szCs w:val="24"/>
        </w:rPr>
      </w:pPr>
      <w:r w:rsidRPr="00501448">
        <w:rPr>
          <w:rFonts w:ascii="Arial Narrow" w:hAnsi="Arial Narrow" w:cs="Arial Narrow"/>
          <w:color w:val="000000"/>
          <w:sz w:val="22"/>
          <w:szCs w:val="24"/>
        </w:rPr>
        <w:t>Z dôvodu krízy pretrvávajúcej na finančných trhoch nebol v roku 2008 emitovaný slovenský Eurobond, ako to bolo pôvodne plánované. Po čiastočnom zlepšení situácie na európskom trhu uskutočnilo Slovensko v máji 2009 pomocou syndikátu emisiu dlhopisu vydanú v zahraničí v menovitej hodnote 2 mld.</w:t>
      </w:r>
      <w:r>
        <w:rPr>
          <w:rFonts w:ascii="Arial Narrow" w:hAnsi="Arial Narrow" w:cs="Arial Narrow"/>
          <w:color w:val="000000"/>
          <w:sz w:val="22"/>
          <w:szCs w:val="24"/>
        </w:rPr>
        <w:t xml:space="preserve"> eur</w:t>
      </w:r>
      <w:r w:rsidRPr="00501448">
        <w:rPr>
          <w:rFonts w:ascii="Arial Narrow" w:hAnsi="Arial Narrow" w:cs="Arial Narrow"/>
          <w:color w:val="000000"/>
          <w:sz w:val="22"/>
          <w:szCs w:val="24"/>
        </w:rPr>
        <w:t>. Vzhľadom k očakávanému rozšíreniu krízy do reálnej ekonomiky a jej následnému vplyvu na finančné potreby štátu sa plánované vydávanie dlhopisov a štátnych pokladničných poukážok v roku 2009 v účtovnej hodnote zmenilo zo sumy približne 4 mld.</w:t>
      </w:r>
      <w:r>
        <w:rPr>
          <w:rFonts w:ascii="Arial Narrow" w:hAnsi="Arial Narrow" w:cs="Arial Narrow"/>
          <w:color w:val="000000"/>
          <w:sz w:val="22"/>
          <w:szCs w:val="24"/>
        </w:rPr>
        <w:t xml:space="preserve"> eur</w:t>
      </w:r>
      <w:r w:rsidRPr="00501448">
        <w:rPr>
          <w:rFonts w:ascii="Arial Narrow" w:hAnsi="Arial Narrow" w:cs="Arial Narrow"/>
          <w:color w:val="000000"/>
          <w:sz w:val="22"/>
          <w:szCs w:val="24"/>
        </w:rPr>
        <w:t xml:space="preserve"> na hodnotu približne 7,5 mld. </w:t>
      </w:r>
      <w:r>
        <w:rPr>
          <w:rFonts w:ascii="Arial Narrow" w:hAnsi="Arial Narrow" w:cs="Arial Narrow"/>
          <w:color w:val="000000"/>
          <w:sz w:val="22"/>
          <w:szCs w:val="24"/>
        </w:rPr>
        <w:t>eur</w:t>
      </w:r>
      <w:r w:rsidRPr="00501448">
        <w:rPr>
          <w:rFonts w:ascii="Arial Narrow" w:hAnsi="Arial Narrow" w:cs="Arial Narrow"/>
          <w:color w:val="000000"/>
          <w:sz w:val="22"/>
          <w:szCs w:val="24"/>
        </w:rPr>
        <w:t xml:space="preserve">. Do konca júna bolo skutočne vydaných 5,145 mld. </w:t>
      </w:r>
      <w:r>
        <w:rPr>
          <w:rFonts w:ascii="Arial Narrow" w:hAnsi="Arial Narrow" w:cs="Arial Narrow"/>
          <w:color w:val="000000"/>
          <w:sz w:val="22"/>
          <w:szCs w:val="24"/>
        </w:rPr>
        <w:t>eur</w:t>
      </w:r>
      <w:r w:rsidRPr="00501448">
        <w:rPr>
          <w:rFonts w:ascii="Arial Narrow" w:hAnsi="Arial Narrow" w:cs="Arial Narrow"/>
          <w:color w:val="000000"/>
          <w:sz w:val="22"/>
          <w:szCs w:val="24"/>
        </w:rPr>
        <w:t xml:space="preserve"> v menovitej hodnote. (údaje vrátane emisie eurobondu).</w:t>
      </w:r>
      <w:r>
        <w:rPr>
          <w:rFonts w:ascii="Arial Narrow" w:hAnsi="Arial Narrow" w:cs="Arial Narrow"/>
          <w:color w:val="000000"/>
          <w:sz w:val="22"/>
          <w:szCs w:val="24"/>
        </w:rPr>
        <w:t xml:space="preserve"> </w:t>
      </w:r>
    </w:p>
    <w:p w:rsidR="000802DE" w:rsidRPr="00DC73D1" w:rsidP="000802DE">
      <w:pPr>
        <w:pStyle w:val="Heading3"/>
        <w:keepNext/>
        <w:numPr>
          <w:ilvl w:val="1"/>
          <w:numId w:val="2"/>
        </w:numPr>
        <w:tabs>
          <w:tab w:val="clear" w:pos="792"/>
        </w:tabs>
        <w:spacing w:before="240" w:after="60" w:line="240" w:lineRule="auto"/>
        <w:ind w:left="851" w:hanging="425"/>
        <w:rPr>
          <w:rFonts w:ascii="Arial Narrow" w:hAnsi="Arial Narrow" w:cs="Arial Narrow"/>
          <w:b/>
          <w:sz w:val="22"/>
          <w:szCs w:val="24"/>
          <w:lang w:eastAsia="sk-SK"/>
        </w:rPr>
      </w:pPr>
      <w:bookmarkStart w:id="20" w:name="_Toc235596863"/>
      <w:r w:rsidRPr="00DC73D1">
        <w:rPr>
          <w:rFonts w:ascii="Arial Narrow" w:hAnsi="Arial Narrow" w:cs="Arial Narrow"/>
          <w:b/>
          <w:sz w:val="22"/>
          <w:szCs w:val="24"/>
          <w:lang w:eastAsia="sk-SK"/>
        </w:rPr>
        <w:t>Fiškálny výhľad</w:t>
      </w:r>
      <w:bookmarkEnd w:id="20"/>
      <w:r w:rsidRPr="00DC73D1">
        <w:rPr>
          <w:rFonts w:ascii="Arial Narrow" w:hAnsi="Arial Narrow" w:cs="Arial Narrow"/>
          <w:b/>
          <w:sz w:val="22"/>
          <w:szCs w:val="24"/>
          <w:lang w:eastAsia="sk-SK"/>
        </w:rPr>
        <w:t xml:space="preserve"> </w:t>
      </w:r>
      <w:r>
        <w:rPr>
          <w:rFonts w:ascii="Arial Narrow" w:hAnsi="Arial Narrow" w:cs="Arial Narrow"/>
          <w:b/>
          <w:sz w:val="22"/>
          <w:szCs w:val="24"/>
          <w:lang w:eastAsia="sk-SK"/>
        </w:rPr>
        <w:t xml:space="preserve"> </w:t>
      </w:r>
    </w:p>
    <w:p w:rsidR="000802DE" w:rsidRPr="00C95A92" w:rsidP="000802DE">
      <w:pPr>
        <w:autoSpaceDE w:val="0"/>
        <w:autoSpaceDN w:val="0"/>
        <w:adjustRightInd w:val="0"/>
        <w:spacing w:before="120"/>
        <w:ind w:firstLine="708"/>
        <w:jc w:val="both"/>
        <w:rPr>
          <w:rFonts w:ascii="Arial Narrow" w:hAnsi="Arial Narrow" w:cs="Arial Narrow"/>
          <w:sz w:val="22"/>
          <w:szCs w:val="24"/>
        </w:rPr>
      </w:pPr>
      <w:r w:rsidRPr="00C95A92">
        <w:rPr>
          <w:rFonts w:ascii="Arial Narrow" w:hAnsi="Arial Narrow" w:cs="Arial Narrow"/>
          <w:sz w:val="22"/>
          <w:szCs w:val="24"/>
        </w:rPr>
        <w:t xml:space="preserve">Stratégia fiškálnej politiky prezentovaná v rámci Programu stability Slovenska na roky 2008 až 2012 </w:t>
      </w:r>
      <w:r>
        <w:rPr>
          <w:rFonts w:ascii="Arial Narrow" w:hAnsi="Arial Narrow" w:cs="Arial Narrow"/>
          <w:sz w:val="22"/>
          <w:szCs w:val="24"/>
        </w:rPr>
        <w:t xml:space="preserve">(apríl 2009) </w:t>
      </w:r>
      <w:r w:rsidRPr="00C95A92">
        <w:rPr>
          <w:rFonts w:ascii="Arial Narrow" w:hAnsi="Arial Narrow" w:cs="Arial Narrow"/>
          <w:sz w:val="22"/>
          <w:szCs w:val="24"/>
        </w:rPr>
        <w:t>stanovila za cieľ opätovne začať s konsolidáciou verejných financií od roku 2010 a znížiť deficit verejnej správy pod 3</w:t>
      </w:r>
      <w:r>
        <w:rPr>
          <w:rFonts w:ascii="Arial Narrow" w:hAnsi="Arial Narrow" w:cs="Arial Narrow"/>
          <w:sz w:val="22"/>
          <w:szCs w:val="24"/>
        </w:rPr>
        <w:t xml:space="preserve"> </w:t>
      </w:r>
      <w:r w:rsidRPr="00C95A92">
        <w:rPr>
          <w:rFonts w:ascii="Arial Narrow" w:hAnsi="Arial Narrow" w:cs="Arial Narrow"/>
          <w:sz w:val="22"/>
          <w:szCs w:val="24"/>
        </w:rPr>
        <w:t xml:space="preserve">% HDP do roku 2011. Vzhľadom na výrazné zhoršenie makroekonomického výhľadu od obdobia prípravy uvedeného dokumentu, je možné konštatovať, že sa pravdepodobne nepodarí naplniť cieľ zníženia deficitu v danom termíne. Táto skutočnosť však nemení stratégiu vlády pokračovať v konsolidácii verejných financií od roku 2010. </w:t>
      </w:r>
    </w:p>
    <w:p w:rsidR="000802DE" w:rsidRPr="00C95A92" w:rsidP="000802DE">
      <w:pPr>
        <w:autoSpaceDE w:val="0"/>
        <w:autoSpaceDN w:val="0"/>
        <w:adjustRightInd w:val="0"/>
        <w:spacing w:before="120"/>
        <w:ind w:firstLine="708"/>
        <w:jc w:val="both"/>
        <w:rPr>
          <w:rFonts w:ascii="Times New Roman" w:hAnsi="Times New Roman" w:cs="Times New Roman"/>
          <w:sz w:val="4"/>
          <w:szCs w:val="24"/>
        </w:rPr>
      </w:pPr>
      <w:r>
        <w:rPr>
          <w:rFonts w:ascii="Arial Narrow" w:hAnsi="Arial Narrow" w:cs="Arial Narrow"/>
          <w:sz w:val="22"/>
          <w:szCs w:val="24"/>
        </w:rPr>
        <w:t>Návrhu</w:t>
      </w:r>
      <w:r w:rsidRPr="00C95A92">
        <w:rPr>
          <w:rFonts w:ascii="Arial Narrow" w:hAnsi="Arial Narrow" w:cs="Arial Narrow"/>
          <w:sz w:val="22"/>
          <w:szCs w:val="24"/>
        </w:rPr>
        <w:t xml:space="preserve"> </w:t>
      </w:r>
      <w:r>
        <w:rPr>
          <w:rFonts w:ascii="Arial Narrow" w:hAnsi="Arial Narrow" w:cs="Arial Narrow"/>
          <w:sz w:val="22"/>
          <w:szCs w:val="24"/>
        </w:rPr>
        <w:t>r</w:t>
      </w:r>
      <w:r w:rsidRPr="00C95A92">
        <w:rPr>
          <w:rFonts w:ascii="Arial Narrow" w:hAnsi="Arial Narrow" w:cs="Arial Narrow"/>
          <w:sz w:val="22"/>
          <w:szCs w:val="24"/>
        </w:rPr>
        <w:t>ozpočtu verejnej správy na roky 2010 až 2012</w:t>
      </w:r>
      <w:r>
        <w:rPr>
          <w:rFonts w:ascii="Arial Narrow" w:hAnsi="Arial Narrow" w:cs="Arial Narrow"/>
          <w:sz w:val="22"/>
          <w:szCs w:val="24"/>
        </w:rPr>
        <w:t xml:space="preserve"> prezentuje n</w:t>
      </w:r>
      <w:r w:rsidRPr="00C95A92">
        <w:rPr>
          <w:rFonts w:ascii="Arial Narrow" w:hAnsi="Arial Narrow" w:cs="Arial Narrow"/>
          <w:sz w:val="22"/>
          <w:szCs w:val="24"/>
        </w:rPr>
        <w:t>ové fiškálne ciele</w:t>
      </w:r>
      <w:r>
        <w:rPr>
          <w:rFonts w:ascii="Arial Narrow" w:hAnsi="Arial Narrow" w:cs="Arial Narrow"/>
          <w:sz w:val="22"/>
          <w:szCs w:val="24"/>
        </w:rPr>
        <w:t xml:space="preserve">. </w:t>
      </w:r>
      <w:r w:rsidRPr="00C95A92">
        <w:rPr>
          <w:rFonts w:ascii="Arial Narrow" w:hAnsi="Arial Narrow" w:cs="Arial Narrow"/>
          <w:sz w:val="22"/>
          <w:szCs w:val="24"/>
        </w:rPr>
        <w:t xml:space="preserve"> Východiskom pre ich stanovenie je očakávaný vývoj v roku 2009, ktorý </w:t>
      </w:r>
      <w:r>
        <w:rPr>
          <w:rFonts w:ascii="Arial Narrow" w:hAnsi="Arial Narrow" w:cs="Arial Narrow"/>
          <w:sz w:val="22"/>
          <w:szCs w:val="24"/>
        </w:rPr>
        <w:t>bude výrazne negatívne ovplyvnený prepadom ekonomiky a s tým súvisiacim prepadom daňových a odvodových príjmov. Je možné očakávať v strednodobom horizonte podstatné zvýšenie deficitov aj verejného dlhu oproti schválenému rozpočtu verejnej správy na roky 2009 až 2011. Vzhľadom na to, že štátny dlh je rozhodujúcou zložkou verejného dlhu, zhoršené fiškálne ukazovatele budú hlavnou výzvou pre riadenie štátneho dlhu v strednodobom horizonte.</w:t>
      </w:r>
      <w:r w:rsidRPr="00C95A92">
        <w:rPr>
          <w:rFonts w:ascii="Times New Roman" w:hAnsi="Times New Roman" w:cs="Times New Roman"/>
          <w:sz w:val="4"/>
          <w:szCs w:val="24"/>
        </w:rPr>
        <w:t xml:space="preserve"> </w:t>
      </w:r>
    </w:p>
    <w:p w:rsidR="000802DE" w:rsidRPr="00DC73D1"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color w:val="000000"/>
          <w:sz w:val="22"/>
          <w:szCs w:val="24"/>
          <w:lang w:eastAsia="sk-SK"/>
        </w:rPr>
      </w:pPr>
      <w:bookmarkStart w:id="21" w:name="_Toc234999682"/>
      <w:bookmarkStart w:id="22" w:name="_Toc235596864"/>
      <w:r w:rsidRPr="00DC73D1">
        <w:rPr>
          <w:rFonts w:ascii="Arial Narrow" w:hAnsi="Arial Narrow" w:cs="Arial Narrow"/>
          <w:b/>
          <w:color w:val="000000"/>
          <w:sz w:val="22"/>
          <w:szCs w:val="24"/>
          <w:lang w:eastAsia="sk-SK"/>
        </w:rPr>
        <w:t>Vplyv vstupu Slovenska do eurozóny  na riadenie dlhu a</w:t>
      </w:r>
      <w:r>
        <w:rPr>
          <w:rFonts w:ascii="Arial Narrow" w:hAnsi="Arial Narrow" w:cs="Arial Narrow"/>
          <w:b/>
          <w:color w:val="000000"/>
          <w:sz w:val="22"/>
          <w:szCs w:val="24"/>
          <w:lang w:eastAsia="sk-SK"/>
        </w:rPr>
        <w:t> </w:t>
      </w:r>
      <w:r w:rsidRPr="00DC73D1">
        <w:rPr>
          <w:rFonts w:ascii="Arial Narrow" w:hAnsi="Arial Narrow" w:cs="Arial Narrow"/>
          <w:b/>
          <w:color w:val="000000"/>
          <w:sz w:val="22"/>
          <w:szCs w:val="24"/>
          <w:lang w:eastAsia="sk-SK"/>
        </w:rPr>
        <w:t>likvidity</w:t>
      </w:r>
      <w:bookmarkEnd w:id="21"/>
      <w:bookmarkEnd w:id="22"/>
      <w:r>
        <w:rPr>
          <w:rFonts w:ascii="Arial Narrow" w:hAnsi="Arial Narrow" w:cs="Arial Narrow"/>
          <w:b/>
          <w:color w:val="000000"/>
          <w:sz w:val="22"/>
          <w:szCs w:val="24"/>
          <w:lang w:eastAsia="sk-SK"/>
        </w:rPr>
        <w:t xml:space="preserve"> </w:t>
      </w:r>
    </w:p>
    <w:p w:rsidR="000802DE" w:rsidRPr="002F7C96" w:rsidP="000802DE">
      <w:pPr>
        <w:spacing w:before="120"/>
        <w:ind w:firstLine="708"/>
        <w:jc w:val="both"/>
        <w:rPr>
          <w:rFonts w:ascii="Arial Narrow" w:hAnsi="Arial Narrow" w:cs="Arial Narrow"/>
          <w:color w:val="000000"/>
          <w:sz w:val="22"/>
          <w:szCs w:val="24"/>
        </w:rPr>
      </w:pPr>
      <w:r>
        <w:rPr>
          <w:rFonts w:ascii="Arial Narrow" w:hAnsi="Arial Narrow" w:cs="Arial Narrow"/>
          <w:color w:val="000000"/>
          <w:sz w:val="22"/>
          <w:szCs w:val="24"/>
        </w:rPr>
        <w:t>Zavedenie e</w:t>
      </w:r>
      <w:r w:rsidRPr="002F7C96">
        <w:rPr>
          <w:rFonts w:ascii="Arial Narrow" w:hAnsi="Arial Narrow" w:cs="Arial Narrow"/>
          <w:color w:val="000000"/>
          <w:sz w:val="22"/>
          <w:szCs w:val="24"/>
        </w:rPr>
        <w:t>ura ako domácej slovenskej meny sa odohralo počas krízy na finančných trhoch a na začiatku krízy v reálnej ekonomike a preto zhodnotenie jeho vplyvu je výrazne ovplyvnené dôsledkami krízy. Napr. ak by ne</w:t>
      </w:r>
      <w:r>
        <w:rPr>
          <w:rFonts w:ascii="Arial Narrow" w:hAnsi="Arial Narrow" w:cs="Arial Narrow"/>
          <w:color w:val="000000"/>
          <w:sz w:val="22"/>
          <w:szCs w:val="24"/>
        </w:rPr>
        <w:t>nastala</w:t>
      </w:r>
      <w:r w:rsidRPr="002F7C96">
        <w:rPr>
          <w:rFonts w:ascii="Arial Narrow" w:hAnsi="Arial Narrow" w:cs="Arial Narrow"/>
          <w:color w:val="000000"/>
          <w:sz w:val="22"/>
          <w:szCs w:val="24"/>
        </w:rPr>
        <w:t xml:space="preserve"> </w:t>
      </w:r>
      <w:r>
        <w:rPr>
          <w:rFonts w:ascii="Arial Narrow" w:hAnsi="Arial Narrow" w:cs="Arial Narrow"/>
          <w:color w:val="000000"/>
          <w:sz w:val="22"/>
          <w:szCs w:val="24"/>
        </w:rPr>
        <w:t xml:space="preserve">ekonomická </w:t>
      </w:r>
      <w:r w:rsidRPr="002F7C96">
        <w:rPr>
          <w:rFonts w:ascii="Arial Narrow" w:hAnsi="Arial Narrow" w:cs="Arial Narrow"/>
          <w:color w:val="000000"/>
          <w:sz w:val="22"/>
          <w:szCs w:val="24"/>
        </w:rPr>
        <w:t>kríza</w:t>
      </w:r>
      <w:r>
        <w:rPr>
          <w:rFonts w:ascii="Arial Narrow" w:hAnsi="Arial Narrow" w:cs="Arial Narrow"/>
          <w:color w:val="000000"/>
          <w:sz w:val="22"/>
          <w:szCs w:val="24"/>
        </w:rPr>
        <w:t>, s najväčšou pravdepodobnosťou</w:t>
      </w:r>
      <w:r w:rsidRPr="002F7C96">
        <w:rPr>
          <w:rFonts w:ascii="Arial Narrow" w:hAnsi="Arial Narrow" w:cs="Arial Narrow"/>
          <w:color w:val="000000"/>
          <w:sz w:val="22"/>
          <w:szCs w:val="24"/>
        </w:rPr>
        <w:t xml:space="preserve"> by Slovensko získalo lepšie ratingové hodnotenie, čo by sa prejavilo v priaznivejších rizikových maržiach pri emisiách cenných papierov. Kríza na finančných trhoch spôsobila, že väčšina EU krajín vydávala kalendáre emisií a aukcií len na krátke obdobie a zmenila správanie na pružnejšie – oportunistickejšie. </w:t>
      </w:r>
      <w:r>
        <w:rPr>
          <w:rFonts w:ascii="Arial Narrow" w:hAnsi="Arial Narrow" w:cs="Arial Narrow"/>
          <w:color w:val="000000"/>
          <w:sz w:val="22"/>
          <w:szCs w:val="24"/>
        </w:rPr>
        <w:t xml:space="preserve"> </w:t>
      </w:r>
    </w:p>
    <w:p w:rsidR="000802DE" w:rsidRPr="00E328CE" w:rsidP="000802DE">
      <w:pPr>
        <w:spacing w:before="120"/>
        <w:ind w:firstLine="708"/>
        <w:jc w:val="both"/>
        <w:rPr>
          <w:rFonts w:ascii="Arial Narrow" w:hAnsi="Arial Narrow" w:cs="Arial Narrow"/>
          <w:sz w:val="22"/>
          <w:szCs w:val="24"/>
        </w:rPr>
      </w:pPr>
      <w:r w:rsidRPr="00E328CE">
        <w:rPr>
          <w:rFonts w:ascii="Arial Narrow" w:hAnsi="Arial Narrow" w:cs="Arial Narrow"/>
          <w:sz w:val="22"/>
          <w:szCs w:val="24"/>
        </w:rPr>
        <w:t xml:space="preserve">Pri vstupe Slovenska do eurozóny začiatkom roku 2009 bola uskutočnená redenominácia záväzkov štátu v súlade s ustanoveniami Zákona o zavedení meny euro v Slovenskej republike č. 659/2007 Z.z. v znení neskorších predpisov. Na rozdiel od krajín EMU (15) na Slovensku nebola redenominácia cenných papierov spojená s renominalizáciou, takže aj v súčasnosti jestvujú viaceré menovité hodnoty štátnych cenných papierov. Obchodný systém BCPB, a.s. ako aj registračný systém CDCP, a.s. boli počas roka 2008 v spolupráci (konzultácie) s NBS a ARDAL pripravené na redenomináciu, takže obchodovanie bez problémov pokračovalo aj po prechode na euro v roku 2009. Podobne aukčný aj obchodný systém ARDAL a účtovné systémy ŠP a MFSR umožnili bezproblémový a plynulý prechod na menu </w:t>
      </w:r>
      <w:r w:rsidR="003A17C7">
        <w:rPr>
          <w:rFonts w:ascii="Arial Narrow" w:hAnsi="Arial Narrow" w:cs="Arial Narrow"/>
          <w:sz w:val="22"/>
          <w:szCs w:val="24"/>
        </w:rPr>
        <w:t>e</w:t>
      </w:r>
      <w:r w:rsidRPr="00E328CE">
        <w:rPr>
          <w:rFonts w:ascii="Arial Narrow" w:hAnsi="Arial Narrow" w:cs="Arial Narrow"/>
          <w:sz w:val="22"/>
          <w:szCs w:val="24"/>
        </w:rPr>
        <w:t>uro. Keďže CDCP a.s. aj BCPB, a.s. splnili požiadavky ECB, sú všetky slovenské štátne cenné papiere (vrátane Štátnych pokladničných poukážok) akceptovateľnými aktívami, použiteľnými ako zábezpeka v operáciách menovej politiky ECB.</w:t>
      </w:r>
    </w:p>
    <w:p w:rsidR="000802DE" w:rsidRPr="00E328CE" w:rsidP="000802DE">
      <w:pPr>
        <w:spacing w:before="120"/>
        <w:ind w:firstLine="708"/>
        <w:jc w:val="both"/>
        <w:rPr>
          <w:rFonts w:ascii="Arial Narrow" w:hAnsi="Arial Narrow" w:cs="Arial Narrow"/>
          <w:sz w:val="22"/>
          <w:szCs w:val="24"/>
        </w:rPr>
      </w:pPr>
      <w:r w:rsidRPr="00E328CE">
        <w:rPr>
          <w:rFonts w:ascii="Arial Narrow" w:hAnsi="Arial Narrow" w:cs="Arial Narrow"/>
          <w:sz w:val="22"/>
          <w:szCs w:val="24"/>
        </w:rPr>
        <w:t xml:space="preserve">Ku koncu roka 2008 bol na slovenskom peňažnom trhu veľký prebytok likvidity (približne 400 mld. Sk), ktorý NBS sterilizovala prostredníctvom PP NBS a sterilizačných repotendrov. Keďže bankový sektor eurozóny je naopak refinancovaný z ECB, po zrealizovaní kurzových ziskov z posilňovania slovenskej koruny voči euru bolo všeobecne očakávané sťahovanie likvidity zo slovenského bankového sektora po vstupe do EMU ešte umocnené repatriáciou finančných zdrojov. Táto sa prejavila na celom svete ako reakcia na krízu na finančných trhoch. ARDAL sa podarilo v prvom polroku 2009 získať z týchto zdrojov v aukciách štátnych dlhopisov 2,247 mld. </w:t>
      </w:r>
      <w:r>
        <w:rPr>
          <w:rFonts w:ascii="Arial Narrow" w:hAnsi="Arial Narrow" w:cs="Arial Narrow"/>
          <w:sz w:val="22"/>
          <w:szCs w:val="24"/>
        </w:rPr>
        <w:t>eur</w:t>
      </w:r>
      <w:r w:rsidRPr="00E328CE">
        <w:rPr>
          <w:rFonts w:ascii="Arial Narrow" w:hAnsi="Arial Narrow" w:cs="Arial Narrow"/>
          <w:sz w:val="22"/>
          <w:szCs w:val="24"/>
        </w:rPr>
        <w:t xml:space="preserve">. </w:t>
      </w:r>
    </w:p>
    <w:p w:rsidR="000802DE" w:rsidRPr="00E328CE" w:rsidP="000802DE">
      <w:pPr>
        <w:spacing w:before="120"/>
        <w:ind w:firstLine="708"/>
        <w:jc w:val="both"/>
        <w:rPr>
          <w:rFonts w:ascii="Arial Narrow" w:hAnsi="Arial Narrow" w:cs="Arial Narrow"/>
          <w:sz w:val="22"/>
          <w:szCs w:val="24"/>
        </w:rPr>
      </w:pPr>
      <w:r w:rsidRPr="00E328CE">
        <w:rPr>
          <w:rFonts w:ascii="Arial Narrow" w:hAnsi="Arial Narrow" w:cs="Arial Narrow"/>
          <w:sz w:val="22"/>
          <w:szCs w:val="24"/>
        </w:rPr>
        <w:t xml:space="preserve">Dopyt investorov v aukciách slovenských štátnych dlhopisov vydávaných na domácom trhu zaznamenával v uplynulých rokoch klesajúci trend. V roku 2008, poslednom roku slovenskej koruny a krízovom roku finančných trhov, celkový dopyt v aukciách dosiahol 101 mld. Sk. Naproti tomu za prvý polrok roku 2009 bol celkový dopyt 5,6 mld. </w:t>
      </w:r>
      <w:r>
        <w:rPr>
          <w:rFonts w:ascii="Arial Narrow" w:hAnsi="Arial Narrow" w:cs="Arial Narrow"/>
          <w:sz w:val="22"/>
          <w:szCs w:val="24"/>
        </w:rPr>
        <w:t>eur</w:t>
      </w:r>
      <w:r w:rsidRPr="00E328CE">
        <w:rPr>
          <w:rFonts w:ascii="Arial Narrow" w:hAnsi="Arial Narrow" w:cs="Arial Narrow"/>
          <w:sz w:val="22"/>
          <w:szCs w:val="24"/>
        </w:rPr>
        <w:t xml:space="preserve"> (168 mld. Sk), čo možno pripísať nielen sprísneniu podmienok pri poskytovaní úverov, ale aj väčšej averzii voči riziku na trhu s akciami. Do budúcna, najmä pri návrate ekonomík k rastu, rozvoju úverových aktivít a zmenšeniu averzie k riziku sa bude pravdepodobne tok zdrojov domácich investorov investovaných do štátnych cenných papierov zmenšovať. </w:t>
      </w:r>
    </w:p>
    <w:p w:rsidR="000802DE" w:rsidRPr="00DC73D1" w:rsidP="000802DE">
      <w:pPr>
        <w:pStyle w:val="Heading1"/>
        <w:numPr>
          <w:numId w:val="2"/>
        </w:numPr>
        <w:jc w:val="both"/>
        <w:rPr>
          <w:rFonts w:ascii="Arial Narrow" w:hAnsi="Arial Narrow" w:cs="Arial Narrow"/>
          <w:color w:val="000000"/>
          <w:sz w:val="24"/>
          <w:szCs w:val="24"/>
        </w:rPr>
      </w:pPr>
      <w:bookmarkStart w:id="23" w:name="_Toc235596865"/>
      <w:bookmarkStart w:id="24" w:name="_Toc234999683"/>
      <w:r w:rsidRPr="00DC73D1">
        <w:rPr>
          <w:rFonts w:ascii="Arial Narrow" w:hAnsi="Arial Narrow" w:cs="Arial Narrow"/>
          <w:color w:val="000000"/>
          <w:sz w:val="24"/>
          <w:szCs w:val="24"/>
        </w:rPr>
        <w:t>Odporúčania pre stratégiu riadenia štátneho dlhu</w:t>
      </w:r>
      <w:bookmarkEnd w:id="23"/>
    </w:p>
    <w:p w:rsidR="000802DE" w:rsidRPr="00DC73D1"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color w:val="000000"/>
          <w:sz w:val="22"/>
          <w:szCs w:val="24"/>
          <w:lang w:eastAsia="sk-SK"/>
        </w:rPr>
      </w:pPr>
      <w:bookmarkStart w:id="25" w:name="_Toc235596866"/>
      <w:r w:rsidRPr="00DC73D1">
        <w:rPr>
          <w:rFonts w:ascii="Arial Narrow" w:hAnsi="Arial Narrow" w:cs="Arial Narrow"/>
          <w:b/>
          <w:color w:val="000000"/>
          <w:sz w:val="22"/>
          <w:szCs w:val="24"/>
          <w:lang w:eastAsia="sk-SK"/>
        </w:rPr>
        <w:t>Pre roky 2009 a</w:t>
      </w:r>
      <w:r>
        <w:rPr>
          <w:rFonts w:ascii="Arial Narrow" w:hAnsi="Arial Narrow" w:cs="Arial Narrow"/>
          <w:b/>
          <w:color w:val="000000"/>
          <w:sz w:val="22"/>
          <w:szCs w:val="24"/>
          <w:lang w:eastAsia="sk-SK"/>
        </w:rPr>
        <w:t> </w:t>
      </w:r>
      <w:r w:rsidRPr="00DC73D1">
        <w:rPr>
          <w:rFonts w:ascii="Arial Narrow" w:hAnsi="Arial Narrow" w:cs="Arial Narrow"/>
          <w:b/>
          <w:color w:val="000000"/>
          <w:sz w:val="22"/>
          <w:szCs w:val="24"/>
          <w:lang w:eastAsia="sk-SK"/>
        </w:rPr>
        <w:t>2010</w:t>
      </w:r>
      <w:bookmarkEnd w:id="24"/>
      <w:bookmarkEnd w:id="25"/>
      <w:r>
        <w:rPr>
          <w:rFonts w:ascii="Arial Narrow" w:hAnsi="Arial Narrow" w:cs="Arial Narrow"/>
          <w:b/>
          <w:color w:val="000000"/>
          <w:sz w:val="22"/>
          <w:szCs w:val="24"/>
          <w:lang w:eastAsia="sk-SK"/>
        </w:rPr>
        <w:t xml:space="preserve"> </w:t>
      </w:r>
    </w:p>
    <w:p w:rsidR="000802DE" w:rsidRPr="00E401E5" w:rsidP="000802DE">
      <w:pPr>
        <w:spacing w:before="120"/>
        <w:ind w:firstLine="708"/>
        <w:jc w:val="both"/>
        <w:rPr>
          <w:rFonts w:ascii="Arial Narrow" w:hAnsi="Arial Narrow" w:cs="Arial Narrow"/>
          <w:sz w:val="22"/>
          <w:szCs w:val="24"/>
        </w:rPr>
      </w:pPr>
      <w:r w:rsidRPr="00E401E5">
        <w:rPr>
          <w:rFonts w:ascii="Arial Narrow" w:hAnsi="Arial Narrow" w:cs="Arial Narrow"/>
          <w:sz w:val="22"/>
          <w:szCs w:val="24"/>
        </w:rPr>
        <w:t xml:space="preserve">Napriek tomu, že v súčasnom období nie sú spĺňané všetky parametre portfólia, pre obdobie rokov 2009 až 2010 nie je vhodné v spôsobe riadenia štátneho dlhu </w:t>
      </w:r>
      <w:r>
        <w:rPr>
          <w:rFonts w:ascii="Arial Narrow" w:hAnsi="Arial Narrow" w:cs="Arial Narrow"/>
          <w:sz w:val="22"/>
          <w:szCs w:val="24"/>
        </w:rPr>
        <w:t>niečo</w:t>
      </w:r>
      <w:r w:rsidRPr="00E401E5">
        <w:rPr>
          <w:rFonts w:ascii="Arial Narrow" w:hAnsi="Arial Narrow" w:cs="Arial Narrow"/>
          <w:sz w:val="22"/>
          <w:szCs w:val="24"/>
        </w:rPr>
        <w:t xml:space="preserve"> podstatné meniť. Prioritou nasledujúceho obdobia bude ďalšia internacionalizácia krytia štátneho dlhu SR. Trvalou prioritou však zostane bezproblémové refinancovanie štátneho dlhu a zabezpečenie primeranej likvidity štátu. Dôraz bude kladený, tak ako v predchádzajúcich rokoch, na minimalizáciu, resp. optimalizáciu výdavkov dlhovej služby štátu pri zachovaní akceptovateľnej miery rizika. Úspešnosť riadenia štátneho dlhu bude v rozhodujúcej miere ovplyvnená situáciou a podmienkami na   európskom finančnom trhu.</w:t>
      </w:r>
    </w:p>
    <w:p w:rsidR="000802DE" w:rsidRPr="00E401E5" w:rsidP="000802DE">
      <w:pPr>
        <w:spacing w:before="120"/>
        <w:ind w:firstLine="708"/>
        <w:jc w:val="both"/>
        <w:rPr>
          <w:rFonts w:ascii="Arial Narrow" w:hAnsi="Arial Narrow" w:cs="Arial Narrow"/>
          <w:sz w:val="22"/>
          <w:szCs w:val="24"/>
        </w:rPr>
      </w:pPr>
      <w:r w:rsidRPr="00E401E5">
        <w:rPr>
          <w:rFonts w:ascii="Arial Narrow" w:hAnsi="Arial Narrow" w:cs="Arial Narrow"/>
          <w:sz w:val="22"/>
          <w:szCs w:val="24"/>
        </w:rPr>
        <w:t xml:space="preserve">Riadenie štátneho dlhu sa v rokoch 2009 a 2010 zameria okrem hlavných priorít schválených v </w:t>
      </w:r>
      <w:r w:rsidR="00CD07E2">
        <w:rPr>
          <w:rFonts w:ascii="Arial Narrow" w:hAnsi="Arial Narrow" w:cs="Arial Narrow"/>
          <w:sz w:val="22"/>
          <w:szCs w:val="24"/>
        </w:rPr>
        <w:t>„</w:t>
      </w:r>
      <w:r w:rsidRPr="00E401E5">
        <w:rPr>
          <w:rFonts w:ascii="Arial Narrow" w:hAnsi="Arial Narrow" w:cs="Arial Narrow"/>
          <w:sz w:val="22"/>
          <w:szCs w:val="24"/>
        </w:rPr>
        <w:t>Stratégii riad</w:t>
      </w:r>
      <w:r w:rsidR="00CD07E2">
        <w:rPr>
          <w:rFonts w:ascii="Arial Narrow" w:hAnsi="Arial Narrow" w:cs="Arial Narrow"/>
          <w:sz w:val="22"/>
          <w:szCs w:val="24"/>
        </w:rPr>
        <w:t>enia štátneho dlhu 2007 až 2010“</w:t>
      </w:r>
      <w:r w:rsidRPr="00E401E5">
        <w:rPr>
          <w:rFonts w:ascii="Arial Narrow" w:hAnsi="Arial Narrow" w:cs="Arial Narrow"/>
          <w:sz w:val="22"/>
          <w:szCs w:val="24"/>
        </w:rPr>
        <w:t xml:space="preserve"> na nasledujúce strategické úlohy: </w:t>
      </w:r>
    </w:p>
    <w:p w:rsidR="000802DE" w:rsidRPr="00E401E5" w:rsidP="000802DE">
      <w:pPr>
        <w:spacing w:before="120"/>
        <w:ind w:left="709"/>
        <w:jc w:val="both"/>
        <w:rPr>
          <w:rFonts w:ascii="Arial Narrow" w:hAnsi="Arial Narrow" w:cs="Arial Narrow"/>
          <w:sz w:val="22"/>
          <w:szCs w:val="24"/>
        </w:rPr>
      </w:pPr>
      <w:r w:rsidRPr="00E401E5">
        <w:rPr>
          <w:rFonts w:ascii="Arial Narrow" w:hAnsi="Arial Narrow" w:cs="Arial Narrow"/>
          <w:sz w:val="22"/>
          <w:szCs w:val="24"/>
        </w:rPr>
        <w:t>V čo najväčšej miere zabezpečenie harmonizácie procesov a inštrumentov so štandardami kapitálového trhu EMU</w:t>
      </w:r>
      <w:r>
        <w:rPr>
          <w:rFonts w:ascii="Arial Narrow" w:hAnsi="Arial Narrow" w:cs="Arial Narrow"/>
          <w:sz w:val="22"/>
          <w:szCs w:val="24"/>
        </w:rPr>
        <w:t>.</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Dolaďovanie parametrov štátneho dlhu prostredníctvom trhových nástrojov vrátane finančných derivátov.</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Vytvorenie systému primárnych dealerov Slovenskej republiky s povinnosťami a právami podľa štandardov krajín HMÚ.</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V maximálne možnej miere efektívne využívanie finančných zdrojov verejného sektora sústredených v Štátnej pokladnici na dočasné krytie finančných potrieb štátu.</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 xml:space="preserve">Vydávanie najmenej jednej benchmarkovej emisie ročne so splatnosťou minimálne 5 rokov s celkovou nominálnou hodnotou najmenej 1 mld. </w:t>
      </w:r>
      <w:r>
        <w:rPr>
          <w:rFonts w:ascii="Arial Narrow" w:hAnsi="Arial Narrow" w:cs="Arial Narrow"/>
          <w:sz w:val="22"/>
          <w:szCs w:val="24"/>
        </w:rPr>
        <w:t>eur</w:t>
      </w:r>
      <w:r w:rsidRPr="00E401E5">
        <w:rPr>
          <w:rFonts w:ascii="Arial Narrow" w:hAnsi="Arial Narrow" w:cs="Arial Narrow"/>
          <w:sz w:val="22"/>
          <w:szCs w:val="24"/>
        </w:rPr>
        <w:t xml:space="preserve"> pomocou syndikátu.</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Vybudovanie systému na predaj štátnych dlhopisov pre obyvateľstvo na primárnom trhu; v prípade vhodných trhových podmienok uskutočnenie najmenej jednej emisie dlhopisov pre obyvateľstvo.</w:t>
      </w:r>
    </w:p>
    <w:p w:rsidR="000802DE" w:rsidRPr="00E401E5" w:rsidP="000802DE">
      <w:pPr>
        <w:spacing w:before="120"/>
        <w:ind w:left="709" w:hanging="1"/>
        <w:jc w:val="both"/>
        <w:rPr>
          <w:rFonts w:ascii="Arial Narrow" w:hAnsi="Arial Narrow" w:cs="Arial Narrow"/>
          <w:sz w:val="22"/>
          <w:szCs w:val="24"/>
        </w:rPr>
      </w:pPr>
      <w:r w:rsidRPr="00E401E5">
        <w:rPr>
          <w:rFonts w:ascii="Arial Narrow" w:hAnsi="Arial Narrow" w:cs="Arial Narrow"/>
          <w:sz w:val="22"/>
          <w:szCs w:val="24"/>
        </w:rPr>
        <w:t>Analyzovanie možností alternatívneho financovania štátneho dlhu mimo eurozóny a v prípade vhodnosti podmienok vydanie zahraničnej emisie mimo eurozóny.</w:t>
      </w:r>
    </w:p>
    <w:p w:rsidR="000802DE" w:rsidRPr="00815618" w:rsidP="000802DE">
      <w:pPr>
        <w:pStyle w:val="Heading3"/>
        <w:keepNext/>
        <w:numPr>
          <w:ilvl w:val="1"/>
          <w:numId w:val="2"/>
        </w:numPr>
        <w:tabs>
          <w:tab w:val="clear" w:pos="792"/>
          <w:tab w:val="num" w:pos="851"/>
        </w:tabs>
        <w:spacing w:before="240" w:after="60" w:line="240" w:lineRule="auto"/>
        <w:ind w:hanging="366"/>
        <w:rPr>
          <w:rFonts w:ascii="Arial Narrow" w:hAnsi="Arial Narrow" w:cs="Arial Narrow"/>
          <w:b/>
          <w:color w:val="000000"/>
          <w:sz w:val="22"/>
          <w:szCs w:val="24"/>
          <w:lang w:eastAsia="sk-SK"/>
        </w:rPr>
      </w:pPr>
      <w:bookmarkStart w:id="26" w:name="_Toc235596867"/>
      <w:r w:rsidRPr="00815618">
        <w:rPr>
          <w:rFonts w:ascii="Arial Narrow" w:hAnsi="Arial Narrow" w:cs="Arial Narrow"/>
          <w:b/>
          <w:color w:val="000000"/>
          <w:sz w:val="22"/>
          <w:szCs w:val="24"/>
          <w:lang w:eastAsia="sk-SK"/>
        </w:rPr>
        <w:t>Výhľad financovania pre roky 2011 až 2012</w:t>
      </w:r>
      <w:bookmarkEnd w:id="26"/>
      <w:r>
        <w:rPr>
          <w:rFonts w:ascii="Arial Narrow" w:hAnsi="Arial Narrow" w:cs="Arial Narrow"/>
          <w:b/>
          <w:color w:val="000000"/>
          <w:sz w:val="22"/>
          <w:szCs w:val="24"/>
          <w:lang w:eastAsia="sk-SK"/>
        </w:rPr>
        <w:t xml:space="preserve"> </w:t>
      </w:r>
    </w:p>
    <w:p w:rsidR="000802DE" w:rsidP="000802DE">
      <w:pPr>
        <w:spacing w:before="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Kríza na finančných trhoch, ktorá začala v roku 2008 bude zrejme len pomaly odznievať a je predpoklad, že priblíženie sa k predkrízovým úrovniam rizikových marží potrvá niekoľko rokov. V rokoch 2011 – 2012 sa všeobecne očakávajú ešte stále veľké nielen rizikové marže</w:t>
      </w:r>
      <w:r>
        <w:rPr>
          <w:rFonts w:ascii="Arial Narrow" w:hAnsi="Arial Narrow" w:cs="Arial Narrow"/>
          <w:color w:val="000000"/>
          <w:sz w:val="22"/>
          <w:szCs w:val="24"/>
        </w:rPr>
        <w:t>,</w:t>
      </w:r>
      <w:r w:rsidRPr="002F7C96">
        <w:rPr>
          <w:rFonts w:ascii="Arial Narrow" w:hAnsi="Arial Narrow" w:cs="Arial Narrow"/>
          <w:color w:val="000000"/>
          <w:sz w:val="22"/>
          <w:szCs w:val="24"/>
        </w:rPr>
        <w:t xml:space="preserve"> ale aj veľké rozdiely rizikových marží rôznych krajín. Až do roku 2012 nemožno očakávať, že do EMU vstúpi ďalšia krajina a teda Slovensko bude na dlhé obdobie najmladším členom menovej únie. To sa bude odrážať aj v prístupe investorov kupujúcich slovenské cenné papiere. </w:t>
      </w:r>
      <w:r>
        <w:rPr>
          <w:rFonts w:ascii="Arial Narrow" w:hAnsi="Arial Narrow" w:cs="Arial Narrow"/>
          <w:color w:val="000000"/>
          <w:sz w:val="22"/>
          <w:szCs w:val="24"/>
        </w:rPr>
        <w:t xml:space="preserve"> </w:t>
      </w:r>
    </w:p>
    <w:p w:rsidR="000802DE" w:rsidRPr="002F7C96" w:rsidP="000802DE">
      <w:pPr>
        <w:spacing w:before="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Pokiaľ sa ekonomiky našich hlavných obchodných partnerov nezotavia z</w:t>
      </w:r>
      <w:r>
        <w:rPr>
          <w:rFonts w:ascii="Arial Narrow" w:hAnsi="Arial Narrow" w:cs="Arial Narrow"/>
          <w:color w:val="000000"/>
          <w:sz w:val="22"/>
          <w:szCs w:val="24"/>
        </w:rPr>
        <w:t> </w:t>
      </w:r>
      <w:r w:rsidRPr="002F7C96">
        <w:rPr>
          <w:rFonts w:ascii="Arial Narrow" w:hAnsi="Arial Narrow" w:cs="Arial Narrow"/>
          <w:color w:val="000000"/>
          <w:sz w:val="22"/>
          <w:szCs w:val="24"/>
        </w:rPr>
        <w:t>krízy</w:t>
      </w:r>
      <w:r>
        <w:rPr>
          <w:rFonts w:ascii="Arial Narrow" w:hAnsi="Arial Narrow" w:cs="Arial Narrow"/>
          <w:color w:val="000000"/>
          <w:sz w:val="22"/>
          <w:szCs w:val="24"/>
        </w:rPr>
        <w:t>,</w:t>
      </w:r>
      <w:r w:rsidRPr="002F7C96">
        <w:rPr>
          <w:rFonts w:ascii="Arial Narrow" w:hAnsi="Arial Narrow" w:cs="Arial Narrow"/>
          <w:color w:val="000000"/>
          <w:sz w:val="22"/>
          <w:szCs w:val="24"/>
        </w:rPr>
        <w:t xml:space="preserve"> nie je možné očakávať ani veľký rast slovenskej ekonomiky. Z toho vyplýva, že v najbližších rokoch nie je pravdepodobný ani výrazný pokles nezamestnanosti, ani významný nárast príjmov štátneho rozpočtu. Podobný vývoj možno predpokladať vo väčšine krajín celej EMU. V pokračujúcej depresii ekonomík (resp. vo fáze stagnácie) budú deficity štátnych rozpočtov väčšiny krajín značne väčšie ako vo fáze rastu</w:t>
      </w:r>
      <w:r>
        <w:rPr>
          <w:rFonts w:ascii="Arial Narrow" w:hAnsi="Arial Narrow" w:cs="Arial Narrow"/>
          <w:color w:val="000000"/>
          <w:sz w:val="22"/>
          <w:szCs w:val="24"/>
        </w:rPr>
        <w:t>,</w:t>
      </w:r>
      <w:r w:rsidRPr="002F7C96">
        <w:rPr>
          <w:rFonts w:ascii="Arial Narrow" w:hAnsi="Arial Narrow" w:cs="Arial Narrow"/>
          <w:color w:val="000000"/>
          <w:sz w:val="22"/>
          <w:szCs w:val="24"/>
        </w:rPr>
        <w:t xml:space="preserve"> a preto sa očakáva, že každý rok bude hodnota dlhopisov vydaných na európskom trhu väčšia. To bude spolu s odlevom finančných zdrojov do akciového trhu a  do úverov spôsobovať nárast úrokových sadzieb dlhopisov a napriek možnému zmenšovaniu rizikovej marže spôsobovať nárast efektívnych úrokových nákladov. Dôležitým procesom na finančných trhoch bude sťahovanie voľnej likvidity (FED, ECB), ktorá sa dostala na trh pri záchrane peňažných trhov tak, aby nespôsobila zväčšenie inflácie alebo naopak aby nezabrzdila oživenie.</w:t>
      </w:r>
      <w:r>
        <w:rPr>
          <w:rFonts w:ascii="Arial Narrow" w:hAnsi="Arial Narrow" w:cs="Arial Narrow"/>
          <w:color w:val="000000"/>
          <w:sz w:val="22"/>
          <w:szCs w:val="24"/>
        </w:rPr>
        <w:t xml:space="preserve"> </w:t>
      </w:r>
    </w:p>
    <w:p w:rsidR="000802DE" w:rsidRPr="002F7C96" w:rsidP="000802DE">
      <w:pPr>
        <w:spacing w:before="120"/>
        <w:ind w:firstLine="708"/>
        <w:jc w:val="both"/>
        <w:rPr>
          <w:rFonts w:ascii="Arial Narrow" w:hAnsi="Arial Narrow" w:cs="Arial Narrow"/>
          <w:color w:val="000000"/>
          <w:sz w:val="22"/>
          <w:szCs w:val="24"/>
        </w:rPr>
      </w:pPr>
      <w:r w:rsidRPr="002F7C96">
        <w:rPr>
          <w:rFonts w:ascii="Arial Narrow" w:hAnsi="Arial Narrow" w:cs="Arial Narrow"/>
          <w:color w:val="000000"/>
          <w:sz w:val="22"/>
          <w:szCs w:val="24"/>
        </w:rPr>
        <w:t xml:space="preserve">Naďalej aj pre obdobie rokov 2011 a 2012 je potrebné zachovať stabilitu a nemeniť parametre (stanovené pre refinančné  riziko a refixačné riziko) portfólia štátneho dlhu. V uvedených rokoch bude vhodné udržať na trhu také množstvo ŠPP (4 až 8 mld. </w:t>
      </w:r>
      <w:r>
        <w:rPr>
          <w:rFonts w:ascii="Arial Narrow" w:hAnsi="Arial Narrow" w:cs="Arial Narrow"/>
          <w:color w:val="000000"/>
          <w:sz w:val="22"/>
          <w:szCs w:val="24"/>
        </w:rPr>
        <w:t>eur</w:t>
      </w:r>
      <w:r w:rsidRPr="002F7C96">
        <w:rPr>
          <w:rFonts w:ascii="Arial Narrow" w:hAnsi="Arial Narrow" w:cs="Arial Narrow"/>
          <w:color w:val="000000"/>
          <w:sz w:val="22"/>
          <w:szCs w:val="24"/>
        </w:rPr>
        <w:t>)</w:t>
      </w:r>
      <w:r>
        <w:rPr>
          <w:rFonts w:ascii="Arial Narrow" w:hAnsi="Arial Narrow" w:cs="Arial Narrow"/>
          <w:color w:val="000000"/>
          <w:sz w:val="22"/>
          <w:szCs w:val="24"/>
        </w:rPr>
        <w:t>,</w:t>
      </w:r>
      <w:r w:rsidRPr="002F7C96">
        <w:rPr>
          <w:rFonts w:ascii="Arial Narrow" w:hAnsi="Arial Narrow" w:cs="Arial Narrow"/>
          <w:color w:val="000000"/>
          <w:sz w:val="22"/>
          <w:szCs w:val="24"/>
        </w:rPr>
        <w:t xml:space="preserve"> aké umožnia benchmarkové parametre dlhového portfólia. Na dosiahnutie stanovených parametrov bude potrebné vydávať dlhopisy so splatnosťou 10 alebo viac rokov. Predpokladané splatné hodnoty dlhopisov a úverov (2,6 mld. </w:t>
      </w:r>
      <w:r>
        <w:rPr>
          <w:rFonts w:ascii="Arial Narrow" w:hAnsi="Arial Narrow" w:cs="Arial Narrow"/>
          <w:color w:val="000000"/>
          <w:sz w:val="22"/>
          <w:szCs w:val="24"/>
        </w:rPr>
        <w:t>eur</w:t>
      </w:r>
      <w:r w:rsidRPr="002F7C96">
        <w:rPr>
          <w:rFonts w:ascii="Arial Narrow" w:hAnsi="Arial Narrow" w:cs="Arial Narrow"/>
          <w:color w:val="000000"/>
          <w:sz w:val="22"/>
          <w:szCs w:val="24"/>
        </w:rPr>
        <w:t xml:space="preserve"> v roku 2011 a 1,7 mld. </w:t>
      </w:r>
      <w:r>
        <w:rPr>
          <w:rFonts w:ascii="Arial Narrow" w:hAnsi="Arial Narrow" w:cs="Arial Narrow"/>
          <w:color w:val="000000"/>
          <w:sz w:val="22"/>
          <w:szCs w:val="24"/>
        </w:rPr>
        <w:t>eur</w:t>
      </w:r>
      <w:r w:rsidRPr="002F7C96">
        <w:rPr>
          <w:rFonts w:ascii="Arial Narrow" w:hAnsi="Arial Narrow" w:cs="Arial Narrow"/>
          <w:color w:val="000000"/>
          <w:sz w:val="22"/>
          <w:szCs w:val="24"/>
        </w:rPr>
        <w:t xml:space="preserve"> v roku 2012) spolu s deficitmi rokov 2010 a 2011 umožnia vydávanie väčších (likvidnejších) emisií dlhopisov 2 až 3 mld. </w:t>
      </w:r>
      <w:r>
        <w:rPr>
          <w:rFonts w:ascii="Arial Narrow" w:hAnsi="Arial Narrow" w:cs="Arial Narrow"/>
          <w:color w:val="000000"/>
          <w:sz w:val="22"/>
          <w:szCs w:val="24"/>
        </w:rPr>
        <w:t>eur</w:t>
      </w:r>
      <w:r w:rsidRPr="002F7C96">
        <w:rPr>
          <w:rFonts w:ascii="Arial Narrow" w:hAnsi="Arial Narrow" w:cs="Arial Narrow"/>
          <w:color w:val="000000"/>
          <w:sz w:val="22"/>
          <w:szCs w:val="24"/>
        </w:rPr>
        <w:t>.</w:t>
      </w:r>
    </w:p>
    <w:p w:rsidR="000802DE" w:rsidP="000802DE">
      <w:pPr>
        <w:rPr>
          <w:rFonts w:ascii="Times New Roman" w:hAnsi="Times New Roman" w:cs="Times New Roman"/>
          <w:szCs w:val="24"/>
        </w:rPr>
      </w:pPr>
    </w:p>
    <w:p w:rsidR="005F12B1" w:rsidP="00702AB5">
      <w:pPr>
        <w:rPr>
          <w:rFonts w:ascii="Times New Roman" w:hAnsi="Times New Roman" w:cs="Times New Roman"/>
          <w:szCs w:val="24"/>
        </w:rPr>
      </w:pPr>
    </w:p>
    <w:p w:rsidR="0084667A" w:rsidP="00702AB5">
      <w:pPr>
        <w:rPr>
          <w:rFonts w:ascii="Times New Roman" w:hAnsi="Times New Roman" w:cs="Times New Roman"/>
          <w:szCs w:val="24"/>
        </w:rPr>
      </w:pPr>
    </w:p>
    <w:p w:rsidR="0084667A" w:rsidP="00702AB5">
      <w:pPr>
        <w:rPr>
          <w:rFonts w:ascii="Times New Roman" w:hAnsi="Times New Roman" w:cs="Times New Roman"/>
          <w:szCs w:val="24"/>
        </w:rPr>
      </w:pPr>
    </w:p>
    <w:sectPr w:rsidSect="00D01AB6">
      <w:headerReference w:type="default" r:id="rId10"/>
      <w:footerReference w:type="default" r:id="rId11"/>
      <w:pgSz w:w="11906" w:h="16838"/>
      <w:pgMar w:top="1077" w:right="1418" w:bottom="1077" w:left="1260" w:header="709" w:footer="709"/>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ˇ¦|||||ˇ¦|||ˇ¦||ˇ¦ˇěˇ¦¨§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ě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3050705020303"/>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0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0000400000000000000"/>
    <w:charset w:val="00"/>
    <w:family w:val="auto"/>
    <w:pitch w:val="variable"/>
    <w:sig w:usb0="00000000" w:usb1="00000000" w:usb2="00000000" w:usb3="00000000" w:csb0="00000001" w:csb1="00000000"/>
  </w:font>
  <w:font w:name="Shruti">
    <w:panose1 w:val="000004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00004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panose1 w:val="00000000000000000000"/>
    <w:charset w:val="00"/>
    <w:family w:val="roman"/>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charset w:val="00"/>
    <w:family w:val="script"/>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Kartika">
    <w:panose1 w:val="02020503030404060203"/>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03" w:csb1="00000000"/>
  </w:font>
  <w:font w:name="TimesNewRoman">
    <w:altName w:val="Times New Roman"/>
    <w:panose1 w:val="00000000000000000000"/>
    <w:charset w:val="00"/>
    <w:family w:val="auto"/>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Promocyja">
    <w:panose1 w:val="00000000000000000000"/>
    <w:charset w:val="00"/>
    <w:family w:val="roman"/>
    <w:pitch w:val="default"/>
    <w:sig w:usb0="00000000" w:usb1="00000000" w:usb2="00000000" w:usb3="00000000" w:csb0="00000001" w:csb1="00000000"/>
  </w:font>
  <w:font w:name="TimesNewRomanPSMT">
    <w:panose1 w:val="00000000000000000000"/>
    <w:charset w:val="EE"/>
    <w:family w:val="auto"/>
    <w:pitch w:val="default"/>
    <w:sig w:usb0="00000000" w:usb1="00000000" w:usb2="00000000" w:usb3="00000000" w:csb0="00000002" w:csb1="00000000"/>
  </w:font>
  <w:font w:name="Microsoft Sans Serif (Vietnames">
    <w:panose1 w:val="00000000000000000000"/>
    <w:charset w:val="A3"/>
    <w:family w:val="swiss"/>
    <w:pitch w:val="variable"/>
    <w:sig w:usb0="00000000" w:usb1="00000000" w:usb2="00000000" w:usb3="00000000" w:csb0="00000100" w:csb1="00000000"/>
  </w:font>
  <w:font w:name="ArialNarrow">
    <w:altName w:val="Arial"/>
    <w:panose1 w:val="00000000000000000000"/>
    <w:charset w:val="EE"/>
    <w:family w:val="swiss"/>
    <w:pitch w:val="default"/>
    <w:sig w:usb0="00000000" w:usb1="00000000" w:usb2="00000000" w:usb3="00000000" w:csb0="00000003" w:csb1="00000000"/>
  </w:font>
  <w:font w:name="Cambria Math Cyr">
    <w:panose1 w:val="00000000000000000000"/>
    <w:charset w:val="CC"/>
    <w:family w:val="roman"/>
    <w:pitch w:val="variable"/>
    <w:sig w:usb0="00000000" w:usb1="00000000" w:usb2="00000000" w:usb3="00000000" w:csb0="00000004" w:csb1="00000000"/>
  </w:font>
  <w:font w:name="Cambria Math Greek">
    <w:panose1 w:val="00000000000000000000"/>
    <w:charset w:val="A1"/>
    <w:family w:val="roman"/>
    <w:pitch w:val="variable"/>
    <w:sig w:usb0="00000000" w:usb1="00000000" w:usb2="00000000" w:usb3="00000000" w:csb0="00000008" w:csb1="00000000"/>
  </w:font>
  <w:font w:name="Cambria Math Tur">
    <w:panose1 w:val="00000000000000000000"/>
    <w:charset w:val="A2"/>
    <w:family w:val="roman"/>
    <w:pitch w:val="variable"/>
    <w:sig w:usb0="00000000" w:usb1="00000000" w:usb2="00000000" w:usb3="00000000" w:csb0="00000010" w:csb1="00000000"/>
  </w:font>
  <w:font w:name="Cambria Math Baltic">
    <w:panose1 w:val="00000000000000000000"/>
    <w:charset w:val="BA"/>
    <w:family w:val="roman"/>
    <w:pitch w:val="variable"/>
    <w:sig w:usb0="00000000" w:usb1="00000000" w:usb2="00000000" w:usb3="00000000" w:csb0="00000080" w:csb1="00000000"/>
  </w:font>
  <w:font w:name="Cambria Cyr">
    <w:panose1 w:val="00000000000000000000"/>
    <w:charset w:val="CC"/>
    <w:family w:val="roman"/>
    <w:pitch w:val="variable"/>
    <w:sig w:usb0="00000000" w:usb1="00000000" w:usb2="00000000" w:usb3="00000000" w:csb0="00000004" w:csb1="00000000"/>
  </w:font>
  <w:font w:name="Cambria Greek">
    <w:panose1 w:val="00000000000000000000"/>
    <w:charset w:val="A1"/>
    <w:family w:val="roman"/>
    <w:pitch w:val="variable"/>
    <w:sig w:usb0="00000000" w:usb1="00000000" w:usb2="00000000" w:usb3="00000000" w:csb0="00000008" w:csb1="00000000"/>
  </w:font>
  <w:font w:name="Cambria Tur">
    <w:panose1 w:val="00000000000000000000"/>
    <w:charset w:val="A2"/>
    <w:family w:val="roman"/>
    <w:pitch w:val="variable"/>
    <w:sig w:usb0="00000000" w:usb1="00000000" w:usb2="00000000" w:usb3="00000000" w:csb0="00000010" w:csb1="00000000"/>
  </w:font>
  <w:font w:name="Cambria Baltic">
    <w:panose1 w:val="00000000000000000000"/>
    <w:charset w:val="BA"/>
    <w:family w:val="roman"/>
    <w:pitch w:val="variable"/>
    <w:sig w:usb0="00000000" w:usb1="00000000" w:usb2="00000000" w:usb3="00000000" w:csb0="00000080" w:csb1="00000000"/>
  </w:font>
  <w:font w:name="Calibri Cyr">
    <w:altName w:val="Century Gothic"/>
    <w:panose1 w:val="00000000000000000000"/>
    <w:charset w:val="CC"/>
    <w:family w:val="swiss"/>
    <w:pitch w:val="variable"/>
    <w:sig w:usb0="00000000" w:usb1="00000000" w:usb2="00000000" w:usb3="00000000" w:csb0="00000004" w:csb1="00000000"/>
  </w:font>
  <w:font w:name="Calibri Greek">
    <w:altName w:val="Century Gothic"/>
    <w:panose1 w:val="00000000000000000000"/>
    <w:charset w:val="A1"/>
    <w:family w:val="swiss"/>
    <w:pitch w:val="variable"/>
    <w:sig w:usb0="00000000" w:usb1="00000000" w:usb2="00000000" w:usb3="00000000" w:csb0="00000008" w:csb1="00000000"/>
  </w:font>
  <w:font w:name="Calibri Tur">
    <w:altName w:val="Century Gothic"/>
    <w:panose1 w:val="00000000000000000000"/>
    <w:charset w:val="A2"/>
    <w:family w:val="swiss"/>
    <w:pitch w:val="variable"/>
    <w:sig w:usb0="00000000" w:usb1="00000000" w:usb2="00000000" w:usb3="00000000" w:csb0="00000010" w:csb1="00000000"/>
  </w:font>
  <w:font w:name="Calibri Baltic">
    <w:altName w:val="Century Gothic"/>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52" w:rsidP="00802EBC">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9F3088">
      <w:rPr>
        <w:rStyle w:val="PageNumber"/>
        <w:rFonts w:ascii="Times New Roman" w:hAnsi="Times New Roman" w:cs="Times New Roman"/>
        <w:noProof/>
        <w:szCs w:val="24"/>
      </w:rPr>
      <w:t>45</w:t>
    </w:r>
    <w:r>
      <w:rPr>
        <w:rStyle w:val="PageNumber"/>
        <w:rFonts w:ascii="Times New Roman" w:hAnsi="Times New Roman" w:cs="Times New Roman"/>
        <w:szCs w:val="24"/>
      </w:rPr>
      <w:fldChar w:fldCharType="end"/>
    </w:r>
  </w:p>
  <w:p w:rsidR="00424E52" w:rsidRPr="00CB581B">
    <w:pPr>
      <w:pStyle w:val="Footer"/>
      <w:rPr>
        <w:rFonts w:ascii="Arial Narrow" w:hAnsi="Arial Narrow" w:cs="Arial Narrow"/>
        <w:b/>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69A">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32269A">
      <w:pPr>
        <w:rPr>
          <w:rFonts w:ascii="Times New Roman" w:hAnsi="Times New Roman" w:cs="Times New Roman"/>
          <w:szCs w:val="24"/>
        </w:rPr>
      </w:pPr>
      <w:r>
        <w:rPr>
          <w:rFonts w:ascii="Times New Roman" w:hAnsi="Times New Roman" w:cs="Times New Roman"/>
          <w:szCs w:val="24"/>
        </w:rPr>
        <w:continuationSeparator/>
      </w:r>
    </w:p>
  </w:footnote>
  <w:footnote w:id="2">
    <w:p w:rsidP="000802DE">
      <w:pPr>
        <w:pStyle w:val="FootnoteText"/>
        <w:jc w:val="both"/>
        <w:rPr>
          <w:rFonts w:ascii="Times New Roman" w:hAnsi="Times New Roman" w:cs="Times New Roman"/>
          <w:szCs w:val="24"/>
        </w:rPr>
      </w:pPr>
      <w:r w:rsidR="000802DE">
        <w:rPr>
          <w:rStyle w:val="FootnoteReference"/>
          <w:rFonts w:ascii="Arial Narrow" w:hAnsi="Arial Narrow" w:cs="Arial Narrow"/>
          <w:sz w:val="16"/>
          <w:szCs w:val="24"/>
        </w:rPr>
        <w:footnoteRef/>
      </w:r>
      <w:r w:rsidR="000802DE">
        <w:rPr>
          <w:rFonts w:ascii="Arial Narrow" w:hAnsi="Arial Narrow" w:cs="Arial Narrow"/>
          <w:sz w:val="16"/>
          <w:szCs w:val="24"/>
        </w:rPr>
        <w:t xml:space="preserve"> Odhady príspevkov Slovenskej republiky do Európskeho rozvojového fondu sú spracované na základe dokumentu ACP č. 160/07 ADD 2, ktorý bol predložený v rámci pracovnej skupiny ACP dňa 31.08.2007.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52" w:rsidRPr="00CB581B" w:rsidP="00CB581B">
    <w:pPr>
      <w:pStyle w:val="Header"/>
      <w:ind w:firstLine="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372E0EE7"/>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52E901BA"/>
    <w:multiLevelType w:val="multilevel"/>
    <w:tmpl w:val="CED442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tl3"/>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69D133A4"/>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D6E74A5"/>
    <w:multiLevelType w:val="hybridMultilevel"/>
    <w:tmpl w:val="6E9A9BE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037323"/>
    <w:multiLevelType w:val="hybridMultilevel"/>
    <w:tmpl w:val="F87C61F0"/>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2"/>
  </w:num>
  <w:num w:numId="6">
    <w:abstractNumId w:val="5"/>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isplayHorizontalDrawingGridEvery w:val="2"/>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1424FB"/>
    <w:rsid w:val="00003E4A"/>
    <w:rsid w:val="000062A0"/>
    <w:rsid w:val="0001529B"/>
    <w:rsid w:val="00017207"/>
    <w:rsid w:val="00017653"/>
    <w:rsid w:val="00025C4F"/>
    <w:rsid w:val="00026C72"/>
    <w:rsid w:val="00035090"/>
    <w:rsid w:val="000365E0"/>
    <w:rsid w:val="000404FD"/>
    <w:rsid w:val="0004106E"/>
    <w:rsid w:val="0004309B"/>
    <w:rsid w:val="00043DD8"/>
    <w:rsid w:val="00044350"/>
    <w:rsid w:val="00052970"/>
    <w:rsid w:val="000545AE"/>
    <w:rsid w:val="00057273"/>
    <w:rsid w:val="00061C46"/>
    <w:rsid w:val="000663D7"/>
    <w:rsid w:val="000729CF"/>
    <w:rsid w:val="00076E10"/>
    <w:rsid w:val="000802DE"/>
    <w:rsid w:val="00083D09"/>
    <w:rsid w:val="00084134"/>
    <w:rsid w:val="0008724D"/>
    <w:rsid w:val="00093E79"/>
    <w:rsid w:val="000A40C7"/>
    <w:rsid w:val="000A4EF0"/>
    <w:rsid w:val="000C262C"/>
    <w:rsid w:val="000C2F5B"/>
    <w:rsid w:val="000C44FA"/>
    <w:rsid w:val="000D4D85"/>
    <w:rsid w:val="000D6623"/>
    <w:rsid w:val="000E0547"/>
    <w:rsid w:val="000E4601"/>
    <w:rsid w:val="000E5CB7"/>
    <w:rsid w:val="001001E7"/>
    <w:rsid w:val="00104010"/>
    <w:rsid w:val="0011160A"/>
    <w:rsid w:val="0011215C"/>
    <w:rsid w:val="00113D09"/>
    <w:rsid w:val="00122BFE"/>
    <w:rsid w:val="0012421E"/>
    <w:rsid w:val="001333B9"/>
    <w:rsid w:val="001339BF"/>
    <w:rsid w:val="001424FB"/>
    <w:rsid w:val="0014577E"/>
    <w:rsid w:val="0015221C"/>
    <w:rsid w:val="001553E1"/>
    <w:rsid w:val="001564C9"/>
    <w:rsid w:val="00162110"/>
    <w:rsid w:val="00162D3C"/>
    <w:rsid w:val="00166CC7"/>
    <w:rsid w:val="001835E4"/>
    <w:rsid w:val="00186B42"/>
    <w:rsid w:val="00186C4E"/>
    <w:rsid w:val="001877DB"/>
    <w:rsid w:val="00191A1C"/>
    <w:rsid w:val="00195BA1"/>
    <w:rsid w:val="001A26B4"/>
    <w:rsid w:val="001A77FA"/>
    <w:rsid w:val="001C61D8"/>
    <w:rsid w:val="001D52F9"/>
    <w:rsid w:val="001D5EB1"/>
    <w:rsid w:val="001E1A90"/>
    <w:rsid w:val="001E53C8"/>
    <w:rsid w:val="001F3DBE"/>
    <w:rsid w:val="00200D2F"/>
    <w:rsid w:val="002200A4"/>
    <w:rsid w:val="0022093F"/>
    <w:rsid w:val="00223B82"/>
    <w:rsid w:val="00231151"/>
    <w:rsid w:val="002406F8"/>
    <w:rsid w:val="0024101F"/>
    <w:rsid w:val="00243C06"/>
    <w:rsid w:val="00246A7B"/>
    <w:rsid w:val="00254436"/>
    <w:rsid w:val="00255039"/>
    <w:rsid w:val="00255520"/>
    <w:rsid w:val="00281E3F"/>
    <w:rsid w:val="0028490A"/>
    <w:rsid w:val="00290120"/>
    <w:rsid w:val="002917A9"/>
    <w:rsid w:val="0029528A"/>
    <w:rsid w:val="002A1456"/>
    <w:rsid w:val="002A23A2"/>
    <w:rsid w:val="002A2877"/>
    <w:rsid w:val="002A32CE"/>
    <w:rsid w:val="002A38B2"/>
    <w:rsid w:val="002A517A"/>
    <w:rsid w:val="002B1759"/>
    <w:rsid w:val="002B51F5"/>
    <w:rsid w:val="002B5C85"/>
    <w:rsid w:val="002B6785"/>
    <w:rsid w:val="002C1192"/>
    <w:rsid w:val="002C4192"/>
    <w:rsid w:val="002C6FCA"/>
    <w:rsid w:val="002D1C8C"/>
    <w:rsid w:val="002D4ACA"/>
    <w:rsid w:val="002E28CD"/>
    <w:rsid w:val="002E6351"/>
    <w:rsid w:val="002E7391"/>
    <w:rsid w:val="002E7FF7"/>
    <w:rsid w:val="002F044B"/>
    <w:rsid w:val="002F13E5"/>
    <w:rsid w:val="002F1A14"/>
    <w:rsid w:val="002F7C96"/>
    <w:rsid w:val="00305A41"/>
    <w:rsid w:val="00313D65"/>
    <w:rsid w:val="00315417"/>
    <w:rsid w:val="003202EE"/>
    <w:rsid w:val="00320540"/>
    <w:rsid w:val="0032269A"/>
    <w:rsid w:val="003301CF"/>
    <w:rsid w:val="00330D6C"/>
    <w:rsid w:val="00332591"/>
    <w:rsid w:val="0034337F"/>
    <w:rsid w:val="00347B4E"/>
    <w:rsid w:val="003540D3"/>
    <w:rsid w:val="00356B8C"/>
    <w:rsid w:val="00357999"/>
    <w:rsid w:val="0036016A"/>
    <w:rsid w:val="0036240A"/>
    <w:rsid w:val="00371EB9"/>
    <w:rsid w:val="003753AC"/>
    <w:rsid w:val="00383293"/>
    <w:rsid w:val="00385DF8"/>
    <w:rsid w:val="00393ABC"/>
    <w:rsid w:val="00397902"/>
    <w:rsid w:val="00397C5E"/>
    <w:rsid w:val="003A016F"/>
    <w:rsid w:val="003A1739"/>
    <w:rsid w:val="003A17C7"/>
    <w:rsid w:val="003B0F78"/>
    <w:rsid w:val="003B1BD1"/>
    <w:rsid w:val="003B4054"/>
    <w:rsid w:val="003C7E26"/>
    <w:rsid w:val="003D6991"/>
    <w:rsid w:val="003E035E"/>
    <w:rsid w:val="003E5F9F"/>
    <w:rsid w:val="003E7555"/>
    <w:rsid w:val="003E7783"/>
    <w:rsid w:val="003F1C60"/>
    <w:rsid w:val="003F4496"/>
    <w:rsid w:val="004064C1"/>
    <w:rsid w:val="004102AB"/>
    <w:rsid w:val="00423C4D"/>
    <w:rsid w:val="00424E52"/>
    <w:rsid w:val="0043154E"/>
    <w:rsid w:val="004317E6"/>
    <w:rsid w:val="00433527"/>
    <w:rsid w:val="00434041"/>
    <w:rsid w:val="0043555A"/>
    <w:rsid w:val="00445E78"/>
    <w:rsid w:val="00447582"/>
    <w:rsid w:val="004532C3"/>
    <w:rsid w:val="004558BE"/>
    <w:rsid w:val="004617A5"/>
    <w:rsid w:val="00462BC9"/>
    <w:rsid w:val="00463685"/>
    <w:rsid w:val="00464820"/>
    <w:rsid w:val="004704A4"/>
    <w:rsid w:val="004749BD"/>
    <w:rsid w:val="00487FEF"/>
    <w:rsid w:val="00490F4A"/>
    <w:rsid w:val="004965F7"/>
    <w:rsid w:val="00496BEF"/>
    <w:rsid w:val="004A29C8"/>
    <w:rsid w:val="004B17FC"/>
    <w:rsid w:val="004B6A5F"/>
    <w:rsid w:val="004C5BC7"/>
    <w:rsid w:val="004D0BCB"/>
    <w:rsid w:val="004D743E"/>
    <w:rsid w:val="004E09DA"/>
    <w:rsid w:val="004F4646"/>
    <w:rsid w:val="00501448"/>
    <w:rsid w:val="0050622B"/>
    <w:rsid w:val="00506EF6"/>
    <w:rsid w:val="005273D3"/>
    <w:rsid w:val="00531523"/>
    <w:rsid w:val="00540A56"/>
    <w:rsid w:val="00541FC2"/>
    <w:rsid w:val="00541FEE"/>
    <w:rsid w:val="00555E99"/>
    <w:rsid w:val="00557277"/>
    <w:rsid w:val="0056256F"/>
    <w:rsid w:val="00564ADD"/>
    <w:rsid w:val="005702B7"/>
    <w:rsid w:val="00583ED8"/>
    <w:rsid w:val="005A005C"/>
    <w:rsid w:val="005A52B2"/>
    <w:rsid w:val="005A61A3"/>
    <w:rsid w:val="005B379D"/>
    <w:rsid w:val="005B5C42"/>
    <w:rsid w:val="005C4AE9"/>
    <w:rsid w:val="005C626B"/>
    <w:rsid w:val="005D1198"/>
    <w:rsid w:val="005D53B0"/>
    <w:rsid w:val="005D7BAE"/>
    <w:rsid w:val="005E3AC2"/>
    <w:rsid w:val="005E3E57"/>
    <w:rsid w:val="005E5260"/>
    <w:rsid w:val="005E5A78"/>
    <w:rsid w:val="005F11EE"/>
    <w:rsid w:val="005F12B1"/>
    <w:rsid w:val="005F3DE6"/>
    <w:rsid w:val="005F3E70"/>
    <w:rsid w:val="005F458A"/>
    <w:rsid w:val="0060092C"/>
    <w:rsid w:val="006052E1"/>
    <w:rsid w:val="006076F5"/>
    <w:rsid w:val="00607700"/>
    <w:rsid w:val="0061094A"/>
    <w:rsid w:val="0061547F"/>
    <w:rsid w:val="00617BD9"/>
    <w:rsid w:val="006230BD"/>
    <w:rsid w:val="006261F7"/>
    <w:rsid w:val="00630C2F"/>
    <w:rsid w:val="006325DF"/>
    <w:rsid w:val="00634C06"/>
    <w:rsid w:val="00636A48"/>
    <w:rsid w:val="006551EE"/>
    <w:rsid w:val="0065658F"/>
    <w:rsid w:val="00656700"/>
    <w:rsid w:val="00656F47"/>
    <w:rsid w:val="006576CE"/>
    <w:rsid w:val="006654B2"/>
    <w:rsid w:val="006733B6"/>
    <w:rsid w:val="0067489B"/>
    <w:rsid w:val="00684939"/>
    <w:rsid w:val="00692A34"/>
    <w:rsid w:val="006B0075"/>
    <w:rsid w:val="006B0255"/>
    <w:rsid w:val="006B2EA2"/>
    <w:rsid w:val="006C2A17"/>
    <w:rsid w:val="006D2F36"/>
    <w:rsid w:val="006E5F9D"/>
    <w:rsid w:val="00702AB5"/>
    <w:rsid w:val="00705AB3"/>
    <w:rsid w:val="00707028"/>
    <w:rsid w:val="007118E2"/>
    <w:rsid w:val="007139CD"/>
    <w:rsid w:val="007143F3"/>
    <w:rsid w:val="00714B66"/>
    <w:rsid w:val="00717F25"/>
    <w:rsid w:val="00722578"/>
    <w:rsid w:val="007231A9"/>
    <w:rsid w:val="00723F95"/>
    <w:rsid w:val="00741FFB"/>
    <w:rsid w:val="00744686"/>
    <w:rsid w:val="00745D50"/>
    <w:rsid w:val="0075099A"/>
    <w:rsid w:val="00751613"/>
    <w:rsid w:val="00752703"/>
    <w:rsid w:val="00756D3F"/>
    <w:rsid w:val="00761DA1"/>
    <w:rsid w:val="007625F2"/>
    <w:rsid w:val="00771456"/>
    <w:rsid w:val="00771E88"/>
    <w:rsid w:val="00772FBF"/>
    <w:rsid w:val="007766F5"/>
    <w:rsid w:val="00792548"/>
    <w:rsid w:val="00793541"/>
    <w:rsid w:val="00793C5D"/>
    <w:rsid w:val="00796598"/>
    <w:rsid w:val="007A05D7"/>
    <w:rsid w:val="007A34E1"/>
    <w:rsid w:val="007A68CF"/>
    <w:rsid w:val="007B4E50"/>
    <w:rsid w:val="007D1217"/>
    <w:rsid w:val="007D6F9F"/>
    <w:rsid w:val="007E03A9"/>
    <w:rsid w:val="007E3EAE"/>
    <w:rsid w:val="007E472F"/>
    <w:rsid w:val="007E6883"/>
    <w:rsid w:val="007F6159"/>
    <w:rsid w:val="007F78EE"/>
    <w:rsid w:val="00800488"/>
    <w:rsid w:val="00802EBC"/>
    <w:rsid w:val="00804143"/>
    <w:rsid w:val="00804EF0"/>
    <w:rsid w:val="00807BD4"/>
    <w:rsid w:val="00810575"/>
    <w:rsid w:val="00815618"/>
    <w:rsid w:val="00817422"/>
    <w:rsid w:val="008229E2"/>
    <w:rsid w:val="008243D5"/>
    <w:rsid w:val="0084667A"/>
    <w:rsid w:val="00873B79"/>
    <w:rsid w:val="008743C3"/>
    <w:rsid w:val="008775C1"/>
    <w:rsid w:val="0088354D"/>
    <w:rsid w:val="008856B1"/>
    <w:rsid w:val="008A1314"/>
    <w:rsid w:val="008A270D"/>
    <w:rsid w:val="008A599C"/>
    <w:rsid w:val="008A6E2A"/>
    <w:rsid w:val="008C28F8"/>
    <w:rsid w:val="008C4C98"/>
    <w:rsid w:val="008E2CBF"/>
    <w:rsid w:val="008E5030"/>
    <w:rsid w:val="008F0509"/>
    <w:rsid w:val="008F0677"/>
    <w:rsid w:val="009145D1"/>
    <w:rsid w:val="0092219D"/>
    <w:rsid w:val="00924F4F"/>
    <w:rsid w:val="00926158"/>
    <w:rsid w:val="00936425"/>
    <w:rsid w:val="00945563"/>
    <w:rsid w:val="00952031"/>
    <w:rsid w:val="0095723F"/>
    <w:rsid w:val="00957474"/>
    <w:rsid w:val="00961D8F"/>
    <w:rsid w:val="0096576B"/>
    <w:rsid w:val="009675DD"/>
    <w:rsid w:val="009741C6"/>
    <w:rsid w:val="009756FA"/>
    <w:rsid w:val="009879D0"/>
    <w:rsid w:val="00991CC5"/>
    <w:rsid w:val="009A3EDD"/>
    <w:rsid w:val="009A4C46"/>
    <w:rsid w:val="009B4375"/>
    <w:rsid w:val="009B4FDB"/>
    <w:rsid w:val="009B52CF"/>
    <w:rsid w:val="009B626C"/>
    <w:rsid w:val="009C1046"/>
    <w:rsid w:val="009C3CC1"/>
    <w:rsid w:val="009C4AE5"/>
    <w:rsid w:val="009E077B"/>
    <w:rsid w:val="009F1C9C"/>
    <w:rsid w:val="009F3088"/>
    <w:rsid w:val="00A04B61"/>
    <w:rsid w:val="00A10A06"/>
    <w:rsid w:val="00A20E9F"/>
    <w:rsid w:val="00A21508"/>
    <w:rsid w:val="00A31FFC"/>
    <w:rsid w:val="00A4790E"/>
    <w:rsid w:val="00A52E2A"/>
    <w:rsid w:val="00A53504"/>
    <w:rsid w:val="00A6158E"/>
    <w:rsid w:val="00A6335D"/>
    <w:rsid w:val="00A659BB"/>
    <w:rsid w:val="00A7652A"/>
    <w:rsid w:val="00A86F4E"/>
    <w:rsid w:val="00A872FF"/>
    <w:rsid w:val="00A9145D"/>
    <w:rsid w:val="00A959E2"/>
    <w:rsid w:val="00A96506"/>
    <w:rsid w:val="00A96DBA"/>
    <w:rsid w:val="00AA3336"/>
    <w:rsid w:val="00AA7E66"/>
    <w:rsid w:val="00AB421E"/>
    <w:rsid w:val="00AB5E07"/>
    <w:rsid w:val="00AC4D41"/>
    <w:rsid w:val="00AC5B52"/>
    <w:rsid w:val="00AD1C62"/>
    <w:rsid w:val="00AD32C2"/>
    <w:rsid w:val="00AE010C"/>
    <w:rsid w:val="00AE280E"/>
    <w:rsid w:val="00AE2D2A"/>
    <w:rsid w:val="00AF2F6B"/>
    <w:rsid w:val="00AF667A"/>
    <w:rsid w:val="00B02AF1"/>
    <w:rsid w:val="00B132AF"/>
    <w:rsid w:val="00B3291C"/>
    <w:rsid w:val="00B34FF5"/>
    <w:rsid w:val="00B35EFD"/>
    <w:rsid w:val="00B41E93"/>
    <w:rsid w:val="00B4585F"/>
    <w:rsid w:val="00B47F02"/>
    <w:rsid w:val="00B53BCC"/>
    <w:rsid w:val="00B63940"/>
    <w:rsid w:val="00B7200A"/>
    <w:rsid w:val="00B847FB"/>
    <w:rsid w:val="00B94436"/>
    <w:rsid w:val="00BA1A02"/>
    <w:rsid w:val="00BA52D3"/>
    <w:rsid w:val="00BA63BB"/>
    <w:rsid w:val="00BB2602"/>
    <w:rsid w:val="00BB2A26"/>
    <w:rsid w:val="00BB437B"/>
    <w:rsid w:val="00BB74A4"/>
    <w:rsid w:val="00BC60D1"/>
    <w:rsid w:val="00BC72BC"/>
    <w:rsid w:val="00BD5945"/>
    <w:rsid w:val="00BD64E3"/>
    <w:rsid w:val="00BE001A"/>
    <w:rsid w:val="00BE2617"/>
    <w:rsid w:val="00BF5A28"/>
    <w:rsid w:val="00BF67D0"/>
    <w:rsid w:val="00C0031D"/>
    <w:rsid w:val="00C00B26"/>
    <w:rsid w:val="00C11474"/>
    <w:rsid w:val="00C13372"/>
    <w:rsid w:val="00C2486D"/>
    <w:rsid w:val="00C37E7B"/>
    <w:rsid w:val="00C45CC3"/>
    <w:rsid w:val="00C52C24"/>
    <w:rsid w:val="00C55E90"/>
    <w:rsid w:val="00C60A2B"/>
    <w:rsid w:val="00C64AB0"/>
    <w:rsid w:val="00C903F0"/>
    <w:rsid w:val="00C95A92"/>
    <w:rsid w:val="00C970F1"/>
    <w:rsid w:val="00CA1A92"/>
    <w:rsid w:val="00CA550A"/>
    <w:rsid w:val="00CB581B"/>
    <w:rsid w:val="00CB66CB"/>
    <w:rsid w:val="00CC2041"/>
    <w:rsid w:val="00CC6E08"/>
    <w:rsid w:val="00CD07E2"/>
    <w:rsid w:val="00CD1D1A"/>
    <w:rsid w:val="00CE0D16"/>
    <w:rsid w:val="00CE4D3F"/>
    <w:rsid w:val="00CF0CE7"/>
    <w:rsid w:val="00CF2DED"/>
    <w:rsid w:val="00CF4632"/>
    <w:rsid w:val="00CF47E2"/>
    <w:rsid w:val="00CF53AE"/>
    <w:rsid w:val="00D01AB6"/>
    <w:rsid w:val="00D03894"/>
    <w:rsid w:val="00D15DF7"/>
    <w:rsid w:val="00D15E4B"/>
    <w:rsid w:val="00D23F64"/>
    <w:rsid w:val="00D34860"/>
    <w:rsid w:val="00D3693D"/>
    <w:rsid w:val="00D40878"/>
    <w:rsid w:val="00D43D37"/>
    <w:rsid w:val="00D50085"/>
    <w:rsid w:val="00D55E35"/>
    <w:rsid w:val="00D5666C"/>
    <w:rsid w:val="00D676BB"/>
    <w:rsid w:val="00D72379"/>
    <w:rsid w:val="00D8656E"/>
    <w:rsid w:val="00D91119"/>
    <w:rsid w:val="00D92EC7"/>
    <w:rsid w:val="00D933C9"/>
    <w:rsid w:val="00DA0601"/>
    <w:rsid w:val="00DA6D18"/>
    <w:rsid w:val="00DA7557"/>
    <w:rsid w:val="00DB1164"/>
    <w:rsid w:val="00DB2BE2"/>
    <w:rsid w:val="00DB5E33"/>
    <w:rsid w:val="00DC1ABB"/>
    <w:rsid w:val="00DC6752"/>
    <w:rsid w:val="00DC73D1"/>
    <w:rsid w:val="00DD12DC"/>
    <w:rsid w:val="00DD7832"/>
    <w:rsid w:val="00DE4803"/>
    <w:rsid w:val="00DE603C"/>
    <w:rsid w:val="00DF672C"/>
    <w:rsid w:val="00E01CF6"/>
    <w:rsid w:val="00E04222"/>
    <w:rsid w:val="00E04287"/>
    <w:rsid w:val="00E050C7"/>
    <w:rsid w:val="00E12EB7"/>
    <w:rsid w:val="00E1565C"/>
    <w:rsid w:val="00E24E05"/>
    <w:rsid w:val="00E26482"/>
    <w:rsid w:val="00E31076"/>
    <w:rsid w:val="00E328CE"/>
    <w:rsid w:val="00E33F7D"/>
    <w:rsid w:val="00E34526"/>
    <w:rsid w:val="00E401E5"/>
    <w:rsid w:val="00E42706"/>
    <w:rsid w:val="00E4358A"/>
    <w:rsid w:val="00E458D8"/>
    <w:rsid w:val="00E542E9"/>
    <w:rsid w:val="00E600A9"/>
    <w:rsid w:val="00E61C92"/>
    <w:rsid w:val="00E664B7"/>
    <w:rsid w:val="00E80985"/>
    <w:rsid w:val="00E83419"/>
    <w:rsid w:val="00E83A02"/>
    <w:rsid w:val="00E86ACF"/>
    <w:rsid w:val="00E92826"/>
    <w:rsid w:val="00E96F8A"/>
    <w:rsid w:val="00EA3AAB"/>
    <w:rsid w:val="00EA4B70"/>
    <w:rsid w:val="00EA79AB"/>
    <w:rsid w:val="00EB6D9D"/>
    <w:rsid w:val="00EC01D4"/>
    <w:rsid w:val="00EC229A"/>
    <w:rsid w:val="00ED637E"/>
    <w:rsid w:val="00ED7ACF"/>
    <w:rsid w:val="00EE12C1"/>
    <w:rsid w:val="00EE18F3"/>
    <w:rsid w:val="00EE3DF3"/>
    <w:rsid w:val="00EF1FF6"/>
    <w:rsid w:val="00EF4767"/>
    <w:rsid w:val="00F02814"/>
    <w:rsid w:val="00F11D72"/>
    <w:rsid w:val="00F15631"/>
    <w:rsid w:val="00F21329"/>
    <w:rsid w:val="00F23E96"/>
    <w:rsid w:val="00F26174"/>
    <w:rsid w:val="00F34DD2"/>
    <w:rsid w:val="00F358BC"/>
    <w:rsid w:val="00F363D9"/>
    <w:rsid w:val="00F4118C"/>
    <w:rsid w:val="00F415B5"/>
    <w:rsid w:val="00F430C6"/>
    <w:rsid w:val="00F46065"/>
    <w:rsid w:val="00F508D9"/>
    <w:rsid w:val="00F510C7"/>
    <w:rsid w:val="00F51699"/>
    <w:rsid w:val="00F6178E"/>
    <w:rsid w:val="00F643C9"/>
    <w:rsid w:val="00F64D62"/>
    <w:rsid w:val="00F70AEC"/>
    <w:rsid w:val="00F805DB"/>
    <w:rsid w:val="00F91FF1"/>
    <w:rsid w:val="00F93E36"/>
    <w:rsid w:val="00F96400"/>
    <w:rsid w:val="00FA4CD0"/>
    <w:rsid w:val="00FB3914"/>
    <w:rsid w:val="00FB75DC"/>
    <w:rsid w:val="00FC074C"/>
    <w:rsid w:val="00FC2264"/>
    <w:rsid w:val="00FC5E6E"/>
    <w:rsid w:val="00FD02F4"/>
    <w:rsid w:val="00FD27F7"/>
    <w:rsid w:val="00FD5F1E"/>
    <w:rsid w:val="00FE31BA"/>
    <w:rsid w:val="00FE518A"/>
    <w:rsid w:val="00FE63CB"/>
    <w:rsid w:val="00FE6621"/>
    <w:rsid w:val="00FF4687"/>
    <w:rsid w:val="00FF4EEF"/>
    <w:rsid w:val="00FF7E4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583ED8"/>
    <w:pPr>
      <w:keepNext/>
      <w:spacing w:before="240" w:after="60"/>
      <w:jc w:val="left"/>
      <w:outlineLvl w:val="0"/>
    </w:pPr>
    <w:rPr>
      <w:rFonts w:ascii="Arial" w:hAnsi="Arial" w:cs="Arial"/>
      <w:b/>
      <w:kern w:val="32"/>
      <w:sz w:val="32"/>
    </w:rPr>
  </w:style>
  <w:style w:type="paragraph" w:styleId="Heading2">
    <w:name w:val="heading 2"/>
    <w:basedOn w:val="Normal"/>
    <w:next w:val="Normal"/>
    <w:uiPriority w:val="99"/>
    <w:rsid w:val="001424FB"/>
    <w:pPr>
      <w:keepNext/>
      <w:spacing w:before="240" w:after="60"/>
      <w:jc w:val="left"/>
      <w:outlineLvl w:val="1"/>
    </w:pPr>
    <w:rPr>
      <w:rFonts w:ascii="Arial" w:hAnsi="Arial" w:cs="Arial"/>
      <w:b/>
      <w:i/>
      <w:sz w:val="28"/>
    </w:rPr>
  </w:style>
  <w:style w:type="paragraph" w:styleId="Heading3">
    <w:name w:val="heading 3"/>
    <w:aliases w:val="Char Char"/>
    <w:basedOn w:val="Normal"/>
    <w:next w:val="Normal"/>
    <w:link w:val="CharCharChar"/>
    <w:uiPriority w:val="99"/>
    <w:rsid w:val="00771456"/>
    <w:pPr>
      <w:spacing w:after="160" w:line="240" w:lineRule="exact"/>
      <w:jc w:val="left"/>
      <w:outlineLvl w:val="2"/>
    </w:pPr>
    <w:rPr>
      <w:rFonts w:ascii="Tahoma" w:hAnsi="Tahoma" w:cs="Tahoma"/>
      <w:sz w:val="20"/>
      <w:lang w:eastAsia="en-US"/>
    </w:rPr>
  </w:style>
  <w:style w:type="character" w:default="1" w:styleId="DefaultParagraphFont">
    <w:name w:val="Default Paragraph Font"/>
    <w:aliases w:val="Štýl Char Char Char Char Char Char1 Char"/>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tlCharCharCharCharCharChar1">
    <w:name w:val="Štýl Char Char Char Char Char Char1"/>
    <w:basedOn w:val="Normal"/>
    <w:uiPriority w:val="99"/>
    <w:rsid w:val="004E09DA"/>
    <w:pPr>
      <w:spacing w:after="160" w:line="240" w:lineRule="exact"/>
      <w:jc w:val="left"/>
    </w:pPr>
    <w:rPr>
      <w:rFonts w:ascii="Tahoma" w:hAnsi="Tahoma" w:cs="Tahoma"/>
      <w:sz w:val="20"/>
      <w:lang w:val="en-US" w:eastAsia="en-US"/>
    </w:rPr>
  </w:style>
  <w:style w:type="paragraph" w:styleId="Header">
    <w:name w:val="header"/>
    <w:basedOn w:val="Normal"/>
    <w:uiPriority w:val="99"/>
    <w:rsid w:val="00FE6621"/>
    <w:pPr>
      <w:tabs>
        <w:tab w:val="center" w:pos="4536"/>
        <w:tab w:val="right" w:pos="9072"/>
      </w:tabs>
      <w:spacing w:after="240"/>
      <w:ind w:firstLine="284"/>
      <w:jc w:val="both"/>
    </w:pPr>
    <w:rPr>
      <w:rFonts w:ascii="Arial Narrow" w:hAnsi="Arial Narrow" w:cs="Arial Narrow"/>
      <w:sz w:val="22"/>
    </w:rPr>
  </w:style>
  <w:style w:type="paragraph" w:styleId="TOC1">
    <w:name w:val="toc 1"/>
    <w:basedOn w:val="Normal"/>
    <w:next w:val="Normal"/>
    <w:autoRedefine/>
    <w:uiPriority w:val="99"/>
    <w:semiHidden/>
    <w:rsid w:val="00FE6621"/>
    <w:pPr>
      <w:jc w:val="left"/>
    </w:pPr>
  </w:style>
  <w:style w:type="paragraph" w:styleId="TOC3">
    <w:name w:val="toc 3"/>
    <w:basedOn w:val="Normal"/>
    <w:next w:val="Normal"/>
    <w:autoRedefine/>
    <w:uiPriority w:val="99"/>
    <w:semiHidden/>
    <w:rsid w:val="00FE6621"/>
    <w:pPr>
      <w:ind w:left="480"/>
      <w:jc w:val="left"/>
    </w:pPr>
  </w:style>
  <w:style w:type="character" w:styleId="Hyperlink">
    <w:name w:val="Hyperlink"/>
    <w:basedOn w:val="DefaultParagraphFont"/>
    <w:uiPriority w:val="99"/>
    <w:rsid w:val="00FE6621"/>
    <w:rPr>
      <w:color w:val="0000FF"/>
      <w:u w:val="single"/>
    </w:rPr>
  </w:style>
  <w:style w:type="paragraph" w:styleId="Footer">
    <w:name w:val="footer"/>
    <w:basedOn w:val="Normal"/>
    <w:uiPriority w:val="99"/>
    <w:rsid w:val="00CB581B"/>
    <w:pPr>
      <w:tabs>
        <w:tab w:val="center" w:pos="4536"/>
        <w:tab w:val="right" w:pos="9072"/>
      </w:tabs>
      <w:jc w:val="left"/>
    </w:p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uiPriority w:val="99"/>
    <w:semiHidden/>
    <w:rsid w:val="00F805DB"/>
    <w:pPr>
      <w:jc w:val="left"/>
    </w:pPr>
    <w:rPr>
      <w:sz w:val="20"/>
    </w:rPr>
  </w:style>
  <w:style w:type="character" w:styleId="FootnoteReference">
    <w:name w:val="footnote reference"/>
    <w:basedOn w:val="DefaultParagraphFont"/>
    <w:uiPriority w:val="99"/>
    <w:semiHidden/>
    <w:rsid w:val="00F805DB"/>
    <w:rPr>
      <w:vertAlign w:val="superscript"/>
    </w:rPr>
  </w:style>
  <w:style w:type="paragraph" w:styleId="BalloonText">
    <w:name w:val="Balloon Text"/>
    <w:basedOn w:val="Normal"/>
    <w:uiPriority w:val="99"/>
    <w:semiHidden/>
    <w:rsid w:val="00186B42"/>
    <w:pPr>
      <w:jc w:val="left"/>
    </w:pPr>
    <w:rPr>
      <w:rFonts w:ascii="Tahoma" w:hAnsi="Tahoma" w:cs="Tahoma"/>
      <w:sz w:val="16"/>
    </w:rPr>
  </w:style>
  <w:style w:type="character" w:styleId="PageNumber">
    <w:name w:val="page number"/>
    <w:basedOn w:val="DefaultParagraphFont"/>
    <w:uiPriority w:val="99"/>
    <w:rsid w:val="00186B42"/>
  </w:style>
  <w:style w:type="table" w:styleId="TableGrid">
    <w:name w:val="Table Grid"/>
    <w:basedOn w:val="TableNormal"/>
    <w:uiPriority w:val="99"/>
    <w:rsid w:val="0077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8775C1"/>
    <w:pPr>
      <w:spacing w:after="160" w:line="240" w:lineRule="exact"/>
      <w:jc w:val="left"/>
    </w:pPr>
    <w:rPr>
      <w:rFonts w:ascii="Tahoma" w:hAnsi="Tahoma" w:cs="Tahoma"/>
      <w:sz w:val="20"/>
      <w:lang w:eastAsia="en-US"/>
    </w:rPr>
  </w:style>
  <w:style w:type="paragraph" w:customStyle="1" w:styleId="tlCharCharCharCharCharChar">
    <w:name w:val="Štýl Char Char Char Char Char Char"/>
    <w:basedOn w:val="Normal"/>
    <w:uiPriority w:val="99"/>
    <w:rsid w:val="008F0677"/>
    <w:pPr>
      <w:spacing w:after="160" w:line="240" w:lineRule="exact"/>
      <w:jc w:val="left"/>
    </w:pPr>
    <w:rPr>
      <w:rFonts w:ascii="Tahoma" w:hAnsi="Tahoma" w:cs="Tahoma"/>
      <w:sz w:val="20"/>
      <w:lang w:val="en-US" w:eastAsia="en-US"/>
    </w:rPr>
  </w:style>
  <w:style w:type="paragraph" w:customStyle="1" w:styleId="CharCharCharCharChar">
    <w:name w:val="Char Char Char Char Char"/>
    <w:basedOn w:val="Normal"/>
    <w:uiPriority w:val="99"/>
    <w:rsid w:val="003A1739"/>
    <w:pPr>
      <w:spacing w:after="160" w:line="240" w:lineRule="exact"/>
      <w:jc w:val="left"/>
    </w:pPr>
    <w:rPr>
      <w:rFonts w:ascii="Arial Narrow" w:hAnsi="Arial Narrow" w:cs="Arial Narrow"/>
      <w:sz w:val="22"/>
      <w:lang w:val="en-US" w:eastAsia="en-US"/>
    </w:rPr>
  </w:style>
  <w:style w:type="paragraph" w:customStyle="1" w:styleId="tlCharCharCharChar">
    <w:name w:val="Štýl Char Char Char Char"/>
    <w:basedOn w:val="Normal"/>
    <w:uiPriority w:val="99"/>
    <w:rsid w:val="00E401E5"/>
    <w:pPr>
      <w:spacing w:after="160" w:line="240" w:lineRule="exact"/>
      <w:jc w:val="left"/>
    </w:pPr>
    <w:rPr>
      <w:rFonts w:ascii="Tahoma" w:hAnsi="Tahoma" w:cs="Tahoma"/>
      <w:sz w:val="20"/>
      <w:lang w:val="en-US" w:eastAsia="en-US"/>
    </w:rPr>
  </w:style>
  <w:style w:type="paragraph" w:styleId="BodyText">
    <w:name w:val="Body Text"/>
    <w:basedOn w:val="Normal"/>
    <w:link w:val="Char"/>
    <w:uiPriority w:val="99"/>
    <w:rsid w:val="00423C4D"/>
    <w:pPr>
      <w:jc w:val="both"/>
    </w:pPr>
  </w:style>
  <w:style w:type="character" w:customStyle="1" w:styleId="Char">
    <w:name w:val="Char"/>
    <w:basedOn w:val="DefaultParagraphFont"/>
    <w:link w:val="BodyText"/>
    <w:uiPriority w:val="99"/>
    <w:rsid w:val="00423C4D"/>
    <w:rPr>
      <w:sz w:val="24"/>
    </w:rPr>
  </w:style>
  <w:style w:type="paragraph" w:styleId="BodyText2">
    <w:name w:val="Body Text 2"/>
    <w:basedOn w:val="Normal"/>
    <w:link w:val="Char1"/>
    <w:uiPriority w:val="99"/>
    <w:rsid w:val="0084667A"/>
    <w:pPr>
      <w:spacing w:after="120"/>
      <w:ind w:left="283"/>
      <w:jc w:val="left"/>
    </w:pPr>
    <w:rPr>
      <w:rFonts w:ascii="Courier" w:hAnsi="Courier" w:cs="Courier"/>
      <w:lang w:eastAsia="cs-CZ"/>
    </w:rPr>
  </w:style>
  <w:style w:type="character" w:customStyle="1" w:styleId="Char4">
    <w:name w:val="Char4"/>
    <w:basedOn w:val="DefaultParagraphFont"/>
    <w:link w:val="BodyText2"/>
    <w:uiPriority w:val="99"/>
    <w:semiHidden/>
    <w:rsid w:val="0084667A"/>
    <w:rPr>
      <w:sz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rsid w:val="0084667A"/>
    <w:pPr>
      <w:spacing w:after="160" w:line="240" w:lineRule="exact"/>
      <w:jc w:val="left"/>
    </w:pPr>
    <w:rPr>
      <w:rFonts w:ascii="Tahoma" w:hAnsi="Tahoma" w:cs="Tahoma"/>
      <w:sz w:val="20"/>
      <w:lang w:val="en-US" w:eastAsia="en-US"/>
    </w:rPr>
  </w:style>
  <w:style w:type="paragraph" w:customStyle="1" w:styleId="tl3">
    <w:name w:val="Štýl3"/>
    <w:basedOn w:val="Heading3"/>
    <w:autoRedefine/>
    <w:uiPriority w:val="99"/>
    <w:rsid w:val="0084667A"/>
    <w:pPr>
      <w:keepNext/>
      <w:numPr>
        <w:ilvl w:val="2"/>
        <w:numId w:val="3"/>
      </w:numPr>
      <w:tabs>
        <w:tab w:val="num" w:pos="357"/>
      </w:tabs>
      <w:spacing w:before="100" w:beforeAutospacing="1" w:after="100" w:afterAutospacing="1" w:line="240" w:lineRule="auto"/>
      <w:ind w:left="357" w:hanging="357"/>
      <w:jc w:val="left"/>
    </w:pPr>
    <w:rPr>
      <w:rFonts w:ascii="Book Antiqua" w:hAnsi="Book Antiqua" w:cs="Book Antiqua"/>
      <w:b/>
      <w:sz w:val="22"/>
      <w:lang w:eastAsia="cs-CZ"/>
    </w:rPr>
  </w:style>
  <w:style w:type="paragraph" w:customStyle="1" w:styleId="Zkladntext">
    <w:name w:val="Základní text"/>
    <w:uiPriority w:val="99"/>
    <w:rsid w:val="0084667A"/>
    <w:pPr>
      <w:widowControl w:val="0"/>
      <w:autoSpaceDE/>
      <w:autoSpaceDN/>
      <w:adjustRightInd/>
      <w:ind w:left="0" w:right="0"/>
      <w:jc w:val="left"/>
      <w:textAlignment w:val="auto"/>
    </w:pPr>
    <w:rPr>
      <w:color w:val="000000"/>
      <w:sz w:val="24"/>
      <w:lang w:val="sk-SK" w:eastAsia="sk-SK"/>
    </w:rPr>
  </w:style>
  <w:style w:type="paragraph" w:styleId="BodyTextIndent2">
    <w:name w:val="Body Text Indent 2"/>
    <w:basedOn w:val="Normal"/>
    <w:link w:val="Char3"/>
    <w:uiPriority w:val="99"/>
    <w:rsid w:val="0084667A"/>
    <w:pPr>
      <w:spacing w:after="120" w:line="480" w:lineRule="auto"/>
      <w:ind w:left="283"/>
      <w:jc w:val="left"/>
    </w:pPr>
  </w:style>
  <w:style w:type="character" w:customStyle="1" w:styleId="Char3">
    <w:name w:val="Char3"/>
    <w:basedOn w:val="DefaultParagraphFont"/>
    <w:link w:val="BodyTextIndent2"/>
    <w:uiPriority w:val="99"/>
    <w:rsid w:val="0084667A"/>
    <w:rPr>
      <w:sz w:val="24"/>
    </w:rPr>
  </w:style>
  <w:style w:type="paragraph" w:styleId="BodyTextIndent3">
    <w:name w:val="Body Text Indent 3"/>
    <w:basedOn w:val="Normal"/>
    <w:link w:val="Char2"/>
    <w:uiPriority w:val="99"/>
    <w:rsid w:val="0084667A"/>
    <w:pPr>
      <w:ind w:firstLine="708"/>
      <w:jc w:val="both"/>
    </w:pPr>
    <w:rPr>
      <w:rFonts w:ascii="Arial Narrow" w:hAnsi="Arial Narrow" w:cs="Arial Narrow"/>
      <w:sz w:val="22"/>
    </w:rPr>
  </w:style>
  <w:style w:type="character" w:customStyle="1" w:styleId="Char2">
    <w:name w:val="Char2"/>
    <w:basedOn w:val="DefaultParagraphFont"/>
    <w:link w:val="BodyTextIndent3"/>
    <w:uiPriority w:val="99"/>
    <w:rsid w:val="0084667A"/>
    <w:rPr>
      <w:rFonts w:ascii="Arial Narrow" w:hAnsi="Arial Narrow" w:cs="Arial Narrow"/>
      <w:sz w:val="22"/>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Normal"/>
    <w:uiPriority w:val="99"/>
    <w:rsid w:val="0084667A"/>
    <w:pPr>
      <w:spacing w:after="160" w:line="240" w:lineRule="exact"/>
      <w:jc w:val="left"/>
    </w:pPr>
    <w:rPr>
      <w:rFonts w:ascii="Tahoma" w:hAnsi="Tahoma" w:cs="Tahoma"/>
      <w:sz w:val="20"/>
      <w:lang w:val="en-US" w:eastAsia="en-US"/>
    </w:rPr>
  </w:style>
  <w:style w:type="character" w:customStyle="1" w:styleId="Char1">
    <w:name w:val="Char1"/>
    <w:basedOn w:val="DefaultParagraphFont"/>
    <w:link w:val="BodyText2"/>
    <w:uiPriority w:val="99"/>
    <w:rsid w:val="0084667A"/>
    <w:rPr>
      <w:rFonts w:ascii="Courier" w:hAnsi="Courier" w:cs="Courier"/>
      <w:sz w:val="24"/>
      <w:lang w:val="x-none" w:eastAsia="cs-CZ"/>
    </w:rPr>
  </w:style>
  <w:style w:type="character" w:customStyle="1" w:styleId="CharCharChar">
    <w:name w:val="Char Char Char"/>
    <w:basedOn w:val="DefaultParagraphFont"/>
    <w:link w:val="Heading3"/>
    <w:uiPriority w:val="99"/>
    <w:rsid w:val="0084667A"/>
    <w:rPr>
      <w:rFonts w:ascii="Arial" w:hAnsi="Arial" w:cs="Arial"/>
      <w:b/>
      <w:sz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45</Pages>
  <Words>18895</Words>
  <Characters>107707</Characters>
  <Application>Microsoft Office Word</Application>
  <DocSecurity>0</DocSecurity>
  <Lines>0</Lines>
  <Paragraphs>0</Paragraphs>
  <ScaleCrop>false</ScaleCrop>
  <Company>MFSR</Company>
  <LinksUpToDate>false</LinksUpToDate>
  <CharactersWithSpaces>126350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Komentovaný návrh obsahu Aktualizácie stratégie riadenia štátneho dlhu</dc:title>
  <dc:creator>user</dc:creator>
  <cp:lastModifiedBy>Administrator</cp:lastModifiedBy>
  <cp:revision>2</cp:revision>
  <cp:lastPrinted>2009-09-29T10:16:00Z</cp:lastPrinted>
  <dcterms:created xsi:type="dcterms:W3CDTF">2009-09-30T14:18:00Z</dcterms:created>
  <dcterms:modified xsi:type="dcterms:W3CDTF">2009-09-30T14:18:00Z</dcterms:modified>
</cp:coreProperties>
</file>