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0164">
      <w:pPr>
        <w:pStyle w:val="TOC1"/>
        <w:rPr>
          <w:rFonts w:ascii="Times New Roman" w:hAnsi="Times New Roman" w:cs="Times New Roman"/>
          <w:b w:val="0"/>
          <w:szCs w:val="24"/>
          <w:lang w:eastAsia="sk-SK"/>
        </w:rPr>
      </w:pPr>
      <w:bookmarkStart w:id="0" w:name="_Toc97700650"/>
      <w:bookmarkStart w:id="1" w:name="_Toc109024012"/>
      <w:bookmarkStart w:id="2" w:name="_Toc116476470"/>
      <w:bookmarkStart w:id="3" w:name="_Toc148255235"/>
      <w:bookmarkStart w:id="4" w:name="_Toc206478402"/>
      <w:bookmarkStart w:id="5" w:name="_Toc211592393"/>
      <w:r w:rsidR="00311DA0">
        <w:rPr>
          <w:sz w:val="28"/>
          <w:szCs w:val="24"/>
        </w:rPr>
        <w:fldChar w:fldCharType="begin"/>
      </w:r>
      <w:r w:rsidR="00311DA0">
        <w:rPr>
          <w:sz w:val="28"/>
          <w:szCs w:val="24"/>
        </w:rPr>
        <w:instrText xml:space="preserve"> TOC \o "1-3" \h \z \u </w:instrText>
      </w:r>
      <w:r w:rsidR="00311DA0">
        <w:rPr>
          <w:sz w:val="28"/>
          <w:szCs w:val="24"/>
        </w:rPr>
        <w:fldChar w:fldCharType="separate"/>
      </w:r>
      <w:hyperlink w:anchor="_Toc241846633" w:history="1">
        <w:r w:rsidRPr="00880BC3">
          <w:rPr>
            <w:rStyle w:val="Hyperlink"/>
            <w:szCs w:val="24"/>
          </w:rPr>
          <w:t>Predkladacia správa</w:t>
        </w:r>
        <w:r>
          <w:rPr>
            <w:webHidden/>
            <w:szCs w:val="24"/>
          </w:rPr>
          <w:tab/>
        </w:r>
        <w:r>
          <w:rPr>
            <w:webHidden/>
            <w:szCs w:val="24"/>
          </w:rPr>
          <w:fldChar w:fldCharType="begin"/>
        </w:r>
        <w:r>
          <w:rPr>
            <w:webHidden/>
            <w:szCs w:val="24"/>
          </w:rPr>
          <w:instrText xml:space="preserve"> PAGEREF _Toc241846633 \h </w:instrText>
        </w:r>
        <w:r>
          <w:rPr>
            <w:webHidden/>
            <w:szCs w:val="24"/>
          </w:rPr>
          <w:fldChar w:fldCharType="separate"/>
        </w:r>
        <w:r w:rsidR="00B22BF0">
          <w:rPr>
            <w:webHidden/>
            <w:szCs w:val="24"/>
          </w:rPr>
          <w:t>2</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34" w:history="1">
        <w:r w:rsidRPr="00880BC3">
          <w:rPr>
            <w:rStyle w:val="Hyperlink"/>
            <w:szCs w:val="24"/>
          </w:rPr>
          <w:t>1. Vývoj makroekonomického prostredia</w:t>
        </w:r>
        <w:r>
          <w:rPr>
            <w:webHidden/>
            <w:szCs w:val="24"/>
          </w:rPr>
          <w:tab/>
        </w:r>
        <w:r>
          <w:rPr>
            <w:webHidden/>
            <w:szCs w:val="24"/>
          </w:rPr>
          <w:fldChar w:fldCharType="begin"/>
        </w:r>
        <w:r>
          <w:rPr>
            <w:webHidden/>
            <w:szCs w:val="24"/>
          </w:rPr>
          <w:instrText xml:space="preserve"> PAGEREF _Toc241846634 \h </w:instrText>
        </w:r>
        <w:r>
          <w:rPr>
            <w:webHidden/>
            <w:szCs w:val="24"/>
          </w:rPr>
          <w:fldChar w:fldCharType="separate"/>
        </w:r>
        <w:r w:rsidR="00B22BF0">
          <w:rPr>
            <w:webHidden/>
            <w:szCs w:val="24"/>
          </w:rPr>
          <w:t>3</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35" w:history="1">
        <w:r w:rsidRPr="00880BC3">
          <w:rPr>
            <w:rStyle w:val="Hyperlink"/>
            <w:szCs w:val="24"/>
          </w:rPr>
          <w:t>1.1 Charakteristika vývoja ekonomiky v roku 2009</w:t>
        </w:r>
        <w:r>
          <w:rPr>
            <w:webHidden/>
            <w:szCs w:val="24"/>
          </w:rPr>
          <w:tab/>
        </w:r>
        <w:r>
          <w:rPr>
            <w:webHidden/>
            <w:szCs w:val="24"/>
          </w:rPr>
          <w:fldChar w:fldCharType="begin"/>
        </w:r>
        <w:r>
          <w:rPr>
            <w:webHidden/>
            <w:szCs w:val="24"/>
          </w:rPr>
          <w:instrText xml:space="preserve"> PAGEREF _Toc241846635 \h </w:instrText>
        </w:r>
        <w:r>
          <w:rPr>
            <w:webHidden/>
            <w:szCs w:val="24"/>
          </w:rPr>
          <w:fldChar w:fldCharType="separate"/>
        </w:r>
        <w:r w:rsidR="00B22BF0">
          <w:rPr>
            <w:webHidden/>
            <w:szCs w:val="24"/>
          </w:rPr>
          <w:t>3</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36" w:history="1">
        <w:r w:rsidRPr="00880BC3">
          <w:rPr>
            <w:rStyle w:val="Hyperlink"/>
            <w:szCs w:val="24"/>
          </w:rPr>
          <w:t>1.2 Makroekonomické rámce zostavenia návrhu rozpočtu na roky 2010 až 2012</w:t>
        </w:r>
        <w:r>
          <w:rPr>
            <w:webHidden/>
            <w:szCs w:val="24"/>
          </w:rPr>
          <w:tab/>
        </w:r>
        <w:r>
          <w:rPr>
            <w:webHidden/>
            <w:szCs w:val="24"/>
          </w:rPr>
          <w:fldChar w:fldCharType="begin"/>
        </w:r>
        <w:r>
          <w:rPr>
            <w:webHidden/>
            <w:szCs w:val="24"/>
          </w:rPr>
          <w:instrText xml:space="preserve"> PAGEREF _Toc241846636 \h </w:instrText>
        </w:r>
        <w:r>
          <w:rPr>
            <w:webHidden/>
            <w:szCs w:val="24"/>
          </w:rPr>
          <w:fldChar w:fldCharType="separate"/>
        </w:r>
        <w:r w:rsidR="00B22BF0">
          <w:rPr>
            <w:webHidden/>
            <w:szCs w:val="24"/>
          </w:rPr>
          <w:t>4</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37" w:history="1">
        <w:r w:rsidRPr="00880BC3">
          <w:rPr>
            <w:rStyle w:val="Hyperlink"/>
            <w:szCs w:val="24"/>
          </w:rPr>
          <w:t>2. Východiskový rámec rozpočtu verejnej správy na roky 2010 až 2012</w:t>
        </w:r>
        <w:r>
          <w:rPr>
            <w:webHidden/>
            <w:szCs w:val="24"/>
          </w:rPr>
          <w:tab/>
        </w:r>
        <w:r>
          <w:rPr>
            <w:webHidden/>
            <w:szCs w:val="24"/>
          </w:rPr>
          <w:fldChar w:fldCharType="begin"/>
        </w:r>
        <w:r>
          <w:rPr>
            <w:webHidden/>
            <w:szCs w:val="24"/>
          </w:rPr>
          <w:instrText xml:space="preserve"> PAGEREF _Toc241846637 \h </w:instrText>
        </w:r>
        <w:r>
          <w:rPr>
            <w:webHidden/>
            <w:szCs w:val="24"/>
          </w:rPr>
          <w:fldChar w:fldCharType="separate"/>
        </w:r>
        <w:r w:rsidR="00B22BF0">
          <w:rPr>
            <w:webHidden/>
            <w:szCs w:val="24"/>
          </w:rPr>
          <w:t>7</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38" w:history="1">
        <w:r w:rsidRPr="00880BC3">
          <w:rPr>
            <w:rStyle w:val="Hyperlink"/>
            <w:szCs w:val="24"/>
          </w:rPr>
          <w:t>2.1. Základné predpoklady zostavenia rozpočtu verejnej správy</w:t>
        </w:r>
        <w:r>
          <w:rPr>
            <w:webHidden/>
            <w:szCs w:val="24"/>
          </w:rPr>
          <w:tab/>
        </w:r>
        <w:r>
          <w:rPr>
            <w:webHidden/>
            <w:szCs w:val="24"/>
          </w:rPr>
          <w:fldChar w:fldCharType="begin"/>
        </w:r>
        <w:r>
          <w:rPr>
            <w:webHidden/>
            <w:szCs w:val="24"/>
          </w:rPr>
          <w:instrText xml:space="preserve"> PAGEREF _Toc241846638 \h </w:instrText>
        </w:r>
        <w:r>
          <w:rPr>
            <w:webHidden/>
            <w:szCs w:val="24"/>
          </w:rPr>
          <w:fldChar w:fldCharType="separate"/>
        </w:r>
        <w:r w:rsidR="00B22BF0">
          <w:rPr>
            <w:webHidden/>
            <w:szCs w:val="24"/>
          </w:rPr>
          <w:t>7</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39" w:history="1">
        <w:r w:rsidRPr="00880BC3">
          <w:rPr>
            <w:rStyle w:val="Hyperlink"/>
            <w:szCs w:val="24"/>
          </w:rPr>
          <w:t>2.2. Rámec na zostavenie rozpočtu verejnej správy</w:t>
        </w:r>
        <w:r>
          <w:rPr>
            <w:webHidden/>
            <w:szCs w:val="24"/>
          </w:rPr>
          <w:tab/>
        </w:r>
        <w:r>
          <w:rPr>
            <w:webHidden/>
            <w:szCs w:val="24"/>
          </w:rPr>
          <w:fldChar w:fldCharType="begin"/>
        </w:r>
        <w:r>
          <w:rPr>
            <w:webHidden/>
            <w:szCs w:val="24"/>
          </w:rPr>
          <w:instrText xml:space="preserve"> PAGEREF _Toc241846639 \h </w:instrText>
        </w:r>
        <w:r>
          <w:rPr>
            <w:webHidden/>
            <w:szCs w:val="24"/>
          </w:rPr>
          <w:fldChar w:fldCharType="separate"/>
        </w:r>
        <w:r w:rsidR="00B22BF0">
          <w:rPr>
            <w:webHidden/>
            <w:szCs w:val="24"/>
          </w:rPr>
          <w:t>8</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0" w:history="1">
        <w:r w:rsidRPr="00880BC3">
          <w:rPr>
            <w:rStyle w:val="Hyperlink"/>
            <w:szCs w:val="24"/>
          </w:rPr>
          <w:t>2.3. Dlh verejnej správy</w:t>
        </w:r>
        <w:r>
          <w:rPr>
            <w:webHidden/>
            <w:szCs w:val="24"/>
          </w:rPr>
          <w:tab/>
        </w:r>
        <w:r>
          <w:rPr>
            <w:webHidden/>
            <w:szCs w:val="24"/>
          </w:rPr>
          <w:fldChar w:fldCharType="begin"/>
        </w:r>
        <w:r>
          <w:rPr>
            <w:webHidden/>
            <w:szCs w:val="24"/>
          </w:rPr>
          <w:instrText xml:space="preserve"> PAGEREF _Toc241846640 \h </w:instrText>
        </w:r>
        <w:r>
          <w:rPr>
            <w:webHidden/>
            <w:szCs w:val="24"/>
          </w:rPr>
          <w:fldChar w:fldCharType="separate"/>
        </w:r>
        <w:r w:rsidR="00B22BF0">
          <w:rPr>
            <w:webHidden/>
            <w:szCs w:val="24"/>
          </w:rPr>
          <w:t>9</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41" w:history="1">
        <w:r w:rsidRPr="00880BC3">
          <w:rPr>
            <w:rStyle w:val="Hyperlink"/>
            <w:szCs w:val="24"/>
          </w:rPr>
          <w:t>3. Rozpočtovanie príjmov štátneho rozpočtu</w:t>
        </w:r>
        <w:r>
          <w:rPr>
            <w:webHidden/>
            <w:szCs w:val="24"/>
          </w:rPr>
          <w:tab/>
        </w:r>
        <w:r>
          <w:rPr>
            <w:webHidden/>
            <w:szCs w:val="24"/>
          </w:rPr>
          <w:fldChar w:fldCharType="begin"/>
        </w:r>
        <w:r>
          <w:rPr>
            <w:webHidden/>
            <w:szCs w:val="24"/>
          </w:rPr>
          <w:instrText xml:space="preserve"> PAGEREF _Toc241846641 \h </w:instrText>
        </w:r>
        <w:r>
          <w:rPr>
            <w:webHidden/>
            <w:szCs w:val="24"/>
          </w:rPr>
          <w:fldChar w:fldCharType="separate"/>
        </w:r>
        <w:r w:rsidR="00B22BF0">
          <w:rPr>
            <w:webHidden/>
            <w:szCs w:val="24"/>
          </w:rPr>
          <w:t>11</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2" w:history="1">
        <w:r w:rsidRPr="00880BC3">
          <w:rPr>
            <w:rStyle w:val="Hyperlink"/>
            <w:szCs w:val="24"/>
          </w:rPr>
          <w:t>3.1. Rozpočtovanie daňových príjmov</w:t>
        </w:r>
        <w:r>
          <w:rPr>
            <w:webHidden/>
            <w:szCs w:val="24"/>
          </w:rPr>
          <w:tab/>
        </w:r>
        <w:r>
          <w:rPr>
            <w:webHidden/>
            <w:szCs w:val="24"/>
          </w:rPr>
          <w:fldChar w:fldCharType="begin"/>
        </w:r>
        <w:r>
          <w:rPr>
            <w:webHidden/>
            <w:szCs w:val="24"/>
          </w:rPr>
          <w:instrText xml:space="preserve"> PAGEREF _Toc241846642 \h </w:instrText>
        </w:r>
        <w:r>
          <w:rPr>
            <w:webHidden/>
            <w:szCs w:val="24"/>
          </w:rPr>
          <w:fldChar w:fldCharType="separate"/>
        </w:r>
        <w:r w:rsidR="00B22BF0">
          <w:rPr>
            <w:webHidden/>
            <w:szCs w:val="24"/>
          </w:rPr>
          <w:t>11</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3" w:history="1">
        <w:r w:rsidRPr="00880BC3">
          <w:rPr>
            <w:rStyle w:val="Hyperlink"/>
            <w:szCs w:val="24"/>
          </w:rPr>
          <w:t>3.2. Akruálne dane pre návrh rozpočtu verejnej správy 2010 až 2012</w:t>
        </w:r>
        <w:r>
          <w:rPr>
            <w:webHidden/>
            <w:szCs w:val="24"/>
          </w:rPr>
          <w:tab/>
        </w:r>
        <w:r>
          <w:rPr>
            <w:webHidden/>
            <w:szCs w:val="24"/>
          </w:rPr>
          <w:fldChar w:fldCharType="begin"/>
        </w:r>
        <w:r>
          <w:rPr>
            <w:webHidden/>
            <w:szCs w:val="24"/>
          </w:rPr>
          <w:instrText xml:space="preserve"> PAGEREF _Toc241846643 \h </w:instrText>
        </w:r>
        <w:r>
          <w:rPr>
            <w:webHidden/>
            <w:szCs w:val="24"/>
          </w:rPr>
          <w:fldChar w:fldCharType="separate"/>
        </w:r>
        <w:r w:rsidR="00B22BF0">
          <w:rPr>
            <w:webHidden/>
            <w:szCs w:val="24"/>
          </w:rPr>
          <w:t>18</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4" w:history="1">
        <w:r w:rsidRPr="00880BC3">
          <w:rPr>
            <w:rStyle w:val="Hyperlink"/>
            <w:szCs w:val="24"/>
          </w:rPr>
          <w:t>3.3. Porovnanie aktuálneho odhadu daní s rozpočtom verejnej správy na roky 2009 až 2011</w:t>
        </w:r>
        <w:r>
          <w:rPr>
            <w:webHidden/>
            <w:szCs w:val="24"/>
          </w:rPr>
          <w:tab/>
        </w:r>
        <w:r>
          <w:rPr>
            <w:webHidden/>
            <w:szCs w:val="24"/>
          </w:rPr>
          <w:fldChar w:fldCharType="begin"/>
        </w:r>
        <w:r>
          <w:rPr>
            <w:webHidden/>
            <w:szCs w:val="24"/>
          </w:rPr>
          <w:instrText xml:space="preserve"> PAGEREF _Toc241846644 \h </w:instrText>
        </w:r>
        <w:r>
          <w:rPr>
            <w:webHidden/>
            <w:szCs w:val="24"/>
          </w:rPr>
          <w:fldChar w:fldCharType="separate"/>
        </w:r>
        <w:r w:rsidR="00B22BF0">
          <w:rPr>
            <w:webHidden/>
            <w:szCs w:val="24"/>
          </w:rPr>
          <w:t>21</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5" w:history="1">
        <w:r w:rsidRPr="00880BC3">
          <w:rPr>
            <w:rStyle w:val="Hyperlink"/>
            <w:szCs w:val="24"/>
          </w:rPr>
          <w:t>3.4. Rozpočtovanie iných ako daňových príjmov</w:t>
        </w:r>
        <w:r>
          <w:rPr>
            <w:webHidden/>
            <w:szCs w:val="24"/>
          </w:rPr>
          <w:tab/>
        </w:r>
        <w:r>
          <w:rPr>
            <w:webHidden/>
            <w:szCs w:val="24"/>
          </w:rPr>
          <w:fldChar w:fldCharType="begin"/>
        </w:r>
        <w:r>
          <w:rPr>
            <w:webHidden/>
            <w:szCs w:val="24"/>
          </w:rPr>
          <w:instrText xml:space="preserve"> PAGEREF _Toc241846645 \h </w:instrText>
        </w:r>
        <w:r>
          <w:rPr>
            <w:webHidden/>
            <w:szCs w:val="24"/>
          </w:rPr>
          <w:fldChar w:fldCharType="separate"/>
        </w:r>
        <w:r w:rsidR="00B22BF0">
          <w:rPr>
            <w:webHidden/>
            <w:szCs w:val="24"/>
          </w:rPr>
          <w:t>22</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46" w:history="1">
        <w:r w:rsidRPr="00880BC3">
          <w:rPr>
            <w:rStyle w:val="Hyperlink"/>
            <w:szCs w:val="24"/>
          </w:rPr>
          <w:t>4. Rozpočtovanie výdavkov štátneho rozpočtu</w:t>
        </w:r>
        <w:r>
          <w:rPr>
            <w:webHidden/>
            <w:szCs w:val="24"/>
          </w:rPr>
          <w:tab/>
        </w:r>
        <w:r>
          <w:rPr>
            <w:webHidden/>
            <w:szCs w:val="24"/>
          </w:rPr>
          <w:fldChar w:fldCharType="begin"/>
        </w:r>
        <w:r>
          <w:rPr>
            <w:webHidden/>
            <w:szCs w:val="24"/>
          </w:rPr>
          <w:instrText xml:space="preserve"> PAGEREF _Toc241846646 \h </w:instrText>
        </w:r>
        <w:r>
          <w:rPr>
            <w:webHidden/>
            <w:szCs w:val="24"/>
          </w:rPr>
          <w:fldChar w:fldCharType="separate"/>
        </w:r>
        <w:r w:rsidR="00B22BF0">
          <w:rPr>
            <w:webHidden/>
            <w:szCs w:val="24"/>
          </w:rPr>
          <w:t>25</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7" w:history="1">
        <w:r w:rsidRPr="00880BC3">
          <w:rPr>
            <w:rStyle w:val="Hyperlink"/>
            <w:szCs w:val="24"/>
          </w:rPr>
          <w:t>4.1. Kvantifikácia výdavkov štátneho rozpočtu</w:t>
        </w:r>
        <w:r>
          <w:rPr>
            <w:webHidden/>
            <w:szCs w:val="24"/>
          </w:rPr>
          <w:tab/>
        </w:r>
        <w:r>
          <w:rPr>
            <w:webHidden/>
            <w:szCs w:val="24"/>
          </w:rPr>
          <w:fldChar w:fldCharType="begin"/>
        </w:r>
        <w:r>
          <w:rPr>
            <w:webHidden/>
            <w:szCs w:val="24"/>
          </w:rPr>
          <w:instrText xml:space="preserve"> PAGEREF _Toc241846647 \h </w:instrText>
        </w:r>
        <w:r>
          <w:rPr>
            <w:webHidden/>
            <w:szCs w:val="24"/>
          </w:rPr>
          <w:fldChar w:fldCharType="separate"/>
        </w:r>
        <w:r w:rsidR="00B22BF0">
          <w:rPr>
            <w:webHidden/>
            <w:szCs w:val="24"/>
          </w:rPr>
          <w:t>25</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48" w:history="1">
        <w:r w:rsidRPr="00880BC3">
          <w:rPr>
            <w:rStyle w:val="Hyperlink"/>
            <w:szCs w:val="24"/>
          </w:rPr>
          <w:t>4.2. Rozpočtovanie výdavkov podľa vybraných oblastí</w:t>
        </w:r>
        <w:r>
          <w:rPr>
            <w:webHidden/>
            <w:szCs w:val="24"/>
          </w:rPr>
          <w:tab/>
        </w:r>
        <w:r>
          <w:rPr>
            <w:webHidden/>
            <w:szCs w:val="24"/>
          </w:rPr>
          <w:fldChar w:fldCharType="begin"/>
        </w:r>
        <w:r>
          <w:rPr>
            <w:webHidden/>
            <w:szCs w:val="24"/>
          </w:rPr>
          <w:instrText xml:space="preserve"> PAGEREF _Toc241846648 \h </w:instrText>
        </w:r>
        <w:r>
          <w:rPr>
            <w:webHidden/>
            <w:szCs w:val="24"/>
          </w:rPr>
          <w:fldChar w:fldCharType="separate"/>
        </w:r>
        <w:r w:rsidR="00B22BF0">
          <w:rPr>
            <w:webHidden/>
            <w:szCs w:val="24"/>
          </w:rPr>
          <w:t>32</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49" w:history="1">
        <w:r w:rsidRPr="00880BC3">
          <w:rPr>
            <w:rStyle w:val="Hyperlink"/>
            <w:szCs w:val="24"/>
          </w:rPr>
          <w:t>5. Štátne finančné aktíva</w:t>
        </w:r>
        <w:r>
          <w:rPr>
            <w:webHidden/>
            <w:szCs w:val="24"/>
          </w:rPr>
          <w:tab/>
        </w:r>
        <w:r>
          <w:rPr>
            <w:webHidden/>
            <w:szCs w:val="24"/>
          </w:rPr>
          <w:fldChar w:fldCharType="begin"/>
        </w:r>
        <w:r>
          <w:rPr>
            <w:webHidden/>
            <w:szCs w:val="24"/>
          </w:rPr>
          <w:instrText xml:space="preserve"> PAGEREF _Toc241846649 \h </w:instrText>
        </w:r>
        <w:r>
          <w:rPr>
            <w:webHidden/>
            <w:szCs w:val="24"/>
          </w:rPr>
          <w:fldChar w:fldCharType="separate"/>
        </w:r>
        <w:r w:rsidR="00B22BF0">
          <w:rPr>
            <w:webHidden/>
            <w:szCs w:val="24"/>
          </w:rPr>
          <w:t>56</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50" w:history="1">
        <w:r w:rsidRPr="00880BC3">
          <w:rPr>
            <w:rStyle w:val="Hyperlink"/>
            <w:szCs w:val="24"/>
          </w:rPr>
          <w:t>5.1. Príjmové operácie</w:t>
        </w:r>
        <w:r>
          <w:rPr>
            <w:webHidden/>
            <w:szCs w:val="24"/>
          </w:rPr>
          <w:tab/>
        </w:r>
        <w:r>
          <w:rPr>
            <w:webHidden/>
            <w:szCs w:val="24"/>
          </w:rPr>
          <w:fldChar w:fldCharType="begin"/>
        </w:r>
        <w:r>
          <w:rPr>
            <w:webHidden/>
            <w:szCs w:val="24"/>
          </w:rPr>
          <w:instrText xml:space="preserve"> PAGEREF _Toc241846650 \h </w:instrText>
        </w:r>
        <w:r>
          <w:rPr>
            <w:webHidden/>
            <w:szCs w:val="24"/>
          </w:rPr>
          <w:fldChar w:fldCharType="separate"/>
        </w:r>
        <w:r w:rsidR="00B22BF0">
          <w:rPr>
            <w:webHidden/>
            <w:szCs w:val="24"/>
          </w:rPr>
          <w:t>57</w:t>
        </w:r>
        <w:r>
          <w:rPr>
            <w:webHidden/>
            <w:szCs w:val="24"/>
          </w:rPr>
          <w:fldChar w:fldCharType="end"/>
        </w:r>
      </w:hyperlink>
    </w:p>
    <w:p w:rsidR="00860164">
      <w:pPr>
        <w:pStyle w:val="TOC2"/>
        <w:rPr>
          <w:rFonts w:ascii="Times New Roman" w:hAnsi="Times New Roman" w:cs="Times New Roman"/>
          <w:sz w:val="24"/>
          <w:szCs w:val="24"/>
          <w:lang w:eastAsia="sk-SK"/>
        </w:rPr>
      </w:pPr>
      <w:hyperlink w:anchor="_Toc241846651" w:history="1">
        <w:r w:rsidRPr="00880BC3">
          <w:rPr>
            <w:rStyle w:val="Hyperlink"/>
            <w:szCs w:val="24"/>
          </w:rPr>
          <w:t>5.2. Výdavkové operácie</w:t>
        </w:r>
        <w:r>
          <w:rPr>
            <w:webHidden/>
            <w:szCs w:val="24"/>
          </w:rPr>
          <w:tab/>
        </w:r>
        <w:r>
          <w:rPr>
            <w:webHidden/>
            <w:szCs w:val="24"/>
          </w:rPr>
          <w:fldChar w:fldCharType="begin"/>
        </w:r>
        <w:r>
          <w:rPr>
            <w:webHidden/>
            <w:szCs w:val="24"/>
          </w:rPr>
          <w:instrText xml:space="preserve"> PAGEREF _Toc241846651 \h </w:instrText>
        </w:r>
        <w:r>
          <w:rPr>
            <w:webHidden/>
            <w:szCs w:val="24"/>
          </w:rPr>
          <w:fldChar w:fldCharType="separate"/>
        </w:r>
        <w:r w:rsidR="00B22BF0">
          <w:rPr>
            <w:webHidden/>
            <w:szCs w:val="24"/>
          </w:rPr>
          <w:t>59</w:t>
        </w:r>
        <w:r>
          <w:rPr>
            <w:webHidden/>
            <w:szCs w:val="24"/>
          </w:rPr>
          <w:fldChar w:fldCharType="end"/>
        </w:r>
      </w:hyperlink>
    </w:p>
    <w:p w:rsidR="00860164">
      <w:pPr>
        <w:pStyle w:val="TOC1"/>
        <w:rPr>
          <w:rFonts w:ascii="Times New Roman" w:hAnsi="Times New Roman" w:cs="Times New Roman"/>
          <w:b w:val="0"/>
          <w:szCs w:val="24"/>
          <w:lang w:eastAsia="sk-SK"/>
        </w:rPr>
      </w:pPr>
      <w:hyperlink w:anchor="_Toc241846652" w:history="1">
        <w:r w:rsidRPr="00880BC3">
          <w:rPr>
            <w:rStyle w:val="Hyperlink"/>
            <w:szCs w:val="24"/>
          </w:rPr>
          <w:t>6. Štátny rozpočet v metodike ESA 95</w:t>
        </w:r>
        <w:r>
          <w:rPr>
            <w:webHidden/>
            <w:szCs w:val="24"/>
          </w:rPr>
          <w:tab/>
        </w:r>
        <w:r>
          <w:rPr>
            <w:webHidden/>
            <w:szCs w:val="24"/>
          </w:rPr>
          <w:fldChar w:fldCharType="begin"/>
        </w:r>
        <w:r>
          <w:rPr>
            <w:webHidden/>
            <w:szCs w:val="24"/>
          </w:rPr>
          <w:instrText xml:space="preserve"> PAGEREF _Toc241846652 \h </w:instrText>
        </w:r>
        <w:r>
          <w:rPr>
            <w:webHidden/>
            <w:szCs w:val="24"/>
          </w:rPr>
          <w:fldChar w:fldCharType="separate"/>
        </w:r>
        <w:r w:rsidR="00B22BF0">
          <w:rPr>
            <w:webHidden/>
            <w:szCs w:val="24"/>
          </w:rPr>
          <w:t>61</w:t>
        </w:r>
        <w:r>
          <w:rPr>
            <w:webHidden/>
            <w:szCs w:val="24"/>
          </w:rPr>
          <w:fldChar w:fldCharType="end"/>
        </w:r>
      </w:hyperlink>
    </w:p>
    <w:p w:rsidR="001F3142" w:rsidP="00C52ECF">
      <w:pPr>
        <w:pStyle w:val="Heading1"/>
        <w:rPr>
          <w:rFonts w:ascii="Arial Narrow" w:hAnsi="Arial Narrow" w:cs="Arial Narrow"/>
          <w:b w:val="0"/>
          <w:kern w:val="0"/>
          <w:sz w:val="28"/>
          <w:szCs w:val="24"/>
        </w:rPr>
      </w:pPr>
      <w:r w:rsidR="00311DA0">
        <w:rPr>
          <w:sz w:val="28"/>
          <w:szCs w:val="24"/>
        </w:rPr>
        <w:fldChar w:fldCharType="end"/>
      </w: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RPr="00F968EF" w:rsidP="001F3142">
      <w:pPr>
        <w:rPr>
          <w:rFonts w:ascii="Arial Narrow" w:hAnsi="Arial Narrow" w:cs="Arial Narrow"/>
          <w:b/>
          <w:szCs w:val="24"/>
        </w:rPr>
      </w:pPr>
      <w:r w:rsidRPr="00F968EF" w:rsidR="00F968EF">
        <w:rPr>
          <w:rFonts w:ascii="Arial Narrow" w:hAnsi="Arial Narrow" w:cs="Arial Narrow"/>
          <w:b/>
          <w:szCs w:val="24"/>
        </w:rPr>
        <w:t>Prílohy</w:t>
      </w:r>
    </w:p>
    <w:p w:rsidR="001F3142" w:rsidP="001F3142">
      <w:pPr>
        <w:rPr>
          <w:szCs w:val="24"/>
        </w:rPr>
      </w:pPr>
    </w:p>
    <w:p w:rsidR="008B7210" w:rsidP="001F3142">
      <w:pPr>
        <w:rPr>
          <w:szCs w:val="24"/>
        </w:rPr>
      </w:pPr>
    </w:p>
    <w:p w:rsidR="001F3142" w:rsidP="00513FFB">
      <w:pPr>
        <w:numPr>
          <w:numId w:val="29"/>
        </w:numPr>
        <w:spacing w:before="120"/>
        <w:ind w:left="284" w:hanging="284"/>
        <w:rPr>
          <w:rFonts w:ascii="Arial Narrow" w:hAnsi="Arial Narrow" w:cs="Arial Narrow"/>
          <w:sz w:val="22"/>
          <w:szCs w:val="24"/>
        </w:rPr>
      </w:pPr>
      <w:r w:rsidR="00F968EF">
        <w:rPr>
          <w:rFonts w:ascii="Arial Narrow" w:hAnsi="Arial Narrow" w:cs="Arial Narrow"/>
          <w:sz w:val="22"/>
          <w:szCs w:val="24"/>
        </w:rPr>
        <w:t>Rozpočtovanie príjmov a výdavkov ostatných subjektov verejnej správy v metodike ESA 95</w:t>
      </w:r>
    </w:p>
    <w:p w:rsidR="00F968EF" w:rsidP="00513FFB">
      <w:pPr>
        <w:numPr>
          <w:numId w:val="29"/>
        </w:numPr>
        <w:spacing w:before="120"/>
        <w:ind w:left="284" w:hanging="284"/>
        <w:rPr>
          <w:rFonts w:ascii="Arial Narrow" w:hAnsi="Arial Narrow" w:cs="Arial Narrow"/>
          <w:sz w:val="22"/>
          <w:szCs w:val="24"/>
        </w:rPr>
      </w:pPr>
      <w:r>
        <w:rPr>
          <w:rFonts w:ascii="Arial Narrow" w:hAnsi="Arial Narrow" w:cs="Arial Narrow"/>
          <w:sz w:val="22"/>
          <w:szCs w:val="24"/>
        </w:rPr>
        <w:t>Rozpočtové vzťahy SR a EÚ</w:t>
      </w:r>
    </w:p>
    <w:p w:rsidR="00F968EF" w:rsidRPr="00F968EF" w:rsidP="00513FFB">
      <w:pPr>
        <w:numPr>
          <w:numId w:val="29"/>
        </w:numPr>
        <w:spacing w:before="120"/>
        <w:ind w:left="284" w:hanging="284"/>
        <w:rPr>
          <w:rFonts w:ascii="Arial Narrow" w:hAnsi="Arial Narrow" w:cs="Arial Narrow"/>
          <w:sz w:val="22"/>
          <w:szCs w:val="24"/>
        </w:rPr>
      </w:pPr>
      <w:r>
        <w:rPr>
          <w:rFonts w:ascii="Arial Narrow" w:hAnsi="Arial Narrow" w:cs="Arial Narrow"/>
          <w:sz w:val="22"/>
          <w:szCs w:val="24"/>
        </w:rPr>
        <w:t>Stratégia riadenia štátneho dlhu na roky 200</w:t>
      </w:r>
      <w:r w:rsidR="00FA6BF2">
        <w:rPr>
          <w:rFonts w:ascii="Arial Narrow" w:hAnsi="Arial Narrow" w:cs="Arial Narrow"/>
          <w:sz w:val="22"/>
          <w:szCs w:val="24"/>
        </w:rPr>
        <w:t>7 až 2010 – Aktualizácia 2009</w:t>
      </w: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1F3142">
      <w:pPr>
        <w:rPr>
          <w:szCs w:val="24"/>
        </w:rPr>
      </w:pPr>
    </w:p>
    <w:p w:rsidR="001F3142" w:rsidP="00513FFB">
      <w:pPr>
        <w:pStyle w:val="Heading1"/>
        <w:jc w:val="center"/>
        <w:rPr>
          <w:rFonts w:ascii="Arial Narrow" w:hAnsi="Arial Narrow" w:cs="Arial Narrow"/>
          <w:sz w:val="28"/>
          <w:szCs w:val="24"/>
        </w:rPr>
      </w:pPr>
      <w:bookmarkStart w:id="6" w:name="_Toc241846633"/>
      <w:r w:rsidRPr="00513FFB" w:rsidR="00513FFB">
        <w:rPr>
          <w:rFonts w:ascii="Arial Narrow" w:hAnsi="Arial Narrow" w:cs="Arial Narrow"/>
          <w:sz w:val="28"/>
          <w:szCs w:val="24"/>
        </w:rPr>
        <w:t>Predkladacia správa</w:t>
      </w:r>
      <w:bookmarkEnd w:id="6"/>
    </w:p>
    <w:p w:rsidR="00513FFB" w:rsidP="009675E1">
      <w:pPr>
        <w:spacing w:before="240"/>
        <w:ind w:firstLine="709"/>
        <w:jc w:val="both"/>
        <w:rPr>
          <w:rFonts w:ascii="Arial Narrow" w:hAnsi="Arial Narrow" w:cs="Arial Narrow"/>
          <w:sz w:val="22"/>
          <w:szCs w:val="24"/>
        </w:rPr>
      </w:pPr>
      <w:r w:rsidRPr="0087062F">
        <w:rPr>
          <w:rFonts w:ascii="Arial Narrow" w:hAnsi="Arial Narrow" w:cs="Arial Narrow"/>
          <w:sz w:val="22"/>
          <w:szCs w:val="24"/>
        </w:rPr>
        <w:t>Predložený návrh rozp</w:t>
      </w:r>
      <w:r>
        <w:rPr>
          <w:rFonts w:ascii="Arial Narrow" w:hAnsi="Arial Narrow" w:cs="Arial Narrow"/>
          <w:sz w:val="22"/>
          <w:szCs w:val="24"/>
        </w:rPr>
        <w:t>očtu verejnej správy na roky 2010 až 2012</w:t>
      </w:r>
      <w:r w:rsidRPr="0087062F">
        <w:rPr>
          <w:rFonts w:ascii="Arial Narrow" w:hAnsi="Arial Narrow" w:cs="Arial Narrow"/>
          <w:sz w:val="22"/>
          <w:szCs w:val="24"/>
        </w:rPr>
        <w:t xml:space="preserve"> vychádza z</w:t>
      </w:r>
      <w:r>
        <w:rPr>
          <w:rFonts w:ascii="Arial Narrow" w:hAnsi="Arial Narrow" w:cs="Arial Narrow"/>
          <w:sz w:val="22"/>
          <w:szCs w:val="24"/>
        </w:rPr>
        <w:t xml:space="preserve"> programového vyhlásenia vlády, </w:t>
      </w:r>
      <w:r w:rsidRPr="0087062F">
        <w:rPr>
          <w:rFonts w:ascii="Arial Narrow" w:hAnsi="Arial Narrow" w:cs="Arial Narrow"/>
          <w:sz w:val="22"/>
          <w:szCs w:val="24"/>
        </w:rPr>
        <w:t>fiškálneho rámca Rozpočtu verejnej správy na roky 200</w:t>
      </w:r>
      <w:r>
        <w:rPr>
          <w:rFonts w:ascii="Arial Narrow" w:hAnsi="Arial Narrow" w:cs="Arial Narrow"/>
          <w:sz w:val="22"/>
          <w:szCs w:val="24"/>
        </w:rPr>
        <w:t>9 až 2011</w:t>
      </w:r>
      <w:r w:rsidRPr="0087062F">
        <w:rPr>
          <w:rFonts w:ascii="Arial Narrow" w:hAnsi="Arial Narrow" w:cs="Arial Narrow"/>
          <w:sz w:val="22"/>
          <w:szCs w:val="24"/>
        </w:rPr>
        <w:t xml:space="preserve"> a </w:t>
      </w:r>
      <w:r>
        <w:rPr>
          <w:rFonts w:ascii="Arial Narrow" w:hAnsi="Arial Narrow" w:cs="Arial Narrow"/>
          <w:sz w:val="22"/>
          <w:szCs w:val="24"/>
        </w:rPr>
        <w:t>nadväzuje</w:t>
      </w:r>
      <w:r w:rsidRPr="000B51C0">
        <w:rPr>
          <w:rFonts w:ascii="Arial Narrow" w:hAnsi="Arial Narrow" w:cs="Arial Narrow"/>
          <w:sz w:val="22"/>
          <w:szCs w:val="24"/>
        </w:rPr>
        <w:t xml:space="preserve"> na </w:t>
      </w:r>
      <w:r w:rsidRPr="000200E7">
        <w:rPr>
          <w:rFonts w:ascii="Arial Narrow" w:hAnsi="Arial Narrow" w:cs="Arial Narrow"/>
          <w:sz w:val="22"/>
          <w:szCs w:val="24"/>
        </w:rPr>
        <w:t>Program stability S</w:t>
      </w:r>
      <w:r>
        <w:rPr>
          <w:rFonts w:ascii="Arial Narrow" w:hAnsi="Arial Narrow" w:cs="Arial Narrow"/>
          <w:sz w:val="22"/>
          <w:szCs w:val="24"/>
        </w:rPr>
        <w:t xml:space="preserve">lovenska  na roky 2008 až 2012 schválený </w:t>
      </w:r>
      <w:r w:rsidRPr="000200E7">
        <w:rPr>
          <w:rFonts w:ascii="Arial Narrow" w:hAnsi="Arial Narrow" w:cs="Arial Narrow"/>
          <w:sz w:val="22"/>
          <w:szCs w:val="24"/>
        </w:rPr>
        <w:t>vlád</w:t>
      </w:r>
      <w:r>
        <w:rPr>
          <w:rFonts w:ascii="Arial Narrow" w:hAnsi="Arial Narrow" w:cs="Arial Narrow"/>
          <w:sz w:val="22"/>
          <w:szCs w:val="24"/>
        </w:rPr>
        <w:t>ou SR uznesením č. 316/2009.</w:t>
      </w:r>
      <w:r w:rsidRPr="00E86C64">
        <w:rPr>
          <w:rFonts w:ascii="Arial Narrow" w:hAnsi="Arial Narrow" w:cs="Arial Narrow"/>
          <w:sz w:val="22"/>
          <w:szCs w:val="24"/>
        </w:rPr>
        <w:t xml:space="preserve"> </w:t>
      </w:r>
      <w:r w:rsidRPr="00162220" w:rsidR="00FE58F4">
        <w:rPr>
          <w:rFonts w:ascii="Arial Narrow" w:hAnsi="Arial Narrow" w:cs="Arial Narrow"/>
          <w:sz w:val="22"/>
          <w:szCs w:val="24"/>
        </w:rPr>
        <w:t>Vláda SR si vo svojom programovom vyhlásení stanovila, že základným rámcom pri presadzovaní politiky a cieľov vlády SR, obsiahnutých v programovom vyhlásení vlády SR, bude obozretná rozpočtová politika a postupné upevňovanie stability verejných financií</w:t>
      </w:r>
      <w:r w:rsidR="00FE58F4">
        <w:rPr>
          <w:rFonts w:ascii="Arial Narrow" w:hAnsi="Arial Narrow" w:cs="Arial Narrow"/>
          <w:sz w:val="22"/>
          <w:szCs w:val="24"/>
        </w:rPr>
        <w:t>.</w:t>
      </w:r>
    </w:p>
    <w:p w:rsidR="00FE58F4" w:rsidRPr="0025332E" w:rsidP="00FE58F4">
      <w:pPr>
        <w:keepNext/>
        <w:keepLines/>
        <w:widowControl w:val="0"/>
        <w:spacing w:before="120"/>
        <w:ind w:firstLine="709"/>
        <w:jc w:val="both"/>
        <w:rPr>
          <w:rFonts w:ascii="Arial Narrow" w:hAnsi="Arial Narrow" w:cs="Arial Narrow"/>
          <w:sz w:val="22"/>
          <w:szCs w:val="24"/>
        </w:rPr>
      </w:pPr>
      <w:r>
        <w:rPr>
          <w:rFonts w:ascii="Arial Narrow" w:hAnsi="Arial Narrow" w:cs="Arial Narrow"/>
          <w:color w:val="000000"/>
          <w:sz w:val="22"/>
          <w:szCs w:val="24"/>
        </w:rPr>
        <w:t xml:space="preserve">Základ pre zostavenie návrhu rozpočtu verejnej správy na roky 2010 až 2012 predstavuje </w:t>
      </w:r>
      <w:r>
        <w:rPr>
          <w:rFonts w:ascii="Arial Narrow" w:hAnsi="Arial Narrow" w:cs="Arial Narrow"/>
          <w:sz w:val="22"/>
          <w:szCs w:val="24"/>
        </w:rPr>
        <w:t>a</w:t>
      </w:r>
      <w:r w:rsidRPr="00E17852">
        <w:rPr>
          <w:rFonts w:ascii="Arial Narrow" w:hAnsi="Arial Narrow" w:cs="Arial Narrow"/>
          <w:sz w:val="22"/>
          <w:szCs w:val="24"/>
        </w:rPr>
        <w:t>ktuálna prognóza makroekonomického vývoja do roku 2012</w:t>
      </w:r>
      <w:r>
        <w:rPr>
          <w:rFonts w:ascii="Arial Narrow" w:hAnsi="Arial Narrow" w:cs="Arial Narrow"/>
          <w:sz w:val="22"/>
          <w:szCs w:val="24"/>
        </w:rPr>
        <w:t>, ktorá</w:t>
      </w:r>
      <w:r w:rsidRPr="00E17852">
        <w:rPr>
          <w:rFonts w:ascii="Arial Narrow" w:hAnsi="Arial Narrow" w:cs="Arial Narrow"/>
          <w:sz w:val="22"/>
          <w:szCs w:val="24"/>
        </w:rPr>
        <w:t xml:space="preserve"> je postavená na odhadoch vývoja v roku 2009 a na predpokladoch o vnútorných a vonkajších podmienkach ekonomiky SR v strednodobom horizonte.  Na súčasnú prognózu výrazne vplýva pretrvávajúci </w:t>
      </w:r>
      <w:r w:rsidRPr="00E17852">
        <w:rPr>
          <w:rFonts w:ascii="Arial Narrow" w:hAnsi="Arial Narrow" w:cs="Arial Narrow"/>
          <w:b/>
          <w:sz w:val="22"/>
          <w:szCs w:val="24"/>
        </w:rPr>
        <w:t>negatívny vývoj globálnych faktorov</w:t>
      </w:r>
      <w:r w:rsidRPr="00E17852">
        <w:rPr>
          <w:rFonts w:ascii="Arial Narrow" w:hAnsi="Arial Narrow" w:cs="Arial Narrow"/>
          <w:sz w:val="22"/>
          <w:szCs w:val="24"/>
        </w:rPr>
        <w:t xml:space="preserve"> - vplyv finančnej a hospodárskej kríz</w:t>
      </w:r>
      <w:r w:rsidRPr="0025332E">
        <w:rPr>
          <w:rFonts w:ascii="Arial Narrow" w:hAnsi="Arial Narrow" w:cs="Arial Narrow"/>
          <w:sz w:val="22"/>
          <w:szCs w:val="24"/>
        </w:rPr>
        <w:t>y, ktorej</w:t>
      </w:r>
      <w:r>
        <w:rPr>
          <w:rFonts w:ascii="Arial Narrow" w:hAnsi="Arial Narrow" w:cs="Arial Narrow"/>
          <w:sz w:val="22"/>
          <w:szCs w:val="24"/>
        </w:rPr>
        <w:t xml:space="preserve"> dno sa predbežne predpokladá na prelome rokov 2009 - </w:t>
      </w:r>
      <w:r w:rsidRPr="0025332E">
        <w:rPr>
          <w:rFonts w:ascii="Arial Narrow" w:hAnsi="Arial Narrow" w:cs="Arial Narrow"/>
          <w:sz w:val="22"/>
          <w:szCs w:val="24"/>
        </w:rPr>
        <w:t>20</w:t>
      </w:r>
      <w:r>
        <w:rPr>
          <w:rFonts w:ascii="Arial Narrow" w:hAnsi="Arial Narrow" w:cs="Arial Narrow"/>
          <w:sz w:val="22"/>
          <w:szCs w:val="24"/>
        </w:rPr>
        <w:t>10</w:t>
      </w:r>
      <w:r w:rsidRPr="0025332E">
        <w:rPr>
          <w:rFonts w:ascii="Arial Narrow" w:hAnsi="Arial Narrow" w:cs="Arial Narrow"/>
          <w:sz w:val="22"/>
          <w:szCs w:val="24"/>
        </w:rPr>
        <w:t xml:space="preserve">. </w:t>
      </w:r>
      <w:r>
        <w:rPr>
          <w:rFonts w:ascii="Arial Narrow" w:hAnsi="Arial Narrow" w:cs="Arial Narrow"/>
          <w:sz w:val="22"/>
          <w:szCs w:val="24"/>
        </w:rPr>
        <w:t xml:space="preserve">Aktuálne údaje však ukazujú rýchlejšie oživenie </w:t>
      </w:r>
      <w:r w:rsidRPr="0025332E">
        <w:rPr>
          <w:rFonts w:ascii="Arial Narrow" w:hAnsi="Arial Narrow" w:cs="Arial Narrow"/>
          <w:sz w:val="22"/>
          <w:szCs w:val="24"/>
        </w:rPr>
        <w:t>vývoj</w:t>
      </w:r>
      <w:r>
        <w:rPr>
          <w:rFonts w:ascii="Arial Narrow" w:hAnsi="Arial Narrow" w:cs="Arial Narrow"/>
          <w:sz w:val="22"/>
          <w:szCs w:val="24"/>
        </w:rPr>
        <w:t>a</w:t>
      </w:r>
      <w:r w:rsidRPr="0025332E">
        <w:rPr>
          <w:rFonts w:ascii="Arial Narrow" w:hAnsi="Arial Narrow" w:cs="Arial Narrow"/>
          <w:sz w:val="22"/>
          <w:szCs w:val="24"/>
        </w:rPr>
        <w:t xml:space="preserve"> ekonomík dôležitých obchodných partnerov SR</w:t>
      </w:r>
      <w:r>
        <w:rPr>
          <w:rFonts w:ascii="Arial Narrow" w:hAnsi="Arial Narrow" w:cs="Arial Narrow"/>
          <w:sz w:val="22"/>
          <w:szCs w:val="24"/>
        </w:rPr>
        <w:t xml:space="preserve">, čo sa </w:t>
      </w:r>
      <w:r w:rsidRPr="0025332E">
        <w:rPr>
          <w:rFonts w:ascii="Arial Narrow" w:hAnsi="Arial Narrow" w:cs="Arial Narrow"/>
          <w:sz w:val="22"/>
          <w:szCs w:val="24"/>
        </w:rPr>
        <w:t xml:space="preserve">v dôsledku vysokej otvorenosti ekonomiky Slovenska prejaví </w:t>
      </w:r>
      <w:r>
        <w:rPr>
          <w:rFonts w:ascii="Arial Narrow" w:hAnsi="Arial Narrow" w:cs="Arial Narrow"/>
          <w:sz w:val="22"/>
          <w:szCs w:val="24"/>
        </w:rPr>
        <w:t>po poklese HDP</w:t>
      </w:r>
      <w:r w:rsidRPr="0025332E">
        <w:rPr>
          <w:rFonts w:ascii="Arial Narrow" w:hAnsi="Arial Narrow" w:cs="Arial Narrow"/>
          <w:sz w:val="22"/>
          <w:szCs w:val="24"/>
        </w:rPr>
        <w:t xml:space="preserve"> v rok</w:t>
      </w:r>
      <w:r>
        <w:rPr>
          <w:rFonts w:ascii="Arial Narrow" w:hAnsi="Arial Narrow" w:cs="Arial Narrow"/>
          <w:sz w:val="22"/>
          <w:szCs w:val="24"/>
        </w:rPr>
        <w:t>u</w:t>
      </w:r>
      <w:r w:rsidRPr="0025332E">
        <w:rPr>
          <w:rFonts w:ascii="Arial Narrow" w:hAnsi="Arial Narrow" w:cs="Arial Narrow"/>
          <w:sz w:val="22"/>
          <w:szCs w:val="24"/>
        </w:rPr>
        <w:t xml:space="preserve"> 2009 </w:t>
      </w:r>
      <w:r w:rsidR="001433B3">
        <w:rPr>
          <w:rFonts w:ascii="Arial Narrow" w:hAnsi="Arial Narrow" w:cs="Arial Narrow"/>
          <w:sz w:val="22"/>
          <w:szCs w:val="24"/>
        </w:rPr>
        <w:t xml:space="preserve">(na úroveň -5,7 % HDP) </w:t>
      </w:r>
      <w:r>
        <w:rPr>
          <w:rFonts w:ascii="Arial Narrow" w:hAnsi="Arial Narrow" w:cs="Arial Narrow"/>
          <w:sz w:val="22"/>
          <w:szCs w:val="24"/>
        </w:rPr>
        <w:t>v rýchlejšom oživení v nasledujúcich rokoch</w:t>
      </w:r>
      <w:r w:rsidR="001433B3">
        <w:rPr>
          <w:rFonts w:ascii="Arial Narrow" w:hAnsi="Arial Narrow" w:cs="Arial Narrow"/>
          <w:sz w:val="22"/>
          <w:szCs w:val="24"/>
        </w:rPr>
        <w:t xml:space="preserve"> až na úroveň 5,4 % HDP v roku 2012.</w:t>
      </w:r>
    </w:p>
    <w:p w:rsidR="008743FF" w:rsidP="00FE58F4">
      <w:pPr>
        <w:keepNext/>
        <w:keepLines/>
        <w:widowControl w:val="0"/>
        <w:spacing w:before="120"/>
        <w:ind w:firstLine="709"/>
        <w:jc w:val="both"/>
        <w:rPr>
          <w:rFonts w:ascii="Arial Narrow" w:hAnsi="Arial Narrow" w:cs="Arial Narrow"/>
          <w:sz w:val="22"/>
          <w:szCs w:val="24"/>
        </w:rPr>
      </w:pPr>
      <w:r w:rsidRPr="00330116" w:rsidR="00FE58F4">
        <w:rPr>
          <w:rFonts w:ascii="Arial Narrow" w:hAnsi="Arial Narrow" w:cs="Arial Narrow"/>
          <w:sz w:val="22"/>
          <w:szCs w:val="24"/>
        </w:rPr>
        <w:t>Vychádzajúc z týchto zámerov a ekonomických podmienok, rámec rozpočtu verejnej správy na roky 20</w:t>
      </w:r>
      <w:r w:rsidR="00FE58F4">
        <w:rPr>
          <w:rFonts w:ascii="Arial Narrow" w:hAnsi="Arial Narrow" w:cs="Arial Narrow"/>
          <w:sz w:val="22"/>
          <w:szCs w:val="24"/>
        </w:rPr>
        <w:t>1</w:t>
      </w:r>
      <w:r w:rsidRPr="00330116" w:rsidR="00FE58F4">
        <w:rPr>
          <w:rFonts w:ascii="Arial Narrow" w:hAnsi="Arial Narrow" w:cs="Arial Narrow"/>
          <w:sz w:val="22"/>
          <w:szCs w:val="24"/>
        </w:rPr>
        <w:t>0 až 201</w:t>
      </w:r>
      <w:r w:rsidR="00FE58F4">
        <w:rPr>
          <w:rFonts w:ascii="Arial Narrow" w:hAnsi="Arial Narrow" w:cs="Arial Narrow"/>
          <w:sz w:val="22"/>
          <w:szCs w:val="24"/>
        </w:rPr>
        <w:t>2</w:t>
      </w:r>
      <w:r w:rsidRPr="00330116" w:rsidR="00FE58F4">
        <w:rPr>
          <w:rFonts w:ascii="Arial Narrow" w:hAnsi="Arial Narrow" w:cs="Arial Narrow"/>
          <w:sz w:val="22"/>
          <w:szCs w:val="24"/>
        </w:rPr>
        <w:t xml:space="preserve"> bol zostavený </w:t>
      </w:r>
      <w:r w:rsidRPr="00FE58F4" w:rsidR="00FE58F4">
        <w:rPr>
          <w:rFonts w:ascii="Arial Narrow" w:hAnsi="Arial Narrow" w:cs="Arial Narrow"/>
          <w:sz w:val="22"/>
          <w:szCs w:val="24"/>
        </w:rPr>
        <w:t>tak</w:t>
      </w:r>
      <w:r w:rsidRPr="00330116" w:rsidR="00FE58F4">
        <w:rPr>
          <w:rFonts w:ascii="Arial Narrow" w:hAnsi="Arial Narrow" w:cs="Arial Narrow"/>
          <w:sz w:val="22"/>
          <w:szCs w:val="24"/>
        </w:rPr>
        <w:t xml:space="preserve">, aby postupné </w:t>
      </w:r>
      <w:r w:rsidRPr="00FE58F4" w:rsidR="00FE58F4">
        <w:rPr>
          <w:rFonts w:ascii="Arial Narrow" w:hAnsi="Arial Narrow" w:cs="Arial Narrow"/>
          <w:b/>
          <w:sz w:val="22"/>
          <w:szCs w:val="24"/>
        </w:rPr>
        <w:t>znižovanie</w:t>
      </w:r>
      <w:r w:rsidRPr="00330116" w:rsidR="00FE58F4">
        <w:rPr>
          <w:rFonts w:ascii="Arial Narrow" w:hAnsi="Arial Narrow" w:cs="Arial Narrow"/>
          <w:sz w:val="22"/>
          <w:szCs w:val="24"/>
        </w:rPr>
        <w:t xml:space="preserve"> plánovaného </w:t>
      </w:r>
      <w:r w:rsidRPr="00FE58F4" w:rsidR="00FE58F4">
        <w:rPr>
          <w:rFonts w:ascii="Arial Narrow" w:hAnsi="Arial Narrow" w:cs="Arial Narrow"/>
          <w:b/>
          <w:sz w:val="22"/>
          <w:szCs w:val="24"/>
        </w:rPr>
        <w:t>schodku</w:t>
      </w:r>
      <w:r w:rsidRPr="00330116" w:rsidR="00FE58F4">
        <w:rPr>
          <w:rFonts w:ascii="Arial Narrow" w:hAnsi="Arial Narrow" w:cs="Arial Narrow"/>
          <w:sz w:val="22"/>
          <w:szCs w:val="24"/>
        </w:rPr>
        <w:t xml:space="preserve"> rozpočtu verejnej správy viedlo </w:t>
      </w:r>
      <w:r w:rsidRPr="00FE58F4" w:rsidR="00FE58F4">
        <w:rPr>
          <w:rFonts w:ascii="Arial Narrow" w:hAnsi="Arial Narrow" w:cs="Arial Narrow"/>
          <w:b/>
          <w:sz w:val="22"/>
          <w:szCs w:val="24"/>
        </w:rPr>
        <w:t>k úrovni 3 % HDP</w:t>
      </w:r>
      <w:r w:rsidRPr="00330116" w:rsidR="00FE58F4">
        <w:rPr>
          <w:rFonts w:ascii="Arial Narrow" w:hAnsi="Arial Narrow" w:cs="Arial Narrow"/>
          <w:sz w:val="22"/>
          <w:szCs w:val="24"/>
        </w:rPr>
        <w:t xml:space="preserve"> </w:t>
      </w:r>
      <w:r w:rsidRPr="00FE58F4" w:rsidR="00FE58F4">
        <w:rPr>
          <w:rFonts w:ascii="Arial Narrow" w:hAnsi="Arial Narrow" w:cs="Arial Narrow"/>
          <w:b/>
          <w:sz w:val="22"/>
          <w:szCs w:val="24"/>
        </w:rPr>
        <w:t>v roku 2012</w:t>
      </w:r>
      <w:r w:rsidRPr="00330116" w:rsidR="00FE58F4">
        <w:rPr>
          <w:rFonts w:ascii="Arial Narrow" w:hAnsi="Arial Narrow" w:cs="Arial Narrow"/>
          <w:sz w:val="22"/>
          <w:szCs w:val="24"/>
        </w:rPr>
        <w:t xml:space="preserve">. Schodok rozpočtu verejnej správy vyjadrený v metodike ESA 95, vrátane vplyvu zavedenia kapitalizačného piliera starobného dôchodkového poistenia je </w:t>
      </w:r>
      <w:r w:rsidRPr="00FE58F4" w:rsidR="00FE58F4">
        <w:rPr>
          <w:rFonts w:ascii="Arial Narrow" w:hAnsi="Arial Narrow" w:cs="Arial Narrow"/>
          <w:b/>
          <w:sz w:val="22"/>
          <w:szCs w:val="24"/>
        </w:rPr>
        <w:t>v roku</w:t>
      </w:r>
      <w:r w:rsidR="00FE58F4">
        <w:rPr>
          <w:rFonts w:ascii="Arial Narrow" w:hAnsi="Arial Narrow" w:cs="Arial Narrow"/>
          <w:sz w:val="22"/>
          <w:szCs w:val="24"/>
        </w:rPr>
        <w:t xml:space="preserve"> </w:t>
      </w:r>
      <w:r w:rsidRPr="00FE58F4" w:rsidR="00FE58F4">
        <w:rPr>
          <w:rFonts w:ascii="Arial Narrow" w:hAnsi="Arial Narrow" w:cs="Arial Narrow"/>
          <w:b/>
          <w:sz w:val="22"/>
          <w:szCs w:val="24"/>
        </w:rPr>
        <w:t>2010</w:t>
      </w:r>
      <w:r w:rsidR="00FE58F4">
        <w:rPr>
          <w:rFonts w:ascii="Arial Narrow" w:hAnsi="Arial Narrow" w:cs="Arial Narrow"/>
          <w:sz w:val="22"/>
          <w:szCs w:val="24"/>
        </w:rPr>
        <w:t xml:space="preserve"> rozpočtovaný na úrovni </w:t>
      </w:r>
      <w:r w:rsidRPr="00FE58F4" w:rsidR="00FE58F4">
        <w:rPr>
          <w:rFonts w:ascii="Arial Narrow" w:hAnsi="Arial Narrow" w:cs="Arial Narrow"/>
          <w:b/>
          <w:sz w:val="22"/>
          <w:szCs w:val="24"/>
        </w:rPr>
        <w:t>5,5 % HDP</w:t>
      </w:r>
      <w:r w:rsidRPr="00330116" w:rsidR="00FE58F4">
        <w:rPr>
          <w:rFonts w:ascii="Arial Narrow" w:hAnsi="Arial Narrow" w:cs="Arial Narrow"/>
          <w:sz w:val="22"/>
          <w:szCs w:val="24"/>
        </w:rPr>
        <w:t xml:space="preserve"> a </w:t>
      </w:r>
      <w:r w:rsidRPr="00FE58F4" w:rsidR="00FE58F4">
        <w:rPr>
          <w:rFonts w:ascii="Arial Narrow" w:hAnsi="Arial Narrow" w:cs="Arial Narrow"/>
          <w:b/>
          <w:sz w:val="22"/>
          <w:szCs w:val="24"/>
        </w:rPr>
        <w:t xml:space="preserve">na rok 2011 </w:t>
      </w:r>
      <w:r w:rsidRPr="00330116" w:rsidR="00FE58F4">
        <w:rPr>
          <w:rFonts w:ascii="Arial Narrow" w:hAnsi="Arial Narrow" w:cs="Arial Narrow"/>
          <w:sz w:val="22"/>
          <w:szCs w:val="24"/>
        </w:rPr>
        <w:t xml:space="preserve">na úrovni </w:t>
      </w:r>
      <w:r w:rsidRPr="00FE58F4" w:rsidR="00FE58F4">
        <w:rPr>
          <w:rFonts w:ascii="Arial Narrow" w:hAnsi="Arial Narrow" w:cs="Arial Narrow"/>
          <w:b/>
          <w:sz w:val="22"/>
          <w:szCs w:val="24"/>
        </w:rPr>
        <w:t>4,2 % HDP</w:t>
      </w:r>
      <w:r w:rsidR="00FE58F4">
        <w:rPr>
          <w:rFonts w:ascii="Arial Narrow" w:hAnsi="Arial Narrow" w:cs="Arial Narrow"/>
          <w:sz w:val="22"/>
          <w:szCs w:val="24"/>
        </w:rPr>
        <w:t xml:space="preserve">. </w:t>
      </w:r>
      <w:r w:rsidR="006F0ED8">
        <w:rPr>
          <w:rFonts w:ascii="Arial Narrow" w:hAnsi="Arial Narrow" w:cs="Arial Narrow"/>
          <w:sz w:val="22"/>
          <w:szCs w:val="24"/>
        </w:rPr>
        <w:t xml:space="preserve">Takto stanovené deficity odrážajú snahu vlády o konsolidáciu verejných financií, ktorá je nutná pre zdravý vývoj verejných financií. </w:t>
      </w:r>
    </w:p>
    <w:p w:rsidR="00362A71" w:rsidP="00FE58F4">
      <w:pPr>
        <w:keepNext/>
        <w:keepLines/>
        <w:widowControl w:val="0"/>
        <w:spacing w:before="120"/>
        <w:ind w:firstLine="709"/>
        <w:jc w:val="both"/>
        <w:rPr>
          <w:rFonts w:ascii="Arial Narrow" w:hAnsi="Arial Narrow" w:cs="Arial Narrow"/>
          <w:sz w:val="22"/>
          <w:szCs w:val="24"/>
        </w:rPr>
      </w:pPr>
    </w:p>
    <w:p w:rsidR="001433B3" w:rsidP="009C06A8">
      <w:pPr>
        <w:ind w:firstLine="708"/>
        <w:jc w:val="both"/>
        <w:rPr>
          <w:rFonts w:ascii="Arial Narrow" w:hAnsi="Arial Narrow" w:cs="Arial Narrow"/>
          <w:sz w:val="22"/>
          <w:szCs w:val="24"/>
        </w:rPr>
      </w:pPr>
      <w:r>
        <w:rPr>
          <w:rFonts w:ascii="Arial Narrow" w:hAnsi="Arial Narrow" w:cs="Arial Narrow"/>
          <w:sz w:val="22"/>
          <w:szCs w:val="24"/>
        </w:rPr>
        <w:t xml:space="preserve">Pre </w:t>
      </w:r>
      <w:r w:rsidRPr="001433B3">
        <w:rPr>
          <w:rFonts w:ascii="Arial Narrow" w:hAnsi="Arial Narrow" w:cs="Arial Narrow"/>
          <w:b/>
          <w:sz w:val="22"/>
          <w:szCs w:val="24"/>
        </w:rPr>
        <w:t>udržanie sociálneho štandardu občanov</w:t>
      </w:r>
      <w:r>
        <w:rPr>
          <w:rFonts w:ascii="Arial Narrow" w:hAnsi="Arial Narrow" w:cs="Arial Narrow"/>
          <w:sz w:val="22"/>
          <w:szCs w:val="24"/>
        </w:rPr>
        <w:t xml:space="preserve"> a zabezpečenie adekvátnych zdrojov pre financovanie sociálnych programov vlády bolo potrebné zamerať sa </w:t>
      </w:r>
      <w:r w:rsidR="009C06A8">
        <w:rPr>
          <w:rFonts w:ascii="Arial Narrow" w:hAnsi="Arial Narrow" w:cs="Arial Narrow"/>
          <w:sz w:val="22"/>
          <w:szCs w:val="24"/>
        </w:rPr>
        <w:t>na</w:t>
      </w:r>
      <w:r w:rsidRPr="00215294">
        <w:rPr>
          <w:rFonts w:ascii="Arial Narrow" w:hAnsi="Arial Narrow" w:cs="Arial Narrow"/>
          <w:sz w:val="22"/>
          <w:szCs w:val="24"/>
        </w:rPr>
        <w:t xml:space="preserve"> </w:t>
      </w:r>
      <w:r w:rsidR="009C06A8">
        <w:rPr>
          <w:rFonts w:ascii="Arial Narrow" w:hAnsi="Arial Narrow" w:cs="Arial Narrow"/>
          <w:sz w:val="22"/>
          <w:szCs w:val="24"/>
        </w:rPr>
        <w:t>efektívnosť</w:t>
      </w:r>
      <w:r w:rsidRPr="001433B3">
        <w:rPr>
          <w:rFonts w:ascii="Arial Narrow" w:hAnsi="Arial Narrow" w:cs="Arial Narrow"/>
          <w:sz w:val="22"/>
          <w:szCs w:val="24"/>
        </w:rPr>
        <w:t xml:space="preserve"> konkrétnych výdavkových politík </w:t>
      </w:r>
      <w:r w:rsidRPr="00215294">
        <w:rPr>
          <w:rFonts w:ascii="Arial Narrow" w:hAnsi="Arial Narrow" w:cs="Arial Narrow"/>
          <w:sz w:val="22"/>
          <w:szCs w:val="24"/>
        </w:rPr>
        <w:t>jednotlivých rezortov.</w:t>
      </w:r>
      <w:r>
        <w:rPr>
          <w:rFonts w:ascii="Arial Narrow" w:hAnsi="Arial Narrow" w:cs="Arial Narrow"/>
          <w:sz w:val="22"/>
          <w:szCs w:val="24"/>
        </w:rPr>
        <w:t xml:space="preserve"> Predmetom </w:t>
      </w:r>
      <w:r w:rsidR="009C06A8">
        <w:rPr>
          <w:rFonts w:ascii="Arial Narrow" w:hAnsi="Arial Narrow" w:cs="Arial Narrow"/>
          <w:sz w:val="22"/>
          <w:szCs w:val="24"/>
        </w:rPr>
        <w:t>zvýšenia</w:t>
      </w:r>
      <w:r w:rsidRPr="00C03EB8">
        <w:rPr>
          <w:rFonts w:ascii="Arial Narrow" w:hAnsi="Arial Narrow" w:cs="Arial Narrow"/>
          <w:b/>
          <w:sz w:val="22"/>
          <w:szCs w:val="24"/>
        </w:rPr>
        <w:t xml:space="preserve"> </w:t>
      </w:r>
      <w:r w:rsidR="00DD1124">
        <w:rPr>
          <w:rFonts w:ascii="Arial Narrow" w:hAnsi="Arial Narrow" w:cs="Arial Narrow"/>
          <w:b/>
          <w:sz w:val="22"/>
          <w:szCs w:val="24"/>
        </w:rPr>
        <w:t>efektívnost</w:t>
      </w:r>
      <w:r w:rsidRPr="009C06A8" w:rsidR="009C06A8">
        <w:rPr>
          <w:rFonts w:ascii="Arial Narrow" w:hAnsi="Arial Narrow" w:cs="Arial Narrow"/>
          <w:b/>
          <w:sz w:val="22"/>
          <w:szCs w:val="24"/>
        </w:rPr>
        <w:t>i</w:t>
      </w:r>
      <w:r w:rsidRPr="009C06A8">
        <w:rPr>
          <w:rFonts w:ascii="Arial Narrow" w:hAnsi="Arial Narrow" w:cs="Arial Narrow"/>
          <w:b/>
          <w:sz w:val="22"/>
          <w:szCs w:val="24"/>
        </w:rPr>
        <w:t xml:space="preserve"> vynakladania verejných prostriedkov</w:t>
      </w:r>
      <w:r>
        <w:rPr>
          <w:rFonts w:ascii="Arial Narrow" w:hAnsi="Arial Narrow" w:cs="Arial Narrow"/>
          <w:sz w:val="22"/>
          <w:szCs w:val="24"/>
        </w:rPr>
        <w:t xml:space="preserve"> boli najmä samotné </w:t>
      </w:r>
      <w:r w:rsidRPr="00951CC4">
        <w:rPr>
          <w:rFonts w:ascii="Arial Narrow" w:hAnsi="Arial Narrow" w:cs="Arial Narrow"/>
          <w:sz w:val="22"/>
          <w:szCs w:val="24"/>
        </w:rPr>
        <w:t>prevádzkové výdavky</w:t>
      </w:r>
      <w:r>
        <w:rPr>
          <w:rFonts w:ascii="Arial Narrow" w:hAnsi="Arial Narrow" w:cs="Arial Narrow"/>
          <w:sz w:val="22"/>
          <w:szCs w:val="24"/>
        </w:rPr>
        <w:t xml:space="preserve"> </w:t>
      </w:r>
      <w:r w:rsidRPr="00C03EB8">
        <w:rPr>
          <w:rFonts w:ascii="Arial Narrow" w:hAnsi="Arial Narrow" w:cs="Arial Narrow"/>
          <w:sz w:val="22"/>
          <w:szCs w:val="24"/>
        </w:rPr>
        <w:t>jednotlivých</w:t>
      </w:r>
      <w:r>
        <w:rPr>
          <w:rFonts w:ascii="Arial Narrow" w:hAnsi="Arial Narrow" w:cs="Arial Narrow"/>
          <w:sz w:val="22"/>
          <w:szCs w:val="24"/>
        </w:rPr>
        <w:t xml:space="preserve"> kapitol štátneho rozpočtu. </w:t>
      </w:r>
      <w:r w:rsidR="00C03EB8">
        <w:rPr>
          <w:rFonts w:ascii="Arial Narrow" w:hAnsi="Arial Narrow" w:cs="Arial Narrow"/>
          <w:sz w:val="22"/>
          <w:szCs w:val="24"/>
        </w:rPr>
        <w:t xml:space="preserve">Dôkazom racionalizačných opatrení je medziročný </w:t>
      </w:r>
      <w:r w:rsidRPr="003D06B2" w:rsidR="00C03EB8">
        <w:rPr>
          <w:rFonts w:ascii="Arial Narrow" w:hAnsi="Arial Narrow" w:cs="Arial Narrow"/>
          <w:b/>
          <w:sz w:val="22"/>
          <w:szCs w:val="24"/>
        </w:rPr>
        <w:t>pokles výdavkov na tovary a služby</w:t>
      </w:r>
      <w:r w:rsidR="00C03EB8">
        <w:rPr>
          <w:rFonts w:ascii="Arial Narrow" w:hAnsi="Arial Narrow" w:cs="Arial Narrow"/>
          <w:sz w:val="22"/>
          <w:szCs w:val="24"/>
        </w:rPr>
        <w:t xml:space="preserve"> </w:t>
      </w:r>
      <w:r w:rsidR="001B72B3">
        <w:rPr>
          <w:rFonts w:ascii="Arial Narrow" w:hAnsi="Arial Narrow" w:cs="Arial Narrow"/>
          <w:sz w:val="22"/>
          <w:szCs w:val="24"/>
        </w:rPr>
        <w:t xml:space="preserve">bez zdrojov z EÚ a spolufinancovania </w:t>
      </w:r>
      <w:r w:rsidR="00C03EB8">
        <w:rPr>
          <w:rFonts w:ascii="Arial Narrow" w:hAnsi="Arial Narrow" w:cs="Arial Narrow"/>
          <w:sz w:val="22"/>
          <w:szCs w:val="24"/>
        </w:rPr>
        <w:t xml:space="preserve">v roku 2010 oproti roku 2009 </w:t>
      </w:r>
      <w:r w:rsidRPr="00951CC4" w:rsidR="00C03EB8">
        <w:rPr>
          <w:rFonts w:ascii="Arial Narrow" w:hAnsi="Arial Narrow" w:cs="Arial Narrow"/>
          <w:sz w:val="22"/>
          <w:szCs w:val="24"/>
        </w:rPr>
        <w:t>až o 23,4 %.</w:t>
      </w:r>
      <w:r w:rsidR="00C03EB8">
        <w:rPr>
          <w:rFonts w:ascii="Arial Narrow" w:hAnsi="Arial Narrow" w:cs="Arial Narrow"/>
          <w:sz w:val="22"/>
          <w:szCs w:val="24"/>
        </w:rPr>
        <w:t xml:space="preserve"> </w:t>
      </w:r>
      <w:r w:rsidRPr="0045463B" w:rsidR="00951CC4">
        <w:rPr>
          <w:rFonts w:ascii="Arial Narrow" w:hAnsi="Arial Narrow" w:cs="Arial Narrow"/>
          <w:sz w:val="22"/>
          <w:szCs w:val="24"/>
        </w:rPr>
        <w:t xml:space="preserve">Na </w:t>
      </w:r>
      <w:r w:rsidR="00951CC4">
        <w:rPr>
          <w:rFonts w:ascii="Arial Narrow" w:hAnsi="Arial Narrow" w:cs="Arial Narrow"/>
          <w:sz w:val="22"/>
          <w:szCs w:val="24"/>
        </w:rPr>
        <w:t>zefektívnení prevádzky sa prejavilo aj zníženie počtu zamestnancov rozpočtových organizácií o</w:t>
      </w:r>
      <w:r w:rsidR="009C06A8">
        <w:rPr>
          <w:rFonts w:ascii="Arial Narrow" w:hAnsi="Arial Narrow" w:cs="Arial Narrow"/>
          <w:sz w:val="22"/>
          <w:szCs w:val="24"/>
        </w:rPr>
        <w:t> 2 33</w:t>
      </w:r>
      <w:r w:rsidR="008743FF">
        <w:rPr>
          <w:rFonts w:ascii="Arial Narrow" w:hAnsi="Arial Narrow" w:cs="Arial Narrow"/>
          <w:sz w:val="22"/>
          <w:szCs w:val="24"/>
        </w:rPr>
        <w:t>4</w:t>
      </w:r>
      <w:r w:rsidR="00951CC4">
        <w:rPr>
          <w:rFonts w:ascii="Arial Narrow" w:hAnsi="Arial Narrow" w:cs="Arial Narrow"/>
          <w:sz w:val="22"/>
          <w:szCs w:val="24"/>
        </w:rPr>
        <w:t xml:space="preserve"> osôb vrátane osobných výdavkov, ktoré súviselo </w:t>
      </w:r>
      <w:r w:rsidR="009C06A8">
        <w:rPr>
          <w:rFonts w:ascii="Arial Narrow" w:hAnsi="Arial Narrow" w:cs="Arial Narrow"/>
          <w:sz w:val="22"/>
          <w:szCs w:val="24"/>
        </w:rPr>
        <w:t xml:space="preserve">najmä </w:t>
      </w:r>
      <w:r w:rsidRPr="0045463B" w:rsidR="00951CC4">
        <w:rPr>
          <w:rFonts w:ascii="Arial Narrow" w:hAnsi="Arial Narrow" w:cs="Arial Narrow"/>
          <w:sz w:val="22"/>
          <w:szCs w:val="24"/>
        </w:rPr>
        <w:t>s neplnením limitu počtu zamestnancov rozpočtových organizáci</w:t>
      </w:r>
      <w:r w:rsidR="00951CC4">
        <w:rPr>
          <w:rFonts w:ascii="Arial Narrow" w:hAnsi="Arial Narrow" w:cs="Arial Narrow"/>
          <w:sz w:val="22"/>
          <w:szCs w:val="24"/>
        </w:rPr>
        <w:t>í</w:t>
      </w:r>
      <w:r w:rsidRPr="0045463B" w:rsidR="00951CC4">
        <w:rPr>
          <w:rFonts w:ascii="Arial Narrow" w:hAnsi="Arial Narrow" w:cs="Arial Narrow"/>
          <w:sz w:val="22"/>
          <w:szCs w:val="24"/>
        </w:rPr>
        <w:t xml:space="preserve"> </w:t>
      </w:r>
      <w:r w:rsidR="00951CC4">
        <w:rPr>
          <w:rFonts w:ascii="Arial Narrow" w:hAnsi="Arial Narrow" w:cs="Arial Narrow"/>
          <w:sz w:val="22"/>
          <w:szCs w:val="24"/>
        </w:rPr>
        <w:t xml:space="preserve">nad úroveň 3 % pri </w:t>
      </w:r>
      <w:r w:rsidRPr="0045463B" w:rsidR="00951CC4">
        <w:rPr>
          <w:rFonts w:ascii="Arial Narrow" w:hAnsi="Arial Narrow" w:cs="Arial Narrow"/>
          <w:sz w:val="22"/>
          <w:szCs w:val="24"/>
        </w:rPr>
        <w:t>súčasnom zohľadnení plnenia administratívnych kapacít a osobitostí vybraných skupín zamestnancov</w:t>
      </w:r>
      <w:r w:rsidR="009C06A8">
        <w:rPr>
          <w:rFonts w:ascii="Arial Narrow" w:hAnsi="Arial Narrow" w:cs="Arial Narrow"/>
          <w:sz w:val="22"/>
          <w:szCs w:val="24"/>
        </w:rPr>
        <w:t xml:space="preserve"> a </w:t>
      </w:r>
      <w:r w:rsidR="00171F0A">
        <w:rPr>
          <w:rFonts w:ascii="Arial Narrow" w:hAnsi="Arial Narrow" w:cs="Arial Narrow"/>
          <w:sz w:val="22"/>
          <w:szCs w:val="24"/>
        </w:rPr>
        <w:t xml:space="preserve"> </w:t>
      </w:r>
      <w:r w:rsidR="009C06A8">
        <w:rPr>
          <w:rFonts w:ascii="Arial Narrow" w:hAnsi="Arial Narrow" w:cs="Arial Narrow"/>
          <w:sz w:val="22"/>
          <w:szCs w:val="24"/>
        </w:rPr>
        <w:t xml:space="preserve">so </w:t>
      </w:r>
      <w:r w:rsidRPr="0045463B" w:rsidR="009C06A8">
        <w:rPr>
          <w:rFonts w:ascii="Arial Narrow" w:hAnsi="Arial Narrow" w:cs="Arial Narrow"/>
          <w:sz w:val="22"/>
          <w:szCs w:val="24"/>
        </w:rPr>
        <w:t xml:space="preserve">znížením počtu zamestnancov </w:t>
      </w:r>
      <w:r w:rsidR="009C06A8">
        <w:rPr>
          <w:rFonts w:ascii="Arial Narrow" w:hAnsi="Arial Narrow" w:cs="Arial Narrow"/>
          <w:sz w:val="22"/>
          <w:szCs w:val="24"/>
        </w:rPr>
        <w:t xml:space="preserve">v kapitole </w:t>
      </w:r>
      <w:r w:rsidRPr="0045463B" w:rsidR="009C06A8">
        <w:rPr>
          <w:rFonts w:ascii="Arial Narrow" w:hAnsi="Arial Narrow" w:cs="Arial Narrow"/>
          <w:sz w:val="22"/>
          <w:szCs w:val="24"/>
        </w:rPr>
        <w:t>M</w:t>
      </w:r>
      <w:r w:rsidR="009C06A8">
        <w:rPr>
          <w:rFonts w:ascii="Arial Narrow" w:hAnsi="Arial Narrow" w:cs="Arial Narrow"/>
          <w:sz w:val="22"/>
          <w:szCs w:val="24"/>
        </w:rPr>
        <w:t xml:space="preserve">inisterstva obrany </w:t>
      </w:r>
      <w:r w:rsidRPr="0045463B" w:rsidR="009C06A8">
        <w:rPr>
          <w:rFonts w:ascii="Arial Narrow" w:hAnsi="Arial Narrow" w:cs="Arial Narrow"/>
          <w:sz w:val="22"/>
          <w:szCs w:val="24"/>
        </w:rPr>
        <w:t xml:space="preserve">SR </w:t>
      </w:r>
      <w:r w:rsidR="009C06A8">
        <w:rPr>
          <w:rFonts w:ascii="Arial Narrow" w:hAnsi="Arial Narrow" w:cs="Arial Narrow"/>
          <w:sz w:val="22"/>
          <w:szCs w:val="24"/>
        </w:rPr>
        <w:t xml:space="preserve">z dôvodu reorganizácie ozbrojených síl. </w:t>
      </w:r>
      <w:r w:rsidR="00A533F4">
        <w:rPr>
          <w:rFonts w:ascii="Arial Narrow" w:hAnsi="Arial Narrow" w:cs="Arial Narrow"/>
          <w:sz w:val="22"/>
          <w:szCs w:val="24"/>
        </w:rPr>
        <w:t xml:space="preserve">Racionalizácia sa netýkala len prevádzky </w:t>
      </w:r>
      <w:r w:rsidR="001B72B3">
        <w:rPr>
          <w:rFonts w:ascii="Arial Narrow" w:hAnsi="Arial Narrow" w:cs="Arial Narrow"/>
          <w:sz w:val="22"/>
          <w:szCs w:val="24"/>
        </w:rPr>
        <w:t xml:space="preserve">samotných kapitol štátneho rozpočtu, ale aj investičných výdavkov kapitol. </w:t>
      </w:r>
      <w:r w:rsidR="00171F0A">
        <w:rPr>
          <w:rFonts w:ascii="Arial Narrow" w:hAnsi="Arial Narrow" w:cs="Arial Narrow"/>
          <w:sz w:val="22"/>
          <w:szCs w:val="24"/>
        </w:rPr>
        <w:t>Z</w:t>
      </w:r>
      <w:r w:rsidR="001B72B3">
        <w:rPr>
          <w:rFonts w:ascii="Arial Narrow" w:hAnsi="Arial Narrow" w:cs="Arial Narrow"/>
          <w:sz w:val="22"/>
          <w:szCs w:val="24"/>
        </w:rPr>
        <w:t>níženia v návrhu štátneho  rozpočtu na rok 2010 nepredstavujú podfinancovanie uvedených oblastí, nakoľko pri zapojení zdrojov z EÚ a</w:t>
      </w:r>
      <w:r w:rsidR="00951CC4">
        <w:rPr>
          <w:rFonts w:ascii="Arial Narrow" w:hAnsi="Arial Narrow" w:cs="Arial Narrow"/>
          <w:sz w:val="22"/>
          <w:szCs w:val="24"/>
        </w:rPr>
        <w:t> </w:t>
      </w:r>
      <w:r w:rsidR="001B72B3">
        <w:rPr>
          <w:rFonts w:ascii="Arial Narrow" w:hAnsi="Arial Narrow" w:cs="Arial Narrow"/>
          <w:sz w:val="22"/>
          <w:szCs w:val="24"/>
        </w:rPr>
        <w:t>spolufinancovania tak bežné</w:t>
      </w:r>
      <w:r w:rsidR="00951CC4">
        <w:rPr>
          <w:rFonts w:ascii="Arial Narrow" w:hAnsi="Arial Narrow" w:cs="Arial Narrow"/>
          <w:sz w:val="22"/>
          <w:szCs w:val="24"/>
        </w:rPr>
        <w:t>,</w:t>
      </w:r>
      <w:r w:rsidR="001B72B3">
        <w:rPr>
          <w:rFonts w:ascii="Arial Narrow" w:hAnsi="Arial Narrow" w:cs="Arial Narrow"/>
          <w:sz w:val="22"/>
          <w:szCs w:val="24"/>
        </w:rPr>
        <w:t xml:space="preserve"> ako aj kapitálové výdavky</w:t>
      </w:r>
      <w:r w:rsidR="00951CC4">
        <w:rPr>
          <w:rFonts w:ascii="Arial Narrow" w:hAnsi="Arial Narrow" w:cs="Arial Narrow"/>
          <w:sz w:val="22"/>
          <w:szCs w:val="24"/>
        </w:rPr>
        <w:t>,</w:t>
      </w:r>
      <w:r w:rsidR="001B72B3">
        <w:rPr>
          <w:rFonts w:ascii="Arial Narrow" w:hAnsi="Arial Narrow" w:cs="Arial Narrow"/>
          <w:sz w:val="22"/>
          <w:szCs w:val="24"/>
        </w:rPr>
        <w:t xml:space="preserve"> medziročne rastú</w:t>
      </w:r>
      <w:r w:rsidR="00951CC4">
        <w:rPr>
          <w:rFonts w:ascii="Arial Narrow" w:hAnsi="Arial Narrow" w:cs="Arial Narrow"/>
          <w:sz w:val="22"/>
          <w:szCs w:val="24"/>
        </w:rPr>
        <w:t xml:space="preserve"> a vytvárajú sa </w:t>
      </w:r>
      <w:r w:rsidRPr="003D06B2" w:rsidR="00951CC4">
        <w:rPr>
          <w:rFonts w:ascii="Arial Narrow" w:hAnsi="Arial Narrow" w:cs="Arial Narrow"/>
          <w:b/>
          <w:sz w:val="22"/>
          <w:szCs w:val="24"/>
        </w:rPr>
        <w:t xml:space="preserve">podmienky na </w:t>
      </w:r>
      <w:r w:rsidR="009C06A8">
        <w:rPr>
          <w:rFonts w:ascii="Arial Narrow" w:hAnsi="Arial Narrow" w:cs="Arial Narrow"/>
          <w:b/>
          <w:sz w:val="22"/>
          <w:szCs w:val="24"/>
        </w:rPr>
        <w:t>zvýšené</w:t>
      </w:r>
      <w:r w:rsidRPr="003D06B2" w:rsidR="00951CC4">
        <w:rPr>
          <w:rFonts w:ascii="Arial Narrow" w:hAnsi="Arial Narrow" w:cs="Arial Narrow"/>
          <w:b/>
          <w:sz w:val="22"/>
          <w:szCs w:val="24"/>
        </w:rPr>
        <w:t xml:space="preserve"> čerpanie zdrojov EÚ</w:t>
      </w:r>
      <w:r w:rsidR="00951CC4">
        <w:rPr>
          <w:rFonts w:ascii="Arial Narrow" w:hAnsi="Arial Narrow" w:cs="Arial Narrow"/>
          <w:sz w:val="22"/>
          <w:szCs w:val="24"/>
        </w:rPr>
        <w:t>.</w:t>
      </w:r>
      <w:r w:rsidR="001B72B3">
        <w:rPr>
          <w:rFonts w:ascii="Arial Narrow" w:hAnsi="Arial Narrow" w:cs="Arial Narrow"/>
          <w:sz w:val="22"/>
          <w:szCs w:val="24"/>
        </w:rPr>
        <w:t xml:space="preserve"> </w:t>
      </w:r>
    </w:p>
    <w:p w:rsidR="003D06B2" w:rsidP="001433B3">
      <w:pPr>
        <w:keepNext/>
        <w:keepLines/>
        <w:widowControl w:val="0"/>
        <w:spacing w:before="120"/>
        <w:ind w:firstLine="709"/>
        <w:jc w:val="both"/>
        <w:rPr>
          <w:rFonts w:ascii="Arial Narrow" w:hAnsi="Arial Narrow" w:cs="Arial Narrow"/>
          <w:sz w:val="22"/>
          <w:szCs w:val="24"/>
        </w:rPr>
      </w:pPr>
      <w:r w:rsidR="0041370A">
        <w:rPr>
          <w:rFonts w:ascii="Arial Narrow" w:hAnsi="Arial Narrow" w:cs="Arial Narrow"/>
          <w:sz w:val="22"/>
          <w:szCs w:val="24"/>
        </w:rPr>
        <w:t>V roku 2010 sa vo výdavkoch štátneho rozpočtu rozpočtuje 95 % transferu na vykrytie výpadku príjmov Sociálnej poisťovne z titulu zavedenia druhého piliera dôchodkového zabezpečenia a od roku 2011 v plnej výške potrieb Sociálnej poisťovne.</w:t>
      </w:r>
    </w:p>
    <w:p w:rsidR="001433B3" w:rsidRPr="00E32587" w:rsidP="001433B3">
      <w:pPr>
        <w:keepNext/>
        <w:keepLines/>
        <w:widowControl w:val="0"/>
        <w:spacing w:before="120"/>
        <w:ind w:firstLine="709"/>
        <w:jc w:val="both"/>
        <w:rPr>
          <w:rFonts w:ascii="Arial Narrow" w:hAnsi="Arial Narrow" w:cs="Arial Narrow"/>
          <w:sz w:val="22"/>
          <w:szCs w:val="24"/>
        </w:rPr>
      </w:pPr>
      <w:r>
        <w:rPr>
          <w:rFonts w:ascii="Arial Narrow" w:hAnsi="Arial Narrow" w:cs="Arial Narrow"/>
          <w:sz w:val="22"/>
          <w:szCs w:val="24"/>
        </w:rPr>
        <w:t xml:space="preserve">V návrhu rozpočtu  verejnej správy na roky 2010 až 2012 </w:t>
      </w:r>
      <w:r w:rsidRPr="00E32587">
        <w:rPr>
          <w:rFonts w:ascii="Arial Narrow" w:hAnsi="Arial Narrow" w:cs="Arial Narrow"/>
          <w:sz w:val="22"/>
          <w:szCs w:val="24"/>
        </w:rPr>
        <w:t xml:space="preserve">sa </w:t>
      </w:r>
      <w:r w:rsidRPr="00E32587">
        <w:rPr>
          <w:rFonts w:ascii="Arial Narrow" w:hAnsi="Arial Narrow" w:cs="Arial Narrow"/>
          <w:b/>
          <w:sz w:val="22"/>
          <w:szCs w:val="24"/>
        </w:rPr>
        <w:t>nepredpoklad</w:t>
      </w:r>
      <w:r>
        <w:rPr>
          <w:rFonts w:ascii="Arial Narrow" w:hAnsi="Arial Narrow" w:cs="Arial Narrow"/>
          <w:b/>
          <w:sz w:val="22"/>
          <w:szCs w:val="24"/>
        </w:rPr>
        <w:t>á</w:t>
      </w:r>
      <w:r w:rsidRPr="00E32587">
        <w:rPr>
          <w:rFonts w:ascii="Arial Narrow" w:hAnsi="Arial Narrow" w:cs="Arial Narrow"/>
          <w:sz w:val="22"/>
          <w:szCs w:val="24"/>
        </w:rPr>
        <w:t xml:space="preserve"> </w:t>
      </w:r>
      <w:r>
        <w:rPr>
          <w:rFonts w:ascii="Arial Narrow" w:hAnsi="Arial Narrow" w:cs="Arial Narrow"/>
          <w:b/>
          <w:sz w:val="22"/>
          <w:szCs w:val="24"/>
        </w:rPr>
        <w:t xml:space="preserve">žiadna </w:t>
      </w:r>
      <w:r w:rsidRPr="00E32587">
        <w:rPr>
          <w:rFonts w:ascii="Arial Narrow" w:hAnsi="Arial Narrow" w:cs="Arial Narrow"/>
          <w:b/>
          <w:sz w:val="22"/>
          <w:szCs w:val="24"/>
        </w:rPr>
        <w:t>privatizáci</w:t>
      </w:r>
      <w:r>
        <w:rPr>
          <w:rFonts w:ascii="Arial Narrow" w:hAnsi="Arial Narrow" w:cs="Arial Narrow"/>
          <w:b/>
          <w:sz w:val="22"/>
          <w:szCs w:val="24"/>
        </w:rPr>
        <w:t>a.</w:t>
      </w:r>
    </w:p>
    <w:p w:rsidR="006F0ED8" w:rsidP="00FE58F4">
      <w:pPr>
        <w:keepNext/>
        <w:keepLines/>
        <w:widowControl w:val="0"/>
        <w:spacing w:before="120"/>
        <w:ind w:firstLine="709"/>
        <w:jc w:val="both"/>
        <w:rPr>
          <w:rFonts w:ascii="Arial Narrow" w:hAnsi="Arial Narrow" w:cs="Arial Narrow"/>
          <w:sz w:val="22"/>
          <w:szCs w:val="24"/>
        </w:rPr>
      </w:pPr>
    </w:p>
    <w:p w:rsidR="00C52ECF" w:rsidRPr="00860164" w:rsidP="00860164">
      <w:pPr>
        <w:pStyle w:val="Heading1"/>
        <w:rPr>
          <w:rFonts w:ascii="Arial Narrow" w:hAnsi="Arial Narrow" w:cs="Arial Narrow"/>
          <w:sz w:val="28"/>
          <w:szCs w:val="24"/>
        </w:rPr>
      </w:pPr>
      <w:r w:rsidRPr="00860164" w:rsidR="00FE58F4">
        <w:rPr>
          <w:rFonts w:ascii="Arial Narrow" w:hAnsi="Arial Narrow" w:cs="Arial Narrow"/>
          <w:sz w:val="28"/>
          <w:szCs w:val="24"/>
        </w:rPr>
        <w:br w:type="page"/>
      </w:r>
      <w:bookmarkStart w:id="7" w:name="_Toc241846634"/>
      <w:r w:rsidRPr="00860164">
        <w:rPr>
          <w:rFonts w:ascii="Arial Narrow" w:hAnsi="Arial Narrow" w:cs="Arial Narrow"/>
          <w:sz w:val="28"/>
          <w:szCs w:val="24"/>
        </w:rPr>
        <w:t>1. V</w:t>
      </w:r>
      <w:bookmarkEnd w:id="0"/>
      <w:r w:rsidRPr="00860164">
        <w:rPr>
          <w:rFonts w:ascii="Arial Narrow" w:hAnsi="Arial Narrow" w:cs="Arial Narrow"/>
          <w:sz w:val="28"/>
          <w:szCs w:val="24"/>
        </w:rPr>
        <w:t>ývoj makroekonomického prostredia</w:t>
      </w:r>
      <w:bookmarkEnd w:id="1"/>
      <w:bookmarkEnd w:id="2"/>
      <w:bookmarkEnd w:id="3"/>
      <w:bookmarkEnd w:id="7"/>
      <w:r w:rsidRPr="00860164">
        <w:rPr>
          <w:rFonts w:ascii="Arial Narrow" w:hAnsi="Arial Narrow" w:cs="Arial Narrow"/>
          <w:sz w:val="28"/>
          <w:szCs w:val="24"/>
        </w:rPr>
        <w:t xml:space="preserve"> </w:t>
      </w:r>
    </w:p>
    <w:p w:rsidR="00C52ECF" w:rsidRPr="0087062F" w:rsidP="00C52ECF">
      <w:pPr>
        <w:pStyle w:val="Heading2"/>
        <w:rPr>
          <w:rFonts w:ascii="Arial Narrow" w:hAnsi="Arial Narrow" w:cs="Arial Narrow"/>
          <w:i w:val="0"/>
          <w:sz w:val="24"/>
          <w:szCs w:val="24"/>
        </w:rPr>
      </w:pPr>
      <w:bookmarkStart w:id="8" w:name="_Toc97700651"/>
      <w:bookmarkStart w:id="9" w:name="_Toc148255236"/>
      <w:bookmarkStart w:id="10" w:name="_Toc241846635"/>
      <w:r w:rsidRPr="0087062F">
        <w:rPr>
          <w:rFonts w:ascii="Arial Narrow" w:hAnsi="Arial Narrow" w:cs="Arial Narrow"/>
          <w:i w:val="0"/>
          <w:sz w:val="24"/>
          <w:szCs w:val="24"/>
        </w:rPr>
        <w:t xml:space="preserve">1.1 Charakteristika vývoja ekonomiky v roku </w:t>
      </w:r>
      <w:r w:rsidRPr="00BD1713">
        <w:rPr>
          <w:rFonts w:ascii="Arial Narrow" w:hAnsi="Arial Narrow" w:cs="Arial Narrow"/>
          <w:i w:val="0"/>
          <w:sz w:val="24"/>
          <w:szCs w:val="24"/>
        </w:rPr>
        <w:t>200</w:t>
      </w:r>
      <w:bookmarkEnd w:id="8"/>
      <w:bookmarkEnd w:id="9"/>
      <w:r>
        <w:rPr>
          <w:rFonts w:ascii="Arial Narrow" w:hAnsi="Arial Narrow" w:cs="Arial Narrow"/>
          <w:i w:val="0"/>
          <w:sz w:val="24"/>
          <w:szCs w:val="24"/>
        </w:rPr>
        <w:t>9</w:t>
      </w:r>
      <w:bookmarkEnd w:id="10"/>
      <w:r>
        <w:rPr>
          <w:rFonts w:ascii="Arial Narrow" w:hAnsi="Arial Narrow" w:cs="Arial Narrow"/>
          <w:i w:val="0"/>
          <w:sz w:val="24"/>
          <w:szCs w:val="24"/>
        </w:rPr>
        <w:t xml:space="preserve"> </w:t>
      </w:r>
    </w:p>
    <w:p w:rsidR="00C52ECF" w:rsidP="00C52ECF">
      <w:pPr>
        <w:ind w:firstLine="680"/>
        <w:jc w:val="both"/>
        <w:rPr>
          <w:rFonts w:ascii="Arial Narrow" w:hAnsi="Arial Narrow" w:cs="Arial Narrow"/>
          <w:sz w:val="22"/>
          <w:szCs w:val="24"/>
        </w:rPr>
      </w:pPr>
    </w:p>
    <w:p w:rsidR="00C52ECF" w:rsidP="00C52ECF">
      <w:pPr>
        <w:ind w:firstLine="680"/>
        <w:jc w:val="both"/>
        <w:rPr>
          <w:rFonts w:ascii="Arial Narrow" w:hAnsi="Arial Narrow" w:cs="Arial Narrow"/>
          <w:sz w:val="22"/>
          <w:szCs w:val="24"/>
        </w:rPr>
      </w:pPr>
      <w:bookmarkStart w:id="11" w:name="_Toc97700652"/>
      <w:bookmarkStart w:id="12" w:name="_Toc148255237"/>
      <w:r w:rsidRPr="0025332E">
        <w:rPr>
          <w:rFonts w:ascii="Arial Narrow" w:hAnsi="Arial Narrow" w:cs="Arial Narrow"/>
          <w:sz w:val="22"/>
          <w:szCs w:val="24"/>
        </w:rPr>
        <w:t xml:space="preserve">Výkonnosť ekonomiky SR </w:t>
      </w:r>
      <w:r>
        <w:rPr>
          <w:rFonts w:ascii="Arial Narrow" w:hAnsi="Arial Narrow" w:cs="Arial Narrow"/>
          <w:sz w:val="22"/>
          <w:szCs w:val="24"/>
        </w:rPr>
        <w:t xml:space="preserve">sa </w:t>
      </w:r>
      <w:r w:rsidRPr="0025332E">
        <w:rPr>
          <w:rFonts w:ascii="Arial Narrow" w:hAnsi="Arial Narrow" w:cs="Arial Narrow"/>
          <w:sz w:val="22"/>
          <w:szCs w:val="24"/>
        </w:rPr>
        <w:t>v</w:t>
      </w:r>
      <w:r>
        <w:rPr>
          <w:rFonts w:ascii="Arial Narrow" w:hAnsi="Arial Narrow" w:cs="Arial Narrow"/>
          <w:sz w:val="22"/>
          <w:szCs w:val="24"/>
        </w:rPr>
        <w:t xml:space="preserve"> roku 2009 výrazne spomalí v dôsledku kulminácie globálnej krízy. Hospodárska kríza priniesla  značné oslabenie zahraničného dopytu, ktorý spôsobuje klesajúcu dynamiku slovenského exportu, produkcie, trhu práce a celkového domáceho dopytu. </w:t>
      </w:r>
    </w:p>
    <w:p w:rsidR="00C52ECF" w:rsidRPr="006345F1" w:rsidP="00C52ECF">
      <w:pPr>
        <w:ind w:firstLine="680"/>
        <w:jc w:val="both"/>
        <w:rPr>
          <w:rFonts w:ascii="Arial Narrow" w:hAnsi="Arial Narrow" w:cs="Arial Narrow"/>
          <w:sz w:val="22"/>
          <w:szCs w:val="24"/>
        </w:rPr>
      </w:pPr>
    </w:p>
    <w:p w:rsidR="00C52ECF" w:rsidP="00C52ECF">
      <w:pPr>
        <w:ind w:firstLine="680"/>
        <w:jc w:val="both"/>
        <w:rPr>
          <w:rFonts w:ascii="Arial Narrow" w:hAnsi="Arial Narrow" w:cs="Arial Narrow"/>
          <w:sz w:val="22"/>
          <w:szCs w:val="24"/>
        </w:rPr>
      </w:pPr>
      <w:r w:rsidRPr="002A4A3A">
        <w:rPr>
          <w:rFonts w:ascii="Arial Narrow" w:hAnsi="Arial Narrow" w:cs="Arial Narrow"/>
          <w:sz w:val="22"/>
          <w:szCs w:val="24"/>
        </w:rPr>
        <w:t>Podľa aktuálnych predikcií</w:t>
      </w:r>
      <w:r>
        <w:rPr>
          <w:rFonts w:ascii="Arial Narrow" w:hAnsi="Arial Narrow" w:cs="Arial Narrow"/>
          <w:sz w:val="22"/>
          <w:szCs w:val="24"/>
        </w:rPr>
        <w:t xml:space="preserve"> by v roku 2009 mala ekonomika v SR reálne klesnúť o 5,7</w:t>
      </w:r>
      <w:r w:rsidR="003360A5">
        <w:rPr>
          <w:rFonts w:ascii="Arial Narrow" w:hAnsi="Arial Narrow" w:cs="Arial Narrow"/>
          <w:sz w:val="22"/>
          <w:szCs w:val="24"/>
        </w:rPr>
        <w:t xml:space="preserve"> </w:t>
      </w:r>
      <w:r>
        <w:rPr>
          <w:rFonts w:ascii="Arial Narrow" w:hAnsi="Arial Narrow" w:cs="Arial Narrow"/>
          <w:sz w:val="22"/>
          <w:szCs w:val="24"/>
        </w:rPr>
        <w:t>%</w:t>
      </w:r>
      <w:r w:rsidRPr="0025332E">
        <w:rPr>
          <w:rFonts w:ascii="Arial Narrow" w:hAnsi="Arial Narrow" w:cs="Arial Narrow"/>
          <w:sz w:val="22"/>
          <w:szCs w:val="24"/>
        </w:rPr>
        <w:t xml:space="preserve"> (z </w:t>
      </w:r>
      <w:r>
        <w:rPr>
          <w:rFonts w:ascii="Arial Narrow" w:hAnsi="Arial Narrow" w:cs="Arial Narrow"/>
          <w:sz w:val="22"/>
          <w:szCs w:val="24"/>
        </w:rPr>
        <w:t>rastu 6,4</w:t>
      </w:r>
      <w:r w:rsidR="003360A5">
        <w:rPr>
          <w:rFonts w:ascii="Arial Narrow" w:hAnsi="Arial Narrow" w:cs="Arial Narrow"/>
          <w:sz w:val="22"/>
          <w:szCs w:val="24"/>
        </w:rPr>
        <w:t xml:space="preserve"> </w:t>
      </w:r>
      <w:r>
        <w:rPr>
          <w:rFonts w:ascii="Arial Narrow" w:hAnsi="Arial Narrow" w:cs="Arial Narrow"/>
          <w:sz w:val="22"/>
          <w:szCs w:val="24"/>
        </w:rPr>
        <w:t>% v roku 2008).</w:t>
      </w:r>
      <w:r w:rsidRPr="0025332E">
        <w:rPr>
          <w:rFonts w:ascii="Arial Narrow" w:hAnsi="Arial Narrow" w:cs="Arial Narrow"/>
          <w:sz w:val="22"/>
          <w:szCs w:val="24"/>
        </w:rPr>
        <w:t xml:space="preserve"> </w:t>
      </w:r>
      <w:r w:rsidRPr="006E18D5">
        <w:rPr>
          <w:rFonts w:ascii="Arial Narrow" w:hAnsi="Arial Narrow" w:cs="Arial Narrow"/>
          <w:sz w:val="22"/>
          <w:szCs w:val="24"/>
        </w:rPr>
        <w:t>Príčinou nižšieho rastu HDP na Slovensku je spomalenie rastu u našich obchodných partnerov, čo má za následok zníženie dopytu po slovenských vývozoch</w:t>
      </w:r>
      <w:r>
        <w:rPr>
          <w:rFonts w:ascii="Arial Narrow" w:hAnsi="Arial Narrow" w:cs="Arial Narrow"/>
          <w:sz w:val="22"/>
          <w:szCs w:val="24"/>
        </w:rPr>
        <w:t xml:space="preserve">. </w:t>
      </w:r>
      <w:r w:rsidRPr="0018345F">
        <w:rPr>
          <w:rFonts w:ascii="Arial Narrow" w:hAnsi="Arial Narrow" w:cs="Arial Narrow"/>
          <w:sz w:val="22"/>
          <w:szCs w:val="24"/>
        </w:rPr>
        <w:t>Očakávaná vyššia strata odbytu pre slovenských exportérov sa prejaví vo vyššej miere nevyužitých výrobných kapacít, čo spolu s nižšou dostupnosťou úverov pre podniky spôsobí </w:t>
      </w:r>
      <w:r>
        <w:rPr>
          <w:rFonts w:ascii="Arial Narrow" w:hAnsi="Arial Narrow" w:cs="Arial Narrow"/>
          <w:sz w:val="22"/>
          <w:szCs w:val="24"/>
        </w:rPr>
        <w:t xml:space="preserve">výrazný </w:t>
      </w:r>
      <w:r w:rsidRPr="0018345F">
        <w:rPr>
          <w:rFonts w:ascii="Arial Narrow" w:hAnsi="Arial Narrow" w:cs="Arial Narrow"/>
          <w:sz w:val="22"/>
          <w:szCs w:val="24"/>
        </w:rPr>
        <w:t xml:space="preserve">pokles </w:t>
      </w:r>
      <w:r w:rsidRPr="0062217B">
        <w:rPr>
          <w:rFonts w:ascii="Arial Narrow" w:hAnsi="Arial Narrow" w:cs="Arial Narrow"/>
          <w:sz w:val="22"/>
          <w:szCs w:val="24"/>
        </w:rPr>
        <w:t xml:space="preserve">investícií. Pokles zamestnanosti a dopytu po pracovnej sile sa prejaví v znížení tlakov na rast miezd, </w:t>
      </w:r>
      <w:r>
        <w:rPr>
          <w:rFonts w:ascii="Arial Narrow" w:hAnsi="Arial Narrow" w:cs="Arial Narrow"/>
          <w:sz w:val="22"/>
          <w:szCs w:val="24"/>
        </w:rPr>
        <w:t>pričom</w:t>
      </w:r>
      <w:r w:rsidRPr="0062217B">
        <w:rPr>
          <w:rFonts w:ascii="Arial Narrow" w:hAnsi="Arial Narrow" w:cs="Arial Narrow"/>
          <w:sz w:val="22"/>
          <w:szCs w:val="24"/>
        </w:rPr>
        <w:t> oba tieto faktory ovplyvnia spotrebu domácností. Pokles exportov je do istej miery kompenzovaný znížením</w:t>
      </w:r>
      <w:r w:rsidRPr="0018345F">
        <w:rPr>
          <w:rFonts w:ascii="Arial Narrow" w:hAnsi="Arial Narrow" w:cs="Arial Narrow"/>
          <w:sz w:val="22"/>
          <w:szCs w:val="24"/>
        </w:rPr>
        <w:t xml:space="preserve"> importu vzhľadom na vysokú dovoznú náročnosť vývozu ekonomiky SR a pokles domáceho dopytu.</w:t>
      </w:r>
      <w:r>
        <w:rPr>
          <w:rFonts w:ascii="Arial Narrow" w:hAnsi="Arial Narrow" w:cs="Arial Narrow"/>
          <w:sz w:val="22"/>
          <w:szCs w:val="24"/>
        </w:rPr>
        <w:t xml:space="preserve"> </w:t>
      </w:r>
      <w:r w:rsidRPr="0025332E">
        <w:rPr>
          <w:rFonts w:ascii="Arial Narrow" w:hAnsi="Arial Narrow" w:cs="Arial Narrow"/>
          <w:sz w:val="22"/>
          <w:szCs w:val="24"/>
        </w:rPr>
        <w:t xml:space="preserve">V dôsledku oslabenia zahraničného aj domáceho dopytu </w:t>
      </w:r>
      <w:r>
        <w:rPr>
          <w:rFonts w:ascii="Arial Narrow" w:hAnsi="Arial Narrow" w:cs="Arial Narrow"/>
          <w:sz w:val="22"/>
          <w:szCs w:val="24"/>
        </w:rPr>
        <w:t xml:space="preserve">sa v roku 2009 spomalí aj dynamika rastu cien. </w:t>
      </w:r>
      <w:r w:rsidRPr="0018345F">
        <w:rPr>
          <w:rFonts w:ascii="Arial Narrow" w:hAnsi="Arial Narrow" w:cs="Arial Narrow"/>
          <w:sz w:val="22"/>
          <w:szCs w:val="24"/>
        </w:rPr>
        <w:t>Nezamestnanosť, ako aj saldo bežného účtu platobnej bilancie sa vplyvom vonkajšieho prostredia zhoršia v celom horizonte prognózy, pričom dno dosiahnu v roku 2010</w:t>
      </w:r>
      <w:r w:rsidRPr="006561AB">
        <w:rPr>
          <w:rFonts w:ascii="Arial Narrow" w:hAnsi="Arial Narrow" w:cs="Arial Narrow"/>
          <w:sz w:val="20"/>
          <w:szCs w:val="24"/>
        </w:rPr>
        <w:t xml:space="preserve"> </w:t>
      </w:r>
      <w:r w:rsidRPr="006561AB">
        <w:rPr>
          <w:rFonts w:ascii="Arial Narrow" w:hAnsi="Arial Narrow" w:cs="Arial Narrow"/>
          <w:sz w:val="22"/>
          <w:szCs w:val="24"/>
        </w:rPr>
        <w:t>a v ďalších rokoch sa budú zlepšovať</w:t>
      </w:r>
      <w:r w:rsidRPr="0018345F">
        <w:rPr>
          <w:rFonts w:ascii="Arial Narrow" w:hAnsi="Arial Narrow" w:cs="Arial Narrow"/>
          <w:sz w:val="22"/>
          <w:szCs w:val="24"/>
        </w:rPr>
        <w:t>.</w:t>
      </w:r>
      <w:r>
        <w:rPr>
          <w:rFonts w:ascii="Arial Narrow" w:hAnsi="Arial Narrow" w:cs="Arial Narrow"/>
          <w:sz w:val="22"/>
          <w:szCs w:val="24"/>
        </w:rPr>
        <w:t xml:space="preserve"> </w:t>
      </w:r>
      <w:r w:rsidRPr="0018345F">
        <w:rPr>
          <w:rFonts w:ascii="Arial Narrow" w:hAnsi="Arial Narrow" w:cs="Arial Narrow"/>
          <w:sz w:val="22"/>
          <w:szCs w:val="24"/>
        </w:rPr>
        <w:t>Pokiaľ ide o cyklický vývoj, ekonomika sa bude počas celého prognózovaného obdobia nachádzať pod svojím potenciálom.</w:t>
      </w:r>
    </w:p>
    <w:p w:rsidR="00C52ECF" w:rsidRPr="0025332E" w:rsidP="00C52ECF">
      <w:pPr>
        <w:jc w:val="both"/>
        <w:rPr>
          <w:rFonts w:ascii="Arial Narrow" w:hAnsi="Arial Narrow" w:cs="Arial Narrow"/>
          <w:sz w:val="22"/>
          <w:szCs w:val="24"/>
        </w:rPr>
      </w:pPr>
    </w:p>
    <w:p w:rsidR="00C52ECF" w:rsidRPr="0025332E" w:rsidP="00C52ECF">
      <w:pPr>
        <w:ind w:firstLine="680"/>
        <w:jc w:val="both"/>
        <w:rPr>
          <w:rFonts w:ascii="Arial Narrow" w:hAnsi="Arial Narrow" w:cs="Arial Narrow"/>
          <w:sz w:val="22"/>
          <w:szCs w:val="24"/>
        </w:rPr>
      </w:pPr>
      <w:r w:rsidRPr="0025332E">
        <w:rPr>
          <w:rFonts w:ascii="Arial Narrow" w:hAnsi="Arial Narrow" w:cs="Arial Narrow"/>
          <w:sz w:val="22"/>
          <w:szCs w:val="24"/>
        </w:rPr>
        <w:t xml:space="preserve">Oproti minuloročnému rámcu sa v dôsledku poklesu zahraničného dopytu znížil export, produkcia aj investície, a následne zamestnanosť, mzdy aj spotreba. </w:t>
      </w:r>
      <w:r>
        <w:rPr>
          <w:rFonts w:ascii="Arial Narrow" w:hAnsi="Arial Narrow" w:cs="Arial Narrow"/>
          <w:sz w:val="22"/>
          <w:szCs w:val="24"/>
        </w:rPr>
        <w:t>P</w:t>
      </w:r>
      <w:r w:rsidRPr="0025332E">
        <w:rPr>
          <w:rFonts w:ascii="Arial Narrow" w:hAnsi="Arial Narrow" w:cs="Arial Narrow"/>
          <w:sz w:val="22"/>
          <w:szCs w:val="24"/>
        </w:rPr>
        <w:t xml:space="preserve">rognózy </w:t>
      </w:r>
      <w:r>
        <w:rPr>
          <w:rFonts w:ascii="Arial Narrow" w:hAnsi="Arial Narrow" w:cs="Arial Narrow"/>
          <w:sz w:val="22"/>
          <w:szCs w:val="24"/>
        </w:rPr>
        <w:t xml:space="preserve">poklesu </w:t>
      </w:r>
      <w:r w:rsidRPr="0025332E">
        <w:rPr>
          <w:rFonts w:ascii="Arial Narrow" w:hAnsi="Arial Narrow" w:cs="Arial Narrow"/>
          <w:sz w:val="22"/>
          <w:szCs w:val="24"/>
        </w:rPr>
        <w:t>tvorby hrubého fixného kapitálu, ktorý je motorom ďalšieho rastu ekonomiky, odrá</w:t>
      </w:r>
      <w:r>
        <w:rPr>
          <w:rFonts w:ascii="Arial Narrow" w:hAnsi="Arial Narrow" w:cs="Arial Narrow"/>
          <w:sz w:val="22"/>
          <w:szCs w:val="24"/>
        </w:rPr>
        <w:t>žajú obavy investorov v neistých podmienkach</w:t>
      </w:r>
      <w:r w:rsidRPr="0025332E">
        <w:rPr>
          <w:rFonts w:ascii="Arial Narrow" w:hAnsi="Arial Narrow" w:cs="Arial Narrow"/>
          <w:sz w:val="22"/>
          <w:szCs w:val="24"/>
        </w:rPr>
        <w:t xml:space="preserve"> globálnej krízy. Na druhej strane, </w:t>
      </w:r>
      <w:r>
        <w:rPr>
          <w:rFonts w:ascii="Arial Narrow" w:hAnsi="Arial Narrow" w:cs="Arial Narrow"/>
          <w:sz w:val="22"/>
          <w:szCs w:val="24"/>
        </w:rPr>
        <w:t xml:space="preserve">zhoršenie </w:t>
      </w:r>
      <w:r w:rsidRPr="0025332E">
        <w:rPr>
          <w:rFonts w:ascii="Arial Narrow" w:hAnsi="Arial Narrow" w:cs="Arial Narrow"/>
          <w:sz w:val="22"/>
          <w:szCs w:val="24"/>
        </w:rPr>
        <w:t xml:space="preserve">prognózy </w:t>
      </w:r>
      <w:r>
        <w:rPr>
          <w:rFonts w:ascii="Arial Narrow" w:hAnsi="Arial Narrow" w:cs="Arial Narrow"/>
          <w:sz w:val="22"/>
          <w:szCs w:val="24"/>
        </w:rPr>
        <w:t xml:space="preserve">vývoja </w:t>
      </w:r>
      <w:r w:rsidRPr="0025332E">
        <w:rPr>
          <w:rFonts w:ascii="Arial Narrow" w:hAnsi="Arial Narrow" w:cs="Arial Narrow"/>
          <w:sz w:val="22"/>
          <w:szCs w:val="24"/>
        </w:rPr>
        <w:t xml:space="preserve">agregovaného dopytu (pokles zahraničného a nižšie tempo domáceho) súčasne stlačilo </w:t>
      </w:r>
      <w:r>
        <w:rPr>
          <w:rFonts w:ascii="Arial Narrow" w:hAnsi="Arial Narrow" w:cs="Arial Narrow"/>
          <w:sz w:val="22"/>
          <w:szCs w:val="24"/>
        </w:rPr>
        <w:t xml:space="preserve">výrazne </w:t>
      </w:r>
      <w:r w:rsidRPr="0025332E">
        <w:rPr>
          <w:rFonts w:ascii="Arial Narrow" w:hAnsi="Arial Narrow" w:cs="Arial Narrow"/>
          <w:sz w:val="22"/>
          <w:szCs w:val="24"/>
        </w:rPr>
        <w:t xml:space="preserve">nadol aj prognózované hodnoty importu. Primárnou príčinou týchto posunov smerom nadol je markantné zhoršenie globálnej ekonomiky oproti pôvodným predpokladom. Zmena prognózy SR v zahraničnom obchode je najvýraznejšia, v roku 2009 totiž export aj import oproti roku 2008 reálne poklesne. Tento fakt spôsobil zníženie </w:t>
      </w:r>
      <w:r w:rsidRPr="00E17852">
        <w:rPr>
          <w:rFonts w:ascii="Arial Narrow" w:hAnsi="Arial Narrow" w:cs="Arial Narrow"/>
          <w:sz w:val="22"/>
          <w:szCs w:val="24"/>
        </w:rPr>
        <w:t>príspevku čistého zahraničného dopytu k HDP a následne aj zhoršenie bežné</w:t>
      </w:r>
      <w:r w:rsidR="003E6D94">
        <w:rPr>
          <w:rFonts w:ascii="Arial Narrow" w:hAnsi="Arial Narrow" w:cs="Arial Narrow"/>
          <w:sz w:val="22"/>
          <w:szCs w:val="24"/>
        </w:rPr>
        <w:t>ho</w:t>
      </w:r>
      <w:r w:rsidRPr="00E17852">
        <w:rPr>
          <w:rFonts w:ascii="Arial Narrow" w:hAnsi="Arial Narrow" w:cs="Arial Narrow"/>
          <w:sz w:val="22"/>
          <w:szCs w:val="24"/>
        </w:rPr>
        <w:t xml:space="preserve"> účtu platobnej bilancie oproti rozpočtu. Pozitívnym faktom je, že </w:t>
      </w:r>
      <w:r>
        <w:rPr>
          <w:rFonts w:ascii="Arial Narrow" w:hAnsi="Arial Narrow" w:cs="Arial Narrow"/>
          <w:sz w:val="22"/>
          <w:szCs w:val="24"/>
        </w:rPr>
        <w:t>v súvislosti s oslabením dopytu a</w:t>
      </w:r>
      <w:r w:rsidRPr="00E17852">
        <w:rPr>
          <w:rFonts w:ascii="Arial Narrow" w:hAnsi="Arial Narrow" w:cs="Arial Narrow"/>
          <w:sz w:val="22"/>
          <w:szCs w:val="24"/>
        </w:rPr>
        <w:t xml:space="preserve"> poklesom svetových cien komodít</w:t>
      </w:r>
      <w:r>
        <w:rPr>
          <w:rFonts w:ascii="Arial Narrow" w:hAnsi="Arial Narrow" w:cs="Arial Narrow"/>
          <w:sz w:val="22"/>
          <w:szCs w:val="24"/>
        </w:rPr>
        <w:t>,</w:t>
      </w:r>
      <w:r w:rsidRPr="00E17852">
        <w:rPr>
          <w:rFonts w:ascii="Arial Narrow" w:hAnsi="Arial Narrow" w:cs="Arial Narrow"/>
          <w:sz w:val="22"/>
          <w:szCs w:val="24"/>
        </w:rPr>
        <w:t xml:space="preserve"> došlo oproti pôvodným očakávaniam k zníženiu odhadov miery inflácie oproti predpokladom rozpočtu na rok 2009.</w:t>
      </w:r>
    </w:p>
    <w:p w:rsidR="00C52ECF" w:rsidP="00C52ECF">
      <w:pPr>
        <w:ind w:firstLine="680"/>
        <w:jc w:val="both"/>
        <w:rPr>
          <w:rFonts w:ascii="Arial Narrow" w:hAnsi="Arial Narrow" w:cs="Arial Narrow"/>
          <w:sz w:val="22"/>
          <w:szCs w:val="24"/>
        </w:rPr>
      </w:pPr>
    </w:p>
    <w:p w:rsidR="00C52ECF" w:rsidP="00C52ECF">
      <w:pPr>
        <w:ind w:firstLine="680"/>
        <w:jc w:val="both"/>
        <w:rPr>
          <w:rFonts w:ascii="Arial Narrow" w:hAnsi="Arial Narrow" w:cs="Arial Narrow"/>
          <w:sz w:val="22"/>
          <w:szCs w:val="24"/>
        </w:rPr>
      </w:pPr>
    </w:p>
    <w:tbl>
      <w:tblPr>
        <w:tblStyle w:val="TableNormal"/>
        <w:tblW w:w="7183" w:type="dxa"/>
        <w:jc w:val="center"/>
        <w:tblInd w:w="0" w:type="dxa"/>
        <w:tblCellMar>
          <w:left w:w="70" w:type="dxa"/>
          <w:right w:w="70" w:type="dxa"/>
        </w:tblCellMar>
      </w:tblPr>
      <w:tblGrid>
        <w:gridCol w:w="3423"/>
        <w:gridCol w:w="1256"/>
        <w:gridCol w:w="1330"/>
        <w:gridCol w:w="1174"/>
      </w:tblGrid>
      <w:tr>
        <w:tblPrEx>
          <w:tblW w:w="7183" w:type="dxa"/>
          <w:jc w:val="center"/>
          <w:tblInd w:w="0" w:type="dxa"/>
          <w:tblCellMar>
            <w:left w:w="70" w:type="dxa"/>
            <w:right w:w="70" w:type="dxa"/>
          </w:tblCellMar>
        </w:tblPrEx>
        <w:trPr>
          <w:trHeight w:val="284"/>
          <w:jc w:val="center"/>
        </w:trPr>
        <w:tc>
          <w:tcPr>
            <w:tcW w:w="7183" w:type="dxa"/>
            <w:gridSpan w:val="4"/>
            <w:tcBorders>
              <w:top w:val="nil"/>
              <w:left w:val="nil"/>
              <w:bottom w:val="nil"/>
              <w:right w:val="nil"/>
            </w:tcBorders>
            <w:shd w:val="clear" w:color="auto" w:fill="000000"/>
            <w:textDirection w:val="lrTb"/>
            <w:vAlign w:val="bottom"/>
          </w:tcPr>
          <w:p w:rsidR="00C52ECF" w:rsidRPr="004226C0" w:rsidP="00A003A3">
            <w:pPr>
              <w:jc w:val="both"/>
              <w:rPr>
                <w:rFonts w:ascii="Arial Narrow" w:hAnsi="Arial Narrow" w:cs="Arial Narrow"/>
                <w:b/>
                <w:color w:val="FFFFFF"/>
                <w:sz w:val="18"/>
                <w:szCs w:val="24"/>
                <w:highlight w:val="yellow"/>
                <w:lang w:eastAsia="sk-SK"/>
              </w:rPr>
            </w:pPr>
            <w:r w:rsidRPr="00751EE8">
              <w:rPr>
                <w:rFonts w:ascii="Arial Narrow" w:hAnsi="Arial Narrow" w:cs="Arial Narrow"/>
                <w:b/>
                <w:color w:val="FFFFFF"/>
                <w:sz w:val="18"/>
                <w:szCs w:val="24"/>
                <w:lang w:eastAsia="sk-SK"/>
              </w:rPr>
              <w:t>Aktualizácia prognóz na rok 200</w:t>
            </w:r>
            <w:r>
              <w:rPr>
                <w:rFonts w:ascii="Arial Narrow" w:hAnsi="Arial Narrow" w:cs="Arial Narrow"/>
                <w:b/>
                <w:color w:val="FFFFFF"/>
                <w:sz w:val="18"/>
                <w:szCs w:val="24"/>
                <w:lang w:eastAsia="sk-SK"/>
              </w:rPr>
              <w:t>9</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single" w:sz="8" w:space="0" w:color="auto"/>
              <w:right w:val="nil"/>
            </w:tcBorders>
            <w:shd w:val="clear" w:color="auto" w:fill="C0C0C0"/>
            <w:textDirection w:val="lrTb"/>
            <w:vAlign w:val="bottom"/>
          </w:tcPr>
          <w:p w:rsidR="00C52ECF" w:rsidRPr="004226C0" w:rsidP="00A003A3">
            <w:pPr>
              <w:rPr>
                <w:rFonts w:ascii="Arial Narrow" w:hAnsi="Arial Narrow" w:cs="Arial Narrow"/>
                <w:b/>
                <w:sz w:val="18"/>
                <w:szCs w:val="24"/>
                <w:highlight w:val="yellow"/>
                <w:lang w:eastAsia="sk-SK"/>
              </w:rPr>
            </w:pPr>
            <w:r w:rsidRPr="00751EE8">
              <w:rPr>
                <w:rFonts w:ascii="Arial Narrow" w:hAnsi="Arial Narrow" w:cs="Arial Narrow"/>
                <w:b/>
                <w:sz w:val="18"/>
                <w:szCs w:val="24"/>
                <w:lang w:eastAsia="sk-SK"/>
              </w:rPr>
              <w:t>v %, ak nie je uvedené inak</w:t>
            </w:r>
          </w:p>
        </w:tc>
        <w:tc>
          <w:tcPr>
            <w:tcW w:w="1256" w:type="dxa"/>
            <w:tcBorders>
              <w:top w:val="nil"/>
              <w:left w:val="nil"/>
              <w:bottom w:val="single" w:sz="8" w:space="0" w:color="auto"/>
              <w:right w:val="nil"/>
            </w:tcBorders>
            <w:shd w:val="clear" w:color="auto" w:fill="C0C0C0"/>
            <w:textDirection w:val="lrTb"/>
            <w:vAlign w:val="bottom"/>
          </w:tcPr>
          <w:p w:rsidR="00C52ECF" w:rsidRPr="004226C0" w:rsidP="00A003A3">
            <w:pPr>
              <w:jc w:val="center"/>
              <w:rPr>
                <w:rFonts w:ascii="Arial Narrow" w:hAnsi="Arial Narrow" w:cs="Arial Narrow"/>
                <w:b/>
                <w:sz w:val="18"/>
                <w:szCs w:val="24"/>
                <w:highlight w:val="yellow"/>
                <w:lang w:eastAsia="sk-SK"/>
              </w:rPr>
            </w:pPr>
            <w:r w:rsidRPr="00751EE8">
              <w:rPr>
                <w:rFonts w:ascii="Arial Narrow" w:hAnsi="Arial Narrow" w:cs="Arial Narrow"/>
                <w:b/>
                <w:sz w:val="18"/>
                <w:szCs w:val="24"/>
                <w:lang w:eastAsia="sk-SK"/>
              </w:rPr>
              <w:t>Rozpočet 2008</w:t>
            </w:r>
          </w:p>
        </w:tc>
        <w:tc>
          <w:tcPr>
            <w:tcW w:w="1330" w:type="dxa"/>
            <w:tcBorders>
              <w:top w:val="nil"/>
              <w:left w:val="nil"/>
              <w:bottom w:val="single" w:sz="8" w:space="0" w:color="auto"/>
              <w:right w:val="nil"/>
            </w:tcBorders>
            <w:shd w:val="clear" w:color="auto" w:fill="C0C0C0"/>
            <w:textDirection w:val="lrTb"/>
            <w:vAlign w:val="bottom"/>
          </w:tcPr>
          <w:p w:rsidR="00C52ECF" w:rsidRPr="004226C0" w:rsidP="00A003A3">
            <w:pPr>
              <w:jc w:val="center"/>
              <w:rPr>
                <w:rFonts w:ascii="Arial Narrow" w:hAnsi="Arial Narrow" w:cs="Arial Narrow"/>
                <w:b/>
                <w:sz w:val="18"/>
                <w:szCs w:val="24"/>
                <w:highlight w:val="yellow"/>
                <w:lang w:eastAsia="sk-SK"/>
              </w:rPr>
            </w:pPr>
            <w:r w:rsidRPr="00751EE8">
              <w:rPr>
                <w:rFonts w:ascii="Arial Narrow" w:hAnsi="Arial Narrow" w:cs="Arial Narrow"/>
                <w:b/>
                <w:sz w:val="18"/>
                <w:szCs w:val="24"/>
                <w:lang w:eastAsia="sk-SK"/>
              </w:rPr>
              <w:t>Aktuálny odhad</w:t>
            </w:r>
          </w:p>
        </w:tc>
        <w:tc>
          <w:tcPr>
            <w:tcW w:w="1174" w:type="dxa"/>
            <w:tcBorders>
              <w:top w:val="nil"/>
              <w:left w:val="nil"/>
              <w:bottom w:val="single" w:sz="8" w:space="0" w:color="auto"/>
              <w:right w:val="nil"/>
            </w:tcBorders>
            <w:shd w:val="clear" w:color="auto" w:fill="C0C0C0"/>
            <w:textDirection w:val="lrTb"/>
            <w:vAlign w:val="bottom"/>
          </w:tcPr>
          <w:p w:rsidR="00C52ECF" w:rsidRPr="00751EE8" w:rsidP="00A003A3">
            <w:pPr>
              <w:jc w:val="center"/>
              <w:rPr>
                <w:rFonts w:ascii="Arial Narrow" w:hAnsi="Arial Narrow" w:cs="Arial Narrow"/>
                <w:b/>
                <w:sz w:val="18"/>
                <w:szCs w:val="24"/>
                <w:lang w:eastAsia="sk-SK"/>
              </w:rPr>
            </w:pPr>
            <w:r w:rsidRPr="00751EE8">
              <w:rPr>
                <w:rFonts w:ascii="Arial Narrow" w:hAnsi="Arial Narrow" w:cs="Arial Narrow"/>
                <w:b/>
                <w:sz w:val="18"/>
                <w:szCs w:val="24"/>
                <w:lang w:eastAsia="sk-SK"/>
              </w:rPr>
              <w:t>Rozdiel v p.b.</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Hrubý domáci produkt,  reálny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4,6</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-5,7</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-10,3</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Hrubý domáci produkt v bežných cenách</w:t>
            </w:r>
            <w:r w:rsidR="00BF4CC2">
              <w:rPr>
                <w:rFonts w:ascii="Arial Narrow" w:hAnsi="Arial Narrow" w:cs="Arial Narrow"/>
                <w:sz w:val="18"/>
                <w:szCs w:val="24"/>
                <w:lang w:eastAsia="sk-SK"/>
              </w:rPr>
              <w:t xml:space="preserve"> mld. e</w:t>
            </w:r>
            <w:r w:rsidRPr="0025332E">
              <w:rPr>
                <w:rFonts w:ascii="Arial Narrow" w:hAnsi="Arial Narrow" w:cs="Arial Narrow"/>
                <w:sz w:val="18"/>
                <w:szCs w:val="24"/>
                <w:lang w:eastAsia="sk-SK"/>
              </w:rPr>
              <w:t>ur</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73,4</w:t>
            </w:r>
          </w:p>
        </w:tc>
        <w:tc>
          <w:tcPr>
            <w:tcW w:w="1330" w:type="dxa"/>
            <w:tcBorders>
              <w:top w:val="nil"/>
              <w:left w:val="nil"/>
              <w:bottom w:val="nil"/>
              <w:right w:val="nil"/>
            </w:tcBorders>
            <w:noWrap/>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63,6</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-9,8</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Konečná spotreba domácností,  reálny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4,3</w:t>
            </w:r>
          </w:p>
        </w:tc>
        <w:tc>
          <w:tcPr>
            <w:tcW w:w="1330" w:type="dxa"/>
            <w:tcBorders>
              <w:top w:val="nil"/>
              <w:left w:val="nil"/>
              <w:bottom w:val="nil"/>
              <w:right w:val="nil"/>
            </w:tcBorders>
            <w:noWrap/>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-0,4</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-4,7</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Konečná spotreba domácností,  nominálny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8,1</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1,8</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-6,3</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Priemerná mesačná mzda,  reálny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3,9</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0,8</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-3,1</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Priemerná mesačná mzda,  nominálny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8,1</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2,6</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-5,5</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Rast zamestnanosti (štatistické zisťovanie)</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0,1</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-3,3</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-3,4</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Index spotrebiteľských cien,  priemerný rast</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4,0</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1,8</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-2,2</w:t>
            </w:r>
          </w:p>
        </w:tc>
      </w:tr>
      <w:tr>
        <w:tblPrEx>
          <w:tblW w:w="7183" w:type="dxa"/>
          <w:jc w:val="center"/>
          <w:tblInd w:w="0" w:type="dxa"/>
          <w:tblCellMar>
            <w:left w:w="70" w:type="dxa"/>
            <w:right w:w="70" w:type="dxa"/>
          </w:tblCellMar>
        </w:tblPrEx>
        <w:trPr>
          <w:trHeight w:val="284"/>
          <w:jc w:val="center"/>
        </w:trPr>
        <w:tc>
          <w:tcPr>
            <w:tcW w:w="3423" w:type="dxa"/>
            <w:tcBorders>
              <w:top w:val="nil"/>
              <w:left w:val="nil"/>
              <w:bottom w:val="nil"/>
              <w:right w:val="nil"/>
            </w:tcBorders>
            <w:textDirection w:val="lrTb"/>
            <w:vAlign w:val="bottom"/>
          </w:tcPr>
          <w:p w:rsidR="00C52ECF" w:rsidRPr="0025332E" w:rsidP="00A003A3">
            <w:pPr>
              <w:rPr>
                <w:rFonts w:ascii="Arial Narrow" w:hAnsi="Arial Narrow" w:cs="Arial Narrow"/>
                <w:sz w:val="18"/>
                <w:szCs w:val="24"/>
                <w:lang w:eastAsia="sk-SK"/>
              </w:rPr>
            </w:pPr>
            <w:r w:rsidRPr="0025332E">
              <w:rPr>
                <w:rFonts w:ascii="Arial Narrow" w:hAnsi="Arial Narrow" w:cs="Arial Narrow"/>
                <w:sz w:val="18"/>
                <w:szCs w:val="24"/>
                <w:lang w:eastAsia="sk-SK"/>
              </w:rPr>
              <w:t>Bilancia bežného účtu,  podiel na  HDP</w:t>
            </w:r>
          </w:p>
        </w:tc>
        <w:tc>
          <w:tcPr>
            <w:tcW w:w="1256" w:type="dxa"/>
            <w:tcBorders>
              <w:top w:val="nil"/>
              <w:left w:val="nil"/>
              <w:bottom w:val="nil"/>
              <w:right w:val="nil"/>
            </w:tcBorders>
            <w:textDirection w:val="lrTb"/>
            <w:vAlign w:val="bottom"/>
          </w:tcPr>
          <w:p w:rsidR="00C52ECF" w:rsidRPr="0025332E" w:rsidP="00A003A3">
            <w:pPr>
              <w:jc w:val="center"/>
              <w:rPr>
                <w:rFonts w:ascii="Arial Narrow" w:hAnsi="Arial Narrow" w:cs="Arial Narrow"/>
                <w:sz w:val="18"/>
                <w:szCs w:val="24"/>
                <w:lang w:eastAsia="sk-SK"/>
              </w:rPr>
            </w:pPr>
            <w:r w:rsidRPr="0025332E">
              <w:rPr>
                <w:rFonts w:ascii="Arial Narrow" w:hAnsi="Arial Narrow" w:cs="Arial Narrow"/>
                <w:sz w:val="18"/>
                <w:szCs w:val="24"/>
                <w:lang w:eastAsia="sk-SK"/>
              </w:rPr>
              <w:t>-4,4</w:t>
            </w:r>
          </w:p>
        </w:tc>
        <w:tc>
          <w:tcPr>
            <w:tcW w:w="1330"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-6,5</w:t>
            </w:r>
          </w:p>
        </w:tc>
        <w:tc>
          <w:tcPr>
            <w:tcW w:w="1174" w:type="dxa"/>
            <w:tcBorders>
              <w:top w:val="nil"/>
              <w:left w:val="nil"/>
              <w:bottom w:val="nil"/>
              <w:right w:val="nil"/>
            </w:tcBorders>
            <w:textDirection w:val="lrTb"/>
            <w:vAlign w:val="bottom"/>
          </w:tcPr>
          <w:p w:rsidR="00C52ECF" w:rsidP="00A003A3">
            <w:pPr>
              <w:jc w:val="center"/>
              <w:rPr>
                <w:rFonts w:ascii="Arial Narrow" w:hAnsi="Arial Narrow" w:cs="Arial Narrow"/>
                <w:sz w:val="18"/>
                <w:szCs w:val="24"/>
              </w:rPr>
            </w:pPr>
            <w:r>
              <w:rPr>
                <w:rFonts w:ascii="Arial Narrow" w:hAnsi="Arial Narrow" w:cs="Arial Narrow"/>
                <w:sz w:val="18"/>
                <w:szCs w:val="24"/>
              </w:rPr>
              <w:t>-2,1</w:t>
            </w:r>
          </w:p>
        </w:tc>
      </w:tr>
      <w:tr>
        <w:tblPrEx>
          <w:tblW w:w="7183" w:type="dxa"/>
          <w:jc w:val="center"/>
          <w:tblInd w:w="0" w:type="dxa"/>
          <w:tblCellMar>
            <w:left w:w="70" w:type="dxa"/>
            <w:right w:w="70" w:type="dxa"/>
          </w:tblCellMar>
        </w:tblPrEx>
        <w:trPr>
          <w:trHeight w:val="284"/>
          <w:jc w:val="center"/>
        </w:trPr>
        <w:tc>
          <w:tcPr>
            <w:tcW w:w="7183" w:type="dxa"/>
            <w:gridSpan w:val="4"/>
            <w:tcBorders>
              <w:top w:val="single" w:sz="8" w:space="0" w:color="auto"/>
              <w:left w:val="nil"/>
              <w:bottom w:val="nil"/>
              <w:right w:val="nil"/>
            </w:tcBorders>
            <w:textDirection w:val="lrTb"/>
            <w:vAlign w:val="bottom"/>
          </w:tcPr>
          <w:p w:rsidR="00C52ECF" w:rsidRPr="00751EE8" w:rsidP="00A003A3">
            <w:pPr>
              <w:jc w:val="right"/>
              <w:rPr>
                <w:rFonts w:ascii="Arial Narrow" w:hAnsi="Arial Narrow" w:cs="Arial Narrow"/>
                <w:i/>
                <w:sz w:val="18"/>
                <w:szCs w:val="24"/>
                <w:lang w:eastAsia="sk-SK"/>
              </w:rPr>
            </w:pPr>
            <w:r w:rsidRPr="00751EE8">
              <w:rPr>
                <w:rFonts w:ascii="Arial Narrow" w:hAnsi="Arial Narrow" w:cs="Arial Narrow"/>
                <w:i/>
                <w:sz w:val="18"/>
                <w:szCs w:val="24"/>
                <w:lang w:eastAsia="sk-SK"/>
              </w:rPr>
              <w:t>Zdroj: MF SR</w:t>
            </w:r>
          </w:p>
        </w:tc>
      </w:tr>
    </w:tbl>
    <w:p w:rsidR="00C52ECF" w:rsidRPr="00C85B85" w:rsidP="00C52ECF">
      <w:pPr>
        <w:pStyle w:val="Heading2"/>
        <w:keepLines/>
        <w:widowControl w:val="0"/>
        <w:rPr>
          <w:rFonts w:ascii="Arial Narrow" w:hAnsi="Arial Narrow" w:cs="Arial Narrow"/>
          <w:i w:val="0"/>
          <w:sz w:val="24"/>
          <w:szCs w:val="24"/>
        </w:rPr>
      </w:pPr>
      <w:bookmarkStart w:id="13" w:name="_Toc241846636"/>
      <w:r w:rsidRPr="00C85B85">
        <w:rPr>
          <w:rFonts w:ascii="Arial Narrow" w:hAnsi="Arial Narrow" w:cs="Arial Narrow"/>
          <w:i w:val="0"/>
          <w:sz w:val="24"/>
          <w:szCs w:val="24"/>
        </w:rPr>
        <w:t>1.2 Makroekonomické rámce zostave</w:t>
      </w:r>
      <w:r>
        <w:rPr>
          <w:rFonts w:ascii="Arial Narrow" w:hAnsi="Arial Narrow" w:cs="Arial Narrow"/>
          <w:i w:val="0"/>
          <w:sz w:val="24"/>
          <w:szCs w:val="24"/>
        </w:rPr>
        <w:t>nia návrhu rozpočtu na roky 2010</w:t>
      </w:r>
      <w:r w:rsidRPr="00BD1713">
        <w:rPr>
          <w:rFonts w:ascii="Arial Narrow" w:hAnsi="Arial Narrow" w:cs="Arial Narrow"/>
          <w:i w:val="0"/>
          <w:sz w:val="24"/>
          <w:szCs w:val="24"/>
        </w:rPr>
        <w:t xml:space="preserve"> až 20</w:t>
      </w:r>
      <w:bookmarkEnd w:id="11"/>
      <w:bookmarkEnd w:id="12"/>
      <w:r w:rsidRPr="00BD1713">
        <w:rPr>
          <w:rFonts w:ascii="Arial Narrow" w:hAnsi="Arial Narrow" w:cs="Arial Narrow"/>
          <w:i w:val="0"/>
          <w:sz w:val="24"/>
          <w:szCs w:val="24"/>
        </w:rPr>
        <w:t>1</w:t>
      </w:r>
      <w:r>
        <w:rPr>
          <w:rFonts w:ascii="Arial Narrow" w:hAnsi="Arial Narrow" w:cs="Arial Narrow"/>
          <w:i w:val="0"/>
          <w:sz w:val="24"/>
          <w:szCs w:val="24"/>
        </w:rPr>
        <w:t>2</w:t>
      </w:r>
      <w:bookmarkEnd w:id="13"/>
      <w:r>
        <w:rPr>
          <w:rFonts w:ascii="Arial Narrow" w:hAnsi="Arial Narrow" w:cs="Arial Narrow"/>
          <w:i w:val="0"/>
          <w:sz w:val="24"/>
          <w:szCs w:val="24"/>
        </w:rPr>
        <w:t xml:space="preserve"> </w:t>
      </w:r>
    </w:p>
    <w:p w:rsidR="00C52ECF" w:rsidP="00C52ECF">
      <w:pPr>
        <w:keepNext/>
        <w:keepLines/>
        <w:widowControl w:val="0"/>
        <w:ind w:firstLine="708"/>
        <w:jc w:val="both"/>
        <w:rPr>
          <w:rFonts w:ascii="Arial Narrow" w:hAnsi="Arial Narrow" w:cs="Arial Narrow"/>
          <w:sz w:val="22"/>
          <w:szCs w:val="24"/>
        </w:rPr>
      </w:pPr>
    </w:p>
    <w:p w:rsidR="00C52ECF" w:rsidRPr="0025332E" w:rsidP="00C52ECF">
      <w:pPr>
        <w:keepNext/>
        <w:keepLines/>
        <w:widowControl w:val="0"/>
        <w:ind w:firstLine="708"/>
        <w:jc w:val="both"/>
        <w:rPr>
          <w:rFonts w:ascii="Arial Narrow" w:hAnsi="Arial Narrow" w:cs="Arial Narrow"/>
          <w:sz w:val="22"/>
          <w:szCs w:val="24"/>
        </w:rPr>
      </w:pPr>
      <w:r w:rsidRPr="00E17852">
        <w:rPr>
          <w:rFonts w:ascii="Arial Narrow" w:hAnsi="Arial Narrow" w:cs="Arial Narrow"/>
          <w:sz w:val="22"/>
          <w:szCs w:val="24"/>
        </w:rPr>
        <w:t>Aktuálna prognóza makroekonomického vývoja do roku 2012 je postavená na odhadoch vývoja v roku 2009 a na predpokladoch o vnútorných a vonkajších podmienkach ekonomiky SR v strednodobom horizonte.  Na súčasnú prognózu výrazne vplýva pretrvávajúci </w:t>
      </w:r>
      <w:r w:rsidRPr="00E17852">
        <w:rPr>
          <w:rFonts w:ascii="Arial Narrow" w:hAnsi="Arial Narrow" w:cs="Arial Narrow"/>
          <w:b/>
          <w:sz w:val="22"/>
          <w:szCs w:val="24"/>
        </w:rPr>
        <w:t>negatívny vývoj globálnych faktorov</w:t>
      </w:r>
      <w:r w:rsidRPr="00E17852">
        <w:rPr>
          <w:rFonts w:ascii="Arial Narrow" w:hAnsi="Arial Narrow" w:cs="Arial Narrow"/>
          <w:sz w:val="22"/>
          <w:szCs w:val="24"/>
        </w:rPr>
        <w:t xml:space="preserve"> - vplyv finančnej a hospodárskej kríz</w:t>
      </w:r>
      <w:r w:rsidRPr="0025332E">
        <w:rPr>
          <w:rFonts w:ascii="Arial Narrow" w:hAnsi="Arial Narrow" w:cs="Arial Narrow"/>
          <w:sz w:val="22"/>
          <w:szCs w:val="24"/>
        </w:rPr>
        <w:t>y, ktorej</w:t>
      </w:r>
      <w:r>
        <w:rPr>
          <w:rFonts w:ascii="Arial Narrow" w:hAnsi="Arial Narrow" w:cs="Arial Narrow"/>
          <w:sz w:val="22"/>
          <w:szCs w:val="24"/>
        </w:rPr>
        <w:t xml:space="preserve"> dno sa predbežne predpokladá na prelome rokov 2009 - </w:t>
      </w:r>
      <w:r w:rsidRPr="0025332E">
        <w:rPr>
          <w:rFonts w:ascii="Arial Narrow" w:hAnsi="Arial Narrow" w:cs="Arial Narrow"/>
          <w:sz w:val="22"/>
          <w:szCs w:val="24"/>
        </w:rPr>
        <w:t>20</w:t>
      </w:r>
      <w:r>
        <w:rPr>
          <w:rFonts w:ascii="Arial Narrow" w:hAnsi="Arial Narrow" w:cs="Arial Narrow"/>
          <w:sz w:val="22"/>
          <w:szCs w:val="24"/>
        </w:rPr>
        <w:t>10</w:t>
      </w:r>
      <w:r w:rsidRPr="0025332E">
        <w:rPr>
          <w:rFonts w:ascii="Arial Narrow" w:hAnsi="Arial Narrow" w:cs="Arial Narrow"/>
          <w:sz w:val="22"/>
          <w:szCs w:val="24"/>
        </w:rPr>
        <w:t xml:space="preserve">. </w:t>
      </w:r>
      <w:r>
        <w:rPr>
          <w:rFonts w:ascii="Arial Narrow" w:hAnsi="Arial Narrow" w:cs="Arial Narrow"/>
          <w:sz w:val="22"/>
          <w:szCs w:val="24"/>
        </w:rPr>
        <w:t xml:space="preserve">Aktuálne údaje však ukazujú rýchlejšie oživenie </w:t>
      </w:r>
      <w:r w:rsidRPr="0025332E">
        <w:rPr>
          <w:rFonts w:ascii="Arial Narrow" w:hAnsi="Arial Narrow" w:cs="Arial Narrow"/>
          <w:sz w:val="22"/>
          <w:szCs w:val="24"/>
        </w:rPr>
        <w:t>vývoj</w:t>
      </w:r>
      <w:r>
        <w:rPr>
          <w:rFonts w:ascii="Arial Narrow" w:hAnsi="Arial Narrow" w:cs="Arial Narrow"/>
          <w:sz w:val="22"/>
          <w:szCs w:val="24"/>
        </w:rPr>
        <w:t>a</w:t>
      </w:r>
      <w:r w:rsidRPr="0025332E">
        <w:rPr>
          <w:rFonts w:ascii="Arial Narrow" w:hAnsi="Arial Narrow" w:cs="Arial Narrow"/>
          <w:sz w:val="22"/>
          <w:szCs w:val="24"/>
        </w:rPr>
        <w:t xml:space="preserve"> ekonomík dôležitých obchodných partnerov SR</w:t>
      </w:r>
      <w:r>
        <w:rPr>
          <w:rFonts w:ascii="Arial Narrow" w:hAnsi="Arial Narrow" w:cs="Arial Narrow"/>
          <w:sz w:val="22"/>
          <w:szCs w:val="24"/>
        </w:rPr>
        <w:t xml:space="preserve">, čo sa </w:t>
      </w:r>
      <w:r w:rsidRPr="0025332E">
        <w:rPr>
          <w:rFonts w:ascii="Arial Narrow" w:hAnsi="Arial Narrow" w:cs="Arial Narrow"/>
          <w:sz w:val="22"/>
          <w:szCs w:val="24"/>
        </w:rPr>
        <w:t xml:space="preserve">v dôsledku vysokej otvorenosti ekonomiky Slovenska prejaví </w:t>
      </w:r>
      <w:r>
        <w:rPr>
          <w:rFonts w:ascii="Arial Narrow" w:hAnsi="Arial Narrow" w:cs="Arial Narrow"/>
          <w:sz w:val="22"/>
          <w:szCs w:val="24"/>
        </w:rPr>
        <w:t>po poklese HDP</w:t>
      </w:r>
      <w:r w:rsidRPr="0025332E">
        <w:rPr>
          <w:rFonts w:ascii="Arial Narrow" w:hAnsi="Arial Narrow" w:cs="Arial Narrow"/>
          <w:sz w:val="22"/>
          <w:szCs w:val="24"/>
        </w:rPr>
        <w:t xml:space="preserve"> v rok</w:t>
      </w:r>
      <w:r>
        <w:rPr>
          <w:rFonts w:ascii="Arial Narrow" w:hAnsi="Arial Narrow" w:cs="Arial Narrow"/>
          <w:sz w:val="22"/>
          <w:szCs w:val="24"/>
        </w:rPr>
        <w:t>u</w:t>
      </w:r>
      <w:r w:rsidRPr="0025332E">
        <w:rPr>
          <w:rFonts w:ascii="Arial Narrow" w:hAnsi="Arial Narrow" w:cs="Arial Narrow"/>
          <w:sz w:val="22"/>
          <w:szCs w:val="24"/>
        </w:rPr>
        <w:t xml:space="preserve"> 2009 </w:t>
      </w:r>
      <w:r>
        <w:rPr>
          <w:rFonts w:ascii="Arial Narrow" w:hAnsi="Arial Narrow" w:cs="Arial Narrow"/>
          <w:sz w:val="22"/>
          <w:szCs w:val="24"/>
        </w:rPr>
        <w:t>v rýchlejšom oživení v nasledujúcich rokoch</w:t>
      </w:r>
      <w:r w:rsidRPr="0025332E">
        <w:rPr>
          <w:rFonts w:ascii="Arial Narrow" w:hAnsi="Arial Narrow" w:cs="Arial Narrow"/>
          <w:sz w:val="22"/>
          <w:szCs w:val="24"/>
        </w:rPr>
        <w:t>.</w:t>
      </w:r>
    </w:p>
    <w:p w:rsidR="00C52ECF" w:rsidRPr="001479D4" w:rsidP="00C52ECF">
      <w:pPr>
        <w:keepNext/>
        <w:keepLines/>
        <w:widowControl w:val="0"/>
        <w:jc w:val="both"/>
        <w:rPr>
          <w:rFonts w:ascii="Arial Narrow" w:hAnsi="Arial Narrow" w:cs="Arial Narrow"/>
          <w:sz w:val="22"/>
          <w:szCs w:val="24"/>
        </w:rPr>
      </w:pPr>
    </w:p>
    <w:p w:rsidR="00C52ECF" w:rsidRPr="0025332E" w:rsidP="00C52ECF">
      <w:pPr>
        <w:keepNext/>
        <w:keepLines/>
        <w:widowControl w:val="0"/>
        <w:ind w:firstLine="708"/>
        <w:jc w:val="both"/>
        <w:rPr>
          <w:rFonts w:ascii="Arial Narrow" w:hAnsi="Arial Narrow" w:cs="Arial Narrow"/>
          <w:sz w:val="22"/>
          <w:szCs w:val="24"/>
        </w:rPr>
      </w:pPr>
      <w:r w:rsidRPr="00E17852">
        <w:rPr>
          <w:rFonts w:ascii="Arial Narrow" w:hAnsi="Arial Narrow" w:cs="Arial Narrow"/>
          <w:sz w:val="22"/>
          <w:szCs w:val="24"/>
        </w:rPr>
        <w:t xml:space="preserve">Prognóza výrazne </w:t>
      </w:r>
      <w:r>
        <w:rPr>
          <w:rFonts w:ascii="Arial Narrow" w:hAnsi="Arial Narrow" w:cs="Arial Narrow"/>
          <w:sz w:val="22"/>
          <w:szCs w:val="24"/>
        </w:rPr>
        <w:t>odráža</w:t>
      </w:r>
      <w:r w:rsidRPr="00E17852">
        <w:rPr>
          <w:rFonts w:ascii="Arial Narrow" w:hAnsi="Arial Narrow" w:cs="Arial Narrow"/>
          <w:sz w:val="22"/>
          <w:szCs w:val="24"/>
        </w:rPr>
        <w:t xml:space="preserve"> spomalenie</w:t>
      </w:r>
      <w:r w:rsidRPr="00E17852">
        <w:rPr>
          <w:rFonts w:ascii="Arial Narrow" w:hAnsi="Arial Narrow" w:cs="Arial Narrow"/>
          <w:b/>
          <w:sz w:val="22"/>
          <w:szCs w:val="24"/>
        </w:rPr>
        <w:t xml:space="preserve"> vonkajšieho  prostredia</w:t>
      </w:r>
      <w:r w:rsidRPr="00E17852">
        <w:rPr>
          <w:rFonts w:ascii="Arial Narrow" w:hAnsi="Arial Narrow" w:cs="Arial Narrow"/>
          <w:sz w:val="22"/>
          <w:szCs w:val="24"/>
        </w:rPr>
        <w:t xml:space="preserve"> a  globálnu krízu, ktorá sa zreteľne začala vynárať v rokoch 2007 a 2008 cez turbulencie na finančných trhoch spôsobené hypotekárnou krízou v USA. V súčasnosti svetové ekonomiky čelia najhoršej hospodárskej kríze od konca druhej svetovej vojny. Najviac postihnutými krízou sú vyspelé krajiny, ktoré sú po rokoch stabilného ekonomického rastu svedkami recesie svojich ekonomík. V </w:t>
      </w:r>
      <w:r>
        <w:rPr>
          <w:rFonts w:ascii="Arial Narrow" w:hAnsi="Arial Narrow" w:cs="Arial Narrow"/>
          <w:sz w:val="22"/>
          <w:szCs w:val="24"/>
        </w:rPr>
        <w:t>S</w:t>
      </w:r>
      <w:r w:rsidRPr="00E17852">
        <w:rPr>
          <w:rFonts w:ascii="Arial Narrow" w:hAnsi="Arial Narrow" w:cs="Arial Narrow"/>
          <w:sz w:val="22"/>
          <w:szCs w:val="24"/>
        </w:rPr>
        <w:t>pojených štátoch amerických pravdepodobne dôjde v roku 2009 k zníženiu HDP o 2,9</w:t>
      </w:r>
      <w:r w:rsidR="001156C8">
        <w:rPr>
          <w:rFonts w:ascii="Arial Narrow" w:hAnsi="Arial Narrow" w:cs="Arial Narrow"/>
          <w:sz w:val="22"/>
          <w:szCs w:val="24"/>
        </w:rPr>
        <w:t xml:space="preserve"> </w:t>
      </w:r>
      <w:r w:rsidRPr="00E17852">
        <w:rPr>
          <w:rFonts w:ascii="Arial Narrow" w:hAnsi="Arial Narrow" w:cs="Arial Narrow"/>
          <w:sz w:val="22"/>
          <w:szCs w:val="24"/>
        </w:rPr>
        <w:t>% (z 1,1</w:t>
      </w:r>
      <w:r w:rsidR="001156C8">
        <w:rPr>
          <w:rFonts w:ascii="Arial Narrow" w:hAnsi="Arial Narrow" w:cs="Arial Narrow"/>
          <w:sz w:val="22"/>
          <w:szCs w:val="24"/>
        </w:rPr>
        <w:t xml:space="preserve"> </w:t>
      </w:r>
      <w:r w:rsidRPr="00E17852">
        <w:rPr>
          <w:rFonts w:ascii="Arial Narrow" w:hAnsi="Arial Narrow" w:cs="Arial Narrow"/>
          <w:sz w:val="22"/>
          <w:szCs w:val="24"/>
        </w:rPr>
        <w:t>%-ného rastu v roku 2008), pričom v eurozóne by sa mala ekonomika spomaliť o 4,0</w:t>
      </w:r>
      <w:r w:rsidR="001156C8">
        <w:rPr>
          <w:rFonts w:ascii="Arial Narrow" w:hAnsi="Arial Narrow" w:cs="Arial Narrow"/>
          <w:sz w:val="22"/>
          <w:szCs w:val="24"/>
        </w:rPr>
        <w:t xml:space="preserve"> </w:t>
      </w:r>
      <w:r w:rsidRPr="00E17852">
        <w:rPr>
          <w:rFonts w:ascii="Arial Narrow" w:hAnsi="Arial Narrow" w:cs="Arial Narrow"/>
          <w:sz w:val="22"/>
          <w:szCs w:val="24"/>
        </w:rPr>
        <w:t>% (na rozdiel od rastu 0,9</w:t>
      </w:r>
      <w:r w:rsidR="001156C8">
        <w:rPr>
          <w:rFonts w:ascii="Arial Narrow" w:hAnsi="Arial Narrow" w:cs="Arial Narrow"/>
          <w:sz w:val="22"/>
          <w:szCs w:val="24"/>
        </w:rPr>
        <w:t xml:space="preserve"> </w:t>
      </w:r>
      <w:r w:rsidRPr="00E17852">
        <w:rPr>
          <w:rFonts w:ascii="Arial Narrow" w:hAnsi="Arial Narrow" w:cs="Arial Narrow"/>
          <w:sz w:val="22"/>
          <w:szCs w:val="24"/>
        </w:rPr>
        <w:t>% v roku 2008). Podľa prognóz zahraničných autorít sa očakáva, že v roku 2010 by krajiny eurozóny mali za</w:t>
      </w:r>
      <w:r>
        <w:rPr>
          <w:rFonts w:ascii="Arial Narrow" w:hAnsi="Arial Narrow" w:cs="Arial Narrow"/>
          <w:sz w:val="22"/>
          <w:szCs w:val="24"/>
        </w:rPr>
        <w:t>znamenať pokles na úrovni 0,1</w:t>
      </w:r>
      <w:r w:rsidR="001156C8">
        <w:rPr>
          <w:rFonts w:ascii="Arial Narrow" w:hAnsi="Arial Narrow" w:cs="Arial Narrow"/>
          <w:sz w:val="22"/>
          <w:szCs w:val="24"/>
        </w:rPr>
        <w:t xml:space="preserve"> </w:t>
      </w:r>
      <w:r>
        <w:rPr>
          <w:rFonts w:ascii="Arial Narrow" w:hAnsi="Arial Narrow" w:cs="Arial Narrow"/>
          <w:sz w:val="22"/>
          <w:szCs w:val="24"/>
        </w:rPr>
        <w:t xml:space="preserve">% a </w:t>
      </w:r>
      <w:r w:rsidRPr="00E17852">
        <w:rPr>
          <w:rFonts w:ascii="Arial Narrow" w:hAnsi="Arial Narrow" w:cs="Arial Narrow"/>
          <w:sz w:val="22"/>
          <w:szCs w:val="24"/>
        </w:rPr>
        <w:t>v USA by malo prísť k ekonomickému rastu na úrovni 0,9</w:t>
      </w:r>
      <w:r w:rsidR="001156C8">
        <w:rPr>
          <w:rFonts w:ascii="Arial Narrow" w:hAnsi="Arial Narrow" w:cs="Arial Narrow"/>
          <w:sz w:val="22"/>
          <w:szCs w:val="24"/>
        </w:rPr>
        <w:t xml:space="preserve"> </w:t>
      </w:r>
      <w:r w:rsidRPr="00E17852">
        <w:rPr>
          <w:rFonts w:ascii="Arial Narrow" w:hAnsi="Arial Narrow" w:cs="Arial Narrow"/>
          <w:sz w:val="22"/>
          <w:szCs w:val="24"/>
        </w:rPr>
        <w:t>%</w:t>
      </w:r>
      <w:r>
        <w:rPr>
          <w:rFonts w:ascii="Arial Narrow" w:hAnsi="Arial Narrow" w:cs="Arial Narrow"/>
          <w:sz w:val="22"/>
          <w:szCs w:val="24"/>
        </w:rPr>
        <w:t>. U</w:t>
      </w:r>
      <w:r w:rsidRPr="00E17852">
        <w:rPr>
          <w:rFonts w:ascii="Arial Narrow" w:hAnsi="Arial Narrow" w:cs="Arial Narrow"/>
          <w:sz w:val="22"/>
          <w:szCs w:val="24"/>
        </w:rPr>
        <w:t xml:space="preserve"> našich najbližších susedov by </w:t>
      </w:r>
      <w:r>
        <w:rPr>
          <w:rFonts w:ascii="Arial Narrow" w:hAnsi="Arial Narrow" w:cs="Arial Narrow"/>
          <w:sz w:val="22"/>
          <w:szCs w:val="24"/>
        </w:rPr>
        <w:t xml:space="preserve">v roku 2010 </w:t>
      </w:r>
      <w:r w:rsidRPr="00E17852">
        <w:rPr>
          <w:rFonts w:ascii="Arial Narrow" w:hAnsi="Arial Narrow" w:cs="Arial Narrow"/>
          <w:sz w:val="22"/>
          <w:szCs w:val="24"/>
        </w:rPr>
        <w:t>v Českej republike mal ekonomický rast dosiahn</w:t>
      </w:r>
      <w:r>
        <w:rPr>
          <w:rFonts w:ascii="Arial Narrow" w:hAnsi="Arial Narrow" w:cs="Arial Narrow"/>
          <w:sz w:val="22"/>
          <w:szCs w:val="24"/>
        </w:rPr>
        <w:t>uť hodnotu 0,3</w:t>
      </w:r>
      <w:r w:rsidR="001156C8">
        <w:rPr>
          <w:rFonts w:ascii="Arial Narrow" w:hAnsi="Arial Narrow" w:cs="Arial Narrow"/>
          <w:sz w:val="22"/>
          <w:szCs w:val="24"/>
        </w:rPr>
        <w:t xml:space="preserve"> </w:t>
      </w:r>
      <w:r>
        <w:rPr>
          <w:rFonts w:ascii="Arial Narrow" w:hAnsi="Arial Narrow" w:cs="Arial Narrow"/>
          <w:sz w:val="22"/>
          <w:szCs w:val="24"/>
        </w:rPr>
        <w:t>%, v Poľsku 0,8</w:t>
      </w:r>
      <w:r w:rsidR="001156C8">
        <w:rPr>
          <w:rFonts w:ascii="Arial Narrow" w:hAnsi="Arial Narrow" w:cs="Arial Narrow"/>
          <w:sz w:val="22"/>
          <w:szCs w:val="24"/>
        </w:rPr>
        <w:t xml:space="preserve"> </w:t>
      </w:r>
      <w:r>
        <w:rPr>
          <w:rFonts w:ascii="Arial Narrow" w:hAnsi="Arial Narrow" w:cs="Arial Narrow"/>
          <w:sz w:val="22"/>
          <w:szCs w:val="24"/>
        </w:rPr>
        <w:t>%,</w:t>
      </w:r>
      <w:r w:rsidRPr="00E17852">
        <w:rPr>
          <w:rFonts w:ascii="Arial Narrow" w:hAnsi="Arial Narrow" w:cs="Arial Narrow"/>
          <w:sz w:val="22"/>
          <w:szCs w:val="24"/>
        </w:rPr>
        <w:t> avšak Maďarsko by malo zaznamenať pokles na úrovni 0,3</w:t>
      </w:r>
      <w:r w:rsidR="001156C8">
        <w:rPr>
          <w:rFonts w:ascii="Arial Narrow" w:hAnsi="Arial Narrow" w:cs="Arial Narrow"/>
          <w:sz w:val="22"/>
          <w:szCs w:val="24"/>
        </w:rPr>
        <w:t xml:space="preserve"> </w:t>
      </w:r>
      <w:r w:rsidRPr="00E17852">
        <w:rPr>
          <w:rFonts w:ascii="Arial Narrow" w:hAnsi="Arial Narrow" w:cs="Arial Narrow"/>
          <w:sz w:val="22"/>
          <w:szCs w:val="24"/>
        </w:rPr>
        <w:t>%</w:t>
      </w:r>
      <w:r>
        <w:rPr>
          <w:rStyle w:val="FootnoteReference"/>
          <w:rFonts w:ascii="Arial Narrow" w:hAnsi="Arial Narrow" w:cs="Arial Narrow"/>
          <w:sz w:val="22"/>
          <w:szCs w:val="24"/>
        </w:rPr>
        <w:footnoteReference w:id="2"/>
      </w:r>
      <w:r w:rsidRPr="00E17852">
        <w:rPr>
          <w:rFonts w:ascii="Arial Narrow" w:hAnsi="Arial Narrow" w:cs="Arial Narrow"/>
          <w:sz w:val="22"/>
          <w:szCs w:val="24"/>
        </w:rPr>
        <w:t>. Nepriaznivé vyhliadky vonkajšieho prostredia sa naplno prejavia v poklese exportu SR predovšetkým v roku 2009. Znižovanie globálneho ekonomického rastu sa premietne aj do znižovania dopytu po komoditách na svetových trhoch a ich cien, najmä energetických surovín. Očakávame, že ceny ropy sa budú  v rokoch 2009</w:t>
      </w:r>
      <w:r w:rsidR="00CA5050">
        <w:rPr>
          <w:rFonts w:ascii="Arial Narrow" w:hAnsi="Arial Narrow" w:cs="Arial Narrow"/>
          <w:sz w:val="22"/>
          <w:szCs w:val="24"/>
        </w:rPr>
        <w:t xml:space="preserve"> až </w:t>
      </w:r>
      <w:r w:rsidRPr="00E17852">
        <w:rPr>
          <w:rFonts w:ascii="Arial Narrow" w:hAnsi="Arial Narrow" w:cs="Arial Narrow"/>
          <w:sz w:val="22"/>
          <w:szCs w:val="24"/>
        </w:rPr>
        <w:t>2</w:t>
      </w:r>
      <w:r>
        <w:rPr>
          <w:rFonts w:ascii="Arial Narrow" w:hAnsi="Arial Narrow" w:cs="Arial Narrow"/>
          <w:sz w:val="22"/>
          <w:szCs w:val="24"/>
        </w:rPr>
        <w:t>011 pohybovať na úrovni okolo 74,6</w:t>
      </w:r>
      <w:r w:rsidRPr="00E17852">
        <w:rPr>
          <w:rFonts w:ascii="Arial Narrow" w:hAnsi="Arial Narrow" w:cs="Arial Narrow"/>
          <w:sz w:val="22"/>
          <w:szCs w:val="24"/>
        </w:rPr>
        <w:t xml:space="preserve"> USD/bl.</w:t>
      </w:r>
      <w:r w:rsidRPr="0025332E">
        <w:rPr>
          <w:rFonts w:ascii="Arial Narrow" w:hAnsi="Arial Narrow" w:cs="Arial Narrow"/>
          <w:sz w:val="22"/>
          <w:szCs w:val="24"/>
        </w:rPr>
        <w:t xml:space="preserve"> </w:t>
      </w:r>
    </w:p>
    <w:p w:rsidR="00C52ECF" w:rsidP="00C52ECF">
      <w:pPr>
        <w:keepNext/>
        <w:keepLines/>
        <w:widowControl w:val="0"/>
        <w:ind w:firstLine="708"/>
        <w:jc w:val="both"/>
        <w:rPr>
          <w:rFonts w:ascii="Arial Narrow" w:hAnsi="Arial Narrow" w:cs="Arial Narrow"/>
          <w:b/>
          <w:sz w:val="22"/>
          <w:szCs w:val="24"/>
        </w:rPr>
      </w:pPr>
    </w:p>
    <w:p w:rsidR="00C52ECF" w:rsidRPr="00845B1A" w:rsidP="00C52ECF">
      <w:pPr>
        <w:keepNext/>
        <w:keepLines/>
        <w:widowControl w:val="0"/>
        <w:ind w:firstLine="708"/>
        <w:jc w:val="both"/>
        <w:rPr>
          <w:rFonts w:ascii="Arial Narrow" w:hAnsi="Arial Narrow" w:cs="Arial Narrow"/>
          <w:sz w:val="22"/>
          <w:szCs w:val="24"/>
        </w:rPr>
      </w:pPr>
      <w:r w:rsidRPr="00E56BC0">
        <w:rPr>
          <w:rFonts w:ascii="Arial Narrow" w:hAnsi="Arial Narrow" w:cs="Arial Narrow"/>
          <w:b/>
          <w:sz w:val="22"/>
          <w:szCs w:val="24"/>
        </w:rPr>
        <w:t>Domáce očakávania</w:t>
      </w:r>
      <w:r w:rsidRPr="0025332E">
        <w:rPr>
          <w:rFonts w:ascii="Arial Narrow" w:hAnsi="Arial Narrow" w:cs="Arial Narrow"/>
          <w:sz w:val="22"/>
          <w:szCs w:val="24"/>
        </w:rPr>
        <w:t xml:space="preserve"> ekonomického vývoja </w:t>
      </w:r>
      <w:r>
        <w:rPr>
          <w:rFonts w:ascii="Arial Narrow" w:hAnsi="Arial Narrow" w:cs="Arial Narrow"/>
          <w:sz w:val="22"/>
          <w:szCs w:val="24"/>
        </w:rPr>
        <w:t xml:space="preserve">výrazne slabli v prvej polovici roka 2009 </w:t>
      </w:r>
      <w:r w:rsidRPr="0025332E">
        <w:rPr>
          <w:rFonts w:ascii="Arial Narrow" w:hAnsi="Arial Narrow" w:cs="Arial Narrow"/>
          <w:sz w:val="22"/>
          <w:szCs w:val="24"/>
        </w:rPr>
        <w:t xml:space="preserve">najmä pod vplyvom </w:t>
      </w:r>
      <w:r>
        <w:rPr>
          <w:rFonts w:ascii="Arial Narrow" w:hAnsi="Arial Narrow" w:cs="Arial Narrow"/>
          <w:sz w:val="22"/>
          <w:szCs w:val="24"/>
        </w:rPr>
        <w:t xml:space="preserve">globálnej ekonomickej krízy </w:t>
      </w:r>
      <w:r w:rsidRPr="0025332E">
        <w:rPr>
          <w:rFonts w:ascii="Arial Narrow" w:hAnsi="Arial Narrow" w:cs="Arial Narrow"/>
          <w:sz w:val="22"/>
          <w:szCs w:val="24"/>
        </w:rPr>
        <w:t xml:space="preserve">(indikátory ekonomickej dôvery v eurozóne </w:t>
      </w:r>
      <w:r>
        <w:rPr>
          <w:rFonts w:ascii="Arial Narrow" w:hAnsi="Arial Narrow" w:cs="Arial Narrow"/>
          <w:sz w:val="22"/>
          <w:szCs w:val="24"/>
        </w:rPr>
        <w:t xml:space="preserve">v tom čase </w:t>
      </w:r>
      <w:r w:rsidRPr="0025332E">
        <w:rPr>
          <w:rFonts w:ascii="Arial Narrow" w:hAnsi="Arial Narrow" w:cs="Arial Narrow"/>
          <w:sz w:val="22"/>
          <w:szCs w:val="24"/>
        </w:rPr>
        <w:t>dosah</w:t>
      </w:r>
      <w:r>
        <w:rPr>
          <w:rFonts w:ascii="Arial Narrow" w:hAnsi="Arial Narrow" w:cs="Arial Narrow"/>
          <w:sz w:val="22"/>
          <w:szCs w:val="24"/>
        </w:rPr>
        <w:t>ovali rekordné minimá)</w:t>
      </w:r>
      <w:r w:rsidRPr="0025332E">
        <w:rPr>
          <w:rFonts w:ascii="Arial Narrow" w:hAnsi="Arial Narrow" w:cs="Arial Narrow"/>
          <w:sz w:val="22"/>
          <w:szCs w:val="24"/>
        </w:rPr>
        <w:t xml:space="preserve">. </w:t>
      </w:r>
      <w:r>
        <w:rPr>
          <w:rFonts w:ascii="Arial Narrow" w:hAnsi="Arial Narrow" w:cs="Arial Narrow"/>
          <w:sz w:val="22"/>
          <w:szCs w:val="24"/>
        </w:rPr>
        <w:t xml:space="preserve">Od decembra 2008 až po máj 2009 predstavovala každá nová hodnota indexu ekonomického sentimentu nové historické minimum. Od júna 2009 sa index odrazil od svojho dna reflektujúc tak určitú mieru stabilizácie vonkajšieho prostredia a zlepšujúcu sa náladu spotrebiteľov v krajinách našich obchodných partnerov. Posledný zverejnený údaj z augusta 2009 zaznamenal zlepšenie oproti predchádzajúcim mesiacom predovšetkým v oblasti maloobchodu, stavebníctva a služieb. Napriek zlepšeniam v posledných mesiacoch sa index ekonomického sentimentu na Slovensku ešte stále nachádza nízko pod svojím dlhodobým priemerom.  </w:t>
      </w:r>
    </w:p>
    <w:p w:rsidR="00C52ECF" w:rsidP="00C52ECF">
      <w:pPr>
        <w:rPr>
          <w:szCs w:val="24"/>
        </w:rPr>
      </w:pPr>
    </w:p>
    <w:p w:rsidR="00C52ECF" w:rsidRPr="0081571E" w:rsidP="00C52ECF">
      <w:pPr>
        <w:ind w:firstLine="708"/>
        <w:jc w:val="both"/>
        <w:rPr>
          <w:rFonts w:ascii="Arial Narrow" w:hAnsi="Arial Narrow" w:cs="Arial Narrow"/>
          <w:sz w:val="22"/>
          <w:szCs w:val="24"/>
        </w:rPr>
      </w:pPr>
      <w:r>
        <w:rPr>
          <w:rFonts w:ascii="Arial Narrow" w:hAnsi="Arial Narrow" w:cs="Arial Narrow"/>
          <w:sz w:val="22"/>
          <w:szCs w:val="24"/>
        </w:rPr>
        <w:t xml:space="preserve">Celkový charakter </w:t>
      </w:r>
      <w:r w:rsidRPr="00644926">
        <w:rPr>
          <w:rFonts w:ascii="Arial Narrow" w:hAnsi="Arial Narrow" w:cs="Arial Narrow"/>
          <w:sz w:val="22"/>
          <w:szCs w:val="24"/>
        </w:rPr>
        <w:t>makroekonomickej politiky</w:t>
      </w:r>
      <w:r>
        <w:rPr>
          <w:rFonts w:ascii="Arial Narrow" w:hAnsi="Arial Narrow" w:cs="Arial Narrow"/>
          <w:sz w:val="22"/>
          <w:szCs w:val="24"/>
        </w:rPr>
        <w:t xml:space="preserve"> bude v roku 2009 expanzívny. Boj s globálnou krízou a snaha podporiť rast a zamestnanosť v EÚ budú držať úrokové sadzby ECB na rekordne nízkych hodnotách okolo úrovne 1</w:t>
      </w:r>
      <w:r w:rsidR="001156C8">
        <w:rPr>
          <w:rFonts w:ascii="Arial Narrow" w:hAnsi="Arial Narrow" w:cs="Arial Narrow"/>
          <w:sz w:val="22"/>
          <w:szCs w:val="24"/>
        </w:rPr>
        <w:t xml:space="preserve"> </w:t>
      </w:r>
      <w:r>
        <w:rPr>
          <w:rFonts w:ascii="Arial Narrow" w:hAnsi="Arial Narrow" w:cs="Arial Narrow"/>
          <w:sz w:val="22"/>
          <w:szCs w:val="24"/>
        </w:rPr>
        <w:t xml:space="preserve">% a deficit verejnej správy SR v roku 2009 bude v dôsledku krízy vyšší oproti roku 2008. </w:t>
      </w:r>
      <w:r w:rsidRPr="005B5768">
        <w:rPr>
          <w:rFonts w:ascii="Arial Narrow" w:hAnsi="Arial Narrow" w:cs="Arial Narrow"/>
          <w:sz w:val="22"/>
          <w:szCs w:val="24"/>
        </w:rPr>
        <w:t>V dôsledku absen</w:t>
      </w:r>
      <w:r>
        <w:rPr>
          <w:rFonts w:ascii="Arial Narrow" w:hAnsi="Arial Narrow" w:cs="Arial Narrow"/>
          <w:sz w:val="22"/>
          <w:szCs w:val="24"/>
        </w:rPr>
        <w:t xml:space="preserve">cie </w:t>
      </w:r>
      <w:r w:rsidRPr="005B5768">
        <w:rPr>
          <w:rFonts w:ascii="Arial Narrow" w:hAnsi="Arial Narrow" w:cs="Arial Narrow"/>
          <w:sz w:val="22"/>
          <w:szCs w:val="24"/>
        </w:rPr>
        <w:t>nástrojov národnej menovej politiky bud</w:t>
      </w:r>
      <w:r>
        <w:rPr>
          <w:rFonts w:ascii="Arial Narrow" w:hAnsi="Arial Narrow" w:cs="Arial Narrow"/>
          <w:sz w:val="22"/>
          <w:szCs w:val="24"/>
        </w:rPr>
        <w:t>e</w:t>
      </w:r>
      <w:r w:rsidRPr="005B5768">
        <w:rPr>
          <w:rFonts w:ascii="Arial Narrow" w:hAnsi="Arial Narrow" w:cs="Arial Narrow"/>
          <w:sz w:val="22"/>
          <w:szCs w:val="24"/>
        </w:rPr>
        <w:t xml:space="preserve"> mať oveľa väčší význam fiškálna </w:t>
      </w:r>
      <w:r>
        <w:rPr>
          <w:rFonts w:ascii="Arial Narrow" w:hAnsi="Arial Narrow" w:cs="Arial Narrow"/>
          <w:sz w:val="22"/>
          <w:szCs w:val="24"/>
        </w:rPr>
        <w:t xml:space="preserve"> politika, štrukturálne politiky, flexibilita trhu práce a stabilita finančného trhu</w:t>
      </w:r>
      <w:r w:rsidRPr="005B5768">
        <w:rPr>
          <w:rFonts w:ascii="Arial Narrow" w:hAnsi="Arial Narrow" w:cs="Arial Narrow"/>
          <w:sz w:val="22"/>
          <w:szCs w:val="24"/>
        </w:rPr>
        <w:t>.</w:t>
      </w:r>
      <w:r>
        <w:rPr>
          <w:rFonts w:ascii="Arial Narrow" w:hAnsi="Arial Narrow" w:cs="Arial Narrow"/>
          <w:sz w:val="22"/>
          <w:szCs w:val="24"/>
        </w:rPr>
        <w:t xml:space="preserve"> </w:t>
      </w:r>
    </w:p>
    <w:p w:rsidR="00C52ECF" w:rsidRPr="00CF5D38" w:rsidP="00C52ECF">
      <w:pPr>
        <w:jc w:val="both"/>
        <w:rPr>
          <w:rFonts w:ascii="Arial Narrow" w:hAnsi="Arial Narrow" w:cs="Arial Narrow"/>
          <w:sz w:val="22"/>
          <w:szCs w:val="24"/>
        </w:rPr>
      </w:pPr>
    </w:p>
    <w:p w:rsidR="00C52ECF" w:rsidP="00C52ECF">
      <w:pPr>
        <w:ind w:firstLine="708"/>
        <w:jc w:val="both"/>
        <w:rPr>
          <w:rFonts w:ascii="Arial Narrow" w:hAnsi="Arial Narrow" w:cs="Arial Narrow"/>
          <w:sz w:val="22"/>
          <w:szCs w:val="24"/>
        </w:rPr>
      </w:pPr>
      <w:r w:rsidRPr="00351D57">
        <w:rPr>
          <w:rFonts w:ascii="Arial Narrow" w:hAnsi="Arial Narrow" w:cs="Arial Narrow"/>
          <w:sz w:val="22"/>
          <w:szCs w:val="24"/>
        </w:rPr>
        <w:t xml:space="preserve">Za predpokladu, že ekonomiky našich obchodných partnerov sa začnú už v roku 2010 oživovať, očakávame, že </w:t>
      </w:r>
      <w:r>
        <w:rPr>
          <w:rFonts w:ascii="Arial Narrow" w:hAnsi="Arial Narrow" w:cs="Arial Narrow"/>
          <w:sz w:val="22"/>
          <w:szCs w:val="24"/>
        </w:rPr>
        <w:t>rok</w:t>
      </w:r>
      <w:r w:rsidRPr="00351D57">
        <w:rPr>
          <w:rFonts w:ascii="Arial Narrow" w:hAnsi="Arial Narrow" w:cs="Arial Narrow"/>
          <w:sz w:val="22"/>
          <w:szCs w:val="24"/>
        </w:rPr>
        <w:t xml:space="preserve"> 2009 bude </w:t>
      </w:r>
      <w:r>
        <w:rPr>
          <w:rFonts w:ascii="Arial Narrow" w:hAnsi="Arial Narrow" w:cs="Arial Narrow"/>
          <w:sz w:val="22"/>
          <w:szCs w:val="24"/>
        </w:rPr>
        <w:t>pre slovenskú ekonomiku predstavovať dno pri poklese HDP o 5,7</w:t>
      </w:r>
      <w:r w:rsidR="001156C8">
        <w:rPr>
          <w:rFonts w:ascii="Arial Narrow" w:hAnsi="Arial Narrow" w:cs="Arial Narrow"/>
          <w:sz w:val="22"/>
          <w:szCs w:val="24"/>
        </w:rPr>
        <w:t xml:space="preserve"> </w:t>
      </w:r>
      <w:r>
        <w:rPr>
          <w:rFonts w:ascii="Arial Narrow" w:hAnsi="Arial Narrow" w:cs="Arial Narrow"/>
          <w:sz w:val="22"/>
          <w:szCs w:val="24"/>
        </w:rPr>
        <w:t>%.</w:t>
      </w:r>
      <w:r w:rsidRPr="00351D57">
        <w:rPr>
          <w:rFonts w:ascii="Arial Narrow" w:hAnsi="Arial Narrow" w:cs="Arial Narrow"/>
          <w:sz w:val="22"/>
          <w:szCs w:val="24"/>
        </w:rPr>
        <w:t xml:space="preserve"> Ďalšie roky by už mali priniesť postupnú akceleráciu rastu </w:t>
      </w:r>
      <w:r>
        <w:rPr>
          <w:rFonts w:ascii="Arial Narrow" w:hAnsi="Arial Narrow" w:cs="Arial Narrow"/>
          <w:sz w:val="22"/>
          <w:szCs w:val="24"/>
        </w:rPr>
        <w:t xml:space="preserve">až </w:t>
      </w:r>
      <w:r w:rsidRPr="00351D57">
        <w:rPr>
          <w:rFonts w:ascii="Arial Narrow" w:hAnsi="Arial Narrow" w:cs="Arial Narrow"/>
          <w:sz w:val="22"/>
          <w:szCs w:val="24"/>
        </w:rPr>
        <w:t xml:space="preserve">na úroveň </w:t>
      </w:r>
      <w:r>
        <w:rPr>
          <w:rFonts w:ascii="Arial Narrow" w:hAnsi="Arial Narrow" w:cs="Arial Narrow"/>
          <w:sz w:val="22"/>
          <w:szCs w:val="24"/>
        </w:rPr>
        <w:t>nad 5</w:t>
      </w:r>
      <w:r w:rsidR="001156C8">
        <w:rPr>
          <w:rFonts w:ascii="Arial Narrow" w:hAnsi="Arial Narrow" w:cs="Arial Narrow"/>
          <w:sz w:val="22"/>
          <w:szCs w:val="24"/>
        </w:rPr>
        <w:t xml:space="preserve"> </w:t>
      </w:r>
      <w:r>
        <w:rPr>
          <w:rFonts w:ascii="Arial Narrow" w:hAnsi="Arial Narrow" w:cs="Arial Narrow"/>
          <w:sz w:val="22"/>
          <w:szCs w:val="24"/>
        </w:rPr>
        <w:t>% v roku 2012. Tempo</w:t>
      </w:r>
      <w:r w:rsidRPr="00351D57">
        <w:rPr>
          <w:rFonts w:ascii="Arial Narrow" w:hAnsi="Arial Narrow" w:cs="Arial Narrow"/>
          <w:sz w:val="22"/>
          <w:szCs w:val="24"/>
        </w:rPr>
        <w:t xml:space="preserve"> však bude v sledovanom horizonte v dôsledku krízy </w:t>
      </w:r>
      <w:r>
        <w:rPr>
          <w:rFonts w:ascii="Arial Narrow" w:hAnsi="Arial Narrow" w:cs="Arial Narrow"/>
          <w:sz w:val="22"/>
          <w:szCs w:val="24"/>
        </w:rPr>
        <w:t xml:space="preserve">výrazne </w:t>
      </w:r>
      <w:r w:rsidRPr="00351D57">
        <w:rPr>
          <w:rFonts w:ascii="Arial Narrow" w:hAnsi="Arial Narrow" w:cs="Arial Narrow"/>
          <w:sz w:val="22"/>
          <w:szCs w:val="24"/>
        </w:rPr>
        <w:t xml:space="preserve">slabšie ako sa pre toto obdobie projektovalo pred vypuknutím krízy. </w:t>
      </w:r>
    </w:p>
    <w:p w:rsidR="00C52ECF" w:rsidRPr="00351D57" w:rsidP="00C52ECF">
      <w:pPr>
        <w:ind w:firstLine="708"/>
        <w:jc w:val="both"/>
        <w:rPr>
          <w:rFonts w:ascii="Arial Narrow" w:hAnsi="Arial Narrow" w:cs="Arial Narrow"/>
          <w:sz w:val="22"/>
          <w:szCs w:val="24"/>
        </w:rPr>
      </w:pPr>
    </w:p>
    <w:p w:rsidR="00C52ECF" w:rsidRPr="00CF5D38" w:rsidP="00C52ECF">
      <w:pPr>
        <w:ind w:firstLine="708"/>
        <w:jc w:val="both"/>
        <w:rPr>
          <w:rFonts w:ascii="Arial Narrow" w:hAnsi="Arial Narrow" w:cs="Arial Narrow"/>
          <w:sz w:val="22"/>
          <w:szCs w:val="24"/>
        </w:rPr>
      </w:pPr>
      <w:r>
        <w:rPr>
          <w:rFonts w:ascii="Arial Narrow" w:hAnsi="Arial Narrow" w:cs="Arial Narrow"/>
          <w:sz w:val="22"/>
          <w:szCs w:val="24"/>
        </w:rPr>
        <w:t xml:space="preserve">Z hľadiska štruktúry dopytu sa výrazne prepadne najmä zahraničný obchod spolu s investíciami, čo bude mať za následok pokles zamestnanosti a spomalenie rastu miezd. Kríza by mala mať relatívne </w:t>
      </w:r>
      <w:r w:rsidRPr="00351D57">
        <w:rPr>
          <w:rFonts w:ascii="Arial Narrow" w:hAnsi="Arial Narrow" w:cs="Arial Narrow"/>
          <w:sz w:val="22"/>
          <w:szCs w:val="24"/>
        </w:rPr>
        <w:t>menší dosah</w:t>
      </w:r>
      <w:r>
        <w:rPr>
          <w:rFonts w:ascii="Arial Narrow" w:hAnsi="Arial Narrow" w:cs="Arial Narrow"/>
          <w:sz w:val="22"/>
          <w:szCs w:val="24"/>
        </w:rPr>
        <w:t xml:space="preserve"> na</w:t>
      </w:r>
      <w:r w:rsidRPr="00351D57">
        <w:rPr>
          <w:rFonts w:ascii="Arial Narrow" w:hAnsi="Arial Narrow" w:cs="Arial Narrow"/>
          <w:sz w:val="22"/>
          <w:szCs w:val="24"/>
        </w:rPr>
        <w:t xml:space="preserve"> rast miezd</w:t>
      </w:r>
      <w:r>
        <w:rPr>
          <w:rFonts w:ascii="Arial Narrow" w:hAnsi="Arial Narrow" w:cs="Arial Narrow"/>
          <w:sz w:val="22"/>
          <w:szCs w:val="24"/>
        </w:rPr>
        <w:t xml:space="preserve"> ako na zamestnanosť</w:t>
      </w:r>
      <w:r w:rsidRPr="00351D57">
        <w:rPr>
          <w:rFonts w:ascii="Arial Narrow" w:hAnsi="Arial Narrow" w:cs="Arial Narrow"/>
          <w:sz w:val="22"/>
          <w:szCs w:val="24"/>
        </w:rPr>
        <w:t xml:space="preserve">, pretože sa predpokladá, že mzdy sú vo všeobecnosti smerom nadol pomerne rigidné. </w:t>
      </w:r>
      <w:r>
        <w:rPr>
          <w:rFonts w:ascii="Arial Narrow" w:hAnsi="Arial Narrow" w:cs="Arial Narrow"/>
          <w:sz w:val="22"/>
          <w:szCs w:val="24"/>
        </w:rPr>
        <w:t xml:space="preserve">S postupným oživením v roku 2010 však začnú všetky ukazovatele opäť rásť, pričom nezamestnanosť tu dosiahne svoje dno.  </w:t>
      </w:r>
      <w:r w:rsidRPr="00FC0513">
        <w:rPr>
          <w:rFonts w:ascii="Arial Narrow" w:hAnsi="Arial Narrow" w:cs="Arial Narrow"/>
          <w:sz w:val="22"/>
          <w:szCs w:val="24"/>
        </w:rPr>
        <w:t>Mierna inflácia v roku 2009 a 2010 je značne ovplyvnená hospodárskou krízou, čo sa navonok prejavuje stagnáciou cien najmä v oblasti potravín a obchodovateľných sektorov. Zníženie hodnôt v predikcii cenového vývoja zasiahlo deflátor HDP</w:t>
      </w:r>
      <w:r>
        <w:rPr>
          <w:rFonts w:ascii="Arial Narrow" w:hAnsi="Arial Narrow" w:cs="Arial Narrow"/>
          <w:sz w:val="22"/>
          <w:szCs w:val="24"/>
        </w:rPr>
        <w:t xml:space="preserve"> a jeho zložiek</w:t>
      </w:r>
      <w:r w:rsidRPr="00FC0513">
        <w:rPr>
          <w:rFonts w:ascii="Arial Narrow" w:hAnsi="Arial Narrow" w:cs="Arial Narrow"/>
          <w:sz w:val="22"/>
          <w:szCs w:val="24"/>
        </w:rPr>
        <w:t>, ktorého vplyvom museli byť následne zredukované aj nominálne veličiny HDP. Vyššia inflácia v roku 2010 v porovnaní s rokom 2009 vychádza</w:t>
      </w:r>
      <w:r>
        <w:rPr>
          <w:rFonts w:ascii="Arial Narrow" w:hAnsi="Arial Narrow" w:cs="Arial Narrow"/>
          <w:sz w:val="22"/>
          <w:szCs w:val="24"/>
        </w:rPr>
        <w:t xml:space="preserve"> z</w:t>
      </w:r>
      <w:r w:rsidRPr="00FC0513">
        <w:rPr>
          <w:rFonts w:ascii="Arial Narrow" w:hAnsi="Arial Narrow" w:cs="Arial Narrow"/>
          <w:sz w:val="22"/>
          <w:szCs w:val="24"/>
        </w:rPr>
        <w:t xml:space="preserve">  mierneho oživenia ekonomiky v druhej polovici roka, ako aj vyprchania bázického efektu z cenových poklesov v roku 2009. Po roku 2010 sa očakáva </w:t>
      </w:r>
      <w:r>
        <w:rPr>
          <w:rFonts w:ascii="Arial Narrow" w:hAnsi="Arial Narrow" w:cs="Arial Narrow"/>
          <w:sz w:val="22"/>
          <w:szCs w:val="24"/>
        </w:rPr>
        <w:t>rýchlejšie</w:t>
      </w:r>
      <w:r w:rsidRPr="00FC0513">
        <w:rPr>
          <w:rFonts w:ascii="Arial Narrow" w:hAnsi="Arial Narrow" w:cs="Arial Narrow"/>
          <w:sz w:val="22"/>
          <w:szCs w:val="24"/>
        </w:rPr>
        <w:t xml:space="preserve"> zvýšenie inflácie z titulu rýchlejšej cenovej konvergencie Slovenska k cenovej úrovni EÚ pri absencii kurzového kanála.</w:t>
      </w:r>
      <w:r w:rsidRPr="008E6FB5">
        <w:rPr>
          <w:rFonts w:ascii="Arial Narrow" w:hAnsi="Arial Narrow" w:cs="Arial Narrow"/>
          <w:sz w:val="22"/>
          <w:szCs w:val="24"/>
        </w:rPr>
        <w:t xml:space="preserve"> </w:t>
      </w:r>
    </w:p>
    <w:p w:rsidR="00C52ECF" w:rsidRPr="009C09FA" w:rsidP="00C52ECF">
      <w:pPr>
        <w:ind w:firstLine="708"/>
        <w:jc w:val="both"/>
        <w:rPr>
          <w:rFonts w:ascii="Arial Narrow" w:hAnsi="Arial Narrow" w:cs="Arial Narrow"/>
          <w:sz w:val="22"/>
          <w:szCs w:val="24"/>
        </w:rPr>
      </w:pPr>
    </w:p>
    <w:p w:rsidR="00C52ECF" w:rsidRPr="00B1233B" w:rsidP="00C52ECF">
      <w:pPr>
        <w:ind w:firstLine="708"/>
        <w:jc w:val="both"/>
        <w:rPr>
          <w:rFonts w:ascii="Arial Narrow" w:hAnsi="Arial Narrow" w:cs="Arial Narrow"/>
          <w:sz w:val="22"/>
          <w:szCs w:val="24"/>
        </w:rPr>
      </w:pPr>
      <w:r w:rsidRPr="00B1233B">
        <w:rPr>
          <w:rFonts w:ascii="Arial Narrow" w:hAnsi="Arial Narrow" w:cs="Arial Narrow"/>
          <w:sz w:val="22"/>
          <w:szCs w:val="24"/>
        </w:rPr>
        <w:t>Aktualizovaná prognóza do roku 2012 odráža vplyv globálnej finančn</w:t>
      </w:r>
      <w:r>
        <w:rPr>
          <w:rFonts w:ascii="Arial Narrow" w:hAnsi="Arial Narrow" w:cs="Arial Narrow"/>
          <w:sz w:val="22"/>
          <w:szCs w:val="24"/>
        </w:rPr>
        <w:t>ej krízy na slovenskú ekonomiku. Prináša preto odchýlky o</w:t>
      </w:r>
      <w:r w:rsidRPr="00B1233B">
        <w:rPr>
          <w:rFonts w:ascii="Arial Narrow" w:hAnsi="Arial Narrow" w:cs="Arial Narrow"/>
          <w:sz w:val="22"/>
          <w:szCs w:val="24"/>
        </w:rPr>
        <w:t xml:space="preserve">d </w:t>
      </w:r>
      <w:r>
        <w:rPr>
          <w:rFonts w:ascii="Arial Narrow" w:hAnsi="Arial Narrow" w:cs="Arial Narrow"/>
          <w:sz w:val="22"/>
          <w:szCs w:val="24"/>
        </w:rPr>
        <w:t>dynamiky vývoja predpokladanej</w:t>
      </w:r>
      <w:r w:rsidRPr="00B1233B">
        <w:rPr>
          <w:rFonts w:ascii="Arial Narrow" w:hAnsi="Arial Narrow" w:cs="Arial Narrow"/>
          <w:sz w:val="22"/>
          <w:szCs w:val="24"/>
        </w:rPr>
        <w:t xml:space="preserve"> pri tvorbe viacročn</w:t>
      </w:r>
      <w:r>
        <w:rPr>
          <w:rFonts w:ascii="Arial Narrow" w:hAnsi="Arial Narrow" w:cs="Arial Narrow"/>
          <w:sz w:val="22"/>
          <w:szCs w:val="24"/>
        </w:rPr>
        <w:t>ého rozpočtu na roky 2009</w:t>
      </w:r>
      <w:r w:rsidR="00CA5050">
        <w:rPr>
          <w:rFonts w:ascii="Arial Narrow" w:hAnsi="Arial Narrow" w:cs="Arial Narrow"/>
          <w:sz w:val="22"/>
          <w:szCs w:val="24"/>
        </w:rPr>
        <w:t xml:space="preserve"> až </w:t>
      </w:r>
      <w:r>
        <w:rPr>
          <w:rFonts w:ascii="Arial Narrow" w:hAnsi="Arial Narrow" w:cs="Arial Narrow"/>
          <w:sz w:val="22"/>
          <w:szCs w:val="24"/>
        </w:rPr>
        <w:t>2011. Zmeny a charakteristiky predikcie možno stručne zhrnúť do nasledujúcich bodov:</w:t>
      </w:r>
    </w:p>
    <w:p w:rsidR="00C52ECF" w:rsidRPr="00B1233B" w:rsidP="00C52ECF">
      <w:pPr>
        <w:ind w:firstLine="708"/>
        <w:jc w:val="both"/>
        <w:rPr>
          <w:rFonts w:ascii="Arial Narrow" w:hAnsi="Arial Narrow" w:cs="Arial Narrow"/>
          <w:sz w:val="22"/>
          <w:szCs w:val="24"/>
        </w:rPr>
      </w:pPr>
    </w:p>
    <w:p w:rsidR="00C52ECF" w:rsidRPr="00B1233B" w:rsidP="00C52ECF">
      <w:pPr>
        <w:numPr>
          <w:numId w:val="9"/>
        </w:numPr>
        <w:autoSpaceDE w:val="0"/>
        <w:autoSpaceDN w:val="0"/>
        <w:jc w:val="both"/>
        <w:rPr>
          <w:rFonts w:ascii="Arial Narrow" w:hAnsi="Arial Narrow" w:cs="Arial Narrow"/>
          <w:sz w:val="22"/>
          <w:szCs w:val="24"/>
        </w:rPr>
      </w:pPr>
      <w:r w:rsidRPr="00874B04">
        <w:rPr>
          <w:rFonts w:ascii="Arial Narrow" w:hAnsi="Arial Narrow" w:cs="Arial Narrow"/>
          <w:b/>
          <w:sz w:val="22"/>
          <w:szCs w:val="24"/>
        </w:rPr>
        <w:t>pokles</w:t>
      </w:r>
      <w:r w:rsidRPr="00B1233B">
        <w:rPr>
          <w:rFonts w:ascii="Arial Narrow" w:hAnsi="Arial Narrow" w:cs="Arial Narrow"/>
          <w:b/>
          <w:sz w:val="22"/>
          <w:szCs w:val="24"/>
        </w:rPr>
        <w:t xml:space="preserve"> HDP</w:t>
      </w:r>
      <w:r w:rsidRPr="00B1233B">
        <w:rPr>
          <w:rFonts w:ascii="Arial Narrow" w:hAnsi="Arial Narrow" w:cs="Arial Narrow"/>
          <w:sz w:val="22"/>
          <w:szCs w:val="24"/>
        </w:rPr>
        <w:t xml:space="preserve"> </w:t>
      </w:r>
      <w:r>
        <w:rPr>
          <w:rFonts w:ascii="Arial Narrow" w:hAnsi="Arial Narrow" w:cs="Arial Narrow"/>
          <w:sz w:val="22"/>
          <w:szCs w:val="24"/>
        </w:rPr>
        <w:t xml:space="preserve">a väčšiny jeho zložiek v roku 2009 a nižší rast v nasledujúcich rokoch </w:t>
      </w:r>
      <w:r w:rsidRPr="00B1233B">
        <w:rPr>
          <w:rFonts w:ascii="Arial Narrow" w:hAnsi="Arial Narrow" w:cs="Arial Narrow"/>
          <w:sz w:val="22"/>
          <w:szCs w:val="24"/>
        </w:rPr>
        <w:t xml:space="preserve">v dôsledku spomalenia rastu u našich najväčších obchodných partnerov; </w:t>
      </w:r>
    </w:p>
    <w:p w:rsidR="00C52ECF" w:rsidRPr="00B1233B" w:rsidP="00C52ECF">
      <w:pPr>
        <w:numPr>
          <w:numId w:val="9"/>
        </w:numPr>
        <w:autoSpaceDE w:val="0"/>
        <w:autoSpaceDN w:val="0"/>
        <w:jc w:val="both"/>
        <w:rPr>
          <w:rFonts w:ascii="Arial Narrow" w:hAnsi="Arial Narrow" w:cs="Arial Narrow"/>
          <w:sz w:val="22"/>
          <w:szCs w:val="24"/>
        </w:rPr>
      </w:pPr>
      <w:r w:rsidRPr="00B1233B">
        <w:rPr>
          <w:rFonts w:ascii="Arial Narrow" w:hAnsi="Arial Narrow" w:cs="Arial Narrow"/>
          <w:b/>
          <w:sz w:val="22"/>
          <w:szCs w:val="24"/>
        </w:rPr>
        <w:t>zahraničný obchod</w:t>
      </w:r>
      <w:r>
        <w:rPr>
          <w:rFonts w:ascii="Arial Narrow" w:hAnsi="Arial Narrow" w:cs="Arial Narrow"/>
          <w:sz w:val="22"/>
          <w:szCs w:val="24"/>
        </w:rPr>
        <w:t xml:space="preserve"> prispeje v roku 2009 </w:t>
      </w:r>
      <w:r w:rsidRPr="00B1233B">
        <w:rPr>
          <w:rFonts w:ascii="Arial Narrow" w:hAnsi="Arial Narrow" w:cs="Arial Narrow"/>
          <w:sz w:val="22"/>
          <w:szCs w:val="24"/>
        </w:rPr>
        <w:t xml:space="preserve">k rastu HDP </w:t>
      </w:r>
      <w:r>
        <w:rPr>
          <w:rFonts w:ascii="Arial Narrow" w:hAnsi="Arial Narrow" w:cs="Arial Narrow"/>
          <w:sz w:val="22"/>
          <w:szCs w:val="24"/>
        </w:rPr>
        <w:t xml:space="preserve">výrazne </w:t>
      </w:r>
      <w:r w:rsidRPr="00B1233B">
        <w:rPr>
          <w:rFonts w:ascii="Arial Narrow" w:hAnsi="Arial Narrow" w:cs="Arial Narrow"/>
          <w:sz w:val="22"/>
          <w:szCs w:val="24"/>
        </w:rPr>
        <w:t>negatívne, v ostatných rokoch zostáva príspevok zahraničného dopytu mierne kladný;</w:t>
      </w:r>
    </w:p>
    <w:p w:rsidR="00C52ECF" w:rsidRPr="00B1233B" w:rsidP="00C52ECF">
      <w:pPr>
        <w:numPr>
          <w:numId w:val="9"/>
        </w:numPr>
        <w:autoSpaceDE w:val="0"/>
        <w:autoSpaceDN w:val="0"/>
        <w:jc w:val="both"/>
        <w:rPr>
          <w:rFonts w:ascii="Arial Narrow" w:hAnsi="Arial Narrow" w:cs="Arial Narrow"/>
          <w:sz w:val="22"/>
          <w:szCs w:val="24"/>
        </w:rPr>
      </w:pPr>
      <w:r>
        <w:rPr>
          <w:rFonts w:ascii="Arial Narrow" w:hAnsi="Arial Narrow" w:cs="Arial Narrow"/>
          <w:sz w:val="22"/>
          <w:szCs w:val="24"/>
        </w:rPr>
        <w:t xml:space="preserve">v dôsledku prepadu HDP a relatívnej </w:t>
      </w:r>
      <w:r w:rsidRPr="00B1233B">
        <w:rPr>
          <w:rFonts w:ascii="Arial Narrow" w:hAnsi="Arial Narrow" w:cs="Arial Narrow"/>
          <w:sz w:val="22"/>
          <w:szCs w:val="24"/>
        </w:rPr>
        <w:t>nepružnosti miezd smerom nadol</w:t>
      </w:r>
      <w:r>
        <w:rPr>
          <w:rFonts w:ascii="Arial Narrow" w:hAnsi="Arial Narrow" w:cs="Arial Narrow"/>
          <w:sz w:val="22"/>
          <w:szCs w:val="24"/>
        </w:rPr>
        <w:t xml:space="preserve"> </w:t>
      </w:r>
      <w:r w:rsidRPr="00B1233B">
        <w:rPr>
          <w:rFonts w:ascii="Arial Narrow" w:hAnsi="Arial Narrow" w:cs="Arial Narrow"/>
          <w:sz w:val="22"/>
          <w:szCs w:val="24"/>
        </w:rPr>
        <w:t xml:space="preserve">rast </w:t>
      </w:r>
      <w:r w:rsidRPr="00B1233B">
        <w:rPr>
          <w:rFonts w:ascii="Arial Narrow" w:hAnsi="Arial Narrow" w:cs="Arial Narrow"/>
          <w:b/>
          <w:sz w:val="22"/>
          <w:szCs w:val="24"/>
        </w:rPr>
        <w:t>priemernej mzdy</w:t>
      </w:r>
      <w:r w:rsidRPr="00B1233B">
        <w:rPr>
          <w:rFonts w:ascii="Arial Narrow" w:hAnsi="Arial Narrow" w:cs="Arial Narrow"/>
          <w:sz w:val="22"/>
          <w:szCs w:val="24"/>
        </w:rPr>
        <w:t xml:space="preserve"> </w:t>
      </w:r>
      <w:r>
        <w:rPr>
          <w:rFonts w:ascii="Arial Narrow" w:hAnsi="Arial Narrow" w:cs="Arial Narrow"/>
          <w:sz w:val="22"/>
          <w:szCs w:val="24"/>
        </w:rPr>
        <w:t>prevýši dynamiku</w:t>
      </w:r>
      <w:r w:rsidRPr="00B1233B">
        <w:rPr>
          <w:rFonts w:ascii="Arial Narrow" w:hAnsi="Arial Narrow" w:cs="Arial Narrow"/>
          <w:sz w:val="22"/>
          <w:szCs w:val="24"/>
        </w:rPr>
        <w:t xml:space="preserve"> produktivity práce, </w:t>
      </w:r>
      <w:r>
        <w:rPr>
          <w:rFonts w:ascii="Arial Narrow" w:hAnsi="Arial Narrow" w:cs="Arial Narrow"/>
          <w:sz w:val="22"/>
          <w:szCs w:val="24"/>
        </w:rPr>
        <w:t xml:space="preserve"> </w:t>
      </w:r>
      <w:r w:rsidRPr="00B1233B">
        <w:rPr>
          <w:rFonts w:ascii="Arial Narrow" w:hAnsi="Arial Narrow" w:cs="Arial Narrow"/>
          <w:sz w:val="22"/>
          <w:szCs w:val="24"/>
        </w:rPr>
        <w:t>avšak v</w:t>
      </w:r>
      <w:r>
        <w:rPr>
          <w:rFonts w:ascii="Arial Narrow" w:hAnsi="Arial Narrow" w:cs="Arial Narrow"/>
          <w:sz w:val="22"/>
          <w:szCs w:val="24"/>
        </w:rPr>
        <w:t xml:space="preserve"> nasledujúcich rokoch by </w:t>
      </w:r>
      <w:r w:rsidRPr="00B1233B">
        <w:rPr>
          <w:rFonts w:ascii="Arial Narrow" w:hAnsi="Arial Narrow" w:cs="Arial Narrow"/>
          <w:sz w:val="22"/>
          <w:szCs w:val="24"/>
        </w:rPr>
        <w:t>mal</w:t>
      </w:r>
      <w:r>
        <w:rPr>
          <w:rFonts w:ascii="Arial Narrow" w:hAnsi="Arial Narrow" w:cs="Arial Narrow"/>
          <w:sz w:val="22"/>
          <w:szCs w:val="24"/>
        </w:rPr>
        <w:t>i</w:t>
      </w:r>
      <w:r w:rsidRPr="00B1233B">
        <w:rPr>
          <w:rFonts w:ascii="Arial Narrow" w:hAnsi="Arial Narrow" w:cs="Arial Narrow"/>
          <w:sz w:val="22"/>
          <w:szCs w:val="24"/>
        </w:rPr>
        <w:t xml:space="preserve"> </w:t>
      </w:r>
      <w:r>
        <w:rPr>
          <w:rFonts w:ascii="Arial Narrow" w:hAnsi="Arial Narrow" w:cs="Arial Narrow"/>
          <w:sz w:val="22"/>
          <w:szCs w:val="24"/>
        </w:rPr>
        <w:t>mzdy a produktivita opäť rásť približne rovnakým tempom</w:t>
      </w:r>
      <w:r w:rsidRPr="00B1233B">
        <w:rPr>
          <w:rFonts w:ascii="Arial Narrow" w:hAnsi="Arial Narrow" w:cs="Arial Narrow"/>
          <w:sz w:val="22"/>
          <w:szCs w:val="24"/>
        </w:rPr>
        <w:t>;</w:t>
      </w:r>
    </w:p>
    <w:p w:rsidR="00C52ECF" w:rsidRPr="00B1233B" w:rsidP="00C52ECF">
      <w:pPr>
        <w:numPr>
          <w:numId w:val="9"/>
        </w:numPr>
        <w:jc w:val="both"/>
        <w:rPr>
          <w:rFonts w:ascii="Arial Narrow" w:hAnsi="Arial Narrow" w:cs="Arial Narrow"/>
          <w:sz w:val="22"/>
          <w:szCs w:val="24"/>
        </w:rPr>
      </w:pPr>
      <w:r>
        <w:rPr>
          <w:rFonts w:ascii="Arial Narrow" w:hAnsi="Arial Narrow" w:cs="Arial Narrow"/>
          <w:sz w:val="22"/>
          <w:szCs w:val="24"/>
        </w:rPr>
        <w:t xml:space="preserve">vplyvom nepriaznivého vývoja dôjde k zhoršeniu vývoja </w:t>
      </w:r>
      <w:r w:rsidRPr="00B1233B">
        <w:rPr>
          <w:rFonts w:ascii="Arial Narrow" w:hAnsi="Arial Narrow" w:cs="Arial Narrow"/>
          <w:b/>
          <w:sz w:val="22"/>
          <w:szCs w:val="24"/>
        </w:rPr>
        <w:t>bilancie bežného účtu</w:t>
      </w:r>
      <w:r w:rsidRPr="00B1233B">
        <w:rPr>
          <w:rFonts w:ascii="Arial Narrow" w:hAnsi="Arial Narrow" w:cs="Arial Narrow"/>
          <w:sz w:val="22"/>
          <w:szCs w:val="24"/>
        </w:rPr>
        <w:t xml:space="preserve"> </w:t>
      </w:r>
      <w:r>
        <w:rPr>
          <w:rFonts w:ascii="Arial Narrow" w:hAnsi="Arial Narrow" w:cs="Arial Narrow"/>
          <w:sz w:val="22"/>
          <w:szCs w:val="24"/>
        </w:rPr>
        <w:t xml:space="preserve">v roku 2009 a 2010; </w:t>
      </w:r>
    </w:p>
    <w:p w:rsidR="00C52ECF" w:rsidP="00C52ECF">
      <w:pPr>
        <w:numPr>
          <w:numId w:val="9"/>
        </w:numPr>
        <w:autoSpaceDE w:val="0"/>
        <w:autoSpaceDN w:val="0"/>
        <w:jc w:val="both"/>
        <w:rPr>
          <w:rFonts w:ascii="Arial Narrow" w:hAnsi="Arial Narrow" w:cs="Arial Narrow"/>
          <w:sz w:val="22"/>
          <w:szCs w:val="24"/>
        </w:rPr>
      </w:pPr>
      <w:r w:rsidRPr="00B1233B">
        <w:rPr>
          <w:rFonts w:ascii="Arial Narrow" w:hAnsi="Arial Narrow" w:cs="Arial Narrow"/>
          <w:sz w:val="22"/>
          <w:szCs w:val="24"/>
        </w:rPr>
        <w:t>nárast</w:t>
      </w:r>
      <w:r w:rsidRPr="00B1233B">
        <w:rPr>
          <w:rFonts w:ascii="Arial Narrow" w:hAnsi="Arial Narrow" w:cs="Arial Narrow"/>
          <w:b/>
          <w:sz w:val="22"/>
          <w:szCs w:val="24"/>
        </w:rPr>
        <w:t xml:space="preserve"> miery nezamestnanosti</w:t>
      </w:r>
      <w:r w:rsidRPr="00B1233B">
        <w:rPr>
          <w:rFonts w:ascii="Arial Narrow" w:hAnsi="Arial Narrow" w:cs="Arial Narrow"/>
          <w:sz w:val="22"/>
          <w:szCs w:val="24"/>
        </w:rPr>
        <w:t xml:space="preserve"> v roku 2009</w:t>
      </w:r>
      <w:r>
        <w:rPr>
          <w:rFonts w:ascii="Arial Narrow" w:hAnsi="Arial Narrow" w:cs="Arial Narrow"/>
          <w:sz w:val="22"/>
          <w:szCs w:val="24"/>
        </w:rPr>
        <w:t xml:space="preserve"> a 2010</w:t>
      </w:r>
      <w:r w:rsidRPr="00B1233B">
        <w:rPr>
          <w:rFonts w:ascii="Arial Narrow" w:hAnsi="Arial Narrow" w:cs="Arial Narrow"/>
          <w:sz w:val="22"/>
          <w:szCs w:val="24"/>
        </w:rPr>
        <w:t xml:space="preserve"> a jej </w:t>
      </w:r>
      <w:r>
        <w:rPr>
          <w:rFonts w:ascii="Arial Narrow" w:hAnsi="Arial Narrow" w:cs="Arial Narrow"/>
          <w:sz w:val="22"/>
          <w:szCs w:val="24"/>
        </w:rPr>
        <w:t>mierne zlepšovanie</w:t>
      </w:r>
      <w:r w:rsidRPr="00B1233B">
        <w:rPr>
          <w:rFonts w:ascii="Arial Narrow" w:hAnsi="Arial Narrow" w:cs="Arial Narrow"/>
          <w:sz w:val="22"/>
          <w:szCs w:val="24"/>
        </w:rPr>
        <w:t xml:space="preserve"> v ostatných rokoch;</w:t>
      </w:r>
    </w:p>
    <w:p w:rsidR="00C52ECF" w:rsidRPr="00F35CD7" w:rsidP="00C52ECF">
      <w:pPr>
        <w:jc w:val="both"/>
        <w:rPr>
          <w:rFonts w:ascii="Arial Narrow" w:hAnsi="Arial Narrow" w:cs="Arial Narrow"/>
          <w:b/>
          <w:sz w:val="22"/>
          <w:szCs w:val="24"/>
          <w:highlight w:val="green"/>
        </w:rPr>
      </w:pPr>
    </w:p>
    <w:p w:rsidR="00C52ECF" w:rsidRPr="00B1233B" w:rsidP="00C52ECF">
      <w:pPr>
        <w:ind w:firstLine="708"/>
        <w:jc w:val="both"/>
        <w:rPr>
          <w:rFonts w:ascii="Arial Narrow" w:hAnsi="Arial Narrow" w:cs="Arial Narrow"/>
          <w:sz w:val="22"/>
          <w:szCs w:val="24"/>
        </w:rPr>
      </w:pPr>
      <w:r>
        <w:rPr>
          <w:rFonts w:ascii="Arial Narrow" w:hAnsi="Arial Narrow" w:cs="Arial Narrow"/>
          <w:sz w:val="22"/>
          <w:szCs w:val="24"/>
        </w:rPr>
        <w:t>Každá predikcia je sprevádzaná rizikom naplnenia predpokladov, obzvlášť to platí pre prognózu vývoja ekonomiky v období hlbokej globálnej krízy. V daných podmienkach m</w:t>
      </w:r>
      <w:r w:rsidRPr="00B1233B">
        <w:rPr>
          <w:rFonts w:ascii="Arial Narrow" w:hAnsi="Arial Narrow" w:cs="Arial Narrow"/>
          <w:sz w:val="22"/>
          <w:szCs w:val="24"/>
        </w:rPr>
        <w:t>edzi</w:t>
      </w:r>
      <w:r>
        <w:rPr>
          <w:rFonts w:ascii="Arial Narrow" w:hAnsi="Arial Narrow" w:cs="Arial Narrow"/>
          <w:sz w:val="22"/>
          <w:szCs w:val="24"/>
        </w:rPr>
        <w:t xml:space="preserve"> hlavné</w:t>
      </w:r>
      <w:r w:rsidRPr="00B1233B">
        <w:rPr>
          <w:rFonts w:ascii="Arial Narrow" w:hAnsi="Arial Narrow" w:cs="Arial Narrow"/>
          <w:b/>
          <w:sz w:val="22"/>
          <w:szCs w:val="24"/>
        </w:rPr>
        <w:t xml:space="preserve"> riziká</w:t>
      </w:r>
      <w:r w:rsidRPr="00B1233B">
        <w:rPr>
          <w:rFonts w:ascii="Arial Narrow" w:hAnsi="Arial Narrow" w:cs="Arial Narrow"/>
          <w:sz w:val="22"/>
          <w:szCs w:val="24"/>
        </w:rPr>
        <w:t xml:space="preserve"> prognózy patrí </w:t>
      </w:r>
      <w:r>
        <w:rPr>
          <w:rFonts w:ascii="Arial Narrow" w:hAnsi="Arial Narrow" w:cs="Arial Narrow"/>
          <w:sz w:val="22"/>
          <w:szCs w:val="24"/>
        </w:rPr>
        <w:t>preto predpoklad o oživení  zahraničného dopytu už v roku 2010. Je možné že súčasný pozitívny vývoj je do veľkej miery spôsobený protikrízovými opatreniami, a po ukončení ich pôsobenia bude ekonomika pokračovať v recesii. Pokles reálnej ekonomiky sa môže prejaviť v prehlbovaní krízy vo finančnom sektore, čo s rastúcou zadlženosťou krajín a potrebou refinancovania dlhu v súvislosti s výpadkom príjmov a záchrannými balíčkami môže podkopať stabilitu finančného systému. Prípadný s</w:t>
      </w:r>
      <w:r w:rsidRPr="00B1233B">
        <w:rPr>
          <w:rFonts w:ascii="Arial Narrow" w:hAnsi="Arial Narrow" w:cs="Arial Narrow"/>
          <w:sz w:val="22"/>
          <w:szCs w:val="24"/>
        </w:rPr>
        <w:t>labší ekonomický rast hlavných obchodných partnerov by sa odrazi</w:t>
      </w:r>
      <w:r>
        <w:rPr>
          <w:rFonts w:ascii="Arial Narrow" w:hAnsi="Arial Narrow" w:cs="Arial Narrow"/>
          <w:sz w:val="22"/>
          <w:szCs w:val="24"/>
        </w:rPr>
        <w:t>l</w:t>
      </w:r>
      <w:r w:rsidRPr="00B1233B">
        <w:rPr>
          <w:rFonts w:ascii="Arial Narrow" w:hAnsi="Arial Narrow" w:cs="Arial Narrow"/>
          <w:sz w:val="22"/>
          <w:szCs w:val="24"/>
        </w:rPr>
        <w:t xml:space="preserve"> v</w:t>
      </w:r>
      <w:r>
        <w:rPr>
          <w:rFonts w:ascii="Arial Narrow" w:hAnsi="Arial Narrow" w:cs="Arial Narrow"/>
          <w:sz w:val="22"/>
          <w:szCs w:val="24"/>
        </w:rPr>
        <w:t> horšom vývoji</w:t>
      </w:r>
      <w:r w:rsidRPr="00B1233B">
        <w:rPr>
          <w:rFonts w:ascii="Arial Narrow" w:hAnsi="Arial Narrow" w:cs="Arial Narrow"/>
          <w:sz w:val="22"/>
          <w:szCs w:val="24"/>
        </w:rPr>
        <w:t xml:space="preserve"> </w:t>
      </w:r>
      <w:r>
        <w:rPr>
          <w:rFonts w:ascii="Arial Narrow" w:hAnsi="Arial Narrow" w:cs="Arial Narrow"/>
          <w:sz w:val="22"/>
          <w:szCs w:val="24"/>
        </w:rPr>
        <w:t xml:space="preserve">slovenského exportu, ktorý je </w:t>
      </w:r>
      <w:r w:rsidRPr="00B1233B">
        <w:rPr>
          <w:rFonts w:ascii="Arial Narrow" w:hAnsi="Arial Narrow" w:cs="Arial Narrow"/>
          <w:sz w:val="22"/>
          <w:szCs w:val="24"/>
        </w:rPr>
        <w:t xml:space="preserve">hlavným stimulom </w:t>
      </w:r>
      <w:r>
        <w:rPr>
          <w:rFonts w:ascii="Arial Narrow" w:hAnsi="Arial Narrow" w:cs="Arial Narrow"/>
          <w:sz w:val="22"/>
          <w:szCs w:val="24"/>
        </w:rPr>
        <w:t>pre opätovné naštartovanie ekonomiky</w:t>
      </w:r>
      <w:r w:rsidRPr="00B1233B">
        <w:rPr>
          <w:rFonts w:ascii="Arial Narrow" w:hAnsi="Arial Narrow" w:cs="Arial Narrow"/>
          <w:sz w:val="22"/>
          <w:szCs w:val="24"/>
        </w:rPr>
        <w:t xml:space="preserve"> SR.</w:t>
      </w:r>
      <w:r>
        <w:rPr>
          <w:rFonts w:ascii="Arial Narrow" w:hAnsi="Arial Narrow" w:cs="Arial Narrow"/>
          <w:sz w:val="22"/>
          <w:szCs w:val="24"/>
        </w:rPr>
        <w:t xml:space="preserve"> Hlbší pokles jej výkonnosti by bol sprevádzaný slabším investičným procesom, menšími pracovnými príležitosťami a mzdami a nižšou dynamikou súkromnej spotreby než predpokladá aktualizovaná prognóza.</w:t>
      </w:r>
      <w:r w:rsidRPr="00B1233B">
        <w:rPr>
          <w:rFonts w:ascii="Arial Narrow" w:hAnsi="Arial Narrow" w:cs="Arial Narrow"/>
          <w:sz w:val="22"/>
          <w:szCs w:val="24"/>
        </w:rPr>
        <w:t xml:space="preserve"> </w:t>
      </w:r>
    </w:p>
    <w:p w:rsidR="00C52ECF" w:rsidP="00C52ECF">
      <w:pPr>
        <w:ind w:firstLine="708"/>
        <w:jc w:val="both"/>
        <w:rPr>
          <w:rFonts w:ascii="Arial Narrow" w:hAnsi="Arial Narrow" w:cs="Arial Narrow"/>
          <w:sz w:val="22"/>
          <w:szCs w:val="24"/>
        </w:rPr>
      </w:pPr>
    </w:p>
    <w:p w:rsidR="00C52ECF" w:rsidP="00C52ECF">
      <w:pPr>
        <w:pStyle w:val="BodyText2"/>
        <w:spacing w:line="240" w:lineRule="auto"/>
        <w:jc w:val="both"/>
        <w:rPr>
          <w:rFonts w:ascii="Arial Narrow" w:hAnsi="Arial Narrow" w:cs="Arial Narrow"/>
          <w:sz w:val="22"/>
          <w:szCs w:val="24"/>
        </w:rPr>
      </w:pPr>
      <w:r w:rsidRPr="00010E39">
        <w:rPr>
          <w:rFonts w:ascii="Arial Narrow" w:hAnsi="Arial Narrow" w:cs="Arial Narrow"/>
          <w:sz w:val="22"/>
          <w:szCs w:val="24"/>
        </w:rPr>
        <w:t>Očakávaný vývoj hlavných makroekonomických indikátorov je obsiahnutý v nasledujúcej tabuľke</w:t>
      </w:r>
      <w:r w:rsidRPr="00331DFF">
        <w:rPr>
          <w:rFonts w:ascii="Arial Narrow" w:hAnsi="Arial Narrow" w:cs="Arial Narrow"/>
          <w:sz w:val="22"/>
          <w:szCs w:val="24"/>
        </w:rPr>
        <w:t>:</w:t>
      </w:r>
      <w:r w:rsidRPr="00010E39">
        <w:rPr>
          <w:rFonts w:ascii="Arial Narrow" w:hAnsi="Arial Narrow" w:cs="Arial Narrow"/>
          <w:sz w:val="22"/>
          <w:szCs w:val="24"/>
        </w:rPr>
        <w:t xml:space="preserve"> </w:t>
      </w: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p w:rsidR="007265B4" w:rsidP="00C52ECF">
      <w:pPr>
        <w:pStyle w:val="BodyText2"/>
        <w:spacing w:line="240" w:lineRule="auto"/>
        <w:jc w:val="both"/>
        <w:rPr>
          <w:rFonts w:ascii="Arial Narrow" w:hAnsi="Arial Narrow" w:cs="Arial Narrow"/>
          <w:sz w:val="22"/>
          <w:szCs w:val="24"/>
        </w:rPr>
      </w:pPr>
    </w:p>
    <w:tbl>
      <w:tblPr>
        <w:tblStyle w:val="TableNormal"/>
        <w:tblW w:w="8721" w:type="dxa"/>
        <w:tblInd w:w="55" w:type="dxa"/>
        <w:tblLayout w:type="fixed"/>
        <w:tblCellMar>
          <w:left w:w="70" w:type="dxa"/>
          <w:right w:w="70" w:type="dxa"/>
        </w:tblCellMar>
      </w:tblPr>
      <w:tblGrid>
        <w:gridCol w:w="402"/>
        <w:gridCol w:w="3573"/>
        <w:gridCol w:w="720"/>
        <w:gridCol w:w="1081"/>
        <w:gridCol w:w="719"/>
        <w:gridCol w:w="725"/>
        <w:gridCol w:w="720"/>
        <w:gridCol w:w="781"/>
      </w:tblGrid>
      <w:tr>
        <w:tblPrEx>
          <w:tblW w:w="8721" w:type="dxa"/>
          <w:tblInd w:w="55" w:type="dxa"/>
          <w:tblLayout w:type="fixed"/>
          <w:tblCellMar>
            <w:left w:w="70" w:type="dxa"/>
            <w:right w:w="70" w:type="dxa"/>
          </w:tblCellMar>
        </w:tblPrEx>
        <w:trPr>
          <w:trHeight w:val="284"/>
        </w:trPr>
        <w:tc>
          <w:tcPr>
            <w:tcW w:w="8721" w:type="dxa"/>
            <w:gridSpan w:val="8"/>
            <w:tcBorders>
              <w:top w:val="nil"/>
              <w:left w:val="single" w:sz="8" w:space="0" w:color="auto"/>
              <w:bottom w:val="nil"/>
              <w:right w:val="nil"/>
            </w:tcBorders>
            <w:shd w:val="clear" w:color="auto" w:fill="000000"/>
            <w:noWrap/>
            <w:textDirection w:val="lrTb"/>
            <w:vAlign w:val="bottom"/>
          </w:tcPr>
          <w:p w:rsidR="00C52ECF" w:rsidRPr="00B1233B" w:rsidP="00A003A3">
            <w:pPr>
              <w:rPr>
                <w:rFonts w:ascii="Arial Narrow" w:hAnsi="Arial Narrow" w:cs="Arial Narrow"/>
                <w:b/>
                <w:color w:val="FFFFFF"/>
                <w:sz w:val="18"/>
                <w:szCs w:val="24"/>
                <w:lang w:eastAsia="sk-SK"/>
              </w:rPr>
            </w:pPr>
            <w:r w:rsidRPr="00B1233B">
              <w:rPr>
                <w:rFonts w:ascii="Arial Narrow" w:hAnsi="Arial Narrow" w:cs="Arial Narrow"/>
                <w:b/>
                <w:color w:val="FFFFFF"/>
                <w:sz w:val="18"/>
                <w:szCs w:val="24"/>
                <w:lang w:eastAsia="sk-SK"/>
              </w:rPr>
              <w:t> Prognóza vybraných indikátorov vývoja ekonomiky SR (</w:t>
            </w:r>
            <w:r w:rsidR="003F11C4">
              <w:rPr>
                <w:rFonts w:ascii="Arial Narrow" w:hAnsi="Arial Narrow" w:cs="Arial Narrow"/>
                <w:b/>
                <w:color w:val="FFFFFF"/>
                <w:sz w:val="18"/>
                <w:szCs w:val="24"/>
                <w:lang w:eastAsia="sk-SK"/>
              </w:rPr>
              <w:t>september</w:t>
            </w:r>
            <w:r w:rsidRPr="00B1233B">
              <w:rPr>
                <w:rFonts w:ascii="Arial Narrow" w:hAnsi="Arial Narrow" w:cs="Arial Narrow"/>
                <w:b/>
                <w:color w:val="FFFFFF"/>
                <w:sz w:val="18"/>
                <w:szCs w:val="24"/>
                <w:lang w:eastAsia="sk-SK"/>
              </w:rPr>
              <w:t xml:space="preserve"> 2009)</w:t>
            </w:r>
          </w:p>
        </w:tc>
      </w:tr>
      <w:tr>
        <w:tblPrEx>
          <w:tblW w:w="8721" w:type="dxa"/>
          <w:tblInd w:w="55" w:type="dxa"/>
          <w:tblLayout w:type="fixed"/>
          <w:tblCellMar>
            <w:left w:w="70" w:type="dxa"/>
            <w:right w:w="70" w:type="dxa"/>
          </w:tblCellMar>
        </w:tblPrEx>
        <w:trPr>
          <w:trHeight w:val="284"/>
        </w:trPr>
        <w:tc>
          <w:tcPr>
            <w:tcW w:w="402" w:type="dxa"/>
            <w:vMerge w:val="restart"/>
            <w:tcBorders>
              <w:top w:val="single" w:sz="8" w:space="0" w:color="auto"/>
              <w:left w:val="single" w:sz="8" w:space="0" w:color="C0C0C0"/>
              <w:bottom w:val="single" w:sz="8" w:space="0" w:color="000000"/>
              <w:right w:val="single" w:sz="8" w:space="0" w:color="C0C0C0"/>
            </w:tcBorders>
            <w:shd w:val="clear" w:color="auto" w:fill="C0C0C0"/>
            <w:noWrap/>
            <w:textDirection w:val="lrTb"/>
            <w:vAlign w:val="bottom"/>
          </w:tcPr>
          <w:p w:rsidR="00C52ECF" w:rsidRPr="00B1233B" w:rsidP="00A003A3">
            <w:pPr>
              <w:rPr>
                <w:rFonts w:ascii="Arial Narrow" w:hAnsi="Arial Narrow" w:cs="Arial Narrow"/>
                <w:b/>
                <w:sz w:val="18"/>
                <w:szCs w:val="24"/>
                <w:lang w:eastAsia="sk-SK"/>
              </w:rPr>
            </w:pPr>
          </w:p>
        </w:tc>
        <w:tc>
          <w:tcPr>
            <w:tcW w:w="3573" w:type="dxa"/>
            <w:vMerge w:val="restart"/>
            <w:tcBorders>
              <w:top w:val="single" w:sz="8" w:space="0" w:color="auto"/>
              <w:left w:val="single" w:sz="8" w:space="0" w:color="C0C0C0"/>
              <w:bottom w:val="single" w:sz="8" w:space="0" w:color="000000"/>
              <w:right w:val="single" w:sz="8" w:space="0" w:color="C0C0C0"/>
            </w:tcBorders>
            <w:shd w:val="clear" w:color="auto" w:fill="C0C0C0"/>
            <w:noWrap/>
            <w:textDirection w:val="lrTb"/>
            <w:vAlign w:val="bottom"/>
          </w:tcPr>
          <w:p w:rsidR="00C52ECF" w:rsidRPr="00B1233B" w:rsidP="00A003A3">
            <w:pPr>
              <w:rPr>
                <w:rFonts w:ascii="Arial Narrow" w:hAnsi="Arial Narrow" w:cs="Arial Narrow"/>
                <w:b/>
                <w:sz w:val="18"/>
                <w:szCs w:val="24"/>
                <w:lang w:eastAsia="sk-SK"/>
              </w:rPr>
            </w:pPr>
            <w:r w:rsidRPr="00B1233B">
              <w:rPr>
                <w:rFonts w:ascii="Arial Narrow" w:hAnsi="Arial Narrow" w:cs="Arial Narrow"/>
                <w:b/>
                <w:sz w:val="18"/>
                <w:szCs w:val="24"/>
                <w:lang w:eastAsia="sk-SK"/>
              </w:rPr>
              <w:t>Ukazovateľ</w:t>
            </w:r>
          </w:p>
        </w:tc>
        <w:tc>
          <w:tcPr>
            <w:tcW w:w="720" w:type="dxa"/>
            <w:tcBorders>
              <w:top w:val="nil"/>
              <w:left w:val="nil"/>
              <w:bottom w:val="single" w:sz="8" w:space="0" w:color="C0C0C0"/>
              <w:right w:val="single" w:sz="8" w:space="0" w:color="C0C0C0"/>
            </w:tcBorders>
            <w:shd w:val="clear" w:color="auto" w:fill="C0C0C0"/>
            <w:noWrap/>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 </w:t>
            </w:r>
          </w:p>
        </w:tc>
        <w:tc>
          <w:tcPr>
            <w:tcW w:w="1081" w:type="dxa"/>
            <w:tcBorders>
              <w:top w:val="nil"/>
              <w:left w:val="nil"/>
              <w:bottom w:val="single" w:sz="8" w:space="0" w:color="C0C0C0"/>
              <w:right w:val="single" w:sz="8" w:space="0" w:color="C0C0C0"/>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Pr>
                <w:rFonts w:ascii="Arial Narrow" w:hAnsi="Arial Narrow" w:cs="Arial Narrow"/>
                <w:b/>
                <w:sz w:val="18"/>
                <w:szCs w:val="24"/>
                <w:lang w:eastAsia="sk-SK"/>
              </w:rPr>
              <w:t>Skutočnosť</w:t>
            </w:r>
          </w:p>
        </w:tc>
        <w:tc>
          <w:tcPr>
            <w:tcW w:w="2945" w:type="dxa"/>
            <w:gridSpan w:val="4"/>
            <w:tcBorders>
              <w:top w:val="nil"/>
              <w:left w:val="nil"/>
              <w:bottom w:val="nil"/>
              <w:right w:val="nil"/>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Prognóza</w:t>
            </w:r>
          </w:p>
        </w:tc>
      </w:tr>
      <w:tr>
        <w:tblPrEx>
          <w:tblW w:w="8721" w:type="dxa"/>
          <w:tblInd w:w="55" w:type="dxa"/>
          <w:tblLayout w:type="fixed"/>
          <w:tblCellMar>
            <w:left w:w="70" w:type="dxa"/>
            <w:right w:w="70" w:type="dxa"/>
          </w:tblCellMar>
        </w:tblPrEx>
        <w:trPr>
          <w:trHeight w:val="284"/>
        </w:trPr>
        <w:tc>
          <w:tcPr>
            <w:tcW w:w="402" w:type="dxa"/>
            <w:vMerge/>
            <w:tcBorders>
              <w:top w:val="single" w:sz="8" w:space="0" w:color="auto"/>
              <w:left w:val="single" w:sz="8" w:space="0" w:color="C0C0C0"/>
              <w:bottom w:val="single" w:sz="8" w:space="0" w:color="000000"/>
              <w:right w:val="single" w:sz="8" w:space="0" w:color="C0C0C0"/>
            </w:tcBorders>
            <w:textDirection w:val="lrTb"/>
            <w:vAlign w:val="center"/>
          </w:tcPr>
          <w:p w:rsidR="00C52ECF" w:rsidRPr="00B1233B" w:rsidP="00A003A3">
            <w:pPr>
              <w:rPr>
                <w:rFonts w:ascii="Arial Narrow" w:hAnsi="Arial Narrow" w:cs="Arial Narrow"/>
                <w:b/>
                <w:sz w:val="18"/>
                <w:szCs w:val="24"/>
                <w:lang w:eastAsia="sk-SK"/>
              </w:rPr>
            </w:pPr>
          </w:p>
        </w:tc>
        <w:tc>
          <w:tcPr>
            <w:tcW w:w="3573" w:type="dxa"/>
            <w:vMerge/>
            <w:tcBorders>
              <w:top w:val="single" w:sz="8" w:space="0" w:color="auto"/>
              <w:left w:val="single" w:sz="8" w:space="0" w:color="C0C0C0"/>
              <w:bottom w:val="single" w:sz="8" w:space="0" w:color="000000"/>
              <w:right w:val="single" w:sz="8" w:space="0" w:color="C0C0C0"/>
            </w:tcBorders>
            <w:textDirection w:val="lrTb"/>
            <w:vAlign w:val="center"/>
          </w:tcPr>
          <w:p w:rsidR="00C52ECF" w:rsidRPr="00B1233B" w:rsidP="00A003A3">
            <w:pPr>
              <w:rPr>
                <w:rFonts w:ascii="Arial Narrow" w:hAnsi="Arial Narrow" w:cs="Arial Narrow"/>
                <w:b/>
                <w:sz w:val="18"/>
                <w:szCs w:val="24"/>
                <w:lang w:eastAsia="sk-SK"/>
              </w:rPr>
            </w:pPr>
          </w:p>
        </w:tc>
        <w:tc>
          <w:tcPr>
            <w:tcW w:w="720" w:type="dxa"/>
            <w:tcBorders>
              <w:top w:val="nil"/>
              <w:left w:val="nil"/>
              <w:bottom w:val="single" w:sz="8" w:space="0" w:color="auto"/>
              <w:right w:val="single" w:sz="8" w:space="0" w:color="C0C0C0"/>
            </w:tcBorders>
            <w:shd w:val="clear" w:color="auto" w:fill="C0C0C0"/>
            <w:noWrap/>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m.j.</w:t>
            </w:r>
          </w:p>
        </w:tc>
        <w:tc>
          <w:tcPr>
            <w:tcW w:w="1081" w:type="dxa"/>
            <w:tcBorders>
              <w:top w:val="nil"/>
              <w:left w:val="nil"/>
              <w:bottom w:val="single" w:sz="8" w:space="0" w:color="auto"/>
              <w:right w:val="single" w:sz="8" w:space="0" w:color="C0C0C0"/>
            </w:tcBorders>
            <w:shd w:val="clear" w:color="auto" w:fill="C0C0C0"/>
            <w:noWrap/>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200</w:t>
            </w:r>
            <w:r>
              <w:rPr>
                <w:rFonts w:ascii="Arial Narrow" w:hAnsi="Arial Narrow" w:cs="Arial Narrow"/>
                <w:b/>
                <w:sz w:val="18"/>
                <w:szCs w:val="24"/>
                <w:lang w:eastAsia="sk-SK"/>
              </w:rPr>
              <w:t>8</w:t>
            </w:r>
          </w:p>
        </w:tc>
        <w:tc>
          <w:tcPr>
            <w:tcW w:w="719" w:type="dxa"/>
            <w:tcBorders>
              <w:top w:val="nil"/>
              <w:left w:val="nil"/>
              <w:bottom w:val="single" w:sz="8" w:space="0" w:color="auto"/>
              <w:right w:val="single" w:sz="8" w:space="0" w:color="C0C0C0"/>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200</w:t>
            </w:r>
            <w:r>
              <w:rPr>
                <w:rFonts w:ascii="Arial Narrow" w:hAnsi="Arial Narrow" w:cs="Arial Narrow"/>
                <w:b/>
                <w:sz w:val="18"/>
                <w:szCs w:val="24"/>
                <w:lang w:eastAsia="sk-SK"/>
              </w:rPr>
              <w:t>9</w:t>
            </w:r>
          </w:p>
        </w:tc>
        <w:tc>
          <w:tcPr>
            <w:tcW w:w="725" w:type="dxa"/>
            <w:tcBorders>
              <w:top w:val="nil"/>
              <w:left w:val="nil"/>
              <w:bottom w:val="single" w:sz="8" w:space="0" w:color="auto"/>
              <w:right w:val="single" w:sz="8" w:space="0" w:color="C0C0C0"/>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20</w:t>
            </w:r>
            <w:r>
              <w:rPr>
                <w:rFonts w:ascii="Arial Narrow" w:hAnsi="Arial Narrow" w:cs="Arial Narrow"/>
                <w:b/>
                <w:sz w:val="18"/>
                <w:szCs w:val="24"/>
                <w:lang w:eastAsia="sk-SK"/>
              </w:rPr>
              <w:t>10</w:t>
            </w:r>
          </w:p>
        </w:tc>
        <w:tc>
          <w:tcPr>
            <w:tcW w:w="720" w:type="dxa"/>
            <w:tcBorders>
              <w:top w:val="nil"/>
              <w:left w:val="nil"/>
              <w:bottom w:val="single" w:sz="8" w:space="0" w:color="auto"/>
              <w:right w:val="single" w:sz="8" w:space="0" w:color="C0C0C0"/>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201</w:t>
            </w:r>
            <w:r>
              <w:rPr>
                <w:rFonts w:ascii="Arial Narrow" w:hAnsi="Arial Narrow" w:cs="Arial Narrow"/>
                <w:b/>
                <w:sz w:val="18"/>
                <w:szCs w:val="24"/>
                <w:lang w:eastAsia="sk-SK"/>
              </w:rPr>
              <w:t>1</w:t>
            </w:r>
          </w:p>
        </w:tc>
        <w:tc>
          <w:tcPr>
            <w:tcW w:w="781" w:type="dxa"/>
            <w:tcBorders>
              <w:top w:val="nil"/>
              <w:left w:val="nil"/>
              <w:bottom w:val="single" w:sz="8" w:space="0" w:color="auto"/>
              <w:right w:val="none" w:sz="0" w:space="0" w:color="auto"/>
            </w:tcBorders>
            <w:shd w:val="clear" w:color="auto" w:fill="C0C0C0"/>
            <w:textDirection w:val="lrTb"/>
            <w:vAlign w:val="bottom"/>
          </w:tcPr>
          <w:p w:rsidR="00C52ECF" w:rsidRPr="00B1233B" w:rsidP="00A003A3">
            <w:pPr>
              <w:jc w:val="center"/>
              <w:rPr>
                <w:rFonts w:ascii="Arial Narrow" w:hAnsi="Arial Narrow" w:cs="Arial Narrow"/>
                <w:b/>
                <w:sz w:val="18"/>
                <w:szCs w:val="24"/>
                <w:lang w:eastAsia="sk-SK"/>
              </w:rPr>
            </w:pPr>
            <w:r w:rsidRPr="00B1233B">
              <w:rPr>
                <w:rFonts w:ascii="Arial Narrow" w:hAnsi="Arial Narrow" w:cs="Arial Narrow"/>
                <w:b/>
                <w:sz w:val="18"/>
                <w:szCs w:val="24"/>
                <w:lang w:eastAsia="sk-SK"/>
              </w:rPr>
              <w:t>201</w:t>
            </w:r>
            <w:r>
              <w:rPr>
                <w:rFonts w:ascii="Arial Narrow" w:hAnsi="Arial Narrow" w:cs="Arial Narrow"/>
                <w:b/>
                <w:sz w:val="18"/>
                <w:szCs w:val="24"/>
                <w:lang w:eastAsia="sk-SK"/>
              </w:rPr>
              <w:t>2</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w:t>
            </w:r>
          </w:p>
        </w:tc>
        <w:tc>
          <w:tcPr>
            <w:tcW w:w="3573" w:type="dxa"/>
            <w:tcBorders>
              <w:top w:val="nil"/>
              <w:left w:val="nil"/>
              <w:bottom w:val="nil"/>
              <w:right w:val="nil"/>
            </w:tcBorders>
            <w:noWrap/>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HDP; v bežných cenách</w:t>
            </w:r>
          </w:p>
        </w:tc>
        <w:tc>
          <w:tcPr>
            <w:tcW w:w="720" w:type="dxa"/>
            <w:tcBorders>
              <w:top w:val="nil"/>
              <w:left w:val="nil"/>
              <w:bottom w:val="nil"/>
              <w:right w:val="nil"/>
            </w:tcBorders>
            <w:noWrap/>
            <w:textDirection w:val="lrTb"/>
            <w:vAlign w:val="bottom"/>
          </w:tcPr>
          <w:p w:rsidR="00C52ECF" w:rsidRPr="00B1233B" w:rsidP="00FC698A">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 xml:space="preserve">mld. </w:t>
            </w:r>
            <w:r w:rsidR="00FC698A">
              <w:rPr>
                <w:rFonts w:ascii="Arial Narrow" w:hAnsi="Arial Narrow" w:cs="Arial Narrow"/>
                <w:sz w:val="18"/>
                <w:szCs w:val="24"/>
                <w:lang w:eastAsia="sk-SK"/>
              </w:rPr>
              <w:t>e</w:t>
            </w:r>
            <w:r w:rsidRPr="00B1233B">
              <w:rPr>
                <w:rFonts w:ascii="Arial Narrow" w:hAnsi="Arial Narrow" w:cs="Arial Narrow"/>
                <w:sz w:val="18"/>
                <w:szCs w:val="24"/>
                <w:lang w:eastAsia="sk-SK"/>
              </w:rPr>
              <w:t>ur</w:t>
            </w:r>
          </w:p>
        </w:tc>
        <w:tc>
          <w:tcPr>
            <w:tcW w:w="10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67</w:t>
            </w:r>
            <w:r>
              <w:rPr>
                <w:rFonts w:ascii="Arial Narrow" w:hAnsi="Arial Narrow" w:cs="Arial Narrow"/>
                <w:sz w:val="18"/>
                <w:szCs w:val="24"/>
                <w:lang w:eastAsia="sk-SK"/>
              </w:rPr>
              <w:t>,</w:t>
            </w:r>
            <w:r w:rsidRPr="00E67D86">
              <w:rPr>
                <w:rFonts w:ascii="Arial Narrow" w:hAnsi="Arial Narrow" w:cs="Arial Narrow"/>
                <w:sz w:val="18"/>
                <w:szCs w:val="24"/>
                <w:lang w:eastAsia="sk-SK"/>
              </w:rPr>
              <w:t>3</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6</w:t>
            </w:r>
            <w:r>
              <w:rPr>
                <w:rFonts w:ascii="Arial Narrow" w:hAnsi="Arial Narrow" w:cs="Arial Narrow"/>
                <w:sz w:val="18"/>
                <w:szCs w:val="24"/>
                <w:lang w:eastAsia="sk-SK"/>
              </w:rPr>
              <w:t>3,6</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67,4</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72,4</w:t>
            </w:r>
          </w:p>
        </w:tc>
        <w:tc>
          <w:tcPr>
            <w:tcW w:w="7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78,9</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2</w:t>
            </w:r>
          </w:p>
        </w:tc>
        <w:tc>
          <w:tcPr>
            <w:tcW w:w="3573" w:type="dxa"/>
            <w:tcBorders>
              <w:top w:val="nil"/>
              <w:left w:val="nil"/>
              <w:bottom w:val="nil"/>
              <w:right w:val="nil"/>
            </w:tcBorders>
            <w:noWrap/>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HDP;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6,4</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w:t>
            </w:r>
            <w:r>
              <w:rPr>
                <w:rFonts w:ascii="Arial Narrow" w:hAnsi="Arial Narrow" w:cs="Arial Narrow"/>
                <w:sz w:val="18"/>
                <w:szCs w:val="24"/>
                <w:lang w:eastAsia="sk-SK"/>
              </w:rPr>
              <w:t>5,7</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1</w:t>
            </w:r>
            <w:r>
              <w:rPr>
                <w:rFonts w:ascii="Arial Narrow" w:hAnsi="Arial Narrow" w:cs="Arial Narrow"/>
                <w:sz w:val="18"/>
                <w:szCs w:val="24"/>
                <w:lang w:eastAsia="sk-SK"/>
              </w:rPr>
              <w:t>,9</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4,1</w:t>
            </w:r>
          </w:p>
        </w:tc>
        <w:tc>
          <w:tcPr>
            <w:tcW w:w="7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5,4</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3</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Konečná spotreba domácností;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6,1</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-0,4</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1,5</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3,4</w:t>
            </w:r>
          </w:p>
        </w:tc>
        <w:tc>
          <w:tcPr>
            <w:tcW w:w="781" w:type="dxa"/>
            <w:tcBorders>
              <w:top w:val="nil"/>
              <w:left w:val="nil"/>
              <w:bottom w:val="none" w:sz="0" w:space="0" w:color="auto"/>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4,9</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4</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Konečná spotreba domácností; nominálny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10,7</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1,8</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4,5</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7,3</w:t>
            </w:r>
          </w:p>
        </w:tc>
        <w:tc>
          <w:tcPr>
            <w:tcW w:w="781" w:type="dxa"/>
            <w:tcBorders>
              <w:top w:val="none" w:sz="0" w:space="0" w:color="auto"/>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9,7</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5</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Konečná spotreba verejnej správy;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4,3</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2,3</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2,4</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3,0</w:t>
            </w:r>
          </w:p>
        </w:tc>
        <w:tc>
          <w:tcPr>
            <w:tcW w:w="781" w:type="dxa"/>
            <w:tcBorders>
              <w:top w:val="nil"/>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2,4</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6</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Tvorba hrubého fixného kapitálu;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6,8</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-10,3</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2,9</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4,1</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5,1</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7</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Export tovarov a služieb;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3,2</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-15,2</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2,9</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7,1</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10,0</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8</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Import tovarov a služieb;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3,3</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-1</w:t>
            </w:r>
            <w:r>
              <w:rPr>
                <w:rFonts w:ascii="Arial Narrow" w:hAnsi="Arial Narrow" w:cs="Arial Narrow"/>
                <w:sz w:val="18"/>
                <w:szCs w:val="24"/>
                <w:lang w:eastAsia="sk-SK"/>
              </w:rPr>
              <w:t>4,7</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3,2</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5,6</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8,4</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9</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 mesačná mzda za hospodárstvo; nom.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8,1</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2,6</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3,4</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6,5</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7,5</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10</w:t>
            </w:r>
          </w:p>
        </w:tc>
        <w:tc>
          <w:tcPr>
            <w:tcW w:w="3573" w:type="dxa"/>
            <w:tcBorders>
              <w:top w:val="nil"/>
              <w:left w:val="nil"/>
              <w:bottom w:val="nil"/>
              <w:right w:val="nil"/>
            </w:tcBorders>
            <w:noWrap/>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 mesačná mzda za hospodárstvo; reálny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3,3</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0,8</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0,2</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2,3</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3,2</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11</w:t>
            </w:r>
          </w:p>
        </w:tc>
        <w:tc>
          <w:tcPr>
            <w:tcW w:w="3573" w:type="dxa"/>
            <w:tcBorders>
              <w:top w:val="nil"/>
              <w:left w:val="nil"/>
              <w:bottom w:val="nil"/>
              <w:right w:val="nil"/>
            </w:tcBorders>
            <w:noWrap/>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Priemerný rast zamestnanosti; podľa VZPS</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3,2</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-2,2</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0,2</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1,0</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1,8</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12</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Priemerný rast zamestnanosti; podľa evid. počtu</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2,6</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-3,3</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0,2</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1,0</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1,8</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13</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Priemerný rast zamestnanosti; podľa ESA</w:t>
            </w:r>
            <w:r w:rsidR="00FC698A">
              <w:rPr>
                <w:rFonts w:ascii="Arial Narrow" w:hAnsi="Arial Narrow" w:cs="Arial Narrow"/>
                <w:sz w:val="18"/>
                <w:szCs w:val="24"/>
                <w:lang w:eastAsia="sk-SK"/>
              </w:rPr>
              <w:t xml:space="preserve"> </w:t>
            </w:r>
            <w:r w:rsidRPr="00B1233B">
              <w:rPr>
                <w:rFonts w:ascii="Arial Narrow" w:hAnsi="Arial Narrow" w:cs="Arial Narrow"/>
                <w:sz w:val="18"/>
                <w:szCs w:val="24"/>
                <w:lang w:eastAsia="sk-SK"/>
              </w:rPr>
              <w:t>95</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2,8</w:t>
            </w:r>
          </w:p>
        </w:tc>
        <w:tc>
          <w:tcPr>
            <w:tcW w:w="719"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-1,9</w:t>
            </w:r>
          </w:p>
        </w:tc>
        <w:tc>
          <w:tcPr>
            <w:tcW w:w="725"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-0,1</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0,9</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B1233B" w:rsidP="00A003A3">
            <w:pPr>
              <w:jc w:val="center"/>
              <w:rPr>
                <w:rFonts w:ascii="Arial Narrow" w:hAnsi="Arial Narrow" w:cs="Arial Narrow"/>
                <w:sz w:val="18"/>
                <w:szCs w:val="24"/>
                <w:lang w:eastAsia="sk-SK"/>
              </w:rPr>
            </w:pPr>
            <w:r>
              <w:rPr>
                <w:rFonts w:ascii="Arial Narrow" w:hAnsi="Arial Narrow" w:cs="Arial Narrow"/>
                <w:sz w:val="18"/>
                <w:szCs w:val="24"/>
                <w:lang w:eastAsia="sk-SK"/>
              </w:rPr>
              <w:t>1,6</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14</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Priemerná miera nezamestnanosti;  podľa VZPS</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9</w:t>
            </w:r>
            <w:r>
              <w:rPr>
                <w:rFonts w:ascii="Arial Narrow" w:hAnsi="Arial Narrow" w:cs="Arial Narrow"/>
                <w:sz w:val="18"/>
                <w:szCs w:val="24"/>
                <w:lang w:eastAsia="sk-SK"/>
              </w:rPr>
              <w:t>,</w:t>
            </w:r>
            <w:r w:rsidRPr="00E67D86">
              <w:rPr>
                <w:rFonts w:ascii="Arial Narrow" w:hAnsi="Arial Narrow" w:cs="Arial Narrow"/>
                <w:sz w:val="18"/>
                <w:szCs w:val="24"/>
                <w:lang w:eastAsia="sk-SK"/>
              </w:rPr>
              <w:t>6</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11,7</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12,1</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11,6</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11,0</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15</w:t>
            </w:r>
          </w:p>
        </w:tc>
        <w:tc>
          <w:tcPr>
            <w:tcW w:w="3573" w:type="dxa"/>
            <w:tcBorders>
              <w:top w:val="nil"/>
              <w:left w:val="nil"/>
              <w:bottom w:val="nil"/>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Index spotrebiteľských cien; priemerný rast</w:t>
            </w:r>
          </w:p>
        </w:tc>
        <w:tc>
          <w:tcPr>
            <w:tcW w:w="720" w:type="dxa"/>
            <w:tcBorders>
              <w:top w:val="nil"/>
              <w:left w:val="nil"/>
              <w:bottom w:val="nil"/>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4</w:t>
            </w:r>
            <w:r>
              <w:rPr>
                <w:rFonts w:ascii="Arial Narrow" w:hAnsi="Arial Narrow" w:cs="Arial Narrow"/>
                <w:sz w:val="18"/>
                <w:szCs w:val="24"/>
                <w:lang w:eastAsia="sk-SK"/>
              </w:rPr>
              <w:t>,</w:t>
            </w:r>
            <w:r w:rsidRPr="00E67D86">
              <w:rPr>
                <w:rFonts w:ascii="Arial Narrow" w:hAnsi="Arial Narrow" w:cs="Arial Narrow"/>
                <w:sz w:val="18"/>
                <w:szCs w:val="24"/>
                <w:lang w:eastAsia="sk-SK"/>
              </w:rPr>
              <w:t>6</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1,8</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3,2</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4,1</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4,2</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il"/>
              <w:right w:val="nil"/>
            </w:tcBorders>
            <w:noWrap/>
            <w:textDirection w:val="lrTb"/>
            <w:vAlign w:val="bottom"/>
          </w:tcPr>
          <w:p w:rsidR="00C52ECF" w:rsidRPr="00B1233B" w:rsidP="00A003A3">
            <w:pPr>
              <w:rPr>
                <w:rFonts w:ascii="Arial Narrow" w:hAnsi="Arial Narrow" w:cs="Arial Narrow"/>
                <w:sz w:val="18"/>
                <w:szCs w:val="24"/>
                <w:lang w:eastAsia="sk-SK"/>
              </w:rPr>
            </w:pPr>
            <w:r>
              <w:rPr>
                <w:rFonts w:ascii="Arial Narrow" w:hAnsi="Arial Narrow" w:cs="Arial Narrow"/>
                <w:sz w:val="18"/>
                <w:szCs w:val="24"/>
                <w:lang w:eastAsia="sk-SK"/>
              </w:rPr>
              <w:t xml:space="preserve"> </w:t>
            </w:r>
            <w:r w:rsidRPr="00B1233B">
              <w:rPr>
                <w:rFonts w:ascii="Arial Narrow" w:hAnsi="Arial Narrow" w:cs="Arial Narrow"/>
                <w:sz w:val="18"/>
                <w:szCs w:val="24"/>
                <w:lang w:eastAsia="sk-SK"/>
              </w:rPr>
              <w:t>16</w:t>
            </w:r>
          </w:p>
        </w:tc>
        <w:tc>
          <w:tcPr>
            <w:tcW w:w="3573" w:type="dxa"/>
            <w:tcBorders>
              <w:top w:val="nil"/>
              <w:left w:val="nil"/>
              <w:bottom w:val="nil"/>
              <w:right w:val="nil"/>
            </w:tcBorders>
            <w:textDirection w:val="lrTb"/>
            <w:vAlign w:val="bottom"/>
          </w:tcPr>
          <w:p w:rsidR="00C52ECF" w:rsidRPr="00713174" w:rsidP="00A003A3">
            <w:pPr>
              <w:rPr>
                <w:rFonts w:ascii="Arial Narrow" w:hAnsi="Arial Narrow" w:cs="Arial Narrow"/>
                <w:sz w:val="18"/>
                <w:szCs w:val="24"/>
                <w:lang w:eastAsia="sk-SK"/>
              </w:rPr>
            </w:pPr>
            <w:r w:rsidRPr="00713174">
              <w:rPr>
                <w:rFonts w:ascii="Arial Narrow" w:hAnsi="Arial Narrow" w:cs="Arial Narrow"/>
                <w:sz w:val="18"/>
                <w:szCs w:val="24"/>
                <w:lang w:eastAsia="sk-SK"/>
              </w:rPr>
              <w:t>Harmonizovaný index spotrebiteľských cien (HICP)</w:t>
            </w:r>
          </w:p>
        </w:tc>
        <w:tc>
          <w:tcPr>
            <w:tcW w:w="720" w:type="dxa"/>
            <w:tcBorders>
              <w:top w:val="nil"/>
              <w:left w:val="nil"/>
              <w:bottom w:val="nil"/>
              <w:right w:val="nil"/>
            </w:tcBorders>
            <w:noWrap/>
            <w:textDirection w:val="lrTb"/>
            <w:vAlign w:val="bottom"/>
          </w:tcPr>
          <w:p w:rsidR="00C52ECF" w:rsidRPr="00713174" w:rsidP="00A003A3">
            <w:pPr>
              <w:jc w:val="center"/>
              <w:rPr>
                <w:rFonts w:ascii="Arial Narrow" w:hAnsi="Arial Narrow" w:cs="Arial Narrow"/>
                <w:sz w:val="18"/>
                <w:szCs w:val="24"/>
                <w:lang w:eastAsia="sk-SK"/>
              </w:rPr>
            </w:pPr>
            <w:r w:rsidRPr="00713174">
              <w:rPr>
                <w:rFonts w:ascii="Arial Narrow" w:hAnsi="Arial Narrow" w:cs="Arial Narrow"/>
                <w:sz w:val="18"/>
                <w:szCs w:val="24"/>
                <w:lang w:eastAsia="sk-SK"/>
              </w:rPr>
              <w:t>%</w:t>
            </w:r>
          </w:p>
        </w:tc>
        <w:tc>
          <w:tcPr>
            <w:tcW w:w="1081"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3</w:t>
            </w:r>
            <w:r>
              <w:rPr>
                <w:rFonts w:ascii="Arial Narrow" w:hAnsi="Arial Narrow" w:cs="Arial Narrow"/>
                <w:sz w:val="18"/>
                <w:szCs w:val="24"/>
                <w:lang w:eastAsia="sk-SK"/>
              </w:rPr>
              <w:t>,</w:t>
            </w:r>
            <w:r w:rsidRPr="00E67D86">
              <w:rPr>
                <w:rFonts w:ascii="Arial Narrow" w:hAnsi="Arial Narrow" w:cs="Arial Narrow"/>
                <w:sz w:val="18"/>
                <w:szCs w:val="24"/>
                <w:lang w:eastAsia="sk-SK"/>
              </w:rPr>
              <w:t>9</w:t>
            </w:r>
          </w:p>
        </w:tc>
        <w:tc>
          <w:tcPr>
            <w:tcW w:w="719"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1,2</w:t>
            </w:r>
          </w:p>
        </w:tc>
        <w:tc>
          <w:tcPr>
            <w:tcW w:w="725"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2,6</w:t>
            </w:r>
          </w:p>
        </w:tc>
        <w:tc>
          <w:tcPr>
            <w:tcW w:w="720" w:type="dxa"/>
            <w:tcBorders>
              <w:top w:val="nil"/>
              <w:left w:val="nil"/>
              <w:bottom w:val="nil"/>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3,7</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4,1</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none" w:sz="0" w:space="0" w:color="auto"/>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17</w:t>
            </w:r>
          </w:p>
        </w:tc>
        <w:tc>
          <w:tcPr>
            <w:tcW w:w="3573" w:type="dxa"/>
            <w:tcBorders>
              <w:top w:val="nil"/>
              <w:left w:val="nil"/>
              <w:bottom w:val="none" w:sz="0" w:space="0" w:color="auto"/>
              <w:right w:val="nil"/>
            </w:tcBorders>
            <w:textDirection w:val="lrTb"/>
            <w:vAlign w:val="bottom"/>
          </w:tcPr>
          <w:p w:rsidR="00C52ECF" w:rsidRPr="00B1233B" w:rsidP="00A003A3">
            <w:pPr>
              <w:rPr>
                <w:rFonts w:ascii="Arial Narrow" w:hAnsi="Arial Narrow" w:cs="Arial Narrow"/>
                <w:sz w:val="18"/>
                <w:szCs w:val="24"/>
                <w:lang w:eastAsia="sk-SK"/>
              </w:rPr>
            </w:pPr>
            <w:r w:rsidRPr="00B1233B">
              <w:rPr>
                <w:rFonts w:ascii="Arial Narrow" w:hAnsi="Arial Narrow" w:cs="Arial Narrow"/>
                <w:sz w:val="18"/>
                <w:szCs w:val="24"/>
                <w:lang w:eastAsia="sk-SK"/>
              </w:rPr>
              <w:t>Index výrobných cien; priemerný rast</w:t>
            </w:r>
          </w:p>
        </w:tc>
        <w:tc>
          <w:tcPr>
            <w:tcW w:w="720" w:type="dxa"/>
            <w:tcBorders>
              <w:top w:val="nil"/>
              <w:left w:val="nil"/>
              <w:bottom w:val="none" w:sz="0" w:space="0" w:color="auto"/>
              <w:right w:val="nil"/>
            </w:tcBorders>
            <w:noWrap/>
            <w:textDirection w:val="lrTb"/>
            <w:vAlign w:val="bottom"/>
          </w:tcPr>
          <w:p w:rsidR="00C52ECF" w:rsidRPr="00B1233B" w:rsidP="00A003A3">
            <w:pPr>
              <w:jc w:val="center"/>
              <w:rPr>
                <w:rFonts w:ascii="Arial Narrow" w:hAnsi="Arial Narrow" w:cs="Arial Narrow"/>
                <w:sz w:val="18"/>
                <w:szCs w:val="24"/>
                <w:lang w:eastAsia="sk-SK"/>
              </w:rPr>
            </w:pPr>
            <w:r w:rsidRPr="00B1233B">
              <w:rPr>
                <w:rFonts w:ascii="Arial Narrow" w:hAnsi="Arial Narrow" w:cs="Arial Narrow"/>
                <w:sz w:val="18"/>
                <w:szCs w:val="24"/>
                <w:lang w:eastAsia="sk-SK"/>
              </w:rPr>
              <w:t>%</w:t>
            </w:r>
          </w:p>
        </w:tc>
        <w:tc>
          <w:tcPr>
            <w:tcW w:w="1081" w:type="dxa"/>
            <w:tcBorders>
              <w:top w:val="nil"/>
              <w:left w:val="nil"/>
              <w:bottom w:val="none" w:sz="0" w:space="0" w:color="auto"/>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sidRPr="00E67D86">
              <w:rPr>
                <w:rFonts w:ascii="Arial Narrow" w:hAnsi="Arial Narrow" w:cs="Arial Narrow"/>
                <w:sz w:val="18"/>
                <w:szCs w:val="24"/>
                <w:lang w:eastAsia="sk-SK"/>
              </w:rPr>
              <w:t>6</w:t>
            </w:r>
            <w:r>
              <w:rPr>
                <w:rFonts w:ascii="Arial Narrow" w:hAnsi="Arial Narrow" w:cs="Arial Narrow"/>
                <w:sz w:val="18"/>
                <w:szCs w:val="24"/>
                <w:lang w:eastAsia="sk-SK"/>
              </w:rPr>
              <w:t>,</w:t>
            </w:r>
            <w:r w:rsidRPr="00E67D86">
              <w:rPr>
                <w:rFonts w:ascii="Arial Narrow" w:hAnsi="Arial Narrow" w:cs="Arial Narrow"/>
                <w:sz w:val="18"/>
                <w:szCs w:val="24"/>
                <w:lang w:eastAsia="sk-SK"/>
              </w:rPr>
              <w:t>1</w:t>
            </w:r>
          </w:p>
        </w:tc>
        <w:tc>
          <w:tcPr>
            <w:tcW w:w="719" w:type="dxa"/>
            <w:tcBorders>
              <w:top w:val="nil"/>
              <w:left w:val="nil"/>
              <w:bottom w:val="none" w:sz="0" w:space="0" w:color="auto"/>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-2,2</w:t>
            </w:r>
          </w:p>
        </w:tc>
        <w:tc>
          <w:tcPr>
            <w:tcW w:w="725" w:type="dxa"/>
            <w:tcBorders>
              <w:top w:val="nil"/>
              <w:left w:val="nil"/>
              <w:bottom w:val="none" w:sz="0" w:space="0" w:color="auto"/>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2,2</w:t>
            </w:r>
          </w:p>
        </w:tc>
        <w:tc>
          <w:tcPr>
            <w:tcW w:w="720" w:type="dxa"/>
            <w:tcBorders>
              <w:top w:val="nil"/>
              <w:left w:val="nil"/>
              <w:bottom w:val="none" w:sz="0" w:space="0" w:color="auto"/>
              <w:right w:val="nil"/>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2,6</w:t>
            </w:r>
          </w:p>
        </w:tc>
        <w:tc>
          <w:tcPr>
            <w:tcW w:w="781" w:type="dxa"/>
            <w:tcBorders>
              <w:top w:val="none" w:sz="0" w:space="0" w:color="auto"/>
              <w:left w:val="nil"/>
              <w:bottom w:val="none" w:sz="0" w:space="0" w:color="auto"/>
              <w:right w:val="none" w:sz="0" w:space="0" w:color="auto"/>
            </w:tcBorders>
            <w:noWrap/>
            <w:textDirection w:val="lrTb"/>
            <w:vAlign w:val="bottom"/>
          </w:tcPr>
          <w:p w:rsidR="00C52ECF" w:rsidRPr="00E67D86" w:rsidP="00A003A3">
            <w:pPr>
              <w:jc w:val="center"/>
              <w:rPr>
                <w:rFonts w:ascii="Arial Narrow" w:hAnsi="Arial Narrow" w:cs="Arial Narrow"/>
                <w:sz w:val="18"/>
                <w:szCs w:val="24"/>
                <w:lang w:eastAsia="sk-SK"/>
              </w:rPr>
            </w:pPr>
            <w:r>
              <w:rPr>
                <w:rFonts w:ascii="Arial Narrow" w:hAnsi="Arial Narrow" w:cs="Arial Narrow"/>
                <w:sz w:val="18"/>
                <w:szCs w:val="24"/>
                <w:lang w:eastAsia="sk-SK"/>
              </w:rPr>
              <w:t>2,3</w:t>
            </w:r>
          </w:p>
        </w:tc>
      </w:tr>
      <w:tr>
        <w:tblPrEx>
          <w:tblW w:w="8721" w:type="dxa"/>
          <w:tblInd w:w="55" w:type="dxa"/>
          <w:tblLayout w:type="fixed"/>
          <w:tblCellMar>
            <w:left w:w="70" w:type="dxa"/>
            <w:right w:w="70" w:type="dxa"/>
          </w:tblCellMar>
        </w:tblPrEx>
        <w:trPr>
          <w:trHeight w:val="284"/>
        </w:trPr>
        <w:tc>
          <w:tcPr>
            <w:tcW w:w="402"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18</w:t>
            </w:r>
          </w:p>
        </w:tc>
        <w:tc>
          <w:tcPr>
            <w:tcW w:w="3573" w:type="dxa"/>
            <w:tcBorders>
              <w:top w:val="nil"/>
              <w:left w:val="nil"/>
              <w:bottom w:val="single" w:sz="4" w:space="0" w:color="auto"/>
              <w:right w:val="nil"/>
            </w:tcBorders>
            <w:textDirection w:val="lrTb"/>
            <w:vAlign w:val="bottom"/>
          </w:tcPr>
          <w:p w:rsidR="00C52ECF" w:rsidRPr="00C17EC2" w:rsidP="00A003A3">
            <w:pPr>
              <w:rPr>
                <w:rFonts w:ascii="Arial Narrow" w:hAnsi="Arial Narrow" w:cs="Arial Narrow"/>
                <w:sz w:val="18"/>
                <w:szCs w:val="24"/>
                <w:lang w:eastAsia="sk-SK"/>
              </w:rPr>
            </w:pPr>
            <w:r w:rsidRPr="00C17EC2">
              <w:rPr>
                <w:rFonts w:ascii="Arial Narrow" w:hAnsi="Arial Narrow" w:cs="Arial Narrow"/>
                <w:sz w:val="18"/>
                <w:szCs w:val="24"/>
                <w:lang w:eastAsia="sk-SK"/>
              </w:rPr>
              <w:t>Bilancia bežného účtu; podiel na HDP</w:t>
            </w:r>
          </w:p>
        </w:tc>
        <w:tc>
          <w:tcPr>
            <w:tcW w:w="720"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w:t>
            </w:r>
          </w:p>
        </w:tc>
        <w:tc>
          <w:tcPr>
            <w:tcW w:w="1081"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-6,5</w:t>
            </w:r>
          </w:p>
        </w:tc>
        <w:tc>
          <w:tcPr>
            <w:tcW w:w="719"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-5,8</w:t>
            </w:r>
          </w:p>
        </w:tc>
        <w:tc>
          <w:tcPr>
            <w:tcW w:w="725"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-5,2</w:t>
            </w:r>
          </w:p>
        </w:tc>
        <w:tc>
          <w:tcPr>
            <w:tcW w:w="720" w:type="dxa"/>
            <w:tcBorders>
              <w:top w:val="nil"/>
              <w:left w:val="nil"/>
              <w:bottom w:val="single" w:sz="4" w:space="0" w:color="auto"/>
              <w:right w:val="nil"/>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-4,8</w:t>
            </w:r>
          </w:p>
        </w:tc>
        <w:tc>
          <w:tcPr>
            <w:tcW w:w="781" w:type="dxa"/>
            <w:tcBorders>
              <w:top w:val="none" w:sz="0" w:space="0" w:color="auto"/>
              <w:left w:val="nil"/>
              <w:bottom w:val="single" w:sz="4" w:space="0" w:color="auto"/>
              <w:right w:val="none" w:sz="0" w:space="0" w:color="auto"/>
            </w:tcBorders>
            <w:noWrap/>
            <w:textDirection w:val="lrTb"/>
            <w:vAlign w:val="bottom"/>
          </w:tcPr>
          <w:p w:rsidR="00C52ECF" w:rsidRPr="00C17EC2" w:rsidP="00A003A3">
            <w:pPr>
              <w:jc w:val="center"/>
              <w:rPr>
                <w:rFonts w:ascii="Arial Narrow" w:hAnsi="Arial Narrow" w:cs="Arial Narrow"/>
                <w:sz w:val="18"/>
                <w:szCs w:val="24"/>
                <w:lang w:eastAsia="sk-SK"/>
              </w:rPr>
            </w:pPr>
            <w:r w:rsidRPr="00C17EC2">
              <w:rPr>
                <w:rFonts w:ascii="Arial Narrow" w:hAnsi="Arial Narrow" w:cs="Arial Narrow"/>
                <w:sz w:val="18"/>
                <w:szCs w:val="24"/>
                <w:lang w:eastAsia="sk-SK"/>
              </w:rPr>
              <w:t>-4,0</w:t>
            </w:r>
          </w:p>
        </w:tc>
      </w:tr>
      <w:tr>
        <w:tblPrEx>
          <w:tblW w:w="8721" w:type="dxa"/>
          <w:tblInd w:w="55" w:type="dxa"/>
          <w:tblLayout w:type="fixed"/>
          <w:tblCellMar>
            <w:left w:w="70" w:type="dxa"/>
            <w:right w:w="70" w:type="dxa"/>
          </w:tblCellMar>
        </w:tblPrEx>
        <w:trPr>
          <w:trHeight w:val="284"/>
        </w:trPr>
        <w:tc>
          <w:tcPr>
            <w:tcW w:w="8721" w:type="dxa"/>
            <w:gridSpan w:val="8"/>
            <w:tcBorders>
              <w:top w:val="single" w:sz="4" w:space="0" w:color="auto"/>
              <w:left w:val="nil"/>
              <w:bottom w:val="nil"/>
              <w:right w:val="nil"/>
            </w:tcBorders>
            <w:noWrap/>
            <w:textDirection w:val="lrTb"/>
            <w:vAlign w:val="bottom"/>
          </w:tcPr>
          <w:p w:rsidR="00C52ECF" w:rsidRPr="00C17EC2" w:rsidP="00A003A3">
            <w:pPr>
              <w:jc w:val="right"/>
              <w:rPr>
                <w:rFonts w:ascii="Arial Narrow" w:hAnsi="Arial Narrow" w:cs="Arial Narrow"/>
                <w:i/>
                <w:sz w:val="18"/>
                <w:szCs w:val="24"/>
                <w:lang w:eastAsia="sk-SK"/>
              </w:rPr>
            </w:pPr>
            <w:r w:rsidRPr="00C17EC2">
              <w:rPr>
                <w:rFonts w:ascii="Arial Narrow" w:hAnsi="Arial Narrow" w:cs="Arial Narrow"/>
                <w:i/>
                <w:sz w:val="18"/>
                <w:szCs w:val="24"/>
                <w:lang w:eastAsia="sk-SK"/>
              </w:rPr>
              <w:t xml:space="preserve"> Zdroj: MF SR</w:t>
            </w:r>
          </w:p>
        </w:tc>
      </w:tr>
    </w:tbl>
    <w:p w:rsidR="00320621" w:rsidP="00CA0EBD">
      <w:pPr>
        <w:rPr>
          <w:rFonts w:ascii="Arial Narrow" w:hAnsi="Arial Narrow" w:cs="Arial Narrow"/>
          <w:b/>
          <w:sz w:val="22"/>
          <w:szCs w:val="24"/>
        </w:rPr>
      </w:pPr>
    </w:p>
    <w:p w:rsidR="00C52ECF" w:rsidRPr="00CA0EBD" w:rsidP="00CA0EBD">
      <w:pPr>
        <w:rPr>
          <w:rFonts w:ascii="Arial Narrow" w:hAnsi="Arial Narrow" w:cs="Arial Narrow"/>
          <w:b/>
          <w:sz w:val="22"/>
          <w:szCs w:val="24"/>
        </w:rPr>
      </w:pPr>
      <w:r w:rsidRPr="00CA0EBD">
        <w:rPr>
          <w:rFonts w:ascii="Arial Narrow" w:hAnsi="Arial Narrow" w:cs="Arial Narrow"/>
          <w:b/>
          <w:sz w:val="22"/>
          <w:szCs w:val="24"/>
        </w:rPr>
        <w:t xml:space="preserve">Vyjadrenia členov Výboru pre makroekonomické prognózovanie k prognózam MF SR </w:t>
      </w:r>
    </w:p>
    <w:p w:rsidR="00C52ECF" w:rsidP="00C52ECF">
      <w:pPr>
        <w:ind w:firstLine="708"/>
        <w:jc w:val="both"/>
        <w:rPr>
          <w:rFonts w:ascii="Arial Narrow" w:hAnsi="Arial Narrow" w:cs="Arial Narrow"/>
          <w:sz w:val="22"/>
          <w:szCs w:val="24"/>
        </w:rPr>
      </w:pPr>
    </w:p>
    <w:p w:rsidR="00C52ECF" w:rsidRPr="00442F85" w:rsidP="00C52ECF">
      <w:pPr>
        <w:jc w:val="both"/>
        <w:rPr>
          <w:rFonts w:ascii="Arial Narrow" w:hAnsi="Arial Narrow" w:cs="Arial Narrow"/>
          <w:sz w:val="22"/>
          <w:szCs w:val="24"/>
        </w:rPr>
      </w:pPr>
      <w:r w:rsidRPr="00442F85">
        <w:rPr>
          <w:rFonts w:ascii="Arial Narrow" w:hAnsi="Arial Narrow" w:cs="Arial Narrow"/>
          <w:sz w:val="22"/>
          <w:szCs w:val="24"/>
        </w:rPr>
        <w:t xml:space="preserve">Prognóza makroekonomického vývoja vypracovaná MF SR bola podrobená hodnoteniu v rámci Výboru pre makroekonomické prognózovanie, ktorého </w:t>
      </w:r>
      <w:r>
        <w:rPr>
          <w:rFonts w:ascii="Arial Narrow" w:hAnsi="Arial Narrow" w:cs="Arial Narrow"/>
          <w:sz w:val="22"/>
          <w:szCs w:val="24"/>
        </w:rPr>
        <w:t>šestnáste</w:t>
      </w:r>
      <w:r w:rsidRPr="00442F85">
        <w:rPr>
          <w:rFonts w:ascii="Arial Narrow" w:hAnsi="Arial Narrow" w:cs="Arial Narrow"/>
          <w:sz w:val="22"/>
          <w:szCs w:val="24"/>
        </w:rPr>
        <w:t xml:space="preserve"> zasadnutie sa konalo 1</w:t>
      </w:r>
      <w:r>
        <w:rPr>
          <w:rFonts w:ascii="Arial Narrow" w:hAnsi="Arial Narrow" w:cs="Arial Narrow"/>
          <w:sz w:val="22"/>
          <w:szCs w:val="24"/>
        </w:rPr>
        <w:t>0</w:t>
      </w:r>
      <w:r w:rsidRPr="00442F85">
        <w:rPr>
          <w:rFonts w:ascii="Arial Narrow" w:hAnsi="Arial Narrow" w:cs="Arial Narrow"/>
          <w:sz w:val="22"/>
          <w:szCs w:val="24"/>
        </w:rPr>
        <w:t>. septembra 200</w:t>
      </w:r>
      <w:r>
        <w:rPr>
          <w:rFonts w:ascii="Arial Narrow" w:hAnsi="Arial Narrow" w:cs="Arial Narrow"/>
          <w:sz w:val="22"/>
          <w:szCs w:val="24"/>
        </w:rPr>
        <w:t>9</w:t>
      </w:r>
      <w:r w:rsidRPr="00442F85">
        <w:rPr>
          <w:rFonts w:ascii="Arial Narrow" w:hAnsi="Arial Narrow" w:cs="Arial Narrow"/>
          <w:sz w:val="22"/>
          <w:szCs w:val="24"/>
        </w:rPr>
        <w:t>. Výsledkom je celkové hodnotenie charakteru definitívnej prognózy MF SR. Strednodobá prognóza makroekonomického vývoja vypracovaná MF SR bola väčšinou členov Výboru charakterizovaná ako realistická. SAV označila prognózu z</w:t>
      </w:r>
      <w:r w:rsidR="00B25893">
        <w:rPr>
          <w:rFonts w:ascii="Arial Narrow" w:hAnsi="Arial Narrow" w:cs="Arial Narrow"/>
          <w:sz w:val="22"/>
          <w:szCs w:val="24"/>
        </w:rPr>
        <w:t xml:space="preserve">    </w:t>
      </w:r>
      <w:r>
        <w:rPr>
          <w:rFonts w:ascii="Arial Narrow" w:hAnsi="Arial Narrow" w:cs="Arial Narrow"/>
          <w:sz w:val="22"/>
          <w:szCs w:val="24"/>
        </w:rPr>
        <w:t>33</w:t>
      </w:r>
      <w:r w:rsidR="00B25893">
        <w:rPr>
          <w:rFonts w:ascii="Arial Narrow" w:hAnsi="Arial Narrow" w:cs="Arial Narrow"/>
          <w:sz w:val="22"/>
          <w:szCs w:val="24"/>
        </w:rPr>
        <w:t xml:space="preserve"> </w:t>
      </w:r>
      <w:r w:rsidRPr="00442F85">
        <w:rPr>
          <w:rFonts w:ascii="Arial Narrow" w:hAnsi="Arial Narrow" w:cs="Arial Narrow"/>
          <w:sz w:val="22"/>
          <w:szCs w:val="24"/>
        </w:rPr>
        <w:t xml:space="preserve">% ako realistickú, </w:t>
      </w:r>
      <w:r>
        <w:rPr>
          <w:rFonts w:ascii="Arial Narrow" w:hAnsi="Arial Narrow" w:cs="Arial Narrow"/>
          <w:sz w:val="22"/>
          <w:szCs w:val="24"/>
        </w:rPr>
        <w:t>51</w:t>
      </w:r>
      <w:r w:rsidR="00B25893">
        <w:rPr>
          <w:rFonts w:ascii="Arial Narrow" w:hAnsi="Arial Narrow" w:cs="Arial Narrow"/>
          <w:sz w:val="22"/>
          <w:szCs w:val="24"/>
        </w:rPr>
        <w:t xml:space="preserve"> </w:t>
      </w:r>
      <w:r w:rsidRPr="00442F85">
        <w:rPr>
          <w:rFonts w:ascii="Arial Narrow" w:hAnsi="Arial Narrow" w:cs="Arial Narrow"/>
          <w:sz w:val="22"/>
          <w:szCs w:val="24"/>
        </w:rPr>
        <w:t>% optimistickú a</w:t>
      </w:r>
      <w:r w:rsidR="00B25893">
        <w:rPr>
          <w:rFonts w:ascii="Arial Narrow" w:hAnsi="Arial Narrow" w:cs="Arial Narrow"/>
          <w:sz w:val="22"/>
          <w:szCs w:val="24"/>
        </w:rPr>
        <w:t> </w:t>
      </w:r>
      <w:r w:rsidRPr="00442F85">
        <w:rPr>
          <w:rFonts w:ascii="Arial Narrow" w:hAnsi="Arial Narrow" w:cs="Arial Narrow"/>
          <w:sz w:val="22"/>
          <w:szCs w:val="24"/>
        </w:rPr>
        <w:t>1</w:t>
      </w:r>
      <w:r>
        <w:rPr>
          <w:rFonts w:ascii="Arial Narrow" w:hAnsi="Arial Narrow" w:cs="Arial Narrow"/>
          <w:sz w:val="22"/>
          <w:szCs w:val="24"/>
        </w:rPr>
        <w:t>6</w:t>
      </w:r>
      <w:r w:rsidR="00B25893">
        <w:rPr>
          <w:rFonts w:ascii="Arial Narrow" w:hAnsi="Arial Narrow" w:cs="Arial Narrow"/>
          <w:sz w:val="22"/>
          <w:szCs w:val="24"/>
        </w:rPr>
        <w:t xml:space="preserve"> </w:t>
      </w:r>
      <w:r w:rsidRPr="00442F85">
        <w:rPr>
          <w:rFonts w:ascii="Arial Narrow" w:hAnsi="Arial Narrow" w:cs="Arial Narrow"/>
          <w:sz w:val="22"/>
          <w:szCs w:val="24"/>
        </w:rPr>
        <w:t xml:space="preserve">% konzervatívnu. </w:t>
      </w:r>
      <w:r>
        <w:rPr>
          <w:rFonts w:ascii="Arial Narrow" w:hAnsi="Arial Narrow" w:cs="Arial Narrow"/>
          <w:sz w:val="22"/>
          <w:szCs w:val="24"/>
        </w:rPr>
        <w:t>Infostat a ING</w:t>
      </w:r>
      <w:r w:rsidRPr="00442F85">
        <w:rPr>
          <w:rFonts w:ascii="Arial Narrow" w:hAnsi="Arial Narrow" w:cs="Arial Narrow"/>
          <w:sz w:val="22"/>
          <w:szCs w:val="24"/>
        </w:rPr>
        <w:t xml:space="preserve"> </w:t>
      </w:r>
      <w:r>
        <w:rPr>
          <w:rFonts w:ascii="Arial Narrow" w:hAnsi="Arial Narrow" w:cs="Arial Narrow"/>
          <w:sz w:val="22"/>
          <w:szCs w:val="24"/>
        </w:rPr>
        <w:t xml:space="preserve">Bank </w:t>
      </w:r>
      <w:r w:rsidRPr="00442F85">
        <w:rPr>
          <w:rFonts w:ascii="Arial Narrow" w:hAnsi="Arial Narrow" w:cs="Arial Narrow"/>
          <w:sz w:val="22"/>
          <w:szCs w:val="24"/>
        </w:rPr>
        <w:t>označil</w:t>
      </w:r>
      <w:r>
        <w:rPr>
          <w:rFonts w:ascii="Arial Narrow" w:hAnsi="Arial Narrow" w:cs="Arial Narrow"/>
          <w:sz w:val="22"/>
          <w:szCs w:val="24"/>
        </w:rPr>
        <w:t>i</w:t>
      </w:r>
      <w:r w:rsidRPr="00442F85">
        <w:rPr>
          <w:rFonts w:ascii="Arial Narrow" w:hAnsi="Arial Narrow" w:cs="Arial Narrow"/>
          <w:sz w:val="22"/>
          <w:szCs w:val="24"/>
        </w:rPr>
        <w:t xml:space="preserve"> prognózu ako optimistickú.</w:t>
      </w:r>
    </w:p>
    <w:p w:rsidR="00C52ECF" w:rsidRPr="00442F85" w:rsidP="00C52ECF">
      <w:pPr>
        <w:jc w:val="both"/>
        <w:rPr>
          <w:rFonts w:ascii="Arial Narrow" w:hAnsi="Arial Narrow" w:cs="Arial Narrow"/>
          <w:sz w:val="22"/>
          <w:szCs w:val="24"/>
        </w:rPr>
      </w:pPr>
      <w:r>
        <w:rPr>
          <w:szCs w:val="24"/>
        </w:rPr>
        <w:t xml:space="preserve"> </w:t>
      </w:r>
    </w:p>
    <w:p w:rsidR="00C52ECF" w:rsidRPr="00656402" w:rsidP="00C52ECF">
      <w:pPr>
        <w:pStyle w:val="FootnoteText"/>
        <w:widowControl w:val="0"/>
        <w:spacing w:before="48" w:beforeLines="20" w:after="48" w:afterLines="20"/>
        <w:jc w:val="both"/>
        <w:rPr>
          <w:rFonts w:ascii="Arial Narrow" w:hAnsi="Arial Narrow" w:cs="Arial Narrow"/>
          <w:i/>
          <w:sz w:val="22"/>
          <w:szCs w:val="24"/>
          <w:u w:val="single"/>
        </w:rPr>
      </w:pPr>
      <w:r w:rsidRPr="00656402">
        <w:rPr>
          <w:rFonts w:ascii="Arial Narrow" w:hAnsi="Arial Narrow" w:cs="Arial Narrow"/>
          <w:sz w:val="22"/>
          <w:szCs w:val="24"/>
          <w:u w:val="single"/>
        </w:rPr>
        <w:t>NBS</w:t>
      </w:r>
    </w:p>
    <w:p w:rsidR="00C52ECF" w:rsidP="00C52ECF">
      <w:pPr>
        <w:jc w:val="both"/>
        <w:rPr>
          <w:rFonts w:ascii="Arial Narrow" w:hAnsi="Arial Narrow" w:cs="Arial Narrow"/>
          <w:color w:val="000000"/>
          <w:sz w:val="22"/>
          <w:szCs w:val="24"/>
          <w:lang w:eastAsia="sk-SK"/>
        </w:rPr>
      </w:pPr>
      <w:r w:rsidR="00810E43">
        <w:rPr>
          <w:rFonts w:ascii="Arial Narrow" w:hAnsi="Arial Narrow" w:cs="Arial Narrow"/>
          <w:color w:val="000000"/>
          <w:sz w:val="22"/>
          <w:szCs w:val="24"/>
          <w:lang w:eastAsia="sk-SK"/>
        </w:rPr>
        <w:t>Prognózu MF SR považuj</w:t>
      </w:r>
      <w:r w:rsidR="003E6D94">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realistickú.</w:t>
      </w:r>
    </w:p>
    <w:p w:rsidR="00C52ECF" w:rsidP="00C52ECF">
      <w:pPr>
        <w:jc w:val="both"/>
        <w:rPr>
          <w:rFonts w:ascii="Arial Narrow" w:hAnsi="Arial Narrow" w:cs="Arial Narrow"/>
          <w:sz w:val="22"/>
          <w:szCs w:val="24"/>
        </w:rPr>
      </w:pPr>
    </w:p>
    <w:p w:rsidR="00C52ECF" w:rsidRPr="006E5AEF" w:rsidP="00C52ECF">
      <w:pPr>
        <w:jc w:val="both"/>
        <w:rPr>
          <w:rFonts w:ascii="Arial Narrow" w:hAnsi="Arial Narrow" w:cs="Arial Narrow"/>
          <w:sz w:val="22"/>
          <w:szCs w:val="24"/>
        </w:rPr>
      </w:pPr>
      <w:r w:rsidRPr="006E5AEF">
        <w:rPr>
          <w:rFonts w:ascii="Arial Narrow" w:hAnsi="Arial Narrow" w:cs="Arial Narrow"/>
          <w:sz w:val="22"/>
          <w:szCs w:val="24"/>
          <w:u w:val="single"/>
        </w:rPr>
        <w:t>INFOSTAT</w:t>
      </w:r>
      <w:r w:rsidRPr="006E5AEF">
        <w:rPr>
          <w:rFonts w:ascii="Arial Narrow" w:hAnsi="Arial Narrow" w:cs="Arial Narrow"/>
          <w:sz w:val="22"/>
          <w:szCs w:val="24"/>
        </w:rPr>
        <w:t xml:space="preserve"> </w:t>
      </w:r>
    </w:p>
    <w:p w:rsidR="00C52ECF" w:rsidRPr="00340883" w:rsidP="00C52ECF">
      <w:pPr>
        <w:autoSpaceDE w:val="0"/>
        <w:autoSpaceDN w:val="0"/>
        <w:adjustRightInd w:val="0"/>
        <w:spacing w:line="240" w:lineRule="atLeast"/>
        <w:jc w:val="both"/>
        <w:rPr>
          <w:rFonts w:ascii="Arial Narrow" w:hAnsi="Arial Narrow" w:cs="Arial Narrow"/>
          <w:sz w:val="22"/>
          <w:szCs w:val="24"/>
        </w:rPr>
      </w:pPr>
      <w:r w:rsidRPr="002C1940">
        <w:rPr>
          <w:rFonts w:ascii="Arial Narrow" w:hAnsi="Arial Narrow" w:cs="Arial Narrow"/>
          <w:color w:val="000000"/>
          <w:sz w:val="22"/>
          <w:szCs w:val="24"/>
          <w:lang w:eastAsia="sk-SK"/>
        </w:rPr>
        <w:t>Prognózu MF SR považuj</w:t>
      </w:r>
      <w:r w:rsidR="003E6D94">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w:t>
      </w:r>
      <w:r>
        <w:rPr>
          <w:rFonts w:ascii="Arial Narrow" w:hAnsi="Arial Narrow" w:cs="Arial Narrow"/>
          <w:color w:val="000000"/>
          <w:sz w:val="22"/>
          <w:szCs w:val="24"/>
          <w:lang w:eastAsia="sk-SK"/>
        </w:rPr>
        <w:t>optimistickú.</w:t>
      </w:r>
      <w:r w:rsidRPr="00340883">
        <w:rPr>
          <w:rFonts w:ascii="Arial Narrow" w:hAnsi="Arial Narrow" w:cs="Arial Narrow"/>
          <w:sz w:val="22"/>
          <w:szCs w:val="24"/>
        </w:rPr>
        <w:t xml:space="preserve"> S </w:t>
      </w:r>
      <w:r>
        <w:rPr>
          <w:rFonts w:ascii="Arial Narrow" w:hAnsi="Arial Narrow" w:cs="Arial Narrow"/>
          <w:sz w:val="22"/>
          <w:szCs w:val="24"/>
        </w:rPr>
        <w:t>ú</w:t>
      </w:r>
      <w:r w:rsidRPr="00340883">
        <w:rPr>
          <w:rFonts w:ascii="Arial Narrow" w:hAnsi="Arial Narrow" w:cs="Arial Narrow"/>
          <w:sz w:val="22"/>
          <w:szCs w:val="24"/>
        </w:rPr>
        <w:t>pravami progn</w:t>
      </w:r>
      <w:r>
        <w:rPr>
          <w:rFonts w:ascii="Arial Narrow" w:hAnsi="Arial Narrow" w:cs="Arial Narrow"/>
          <w:sz w:val="22"/>
          <w:szCs w:val="24"/>
        </w:rPr>
        <w:t>ó</w:t>
      </w:r>
      <w:r w:rsidRPr="00340883">
        <w:rPr>
          <w:rFonts w:ascii="Arial Narrow" w:hAnsi="Arial Narrow" w:cs="Arial Narrow"/>
          <w:sz w:val="22"/>
          <w:szCs w:val="24"/>
        </w:rPr>
        <w:t>zy, ktor</w:t>
      </w:r>
      <w:r>
        <w:rPr>
          <w:rFonts w:ascii="Arial Narrow" w:hAnsi="Arial Narrow" w:cs="Arial Narrow"/>
          <w:sz w:val="22"/>
          <w:szCs w:val="24"/>
        </w:rPr>
        <w:t>é</w:t>
      </w:r>
      <w:r w:rsidRPr="00340883">
        <w:rPr>
          <w:rFonts w:ascii="Arial Narrow" w:hAnsi="Arial Narrow" w:cs="Arial Narrow"/>
          <w:sz w:val="22"/>
          <w:szCs w:val="24"/>
        </w:rPr>
        <w:t xml:space="preserve"> s</w:t>
      </w:r>
      <w:r>
        <w:rPr>
          <w:rFonts w:ascii="Arial Narrow" w:hAnsi="Arial Narrow" w:cs="Arial Narrow"/>
          <w:sz w:val="22"/>
          <w:szCs w:val="24"/>
        </w:rPr>
        <w:t>ú</w:t>
      </w:r>
      <w:r w:rsidRPr="00340883">
        <w:rPr>
          <w:rFonts w:ascii="Arial Narrow" w:hAnsi="Arial Narrow" w:cs="Arial Narrow"/>
          <w:sz w:val="22"/>
          <w:szCs w:val="24"/>
        </w:rPr>
        <w:t>visia s rev</w:t>
      </w:r>
      <w:r>
        <w:rPr>
          <w:rFonts w:ascii="Arial Narrow" w:hAnsi="Arial Narrow" w:cs="Arial Narrow"/>
          <w:sz w:val="22"/>
          <w:szCs w:val="24"/>
        </w:rPr>
        <w:t>í</w:t>
      </w:r>
      <w:r w:rsidRPr="00340883">
        <w:rPr>
          <w:rFonts w:ascii="Arial Narrow" w:hAnsi="Arial Narrow" w:cs="Arial Narrow"/>
          <w:sz w:val="22"/>
          <w:szCs w:val="24"/>
        </w:rPr>
        <w:t>ziou infl</w:t>
      </w:r>
      <w:r>
        <w:rPr>
          <w:rFonts w:ascii="Arial Narrow" w:hAnsi="Arial Narrow" w:cs="Arial Narrow"/>
          <w:sz w:val="22"/>
          <w:szCs w:val="24"/>
        </w:rPr>
        <w:t>á</w:t>
      </w:r>
      <w:r w:rsidRPr="00340883">
        <w:rPr>
          <w:rFonts w:ascii="Arial Narrow" w:hAnsi="Arial Narrow" w:cs="Arial Narrow"/>
          <w:sz w:val="22"/>
          <w:szCs w:val="24"/>
        </w:rPr>
        <w:t>cie sa stoto</w:t>
      </w:r>
      <w:r>
        <w:rPr>
          <w:rFonts w:ascii="Arial Narrow" w:hAnsi="Arial Narrow" w:cs="Arial Narrow"/>
          <w:sz w:val="22"/>
          <w:szCs w:val="24"/>
        </w:rPr>
        <w:t>žň</w:t>
      </w:r>
      <w:r w:rsidR="003E6D94">
        <w:rPr>
          <w:rFonts w:ascii="Arial Narrow" w:hAnsi="Arial Narrow" w:cs="Arial Narrow"/>
          <w:sz w:val="22"/>
          <w:szCs w:val="24"/>
        </w:rPr>
        <w:t>uje</w:t>
      </w:r>
      <w:r w:rsidRPr="00340883">
        <w:rPr>
          <w:rFonts w:ascii="Arial Narrow" w:hAnsi="Arial Narrow" w:cs="Arial Narrow"/>
          <w:sz w:val="22"/>
          <w:szCs w:val="24"/>
        </w:rPr>
        <w:t>. Odhad ekonomick</w:t>
      </w:r>
      <w:r>
        <w:rPr>
          <w:rFonts w:ascii="Arial Narrow" w:hAnsi="Arial Narrow" w:cs="Arial Narrow"/>
          <w:sz w:val="22"/>
          <w:szCs w:val="24"/>
        </w:rPr>
        <w:t>ého rastu v roku 2009 považuj</w:t>
      </w:r>
      <w:r w:rsidR="003E6D94">
        <w:rPr>
          <w:rFonts w:ascii="Arial Narrow" w:hAnsi="Arial Narrow" w:cs="Arial Narrow"/>
          <w:sz w:val="22"/>
          <w:szCs w:val="24"/>
        </w:rPr>
        <w:t>e</w:t>
      </w:r>
      <w:r>
        <w:rPr>
          <w:rFonts w:ascii="Arial Narrow" w:hAnsi="Arial Narrow" w:cs="Arial Narrow"/>
          <w:sz w:val="22"/>
          <w:szCs w:val="24"/>
        </w:rPr>
        <w:t xml:space="preserve"> za pesimistický</w:t>
      </w:r>
      <w:r w:rsidRPr="00340883">
        <w:rPr>
          <w:rFonts w:ascii="Arial Narrow" w:hAnsi="Arial Narrow" w:cs="Arial Narrow"/>
          <w:sz w:val="22"/>
          <w:szCs w:val="24"/>
        </w:rPr>
        <w:t>, a v nasleduj</w:t>
      </w:r>
      <w:r>
        <w:rPr>
          <w:rFonts w:ascii="Arial Narrow" w:hAnsi="Arial Narrow" w:cs="Arial Narrow"/>
          <w:sz w:val="22"/>
          <w:szCs w:val="24"/>
        </w:rPr>
        <w:t>ú</w:t>
      </w:r>
      <w:r w:rsidRPr="00340883">
        <w:rPr>
          <w:rFonts w:ascii="Arial Narrow" w:hAnsi="Arial Narrow" w:cs="Arial Narrow"/>
          <w:sz w:val="22"/>
          <w:szCs w:val="24"/>
        </w:rPr>
        <w:t>cich rokoch za optimistick</w:t>
      </w:r>
      <w:r>
        <w:rPr>
          <w:rFonts w:ascii="Arial Narrow" w:hAnsi="Arial Narrow" w:cs="Arial Narrow"/>
          <w:sz w:val="22"/>
          <w:szCs w:val="24"/>
        </w:rPr>
        <w:t>ý</w:t>
      </w:r>
      <w:r w:rsidRPr="00340883">
        <w:rPr>
          <w:rFonts w:ascii="Arial Narrow" w:hAnsi="Arial Narrow" w:cs="Arial Narrow"/>
          <w:sz w:val="22"/>
          <w:szCs w:val="24"/>
        </w:rPr>
        <w:t>.</w:t>
      </w:r>
    </w:p>
    <w:p w:rsidR="00C52ECF" w:rsidP="00C52ECF">
      <w:pPr>
        <w:spacing w:before="48" w:beforeLines="20" w:after="48" w:afterLines="20"/>
        <w:jc w:val="both"/>
        <w:rPr>
          <w:rFonts w:ascii="Arial Narrow" w:hAnsi="Arial Narrow" w:cs="Arial Narrow"/>
          <w:sz w:val="22"/>
          <w:szCs w:val="24"/>
          <w:u w:val="single"/>
        </w:rPr>
      </w:pPr>
    </w:p>
    <w:p w:rsidR="00C52ECF" w:rsidRPr="006E5AEF" w:rsidP="00C52ECF">
      <w:pPr>
        <w:spacing w:before="48" w:beforeLines="20" w:after="48" w:afterLines="20"/>
        <w:jc w:val="both"/>
        <w:rPr>
          <w:rFonts w:ascii="Arial Narrow" w:hAnsi="Arial Narrow" w:cs="Arial Narrow"/>
          <w:b/>
          <w:sz w:val="22"/>
          <w:szCs w:val="24"/>
        </w:rPr>
      </w:pPr>
      <w:r w:rsidRPr="006E5AEF">
        <w:rPr>
          <w:rFonts w:ascii="Arial Narrow" w:hAnsi="Arial Narrow" w:cs="Arial Narrow"/>
          <w:sz w:val="22"/>
          <w:szCs w:val="24"/>
          <w:u w:val="single"/>
        </w:rPr>
        <w:t>ČSOB</w:t>
      </w:r>
    </w:p>
    <w:p w:rsidR="00C52ECF" w:rsidRPr="002C1940" w:rsidP="00C52ECF">
      <w:pPr>
        <w:jc w:val="both"/>
        <w:rPr>
          <w:rFonts w:ascii="Arial Narrow" w:hAnsi="Arial Narrow" w:cs="Arial Narrow"/>
          <w:color w:val="000000"/>
          <w:sz w:val="22"/>
          <w:szCs w:val="24"/>
          <w:lang w:eastAsia="sk-SK"/>
        </w:rPr>
      </w:pPr>
      <w:r w:rsidRPr="002C1940">
        <w:rPr>
          <w:rFonts w:ascii="Arial Narrow" w:hAnsi="Arial Narrow" w:cs="Arial Narrow"/>
          <w:color w:val="000000"/>
          <w:sz w:val="22"/>
          <w:szCs w:val="24"/>
          <w:lang w:eastAsia="sk-SK"/>
        </w:rPr>
        <w:t>Prognózu MF SR považuj</w:t>
      </w:r>
      <w:r w:rsidR="003E6D94">
        <w:rPr>
          <w:rFonts w:ascii="Arial Narrow" w:hAnsi="Arial Narrow" w:cs="Arial Narrow"/>
          <w:color w:val="000000"/>
          <w:sz w:val="22"/>
          <w:szCs w:val="24"/>
          <w:lang w:eastAsia="sk-SK"/>
        </w:rPr>
        <w:t>e</w:t>
      </w:r>
      <w:r>
        <w:rPr>
          <w:rFonts w:ascii="Arial Narrow" w:hAnsi="Arial Narrow" w:cs="Arial Narrow"/>
          <w:color w:val="000000"/>
          <w:sz w:val="22"/>
          <w:szCs w:val="24"/>
          <w:lang w:eastAsia="sk-SK"/>
        </w:rPr>
        <w:t xml:space="preserve"> za realistickú. Ministerstvo </w:t>
      </w:r>
      <w:r w:rsidR="003E6D94">
        <w:rPr>
          <w:rFonts w:ascii="Arial Narrow" w:hAnsi="Arial Narrow" w:cs="Arial Narrow"/>
          <w:color w:val="000000"/>
          <w:sz w:val="22"/>
          <w:szCs w:val="24"/>
          <w:lang w:eastAsia="sk-SK"/>
        </w:rPr>
        <w:t xml:space="preserve">financií </w:t>
      </w:r>
      <w:r>
        <w:rPr>
          <w:rFonts w:ascii="Arial Narrow" w:hAnsi="Arial Narrow" w:cs="Arial Narrow"/>
          <w:color w:val="000000"/>
          <w:sz w:val="22"/>
          <w:szCs w:val="24"/>
          <w:lang w:eastAsia="sk-SK"/>
        </w:rPr>
        <w:t>hľ</w:t>
      </w:r>
      <w:r w:rsidRPr="002C1940">
        <w:rPr>
          <w:rFonts w:ascii="Arial Narrow" w:hAnsi="Arial Narrow" w:cs="Arial Narrow"/>
          <w:color w:val="000000"/>
          <w:sz w:val="22"/>
          <w:szCs w:val="24"/>
          <w:lang w:eastAsia="sk-SK"/>
        </w:rPr>
        <w:t>adí do roku 2010 s mierne vä</w:t>
      </w:r>
      <w:r>
        <w:rPr>
          <w:rFonts w:ascii="Arial Narrow" w:hAnsi="Arial Narrow" w:cs="Arial Narrow"/>
          <w:color w:val="000000"/>
          <w:sz w:val="22"/>
          <w:szCs w:val="24"/>
          <w:lang w:eastAsia="sk-SK"/>
        </w:rPr>
        <w:t>č</w:t>
      </w:r>
      <w:r w:rsidRPr="002C1940">
        <w:rPr>
          <w:rFonts w:ascii="Arial Narrow" w:hAnsi="Arial Narrow" w:cs="Arial Narrow"/>
          <w:color w:val="000000"/>
          <w:sz w:val="22"/>
          <w:szCs w:val="24"/>
          <w:lang w:eastAsia="sk-SK"/>
        </w:rPr>
        <w:t xml:space="preserve">ším optimizmom ako </w:t>
      </w:r>
      <w:r w:rsidR="00810E43">
        <w:rPr>
          <w:rFonts w:ascii="Arial Narrow" w:hAnsi="Arial Narrow" w:cs="Arial Narrow"/>
          <w:color w:val="000000"/>
          <w:sz w:val="22"/>
          <w:szCs w:val="24"/>
          <w:lang w:eastAsia="sk-SK"/>
        </w:rPr>
        <w:t>ČSOB</w:t>
      </w:r>
      <w:r w:rsidRPr="002C1940">
        <w:rPr>
          <w:rFonts w:ascii="Arial Narrow" w:hAnsi="Arial Narrow" w:cs="Arial Narrow"/>
          <w:color w:val="000000"/>
          <w:sz w:val="22"/>
          <w:szCs w:val="24"/>
          <w:lang w:eastAsia="sk-SK"/>
        </w:rPr>
        <w:t>. Napriek tomu súhlas</w:t>
      </w:r>
      <w:r w:rsidR="00091889">
        <w:rPr>
          <w:rFonts w:ascii="Arial Narrow" w:hAnsi="Arial Narrow" w:cs="Arial Narrow"/>
          <w:color w:val="000000"/>
          <w:sz w:val="22"/>
          <w:szCs w:val="24"/>
          <w:lang w:eastAsia="sk-SK"/>
        </w:rPr>
        <w:t>í</w:t>
      </w:r>
      <w:r w:rsidRPr="002C1940">
        <w:rPr>
          <w:rFonts w:ascii="Arial Narrow" w:hAnsi="Arial Narrow" w:cs="Arial Narrow"/>
          <w:color w:val="000000"/>
          <w:sz w:val="22"/>
          <w:szCs w:val="24"/>
          <w:lang w:eastAsia="sk-SK"/>
        </w:rPr>
        <w:t xml:space="preserve"> s názorom, že slovenská ekonomika by mala zaznamena</w:t>
      </w:r>
      <w:r>
        <w:rPr>
          <w:rFonts w:ascii="Arial Narrow" w:hAnsi="Arial Narrow" w:cs="Arial Narrow"/>
          <w:color w:val="000000"/>
          <w:sz w:val="22"/>
          <w:szCs w:val="24"/>
          <w:lang w:eastAsia="sk-SK"/>
        </w:rPr>
        <w:t>ť</w:t>
      </w:r>
      <w:r w:rsidRPr="002C1940">
        <w:rPr>
          <w:rFonts w:ascii="Arial Narrow" w:hAnsi="Arial Narrow" w:cs="Arial Narrow"/>
          <w:color w:val="000000"/>
          <w:sz w:val="22"/>
          <w:szCs w:val="24"/>
          <w:lang w:eastAsia="sk-SK"/>
        </w:rPr>
        <w:t xml:space="preserve"> mierny rast. Citlivo však vníma pretrvávajúce riziká vo svetovej ekonomike najmä po skon</w:t>
      </w:r>
      <w:r>
        <w:rPr>
          <w:rFonts w:ascii="Arial Narrow" w:hAnsi="Arial Narrow" w:cs="Arial Narrow"/>
          <w:color w:val="000000"/>
          <w:sz w:val="22"/>
          <w:szCs w:val="24"/>
          <w:lang w:eastAsia="sk-SK"/>
        </w:rPr>
        <w:t>č</w:t>
      </w:r>
      <w:r w:rsidRPr="002C1940">
        <w:rPr>
          <w:rFonts w:ascii="Arial Narrow" w:hAnsi="Arial Narrow" w:cs="Arial Narrow"/>
          <w:color w:val="000000"/>
          <w:sz w:val="22"/>
          <w:szCs w:val="24"/>
          <w:lang w:eastAsia="sk-SK"/>
        </w:rPr>
        <w:t>ení fiškálnych stimulov vlád. Ur</w:t>
      </w:r>
      <w:r>
        <w:rPr>
          <w:rFonts w:ascii="Arial Narrow" w:hAnsi="Arial Narrow" w:cs="Arial Narrow"/>
          <w:color w:val="000000"/>
          <w:sz w:val="22"/>
          <w:szCs w:val="24"/>
          <w:lang w:eastAsia="sk-SK"/>
        </w:rPr>
        <w:t>č</w:t>
      </w:r>
      <w:r w:rsidRPr="002C1940">
        <w:rPr>
          <w:rFonts w:ascii="Arial Narrow" w:hAnsi="Arial Narrow" w:cs="Arial Narrow"/>
          <w:color w:val="000000"/>
          <w:sz w:val="22"/>
          <w:szCs w:val="24"/>
          <w:lang w:eastAsia="sk-SK"/>
        </w:rPr>
        <w:t>itým rizikom je tiež zhoršenie úverových portfólií finan</w:t>
      </w:r>
      <w:r>
        <w:rPr>
          <w:rFonts w:ascii="Arial Narrow" w:hAnsi="Arial Narrow" w:cs="Arial Narrow"/>
          <w:color w:val="000000"/>
          <w:sz w:val="22"/>
          <w:szCs w:val="24"/>
          <w:lang w:eastAsia="sk-SK"/>
        </w:rPr>
        <w:t>č</w:t>
      </w:r>
      <w:r w:rsidRPr="002C1940">
        <w:rPr>
          <w:rFonts w:ascii="Arial Narrow" w:hAnsi="Arial Narrow" w:cs="Arial Narrow"/>
          <w:color w:val="000000"/>
          <w:sz w:val="22"/>
          <w:szCs w:val="24"/>
          <w:lang w:eastAsia="sk-SK"/>
        </w:rPr>
        <w:t>ných inštitúcií, ktoré sa pravdepodobne dostaví na prelome rokov.</w:t>
      </w:r>
    </w:p>
    <w:p w:rsidR="002F23EC" w:rsidP="00C52ECF">
      <w:pPr>
        <w:spacing w:before="48" w:beforeLines="20" w:after="48" w:afterLines="20"/>
        <w:jc w:val="both"/>
        <w:rPr>
          <w:rFonts w:ascii="Arial Narrow" w:hAnsi="Arial Narrow" w:cs="Arial Narrow"/>
          <w:sz w:val="22"/>
          <w:szCs w:val="24"/>
          <w:u w:val="single"/>
        </w:rPr>
      </w:pPr>
    </w:p>
    <w:p w:rsidR="00C52ECF" w:rsidRPr="006E5AEF" w:rsidP="00C52ECF">
      <w:pPr>
        <w:spacing w:before="48" w:beforeLines="20" w:after="48" w:afterLines="20"/>
        <w:jc w:val="both"/>
        <w:rPr>
          <w:rFonts w:ascii="Arial Narrow" w:hAnsi="Arial Narrow" w:cs="Arial Narrow"/>
          <w:sz w:val="22"/>
          <w:szCs w:val="24"/>
          <w:u w:val="single"/>
        </w:rPr>
      </w:pPr>
      <w:r w:rsidRPr="006E5AEF">
        <w:rPr>
          <w:rFonts w:ascii="Arial Narrow" w:hAnsi="Arial Narrow" w:cs="Arial Narrow"/>
          <w:sz w:val="22"/>
          <w:szCs w:val="24"/>
          <w:u w:val="single"/>
        </w:rPr>
        <w:t>ING Bank</w:t>
      </w:r>
    </w:p>
    <w:p w:rsidR="00C52ECF" w:rsidP="00C52ECF">
      <w:pPr>
        <w:jc w:val="both"/>
        <w:rPr>
          <w:rFonts w:ascii="Arial Narrow" w:hAnsi="Arial Narrow" w:cs="Arial Narrow"/>
          <w:color w:val="000000"/>
          <w:sz w:val="22"/>
          <w:szCs w:val="24"/>
          <w:lang w:eastAsia="sk-SK"/>
        </w:rPr>
      </w:pPr>
      <w:r w:rsidRPr="002C1940">
        <w:rPr>
          <w:rFonts w:ascii="Arial Narrow" w:hAnsi="Arial Narrow" w:cs="Arial Narrow"/>
          <w:color w:val="000000"/>
          <w:sz w:val="22"/>
          <w:szCs w:val="24"/>
          <w:lang w:eastAsia="sk-SK"/>
        </w:rPr>
        <w:t>Prognózu MF SR považuj</w:t>
      </w:r>
      <w:r w:rsidR="00091889">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w:t>
      </w:r>
      <w:r>
        <w:rPr>
          <w:rFonts w:ascii="Arial Narrow" w:hAnsi="Arial Narrow" w:cs="Arial Narrow"/>
          <w:color w:val="000000"/>
          <w:sz w:val="22"/>
          <w:szCs w:val="24"/>
          <w:lang w:eastAsia="sk-SK"/>
        </w:rPr>
        <w:t>optimistickú</w:t>
      </w:r>
      <w:r w:rsidRPr="002C1940">
        <w:rPr>
          <w:rFonts w:ascii="Arial Narrow" w:hAnsi="Arial Narrow" w:cs="Arial Narrow"/>
          <w:color w:val="000000"/>
          <w:sz w:val="22"/>
          <w:szCs w:val="24"/>
          <w:lang w:eastAsia="sk-SK"/>
        </w:rPr>
        <w:t>.</w:t>
      </w:r>
      <w:r>
        <w:rPr>
          <w:rFonts w:ascii="Arial Narrow" w:hAnsi="Arial Narrow" w:cs="Arial Narrow"/>
          <w:color w:val="000000"/>
          <w:sz w:val="22"/>
          <w:szCs w:val="24"/>
          <w:lang w:eastAsia="sk-SK"/>
        </w:rPr>
        <w:t xml:space="preserve"> </w:t>
      </w:r>
      <w:r w:rsidRPr="00934A7B">
        <w:rPr>
          <w:rFonts w:ascii="Arial Narrow" w:hAnsi="Arial Narrow" w:cs="Arial Narrow"/>
          <w:color w:val="000000"/>
          <w:sz w:val="22"/>
          <w:szCs w:val="24"/>
          <w:lang w:eastAsia="sk-SK"/>
        </w:rPr>
        <w:t>Po porovnaní predikcií ING a</w:t>
      </w:r>
      <w:r>
        <w:rPr>
          <w:rFonts w:ascii="Arial Narrow" w:hAnsi="Arial Narrow" w:cs="Arial Narrow"/>
          <w:color w:val="000000"/>
          <w:sz w:val="22"/>
          <w:szCs w:val="24"/>
          <w:lang w:eastAsia="sk-SK"/>
        </w:rPr>
        <w:t> MF SR</w:t>
      </w:r>
      <w:r w:rsidRPr="00934A7B">
        <w:rPr>
          <w:rFonts w:ascii="Arial Narrow" w:hAnsi="Arial Narrow" w:cs="Arial Narrow"/>
          <w:color w:val="000000"/>
          <w:sz w:val="22"/>
          <w:szCs w:val="24"/>
          <w:lang w:eastAsia="sk-SK"/>
        </w:rPr>
        <w:t xml:space="preserve"> so zameraním sa na ukazovatele, ktoré slúžia ako makroekonomické základne pre odhad príjmov z jednotlivých daní a odvodov, považuj</w:t>
      </w:r>
      <w:r w:rsidR="00091889">
        <w:rPr>
          <w:rFonts w:ascii="Arial Narrow" w:hAnsi="Arial Narrow" w:cs="Arial Narrow"/>
          <w:color w:val="000000"/>
          <w:sz w:val="22"/>
          <w:szCs w:val="24"/>
          <w:lang w:eastAsia="sk-SK"/>
        </w:rPr>
        <w:t>e</w:t>
      </w:r>
      <w:r w:rsidRPr="00934A7B">
        <w:rPr>
          <w:rFonts w:ascii="Arial Narrow" w:hAnsi="Arial Narrow" w:cs="Arial Narrow"/>
          <w:color w:val="000000"/>
          <w:sz w:val="22"/>
          <w:szCs w:val="24"/>
          <w:lang w:eastAsia="sk-SK"/>
        </w:rPr>
        <w:t xml:space="preserve"> prognózu </w:t>
      </w:r>
      <w:r>
        <w:rPr>
          <w:rFonts w:ascii="Arial Narrow" w:hAnsi="Arial Narrow" w:cs="Arial Narrow"/>
          <w:color w:val="000000"/>
          <w:sz w:val="22"/>
          <w:szCs w:val="24"/>
          <w:lang w:eastAsia="sk-SK"/>
        </w:rPr>
        <w:t>MF SR</w:t>
      </w:r>
      <w:r w:rsidRPr="00934A7B">
        <w:rPr>
          <w:rFonts w:ascii="Arial Narrow" w:hAnsi="Arial Narrow" w:cs="Arial Narrow"/>
          <w:color w:val="000000"/>
          <w:sz w:val="22"/>
          <w:szCs w:val="24"/>
          <w:lang w:eastAsia="sk-SK"/>
        </w:rPr>
        <w:t xml:space="preserve"> za optimistickú.</w:t>
      </w:r>
    </w:p>
    <w:p w:rsidR="002F23EC" w:rsidP="00C52ECF">
      <w:pPr>
        <w:spacing w:before="48" w:beforeLines="20" w:after="48" w:afterLines="20"/>
        <w:jc w:val="both"/>
        <w:rPr>
          <w:rFonts w:ascii="Arial Narrow" w:hAnsi="Arial Narrow" w:cs="Arial Narrow"/>
          <w:sz w:val="22"/>
          <w:szCs w:val="24"/>
          <w:u w:val="single"/>
        </w:rPr>
      </w:pPr>
    </w:p>
    <w:p w:rsidR="00C52ECF" w:rsidRPr="006E5AEF" w:rsidP="00C52ECF">
      <w:pPr>
        <w:spacing w:before="48" w:beforeLines="20" w:after="48" w:afterLines="20"/>
        <w:jc w:val="both"/>
        <w:rPr>
          <w:rFonts w:ascii="Arial Narrow" w:hAnsi="Arial Narrow" w:cs="Arial Narrow"/>
          <w:b/>
          <w:sz w:val="22"/>
          <w:szCs w:val="24"/>
        </w:rPr>
      </w:pPr>
      <w:r w:rsidRPr="006E5AEF">
        <w:rPr>
          <w:rFonts w:ascii="Arial Narrow" w:hAnsi="Arial Narrow" w:cs="Arial Narrow"/>
          <w:sz w:val="22"/>
          <w:szCs w:val="24"/>
          <w:u w:val="single"/>
        </w:rPr>
        <w:t>S</w:t>
      </w:r>
      <w:r>
        <w:rPr>
          <w:rFonts w:ascii="Arial Narrow" w:hAnsi="Arial Narrow" w:cs="Arial Narrow"/>
          <w:sz w:val="22"/>
          <w:szCs w:val="24"/>
          <w:u w:val="single"/>
        </w:rPr>
        <w:t>AV</w:t>
      </w:r>
    </w:p>
    <w:p w:rsidR="00C52ECF" w:rsidP="00C52ECF">
      <w:pPr>
        <w:jc w:val="both"/>
        <w:rPr>
          <w:rFonts w:ascii="Arial Narrow" w:hAnsi="Arial Narrow" w:cs="Arial Narrow"/>
          <w:sz w:val="22"/>
          <w:szCs w:val="24"/>
        </w:rPr>
      </w:pPr>
      <w:r w:rsidRPr="002C1940">
        <w:rPr>
          <w:rFonts w:ascii="Arial Narrow" w:hAnsi="Arial Narrow" w:cs="Arial Narrow"/>
          <w:color w:val="000000"/>
          <w:sz w:val="22"/>
          <w:szCs w:val="24"/>
          <w:lang w:eastAsia="sk-SK"/>
        </w:rPr>
        <w:t>Prognózu MF SR považuj</w:t>
      </w:r>
      <w:r w:rsidR="00091889">
        <w:rPr>
          <w:rFonts w:ascii="Arial Narrow" w:hAnsi="Arial Narrow" w:cs="Arial Narrow"/>
          <w:color w:val="000000"/>
          <w:sz w:val="22"/>
          <w:szCs w:val="24"/>
          <w:lang w:eastAsia="sk-SK"/>
        </w:rPr>
        <w:t xml:space="preserve">e </w:t>
      </w:r>
      <w:r w:rsidRPr="002C1940">
        <w:rPr>
          <w:rFonts w:ascii="Arial Narrow" w:hAnsi="Arial Narrow" w:cs="Arial Narrow"/>
          <w:color w:val="000000"/>
          <w:sz w:val="22"/>
          <w:szCs w:val="24"/>
          <w:lang w:eastAsia="sk-SK"/>
        </w:rPr>
        <w:t>za realistickú.</w:t>
      </w:r>
      <w:r>
        <w:rPr>
          <w:rFonts w:ascii="Arial Narrow" w:hAnsi="Arial Narrow" w:cs="Arial Narrow"/>
          <w:color w:val="000000"/>
          <w:sz w:val="22"/>
          <w:szCs w:val="24"/>
          <w:lang w:eastAsia="sk-SK"/>
        </w:rPr>
        <w:t xml:space="preserve"> </w:t>
      </w:r>
      <w:r w:rsidRPr="00F456D7">
        <w:rPr>
          <w:rFonts w:ascii="Arial Narrow" w:hAnsi="Arial Narrow" w:cs="Arial Narrow"/>
          <w:sz w:val="22"/>
          <w:szCs w:val="24"/>
        </w:rPr>
        <w:t>Prognóza je v značnej miere konzervatívna pre rok 2009 a do nie malej miery optimistická pre obdobie 2010</w:t>
      </w:r>
      <w:r w:rsidR="00CA5050">
        <w:rPr>
          <w:rFonts w:ascii="Arial Narrow" w:hAnsi="Arial Narrow" w:cs="Arial Narrow"/>
          <w:sz w:val="22"/>
          <w:szCs w:val="24"/>
        </w:rPr>
        <w:t xml:space="preserve"> až </w:t>
      </w:r>
      <w:r w:rsidRPr="00F456D7">
        <w:rPr>
          <w:rFonts w:ascii="Arial Narrow" w:hAnsi="Arial Narrow" w:cs="Arial Narrow"/>
          <w:sz w:val="22"/>
          <w:szCs w:val="24"/>
        </w:rPr>
        <w:t>2012. Konzistentnosť prepojenia medzi trhom tovarom a trhom práce patrí medzi jej slabé stránky.</w:t>
      </w:r>
    </w:p>
    <w:p w:rsidR="00C52ECF" w:rsidRPr="00F456D7" w:rsidP="00C52ECF">
      <w:pPr>
        <w:jc w:val="both"/>
        <w:rPr>
          <w:rFonts w:ascii="Arial Narrow" w:hAnsi="Arial Narrow" w:cs="Arial Narrow"/>
          <w:sz w:val="22"/>
          <w:szCs w:val="24"/>
        </w:rPr>
      </w:pPr>
    </w:p>
    <w:p w:rsidR="00C52ECF" w:rsidRPr="006E5AEF" w:rsidP="00C52ECF">
      <w:pPr>
        <w:jc w:val="both"/>
        <w:rPr>
          <w:rFonts w:ascii="Arial Narrow" w:hAnsi="Arial Narrow" w:cs="Arial Narrow"/>
          <w:b/>
          <w:sz w:val="22"/>
          <w:szCs w:val="24"/>
        </w:rPr>
      </w:pPr>
      <w:r w:rsidRPr="006E5AEF">
        <w:rPr>
          <w:rFonts w:ascii="Arial Narrow" w:hAnsi="Arial Narrow" w:cs="Arial Narrow"/>
          <w:sz w:val="22"/>
          <w:szCs w:val="24"/>
          <w:u w:val="single"/>
        </w:rPr>
        <w:t>SLSP</w:t>
      </w:r>
      <w:r w:rsidRPr="006E5AEF">
        <w:rPr>
          <w:rFonts w:ascii="Arial Narrow" w:hAnsi="Arial Narrow" w:cs="Arial Narrow"/>
          <w:b/>
          <w:sz w:val="22"/>
          <w:szCs w:val="24"/>
        </w:rPr>
        <w:t xml:space="preserve"> </w:t>
      </w:r>
    </w:p>
    <w:p w:rsidR="00C52ECF" w:rsidRPr="00934A7B" w:rsidP="00C52ECF">
      <w:pPr>
        <w:autoSpaceDE w:val="0"/>
        <w:autoSpaceDN w:val="0"/>
        <w:adjustRightInd w:val="0"/>
        <w:spacing w:line="240" w:lineRule="atLeast"/>
        <w:jc w:val="both"/>
        <w:rPr>
          <w:rFonts w:ascii="Arial Narrow" w:hAnsi="Arial Narrow" w:cs="Arial Narrow"/>
          <w:color w:val="000000"/>
          <w:sz w:val="22"/>
          <w:szCs w:val="24"/>
        </w:rPr>
      </w:pPr>
      <w:r w:rsidRPr="002C1940">
        <w:rPr>
          <w:rFonts w:ascii="Arial Narrow" w:hAnsi="Arial Narrow" w:cs="Arial Narrow"/>
          <w:color w:val="000000"/>
          <w:sz w:val="22"/>
          <w:szCs w:val="24"/>
          <w:lang w:eastAsia="sk-SK"/>
        </w:rPr>
        <w:t>Prognózu MF SR považuj</w:t>
      </w:r>
      <w:r w:rsidR="00091889">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realistickú.</w:t>
      </w:r>
      <w:r>
        <w:rPr>
          <w:rFonts w:ascii="Arial Narrow" w:hAnsi="Arial Narrow" w:cs="Arial Narrow"/>
          <w:color w:val="000000"/>
          <w:sz w:val="22"/>
          <w:szCs w:val="24"/>
          <w:lang w:eastAsia="sk-SK"/>
        </w:rPr>
        <w:t xml:space="preserve"> </w:t>
      </w:r>
      <w:r w:rsidRPr="00934A7B">
        <w:rPr>
          <w:rFonts w:ascii="Arial Narrow" w:hAnsi="Arial Narrow" w:cs="Arial Narrow"/>
          <w:color w:val="000000"/>
          <w:sz w:val="22"/>
          <w:szCs w:val="24"/>
        </w:rPr>
        <w:t xml:space="preserve">Makroekonomické </w:t>
      </w:r>
      <w:r w:rsidR="00810E43">
        <w:rPr>
          <w:rFonts w:ascii="Arial Narrow" w:hAnsi="Arial Narrow" w:cs="Arial Narrow"/>
          <w:color w:val="000000"/>
          <w:sz w:val="22"/>
          <w:szCs w:val="24"/>
        </w:rPr>
        <w:t>prognózy MF SR ako celok hodnot</w:t>
      </w:r>
      <w:r w:rsidR="00091889">
        <w:rPr>
          <w:rFonts w:ascii="Arial Narrow" w:hAnsi="Arial Narrow" w:cs="Arial Narrow"/>
          <w:color w:val="000000"/>
          <w:sz w:val="22"/>
          <w:szCs w:val="24"/>
        </w:rPr>
        <w:t>í</w:t>
      </w:r>
      <w:r w:rsidRPr="00934A7B">
        <w:rPr>
          <w:rFonts w:ascii="Arial Narrow" w:hAnsi="Arial Narrow" w:cs="Arial Narrow"/>
          <w:color w:val="000000"/>
          <w:sz w:val="22"/>
          <w:szCs w:val="24"/>
        </w:rPr>
        <w:t xml:space="preserve"> ako realistické, aj ke</w:t>
      </w:r>
      <w:r>
        <w:rPr>
          <w:rFonts w:ascii="Arial Narrow" w:hAnsi="Arial Narrow" w:cs="Arial Narrow"/>
          <w:color w:val="000000"/>
          <w:sz w:val="22"/>
          <w:szCs w:val="24"/>
        </w:rPr>
        <w:t>ď</w:t>
      </w:r>
      <w:r w:rsidRPr="00934A7B">
        <w:rPr>
          <w:rFonts w:ascii="Arial Narrow" w:hAnsi="Arial Narrow" w:cs="Arial Narrow"/>
          <w:color w:val="000000"/>
          <w:sz w:val="22"/>
          <w:szCs w:val="24"/>
        </w:rPr>
        <w:t xml:space="preserve"> odhady niektorých ukazovate</w:t>
      </w:r>
      <w:r>
        <w:rPr>
          <w:rFonts w:ascii="Arial Narrow" w:hAnsi="Arial Narrow" w:cs="Arial Narrow"/>
          <w:color w:val="000000"/>
          <w:sz w:val="22"/>
          <w:szCs w:val="24"/>
        </w:rPr>
        <w:t>ľ</w:t>
      </w:r>
      <w:r w:rsidRPr="00934A7B">
        <w:rPr>
          <w:rFonts w:ascii="Arial Narrow" w:hAnsi="Arial Narrow" w:cs="Arial Narrow"/>
          <w:color w:val="000000"/>
          <w:sz w:val="22"/>
          <w:szCs w:val="24"/>
        </w:rPr>
        <w:t>ov považuj</w:t>
      </w:r>
      <w:r w:rsidR="00810E43">
        <w:rPr>
          <w:rFonts w:ascii="Arial Narrow" w:hAnsi="Arial Narrow" w:cs="Arial Narrow"/>
          <w:color w:val="000000"/>
          <w:sz w:val="22"/>
          <w:szCs w:val="24"/>
        </w:rPr>
        <w:t>ú</w:t>
      </w:r>
      <w:r w:rsidRPr="00934A7B">
        <w:rPr>
          <w:rFonts w:ascii="Arial Narrow" w:hAnsi="Arial Narrow" w:cs="Arial Narrow"/>
          <w:color w:val="000000"/>
          <w:sz w:val="22"/>
          <w:szCs w:val="24"/>
        </w:rPr>
        <w:t xml:space="preserve"> za mierne optimist</w:t>
      </w:r>
      <w:r w:rsidR="00CA5050">
        <w:rPr>
          <w:rFonts w:ascii="Arial Narrow" w:hAnsi="Arial Narrow" w:cs="Arial Narrow"/>
          <w:color w:val="000000"/>
          <w:sz w:val="22"/>
          <w:szCs w:val="24"/>
        </w:rPr>
        <w:t xml:space="preserve">ické. Prognózu HDP na roky 2009 až </w:t>
      </w:r>
      <w:r w:rsidRPr="00934A7B">
        <w:rPr>
          <w:rFonts w:ascii="Arial Narrow" w:hAnsi="Arial Narrow" w:cs="Arial Narrow"/>
          <w:color w:val="000000"/>
          <w:sz w:val="22"/>
          <w:szCs w:val="24"/>
        </w:rPr>
        <w:t>2010 hodnot</w:t>
      </w:r>
      <w:r w:rsidR="00810E43">
        <w:rPr>
          <w:rFonts w:ascii="Arial Narrow" w:hAnsi="Arial Narrow" w:cs="Arial Narrow"/>
          <w:color w:val="000000"/>
          <w:sz w:val="22"/>
          <w:szCs w:val="24"/>
        </w:rPr>
        <w:t>ia</w:t>
      </w:r>
      <w:r w:rsidRPr="00934A7B">
        <w:rPr>
          <w:rFonts w:ascii="Arial Narrow" w:hAnsi="Arial Narrow" w:cs="Arial Narrow"/>
          <w:color w:val="000000"/>
          <w:sz w:val="22"/>
          <w:szCs w:val="24"/>
        </w:rPr>
        <w:t xml:space="preserve"> ako realistickú, avšak nominálny HDP v rokoch 2011</w:t>
      </w:r>
      <w:r w:rsidR="00CA5050">
        <w:rPr>
          <w:rFonts w:ascii="Arial Narrow" w:hAnsi="Arial Narrow" w:cs="Arial Narrow"/>
          <w:color w:val="000000"/>
          <w:sz w:val="22"/>
          <w:szCs w:val="24"/>
        </w:rPr>
        <w:t xml:space="preserve"> až </w:t>
      </w:r>
      <w:r w:rsidRPr="00934A7B">
        <w:rPr>
          <w:rFonts w:ascii="Arial Narrow" w:hAnsi="Arial Narrow" w:cs="Arial Narrow"/>
          <w:color w:val="000000"/>
          <w:sz w:val="22"/>
          <w:szCs w:val="24"/>
        </w:rPr>
        <w:t>2012 považuj</w:t>
      </w:r>
      <w:r w:rsidR="00810E43">
        <w:rPr>
          <w:rFonts w:ascii="Arial Narrow" w:hAnsi="Arial Narrow" w:cs="Arial Narrow"/>
          <w:color w:val="000000"/>
          <w:sz w:val="22"/>
          <w:szCs w:val="24"/>
        </w:rPr>
        <w:t>ú</w:t>
      </w:r>
      <w:r w:rsidRPr="00934A7B">
        <w:rPr>
          <w:rFonts w:ascii="Arial Narrow" w:hAnsi="Arial Narrow" w:cs="Arial Narrow"/>
          <w:color w:val="000000"/>
          <w:sz w:val="22"/>
          <w:szCs w:val="24"/>
        </w:rPr>
        <w:t xml:space="preserve"> za mierne optimistický. Pri o</w:t>
      </w:r>
      <w:r w:rsidR="00810E43">
        <w:rPr>
          <w:rFonts w:ascii="Arial Narrow" w:hAnsi="Arial Narrow" w:cs="Arial Narrow"/>
          <w:color w:val="000000"/>
          <w:sz w:val="22"/>
          <w:szCs w:val="24"/>
        </w:rPr>
        <w:t>dhadoch na roky 2009 a 2010 vidia</w:t>
      </w:r>
      <w:r w:rsidRPr="00934A7B">
        <w:rPr>
          <w:rFonts w:ascii="Arial Narrow" w:hAnsi="Arial Narrow" w:cs="Arial Narrow"/>
          <w:color w:val="000000"/>
          <w:sz w:val="22"/>
          <w:szCs w:val="24"/>
        </w:rPr>
        <w:t xml:space="preserve"> riziká pri ukazovate</w:t>
      </w:r>
      <w:r>
        <w:rPr>
          <w:rFonts w:ascii="Arial Narrow" w:hAnsi="Arial Narrow" w:cs="Arial Narrow"/>
          <w:color w:val="000000"/>
          <w:sz w:val="22"/>
          <w:szCs w:val="24"/>
        </w:rPr>
        <w:t>ľ</w:t>
      </w:r>
      <w:r w:rsidRPr="00934A7B">
        <w:rPr>
          <w:rFonts w:ascii="Arial Narrow" w:hAnsi="Arial Narrow" w:cs="Arial Narrow"/>
          <w:color w:val="000000"/>
          <w:sz w:val="22"/>
          <w:szCs w:val="24"/>
        </w:rPr>
        <w:t>och trhu práce, kde o</w:t>
      </w:r>
      <w:r>
        <w:rPr>
          <w:rFonts w:ascii="Arial Narrow" w:hAnsi="Arial Narrow" w:cs="Arial Narrow"/>
          <w:color w:val="000000"/>
          <w:sz w:val="22"/>
          <w:szCs w:val="24"/>
        </w:rPr>
        <w:t>č</w:t>
      </w:r>
      <w:r w:rsidRPr="00934A7B">
        <w:rPr>
          <w:rFonts w:ascii="Arial Narrow" w:hAnsi="Arial Narrow" w:cs="Arial Narrow"/>
          <w:color w:val="000000"/>
          <w:sz w:val="22"/>
          <w:szCs w:val="24"/>
        </w:rPr>
        <w:t>akáva</w:t>
      </w:r>
      <w:r w:rsidR="00810E43">
        <w:rPr>
          <w:rFonts w:ascii="Arial Narrow" w:hAnsi="Arial Narrow" w:cs="Arial Narrow"/>
          <w:color w:val="000000"/>
          <w:sz w:val="22"/>
          <w:szCs w:val="24"/>
        </w:rPr>
        <w:t>jú</w:t>
      </w:r>
      <w:r w:rsidRPr="00934A7B">
        <w:rPr>
          <w:rFonts w:ascii="Arial Narrow" w:hAnsi="Arial Narrow" w:cs="Arial Narrow"/>
          <w:color w:val="000000"/>
          <w:sz w:val="22"/>
          <w:szCs w:val="24"/>
        </w:rPr>
        <w:t xml:space="preserve"> pomalšie odznievanie krízy a vyššie miery nezamestnanosti. Z toho vyplýva aj n</w:t>
      </w:r>
      <w:r w:rsidR="00810E43">
        <w:rPr>
          <w:rFonts w:ascii="Arial Narrow" w:hAnsi="Arial Narrow" w:cs="Arial Narrow"/>
          <w:color w:val="000000"/>
          <w:sz w:val="22"/>
          <w:szCs w:val="24"/>
        </w:rPr>
        <w:t>imi</w:t>
      </w:r>
      <w:r w:rsidRPr="00934A7B">
        <w:rPr>
          <w:rFonts w:ascii="Arial Narrow" w:hAnsi="Arial Narrow" w:cs="Arial Narrow"/>
          <w:color w:val="000000"/>
          <w:sz w:val="22"/>
          <w:szCs w:val="24"/>
        </w:rPr>
        <w:t xml:space="preserve"> o</w:t>
      </w:r>
      <w:r>
        <w:rPr>
          <w:rFonts w:ascii="Arial Narrow" w:hAnsi="Arial Narrow" w:cs="Arial Narrow"/>
          <w:color w:val="000000"/>
          <w:sz w:val="22"/>
          <w:szCs w:val="24"/>
        </w:rPr>
        <w:t>č</w:t>
      </w:r>
      <w:r w:rsidRPr="00934A7B">
        <w:rPr>
          <w:rFonts w:ascii="Arial Narrow" w:hAnsi="Arial Narrow" w:cs="Arial Narrow"/>
          <w:color w:val="000000"/>
          <w:sz w:val="22"/>
          <w:szCs w:val="24"/>
        </w:rPr>
        <w:t>akáva nižšia spotreba domácností. Predpoklad</w:t>
      </w:r>
      <w:r w:rsidR="00810E43">
        <w:rPr>
          <w:rFonts w:ascii="Arial Narrow" w:hAnsi="Arial Narrow" w:cs="Arial Narrow"/>
          <w:color w:val="000000"/>
          <w:sz w:val="22"/>
          <w:szCs w:val="24"/>
        </w:rPr>
        <w:t>ajú</w:t>
      </w:r>
      <w:r w:rsidRPr="00934A7B">
        <w:rPr>
          <w:rFonts w:ascii="Arial Narrow" w:hAnsi="Arial Narrow" w:cs="Arial Narrow"/>
          <w:color w:val="000000"/>
          <w:sz w:val="22"/>
          <w:szCs w:val="24"/>
        </w:rPr>
        <w:t xml:space="preserve"> rýchlejšie zužovanie deficitu bežného úctu.</w:t>
      </w:r>
    </w:p>
    <w:p w:rsidR="00C52ECF" w:rsidP="00C52ECF">
      <w:pPr>
        <w:spacing w:before="48" w:beforeLines="20" w:after="48" w:afterLines="20"/>
        <w:jc w:val="both"/>
        <w:rPr>
          <w:rFonts w:ascii="Arial Narrow" w:hAnsi="Arial Narrow" w:cs="Arial Narrow"/>
          <w:sz w:val="22"/>
          <w:szCs w:val="24"/>
          <w:u w:val="single"/>
        </w:rPr>
      </w:pPr>
    </w:p>
    <w:p w:rsidR="00C52ECF" w:rsidRPr="006E5AEF" w:rsidP="00C52ECF">
      <w:pPr>
        <w:spacing w:before="48" w:beforeLines="20" w:after="48" w:afterLines="20"/>
        <w:jc w:val="both"/>
        <w:rPr>
          <w:rFonts w:ascii="Arial Narrow" w:hAnsi="Arial Narrow" w:cs="Arial Narrow"/>
          <w:sz w:val="22"/>
          <w:szCs w:val="24"/>
        </w:rPr>
      </w:pPr>
      <w:r w:rsidRPr="006E5AEF">
        <w:rPr>
          <w:rFonts w:ascii="Arial Narrow" w:hAnsi="Arial Narrow" w:cs="Arial Narrow"/>
          <w:sz w:val="22"/>
          <w:szCs w:val="24"/>
          <w:u w:val="single"/>
        </w:rPr>
        <w:t>TATRA BANKA</w:t>
      </w:r>
      <w:r w:rsidRPr="006E5AEF">
        <w:rPr>
          <w:rFonts w:ascii="Arial Narrow" w:hAnsi="Arial Narrow" w:cs="Arial Narrow"/>
          <w:sz w:val="22"/>
          <w:szCs w:val="24"/>
        </w:rPr>
        <w:t xml:space="preserve"> </w:t>
      </w:r>
    </w:p>
    <w:p w:rsidR="00C52ECF" w:rsidP="00C52ECF">
      <w:pPr>
        <w:autoSpaceDE w:val="0"/>
        <w:autoSpaceDN w:val="0"/>
        <w:adjustRightInd w:val="0"/>
        <w:spacing w:line="240" w:lineRule="atLeast"/>
        <w:jc w:val="both"/>
        <w:rPr>
          <w:rFonts w:ascii="Arial Narrow" w:hAnsi="Arial Narrow" w:cs="Arial Narrow"/>
          <w:color w:val="000000"/>
          <w:sz w:val="22"/>
          <w:szCs w:val="24"/>
        </w:rPr>
      </w:pPr>
      <w:r w:rsidRPr="002C1940">
        <w:rPr>
          <w:rFonts w:ascii="Arial Narrow" w:hAnsi="Arial Narrow" w:cs="Arial Narrow"/>
          <w:color w:val="000000"/>
          <w:sz w:val="22"/>
          <w:szCs w:val="24"/>
          <w:lang w:eastAsia="sk-SK"/>
        </w:rPr>
        <w:t>Prognózu MF SR považuj</w:t>
      </w:r>
      <w:r w:rsidR="002F23EC">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realistickú.</w:t>
      </w:r>
      <w:r w:rsidRPr="00934A7B">
        <w:rPr>
          <w:rFonts w:ascii="Arial Narrow" w:hAnsi="Arial Narrow" w:cs="Arial Narrow"/>
          <w:color w:val="000000"/>
          <w:sz w:val="22"/>
          <w:szCs w:val="24"/>
        </w:rPr>
        <w:t xml:space="preserve"> V roku 2009 predpoklad</w:t>
      </w:r>
      <w:r w:rsidR="002F23EC">
        <w:rPr>
          <w:rFonts w:ascii="Arial Narrow" w:hAnsi="Arial Narrow" w:cs="Arial Narrow"/>
          <w:color w:val="000000"/>
          <w:sz w:val="22"/>
          <w:szCs w:val="24"/>
        </w:rPr>
        <w:t>á</w:t>
      </w:r>
      <w:r w:rsidRPr="00934A7B">
        <w:rPr>
          <w:rFonts w:ascii="Arial Narrow" w:hAnsi="Arial Narrow" w:cs="Arial Narrow"/>
          <w:color w:val="000000"/>
          <w:sz w:val="22"/>
          <w:szCs w:val="24"/>
        </w:rPr>
        <w:t xml:space="preserve"> mierne vyšší rast reálneho a aj nominálneho  HDP. V roku 2010 pretrvávajú skôr negatívne riziká a preto </w:t>
      </w:r>
      <w:r w:rsidR="002F23EC">
        <w:rPr>
          <w:rFonts w:ascii="Arial Narrow" w:hAnsi="Arial Narrow" w:cs="Arial Narrow"/>
          <w:color w:val="000000"/>
          <w:sz w:val="22"/>
          <w:szCs w:val="24"/>
        </w:rPr>
        <w:t>očakáva</w:t>
      </w:r>
      <w:r w:rsidRPr="00934A7B">
        <w:rPr>
          <w:rFonts w:ascii="Arial Narrow" w:hAnsi="Arial Narrow" w:cs="Arial Narrow"/>
          <w:color w:val="000000"/>
          <w:sz w:val="22"/>
          <w:szCs w:val="24"/>
        </w:rPr>
        <w:t xml:space="preserve"> mierne slabší rast ekonomiky ako očakáva MF SR. Rozdiel je hlavne v odhade spotreby domácností, kde si mysl</w:t>
      </w:r>
      <w:r w:rsidR="002F23EC">
        <w:rPr>
          <w:rFonts w:ascii="Arial Narrow" w:hAnsi="Arial Narrow" w:cs="Arial Narrow"/>
          <w:color w:val="000000"/>
          <w:sz w:val="22"/>
          <w:szCs w:val="24"/>
        </w:rPr>
        <w:t>í</w:t>
      </w:r>
      <w:r w:rsidRPr="00934A7B">
        <w:rPr>
          <w:rFonts w:ascii="Arial Narrow" w:hAnsi="Arial Narrow" w:cs="Arial Narrow"/>
          <w:color w:val="000000"/>
          <w:sz w:val="22"/>
          <w:szCs w:val="24"/>
        </w:rPr>
        <w:t>, že nízky rast reálnych miezd a neklesajúca nezamestnanosť vytvorí menší priestor na rast súkromnej spotreby ako očakáva MF SR. V roku 2011 naopak vid</w:t>
      </w:r>
      <w:r w:rsidR="002F23EC">
        <w:rPr>
          <w:rFonts w:ascii="Arial Narrow" w:hAnsi="Arial Narrow" w:cs="Arial Narrow"/>
          <w:color w:val="000000"/>
          <w:sz w:val="22"/>
          <w:szCs w:val="24"/>
        </w:rPr>
        <w:t>í</w:t>
      </w:r>
      <w:r w:rsidRPr="00934A7B">
        <w:rPr>
          <w:rFonts w:ascii="Arial Narrow" w:hAnsi="Arial Narrow" w:cs="Arial Narrow"/>
          <w:color w:val="000000"/>
          <w:sz w:val="22"/>
          <w:szCs w:val="24"/>
        </w:rPr>
        <w:t xml:space="preserve"> priestor na rýchlejší rast ekonomiky najmä v dôsledku odloženia nákupov a investícií.</w:t>
      </w:r>
    </w:p>
    <w:p w:rsidR="00C52ECF" w:rsidRPr="00934A7B" w:rsidP="00C52ECF">
      <w:pPr>
        <w:autoSpaceDE w:val="0"/>
        <w:autoSpaceDN w:val="0"/>
        <w:adjustRightInd w:val="0"/>
        <w:spacing w:line="240" w:lineRule="atLeast"/>
        <w:jc w:val="both"/>
        <w:rPr>
          <w:rFonts w:ascii="Arial Narrow" w:hAnsi="Arial Narrow" w:cs="Arial Narrow"/>
          <w:color w:val="000000"/>
          <w:sz w:val="22"/>
          <w:szCs w:val="24"/>
        </w:rPr>
      </w:pPr>
    </w:p>
    <w:p w:rsidR="00C52ECF" w:rsidRPr="00F456D7" w:rsidP="00C52ECF">
      <w:pPr>
        <w:tabs>
          <w:tab w:val="left" w:pos="0"/>
        </w:tabs>
        <w:spacing w:before="48" w:beforeLines="20" w:after="48" w:afterLines="20"/>
        <w:jc w:val="both"/>
        <w:rPr>
          <w:rFonts w:ascii="Arial Narrow" w:hAnsi="Arial Narrow" w:cs="Arial Narrow"/>
          <w:sz w:val="22"/>
          <w:szCs w:val="24"/>
          <w:u w:val="single"/>
        </w:rPr>
      </w:pPr>
      <w:r w:rsidRPr="00F456D7">
        <w:rPr>
          <w:rFonts w:ascii="Arial Narrow" w:hAnsi="Arial Narrow" w:cs="Arial Narrow"/>
          <w:sz w:val="22"/>
          <w:szCs w:val="24"/>
          <w:u w:val="single"/>
        </w:rPr>
        <w:t xml:space="preserve">UNICREDIT Bank </w:t>
      </w:r>
    </w:p>
    <w:p w:rsidR="00C52ECF" w:rsidP="00C52ECF">
      <w:pPr>
        <w:jc w:val="both"/>
        <w:rPr>
          <w:rFonts w:ascii="Arial Narrow" w:hAnsi="Arial Narrow" w:cs="Arial Narrow"/>
          <w:color w:val="000000"/>
          <w:sz w:val="22"/>
          <w:szCs w:val="24"/>
          <w:lang w:eastAsia="sk-SK"/>
        </w:rPr>
      </w:pPr>
      <w:r w:rsidRPr="002C1940">
        <w:rPr>
          <w:rFonts w:ascii="Arial Narrow" w:hAnsi="Arial Narrow" w:cs="Arial Narrow"/>
          <w:color w:val="000000"/>
          <w:sz w:val="22"/>
          <w:szCs w:val="24"/>
          <w:lang w:eastAsia="sk-SK"/>
        </w:rPr>
        <w:t>Prognózu MF SR považuj</w:t>
      </w:r>
      <w:r w:rsidR="002F23EC">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realistickú.</w:t>
      </w:r>
    </w:p>
    <w:p w:rsidR="00C52ECF" w:rsidP="00C52ECF">
      <w:pPr>
        <w:spacing w:before="48" w:beforeLines="20" w:after="48" w:afterLines="20"/>
        <w:jc w:val="both"/>
        <w:rPr>
          <w:rFonts w:ascii="Arial Narrow" w:hAnsi="Arial Narrow" w:cs="Arial Narrow"/>
          <w:sz w:val="22"/>
          <w:szCs w:val="24"/>
          <w:u w:val="single"/>
        </w:rPr>
      </w:pPr>
    </w:p>
    <w:p w:rsidR="00C52ECF" w:rsidRPr="00442F85" w:rsidP="00C52ECF">
      <w:pPr>
        <w:tabs>
          <w:tab w:val="left" w:pos="0"/>
        </w:tabs>
        <w:spacing w:before="48" w:beforeLines="20" w:after="48" w:afterLines="20"/>
        <w:jc w:val="both"/>
        <w:rPr>
          <w:rFonts w:ascii="Arial Narrow" w:hAnsi="Arial Narrow" w:cs="Arial Narrow"/>
          <w:sz w:val="22"/>
          <w:szCs w:val="24"/>
        </w:rPr>
      </w:pPr>
      <w:r w:rsidRPr="00442F85">
        <w:rPr>
          <w:rFonts w:ascii="Arial Narrow" w:hAnsi="Arial Narrow" w:cs="Arial Narrow"/>
          <w:sz w:val="22"/>
          <w:szCs w:val="24"/>
          <w:u w:val="single"/>
        </w:rPr>
        <w:t>VÚB</w:t>
      </w:r>
      <w:r w:rsidRPr="00442F85">
        <w:rPr>
          <w:rFonts w:ascii="Arial Narrow" w:hAnsi="Arial Narrow" w:cs="Arial Narrow"/>
          <w:sz w:val="22"/>
          <w:szCs w:val="24"/>
        </w:rPr>
        <w:t xml:space="preserve"> </w:t>
      </w:r>
    </w:p>
    <w:p w:rsidR="00C52ECF" w:rsidP="00C52ECF">
      <w:pPr>
        <w:jc w:val="both"/>
        <w:rPr>
          <w:rFonts w:ascii="Arial Narrow" w:hAnsi="Arial Narrow" w:cs="Arial Narrow"/>
          <w:color w:val="000000"/>
          <w:sz w:val="22"/>
          <w:szCs w:val="24"/>
        </w:rPr>
      </w:pPr>
      <w:r w:rsidRPr="002C1940">
        <w:rPr>
          <w:rFonts w:ascii="Arial Narrow" w:hAnsi="Arial Narrow" w:cs="Arial Narrow"/>
          <w:color w:val="000000"/>
          <w:sz w:val="22"/>
          <w:szCs w:val="24"/>
          <w:lang w:eastAsia="sk-SK"/>
        </w:rPr>
        <w:t>Prognózu MF SR považuj</w:t>
      </w:r>
      <w:r w:rsidR="002F23EC">
        <w:rPr>
          <w:rFonts w:ascii="Arial Narrow" w:hAnsi="Arial Narrow" w:cs="Arial Narrow"/>
          <w:color w:val="000000"/>
          <w:sz w:val="22"/>
          <w:szCs w:val="24"/>
          <w:lang w:eastAsia="sk-SK"/>
        </w:rPr>
        <w:t>e</w:t>
      </w:r>
      <w:r w:rsidRPr="002C1940">
        <w:rPr>
          <w:rFonts w:ascii="Arial Narrow" w:hAnsi="Arial Narrow" w:cs="Arial Narrow"/>
          <w:color w:val="000000"/>
          <w:sz w:val="22"/>
          <w:szCs w:val="24"/>
          <w:lang w:eastAsia="sk-SK"/>
        </w:rPr>
        <w:t xml:space="preserve"> za realistickú.</w:t>
      </w:r>
      <w:r>
        <w:rPr>
          <w:rFonts w:ascii="Arial Narrow" w:hAnsi="Arial Narrow" w:cs="Arial Narrow"/>
          <w:color w:val="000000"/>
          <w:sz w:val="22"/>
          <w:szCs w:val="24"/>
          <w:lang w:eastAsia="sk-SK"/>
        </w:rPr>
        <w:t xml:space="preserve"> </w:t>
      </w:r>
      <w:r w:rsidRPr="00F456D7">
        <w:rPr>
          <w:rFonts w:ascii="Arial Narrow" w:hAnsi="Arial Narrow" w:cs="Arial Narrow"/>
          <w:color w:val="000000"/>
          <w:sz w:val="22"/>
          <w:szCs w:val="24"/>
        </w:rPr>
        <w:t>Prognózu MF SR pre vývoj makroekonomi</w:t>
      </w:r>
      <w:r w:rsidR="00CA5050">
        <w:rPr>
          <w:rFonts w:ascii="Arial Narrow" w:hAnsi="Arial Narrow" w:cs="Arial Narrow"/>
          <w:color w:val="000000"/>
          <w:sz w:val="22"/>
          <w:szCs w:val="24"/>
        </w:rPr>
        <w:t xml:space="preserve">ckých indikátorov v rokoch 2009 až </w:t>
      </w:r>
      <w:r w:rsidR="003F702E">
        <w:rPr>
          <w:rFonts w:ascii="Arial Narrow" w:hAnsi="Arial Narrow" w:cs="Arial Narrow"/>
          <w:color w:val="000000"/>
          <w:sz w:val="22"/>
          <w:szCs w:val="24"/>
        </w:rPr>
        <w:t>20</w:t>
      </w:r>
      <w:r w:rsidRPr="00F456D7">
        <w:rPr>
          <w:rFonts w:ascii="Arial Narrow" w:hAnsi="Arial Narrow" w:cs="Arial Narrow"/>
          <w:color w:val="000000"/>
          <w:sz w:val="22"/>
          <w:szCs w:val="24"/>
        </w:rPr>
        <w:t>12 hodnot</w:t>
      </w:r>
      <w:r w:rsidR="002F23EC">
        <w:rPr>
          <w:rFonts w:ascii="Arial Narrow" w:hAnsi="Arial Narrow" w:cs="Arial Narrow"/>
          <w:color w:val="000000"/>
          <w:sz w:val="22"/>
          <w:szCs w:val="24"/>
        </w:rPr>
        <w:t>í</w:t>
      </w:r>
      <w:r w:rsidRPr="00F456D7">
        <w:rPr>
          <w:rFonts w:ascii="Arial Narrow" w:hAnsi="Arial Narrow" w:cs="Arial Narrow"/>
          <w:color w:val="000000"/>
          <w:sz w:val="22"/>
          <w:szCs w:val="24"/>
        </w:rPr>
        <w:t xml:space="preserve"> ako realistickú. V globálnom ponímaní sa ekonomický výh</w:t>
      </w:r>
      <w:r>
        <w:rPr>
          <w:rFonts w:ascii="Arial Narrow" w:hAnsi="Arial Narrow" w:cs="Arial Narrow"/>
          <w:color w:val="000000"/>
          <w:sz w:val="22"/>
          <w:szCs w:val="24"/>
        </w:rPr>
        <w:t>ľ</w:t>
      </w:r>
      <w:r w:rsidRPr="00F456D7">
        <w:rPr>
          <w:rFonts w:ascii="Arial Narrow" w:hAnsi="Arial Narrow" w:cs="Arial Narrow"/>
          <w:color w:val="000000"/>
          <w:sz w:val="22"/>
          <w:szCs w:val="24"/>
        </w:rPr>
        <w:t>ad vo svete v posledných mesiacoch a týžd</w:t>
      </w:r>
      <w:r>
        <w:rPr>
          <w:rFonts w:ascii="Arial Narrow" w:hAnsi="Arial Narrow" w:cs="Arial Narrow"/>
          <w:color w:val="000000"/>
          <w:sz w:val="22"/>
          <w:szCs w:val="24"/>
        </w:rPr>
        <w:t>ň</w:t>
      </w:r>
      <w:r w:rsidRPr="00F456D7">
        <w:rPr>
          <w:rFonts w:ascii="Arial Narrow" w:hAnsi="Arial Narrow" w:cs="Arial Narrow"/>
          <w:color w:val="000000"/>
          <w:sz w:val="22"/>
          <w:szCs w:val="24"/>
        </w:rPr>
        <w:t xml:space="preserve">och zlepšil, </w:t>
      </w:r>
      <w:r>
        <w:rPr>
          <w:rFonts w:ascii="Arial Narrow" w:hAnsi="Arial Narrow" w:cs="Arial Narrow"/>
          <w:color w:val="000000"/>
          <w:sz w:val="22"/>
          <w:szCs w:val="24"/>
        </w:rPr>
        <w:t>č</w:t>
      </w:r>
      <w:r w:rsidRPr="00F456D7">
        <w:rPr>
          <w:rFonts w:ascii="Arial Narrow" w:hAnsi="Arial Narrow" w:cs="Arial Narrow"/>
          <w:color w:val="000000"/>
          <w:sz w:val="22"/>
          <w:szCs w:val="24"/>
        </w:rPr>
        <w:t xml:space="preserve">o potvrdili aj revízie odhadov rastu svetovej ekonomiky smerom nahor pripravované analytikmi zo súkromného sektora ale </w:t>
      </w:r>
      <w:r w:rsidR="00951CC4">
        <w:rPr>
          <w:rFonts w:ascii="Arial Narrow" w:hAnsi="Arial Narrow" w:cs="Arial Narrow"/>
          <w:color w:val="000000"/>
          <w:sz w:val="22"/>
          <w:szCs w:val="24"/>
        </w:rPr>
        <w:t xml:space="preserve">aj </w:t>
      </w:r>
      <w:r w:rsidRPr="00F456D7">
        <w:rPr>
          <w:rFonts w:ascii="Arial Narrow" w:hAnsi="Arial Narrow" w:cs="Arial Narrow"/>
          <w:color w:val="000000"/>
          <w:sz w:val="22"/>
          <w:szCs w:val="24"/>
        </w:rPr>
        <w:t>oficiálnymi inštitúciami. Zlepšený odhad rastu ekonomiky Eurozóny je jednozna</w:t>
      </w:r>
      <w:r>
        <w:rPr>
          <w:rFonts w:ascii="Arial Narrow" w:hAnsi="Arial Narrow" w:cs="Arial Narrow"/>
          <w:color w:val="000000"/>
          <w:sz w:val="22"/>
          <w:szCs w:val="24"/>
        </w:rPr>
        <w:t>č</w:t>
      </w:r>
      <w:r w:rsidRPr="00F456D7">
        <w:rPr>
          <w:rFonts w:ascii="Arial Narrow" w:hAnsi="Arial Narrow" w:cs="Arial Narrow"/>
          <w:color w:val="000000"/>
          <w:sz w:val="22"/>
          <w:szCs w:val="24"/>
        </w:rPr>
        <w:t>ne dobrou správou aj pre Slovensko, ktoré je z ve</w:t>
      </w:r>
      <w:r>
        <w:rPr>
          <w:rFonts w:ascii="Arial Narrow" w:hAnsi="Arial Narrow" w:cs="Arial Narrow"/>
          <w:color w:val="000000"/>
          <w:sz w:val="22"/>
          <w:szCs w:val="24"/>
        </w:rPr>
        <w:t>ľ</w:t>
      </w:r>
      <w:r w:rsidRPr="00F456D7">
        <w:rPr>
          <w:rFonts w:ascii="Arial Narrow" w:hAnsi="Arial Narrow" w:cs="Arial Narrow"/>
          <w:color w:val="000000"/>
          <w:sz w:val="22"/>
          <w:szCs w:val="24"/>
        </w:rPr>
        <w:t>kej miery závislé na vývozoch. Práve rýchlejšie ako o</w:t>
      </w:r>
      <w:r>
        <w:rPr>
          <w:rFonts w:ascii="Arial Narrow" w:hAnsi="Arial Narrow" w:cs="Arial Narrow"/>
          <w:color w:val="000000"/>
          <w:sz w:val="22"/>
          <w:szCs w:val="24"/>
        </w:rPr>
        <w:t>č</w:t>
      </w:r>
      <w:r w:rsidRPr="00F456D7">
        <w:rPr>
          <w:rFonts w:ascii="Arial Narrow" w:hAnsi="Arial Narrow" w:cs="Arial Narrow"/>
          <w:color w:val="000000"/>
          <w:sz w:val="22"/>
          <w:szCs w:val="24"/>
        </w:rPr>
        <w:t>akávané oživenie rastu ekonomiky v Nemecku a Francúzku vytvára zárove</w:t>
      </w:r>
      <w:r>
        <w:rPr>
          <w:rFonts w:ascii="Arial Narrow" w:hAnsi="Arial Narrow" w:cs="Arial Narrow"/>
          <w:color w:val="000000"/>
          <w:sz w:val="22"/>
          <w:szCs w:val="24"/>
        </w:rPr>
        <w:t>ň</w:t>
      </w:r>
      <w:r w:rsidRPr="00F456D7">
        <w:rPr>
          <w:rFonts w:ascii="Arial Narrow" w:hAnsi="Arial Narrow" w:cs="Arial Narrow"/>
          <w:color w:val="000000"/>
          <w:sz w:val="22"/>
          <w:szCs w:val="24"/>
        </w:rPr>
        <w:t xml:space="preserve"> riziká smerom nahor najmä pre odhady rastu HDP v budúcom roku. Na základe diskusie s týmito rizikami MF SR po</w:t>
      </w:r>
      <w:r>
        <w:rPr>
          <w:rFonts w:ascii="Arial Narrow" w:hAnsi="Arial Narrow" w:cs="Arial Narrow"/>
          <w:color w:val="000000"/>
          <w:sz w:val="22"/>
          <w:szCs w:val="24"/>
        </w:rPr>
        <w:t>č</w:t>
      </w:r>
      <w:r w:rsidRPr="00F456D7">
        <w:rPr>
          <w:rFonts w:ascii="Arial Narrow" w:hAnsi="Arial Narrow" w:cs="Arial Narrow"/>
          <w:color w:val="000000"/>
          <w:sz w:val="22"/>
          <w:szCs w:val="24"/>
        </w:rPr>
        <w:t xml:space="preserve">íta, </w:t>
      </w:r>
      <w:r>
        <w:rPr>
          <w:rFonts w:ascii="Arial Narrow" w:hAnsi="Arial Narrow" w:cs="Arial Narrow"/>
          <w:color w:val="000000"/>
          <w:sz w:val="22"/>
          <w:szCs w:val="24"/>
        </w:rPr>
        <w:t>č</w:t>
      </w:r>
      <w:r w:rsidRPr="00F456D7">
        <w:rPr>
          <w:rFonts w:ascii="Arial Narrow" w:hAnsi="Arial Narrow" w:cs="Arial Narrow"/>
          <w:color w:val="000000"/>
          <w:sz w:val="22"/>
          <w:szCs w:val="24"/>
        </w:rPr>
        <w:t>o je v súlade aj s</w:t>
      </w:r>
      <w:r w:rsidR="003F702E">
        <w:rPr>
          <w:rFonts w:ascii="Arial Narrow" w:hAnsi="Arial Narrow" w:cs="Arial Narrow"/>
          <w:color w:val="000000"/>
          <w:sz w:val="22"/>
          <w:szCs w:val="24"/>
        </w:rPr>
        <w:t> </w:t>
      </w:r>
      <w:r w:rsidRPr="00F456D7">
        <w:rPr>
          <w:rFonts w:ascii="Arial Narrow" w:hAnsi="Arial Narrow" w:cs="Arial Narrow"/>
          <w:color w:val="000000"/>
          <w:sz w:val="22"/>
          <w:szCs w:val="24"/>
        </w:rPr>
        <w:t>o</w:t>
      </w:r>
      <w:r>
        <w:rPr>
          <w:rFonts w:ascii="Arial Narrow" w:hAnsi="Arial Narrow" w:cs="Arial Narrow"/>
          <w:color w:val="000000"/>
          <w:sz w:val="22"/>
          <w:szCs w:val="24"/>
        </w:rPr>
        <w:t>č</w:t>
      </w:r>
      <w:r w:rsidRPr="00F456D7">
        <w:rPr>
          <w:rFonts w:ascii="Arial Narrow" w:hAnsi="Arial Narrow" w:cs="Arial Narrow"/>
          <w:color w:val="000000"/>
          <w:sz w:val="22"/>
          <w:szCs w:val="24"/>
        </w:rPr>
        <w:t>akávaniami</w:t>
      </w:r>
      <w:r w:rsidR="003F702E">
        <w:rPr>
          <w:rFonts w:ascii="Arial Narrow" w:hAnsi="Arial Narrow" w:cs="Arial Narrow"/>
          <w:color w:val="000000"/>
          <w:sz w:val="22"/>
          <w:szCs w:val="24"/>
        </w:rPr>
        <w:t xml:space="preserve"> VÚB</w:t>
      </w:r>
      <w:r w:rsidRPr="00F456D7">
        <w:rPr>
          <w:rFonts w:ascii="Arial Narrow" w:hAnsi="Arial Narrow" w:cs="Arial Narrow"/>
          <w:color w:val="000000"/>
          <w:sz w:val="22"/>
          <w:szCs w:val="24"/>
        </w:rPr>
        <w:t>.</w:t>
      </w:r>
    </w:p>
    <w:p w:rsidR="00FC15CD" w:rsidRPr="00F456D7" w:rsidP="00C52ECF">
      <w:pPr>
        <w:jc w:val="both"/>
        <w:rPr>
          <w:rFonts w:ascii="Arial Narrow" w:hAnsi="Arial Narrow" w:cs="Arial Narrow"/>
          <w:color w:val="000000"/>
          <w:sz w:val="22"/>
          <w:szCs w:val="24"/>
        </w:rPr>
      </w:pPr>
    </w:p>
    <w:p w:rsidR="00FC15CD" w:rsidP="00FC15CD">
      <w:pPr>
        <w:pStyle w:val="Heading1"/>
        <w:rPr>
          <w:szCs w:val="24"/>
        </w:rPr>
      </w:pPr>
      <w:bookmarkStart w:id="14" w:name="_Toc148255240"/>
      <w:bookmarkStart w:id="15" w:name="_Toc174871965"/>
      <w:bookmarkStart w:id="16" w:name="_Toc206478399"/>
      <w:bookmarkStart w:id="17" w:name="_Toc211592390"/>
      <w:bookmarkStart w:id="18" w:name="_Toc241846637"/>
      <w:r w:rsidRPr="00E00263">
        <w:rPr>
          <w:rFonts w:ascii="Arial Narrow" w:hAnsi="Arial Narrow" w:cs="Arial Narrow"/>
          <w:sz w:val="28"/>
          <w:szCs w:val="24"/>
        </w:rPr>
        <w:t>2. Východiskový rámec rozpočtu verejnej správy na roky 20</w:t>
      </w:r>
      <w:r>
        <w:rPr>
          <w:rFonts w:ascii="Arial Narrow" w:hAnsi="Arial Narrow" w:cs="Arial Narrow"/>
          <w:sz w:val="28"/>
          <w:szCs w:val="24"/>
        </w:rPr>
        <w:t>10</w:t>
      </w:r>
      <w:r w:rsidRPr="00E00263">
        <w:rPr>
          <w:rFonts w:ascii="Arial Narrow" w:hAnsi="Arial Narrow" w:cs="Arial Narrow"/>
          <w:sz w:val="28"/>
          <w:szCs w:val="24"/>
        </w:rPr>
        <w:t xml:space="preserve"> až 201</w:t>
      </w:r>
      <w:r>
        <w:rPr>
          <w:rFonts w:ascii="Arial Narrow" w:hAnsi="Arial Narrow" w:cs="Arial Narrow"/>
          <w:sz w:val="28"/>
          <w:szCs w:val="24"/>
        </w:rPr>
        <w:t>2</w:t>
      </w:r>
      <w:bookmarkEnd w:id="14"/>
      <w:bookmarkEnd w:id="15"/>
      <w:bookmarkEnd w:id="16"/>
      <w:bookmarkEnd w:id="17"/>
      <w:bookmarkEnd w:id="18"/>
    </w:p>
    <w:p w:rsidR="00FC15CD" w:rsidRPr="00E4729B" w:rsidP="00FC15CD">
      <w:pPr>
        <w:rPr>
          <w:rFonts w:ascii="Arial Narrow" w:hAnsi="Arial Narrow" w:cs="Arial Narrow"/>
          <w:sz w:val="28"/>
          <w:szCs w:val="24"/>
        </w:rPr>
      </w:pPr>
    </w:p>
    <w:p w:rsidR="00FC15CD" w:rsidRPr="0087062F" w:rsidP="00FC15CD">
      <w:pPr>
        <w:pStyle w:val="Heading2"/>
        <w:spacing w:before="0" w:after="0"/>
        <w:rPr>
          <w:rFonts w:ascii="Arial Narrow" w:hAnsi="Arial Narrow" w:cs="Arial Narrow"/>
          <w:i w:val="0"/>
          <w:sz w:val="24"/>
          <w:szCs w:val="24"/>
        </w:rPr>
      </w:pPr>
      <w:bookmarkStart w:id="19" w:name="_Toc143348593"/>
      <w:bookmarkStart w:id="20" w:name="_Toc148255241"/>
      <w:bookmarkStart w:id="21" w:name="_Toc174871966"/>
      <w:bookmarkStart w:id="22" w:name="_Toc206478400"/>
      <w:bookmarkStart w:id="23" w:name="_Toc211592391"/>
      <w:bookmarkStart w:id="24" w:name="_Toc241846638"/>
      <w:r w:rsidRPr="0087062F">
        <w:rPr>
          <w:rFonts w:ascii="Arial Narrow" w:hAnsi="Arial Narrow" w:cs="Arial Narrow"/>
          <w:i w:val="0"/>
          <w:sz w:val="24"/>
          <w:szCs w:val="24"/>
        </w:rPr>
        <w:t>2.1</w:t>
      </w:r>
      <w:r>
        <w:rPr>
          <w:rFonts w:ascii="Arial Narrow" w:hAnsi="Arial Narrow" w:cs="Arial Narrow"/>
          <w:i w:val="0"/>
          <w:sz w:val="24"/>
          <w:szCs w:val="24"/>
        </w:rPr>
        <w:t xml:space="preserve">. </w:t>
      </w:r>
      <w:r w:rsidRPr="0087062F">
        <w:rPr>
          <w:rFonts w:ascii="Arial Narrow" w:hAnsi="Arial Narrow" w:cs="Arial Narrow"/>
          <w:i w:val="0"/>
          <w:sz w:val="24"/>
          <w:szCs w:val="24"/>
        </w:rPr>
        <w:t>Základné predpoklady zostavenia rozpočtu verejnej správy</w:t>
      </w:r>
      <w:bookmarkEnd w:id="19"/>
      <w:bookmarkEnd w:id="20"/>
      <w:bookmarkEnd w:id="21"/>
      <w:bookmarkEnd w:id="22"/>
      <w:bookmarkEnd w:id="23"/>
      <w:bookmarkEnd w:id="24"/>
      <w:r w:rsidRPr="0087062F">
        <w:rPr>
          <w:rFonts w:ascii="Arial Narrow" w:hAnsi="Arial Narrow" w:cs="Arial Narrow"/>
          <w:i w:val="0"/>
          <w:sz w:val="24"/>
          <w:szCs w:val="24"/>
        </w:rPr>
        <w:t xml:space="preserve"> </w:t>
      </w:r>
    </w:p>
    <w:p w:rsidR="00FC15CD" w:rsidRPr="003B2DEA" w:rsidP="00FC15CD">
      <w:pPr>
        <w:jc w:val="both"/>
        <w:rPr>
          <w:rFonts w:ascii="Arial Narrow" w:hAnsi="Arial Narrow" w:cs="Arial Narrow"/>
          <w:szCs w:val="24"/>
        </w:rPr>
      </w:pPr>
    </w:p>
    <w:p w:rsidR="00FC15CD" w:rsidRPr="006037E4" w:rsidP="00FC15CD">
      <w:pPr>
        <w:autoSpaceDE w:val="0"/>
        <w:autoSpaceDN w:val="0"/>
        <w:adjustRightInd w:val="0"/>
        <w:ind w:firstLine="708"/>
        <w:jc w:val="both"/>
        <w:rPr>
          <w:rFonts w:ascii="Arial Narrow" w:hAnsi="Arial Narrow" w:cs="Arial Narrow"/>
          <w:sz w:val="22"/>
          <w:szCs w:val="24"/>
        </w:rPr>
      </w:pPr>
      <w:r w:rsidRPr="00C47447">
        <w:rPr>
          <w:rFonts w:ascii="Arial Narrow" w:hAnsi="Arial Narrow" w:cs="Arial Narrow"/>
          <w:sz w:val="22"/>
          <w:szCs w:val="24"/>
        </w:rPr>
        <w:t>Návrh rozpočtu verejnej správy na roky 20</w:t>
      </w:r>
      <w:r>
        <w:rPr>
          <w:rFonts w:ascii="Arial Narrow" w:hAnsi="Arial Narrow" w:cs="Arial Narrow"/>
          <w:sz w:val="22"/>
          <w:szCs w:val="24"/>
        </w:rPr>
        <w:t>10</w:t>
      </w:r>
      <w:r w:rsidRPr="00C47447">
        <w:rPr>
          <w:rFonts w:ascii="Arial Narrow" w:hAnsi="Arial Narrow" w:cs="Arial Narrow"/>
          <w:sz w:val="22"/>
          <w:szCs w:val="24"/>
        </w:rPr>
        <w:t xml:space="preserve"> až 201</w:t>
      </w:r>
      <w:r>
        <w:rPr>
          <w:rFonts w:ascii="Arial Narrow" w:hAnsi="Arial Narrow" w:cs="Arial Narrow"/>
          <w:sz w:val="22"/>
          <w:szCs w:val="24"/>
        </w:rPr>
        <w:t xml:space="preserve">2 </w:t>
      </w:r>
      <w:r w:rsidRPr="00C47447">
        <w:rPr>
          <w:rFonts w:ascii="Arial Narrow" w:hAnsi="Arial Narrow" w:cs="Arial Narrow"/>
          <w:sz w:val="22"/>
          <w:szCs w:val="24"/>
        </w:rPr>
        <w:t xml:space="preserve">je zostavený na </w:t>
      </w:r>
      <w:r>
        <w:rPr>
          <w:rFonts w:ascii="Arial Narrow" w:hAnsi="Arial Narrow" w:cs="Arial Narrow"/>
          <w:sz w:val="22"/>
          <w:szCs w:val="24"/>
        </w:rPr>
        <w:t xml:space="preserve">základe </w:t>
      </w:r>
      <w:r w:rsidRPr="00330116">
        <w:rPr>
          <w:rFonts w:ascii="Arial Narrow" w:hAnsi="Arial Narrow" w:cs="Arial Narrow"/>
          <w:sz w:val="22"/>
          <w:szCs w:val="24"/>
        </w:rPr>
        <w:t>aktu</w:t>
      </w:r>
      <w:r>
        <w:rPr>
          <w:rFonts w:ascii="Arial Narrow" w:hAnsi="Arial Narrow" w:cs="Arial Narrow"/>
          <w:sz w:val="22"/>
          <w:szCs w:val="24"/>
        </w:rPr>
        <w:t>álnej prognózy</w:t>
      </w:r>
      <w:r w:rsidRPr="00330116">
        <w:rPr>
          <w:rFonts w:ascii="Arial Narrow" w:hAnsi="Arial Narrow" w:cs="Arial Narrow"/>
          <w:sz w:val="22"/>
          <w:szCs w:val="24"/>
        </w:rPr>
        <w:t xml:space="preserve"> makroekonomického vývoja a vychádza z programového vyhlásenia vlády</w:t>
      </w:r>
      <w:r>
        <w:rPr>
          <w:rFonts w:ascii="Arial Narrow" w:hAnsi="Arial Narrow" w:cs="Arial Narrow"/>
          <w:sz w:val="22"/>
          <w:szCs w:val="24"/>
        </w:rPr>
        <w:t>. Nadväzuje</w:t>
      </w:r>
      <w:r w:rsidRPr="000B51C0">
        <w:rPr>
          <w:rFonts w:ascii="Arial Narrow" w:hAnsi="Arial Narrow" w:cs="Arial Narrow"/>
          <w:sz w:val="22"/>
          <w:szCs w:val="24"/>
        </w:rPr>
        <w:t xml:space="preserve"> na </w:t>
      </w:r>
      <w:r w:rsidRPr="000200E7">
        <w:rPr>
          <w:rFonts w:ascii="Arial Narrow" w:hAnsi="Arial Narrow" w:cs="Arial Narrow"/>
          <w:sz w:val="22"/>
          <w:szCs w:val="24"/>
        </w:rPr>
        <w:t>Program stability S</w:t>
      </w:r>
      <w:r>
        <w:rPr>
          <w:rFonts w:ascii="Arial Narrow" w:hAnsi="Arial Narrow" w:cs="Arial Narrow"/>
          <w:sz w:val="22"/>
          <w:szCs w:val="24"/>
        </w:rPr>
        <w:t xml:space="preserve">lovenska  na roky 2008 až 2012 schválený </w:t>
      </w:r>
      <w:r w:rsidRPr="000200E7">
        <w:rPr>
          <w:rFonts w:ascii="Arial Narrow" w:hAnsi="Arial Narrow" w:cs="Arial Narrow"/>
          <w:sz w:val="22"/>
          <w:szCs w:val="24"/>
        </w:rPr>
        <w:t>vlád</w:t>
      </w:r>
      <w:r>
        <w:rPr>
          <w:rFonts w:ascii="Arial Narrow" w:hAnsi="Arial Narrow" w:cs="Arial Narrow"/>
          <w:sz w:val="22"/>
          <w:szCs w:val="24"/>
        </w:rPr>
        <w:t>ou SR uznesením č. 316/2009.</w:t>
      </w:r>
      <w:r w:rsidRPr="00E86C64">
        <w:rPr>
          <w:rFonts w:ascii="Arial Narrow" w:hAnsi="Arial Narrow" w:cs="Arial Narrow"/>
          <w:sz w:val="22"/>
          <w:szCs w:val="24"/>
        </w:rPr>
        <w:t xml:space="preserve"> </w:t>
      </w:r>
      <w:r>
        <w:rPr>
          <w:rFonts w:ascii="Arial Narrow" w:hAnsi="Arial Narrow" w:cs="Arial Narrow"/>
          <w:sz w:val="22"/>
          <w:szCs w:val="24"/>
        </w:rPr>
        <w:t xml:space="preserve">Súčasťou </w:t>
      </w:r>
      <w:r w:rsidRPr="00C47447">
        <w:rPr>
          <w:rFonts w:ascii="Arial Narrow" w:hAnsi="Arial Narrow" w:cs="Arial Narrow"/>
          <w:sz w:val="22"/>
          <w:szCs w:val="24"/>
        </w:rPr>
        <w:t>rozpočtu verejnej správy na roky 20</w:t>
      </w:r>
      <w:r>
        <w:rPr>
          <w:rFonts w:ascii="Arial Narrow" w:hAnsi="Arial Narrow" w:cs="Arial Narrow"/>
          <w:sz w:val="22"/>
          <w:szCs w:val="24"/>
        </w:rPr>
        <w:t>10</w:t>
      </w:r>
      <w:r w:rsidRPr="00C47447">
        <w:rPr>
          <w:rFonts w:ascii="Arial Narrow" w:hAnsi="Arial Narrow" w:cs="Arial Narrow"/>
          <w:sz w:val="22"/>
          <w:szCs w:val="24"/>
        </w:rPr>
        <w:t xml:space="preserve"> až 201</w:t>
      </w:r>
      <w:r>
        <w:rPr>
          <w:rFonts w:ascii="Arial Narrow" w:hAnsi="Arial Narrow" w:cs="Arial Narrow"/>
          <w:sz w:val="22"/>
          <w:szCs w:val="24"/>
        </w:rPr>
        <w:t xml:space="preserve">2 sú návrhy rozpočtov Úradu pre dohľad nad výkonom auditu a TASR, ktorej </w:t>
      </w:r>
      <w:r w:rsidRPr="00271F94">
        <w:rPr>
          <w:rFonts w:ascii="Arial Narrow" w:hAnsi="Arial Narrow" w:cs="Arial Narrow"/>
          <w:sz w:val="22"/>
          <w:szCs w:val="24"/>
        </w:rPr>
        <w:t>postavenie a</w:t>
      </w:r>
      <w:r>
        <w:rPr>
          <w:rFonts w:ascii="Arial Narrow" w:hAnsi="Arial Narrow" w:cs="Arial Narrow"/>
          <w:sz w:val="22"/>
          <w:szCs w:val="24"/>
        </w:rPr>
        <w:t> </w:t>
      </w:r>
      <w:r w:rsidRPr="00271F94">
        <w:rPr>
          <w:rFonts w:ascii="Arial Narrow" w:hAnsi="Arial Narrow" w:cs="Arial Narrow"/>
          <w:sz w:val="22"/>
          <w:szCs w:val="24"/>
        </w:rPr>
        <w:t>činnosť</w:t>
      </w:r>
      <w:r>
        <w:rPr>
          <w:rFonts w:ascii="Arial Narrow" w:hAnsi="Arial Narrow" w:cs="Arial Narrow"/>
          <w:sz w:val="22"/>
          <w:szCs w:val="24"/>
        </w:rPr>
        <w:t xml:space="preserve"> upravil zákon č. 385/2008 Z. z. </w:t>
      </w:r>
      <w:r w:rsidRPr="00590D6F">
        <w:rPr>
          <w:rFonts w:ascii="Arial Narrow" w:hAnsi="Arial Narrow" w:cs="Arial Narrow"/>
          <w:sz w:val="22"/>
          <w:szCs w:val="24"/>
        </w:rPr>
        <w:t>o Tlačovej agentúre Slovenskej republiky a o zmene niektorých zákonov</w:t>
      </w:r>
      <w:r>
        <w:rPr>
          <w:rFonts w:ascii="Arial Narrow" w:hAnsi="Arial Narrow" w:cs="Arial Narrow"/>
          <w:sz w:val="22"/>
          <w:szCs w:val="24"/>
        </w:rPr>
        <w:t xml:space="preserve"> s účinnosťou od 1. 1. 2009. Uvedené inštitúcie boli </w:t>
      </w:r>
      <w:r w:rsidRPr="00D810DB">
        <w:rPr>
          <w:rFonts w:ascii="Arial Narrow" w:hAnsi="Arial Narrow" w:cs="Arial Narrow"/>
          <w:sz w:val="22"/>
          <w:szCs w:val="24"/>
          <w:lang w:eastAsia="sk-SK"/>
        </w:rPr>
        <w:t>v súlade s pravidlami metodiky štatistického vykazovania ESA 95 zaraden</w:t>
      </w:r>
      <w:r>
        <w:rPr>
          <w:rFonts w:ascii="Arial Narrow" w:hAnsi="Arial Narrow" w:cs="Arial Narrow"/>
          <w:sz w:val="22"/>
          <w:szCs w:val="24"/>
          <w:lang w:eastAsia="sk-SK"/>
        </w:rPr>
        <w:t>é</w:t>
      </w:r>
      <w:r w:rsidRPr="00D810DB">
        <w:rPr>
          <w:rFonts w:ascii="Arial Narrow" w:hAnsi="Arial Narrow" w:cs="Arial Narrow"/>
          <w:sz w:val="22"/>
          <w:szCs w:val="24"/>
          <w:lang w:eastAsia="sk-SK"/>
        </w:rPr>
        <w:t xml:space="preserve"> medzi subjekty verejnej správy</w:t>
      </w:r>
      <w:r>
        <w:rPr>
          <w:rFonts w:ascii="Arial Narrow" w:hAnsi="Arial Narrow" w:cs="Arial Narrow"/>
          <w:sz w:val="22"/>
          <w:szCs w:val="24"/>
          <w:lang w:eastAsia="sk-SK"/>
        </w:rPr>
        <w:t xml:space="preserve">. </w:t>
      </w:r>
    </w:p>
    <w:p w:rsidR="00FC15CD" w:rsidP="00FC15CD">
      <w:pPr>
        <w:ind w:firstLine="708"/>
        <w:jc w:val="both"/>
        <w:rPr>
          <w:rFonts w:ascii="Arial Narrow" w:hAnsi="Arial Narrow" w:cs="Arial Narrow"/>
          <w:sz w:val="22"/>
          <w:szCs w:val="24"/>
        </w:rPr>
      </w:pPr>
    </w:p>
    <w:p w:rsidR="00FC15CD" w:rsidP="00FC15CD">
      <w:pPr>
        <w:ind w:firstLine="708"/>
        <w:jc w:val="both"/>
        <w:rPr>
          <w:rFonts w:ascii="Arial Narrow" w:hAnsi="Arial Narrow" w:cs="Arial Narrow"/>
          <w:sz w:val="22"/>
          <w:szCs w:val="24"/>
        </w:rPr>
      </w:pPr>
      <w:r w:rsidRPr="00330116">
        <w:rPr>
          <w:rFonts w:ascii="Arial Narrow" w:hAnsi="Arial Narrow" w:cs="Arial Narrow"/>
          <w:sz w:val="22"/>
          <w:szCs w:val="24"/>
        </w:rPr>
        <w:t>Vychádzajúc z týchto zámerov a ekonomických podmienok, rámec rozpočtu verejnej správy na roky 20</w:t>
      </w:r>
      <w:r>
        <w:rPr>
          <w:rFonts w:ascii="Arial Narrow" w:hAnsi="Arial Narrow" w:cs="Arial Narrow"/>
          <w:sz w:val="22"/>
          <w:szCs w:val="24"/>
        </w:rPr>
        <w:t>1</w:t>
      </w:r>
      <w:r w:rsidRPr="00330116">
        <w:rPr>
          <w:rFonts w:ascii="Arial Narrow" w:hAnsi="Arial Narrow" w:cs="Arial Narrow"/>
          <w:sz w:val="22"/>
          <w:szCs w:val="24"/>
        </w:rPr>
        <w:t>0 až 201</w:t>
      </w:r>
      <w:r>
        <w:rPr>
          <w:rFonts w:ascii="Arial Narrow" w:hAnsi="Arial Narrow" w:cs="Arial Narrow"/>
          <w:sz w:val="22"/>
          <w:szCs w:val="24"/>
        </w:rPr>
        <w:t>2</w:t>
      </w:r>
      <w:r w:rsidRPr="00330116">
        <w:rPr>
          <w:rFonts w:ascii="Arial Narrow" w:hAnsi="Arial Narrow" w:cs="Arial Narrow"/>
          <w:sz w:val="22"/>
          <w:szCs w:val="24"/>
        </w:rPr>
        <w:t xml:space="preserve"> bol zostavený tak, aby postupné znižovanie plánovaného schodku rozpočtu verejnej správy viedlo </w:t>
      </w:r>
      <w:r>
        <w:rPr>
          <w:rFonts w:ascii="Arial Narrow" w:hAnsi="Arial Narrow" w:cs="Arial Narrow"/>
          <w:sz w:val="22"/>
          <w:szCs w:val="24"/>
        </w:rPr>
        <w:t>k úrovni</w:t>
      </w:r>
      <w:r w:rsidRPr="00330116">
        <w:rPr>
          <w:rFonts w:ascii="Arial Narrow" w:hAnsi="Arial Narrow" w:cs="Arial Narrow"/>
          <w:sz w:val="22"/>
          <w:szCs w:val="24"/>
        </w:rPr>
        <w:t xml:space="preserve"> 3 % HDP v roku 2012. Schodok rozpočtu verejnej správy vyjadrený v metodike ESA 95, vrátane vplyvu zavedenia kapitalizačného piliera starobného dôchodkového poistenia je v roku 2010 rozpočtovaný na úrovni     5,5 % HDP a na rok 2011 na úrovni 4,2 % HDP</w:t>
      </w:r>
      <w:r>
        <w:rPr>
          <w:rFonts w:ascii="Arial Narrow" w:hAnsi="Arial Narrow" w:cs="Arial Narrow"/>
          <w:sz w:val="22"/>
          <w:szCs w:val="24"/>
        </w:rPr>
        <w:t xml:space="preserve">. </w:t>
      </w:r>
    </w:p>
    <w:p w:rsidR="00FC15CD" w:rsidRPr="00790C9C" w:rsidP="00513FFB">
      <w:pPr>
        <w:pStyle w:val="Heading2"/>
        <w:spacing w:after="0"/>
        <w:rPr>
          <w:rFonts w:ascii="Arial Narrow" w:hAnsi="Arial Narrow" w:cs="Arial Narrow"/>
          <w:i w:val="0"/>
          <w:sz w:val="24"/>
          <w:szCs w:val="24"/>
        </w:rPr>
      </w:pPr>
      <w:bookmarkStart w:id="25" w:name="_Toc143348594"/>
      <w:bookmarkStart w:id="26" w:name="_Toc148255242"/>
      <w:bookmarkStart w:id="27" w:name="_Toc174871967"/>
      <w:bookmarkStart w:id="28" w:name="_Toc206478401"/>
      <w:bookmarkStart w:id="29" w:name="_Toc211592392"/>
      <w:bookmarkStart w:id="30" w:name="_Toc241846639"/>
      <w:r w:rsidRPr="00790C9C">
        <w:rPr>
          <w:rFonts w:ascii="Arial Narrow" w:hAnsi="Arial Narrow" w:cs="Arial Narrow"/>
          <w:i w:val="0"/>
          <w:sz w:val="24"/>
          <w:szCs w:val="24"/>
        </w:rPr>
        <w:t>2.2</w:t>
      </w:r>
      <w:r>
        <w:rPr>
          <w:rFonts w:ascii="Arial Narrow" w:hAnsi="Arial Narrow" w:cs="Arial Narrow"/>
          <w:i w:val="0"/>
          <w:sz w:val="24"/>
          <w:szCs w:val="24"/>
        </w:rPr>
        <w:t xml:space="preserve">. </w:t>
      </w:r>
      <w:r w:rsidRPr="00790C9C">
        <w:rPr>
          <w:rFonts w:ascii="Arial Narrow" w:hAnsi="Arial Narrow" w:cs="Arial Narrow"/>
          <w:i w:val="0"/>
          <w:sz w:val="24"/>
          <w:szCs w:val="24"/>
        </w:rPr>
        <w:t>Rámec na zostavenie rozpočtu verejnej správy</w:t>
      </w:r>
      <w:bookmarkEnd w:id="25"/>
      <w:bookmarkEnd w:id="26"/>
      <w:bookmarkEnd w:id="27"/>
      <w:bookmarkEnd w:id="28"/>
      <w:bookmarkEnd w:id="29"/>
      <w:bookmarkEnd w:id="30"/>
      <w:r w:rsidRPr="00790C9C">
        <w:rPr>
          <w:rFonts w:ascii="Arial Narrow" w:hAnsi="Arial Narrow" w:cs="Arial Narrow"/>
          <w:i w:val="0"/>
          <w:sz w:val="24"/>
          <w:szCs w:val="24"/>
        </w:rPr>
        <w:t xml:space="preserve"> </w:t>
      </w:r>
    </w:p>
    <w:p w:rsidR="00FC15CD" w:rsidRPr="003B2DEA" w:rsidP="00FC15CD">
      <w:pPr>
        <w:pStyle w:val="BodyText"/>
        <w:tabs>
          <w:tab w:val="left" w:pos="0"/>
        </w:tabs>
        <w:rPr>
          <w:rFonts w:ascii="Arial Narrow" w:hAnsi="Arial Narrow" w:cs="Arial Narrow"/>
          <w:szCs w:val="24"/>
        </w:rPr>
      </w:pPr>
      <w:r w:rsidRPr="003B2DEA">
        <w:rPr>
          <w:rFonts w:ascii="Arial Narrow" w:hAnsi="Arial Narrow" w:cs="Arial Narrow"/>
          <w:szCs w:val="24"/>
        </w:rPr>
        <w:tab/>
      </w:r>
    </w:p>
    <w:p w:rsidR="00FC15CD" w:rsidP="00FC15CD">
      <w:pPr>
        <w:pStyle w:val="BodyText"/>
        <w:tabs>
          <w:tab w:val="left" w:pos="0"/>
        </w:tabs>
        <w:rPr>
          <w:rFonts w:ascii="Arial Narrow" w:hAnsi="Arial Narrow" w:cs="Arial Narrow"/>
          <w:sz w:val="22"/>
          <w:szCs w:val="24"/>
        </w:rPr>
      </w:pPr>
      <w:r>
        <w:rPr>
          <w:rFonts w:ascii="Arial Narrow" w:hAnsi="Arial Narrow" w:cs="Arial Narrow"/>
          <w:sz w:val="22"/>
          <w:szCs w:val="24"/>
        </w:rPr>
        <w:tab/>
        <w:t xml:space="preserve">Nasledujúca tabuľka poskytuje prehľad o základných parametroch fiškálneho rámca, a to o konkrétnych výškach schodku štátneho rozpočtu v metodike ESA 95 v jednotlivých rokoch zostavovaného rozpočtu a predpokladanom vývoji hospodárenia ostatných subjektov verejnej správy. </w:t>
      </w:r>
    </w:p>
    <w:p w:rsidR="00FC15CD" w:rsidP="00FC15CD">
      <w:pPr>
        <w:jc w:val="both"/>
        <w:rPr>
          <w:rFonts w:ascii="Arial Narrow" w:hAnsi="Arial Narrow" w:cs="Arial Narrow"/>
          <w:sz w:val="22"/>
          <w:szCs w:val="24"/>
        </w:rPr>
      </w:pPr>
    </w:p>
    <w:tbl>
      <w:tblPr>
        <w:tblStyle w:val="TableNormal"/>
        <w:tblW w:w="6920" w:type="dxa"/>
        <w:jc w:val="center"/>
        <w:tblInd w:w="0" w:type="dxa"/>
        <w:tblCellMar>
          <w:left w:w="70" w:type="dxa"/>
          <w:right w:w="70" w:type="dxa"/>
        </w:tblCellMar>
      </w:tblPr>
      <w:tblGrid>
        <w:gridCol w:w="3460"/>
        <w:gridCol w:w="1220"/>
        <w:gridCol w:w="1120"/>
        <w:gridCol w:w="1120"/>
      </w:tblGrid>
      <w:tr>
        <w:tblPrEx>
          <w:tblW w:w="6920" w:type="dxa"/>
          <w:jc w:val="center"/>
          <w:tblInd w:w="0" w:type="dxa"/>
          <w:tblCellMar>
            <w:left w:w="70" w:type="dxa"/>
            <w:right w:w="70" w:type="dxa"/>
          </w:tblCellMar>
        </w:tblPrEx>
        <w:trPr>
          <w:trHeight w:val="555"/>
          <w:jc w:val="center"/>
        </w:trPr>
        <w:tc>
          <w:tcPr>
            <w:tcW w:w="346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top"/>
          </w:tcPr>
          <w:p w:rsidR="00A70AF6" w:rsidRPr="00A15281" w:rsidP="00DB00DA">
            <w:pPr>
              <w:rPr>
                <w:rFonts w:ascii="Arial Narrow" w:hAnsi="Arial Narrow" w:cs="Arial Narrow"/>
                <w:color w:val="FFFFFF"/>
                <w:sz w:val="16"/>
                <w:szCs w:val="24"/>
                <w:lang w:eastAsia="sk-SK"/>
              </w:rPr>
            </w:pPr>
            <w:r w:rsidRPr="00A15281">
              <w:rPr>
                <w:rFonts w:ascii="Arial Narrow" w:hAnsi="Arial Narrow" w:cs="Arial Narrow"/>
                <w:color w:val="FFFFFF"/>
                <w:sz w:val="16"/>
                <w:szCs w:val="24"/>
                <w:lang w:eastAsia="sk-SK"/>
              </w:rPr>
              <w:t xml:space="preserve">(v mil. eur)  </w:t>
            </w:r>
          </w:p>
        </w:tc>
        <w:tc>
          <w:tcPr>
            <w:tcW w:w="1220" w:type="dxa"/>
            <w:tcBorders>
              <w:top w:val="single" w:sz="4" w:space="0" w:color="auto"/>
              <w:left w:val="nil"/>
              <w:bottom w:val="single" w:sz="4" w:space="0" w:color="auto"/>
              <w:right w:val="single" w:sz="4" w:space="0" w:color="auto"/>
            </w:tcBorders>
            <w:shd w:val="clear" w:color="auto" w:fill="000000"/>
            <w:noWrap/>
            <w:textDirection w:val="lrTb"/>
            <w:vAlign w:val="center"/>
          </w:tcPr>
          <w:p w:rsidR="00A70AF6" w:rsidRPr="00312A6A" w:rsidP="00DB00DA">
            <w:pPr>
              <w:jc w:val="center"/>
              <w:rPr>
                <w:rFonts w:ascii="Arial Narrow" w:hAnsi="Arial Narrow" w:cs="Arial Narrow"/>
                <w:b/>
                <w:color w:val="FFFFFF"/>
                <w:sz w:val="20"/>
                <w:szCs w:val="24"/>
                <w:lang w:eastAsia="sk-SK"/>
              </w:rPr>
            </w:pPr>
            <w:r w:rsidRPr="00312A6A">
              <w:rPr>
                <w:rFonts w:ascii="Arial Narrow" w:hAnsi="Arial Narrow" w:cs="Arial Narrow"/>
                <w:b/>
                <w:color w:val="FFFFFF"/>
                <w:sz w:val="20"/>
                <w:szCs w:val="24"/>
                <w:lang w:eastAsia="sk-SK"/>
              </w:rPr>
              <w:t>2010</w:t>
            </w:r>
          </w:p>
        </w:tc>
        <w:tc>
          <w:tcPr>
            <w:tcW w:w="1120" w:type="dxa"/>
            <w:tcBorders>
              <w:top w:val="single" w:sz="4" w:space="0" w:color="auto"/>
              <w:left w:val="nil"/>
              <w:bottom w:val="single" w:sz="4" w:space="0" w:color="auto"/>
              <w:right w:val="single" w:sz="4" w:space="0" w:color="auto"/>
            </w:tcBorders>
            <w:shd w:val="clear" w:color="auto" w:fill="000000"/>
            <w:noWrap/>
            <w:textDirection w:val="lrTb"/>
            <w:vAlign w:val="center"/>
          </w:tcPr>
          <w:p w:rsidR="00A70AF6" w:rsidRPr="00312A6A" w:rsidP="00DB00DA">
            <w:pPr>
              <w:jc w:val="center"/>
              <w:rPr>
                <w:rFonts w:ascii="Arial Narrow" w:hAnsi="Arial Narrow" w:cs="Arial Narrow"/>
                <w:b/>
                <w:color w:val="FFFFFF"/>
                <w:sz w:val="20"/>
                <w:szCs w:val="24"/>
                <w:lang w:eastAsia="sk-SK"/>
              </w:rPr>
            </w:pPr>
            <w:r w:rsidRPr="00312A6A">
              <w:rPr>
                <w:rFonts w:ascii="Arial Narrow" w:hAnsi="Arial Narrow" w:cs="Arial Narrow"/>
                <w:b/>
                <w:color w:val="FFFFFF"/>
                <w:sz w:val="20"/>
                <w:szCs w:val="24"/>
                <w:lang w:eastAsia="sk-SK"/>
              </w:rPr>
              <w:t>2011</w:t>
            </w:r>
          </w:p>
        </w:tc>
        <w:tc>
          <w:tcPr>
            <w:tcW w:w="1120" w:type="dxa"/>
            <w:tcBorders>
              <w:top w:val="single" w:sz="4" w:space="0" w:color="auto"/>
              <w:left w:val="nil"/>
              <w:bottom w:val="single" w:sz="4" w:space="0" w:color="auto"/>
              <w:right w:val="single" w:sz="4" w:space="0" w:color="auto"/>
            </w:tcBorders>
            <w:shd w:val="clear" w:color="auto" w:fill="000000"/>
            <w:noWrap/>
            <w:textDirection w:val="lrTb"/>
            <w:vAlign w:val="center"/>
          </w:tcPr>
          <w:p w:rsidR="00A70AF6" w:rsidRPr="00312A6A" w:rsidP="00DB00DA">
            <w:pPr>
              <w:jc w:val="center"/>
              <w:rPr>
                <w:rFonts w:ascii="Arial Narrow" w:hAnsi="Arial Narrow" w:cs="Arial Narrow"/>
                <w:b/>
                <w:color w:val="FFFFFF"/>
                <w:sz w:val="20"/>
                <w:szCs w:val="24"/>
                <w:lang w:eastAsia="sk-SK"/>
              </w:rPr>
            </w:pPr>
            <w:r w:rsidRPr="00312A6A">
              <w:rPr>
                <w:rFonts w:ascii="Arial Narrow" w:hAnsi="Arial Narrow" w:cs="Arial Narrow"/>
                <w:b/>
                <w:color w:val="FFFFFF"/>
                <w:sz w:val="20"/>
                <w:szCs w:val="24"/>
                <w:lang w:eastAsia="sk-SK"/>
              </w:rPr>
              <w:t>2012</w:t>
            </w:r>
          </w:p>
        </w:tc>
      </w:tr>
      <w:tr>
        <w:tblPrEx>
          <w:tblW w:w="69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b/>
                <w:sz w:val="20"/>
                <w:szCs w:val="24"/>
                <w:lang w:eastAsia="sk-SK"/>
              </w:rPr>
            </w:pPr>
            <w:r w:rsidRPr="00312A6A">
              <w:rPr>
                <w:rFonts w:ascii="Arial Narrow" w:hAnsi="Arial Narrow" w:cs="Arial Narrow"/>
                <w:b/>
                <w:sz w:val="20"/>
                <w:szCs w:val="24"/>
                <w:lang w:eastAsia="sk-SK"/>
              </w:rPr>
              <w:t>Štátny rozpočet</w:t>
            </w:r>
          </w:p>
        </w:tc>
        <w:tc>
          <w:tcPr>
            <w:tcW w:w="12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sidRPr="00312A6A">
              <w:rPr>
                <w:rFonts w:ascii="Arial Narrow" w:hAnsi="Arial Narrow" w:cs="Arial Narrow"/>
                <w:b/>
                <w:sz w:val="20"/>
                <w:szCs w:val="24"/>
                <w:lang w:eastAsia="sk-SK"/>
              </w:rPr>
              <w:t>-</w:t>
            </w:r>
            <w:r>
              <w:rPr>
                <w:rFonts w:ascii="Arial Narrow" w:hAnsi="Arial Narrow" w:cs="Arial Narrow"/>
                <w:b/>
                <w:sz w:val="20"/>
                <w:szCs w:val="24"/>
                <w:lang w:eastAsia="sk-SK"/>
              </w:rPr>
              <w:t>3 873,1</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-3 255,6</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-2 526,5</w:t>
            </w:r>
          </w:p>
        </w:tc>
      </w:tr>
      <w:tr>
        <w:tblPrEx>
          <w:tblW w:w="69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b/>
                <w:sz w:val="20"/>
                <w:szCs w:val="24"/>
                <w:lang w:eastAsia="sk-SK"/>
              </w:rPr>
            </w:pPr>
            <w:r w:rsidRPr="00312A6A">
              <w:rPr>
                <w:rFonts w:ascii="Arial Narrow" w:hAnsi="Arial Narrow" w:cs="Arial Narrow"/>
                <w:b/>
                <w:sz w:val="20"/>
                <w:szCs w:val="24"/>
                <w:lang w:eastAsia="sk-SK"/>
              </w:rPr>
              <w:t>Ostatné subjekty rozpočtu VS spolu</w:t>
            </w:r>
          </w:p>
        </w:tc>
        <w:tc>
          <w:tcPr>
            <w:tcW w:w="12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167,3</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214,0</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159,7</w:t>
            </w:r>
          </w:p>
        </w:tc>
      </w:tr>
      <w:tr>
        <w:tblPrEx>
          <w:tblW w:w="69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b/>
                <w:sz w:val="20"/>
                <w:szCs w:val="24"/>
                <w:lang w:eastAsia="sk-SK"/>
              </w:rPr>
            </w:pPr>
            <w:r w:rsidRPr="00312A6A">
              <w:rPr>
                <w:rFonts w:ascii="Arial Narrow" w:hAnsi="Arial Narrow" w:cs="Arial Narrow"/>
                <w:b/>
                <w:sz w:val="20"/>
                <w:szCs w:val="24"/>
                <w:lang w:eastAsia="sk-SK"/>
              </w:rPr>
              <w:t xml:space="preserve">Rozpočet VS spolu </w:t>
            </w:r>
          </w:p>
        </w:tc>
        <w:tc>
          <w:tcPr>
            <w:tcW w:w="12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-3 705,8</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-3 041,5</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-2 366,7</w:t>
            </w:r>
          </w:p>
        </w:tc>
      </w:tr>
      <w:tr>
        <w:tblPrEx>
          <w:tblW w:w="6920" w:type="dxa"/>
          <w:jc w:val="center"/>
          <w:tblInd w:w="0" w:type="dxa"/>
          <w:tblCellMar>
            <w:left w:w="70" w:type="dxa"/>
            <w:right w:w="70" w:type="dxa"/>
          </w:tblCellMar>
        </w:tblPrEx>
        <w:trPr>
          <w:trHeight w:val="540"/>
          <w:jc w:val="center"/>
        </w:trPr>
        <w:tc>
          <w:tcPr>
            <w:tcW w:w="3460" w:type="dxa"/>
            <w:tcBorders>
              <w:top w:val="nil"/>
              <w:left w:val="single" w:sz="4" w:space="0" w:color="auto"/>
              <w:bottom w:val="single" w:sz="4" w:space="0" w:color="auto"/>
              <w:right w:val="single" w:sz="4" w:space="0" w:color="auto"/>
            </w:tcBorders>
            <w:shd w:val="clear" w:color="auto" w:fill="C0C0C0"/>
            <w:noWrap/>
            <w:textDirection w:val="lrTb"/>
            <w:vAlign w:val="center"/>
          </w:tcPr>
          <w:p w:rsidR="00A70AF6" w:rsidRPr="00312A6A" w:rsidP="00DB00DA">
            <w:pPr>
              <w:rPr>
                <w:rFonts w:ascii="Arial Narrow" w:hAnsi="Arial Narrow" w:cs="Arial Narrow"/>
                <w:b/>
                <w:sz w:val="20"/>
                <w:szCs w:val="24"/>
                <w:lang w:eastAsia="sk-SK"/>
              </w:rPr>
            </w:pPr>
            <w:r w:rsidRPr="00312A6A">
              <w:rPr>
                <w:rFonts w:ascii="Arial Narrow" w:hAnsi="Arial Narrow" w:cs="Arial Narrow"/>
                <w:b/>
                <w:sz w:val="20"/>
                <w:szCs w:val="24"/>
                <w:lang w:eastAsia="sk-SK"/>
              </w:rPr>
              <w:t>Podiel RVS v % na HDP</w:t>
            </w:r>
          </w:p>
        </w:tc>
        <w:tc>
          <w:tcPr>
            <w:tcW w:w="1220" w:type="dxa"/>
            <w:tcBorders>
              <w:top w:val="nil"/>
              <w:left w:val="nil"/>
              <w:bottom w:val="single" w:sz="4" w:space="0" w:color="auto"/>
              <w:right w:val="single" w:sz="4" w:space="0" w:color="auto"/>
            </w:tcBorders>
            <w:shd w:val="clear" w:color="auto" w:fill="C0C0C0"/>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-5,50</w:t>
            </w:r>
          </w:p>
        </w:tc>
        <w:tc>
          <w:tcPr>
            <w:tcW w:w="1120" w:type="dxa"/>
            <w:tcBorders>
              <w:top w:val="nil"/>
              <w:left w:val="nil"/>
              <w:bottom w:val="single" w:sz="4" w:space="0" w:color="auto"/>
              <w:right w:val="single" w:sz="4" w:space="0" w:color="auto"/>
            </w:tcBorders>
            <w:shd w:val="clear" w:color="auto" w:fill="C0C0C0"/>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-4,20</w:t>
            </w:r>
          </w:p>
        </w:tc>
        <w:tc>
          <w:tcPr>
            <w:tcW w:w="1120" w:type="dxa"/>
            <w:tcBorders>
              <w:top w:val="nil"/>
              <w:left w:val="nil"/>
              <w:bottom w:val="single" w:sz="4" w:space="0" w:color="auto"/>
              <w:right w:val="single" w:sz="4" w:space="0" w:color="auto"/>
            </w:tcBorders>
            <w:shd w:val="clear" w:color="auto" w:fill="C0C0C0"/>
            <w:noWrap/>
            <w:textDirection w:val="lrTb"/>
            <w:vAlign w:val="center"/>
          </w:tcPr>
          <w:p w:rsidR="00A70AF6" w:rsidRPr="00312A6A"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-3,00</w:t>
            </w:r>
          </w:p>
        </w:tc>
      </w:tr>
      <w:tr>
        <w:tblPrEx>
          <w:tblW w:w="69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sz w:val="20"/>
                <w:szCs w:val="24"/>
                <w:lang w:eastAsia="sk-SK"/>
              </w:rPr>
            </w:pPr>
            <w:r w:rsidRPr="00312A6A">
              <w:rPr>
                <w:rFonts w:ascii="Arial Narrow" w:hAnsi="Arial Narrow" w:cs="Arial Narrow"/>
                <w:sz w:val="20"/>
                <w:szCs w:val="24"/>
                <w:lang w:eastAsia="sk-SK"/>
              </w:rPr>
              <w:t>HDP v  b. c.</w:t>
            </w:r>
          </w:p>
        </w:tc>
        <w:tc>
          <w:tcPr>
            <w:tcW w:w="12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67 378</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72 418</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78 891</w:t>
            </w:r>
          </w:p>
        </w:tc>
      </w:tr>
      <w:tr>
        <w:tblPrEx>
          <w:tblW w:w="6920" w:type="dxa"/>
          <w:jc w:val="center"/>
          <w:tblInd w:w="0" w:type="dxa"/>
          <w:tblCellMar>
            <w:left w:w="70" w:type="dxa"/>
            <w:right w:w="70" w:type="dxa"/>
          </w:tblCellMar>
        </w:tblPrEx>
        <w:trPr>
          <w:trHeight w:val="180"/>
          <w:jc w:val="center"/>
        </w:trPr>
        <w:tc>
          <w:tcPr>
            <w:tcW w:w="3460" w:type="dxa"/>
            <w:tcBorders>
              <w:top w:val="nil"/>
              <w:left w:val="nil"/>
              <w:bottom w:val="nil"/>
              <w:right w:val="nil"/>
            </w:tcBorders>
            <w:noWrap/>
            <w:textDirection w:val="lrTb"/>
            <w:vAlign w:val="center"/>
          </w:tcPr>
          <w:p w:rsidR="00A70AF6" w:rsidRPr="00312A6A" w:rsidP="00DB00DA">
            <w:pPr>
              <w:rPr>
                <w:rFonts w:ascii="Arial Narrow" w:hAnsi="Arial Narrow" w:cs="Arial Narrow"/>
                <w:sz w:val="16"/>
                <w:szCs w:val="24"/>
                <w:lang w:eastAsia="sk-SK"/>
              </w:rPr>
            </w:pPr>
          </w:p>
        </w:tc>
        <w:tc>
          <w:tcPr>
            <w:tcW w:w="1220" w:type="dxa"/>
            <w:tcBorders>
              <w:top w:val="nil"/>
              <w:left w:val="nil"/>
              <w:bottom w:val="nil"/>
              <w:right w:val="nil"/>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p>
        </w:tc>
        <w:tc>
          <w:tcPr>
            <w:tcW w:w="1120" w:type="dxa"/>
            <w:tcBorders>
              <w:top w:val="nil"/>
              <w:left w:val="nil"/>
              <w:bottom w:val="nil"/>
              <w:right w:val="nil"/>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p>
        </w:tc>
        <w:tc>
          <w:tcPr>
            <w:tcW w:w="1120" w:type="dxa"/>
            <w:tcBorders>
              <w:top w:val="nil"/>
              <w:left w:val="nil"/>
              <w:bottom w:val="nil"/>
              <w:right w:val="nil"/>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p>
        </w:tc>
      </w:tr>
      <w:tr>
        <w:tblPrEx>
          <w:tblW w:w="6920" w:type="dxa"/>
          <w:jc w:val="center"/>
          <w:tblInd w:w="0" w:type="dxa"/>
          <w:tblCellMar>
            <w:left w:w="70" w:type="dxa"/>
            <w:right w:w="70" w:type="dxa"/>
          </w:tblCellMar>
        </w:tblPrEx>
        <w:trPr>
          <w:trHeight w:val="360"/>
          <w:jc w:val="center"/>
        </w:trPr>
        <w:tc>
          <w:tcPr>
            <w:tcW w:w="3460" w:type="dxa"/>
            <w:tcBorders>
              <w:top w:val="single" w:sz="4" w:space="0" w:color="auto"/>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sz w:val="20"/>
                <w:szCs w:val="24"/>
                <w:lang w:eastAsia="sk-SK"/>
              </w:rPr>
            </w:pPr>
            <w:r w:rsidRPr="00312A6A">
              <w:rPr>
                <w:rFonts w:ascii="Arial Narrow" w:hAnsi="Arial Narrow" w:cs="Arial Narrow"/>
                <w:sz w:val="20"/>
                <w:szCs w:val="24"/>
                <w:lang w:eastAsia="sk-SK"/>
              </w:rPr>
              <w:t>Očakávaný dopad II. piliera</w:t>
            </w:r>
          </w:p>
        </w:tc>
        <w:tc>
          <w:tcPr>
            <w:tcW w:w="1220" w:type="dxa"/>
            <w:tcBorders>
              <w:top w:val="single" w:sz="4" w:space="0" w:color="auto"/>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-771,4</w:t>
            </w:r>
          </w:p>
        </w:tc>
        <w:tc>
          <w:tcPr>
            <w:tcW w:w="1120" w:type="dxa"/>
            <w:tcBorders>
              <w:top w:val="single" w:sz="4" w:space="0" w:color="auto"/>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-832,2</w:t>
            </w:r>
          </w:p>
        </w:tc>
        <w:tc>
          <w:tcPr>
            <w:tcW w:w="1120" w:type="dxa"/>
            <w:tcBorders>
              <w:top w:val="single" w:sz="4" w:space="0" w:color="auto"/>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-910,7</w:t>
            </w:r>
          </w:p>
        </w:tc>
      </w:tr>
      <w:tr>
        <w:tblPrEx>
          <w:tblW w:w="69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noWrap/>
            <w:textDirection w:val="lrTb"/>
            <w:vAlign w:val="center"/>
          </w:tcPr>
          <w:p w:rsidR="00A70AF6" w:rsidRPr="00312A6A" w:rsidP="00DB00DA">
            <w:pPr>
              <w:rPr>
                <w:rFonts w:ascii="Arial Narrow" w:hAnsi="Arial Narrow" w:cs="Arial Narrow"/>
                <w:sz w:val="20"/>
                <w:szCs w:val="24"/>
                <w:lang w:eastAsia="sk-SK"/>
              </w:rPr>
            </w:pPr>
            <w:r w:rsidRPr="00312A6A">
              <w:rPr>
                <w:rFonts w:ascii="Arial Narrow" w:hAnsi="Arial Narrow" w:cs="Arial Narrow"/>
                <w:sz w:val="20"/>
                <w:szCs w:val="24"/>
                <w:lang w:eastAsia="sk-SK"/>
              </w:rPr>
              <w:t>Podiel dopadu II. piliera v % na HDP</w:t>
            </w:r>
          </w:p>
        </w:tc>
        <w:tc>
          <w:tcPr>
            <w:tcW w:w="12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-1,14</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-1,15</w:t>
            </w:r>
          </w:p>
        </w:tc>
        <w:tc>
          <w:tcPr>
            <w:tcW w:w="1120" w:type="dxa"/>
            <w:tcBorders>
              <w:top w:val="nil"/>
              <w:left w:val="nil"/>
              <w:bottom w:val="single" w:sz="4" w:space="0" w:color="auto"/>
              <w:right w:val="single" w:sz="4" w:space="0" w:color="auto"/>
            </w:tcBorders>
            <w:shd w:val="clear" w:color="auto" w:fill="FFFFFF"/>
            <w:noWrap/>
            <w:textDirection w:val="lrTb"/>
            <w:vAlign w:val="center"/>
          </w:tcPr>
          <w:p w:rsidR="00A70AF6" w:rsidRPr="00312A6A" w:rsidP="00DB00DA">
            <w:pPr>
              <w:jc w:val="right"/>
              <w:rPr>
                <w:rFonts w:ascii="Arial Narrow" w:hAnsi="Arial Narrow" w:cs="Arial Narrow"/>
                <w:sz w:val="20"/>
                <w:szCs w:val="24"/>
                <w:lang w:eastAsia="sk-SK"/>
              </w:rPr>
            </w:pPr>
            <w:r>
              <w:rPr>
                <w:rFonts w:ascii="Arial Narrow" w:hAnsi="Arial Narrow" w:cs="Arial Narrow"/>
                <w:sz w:val="20"/>
                <w:szCs w:val="24"/>
                <w:lang w:eastAsia="sk-SK"/>
              </w:rPr>
              <w:t>-1,15</w:t>
            </w:r>
          </w:p>
        </w:tc>
      </w:tr>
    </w:tbl>
    <w:p w:rsidR="00FC15CD" w:rsidP="00FC15CD">
      <w:pPr>
        <w:pStyle w:val="BodyText"/>
        <w:tabs>
          <w:tab w:val="left" w:pos="0"/>
        </w:tabs>
        <w:rPr>
          <w:rFonts w:ascii="Arial Narrow" w:hAnsi="Arial Narrow" w:cs="Arial Narrow"/>
          <w:sz w:val="16"/>
          <w:szCs w:val="24"/>
        </w:rPr>
      </w:pPr>
      <w:r w:rsidRPr="00312A6A">
        <w:rPr>
          <w:rFonts w:ascii="Arial Narrow" w:hAnsi="Arial Narrow" w:cs="Arial Narrow"/>
          <w:sz w:val="16"/>
          <w:szCs w:val="24"/>
        </w:rPr>
        <w:t xml:space="preserve">             </w:t>
      </w:r>
      <w:r w:rsidR="002F23EC">
        <w:rPr>
          <w:rFonts w:ascii="Arial Narrow" w:hAnsi="Arial Narrow" w:cs="Arial Narrow"/>
          <w:sz w:val="16"/>
          <w:szCs w:val="24"/>
        </w:rPr>
        <w:tab/>
        <w:t xml:space="preserve">          </w:t>
      </w:r>
      <w:r w:rsidRPr="00312A6A">
        <w:rPr>
          <w:rFonts w:ascii="Arial Narrow" w:hAnsi="Arial Narrow" w:cs="Arial Narrow"/>
          <w:sz w:val="16"/>
          <w:szCs w:val="24"/>
        </w:rPr>
        <w:t>Poznámka:  Pri rozpočte VS  znamienko (+) znamená prebytok, znamienko (-) schodok</w:t>
      </w:r>
    </w:p>
    <w:p w:rsidR="00FC15CD" w:rsidRPr="006947D3" w:rsidP="00FC15CD">
      <w:pPr>
        <w:pStyle w:val="BodyText"/>
        <w:tabs>
          <w:tab w:val="left" w:pos="0"/>
        </w:tabs>
        <w:rPr>
          <w:b/>
          <w:szCs w:val="24"/>
        </w:rPr>
      </w:pPr>
      <w:r>
        <w:rPr>
          <w:b/>
          <w:szCs w:val="24"/>
        </w:rPr>
        <w:tab/>
      </w:r>
    </w:p>
    <w:p w:rsidR="00FC15CD" w:rsidRPr="00C8714E" w:rsidP="00FC15CD">
      <w:pPr>
        <w:pStyle w:val="BodyText"/>
        <w:tabs>
          <w:tab w:val="left" w:pos="0"/>
        </w:tabs>
        <w:rPr>
          <w:rFonts w:ascii="Arial Narrow" w:hAnsi="Arial Narrow" w:cs="Arial Narrow"/>
          <w:sz w:val="22"/>
          <w:szCs w:val="24"/>
        </w:rPr>
      </w:pPr>
      <w:r>
        <w:rPr>
          <w:rFonts w:ascii="Arial Narrow" w:hAnsi="Arial Narrow" w:cs="Arial Narrow"/>
          <w:sz w:val="22"/>
          <w:szCs w:val="24"/>
        </w:rPr>
        <w:tab/>
      </w:r>
      <w:r w:rsidRPr="00CA34B4">
        <w:rPr>
          <w:rFonts w:ascii="Arial Narrow" w:hAnsi="Arial Narrow" w:cs="Arial Narrow"/>
          <w:sz w:val="22"/>
          <w:szCs w:val="24"/>
        </w:rPr>
        <w:t xml:space="preserve">V roku </w:t>
      </w:r>
      <w:r w:rsidRPr="00C8714E">
        <w:rPr>
          <w:rFonts w:ascii="Arial Narrow" w:hAnsi="Arial Narrow" w:cs="Arial Narrow"/>
          <w:sz w:val="22"/>
          <w:szCs w:val="24"/>
        </w:rPr>
        <w:t xml:space="preserve">2010 sa predpokladá prebytkové hospodárenie ostatných subjektov verejnej správy vo výške    </w:t>
      </w:r>
      <w:r>
        <w:rPr>
          <w:rFonts w:ascii="Arial Narrow" w:hAnsi="Arial Narrow" w:cs="Arial Narrow"/>
          <w:sz w:val="22"/>
          <w:szCs w:val="24"/>
        </w:rPr>
        <w:t xml:space="preserve">167,3 </w:t>
      </w:r>
      <w:r w:rsidRPr="00C8714E">
        <w:rPr>
          <w:rFonts w:ascii="Arial Narrow" w:hAnsi="Arial Narrow" w:cs="Arial Narrow"/>
          <w:sz w:val="22"/>
          <w:szCs w:val="24"/>
        </w:rPr>
        <w:t xml:space="preserve">mil. eur. Na tomto vývoji sa na jednej strane podieľa prebytkové hospodárenie niektorých subjektov verejnej správy, a to hlavne prebytok hospodárenia Štátneho fondu rozvoja bývania na úrovni </w:t>
      </w:r>
      <w:r>
        <w:rPr>
          <w:rFonts w:ascii="Arial Narrow" w:hAnsi="Arial Narrow" w:cs="Arial Narrow"/>
          <w:sz w:val="22"/>
          <w:szCs w:val="24"/>
        </w:rPr>
        <w:t>80,7</w:t>
      </w:r>
      <w:r w:rsidRPr="00C8714E">
        <w:rPr>
          <w:rFonts w:ascii="Arial Narrow" w:hAnsi="Arial Narrow" w:cs="Arial Narrow"/>
          <w:sz w:val="22"/>
          <w:szCs w:val="24"/>
        </w:rPr>
        <w:t xml:space="preserve"> mil. eur, Environmentálneho fondu vo výške </w:t>
      </w:r>
      <w:r>
        <w:rPr>
          <w:rFonts w:ascii="Arial Narrow" w:hAnsi="Arial Narrow" w:cs="Arial Narrow"/>
          <w:sz w:val="22"/>
          <w:szCs w:val="24"/>
        </w:rPr>
        <w:t>67,6</w:t>
      </w:r>
      <w:r w:rsidRPr="00C8714E">
        <w:rPr>
          <w:rFonts w:ascii="Arial Narrow" w:hAnsi="Arial Narrow" w:cs="Arial Narrow"/>
          <w:sz w:val="22"/>
          <w:szCs w:val="24"/>
        </w:rPr>
        <w:t xml:space="preserve"> mil. eur</w:t>
      </w:r>
      <w:r>
        <w:rPr>
          <w:rFonts w:ascii="Arial Narrow" w:hAnsi="Arial Narrow" w:cs="Arial Narrow"/>
          <w:sz w:val="22"/>
          <w:szCs w:val="24"/>
        </w:rPr>
        <w:t>, Národného jadrového fondu v objeme 20,9 mil. eur a</w:t>
      </w:r>
      <w:r w:rsidRPr="00C8714E">
        <w:rPr>
          <w:rFonts w:ascii="Arial Narrow" w:hAnsi="Arial Narrow" w:cs="Arial Narrow"/>
          <w:sz w:val="22"/>
          <w:szCs w:val="24"/>
        </w:rPr>
        <w:t xml:space="preserve"> Sociálnej poisťovn</w:t>
      </w:r>
      <w:r>
        <w:rPr>
          <w:rFonts w:ascii="Arial Narrow" w:hAnsi="Arial Narrow" w:cs="Arial Narrow"/>
          <w:sz w:val="22"/>
          <w:szCs w:val="24"/>
        </w:rPr>
        <w:t>e</w:t>
      </w:r>
      <w:r w:rsidRPr="00C8714E">
        <w:rPr>
          <w:rFonts w:ascii="Arial Narrow" w:hAnsi="Arial Narrow" w:cs="Arial Narrow"/>
          <w:sz w:val="22"/>
          <w:szCs w:val="24"/>
        </w:rPr>
        <w:t xml:space="preserve"> na úrovni </w:t>
      </w:r>
      <w:r>
        <w:rPr>
          <w:rFonts w:ascii="Arial Narrow" w:hAnsi="Arial Narrow" w:cs="Arial Narrow"/>
          <w:sz w:val="22"/>
          <w:szCs w:val="24"/>
        </w:rPr>
        <w:t>6,8</w:t>
      </w:r>
      <w:r w:rsidRPr="00C8714E">
        <w:rPr>
          <w:rFonts w:ascii="Arial Narrow" w:hAnsi="Arial Narrow" w:cs="Arial Narrow"/>
          <w:sz w:val="22"/>
          <w:szCs w:val="24"/>
        </w:rPr>
        <w:t xml:space="preserve"> mil. eur</w:t>
      </w:r>
      <w:r>
        <w:rPr>
          <w:rFonts w:ascii="Arial Narrow" w:hAnsi="Arial Narrow" w:cs="Arial Narrow"/>
          <w:sz w:val="22"/>
          <w:szCs w:val="24"/>
        </w:rPr>
        <w:t xml:space="preserve">. </w:t>
      </w:r>
      <w:r w:rsidRPr="00C8714E">
        <w:rPr>
          <w:rFonts w:ascii="Arial Narrow" w:hAnsi="Arial Narrow" w:cs="Arial Narrow"/>
          <w:sz w:val="22"/>
          <w:szCs w:val="24"/>
        </w:rPr>
        <w:t xml:space="preserve"> Na druhej strane je to schodkové hospodárenie</w:t>
      </w:r>
      <w:r>
        <w:rPr>
          <w:rFonts w:ascii="Arial Narrow" w:hAnsi="Arial Narrow" w:cs="Arial Narrow"/>
          <w:sz w:val="22"/>
          <w:szCs w:val="24"/>
        </w:rPr>
        <w:t xml:space="preserve"> </w:t>
      </w:r>
      <w:r w:rsidRPr="00C8714E">
        <w:rPr>
          <w:rFonts w:ascii="Arial Narrow" w:hAnsi="Arial Narrow" w:cs="Arial Narrow"/>
          <w:sz w:val="22"/>
          <w:szCs w:val="24"/>
        </w:rPr>
        <w:t xml:space="preserve"> Fondu národného majetku SR na úrovni </w:t>
      </w:r>
      <w:r>
        <w:rPr>
          <w:rFonts w:ascii="Arial Narrow" w:hAnsi="Arial Narrow" w:cs="Arial Narrow"/>
          <w:sz w:val="22"/>
          <w:szCs w:val="24"/>
        </w:rPr>
        <w:t>13</w:t>
      </w:r>
      <w:r w:rsidRPr="00C8714E">
        <w:rPr>
          <w:rFonts w:ascii="Arial Narrow" w:hAnsi="Arial Narrow" w:cs="Arial Narrow"/>
          <w:sz w:val="22"/>
          <w:szCs w:val="24"/>
        </w:rPr>
        <w:t xml:space="preserve"> mil. eur. Mierne negatívny vplyv na hospodárenie ostatných subjektov verejnej správy má schodkové hospodárenie </w:t>
      </w:r>
      <w:r>
        <w:rPr>
          <w:rFonts w:ascii="Arial Narrow" w:hAnsi="Arial Narrow" w:cs="Arial Narrow"/>
          <w:sz w:val="22"/>
          <w:szCs w:val="24"/>
        </w:rPr>
        <w:t xml:space="preserve">verejného zdravotného poistenia </w:t>
      </w:r>
      <w:r w:rsidRPr="00C8714E">
        <w:rPr>
          <w:rFonts w:ascii="Arial Narrow" w:hAnsi="Arial Narrow" w:cs="Arial Narrow"/>
          <w:sz w:val="22"/>
          <w:szCs w:val="24"/>
        </w:rPr>
        <w:t xml:space="preserve">vo výške </w:t>
      </w:r>
      <w:r>
        <w:rPr>
          <w:rFonts w:ascii="Arial Narrow" w:hAnsi="Arial Narrow" w:cs="Arial Narrow"/>
          <w:sz w:val="22"/>
          <w:szCs w:val="24"/>
        </w:rPr>
        <w:t>2,0 mil.</w:t>
      </w:r>
      <w:r w:rsidRPr="00C8714E">
        <w:rPr>
          <w:rFonts w:ascii="Arial Narrow" w:hAnsi="Arial Narrow" w:cs="Arial Narrow"/>
          <w:sz w:val="22"/>
          <w:szCs w:val="24"/>
        </w:rPr>
        <w:t xml:space="preserve"> </w:t>
      </w:r>
      <w:r>
        <w:rPr>
          <w:rFonts w:ascii="Arial Narrow" w:hAnsi="Arial Narrow" w:cs="Arial Narrow"/>
          <w:sz w:val="22"/>
          <w:szCs w:val="24"/>
        </w:rPr>
        <w:t>e</w:t>
      </w:r>
      <w:r w:rsidRPr="00C8714E">
        <w:rPr>
          <w:rFonts w:ascii="Arial Narrow" w:hAnsi="Arial Narrow" w:cs="Arial Narrow"/>
          <w:sz w:val="22"/>
          <w:szCs w:val="24"/>
        </w:rPr>
        <w:t>ur</w:t>
      </w:r>
      <w:r>
        <w:rPr>
          <w:rFonts w:ascii="Arial Narrow" w:hAnsi="Arial Narrow" w:cs="Arial Narrow"/>
          <w:sz w:val="22"/>
          <w:szCs w:val="24"/>
        </w:rPr>
        <w:t>.</w:t>
      </w:r>
      <w:r w:rsidRPr="00C8714E">
        <w:rPr>
          <w:rFonts w:ascii="Arial Narrow" w:hAnsi="Arial Narrow" w:cs="Arial Narrow"/>
          <w:sz w:val="22"/>
          <w:szCs w:val="24"/>
        </w:rPr>
        <w:t xml:space="preserve"> Ostatné nespomenuté subjekty verejnej správy majú </w:t>
      </w:r>
      <w:r>
        <w:rPr>
          <w:rFonts w:ascii="Arial Narrow" w:hAnsi="Arial Narrow" w:cs="Arial Narrow"/>
          <w:sz w:val="22"/>
          <w:szCs w:val="24"/>
        </w:rPr>
        <w:t xml:space="preserve">vo väčšine </w:t>
      </w:r>
      <w:r w:rsidRPr="00C8714E">
        <w:rPr>
          <w:rFonts w:ascii="Arial Narrow" w:hAnsi="Arial Narrow" w:cs="Arial Narrow"/>
          <w:sz w:val="22"/>
          <w:szCs w:val="24"/>
        </w:rPr>
        <w:t xml:space="preserve">neutrálny vplyv na celkové hospodárenie ostatných subjektov verejnej správy. </w:t>
      </w:r>
    </w:p>
    <w:p w:rsidR="00FC15CD" w:rsidRPr="00625B4E" w:rsidP="00FC15CD">
      <w:pPr>
        <w:pStyle w:val="BodyText"/>
        <w:tabs>
          <w:tab w:val="left" w:pos="0"/>
        </w:tabs>
        <w:rPr>
          <w:rFonts w:ascii="Arial Narrow" w:hAnsi="Arial Narrow" w:cs="Arial Narrow"/>
          <w:sz w:val="22"/>
          <w:szCs w:val="24"/>
          <w:highlight w:val="yellow"/>
        </w:rPr>
      </w:pPr>
    </w:p>
    <w:p w:rsidR="00FC15CD" w:rsidP="00FC15CD">
      <w:pPr>
        <w:pStyle w:val="BodyText"/>
        <w:tabs>
          <w:tab w:val="left" w:pos="0"/>
        </w:tabs>
        <w:rPr>
          <w:rFonts w:ascii="Arial Narrow" w:hAnsi="Arial Narrow" w:cs="Arial Narrow"/>
          <w:sz w:val="22"/>
          <w:szCs w:val="24"/>
        </w:rPr>
      </w:pPr>
      <w:r w:rsidRPr="00833441">
        <w:rPr>
          <w:rFonts w:ascii="Arial Narrow" w:hAnsi="Arial Narrow" w:cs="Arial Narrow"/>
          <w:sz w:val="22"/>
          <w:szCs w:val="24"/>
        </w:rPr>
        <w:tab/>
        <w:t xml:space="preserve">Hospodárenie ostatných subjektov verejnej správy </w:t>
      </w:r>
      <w:r>
        <w:rPr>
          <w:rFonts w:ascii="Arial Narrow" w:hAnsi="Arial Narrow" w:cs="Arial Narrow"/>
          <w:sz w:val="22"/>
          <w:szCs w:val="24"/>
        </w:rPr>
        <w:t>v rokoch</w:t>
      </w:r>
      <w:r w:rsidRPr="00833441">
        <w:rPr>
          <w:rFonts w:ascii="Arial Narrow" w:hAnsi="Arial Narrow" w:cs="Arial Narrow"/>
          <w:sz w:val="22"/>
          <w:szCs w:val="24"/>
        </w:rPr>
        <w:t xml:space="preserve"> 201</w:t>
      </w:r>
      <w:r>
        <w:rPr>
          <w:rFonts w:ascii="Arial Narrow" w:hAnsi="Arial Narrow" w:cs="Arial Narrow"/>
          <w:sz w:val="22"/>
          <w:szCs w:val="24"/>
        </w:rPr>
        <w:t xml:space="preserve">1 </w:t>
      </w:r>
      <w:r w:rsidRPr="00833441">
        <w:rPr>
          <w:rFonts w:ascii="Arial Narrow" w:hAnsi="Arial Narrow" w:cs="Arial Narrow"/>
          <w:sz w:val="22"/>
          <w:szCs w:val="24"/>
        </w:rPr>
        <w:t>a 201</w:t>
      </w:r>
      <w:r>
        <w:rPr>
          <w:rFonts w:ascii="Arial Narrow" w:hAnsi="Arial Narrow" w:cs="Arial Narrow"/>
          <w:sz w:val="22"/>
          <w:szCs w:val="24"/>
        </w:rPr>
        <w:t>2</w:t>
      </w:r>
      <w:r w:rsidRPr="00833441">
        <w:rPr>
          <w:rFonts w:ascii="Arial Narrow" w:hAnsi="Arial Narrow" w:cs="Arial Narrow"/>
          <w:sz w:val="22"/>
          <w:szCs w:val="24"/>
        </w:rPr>
        <w:t xml:space="preserve"> vykazuje prebytok. Návrhy rozpočtov ostatných subjektov verejnej správy tvoria prílohu  č. 1 tohto materiálu.</w:t>
      </w:r>
      <w:r>
        <w:rPr>
          <w:rFonts w:ascii="Arial Narrow" w:hAnsi="Arial Narrow" w:cs="Arial Narrow"/>
          <w:sz w:val="22"/>
          <w:szCs w:val="24"/>
        </w:rPr>
        <w:t xml:space="preserve"> </w:t>
      </w:r>
    </w:p>
    <w:p w:rsidR="00FC15CD" w:rsidP="00FC15CD">
      <w:pPr>
        <w:pStyle w:val="BodyText"/>
        <w:tabs>
          <w:tab w:val="left" w:pos="0"/>
        </w:tabs>
        <w:rPr>
          <w:b/>
          <w:szCs w:val="24"/>
        </w:rPr>
      </w:pPr>
    </w:p>
    <w:p w:rsidR="00FC15CD" w:rsidP="00FC15CD">
      <w:pPr>
        <w:pStyle w:val="BodyText"/>
        <w:tabs>
          <w:tab w:val="left" w:pos="0"/>
        </w:tabs>
        <w:rPr>
          <w:rFonts w:ascii="Arial Narrow" w:hAnsi="Arial Narrow" w:cs="Arial Narrow"/>
          <w:sz w:val="22"/>
          <w:szCs w:val="24"/>
        </w:rPr>
      </w:pPr>
      <w:r>
        <w:rPr>
          <w:b/>
          <w:szCs w:val="24"/>
        </w:rPr>
        <w:tab/>
      </w:r>
      <w:r>
        <w:rPr>
          <w:rFonts w:ascii="Arial Narrow" w:hAnsi="Arial Narrow" w:cs="Arial Narrow"/>
          <w:sz w:val="22"/>
          <w:szCs w:val="24"/>
        </w:rPr>
        <w:t xml:space="preserve">Schodok štátneho rozpočtu podľa metodiky ESA 95 z vyššie uvedenej tabuľky je pretransformovaný  pomocou modifikujúcich faktorov na hotovostné saldo. Takto získaný schodok štátneho rozpočtu na hotovostnom princípe spolu s prognózovanými hotovostnými príjmami štátneho rozpočtu vytvárajú priestor pre realizáciu výdavkov štátneho rozpočtu. </w:t>
      </w:r>
    </w:p>
    <w:p w:rsidR="00FC15CD" w:rsidP="00FC15CD">
      <w:pPr>
        <w:pStyle w:val="BodyText"/>
        <w:tabs>
          <w:tab w:val="left" w:pos="0"/>
        </w:tabs>
        <w:rPr>
          <w:rFonts w:ascii="Arial Narrow" w:hAnsi="Arial Narrow" w:cs="Arial Narrow"/>
          <w:sz w:val="22"/>
          <w:szCs w:val="24"/>
        </w:rPr>
      </w:pPr>
    </w:p>
    <w:p w:rsidR="00FC15CD" w:rsidP="00FC15CD">
      <w:pPr>
        <w:pStyle w:val="BodyText"/>
        <w:tabs>
          <w:tab w:val="left" w:pos="0"/>
        </w:tabs>
        <w:jc w:val="center"/>
        <w:rPr>
          <w:rFonts w:ascii="Arial Narrow" w:hAnsi="Arial Narrow" w:cs="Arial Narrow"/>
          <w:b/>
          <w:sz w:val="22"/>
          <w:szCs w:val="24"/>
        </w:rPr>
      </w:pPr>
      <w:r>
        <w:rPr>
          <w:rFonts w:ascii="Arial Narrow" w:hAnsi="Arial Narrow" w:cs="Arial Narrow"/>
          <w:b/>
          <w:sz w:val="22"/>
          <w:szCs w:val="24"/>
        </w:rPr>
        <w:t>Rámec štátneho rozpočtu</w:t>
      </w:r>
    </w:p>
    <w:p w:rsidR="00FC15CD" w:rsidP="00FC15CD">
      <w:pPr>
        <w:pStyle w:val="BodyText"/>
        <w:tabs>
          <w:tab w:val="left" w:pos="0"/>
        </w:tabs>
        <w:jc w:val="center"/>
        <w:rPr>
          <w:rFonts w:ascii="Arial Narrow" w:hAnsi="Arial Narrow" w:cs="Arial Narrow"/>
          <w:b/>
          <w:sz w:val="16"/>
          <w:szCs w:val="24"/>
        </w:rPr>
      </w:pPr>
    </w:p>
    <w:tbl>
      <w:tblPr>
        <w:tblStyle w:val="TableNormal"/>
        <w:tblW w:w="6820" w:type="dxa"/>
        <w:jc w:val="center"/>
        <w:tblInd w:w="0" w:type="dxa"/>
        <w:tblCellMar>
          <w:left w:w="70" w:type="dxa"/>
          <w:right w:w="70" w:type="dxa"/>
        </w:tblCellMar>
      </w:tblPr>
      <w:tblGrid>
        <w:gridCol w:w="3460"/>
        <w:gridCol w:w="1120"/>
        <w:gridCol w:w="1120"/>
        <w:gridCol w:w="1120"/>
      </w:tblGrid>
      <w:tr>
        <w:tblPrEx>
          <w:tblW w:w="6820" w:type="dxa"/>
          <w:jc w:val="center"/>
          <w:tblInd w:w="0" w:type="dxa"/>
          <w:tblCellMar>
            <w:left w:w="70" w:type="dxa"/>
            <w:right w:w="70" w:type="dxa"/>
          </w:tblCellMar>
        </w:tblPrEx>
        <w:trPr>
          <w:trHeight w:val="540"/>
          <w:jc w:val="center"/>
        </w:trPr>
        <w:tc>
          <w:tcPr>
            <w:tcW w:w="346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A70AF6" w:rsidRPr="00217D9B" w:rsidP="00DB00DA">
            <w:pPr>
              <w:rPr>
                <w:rFonts w:ascii="Arial Narrow" w:hAnsi="Arial Narrow" w:cs="Arial Narrow"/>
                <w:color w:val="FFFFFF"/>
                <w:sz w:val="16"/>
                <w:szCs w:val="24"/>
                <w:lang w:eastAsia="sk-SK"/>
              </w:rPr>
            </w:pPr>
            <w:r w:rsidRPr="00217D9B">
              <w:rPr>
                <w:rFonts w:ascii="Arial Narrow" w:hAnsi="Arial Narrow" w:cs="Arial Narrow"/>
                <w:color w:val="FFFFFF"/>
                <w:sz w:val="16"/>
                <w:szCs w:val="24"/>
                <w:lang w:eastAsia="sk-SK"/>
              </w:rPr>
              <w:t xml:space="preserve">  (</w:t>
            </w:r>
            <w:r w:rsidRPr="0069777F">
              <w:rPr>
                <w:rFonts w:ascii="Arial Narrow" w:hAnsi="Arial Narrow" w:cs="Arial Narrow"/>
                <w:b/>
                <w:color w:val="FFFFFF"/>
                <w:sz w:val="16"/>
                <w:szCs w:val="24"/>
                <w:lang w:eastAsia="sk-SK"/>
              </w:rPr>
              <w:t>v mil.</w:t>
            </w:r>
            <w:r>
              <w:rPr>
                <w:rFonts w:ascii="Arial Narrow" w:hAnsi="Arial Narrow" w:cs="Arial Narrow"/>
                <w:b/>
                <w:color w:val="FFFFFF"/>
                <w:sz w:val="16"/>
                <w:szCs w:val="24"/>
                <w:lang w:eastAsia="sk-SK"/>
              </w:rPr>
              <w:t xml:space="preserve"> eur</w:t>
            </w:r>
            <w:r w:rsidRPr="0069777F">
              <w:rPr>
                <w:rFonts w:ascii="Arial Narrow" w:hAnsi="Arial Narrow" w:cs="Arial Narrow"/>
                <w:b/>
                <w:color w:val="FFFFFF"/>
                <w:sz w:val="16"/>
                <w:szCs w:val="24"/>
                <w:lang w:eastAsia="sk-SK"/>
              </w:rPr>
              <w:t>)</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487FC4" w:rsidP="00DB00DA">
            <w:pPr>
              <w:jc w:val="center"/>
              <w:rPr>
                <w:rFonts w:ascii="Arial Narrow" w:hAnsi="Arial Narrow" w:cs="Arial Narrow"/>
                <w:b/>
                <w:color w:val="FFFFFF"/>
                <w:sz w:val="20"/>
                <w:szCs w:val="24"/>
                <w:lang w:eastAsia="sk-SK"/>
              </w:rPr>
            </w:pPr>
            <w:r w:rsidRPr="00487FC4">
              <w:rPr>
                <w:rFonts w:ascii="Arial Narrow" w:hAnsi="Arial Narrow" w:cs="Arial Narrow"/>
                <w:b/>
                <w:color w:val="FFFFFF"/>
                <w:sz w:val="20"/>
                <w:szCs w:val="24"/>
                <w:lang w:eastAsia="sk-SK"/>
              </w:rPr>
              <w:t>2010</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487FC4" w:rsidP="00DB00DA">
            <w:pPr>
              <w:jc w:val="center"/>
              <w:rPr>
                <w:rFonts w:ascii="Arial Narrow" w:hAnsi="Arial Narrow" w:cs="Arial Narrow"/>
                <w:b/>
                <w:color w:val="FFFFFF"/>
                <w:sz w:val="20"/>
                <w:szCs w:val="24"/>
                <w:lang w:eastAsia="sk-SK"/>
              </w:rPr>
            </w:pPr>
            <w:r w:rsidRPr="00487FC4">
              <w:rPr>
                <w:rFonts w:ascii="Arial Narrow" w:hAnsi="Arial Narrow" w:cs="Arial Narrow"/>
                <w:b/>
                <w:color w:val="FFFFFF"/>
                <w:sz w:val="20"/>
                <w:szCs w:val="24"/>
                <w:lang w:eastAsia="sk-SK"/>
              </w:rPr>
              <w:t>2011</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487FC4" w:rsidP="00DB00DA">
            <w:pPr>
              <w:jc w:val="center"/>
              <w:rPr>
                <w:rFonts w:ascii="Arial Narrow" w:hAnsi="Arial Narrow" w:cs="Arial Narrow"/>
                <w:b/>
                <w:color w:val="FFFFFF"/>
                <w:sz w:val="20"/>
                <w:szCs w:val="24"/>
                <w:lang w:eastAsia="sk-SK"/>
              </w:rPr>
            </w:pPr>
            <w:r w:rsidRPr="00487FC4">
              <w:rPr>
                <w:rFonts w:ascii="Arial Narrow" w:hAnsi="Arial Narrow" w:cs="Arial Narrow"/>
                <w:b/>
                <w:color w:val="FFFFFF"/>
                <w:sz w:val="20"/>
                <w:szCs w:val="24"/>
                <w:lang w:eastAsia="sk-SK"/>
              </w:rPr>
              <w:t>2012</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217D9B" w:rsidP="00DB00DA">
            <w:pPr>
              <w:rPr>
                <w:rFonts w:ascii="Arial Narrow" w:hAnsi="Arial Narrow" w:cs="Arial Narrow"/>
                <w:sz w:val="20"/>
                <w:szCs w:val="24"/>
                <w:lang w:eastAsia="sk-SK"/>
              </w:rPr>
            </w:pPr>
            <w:r w:rsidRPr="00217D9B">
              <w:rPr>
                <w:rFonts w:ascii="Arial Narrow" w:hAnsi="Arial Narrow" w:cs="Arial Narrow"/>
                <w:sz w:val="20"/>
                <w:szCs w:val="24"/>
                <w:lang w:eastAsia="sk-SK"/>
              </w:rPr>
              <w:t>Schodok štátneho rozpočtu v metodike ESA 95</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-3 873,1</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-3 255,6</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-2 526,5</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shd w:val="clear" w:color="auto" w:fill="C0C0C0"/>
            <w:textDirection w:val="lrTb"/>
            <w:vAlign w:val="center"/>
          </w:tcPr>
          <w:p w:rsidR="00A70AF6" w:rsidRPr="00217D9B" w:rsidP="00DB00DA">
            <w:pPr>
              <w:rPr>
                <w:rFonts w:ascii="Arial Narrow" w:hAnsi="Arial Narrow" w:cs="Arial Narrow"/>
                <w:sz w:val="20"/>
                <w:szCs w:val="24"/>
                <w:lang w:eastAsia="sk-SK"/>
              </w:rPr>
            </w:pPr>
            <w:r w:rsidRPr="00217D9B">
              <w:rPr>
                <w:rFonts w:ascii="Arial Narrow" w:hAnsi="Arial Narrow" w:cs="Arial Narrow"/>
                <w:sz w:val="20"/>
                <w:szCs w:val="24"/>
                <w:lang w:eastAsia="sk-SK"/>
              </w:rPr>
              <w:t xml:space="preserve">Modifikujúce faktory </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-127,1</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-122,2</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39,6</w:t>
            </w:r>
          </w:p>
        </w:tc>
      </w:tr>
      <w:tr>
        <w:tblPrEx>
          <w:tblW w:w="6820" w:type="dxa"/>
          <w:jc w:val="center"/>
          <w:tblInd w:w="0" w:type="dxa"/>
          <w:tblCellMar>
            <w:left w:w="70" w:type="dxa"/>
            <w:right w:w="70" w:type="dxa"/>
          </w:tblCellMar>
        </w:tblPrEx>
        <w:trPr>
          <w:trHeight w:val="54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217D9B" w:rsidP="00DB00DA">
            <w:pPr>
              <w:rPr>
                <w:rFonts w:ascii="Arial Narrow" w:hAnsi="Arial Narrow" w:cs="Arial Narrow"/>
                <w:sz w:val="20"/>
                <w:szCs w:val="24"/>
                <w:lang w:eastAsia="sk-SK"/>
              </w:rPr>
            </w:pPr>
            <w:r w:rsidRPr="00217D9B">
              <w:rPr>
                <w:rFonts w:ascii="Arial Narrow" w:hAnsi="Arial Narrow" w:cs="Arial Narrow"/>
                <w:sz w:val="20"/>
                <w:szCs w:val="24"/>
                <w:lang w:eastAsia="sk-SK"/>
              </w:rPr>
              <w:t>Schodok štátneho rozpočtu na hotovostnom princípe</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-3 746,0</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-3 133,4</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-2 566,1</w:t>
            </w:r>
          </w:p>
        </w:tc>
      </w:tr>
      <w:tr>
        <w:tblPrEx>
          <w:tblW w:w="6820" w:type="dxa"/>
          <w:jc w:val="center"/>
          <w:tblInd w:w="0" w:type="dxa"/>
          <w:tblCellMar>
            <w:left w:w="70" w:type="dxa"/>
            <w:right w:w="70" w:type="dxa"/>
          </w:tblCellMar>
        </w:tblPrEx>
        <w:trPr>
          <w:trHeight w:val="555"/>
          <w:jc w:val="center"/>
        </w:trPr>
        <w:tc>
          <w:tcPr>
            <w:tcW w:w="3460" w:type="dxa"/>
            <w:tcBorders>
              <w:top w:val="nil"/>
              <w:left w:val="single" w:sz="4" w:space="0" w:color="auto"/>
              <w:bottom w:val="single" w:sz="4" w:space="0" w:color="auto"/>
              <w:right w:val="single" w:sz="4" w:space="0" w:color="auto"/>
            </w:tcBorders>
            <w:shd w:val="clear" w:color="auto" w:fill="C0C0C0"/>
            <w:textDirection w:val="lrTb"/>
            <w:vAlign w:val="center"/>
          </w:tcPr>
          <w:p w:rsidR="00A70AF6" w:rsidRPr="00217D9B" w:rsidP="00DB00DA">
            <w:pPr>
              <w:rPr>
                <w:rFonts w:ascii="Arial Narrow" w:hAnsi="Arial Narrow" w:cs="Arial Narrow"/>
                <w:sz w:val="20"/>
                <w:szCs w:val="24"/>
                <w:lang w:eastAsia="sk-SK"/>
              </w:rPr>
            </w:pPr>
            <w:r w:rsidRPr="00217D9B">
              <w:rPr>
                <w:rFonts w:ascii="Arial Narrow" w:hAnsi="Arial Narrow" w:cs="Arial Narrow"/>
                <w:sz w:val="20"/>
                <w:szCs w:val="24"/>
                <w:lang w:eastAsia="sk-SK"/>
              </w:rPr>
              <w:t>Príjmy štátneho rozpočtu na hotovostnom princípe</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12 530,7</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13 020,7</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13 480,9</w:t>
            </w:r>
          </w:p>
        </w:tc>
      </w:tr>
      <w:tr>
        <w:tblPrEx>
          <w:tblW w:w="6820" w:type="dxa"/>
          <w:jc w:val="center"/>
          <w:tblInd w:w="0" w:type="dxa"/>
          <w:tblCellMar>
            <w:left w:w="70" w:type="dxa"/>
            <w:right w:w="70" w:type="dxa"/>
          </w:tblCellMar>
        </w:tblPrEx>
        <w:trPr>
          <w:trHeight w:val="54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217D9B" w:rsidP="00DB00DA">
            <w:pPr>
              <w:rPr>
                <w:rFonts w:ascii="Arial Narrow" w:hAnsi="Arial Narrow" w:cs="Arial Narrow"/>
                <w:sz w:val="20"/>
                <w:szCs w:val="24"/>
                <w:lang w:eastAsia="sk-SK"/>
              </w:rPr>
            </w:pPr>
            <w:r w:rsidRPr="00217D9B">
              <w:rPr>
                <w:rFonts w:ascii="Arial Narrow" w:hAnsi="Arial Narrow" w:cs="Arial Narrow"/>
                <w:sz w:val="20"/>
                <w:szCs w:val="24"/>
                <w:lang w:eastAsia="sk-SK"/>
              </w:rPr>
              <w:t>Výdavky štátneho rozpočtu na hotovostnom princípe</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16 276,7</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16 154,1</w:t>
            </w:r>
          </w:p>
        </w:tc>
        <w:tc>
          <w:tcPr>
            <w:tcW w:w="1120" w:type="dxa"/>
            <w:tcBorders>
              <w:top w:val="nil"/>
              <w:left w:val="nil"/>
              <w:bottom w:val="single" w:sz="4" w:space="0" w:color="auto"/>
              <w:right w:val="single" w:sz="4" w:space="0" w:color="auto"/>
            </w:tcBorders>
            <w:textDirection w:val="lrTb"/>
            <w:vAlign w:val="center"/>
          </w:tcPr>
          <w:p w:rsidR="00A70AF6" w:rsidRPr="00487FC4" w:rsidP="00DB00DA">
            <w:pPr>
              <w:jc w:val="right"/>
              <w:rPr>
                <w:rFonts w:ascii="Arial Narrow" w:hAnsi="Arial Narrow" w:cs="Arial Narrow"/>
                <w:sz w:val="20"/>
                <w:szCs w:val="24"/>
                <w:lang w:eastAsia="sk-SK"/>
              </w:rPr>
            </w:pPr>
            <w:r>
              <w:rPr>
                <w:rFonts w:ascii="Arial Narrow" w:hAnsi="Arial Narrow" w:cs="Arial Narrow"/>
                <w:sz w:val="20"/>
                <w:szCs w:val="24"/>
                <w:lang w:eastAsia="sk-SK"/>
              </w:rPr>
              <w:t>16 047,0</w:t>
            </w:r>
          </w:p>
        </w:tc>
      </w:tr>
    </w:tbl>
    <w:p w:rsidR="00FC15CD" w:rsidP="00FC15CD">
      <w:pPr>
        <w:jc w:val="both"/>
        <w:rPr>
          <w:rFonts w:ascii="Arial Narrow" w:hAnsi="Arial Narrow" w:cs="Arial Narrow"/>
          <w:sz w:val="22"/>
          <w:szCs w:val="24"/>
        </w:rPr>
      </w:pPr>
    </w:p>
    <w:p w:rsidR="00FC15CD" w:rsidRPr="00125926" w:rsidP="00FC15CD">
      <w:pPr>
        <w:jc w:val="both"/>
        <w:rPr>
          <w:rFonts w:ascii="Arial Narrow" w:hAnsi="Arial Narrow" w:cs="Arial Narrow"/>
          <w:sz w:val="22"/>
          <w:szCs w:val="24"/>
        </w:rPr>
      </w:pPr>
      <w:r>
        <w:rPr>
          <w:rFonts w:ascii="Arial Narrow" w:hAnsi="Arial Narrow" w:cs="Arial Narrow"/>
          <w:sz w:val="22"/>
          <w:szCs w:val="24"/>
        </w:rPr>
        <w:tab/>
      </w:r>
      <w:r w:rsidRPr="00017A0F">
        <w:rPr>
          <w:rFonts w:ascii="Arial Narrow" w:hAnsi="Arial Narrow" w:cs="Arial Narrow"/>
          <w:sz w:val="22"/>
          <w:szCs w:val="24"/>
        </w:rPr>
        <w:t xml:space="preserve">Celkovú negatívnu hodnotu modifikujúcich faktorov štátneho rozpočtu v roku 2010 </w:t>
      </w:r>
      <w:r w:rsidRPr="00125926">
        <w:rPr>
          <w:rFonts w:ascii="Arial Narrow" w:hAnsi="Arial Narrow" w:cs="Arial Narrow"/>
          <w:sz w:val="22"/>
          <w:szCs w:val="24"/>
        </w:rPr>
        <w:t>tvorí predovšetkým negatívny vplyv časové</w:t>
      </w:r>
      <w:r>
        <w:rPr>
          <w:rFonts w:ascii="Arial Narrow" w:hAnsi="Arial Narrow" w:cs="Arial Narrow"/>
          <w:sz w:val="22"/>
          <w:szCs w:val="24"/>
        </w:rPr>
        <w:t>ho</w:t>
      </w:r>
      <w:r w:rsidRPr="00125926">
        <w:rPr>
          <w:rFonts w:ascii="Arial Narrow" w:hAnsi="Arial Narrow" w:cs="Arial Narrow"/>
          <w:sz w:val="22"/>
          <w:szCs w:val="24"/>
        </w:rPr>
        <w:t xml:space="preserve"> rozlíšeni</w:t>
      </w:r>
      <w:r>
        <w:rPr>
          <w:rFonts w:ascii="Arial Narrow" w:hAnsi="Arial Narrow" w:cs="Arial Narrow"/>
          <w:sz w:val="22"/>
          <w:szCs w:val="24"/>
        </w:rPr>
        <w:t xml:space="preserve">a </w:t>
      </w:r>
      <w:r w:rsidRPr="00125926">
        <w:rPr>
          <w:rFonts w:ascii="Arial Narrow" w:hAnsi="Arial Narrow" w:cs="Arial Narrow"/>
          <w:sz w:val="22"/>
          <w:szCs w:val="24"/>
        </w:rPr>
        <w:t>platených úrokov štátneho dlhu, a to vo výške 1</w:t>
      </w:r>
      <w:r>
        <w:rPr>
          <w:rFonts w:ascii="Arial Narrow" w:hAnsi="Arial Narrow" w:cs="Arial Narrow"/>
          <w:sz w:val="22"/>
          <w:szCs w:val="24"/>
        </w:rPr>
        <w:t>42,7</w:t>
      </w:r>
      <w:r w:rsidRPr="00125926">
        <w:rPr>
          <w:rFonts w:ascii="Arial Narrow" w:hAnsi="Arial Narrow" w:cs="Arial Narrow"/>
          <w:sz w:val="22"/>
          <w:szCs w:val="24"/>
        </w:rPr>
        <w:t xml:space="preserve"> mil. eur. Podrobnú identifikáciu modifikujúcich faktorov štátneho rozpočtu obsahuje časť 6. Štátny rozpočet v metodike ESA 95.</w:t>
      </w:r>
    </w:p>
    <w:p w:rsidR="00FC15CD" w:rsidRPr="00125926" w:rsidP="00FC15CD">
      <w:pPr>
        <w:jc w:val="both"/>
        <w:rPr>
          <w:rFonts w:ascii="Arial Narrow" w:hAnsi="Arial Narrow" w:cs="Arial Narrow"/>
          <w:sz w:val="22"/>
          <w:szCs w:val="24"/>
        </w:rPr>
      </w:pPr>
    </w:p>
    <w:p w:rsidR="00FC15CD" w:rsidP="00FC15CD">
      <w:pPr>
        <w:pStyle w:val="BodyText2"/>
        <w:spacing w:after="0" w:line="240" w:lineRule="auto"/>
        <w:ind w:firstLine="720"/>
        <w:jc w:val="both"/>
        <w:rPr>
          <w:rFonts w:ascii="Arial Narrow" w:hAnsi="Arial Narrow" w:cs="Arial Narrow"/>
          <w:sz w:val="22"/>
          <w:szCs w:val="24"/>
        </w:rPr>
      </w:pPr>
      <w:r>
        <w:rPr>
          <w:rFonts w:ascii="Arial Narrow" w:hAnsi="Arial Narrow" w:cs="Arial Narrow"/>
          <w:sz w:val="22"/>
          <w:szCs w:val="24"/>
        </w:rPr>
        <w:t xml:space="preserve">Na základe stanovených parametrov fiškálneho rámca, hospodárenia ostatných subjektov verejnej správy a stanovenia rámca štátneho rozpočtu je možné definovať nasledujúce základné parametre vývoja verejných financií. </w:t>
      </w:r>
    </w:p>
    <w:p w:rsidR="00ED680D" w:rsidP="00FC15CD">
      <w:pPr>
        <w:pStyle w:val="BodyText2"/>
        <w:spacing w:after="0" w:line="240" w:lineRule="auto"/>
        <w:ind w:firstLine="720"/>
        <w:jc w:val="both"/>
        <w:rPr>
          <w:rFonts w:ascii="Arial Narrow" w:hAnsi="Arial Narrow" w:cs="Arial Narrow"/>
          <w:sz w:val="22"/>
          <w:szCs w:val="24"/>
        </w:rPr>
      </w:pPr>
    </w:p>
    <w:p w:rsidR="00FC15CD" w:rsidP="00FC15CD">
      <w:pPr>
        <w:pStyle w:val="BodyText"/>
        <w:tabs>
          <w:tab w:val="left" w:pos="0"/>
        </w:tabs>
        <w:jc w:val="center"/>
        <w:rPr>
          <w:rFonts w:ascii="Arial Narrow" w:hAnsi="Arial Narrow" w:cs="Arial Narrow"/>
          <w:b/>
          <w:sz w:val="22"/>
          <w:szCs w:val="24"/>
        </w:rPr>
      </w:pPr>
      <w:r>
        <w:rPr>
          <w:rFonts w:ascii="Arial Narrow" w:hAnsi="Arial Narrow" w:cs="Arial Narrow"/>
          <w:b/>
          <w:sz w:val="22"/>
          <w:szCs w:val="24"/>
        </w:rPr>
        <w:t>Rámec rozpočtu verejnej správy</w:t>
      </w:r>
    </w:p>
    <w:p w:rsidR="00FC15CD" w:rsidP="00FC15CD">
      <w:pPr>
        <w:pStyle w:val="BodyText"/>
        <w:tabs>
          <w:tab w:val="left" w:pos="0"/>
        </w:tabs>
        <w:jc w:val="center"/>
        <w:rPr>
          <w:rFonts w:ascii="Arial Narrow" w:hAnsi="Arial Narrow" w:cs="Arial Narrow"/>
          <w:b/>
          <w:sz w:val="22"/>
          <w:szCs w:val="24"/>
        </w:rPr>
      </w:pPr>
    </w:p>
    <w:tbl>
      <w:tblPr>
        <w:tblStyle w:val="TableNormal"/>
        <w:tblW w:w="6820" w:type="dxa"/>
        <w:jc w:val="center"/>
        <w:tblInd w:w="0" w:type="dxa"/>
        <w:tblCellMar>
          <w:left w:w="70" w:type="dxa"/>
          <w:right w:w="70" w:type="dxa"/>
        </w:tblCellMar>
      </w:tblPr>
      <w:tblGrid>
        <w:gridCol w:w="3460"/>
        <w:gridCol w:w="1120"/>
        <w:gridCol w:w="1120"/>
        <w:gridCol w:w="1120"/>
      </w:tblGrid>
      <w:tr>
        <w:tblPrEx>
          <w:tblW w:w="6820" w:type="dxa"/>
          <w:jc w:val="center"/>
          <w:tblInd w:w="0" w:type="dxa"/>
          <w:tblCellMar>
            <w:left w:w="70" w:type="dxa"/>
            <w:right w:w="70" w:type="dxa"/>
          </w:tblCellMar>
        </w:tblPrEx>
        <w:trPr>
          <w:trHeight w:val="540"/>
          <w:jc w:val="center"/>
        </w:trPr>
        <w:tc>
          <w:tcPr>
            <w:tcW w:w="346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70AF6" w:rsidRPr="00B70FAD" w:rsidP="00DB00DA">
            <w:pPr>
              <w:rPr>
                <w:rFonts w:ascii="Arial Narrow" w:hAnsi="Arial Narrow" w:cs="Arial Narrow"/>
                <w:color w:val="FFFFFF"/>
                <w:sz w:val="16"/>
                <w:szCs w:val="24"/>
                <w:lang w:eastAsia="sk-SK"/>
              </w:rPr>
            </w:pPr>
            <w:bookmarkStart w:id="31" w:name="_Toc148255243"/>
            <w:bookmarkStart w:id="32" w:name="_Toc174871968"/>
            <w:r w:rsidRPr="00B70FAD">
              <w:rPr>
                <w:rFonts w:ascii="Arial Narrow" w:hAnsi="Arial Narrow" w:cs="Arial Narrow"/>
                <w:color w:val="FFFFFF"/>
                <w:sz w:val="16"/>
                <w:szCs w:val="24"/>
                <w:lang w:eastAsia="sk-SK"/>
              </w:rPr>
              <w:t xml:space="preserve">(v mil. </w:t>
            </w:r>
            <w:r>
              <w:rPr>
                <w:rFonts w:ascii="Arial Narrow" w:hAnsi="Arial Narrow" w:cs="Arial Narrow"/>
                <w:color w:val="FFFFFF"/>
                <w:sz w:val="16"/>
                <w:szCs w:val="24"/>
                <w:lang w:eastAsia="sk-SK"/>
              </w:rPr>
              <w:t>eur</w:t>
            </w:r>
            <w:r w:rsidRPr="00B70FAD">
              <w:rPr>
                <w:rFonts w:ascii="Arial Narrow" w:hAnsi="Arial Narrow" w:cs="Arial Narrow"/>
                <w:color w:val="FFFFFF"/>
                <w:sz w:val="16"/>
                <w:szCs w:val="24"/>
                <w:lang w:eastAsia="sk-SK"/>
              </w:rPr>
              <w:t>; v metodike ESA 95 na konsolidovanej báze)</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A15281" w:rsidP="00DB00DA">
            <w:pPr>
              <w:jc w:val="center"/>
              <w:rPr>
                <w:rFonts w:ascii="Arial Narrow" w:hAnsi="Arial Narrow" w:cs="Arial Narrow"/>
                <w:b/>
                <w:color w:val="FFFFFF"/>
                <w:sz w:val="20"/>
                <w:szCs w:val="24"/>
                <w:lang w:eastAsia="sk-SK"/>
              </w:rPr>
            </w:pPr>
            <w:r w:rsidRPr="00A15281">
              <w:rPr>
                <w:rFonts w:ascii="Arial Narrow" w:hAnsi="Arial Narrow" w:cs="Arial Narrow"/>
                <w:b/>
                <w:color w:val="FFFFFF"/>
                <w:sz w:val="20"/>
                <w:szCs w:val="24"/>
                <w:lang w:eastAsia="sk-SK"/>
              </w:rPr>
              <w:t>2010</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A15281" w:rsidP="00DB00DA">
            <w:pPr>
              <w:jc w:val="center"/>
              <w:rPr>
                <w:rFonts w:ascii="Arial Narrow" w:hAnsi="Arial Narrow" w:cs="Arial Narrow"/>
                <w:b/>
                <w:color w:val="FFFFFF"/>
                <w:sz w:val="20"/>
                <w:szCs w:val="24"/>
                <w:lang w:eastAsia="sk-SK"/>
              </w:rPr>
            </w:pPr>
            <w:r w:rsidRPr="00A15281">
              <w:rPr>
                <w:rFonts w:ascii="Arial Narrow" w:hAnsi="Arial Narrow" w:cs="Arial Narrow"/>
                <w:b/>
                <w:color w:val="FFFFFF"/>
                <w:sz w:val="20"/>
                <w:szCs w:val="24"/>
                <w:lang w:eastAsia="sk-SK"/>
              </w:rPr>
              <w:t>2011</w:t>
            </w:r>
          </w:p>
        </w:tc>
        <w:tc>
          <w:tcPr>
            <w:tcW w:w="1120" w:type="dxa"/>
            <w:tcBorders>
              <w:top w:val="single" w:sz="4" w:space="0" w:color="auto"/>
              <w:left w:val="nil"/>
              <w:bottom w:val="single" w:sz="4" w:space="0" w:color="auto"/>
              <w:right w:val="single" w:sz="4" w:space="0" w:color="auto"/>
            </w:tcBorders>
            <w:shd w:val="clear" w:color="auto" w:fill="000000"/>
            <w:textDirection w:val="lrTb"/>
            <w:vAlign w:val="center"/>
          </w:tcPr>
          <w:p w:rsidR="00A70AF6" w:rsidRPr="00A15281" w:rsidP="00DB00DA">
            <w:pPr>
              <w:jc w:val="center"/>
              <w:rPr>
                <w:rFonts w:ascii="Arial Narrow" w:hAnsi="Arial Narrow" w:cs="Arial Narrow"/>
                <w:b/>
                <w:color w:val="FFFFFF"/>
                <w:sz w:val="20"/>
                <w:szCs w:val="24"/>
                <w:lang w:eastAsia="sk-SK"/>
              </w:rPr>
            </w:pPr>
            <w:r w:rsidRPr="00A15281">
              <w:rPr>
                <w:rFonts w:ascii="Arial Narrow" w:hAnsi="Arial Narrow" w:cs="Arial Narrow"/>
                <w:b/>
                <w:color w:val="FFFFFF"/>
                <w:sz w:val="20"/>
                <w:szCs w:val="24"/>
                <w:lang w:eastAsia="sk-SK"/>
              </w:rPr>
              <w:t>2012</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B70FAD" w:rsidP="00DB00DA">
            <w:pPr>
              <w:rPr>
                <w:rFonts w:ascii="Arial Narrow" w:hAnsi="Arial Narrow" w:cs="Arial Narrow"/>
                <w:sz w:val="20"/>
                <w:szCs w:val="24"/>
                <w:lang w:eastAsia="sk-SK"/>
              </w:rPr>
            </w:pPr>
            <w:r w:rsidRPr="00B70FAD">
              <w:rPr>
                <w:rFonts w:ascii="Arial Narrow" w:hAnsi="Arial Narrow" w:cs="Arial Narrow"/>
                <w:sz w:val="20"/>
                <w:szCs w:val="24"/>
                <w:lang w:eastAsia="sk-SK"/>
              </w:rPr>
              <w:t xml:space="preserve">Príjmy verejnej správy </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sidRPr="00E17961">
              <w:rPr>
                <w:rFonts w:ascii="Arial Narrow" w:hAnsi="Arial Narrow" w:cs="Arial Narrow"/>
                <w:sz w:val="20"/>
                <w:szCs w:val="24"/>
                <w:lang w:eastAsia="sk-SK"/>
              </w:rPr>
              <w:t>23 973,1</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25 393,6</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26 942,9</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shd w:val="clear" w:color="auto" w:fill="C0C0C0"/>
            <w:textDirection w:val="lrTb"/>
            <w:vAlign w:val="center"/>
          </w:tcPr>
          <w:p w:rsidR="00A70AF6" w:rsidRPr="00B70FAD" w:rsidP="00DB00DA">
            <w:pPr>
              <w:rPr>
                <w:rFonts w:ascii="Arial Narrow" w:hAnsi="Arial Narrow" w:cs="Arial Narrow"/>
                <w:b/>
                <w:sz w:val="20"/>
                <w:szCs w:val="24"/>
                <w:lang w:eastAsia="sk-SK"/>
              </w:rPr>
            </w:pPr>
            <w:r w:rsidRPr="00B70FAD">
              <w:rPr>
                <w:rFonts w:ascii="Arial Narrow" w:hAnsi="Arial Narrow" w:cs="Arial Narrow"/>
                <w:b/>
                <w:sz w:val="20"/>
                <w:szCs w:val="24"/>
                <w:lang w:eastAsia="sk-SK"/>
              </w:rPr>
              <w:t>Príjmy verejnej správy (v % na HDP)</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sidRPr="00E17961">
              <w:rPr>
                <w:rFonts w:ascii="Arial Narrow" w:hAnsi="Arial Narrow" w:cs="Arial Narrow"/>
                <w:b/>
                <w:sz w:val="20"/>
                <w:szCs w:val="24"/>
                <w:lang w:eastAsia="sk-SK"/>
              </w:rPr>
              <w:t>35,6</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35,1</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34,2</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B70FAD" w:rsidP="00DB00DA">
            <w:pPr>
              <w:rPr>
                <w:rFonts w:ascii="Arial Narrow" w:hAnsi="Arial Narrow" w:cs="Arial Narrow"/>
                <w:sz w:val="20"/>
                <w:szCs w:val="24"/>
                <w:lang w:eastAsia="sk-SK"/>
              </w:rPr>
            </w:pPr>
            <w:r w:rsidRPr="00B70FAD">
              <w:rPr>
                <w:rFonts w:ascii="Arial Narrow" w:hAnsi="Arial Narrow" w:cs="Arial Narrow"/>
                <w:sz w:val="20"/>
                <w:szCs w:val="24"/>
                <w:lang w:eastAsia="sk-SK"/>
              </w:rPr>
              <w:t>Výdavky verejnej správy</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27 678,9</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28 435,1</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29 309,6</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shd w:val="clear" w:color="auto" w:fill="C0C0C0"/>
            <w:textDirection w:val="lrTb"/>
            <w:vAlign w:val="center"/>
          </w:tcPr>
          <w:p w:rsidR="00A70AF6" w:rsidRPr="00B70FAD" w:rsidP="00DB00DA">
            <w:pPr>
              <w:rPr>
                <w:rFonts w:ascii="Arial Narrow" w:hAnsi="Arial Narrow" w:cs="Arial Narrow"/>
                <w:b/>
                <w:sz w:val="20"/>
                <w:szCs w:val="24"/>
                <w:lang w:eastAsia="sk-SK"/>
              </w:rPr>
            </w:pPr>
            <w:r w:rsidRPr="00B70FAD">
              <w:rPr>
                <w:rFonts w:ascii="Arial Narrow" w:hAnsi="Arial Narrow" w:cs="Arial Narrow"/>
                <w:b/>
                <w:sz w:val="20"/>
                <w:szCs w:val="24"/>
                <w:lang w:eastAsia="sk-SK"/>
              </w:rPr>
              <w:t>Výdavky verejnej správy (v % na HDP)</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41,1</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39,3</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37,2</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textDirection w:val="lrTb"/>
            <w:vAlign w:val="center"/>
          </w:tcPr>
          <w:p w:rsidR="00A70AF6" w:rsidRPr="00B70FAD" w:rsidP="00DB00DA">
            <w:pPr>
              <w:rPr>
                <w:rFonts w:ascii="Arial Narrow" w:hAnsi="Arial Narrow" w:cs="Arial Narrow"/>
                <w:sz w:val="20"/>
                <w:szCs w:val="24"/>
                <w:lang w:eastAsia="sk-SK"/>
              </w:rPr>
            </w:pPr>
            <w:r w:rsidRPr="00B70FAD">
              <w:rPr>
                <w:rFonts w:ascii="Arial Narrow" w:hAnsi="Arial Narrow" w:cs="Arial Narrow"/>
                <w:sz w:val="20"/>
                <w:szCs w:val="24"/>
                <w:lang w:eastAsia="sk-SK"/>
              </w:rPr>
              <w:t xml:space="preserve">Schodok/prebytok verejnej správy </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-3 705,8</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-3 041,5</w:t>
            </w:r>
          </w:p>
        </w:tc>
        <w:tc>
          <w:tcPr>
            <w:tcW w:w="1120" w:type="dxa"/>
            <w:tcBorders>
              <w:top w:val="nil"/>
              <w:left w:val="nil"/>
              <w:bottom w:val="single" w:sz="4" w:space="0" w:color="auto"/>
              <w:right w:val="single" w:sz="4" w:space="0" w:color="auto"/>
            </w:tcBorders>
            <w:textDirection w:val="lrTb"/>
            <w:vAlign w:val="center"/>
          </w:tcPr>
          <w:p w:rsidR="00A70AF6" w:rsidRPr="00E17961" w:rsidP="00DB00DA">
            <w:pPr>
              <w:jc w:val="right"/>
              <w:rPr>
                <w:rFonts w:ascii="Arial Narrow" w:hAnsi="Arial Narrow" w:cs="Arial Narrow"/>
                <w:sz w:val="20"/>
                <w:szCs w:val="24"/>
                <w:lang w:eastAsia="sk-SK"/>
              </w:rPr>
            </w:pPr>
            <w:r>
              <w:rPr>
                <w:rFonts w:ascii="Arial Narrow" w:hAnsi="Arial Narrow" w:cs="Arial Narrow"/>
                <w:sz w:val="20"/>
                <w:szCs w:val="24"/>
                <w:lang w:eastAsia="sk-SK"/>
              </w:rPr>
              <w:t>-2 366,7</w:t>
            </w:r>
          </w:p>
        </w:tc>
      </w:tr>
      <w:tr>
        <w:tblPrEx>
          <w:tblW w:w="6820" w:type="dxa"/>
          <w:jc w:val="center"/>
          <w:tblInd w:w="0" w:type="dxa"/>
          <w:tblCellMar>
            <w:left w:w="70" w:type="dxa"/>
            <w:right w:w="70" w:type="dxa"/>
          </w:tblCellMar>
        </w:tblPrEx>
        <w:trPr>
          <w:trHeight w:val="360"/>
          <w:jc w:val="center"/>
        </w:trPr>
        <w:tc>
          <w:tcPr>
            <w:tcW w:w="3460" w:type="dxa"/>
            <w:tcBorders>
              <w:top w:val="nil"/>
              <w:left w:val="single" w:sz="4" w:space="0" w:color="auto"/>
              <w:bottom w:val="single" w:sz="4" w:space="0" w:color="auto"/>
              <w:right w:val="single" w:sz="4" w:space="0" w:color="auto"/>
            </w:tcBorders>
            <w:shd w:val="clear" w:color="auto" w:fill="C0C0C0"/>
            <w:textDirection w:val="lrTb"/>
            <w:vAlign w:val="center"/>
          </w:tcPr>
          <w:p w:rsidR="00A70AF6" w:rsidRPr="00B70FAD" w:rsidP="00DB00DA">
            <w:pPr>
              <w:rPr>
                <w:rFonts w:ascii="Arial Narrow" w:hAnsi="Arial Narrow" w:cs="Arial Narrow"/>
                <w:b/>
                <w:sz w:val="20"/>
                <w:szCs w:val="24"/>
                <w:lang w:eastAsia="sk-SK"/>
              </w:rPr>
            </w:pPr>
            <w:r w:rsidRPr="00B70FAD">
              <w:rPr>
                <w:rFonts w:ascii="Arial Narrow" w:hAnsi="Arial Narrow" w:cs="Arial Narrow"/>
                <w:b/>
                <w:sz w:val="20"/>
                <w:szCs w:val="24"/>
                <w:lang w:eastAsia="sk-SK"/>
              </w:rPr>
              <w:t>Schodok verejnej správy (v % na HDP)</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-5,50</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-4,20</w:t>
            </w:r>
          </w:p>
        </w:tc>
        <w:tc>
          <w:tcPr>
            <w:tcW w:w="1120" w:type="dxa"/>
            <w:tcBorders>
              <w:top w:val="nil"/>
              <w:left w:val="nil"/>
              <w:bottom w:val="single" w:sz="4" w:space="0" w:color="auto"/>
              <w:right w:val="single" w:sz="4" w:space="0" w:color="auto"/>
            </w:tcBorders>
            <w:shd w:val="clear" w:color="auto" w:fill="C0C0C0"/>
            <w:textDirection w:val="lrTb"/>
            <w:vAlign w:val="center"/>
          </w:tcPr>
          <w:p w:rsidR="00A70AF6" w:rsidRPr="00E17961" w:rsidP="00DB00DA">
            <w:pPr>
              <w:jc w:val="right"/>
              <w:rPr>
                <w:rFonts w:ascii="Arial Narrow" w:hAnsi="Arial Narrow" w:cs="Arial Narrow"/>
                <w:b/>
                <w:sz w:val="20"/>
                <w:szCs w:val="24"/>
                <w:lang w:eastAsia="sk-SK"/>
              </w:rPr>
            </w:pPr>
            <w:r>
              <w:rPr>
                <w:rFonts w:ascii="Arial Narrow" w:hAnsi="Arial Narrow" w:cs="Arial Narrow"/>
                <w:b/>
                <w:sz w:val="20"/>
                <w:szCs w:val="24"/>
                <w:lang w:eastAsia="sk-SK"/>
              </w:rPr>
              <w:t>-3,00</w:t>
            </w:r>
          </w:p>
        </w:tc>
      </w:tr>
    </w:tbl>
    <w:p w:rsidR="00FC15CD" w:rsidP="00FC15CD">
      <w:pPr>
        <w:pStyle w:val="CharCharChar2CharCharCharCharCharChar"/>
        <w:spacing w:after="0" w:line="240" w:lineRule="auto"/>
        <w:jc w:val="both"/>
        <w:rPr>
          <w:rFonts w:ascii="Arial Narrow" w:hAnsi="Arial Narrow" w:cs="Arial Narrow"/>
          <w:sz w:val="24"/>
          <w:szCs w:val="24"/>
          <w:lang w:val="sk-SK"/>
        </w:rPr>
      </w:pPr>
      <w:bookmarkEnd w:id="31"/>
      <w:bookmarkEnd w:id="32"/>
    </w:p>
    <w:p w:rsidR="00FC15CD" w:rsidRPr="00BC1617" w:rsidP="00FC15CD">
      <w:pPr>
        <w:pStyle w:val="Heading2"/>
        <w:rPr>
          <w:rFonts w:ascii="Arial Narrow" w:hAnsi="Arial Narrow" w:cs="Arial Narrow"/>
          <w:i w:val="0"/>
          <w:sz w:val="24"/>
          <w:szCs w:val="24"/>
        </w:rPr>
      </w:pPr>
      <w:bookmarkStart w:id="33" w:name="_Toc241846640"/>
      <w:r w:rsidRPr="00BC1617">
        <w:rPr>
          <w:rFonts w:ascii="Arial Narrow" w:hAnsi="Arial Narrow" w:cs="Arial Narrow"/>
          <w:i w:val="0"/>
          <w:sz w:val="24"/>
          <w:szCs w:val="24"/>
        </w:rPr>
        <w:t>2.3. Dlh verejnej správy</w:t>
      </w:r>
      <w:bookmarkEnd w:id="33"/>
      <w:r w:rsidRPr="00BC1617">
        <w:rPr>
          <w:rFonts w:ascii="Arial Narrow" w:hAnsi="Arial Narrow" w:cs="Arial Narrow"/>
          <w:i w:val="0"/>
          <w:sz w:val="24"/>
          <w:szCs w:val="24"/>
        </w:rPr>
        <w:t xml:space="preserve">       </w:t>
      </w:r>
    </w:p>
    <w:p w:rsidR="00FC15CD" w:rsidRPr="00BC1617" w:rsidP="00A70AF6">
      <w:pPr>
        <w:spacing w:before="240"/>
        <w:ind w:firstLine="709"/>
        <w:jc w:val="both"/>
        <w:rPr>
          <w:rFonts w:ascii="Arial Narrow" w:hAnsi="Arial Narrow" w:cs="Arial Narrow"/>
          <w:sz w:val="22"/>
          <w:szCs w:val="24"/>
        </w:rPr>
      </w:pPr>
      <w:r w:rsidRPr="00BC1617">
        <w:rPr>
          <w:rFonts w:ascii="Arial Narrow" w:hAnsi="Arial Narrow" w:cs="Arial Narrow"/>
          <w:sz w:val="22"/>
          <w:szCs w:val="24"/>
        </w:rPr>
        <w:t>Podľa odhadov MF SR sa hrubý dlh verejnej správy</w:t>
      </w:r>
      <w:r>
        <w:rPr>
          <w:rStyle w:val="FootnoteReference"/>
          <w:rFonts w:ascii="Arial Narrow" w:hAnsi="Arial Narrow" w:cs="Arial Narrow"/>
          <w:sz w:val="22"/>
          <w:szCs w:val="24"/>
        </w:rPr>
        <w:footnoteReference w:id="3"/>
      </w:r>
      <w:r w:rsidRPr="00BC1617">
        <w:rPr>
          <w:rFonts w:ascii="Arial Narrow" w:hAnsi="Arial Narrow" w:cs="Arial Narrow"/>
          <w:sz w:val="22"/>
          <w:szCs w:val="24"/>
        </w:rPr>
        <w:t xml:space="preserve"> </w:t>
      </w:r>
      <w:r w:rsidR="00A70AF6">
        <w:rPr>
          <w:rFonts w:ascii="Arial Narrow" w:hAnsi="Arial Narrow" w:cs="Arial Narrow"/>
          <w:sz w:val="22"/>
          <w:szCs w:val="24"/>
        </w:rPr>
        <w:t>bude v rokoch 2010 až 2012 pohybovať na úrovni od 40,8 % HDP do 42,5 % HDP.</w:t>
      </w:r>
      <w:r w:rsidRPr="00BC1617">
        <w:rPr>
          <w:rFonts w:ascii="Arial Narrow" w:hAnsi="Arial Narrow" w:cs="Arial Narrow"/>
          <w:sz w:val="22"/>
          <w:szCs w:val="24"/>
        </w:rPr>
        <w:t xml:space="preserve"> Verejný dlh je z 96 % tvorený štátnym dlhom a tento pomer sa výrazne nezmení ani v prognózovanom období. Zvyšok tvorí dlh ostatných subjektov verejnej správy.</w:t>
      </w:r>
    </w:p>
    <w:p w:rsidR="00FC15CD" w:rsidRPr="00BC1617" w:rsidP="00FC15CD">
      <w:pPr>
        <w:jc w:val="both"/>
        <w:rPr>
          <w:rFonts w:ascii="Arial Narrow" w:hAnsi="Arial Narrow" w:cs="Arial Narrow"/>
          <w:sz w:val="22"/>
          <w:szCs w:val="24"/>
          <w:highlight w:val="yellow"/>
        </w:rPr>
      </w:pPr>
    </w:p>
    <w:tbl>
      <w:tblPr>
        <w:tblStyle w:val="TableNormal"/>
        <w:tblW w:w="75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077"/>
        <w:gridCol w:w="1418"/>
        <w:gridCol w:w="1418"/>
        <w:gridCol w:w="1418"/>
      </w:tblGrid>
      <w:tr>
        <w:tblPrEx>
          <w:tblW w:w="75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60"/>
          <w:jc w:val="center"/>
        </w:trPr>
        <w:tc>
          <w:tcPr>
            <w:tcW w:w="1418" w:type="dxa"/>
            <w:gridSpan w:val="4"/>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FC15CD" w:rsidRPr="00BC1617" w:rsidP="00DB00DA">
            <w:pPr>
              <w:rPr>
                <w:rFonts w:ascii="Arial Narrow" w:hAnsi="Arial Narrow" w:cs="Arial Narrow"/>
                <w:b/>
                <w:color w:val="FFFFFF"/>
                <w:sz w:val="20"/>
                <w:szCs w:val="24"/>
                <w:lang w:eastAsia="sk-SK"/>
              </w:rPr>
            </w:pPr>
            <w:r w:rsidRPr="00BC1617">
              <w:rPr>
                <w:rFonts w:ascii="Arial Narrow" w:hAnsi="Arial Narrow" w:cs="Arial Narrow"/>
                <w:b/>
                <w:color w:val="FFFFFF"/>
                <w:sz w:val="20"/>
                <w:szCs w:val="24"/>
                <w:lang w:eastAsia="sk-SK"/>
              </w:rPr>
              <w:t>Hrubý dlh verejnej správy (mil. eur)</w:t>
            </w:r>
          </w:p>
        </w:tc>
      </w:tr>
      <w:tr>
        <w:tblPrEx>
          <w:tblW w:w="7595" w:type="dxa"/>
          <w:jc w:val="center"/>
          <w:tblInd w:w="0" w:type="dxa"/>
          <w:tblCellMar>
            <w:left w:w="70" w:type="dxa"/>
            <w:right w:w="70" w:type="dxa"/>
          </w:tblCellMar>
        </w:tblPrEx>
        <w:trPr>
          <w:trHeight w:val="360"/>
          <w:jc w:val="center"/>
        </w:trPr>
        <w:tc>
          <w:tcPr>
            <w:tcW w:w="407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 </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2010F</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2011F</w:t>
            </w:r>
          </w:p>
        </w:tc>
        <w:tc>
          <w:tcPr>
            <w:tcW w:w="141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2012F</w:t>
            </w:r>
          </w:p>
        </w:tc>
      </w:tr>
      <w:tr>
        <w:tblPrEx>
          <w:tblW w:w="7595" w:type="dxa"/>
          <w:jc w:val="center"/>
          <w:tblInd w:w="0" w:type="dxa"/>
          <w:tblCellMar>
            <w:left w:w="70" w:type="dxa"/>
            <w:right w:w="70" w:type="dxa"/>
          </w:tblCellMar>
        </w:tblPrEx>
        <w:trPr>
          <w:trHeight w:val="360"/>
          <w:jc w:val="center"/>
        </w:trPr>
        <w:tc>
          <w:tcPr>
            <w:tcW w:w="4077" w:type="dxa"/>
            <w:tcBorders>
              <w:top w:val="single" w:sz="4" w:space="0" w:color="auto"/>
              <w:left w:val="single" w:sz="4" w:space="0" w:color="auto"/>
              <w:bottom w:val="single" w:sz="4" w:space="0" w:color="auto"/>
              <w:right w:val="single" w:sz="4" w:space="0" w:color="auto"/>
            </w:tcBorders>
            <w:noWrap/>
            <w:textDirection w:val="lrTb"/>
            <w:vAlign w:val="center"/>
          </w:tcPr>
          <w:p w:rsidR="00A70AF6" w:rsidRPr="00BC1617" w:rsidP="00DB00DA">
            <w:pPr>
              <w:rPr>
                <w:rFonts w:ascii="Arial Narrow" w:hAnsi="Arial Narrow" w:cs="Arial Narrow"/>
                <w:b/>
                <w:sz w:val="20"/>
                <w:szCs w:val="24"/>
                <w:lang w:eastAsia="sk-SK"/>
              </w:rPr>
            </w:pPr>
            <w:r w:rsidRPr="00BC1617">
              <w:rPr>
                <w:rFonts w:ascii="Arial Narrow" w:hAnsi="Arial Narrow" w:cs="Arial Narrow"/>
                <w:b/>
                <w:sz w:val="20"/>
                <w:szCs w:val="24"/>
                <w:lang w:eastAsia="sk-SK"/>
              </w:rPr>
              <w:t xml:space="preserve">Hrubý dlh verejnej správy </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27 490</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30 773</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33 311</w:t>
            </w:r>
          </w:p>
        </w:tc>
      </w:tr>
      <w:tr>
        <w:tblPrEx>
          <w:tblW w:w="7595" w:type="dxa"/>
          <w:jc w:val="center"/>
          <w:tblInd w:w="0" w:type="dxa"/>
          <w:tblCellMar>
            <w:left w:w="70" w:type="dxa"/>
            <w:right w:w="70" w:type="dxa"/>
          </w:tblCellMar>
        </w:tblPrEx>
        <w:trPr>
          <w:trHeight w:val="360"/>
          <w:jc w:val="center"/>
        </w:trPr>
        <w:tc>
          <w:tcPr>
            <w:tcW w:w="4077" w:type="dxa"/>
            <w:tcBorders>
              <w:top w:val="single" w:sz="4" w:space="0" w:color="auto"/>
              <w:left w:val="single" w:sz="4" w:space="0" w:color="auto"/>
              <w:bottom w:val="single" w:sz="4" w:space="0" w:color="auto"/>
              <w:right w:val="single" w:sz="4" w:space="0" w:color="auto"/>
            </w:tcBorders>
            <w:noWrap/>
            <w:textDirection w:val="lrTb"/>
            <w:vAlign w:val="center"/>
          </w:tcPr>
          <w:p w:rsidR="00A70AF6" w:rsidRPr="00BC1617" w:rsidP="00DB00DA">
            <w:pPr>
              <w:rPr>
                <w:rFonts w:ascii="Arial Narrow" w:hAnsi="Arial Narrow" w:cs="Arial Narrow"/>
                <w:sz w:val="20"/>
                <w:szCs w:val="24"/>
                <w:lang w:eastAsia="sk-SK"/>
              </w:rPr>
            </w:pPr>
            <w:r w:rsidRPr="00BC1617">
              <w:rPr>
                <w:rFonts w:ascii="Arial Narrow" w:hAnsi="Arial Narrow" w:cs="Arial Narrow"/>
                <w:sz w:val="20"/>
                <w:szCs w:val="24"/>
                <w:lang w:eastAsia="sk-SK"/>
              </w:rPr>
              <w:t xml:space="preserve">  - štátny dlh</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26 386</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29 549</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32 005</w:t>
            </w:r>
          </w:p>
        </w:tc>
      </w:tr>
      <w:tr>
        <w:tblPrEx>
          <w:tblW w:w="7595" w:type="dxa"/>
          <w:jc w:val="center"/>
          <w:tblInd w:w="0" w:type="dxa"/>
          <w:tblCellMar>
            <w:left w:w="70" w:type="dxa"/>
            <w:right w:w="70" w:type="dxa"/>
          </w:tblCellMar>
        </w:tblPrEx>
        <w:trPr>
          <w:trHeight w:val="360"/>
          <w:jc w:val="center"/>
        </w:trPr>
        <w:tc>
          <w:tcPr>
            <w:tcW w:w="4077" w:type="dxa"/>
            <w:tcBorders>
              <w:top w:val="single" w:sz="4" w:space="0" w:color="auto"/>
              <w:left w:val="single" w:sz="4" w:space="0" w:color="auto"/>
              <w:bottom w:val="single" w:sz="4" w:space="0" w:color="auto"/>
              <w:right w:val="single" w:sz="4" w:space="0" w:color="auto"/>
            </w:tcBorders>
            <w:noWrap/>
            <w:textDirection w:val="lrTb"/>
            <w:vAlign w:val="center"/>
          </w:tcPr>
          <w:p w:rsidR="00A70AF6" w:rsidRPr="00BC1617" w:rsidP="00DB00DA">
            <w:pPr>
              <w:rPr>
                <w:rFonts w:ascii="Arial Narrow" w:hAnsi="Arial Narrow" w:cs="Arial Narrow"/>
                <w:sz w:val="20"/>
                <w:szCs w:val="24"/>
                <w:lang w:eastAsia="sk-SK"/>
              </w:rPr>
            </w:pPr>
            <w:r w:rsidRPr="00BC1617">
              <w:rPr>
                <w:rFonts w:ascii="Arial Narrow" w:hAnsi="Arial Narrow" w:cs="Arial Narrow"/>
                <w:sz w:val="20"/>
                <w:szCs w:val="24"/>
                <w:lang w:eastAsia="sk-SK"/>
              </w:rPr>
              <w:t xml:space="preserve">  - dlh ostatných zložiek verejnej správy</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1 104</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1 223</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1 306</w:t>
            </w:r>
          </w:p>
        </w:tc>
      </w:tr>
      <w:tr>
        <w:tblPrEx>
          <w:tblW w:w="7595" w:type="dxa"/>
          <w:jc w:val="center"/>
          <w:tblInd w:w="0" w:type="dxa"/>
          <w:tblCellMar>
            <w:left w:w="70" w:type="dxa"/>
            <w:right w:w="70" w:type="dxa"/>
          </w:tblCellMar>
        </w:tblPrEx>
        <w:trPr>
          <w:trHeight w:val="360"/>
          <w:jc w:val="center"/>
        </w:trPr>
        <w:tc>
          <w:tcPr>
            <w:tcW w:w="4077" w:type="dxa"/>
            <w:tcBorders>
              <w:top w:val="single" w:sz="4" w:space="0" w:color="auto"/>
              <w:left w:val="single" w:sz="4" w:space="0" w:color="auto"/>
              <w:bottom w:val="single" w:sz="4" w:space="0" w:color="auto"/>
              <w:right w:val="single" w:sz="4" w:space="0" w:color="auto"/>
            </w:tcBorders>
            <w:noWrap/>
            <w:textDirection w:val="lrTb"/>
            <w:vAlign w:val="center"/>
          </w:tcPr>
          <w:p w:rsidR="00A70AF6" w:rsidRPr="00BC1617" w:rsidP="00DB00DA">
            <w:pPr>
              <w:rPr>
                <w:rFonts w:ascii="Arial Narrow" w:hAnsi="Arial Narrow" w:cs="Arial Narrow"/>
                <w:b/>
                <w:sz w:val="20"/>
                <w:szCs w:val="24"/>
                <w:lang w:eastAsia="sk-SK"/>
              </w:rPr>
            </w:pPr>
            <w:r w:rsidRPr="00BC1617">
              <w:rPr>
                <w:rFonts w:ascii="Arial Narrow" w:hAnsi="Arial Narrow" w:cs="Arial Narrow"/>
                <w:b/>
                <w:sz w:val="20"/>
                <w:szCs w:val="24"/>
                <w:lang w:eastAsia="sk-SK"/>
              </w:rPr>
              <w:t>Hrubý dlh verejnej správy (% HDP)</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40,8</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42,5</w:t>
            </w:r>
          </w:p>
        </w:tc>
        <w:tc>
          <w:tcPr>
            <w:tcW w:w="1418" w:type="dxa"/>
            <w:tcBorders>
              <w:top w:val="single" w:sz="4" w:space="0" w:color="auto"/>
              <w:left w:val="single" w:sz="4" w:space="0" w:color="auto"/>
              <w:bottom w:val="single" w:sz="4" w:space="0" w:color="auto"/>
              <w:right w:val="single" w:sz="4" w:space="0" w:color="auto"/>
            </w:tcBorders>
            <w:noWrap/>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42,2</w:t>
            </w:r>
          </w:p>
        </w:tc>
      </w:tr>
    </w:tbl>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FC15CD" w:rsidP="00FC15CD">
      <w:pPr>
        <w:ind w:firstLine="708"/>
        <w:jc w:val="both"/>
        <w:rPr>
          <w:rFonts w:ascii="Arial Narrow" w:hAnsi="Arial Narrow" w:cs="Arial Narrow"/>
          <w:sz w:val="22"/>
          <w:szCs w:val="24"/>
        </w:rPr>
      </w:pPr>
      <w:r w:rsidRPr="00BC1617">
        <w:rPr>
          <w:rFonts w:ascii="Arial Narrow" w:hAnsi="Arial Narrow" w:cs="Arial Narrow"/>
          <w:sz w:val="22"/>
          <w:szCs w:val="24"/>
        </w:rPr>
        <w:t>Nárast dlhu verejnej správy súvisí najmä s vplyvom krízy na slovenskú ekonomiku</w:t>
      </w:r>
      <w:r>
        <w:rPr>
          <w:rFonts w:ascii="Arial Narrow" w:hAnsi="Arial Narrow" w:cs="Arial Narrow"/>
          <w:sz w:val="22"/>
          <w:szCs w:val="24"/>
        </w:rPr>
        <w:t>, v dôsledku čoho došlo k prehĺbeniu deficitu verejnej správy v roku 2009</w:t>
      </w:r>
      <w:r w:rsidRPr="00BC1617">
        <w:rPr>
          <w:rFonts w:ascii="Arial Narrow" w:hAnsi="Arial Narrow" w:cs="Arial Narrow"/>
          <w:sz w:val="22"/>
          <w:szCs w:val="24"/>
        </w:rPr>
        <w:t xml:space="preserve">. Fiškálna konsolidácia od roku 2010 a postupné zvyšovanie tempa rastu slovenskej ekonomiky prispejú k stabilizácii a zníženiu </w:t>
      </w:r>
      <w:r>
        <w:rPr>
          <w:rFonts w:ascii="Arial Narrow" w:hAnsi="Arial Narrow" w:cs="Arial Narrow"/>
          <w:sz w:val="22"/>
          <w:szCs w:val="24"/>
        </w:rPr>
        <w:t xml:space="preserve">podielu </w:t>
      </w:r>
      <w:r w:rsidRPr="00BC1617">
        <w:rPr>
          <w:rFonts w:ascii="Arial Narrow" w:hAnsi="Arial Narrow" w:cs="Arial Narrow"/>
          <w:sz w:val="22"/>
          <w:szCs w:val="24"/>
        </w:rPr>
        <w:t xml:space="preserve">dlhu verejnej správy </w:t>
      </w:r>
      <w:r>
        <w:rPr>
          <w:rFonts w:ascii="Arial Narrow" w:hAnsi="Arial Narrow" w:cs="Arial Narrow"/>
          <w:sz w:val="22"/>
          <w:szCs w:val="24"/>
        </w:rPr>
        <w:t xml:space="preserve">na HDP </w:t>
      </w:r>
      <w:r w:rsidRPr="00BC1617">
        <w:rPr>
          <w:rFonts w:ascii="Arial Narrow" w:hAnsi="Arial Narrow" w:cs="Arial Narrow"/>
          <w:sz w:val="22"/>
          <w:szCs w:val="24"/>
        </w:rPr>
        <w:t xml:space="preserve">v roku 2012. Odhad výšky hrubého dlhu verejnej správy na roky 2009 až 2012 ovplyvňuje hlavne predpokladaný vývoj vo verejných financiách. </w:t>
      </w:r>
    </w:p>
    <w:p w:rsidR="00D3488D"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p w:rsidR="00171F0A" w:rsidP="00FC15CD">
      <w:pPr>
        <w:ind w:firstLine="708"/>
        <w:jc w:val="both"/>
        <w:rPr>
          <w:rFonts w:ascii="Arial Narrow" w:hAnsi="Arial Narrow" w:cs="Arial Narrow"/>
          <w:sz w:val="22"/>
          <w:szCs w:val="24"/>
        </w:rPr>
      </w:pPr>
    </w:p>
    <w:tbl>
      <w:tblPr>
        <w:tblStyle w:val="TableNormal"/>
        <w:tblW w:w="82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116"/>
        <w:gridCol w:w="1385"/>
        <w:gridCol w:w="1385"/>
        <w:gridCol w:w="1385"/>
      </w:tblGrid>
      <w:tr>
        <w:tblPrEx>
          <w:tblW w:w="82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60"/>
          <w:jc w:val="center"/>
        </w:trPr>
        <w:tc>
          <w:tcPr>
            <w:tcW w:w="141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C15CD" w:rsidRPr="00BC1617" w:rsidP="00DB00DA">
            <w:pPr>
              <w:rPr>
                <w:rFonts w:ascii="Arial Narrow" w:hAnsi="Arial Narrow" w:cs="Arial Narrow"/>
                <w:b/>
                <w:color w:val="FFFFFF"/>
                <w:sz w:val="20"/>
                <w:szCs w:val="24"/>
                <w:lang w:eastAsia="sk-SK"/>
              </w:rPr>
            </w:pPr>
            <w:r w:rsidRPr="00BC1617">
              <w:rPr>
                <w:rFonts w:ascii="Arial Narrow" w:hAnsi="Arial Narrow" w:cs="Arial Narrow"/>
                <w:b/>
                <w:color w:val="FFFFFF"/>
                <w:sz w:val="20"/>
                <w:szCs w:val="24"/>
                <w:lang w:eastAsia="sk-SK"/>
              </w:rPr>
              <w:t>Vplyvy na zmenu hrubého dlhu verejnej správy (mil. eur)</w:t>
            </w:r>
          </w:p>
        </w:tc>
      </w:tr>
      <w:tr>
        <w:tblPrEx>
          <w:tblW w:w="8271" w:type="dxa"/>
          <w:jc w:val="center"/>
          <w:tblInd w:w="0" w:type="dxa"/>
          <w:tblCellMar>
            <w:left w:w="70" w:type="dxa"/>
            <w:right w:w="70" w:type="dxa"/>
          </w:tblCellMar>
        </w:tblPrEx>
        <w:trPr>
          <w:trHeight w:val="360"/>
          <w:jc w:val="center"/>
        </w:trPr>
        <w:tc>
          <w:tcPr>
            <w:tcW w:w="42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70AF6" w:rsidRPr="00BC1617" w:rsidP="00DB00DA">
            <w:pPr>
              <w:jc w:val="both"/>
              <w:rPr>
                <w:rFonts w:ascii="Arial Narrow" w:hAnsi="Arial Narrow" w:cs="Arial Narrow"/>
                <w:b/>
                <w:sz w:val="20"/>
                <w:szCs w:val="24"/>
                <w:lang w:eastAsia="sk-SK"/>
              </w:rPr>
            </w:pPr>
            <w:r w:rsidRPr="00BC1617">
              <w:rPr>
                <w:rFonts w:ascii="Arial Narrow" w:hAnsi="Arial Narrow" w:cs="Arial Narrow"/>
                <w:b/>
                <w:sz w:val="20"/>
                <w:szCs w:val="24"/>
                <w:lang w:eastAsia="sk-SK"/>
              </w:rPr>
              <w:t> </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2010F</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2011F</w:t>
            </w:r>
          </w:p>
        </w:tc>
        <w:tc>
          <w:tcPr>
            <w:tcW w:w="141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70AF6" w:rsidRPr="00BC1617" w:rsidP="00DB00DA">
            <w:pPr>
              <w:jc w:val="center"/>
              <w:rPr>
                <w:rFonts w:ascii="Arial Narrow" w:hAnsi="Arial Narrow" w:cs="Arial Narrow"/>
                <w:b/>
                <w:sz w:val="20"/>
                <w:szCs w:val="24"/>
                <w:lang w:eastAsia="sk-SK"/>
              </w:rPr>
            </w:pPr>
            <w:r w:rsidRPr="00BC1617">
              <w:rPr>
                <w:rFonts w:ascii="Arial Narrow" w:hAnsi="Arial Narrow" w:cs="Arial Narrow"/>
                <w:b/>
                <w:sz w:val="20"/>
                <w:szCs w:val="24"/>
                <w:lang w:eastAsia="sk-SK"/>
              </w:rPr>
              <w:t>2012F</w:t>
            </w:r>
          </w:p>
        </w:tc>
      </w:tr>
      <w:tr>
        <w:tblPrEx>
          <w:tblW w:w="8271" w:type="dxa"/>
          <w:jc w:val="center"/>
          <w:tblInd w:w="0" w:type="dxa"/>
          <w:tblCellMar>
            <w:left w:w="70" w:type="dxa"/>
            <w:right w:w="70" w:type="dxa"/>
          </w:tblCellMar>
        </w:tblPrEx>
        <w:trPr>
          <w:trHeight w:val="360"/>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rPr>
                <w:rFonts w:ascii="Arial Narrow" w:hAnsi="Arial Narrow" w:cs="Arial Narrow"/>
                <w:sz w:val="20"/>
                <w:szCs w:val="24"/>
                <w:lang w:eastAsia="sk-SK"/>
              </w:rPr>
            </w:pPr>
            <w:r w:rsidRPr="00BC1617">
              <w:rPr>
                <w:rFonts w:ascii="Arial Narrow" w:hAnsi="Arial Narrow" w:cs="Arial Narrow"/>
                <w:sz w:val="20"/>
                <w:szCs w:val="24"/>
                <w:lang w:eastAsia="sk-SK"/>
              </w:rPr>
              <w:t>Deficit ŠR na hotovostnom princípe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3 746</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3 133</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2 566</w:t>
            </w:r>
          </w:p>
        </w:tc>
      </w:tr>
      <w:tr>
        <w:tblPrEx>
          <w:tblW w:w="8271" w:type="dxa"/>
          <w:jc w:val="center"/>
          <w:tblInd w:w="0" w:type="dxa"/>
          <w:tblCellMar>
            <w:left w:w="70" w:type="dxa"/>
            <w:right w:w="70" w:type="dxa"/>
          </w:tblCellMar>
        </w:tblPrEx>
        <w:trPr>
          <w:trHeight w:val="360"/>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rPr>
                <w:rFonts w:ascii="Arial Narrow" w:hAnsi="Arial Narrow" w:cs="Arial Narrow"/>
                <w:sz w:val="20"/>
                <w:szCs w:val="24"/>
                <w:lang w:eastAsia="sk-SK"/>
              </w:rPr>
            </w:pPr>
            <w:r w:rsidRPr="00BC1617">
              <w:rPr>
                <w:rFonts w:ascii="Arial Narrow" w:hAnsi="Arial Narrow" w:cs="Arial Narrow"/>
                <w:sz w:val="20"/>
                <w:szCs w:val="24"/>
                <w:lang w:eastAsia="sk-SK"/>
              </w:rPr>
              <w:t>Úvery obcí, VÚC</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101</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120</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83</w:t>
            </w:r>
          </w:p>
        </w:tc>
      </w:tr>
      <w:tr>
        <w:tblPrEx>
          <w:tblW w:w="8271" w:type="dxa"/>
          <w:jc w:val="center"/>
          <w:tblInd w:w="0" w:type="dxa"/>
          <w:tblCellMar>
            <w:left w:w="70" w:type="dxa"/>
            <w:right w:w="70" w:type="dxa"/>
          </w:tblCellMar>
        </w:tblPrEx>
        <w:trPr>
          <w:trHeight w:val="329"/>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rPr>
                <w:rFonts w:ascii="Arial Narrow" w:hAnsi="Arial Narrow" w:cs="Arial Narrow"/>
                <w:sz w:val="20"/>
                <w:szCs w:val="24"/>
                <w:lang w:eastAsia="sk-SK"/>
              </w:rPr>
            </w:pPr>
            <w:r w:rsidRPr="00BC1617">
              <w:rPr>
                <w:rFonts w:ascii="Arial Narrow" w:hAnsi="Arial Narrow" w:cs="Arial Narrow"/>
                <w:sz w:val="20"/>
                <w:szCs w:val="24"/>
                <w:lang w:eastAsia="sk-SK"/>
              </w:rPr>
              <w:t>Zmena stavu výpožičiek zo Štátnej pokladnice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39</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-81</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-71</w:t>
            </w:r>
          </w:p>
        </w:tc>
      </w:tr>
      <w:tr>
        <w:tblPrEx>
          <w:tblW w:w="8271" w:type="dxa"/>
          <w:jc w:val="center"/>
          <w:tblInd w:w="0" w:type="dxa"/>
          <w:tblCellMar>
            <w:left w:w="70" w:type="dxa"/>
            <w:right w:w="70" w:type="dxa"/>
          </w:tblCellMar>
        </w:tblPrEx>
        <w:trPr>
          <w:trHeight w:val="324"/>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rPr>
                <w:rFonts w:ascii="Arial Narrow" w:hAnsi="Arial Narrow" w:cs="Arial Narrow"/>
                <w:sz w:val="20"/>
                <w:szCs w:val="24"/>
              </w:rPr>
            </w:pPr>
            <w:r w:rsidRPr="00BC1617">
              <w:rPr>
                <w:rFonts w:ascii="Arial Narrow" w:hAnsi="Arial Narrow" w:cs="Arial Narrow"/>
                <w:sz w:val="20"/>
                <w:szCs w:val="24"/>
              </w:rPr>
              <w:t>Emisný diskont/prémia</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154</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193</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221</w:t>
            </w:r>
          </w:p>
        </w:tc>
      </w:tr>
      <w:tr>
        <w:tblPrEx>
          <w:tblW w:w="8271" w:type="dxa"/>
          <w:jc w:val="center"/>
          <w:tblInd w:w="0" w:type="dxa"/>
          <w:tblCellMar>
            <w:left w:w="70" w:type="dxa"/>
            <w:right w:w="70" w:type="dxa"/>
          </w:tblCellMar>
        </w:tblPrEx>
        <w:trPr>
          <w:trHeight w:val="336"/>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rPr>
                <w:rFonts w:ascii="Arial Narrow" w:hAnsi="Arial Narrow" w:cs="Arial Narrow"/>
                <w:sz w:val="20"/>
                <w:szCs w:val="24"/>
              </w:rPr>
            </w:pPr>
            <w:r w:rsidRPr="00BC1617">
              <w:rPr>
                <w:rFonts w:ascii="Arial Narrow" w:hAnsi="Arial Narrow" w:cs="Arial Narrow"/>
                <w:sz w:val="20"/>
                <w:szCs w:val="24"/>
              </w:rPr>
              <w:t>Splatenie dlhopisov (diskont)</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-139</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-82</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sz w:val="20"/>
                <w:szCs w:val="24"/>
              </w:rPr>
            </w:pPr>
            <w:r>
              <w:rPr>
                <w:rFonts w:ascii="Arial Narrow" w:hAnsi="Arial Narrow" w:cs="Arial Narrow"/>
                <w:sz w:val="20"/>
                <w:szCs w:val="24"/>
              </w:rPr>
              <w:t>-261</w:t>
            </w:r>
          </w:p>
        </w:tc>
      </w:tr>
      <w:tr>
        <w:tblPrEx>
          <w:tblW w:w="8271" w:type="dxa"/>
          <w:jc w:val="center"/>
          <w:tblInd w:w="0" w:type="dxa"/>
          <w:tblCellMar>
            <w:left w:w="70" w:type="dxa"/>
            <w:right w:w="70" w:type="dxa"/>
          </w:tblCellMar>
        </w:tblPrEx>
        <w:trPr>
          <w:trHeight w:val="360"/>
          <w:jc w:val="center"/>
        </w:trPr>
        <w:tc>
          <w:tcPr>
            <w:tcW w:w="4238" w:type="dxa"/>
            <w:tcBorders>
              <w:top w:val="single" w:sz="4" w:space="0" w:color="auto"/>
              <w:left w:val="single" w:sz="4" w:space="0" w:color="auto"/>
              <w:bottom w:val="single" w:sz="4" w:space="0" w:color="auto"/>
              <w:right w:val="single" w:sz="4" w:space="0" w:color="auto"/>
            </w:tcBorders>
            <w:textDirection w:val="lrTb"/>
            <w:vAlign w:val="center"/>
          </w:tcPr>
          <w:p w:rsidR="00A70AF6" w:rsidRPr="00BC1617" w:rsidP="00DB00DA">
            <w:pPr>
              <w:jc w:val="both"/>
              <w:rPr>
                <w:rFonts w:ascii="Arial Narrow" w:hAnsi="Arial Narrow" w:cs="Arial Narrow"/>
                <w:b/>
                <w:sz w:val="20"/>
                <w:szCs w:val="24"/>
                <w:lang w:eastAsia="sk-SK"/>
              </w:rPr>
            </w:pPr>
            <w:r w:rsidRPr="00BC1617">
              <w:rPr>
                <w:rFonts w:ascii="Arial Narrow" w:hAnsi="Arial Narrow" w:cs="Arial Narrow"/>
                <w:b/>
                <w:sz w:val="20"/>
                <w:szCs w:val="24"/>
                <w:lang w:eastAsia="sk-SK"/>
              </w:rPr>
              <w:t>Spolu (medziročná zmena hrubého dlhu VS)</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3 902</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3 283</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A70AF6" w:rsidP="00DB00DA">
            <w:pPr>
              <w:jc w:val="right"/>
              <w:rPr>
                <w:rFonts w:ascii="Arial Narrow" w:hAnsi="Arial Narrow" w:cs="Arial Narrow"/>
                <w:b/>
                <w:sz w:val="20"/>
                <w:szCs w:val="24"/>
              </w:rPr>
            </w:pPr>
            <w:r>
              <w:rPr>
                <w:rFonts w:ascii="Arial Narrow" w:hAnsi="Arial Narrow" w:cs="Arial Narrow"/>
                <w:b/>
                <w:sz w:val="20"/>
                <w:szCs w:val="24"/>
              </w:rPr>
              <w:t>2 539</w:t>
            </w:r>
          </w:p>
        </w:tc>
      </w:tr>
    </w:tbl>
    <w:p w:rsidR="00FC15CD" w:rsidRPr="00BC1617" w:rsidP="00FC15CD">
      <w:pPr>
        <w:tabs>
          <w:tab w:val="left" w:pos="4773"/>
        </w:tabs>
        <w:rPr>
          <w:rFonts w:ascii="Arial Narrow" w:hAnsi="Arial Narrow" w:cs="Arial Narrow"/>
          <w:i/>
          <w:sz w:val="16"/>
          <w:szCs w:val="24"/>
        </w:rPr>
      </w:pPr>
      <w:r w:rsidRPr="00BC1617">
        <w:rPr>
          <w:rFonts w:ascii="Arial Narrow" w:hAnsi="Arial Narrow" w:cs="Arial Narrow"/>
          <w:i/>
          <w:sz w:val="16"/>
          <w:szCs w:val="24"/>
        </w:rPr>
        <w:t>Pozn.: Plusové položky zvyšujú verejný dlh  k 31.12. príslušného roku, mínusové položky znižujú dlh.</w:t>
      </w:r>
    </w:p>
    <w:p w:rsidR="00FC15CD" w:rsidRPr="00BC1617" w:rsidP="00FC15CD">
      <w:pPr>
        <w:tabs>
          <w:tab w:val="left" w:pos="4773"/>
        </w:tabs>
        <w:rPr>
          <w:rFonts w:ascii="Arial Narrow" w:hAnsi="Arial Narrow" w:cs="Arial Narrow"/>
          <w:sz w:val="16"/>
          <w:szCs w:val="24"/>
        </w:rPr>
      </w:pPr>
      <w:r w:rsidRPr="00BC1617">
        <w:rPr>
          <w:rFonts w:ascii="Arial Narrow" w:hAnsi="Arial Narrow" w:cs="Arial Narrow"/>
          <w:i/>
          <w:sz w:val="16"/>
          <w:szCs w:val="24"/>
        </w:rPr>
        <w:t xml:space="preserve">          * Údaje za rok 2009 sú aktualizované na základe S</w:t>
      </w:r>
      <w:r w:rsidRPr="00BC1617">
        <w:rPr>
          <w:rFonts w:ascii="Arial Narrow" w:hAnsi="Arial Narrow" w:cs="Arial Narrow"/>
          <w:sz w:val="16"/>
          <w:szCs w:val="24"/>
        </w:rPr>
        <w:t>právy o makroekonomickom prostredí a vývoji verejných financií SR za prvý polrok 2009</w:t>
      </w:r>
    </w:p>
    <w:p w:rsidR="00FC15CD" w:rsidRPr="00BC1617" w:rsidP="00FC15CD">
      <w:pPr>
        <w:tabs>
          <w:tab w:val="left" w:pos="4773"/>
        </w:tabs>
        <w:rPr>
          <w:rFonts w:ascii="Arial Narrow" w:hAnsi="Arial Narrow" w:cs="Arial Narrow"/>
          <w:sz w:val="16"/>
          <w:szCs w:val="24"/>
        </w:rPr>
      </w:pPr>
      <w:r w:rsidRPr="00BC1617">
        <w:rPr>
          <w:rFonts w:ascii="Arial Narrow" w:hAnsi="Arial Narrow" w:cs="Arial Narrow"/>
          <w:sz w:val="16"/>
          <w:szCs w:val="24"/>
        </w:rPr>
        <w:t xml:space="preserve">            a predikcii vývoja do konca roka</w:t>
      </w:r>
    </w:p>
    <w:p w:rsidR="00FC15CD" w:rsidRPr="00BC1617" w:rsidP="00FC15CD">
      <w:pPr>
        <w:ind w:firstLine="708"/>
        <w:jc w:val="both"/>
        <w:rPr>
          <w:rFonts w:ascii="Arial Narrow" w:hAnsi="Arial Narrow" w:cs="Arial Narrow"/>
          <w:sz w:val="22"/>
          <w:szCs w:val="24"/>
          <w:highlight w:val="yellow"/>
        </w:rPr>
      </w:pPr>
    </w:p>
    <w:p w:rsidR="00FC15CD" w:rsidRPr="00BC1617" w:rsidP="00FC15CD">
      <w:pPr>
        <w:ind w:firstLine="708"/>
        <w:jc w:val="both"/>
        <w:rPr>
          <w:rFonts w:ascii="Arial Narrow" w:hAnsi="Arial Narrow" w:cs="Arial Narrow"/>
          <w:sz w:val="22"/>
          <w:szCs w:val="24"/>
        </w:rPr>
      </w:pPr>
      <w:r w:rsidRPr="00BC1617">
        <w:rPr>
          <w:rFonts w:ascii="Arial Narrow" w:hAnsi="Arial Narrow" w:cs="Arial Narrow"/>
          <w:sz w:val="22"/>
          <w:szCs w:val="24"/>
        </w:rPr>
        <w:t xml:space="preserve">Vývoj dlhu verejnej správy bude ovplyvnený </w:t>
      </w:r>
      <w:r w:rsidRPr="00BC1617">
        <w:rPr>
          <w:rFonts w:ascii="Arial Narrow" w:hAnsi="Arial Narrow" w:cs="Arial Narrow"/>
          <w:b/>
          <w:sz w:val="22"/>
          <w:szCs w:val="24"/>
        </w:rPr>
        <w:t xml:space="preserve">schodkom štátneho rozpočtu, prijatými úvermi obcí a VÚC </w:t>
      </w:r>
      <w:r w:rsidRPr="00BC1617">
        <w:rPr>
          <w:rFonts w:ascii="Arial Narrow" w:hAnsi="Arial Narrow" w:cs="Arial Narrow"/>
          <w:sz w:val="22"/>
          <w:szCs w:val="24"/>
        </w:rPr>
        <w:t xml:space="preserve">a </w:t>
      </w:r>
      <w:r w:rsidRPr="00BC1617">
        <w:rPr>
          <w:rFonts w:ascii="Arial Narrow" w:hAnsi="Arial Narrow" w:cs="Arial Narrow"/>
          <w:b/>
          <w:sz w:val="22"/>
          <w:szCs w:val="24"/>
        </w:rPr>
        <w:t>výpožičkami zo Štátnej pokladnice</w:t>
      </w:r>
      <w:r w:rsidRPr="00BC1617">
        <w:rPr>
          <w:rFonts w:ascii="Arial Narrow" w:hAnsi="Arial Narrow" w:cs="Arial Narrow"/>
          <w:sz w:val="22"/>
          <w:szCs w:val="24"/>
        </w:rPr>
        <w:t>. Od roku 2010 sa predpokladá postupné znižovanie hotovostného schodku štátneho rozpočtu, čím dochádza aj k znižovaniu jeho negatívneho vplyvu na dlh. V prípade úverov sa očakáva, že výška prijatých úverov obcí a VÚC presiahne splátky istín, čo znamená, že táto položka bude prispievať k nárastu dlhu.</w:t>
      </w:r>
    </w:p>
    <w:p w:rsidR="00FC15CD" w:rsidRPr="00BC1617" w:rsidP="00FC15CD">
      <w:pPr>
        <w:ind w:firstLine="708"/>
        <w:jc w:val="both"/>
        <w:rPr>
          <w:rFonts w:ascii="Arial Narrow" w:hAnsi="Arial Narrow" w:cs="Arial Narrow"/>
          <w:sz w:val="22"/>
          <w:szCs w:val="24"/>
          <w:highlight w:val="yellow"/>
        </w:rPr>
      </w:pPr>
    </w:p>
    <w:p w:rsidR="00FC15CD" w:rsidRPr="00BC1617" w:rsidP="00FC15CD">
      <w:pPr>
        <w:ind w:firstLine="708"/>
        <w:jc w:val="both"/>
        <w:rPr>
          <w:rFonts w:ascii="Arial Narrow" w:hAnsi="Arial Narrow" w:cs="Arial Narrow"/>
          <w:sz w:val="22"/>
          <w:szCs w:val="24"/>
        </w:rPr>
      </w:pPr>
      <w:r w:rsidRPr="00BC1617">
        <w:rPr>
          <w:rFonts w:ascii="Arial Narrow" w:hAnsi="Arial Narrow" w:cs="Arial Narrow"/>
          <w:sz w:val="22"/>
          <w:szCs w:val="24"/>
        </w:rPr>
        <w:t xml:space="preserve">Prognóza výšky </w:t>
      </w:r>
      <w:r w:rsidR="00274F1D">
        <w:rPr>
          <w:rFonts w:ascii="Arial Narrow" w:hAnsi="Arial Narrow" w:cs="Arial Narrow"/>
          <w:sz w:val="22"/>
          <w:szCs w:val="24"/>
        </w:rPr>
        <w:t>dlhu verejnej správy na roky 2010</w:t>
      </w:r>
      <w:r w:rsidRPr="00BC1617">
        <w:rPr>
          <w:rFonts w:ascii="Arial Narrow" w:hAnsi="Arial Narrow" w:cs="Arial Narrow"/>
          <w:sz w:val="22"/>
          <w:szCs w:val="24"/>
        </w:rPr>
        <w:t xml:space="preserve"> až 2012 berie do úvahy aj predpokladanú </w:t>
      </w:r>
      <w:r w:rsidRPr="00BC1617">
        <w:rPr>
          <w:rFonts w:ascii="Arial Narrow" w:hAnsi="Arial Narrow" w:cs="Arial Narrow"/>
          <w:b/>
          <w:sz w:val="22"/>
          <w:szCs w:val="24"/>
        </w:rPr>
        <w:t>zmenu stavu výpožičiek zo Štátnej pokladnice používaných na krytie štátneho dlhu</w:t>
      </w:r>
      <w:r w:rsidRPr="00BC1617">
        <w:rPr>
          <w:rFonts w:ascii="Arial Narrow" w:hAnsi="Arial Narrow" w:cs="Arial Narrow"/>
          <w:sz w:val="22"/>
          <w:szCs w:val="24"/>
        </w:rPr>
        <w:t>. Tieto boli v roku 2009 ovplyvnené okrem plánovaného čerpania prostriedkov určených na financovanie transformačných nákladov dôchodkovej reformy aj poskytovaním návratných finančných výpomocí a zvyšovaním základného imania štátnych podnikov. Znížením stavu výpožičiek bude musieť ARDAL nahradiť tieto zdroje financovania štátneho dlhu emitovaním nových dlhopisov. V roku 2010 sa predpokladá vyčerpanie prostriedkov určených na dôchodkovú reformu (</w:t>
      </w:r>
      <w:r w:rsidR="00A4728B">
        <w:rPr>
          <w:rFonts w:ascii="Arial Narrow" w:hAnsi="Arial Narrow" w:cs="Arial Narrow"/>
          <w:sz w:val="22"/>
          <w:szCs w:val="24"/>
        </w:rPr>
        <w:t xml:space="preserve">v roku 2010 </w:t>
      </w:r>
      <w:r w:rsidR="005B0A55">
        <w:rPr>
          <w:rFonts w:ascii="Arial Narrow" w:hAnsi="Arial Narrow" w:cs="Arial Narrow"/>
          <w:sz w:val="22"/>
          <w:szCs w:val="24"/>
        </w:rPr>
        <w:t xml:space="preserve">je potrebné </w:t>
      </w:r>
      <w:r w:rsidR="00A4728B">
        <w:rPr>
          <w:rFonts w:ascii="Arial Narrow" w:hAnsi="Arial Narrow" w:cs="Arial Narrow"/>
          <w:sz w:val="22"/>
          <w:szCs w:val="24"/>
        </w:rPr>
        <w:t>z celkového transferu pre Sociálnu poisťovňu vo výške 1,517 mil. eur</w:t>
      </w:r>
      <w:r w:rsidR="005B0A55">
        <w:rPr>
          <w:rFonts w:ascii="Arial Narrow" w:hAnsi="Arial Narrow" w:cs="Arial Narrow"/>
          <w:sz w:val="22"/>
          <w:szCs w:val="24"/>
        </w:rPr>
        <w:t xml:space="preserve"> vykryť prostredníctvom výdavkov štátneho rozpočtu až 1,444 mil. eur, čo predstavuje 95 % celkového transferu a od roku 2011 je transfer v plnej miere vykrytý v rámci výdavkov štátneho rozpočtu a zohľadnený v schodku).</w:t>
      </w:r>
      <w:r w:rsidRPr="00BC1617">
        <w:rPr>
          <w:rFonts w:ascii="Arial Narrow" w:hAnsi="Arial Narrow" w:cs="Arial Narrow"/>
          <w:sz w:val="22"/>
          <w:szCs w:val="24"/>
        </w:rPr>
        <w:t xml:space="preserve"> </w:t>
      </w:r>
      <w:r w:rsidR="00FC5EB8">
        <w:rPr>
          <w:rFonts w:ascii="Arial Narrow" w:hAnsi="Arial Narrow" w:cs="Arial Narrow"/>
          <w:sz w:val="22"/>
          <w:szCs w:val="24"/>
        </w:rPr>
        <w:t>Keďže zavedením a nastavením II. piliera došlo k vyčerpaniu hotovostných zdrojov určených pre túto oblasť</w:t>
      </w:r>
      <w:r w:rsidR="00A4728B">
        <w:rPr>
          <w:rFonts w:ascii="Arial Narrow" w:hAnsi="Arial Narrow" w:cs="Arial Narrow"/>
          <w:sz w:val="22"/>
          <w:szCs w:val="24"/>
        </w:rPr>
        <w:t xml:space="preserve"> skôr, ako bolo naplánované pri spustení II. piliera</w:t>
      </w:r>
      <w:r w:rsidR="00FC5EB8">
        <w:rPr>
          <w:rFonts w:ascii="Arial Narrow" w:hAnsi="Arial Narrow" w:cs="Arial Narrow"/>
          <w:sz w:val="22"/>
          <w:szCs w:val="24"/>
        </w:rPr>
        <w:t>, je nutné od roku 2010 prefinancovať transfer pre Sociálnu poisťovňu prostredníctvom výdavkov štátneho rozpočtu, čo má za následok zvyšovanie dlhu.</w:t>
      </w:r>
      <w:r w:rsidR="00B22BF0">
        <w:rPr>
          <w:rFonts w:ascii="Arial Narrow" w:hAnsi="Arial Narrow" w:cs="Arial Narrow"/>
          <w:sz w:val="22"/>
          <w:szCs w:val="24"/>
        </w:rPr>
        <w:t xml:space="preserve"> </w:t>
      </w:r>
      <w:r w:rsidR="00FC5EB8">
        <w:rPr>
          <w:rFonts w:ascii="Arial Narrow" w:hAnsi="Arial Narrow" w:cs="Arial Narrow"/>
          <w:sz w:val="22"/>
          <w:szCs w:val="24"/>
        </w:rPr>
        <w:t xml:space="preserve">Od </w:t>
      </w:r>
      <w:r w:rsidRPr="00BC1617">
        <w:rPr>
          <w:rFonts w:ascii="Arial Narrow" w:hAnsi="Arial Narrow" w:cs="Arial Narrow"/>
          <w:sz w:val="22"/>
          <w:szCs w:val="24"/>
        </w:rPr>
        <w:t>rok</w:t>
      </w:r>
      <w:r w:rsidR="00FC5EB8">
        <w:rPr>
          <w:rFonts w:ascii="Arial Narrow" w:hAnsi="Arial Narrow" w:cs="Arial Narrow"/>
          <w:sz w:val="22"/>
          <w:szCs w:val="24"/>
        </w:rPr>
        <w:t xml:space="preserve">u 2011 </w:t>
      </w:r>
      <w:r w:rsidRPr="00BC1617">
        <w:rPr>
          <w:rFonts w:ascii="Arial Narrow" w:hAnsi="Arial Narrow" w:cs="Arial Narrow"/>
          <w:sz w:val="22"/>
          <w:szCs w:val="24"/>
        </w:rPr>
        <w:t xml:space="preserve">sa stav výpožičiek mierne zvýši v dôsledku predpokladaného splácania poskytnutých návratných finančných výpomocí. </w:t>
      </w:r>
    </w:p>
    <w:p w:rsidR="00FC15CD" w:rsidRPr="00BC1617" w:rsidP="00FC15CD">
      <w:pPr>
        <w:jc w:val="both"/>
        <w:rPr>
          <w:rFonts w:ascii="Arial Narrow" w:hAnsi="Arial Narrow" w:cs="Arial Narrow"/>
          <w:sz w:val="22"/>
          <w:szCs w:val="24"/>
          <w:highlight w:val="yellow"/>
        </w:rPr>
      </w:pPr>
    </w:p>
    <w:p w:rsidR="00FC15CD" w:rsidRPr="00BC1617" w:rsidP="00FC15CD">
      <w:pPr>
        <w:jc w:val="both"/>
        <w:rPr>
          <w:rFonts w:ascii="Arial Narrow" w:hAnsi="Arial Narrow" w:cs="Arial Narrow"/>
          <w:sz w:val="22"/>
          <w:szCs w:val="24"/>
        </w:rPr>
      </w:pPr>
      <w:r w:rsidRPr="00BC1617">
        <w:rPr>
          <w:rFonts w:ascii="Arial Narrow" w:hAnsi="Arial Narrow" w:cs="Arial Narrow"/>
          <w:sz w:val="22"/>
          <w:szCs w:val="24"/>
        </w:rPr>
        <w:tab/>
        <w:t xml:space="preserve">Ďalším negatívnym faktorom, ktorý prispel k zvýšeniu dlhu je </w:t>
      </w:r>
      <w:r w:rsidRPr="00BC1617">
        <w:rPr>
          <w:rFonts w:ascii="Arial Narrow" w:hAnsi="Arial Narrow" w:cs="Arial Narrow"/>
          <w:b/>
          <w:sz w:val="22"/>
          <w:szCs w:val="24"/>
        </w:rPr>
        <w:t>rozdiel medzi diskontom a prémiou pri emisii štátnych dlhopisov</w:t>
      </w:r>
      <w:r w:rsidRPr="00BC1617">
        <w:rPr>
          <w:rFonts w:ascii="Arial Narrow" w:hAnsi="Arial Narrow" w:cs="Arial Narrow"/>
          <w:sz w:val="22"/>
          <w:szCs w:val="24"/>
        </w:rPr>
        <w:t xml:space="preserve"> a štátnych pokladničných poukážok. Keďže v okamihu emisie dlhopisov narastú záväzky štátu o nominálnu hodnotu dlhopisov, avšak štát získava v hotovosti nižšiu sumu (zníženú práve o diskont), potom emisný diskont je faktorom, ktorý prispieva k nárastu dlhu.</w:t>
      </w:r>
    </w:p>
    <w:p w:rsidR="00FC15CD" w:rsidRPr="00BC1617" w:rsidP="00FC15CD">
      <w:pPr>
        <w:jc w:val="both"/>
        <w:rPr>
          <w:rFonts w:ascii="Arial Narrow" w:hAnsi="Arial Narrow" w:cs="Arial Narrow"/>
          <w:b/>
          <w:sz w:val="22"/>
          <w:szCs w:val="24"/>
          <w:highlight w:val="yellow"/>
        </w:rPr>
      </w:pPr>
    </w:p>
    <w:p w:rsidR="00FC15CD" w:rsidP="00FC15CD">
      <w:pPr>
        <w:ind w:firstLine="708"/>
        <w:jc w:val="both"/>
        <w:rPr>
          <w:rFonts w:ascii="Arial Narrow" w:hAnsi="Arial Narrow" w:cs="Arial Narrow"/>
          <w:sz w:val="22"/>
          <w:szCs w:val="24"/>
        </w:rPr>
      </w:pPr>
      <w:r w:rsidRPr="005879A3">
        <w:rPr>
          <w:rFonts w:ascii="Arial Narrow" w:hAnsi="Arial Narrow" w:cs="Arial Narrow"/>
          <w:sz w:val="22"/>
          <w:szCs w:val="24"/>
        </w:rPr>
        <w:t>V čase splatnosti dlhopisov je výška plateného diskontu súčasťou hotovostných výdavkov štátneho rozpočtu, avšak táto suma neprispieva k nárastu dlhu. Spôsob výpočtu predpokladá, že ak hotovostný deficit štátneho rozpočtu v plnej výške zvyšuje štátny dlh, potom diskont pri splatení štátnych dlhopisov má pozitívny vplyv na dlh. Dôvodom je skutočnosť, že k nárastu dlhu dochádza už pri emisii dlhopisov, a to v nominálnej hodnote dlhopisu a nie pri ich splatení.</w:t>
      </w:r>
    </w:p>
    <w:p w:rsidR="00B17F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ED680D" w:rsidP="00FC15CD">
      <w:pPr>
        <w:ind w:firstLine="708"/>
        <w:jc w:val="both"/>
        <w:rPr>
          <w:szCs w:val="24"/>
        </w:rPr>
      </w:pPr>
    </w:p>
    <w:p w:rsidR="00FB57DA" w:rsidRPr="00FB57DA" w:rsidP="00FB57DA">
      <w:pPr>
        <w:pStyle w:val="Heading1"/>
        <w:rPr>
          <w:rFonts w:ascii="Arial Narrow" w:hAnsi="Arial Narrow" w:cs="Arial Narrow"/>
          <w:sz w:val="28"/>
          <w:szCs w:val="24"/>
        </w:rPr>
      </w:pPr>
      <w:bookmarkStart w:id="34" w:name="_Toc241846641"/>
      <w:bookmarkEnd w:id="4"/>
      <w:bookmarkEnd w:id="5"/>
      <w:r w:rsidRPr="00FB57DA">
        <w:rPr>
          <w:rFonts w:ascii="Arial Narrow" w:hAnsi="Arial Narrow" w:cs="Arial Narrow"/>
          <w:sz w:val="28"/>
          <w:szCs w:val="24"/>
        </w:rPr>
        <w:t>3. Rozpočtovanie príjmov štátneho rozpočtu</w:t>
      </w:r>
      <w:bookmarkEnd w:id="34"/>
    </w:p>
    <w:p w:rsidR="00DD172F" w:rsidRPr="00951CC4" w:rsidP="00FB57DA">
      <w:pPr>
        <w:pStyle w:val="Heading2"/>
        <w:rPr>
          <w:rFonts w:ascii="Arial Narrow" w:hAnsi="Arial Narrow" w:cs="Arial Narrow"/>
          <w:i w:val="0"/>
          <w:sz w:val="24"/>
          <w:szCs w:val="24"/>
        </w:rPr>
      </w:pPr>
      <w:bookmarkStart w:id="35" w:name="_Toc241846642"/>
      <w:r w:rsidRPr="00951CC4" w:rsidR="00FB57DA">
        <w:rPr>
          <w:rFonts w:ascii="Arial Narrow" w:hAnsi="Arial Narrow" w:cs="Arial Narrow"/>
          <w:i w:val="0"/>
          <w:sz w:val="24"/>
          <w:szCs w:val="24"/>
        </w:rPr>
        <w:t xml:space="preserve">3.1. </w:t>
      </w:r>
      <w:r w:rsidRPr="00951CC4">
        <w:rPr>
          <w:rFonts w:ascii="Arial Narrow" w:hAnsi="Arial Narrow" w:cs="Arial Narrow"/>
          <w:i w:val="0"/>
          <w:sz w:val="24"/>
          <w:szCs w:val="24"/>
        </w:rPr>
        <w:t>Rozpočtovanie daňových príjmov</w:t>
      </w:r>
      <w:bookmarkEnd w:id="35"/>
    </w:p>
    <w:p w:rsidR="00DD172F" w:rsidRPr="00DF45EC" w:rsidP="00DD172F">
      <w:pPr>
        <w:rPr>
          <w:rFonts w:ascii="Arial Narrow" w:hAnsi="Arial Narrow" w:cs="Arial Narrow"/>
          <w:szCs w:val="24"/>
          <w:highlight w:val="yellow"/>
        </w:rPr>
      </w:pPr>
    </w:p>
    <w:p w:rsidR="00DD172F" w:rsidRPr="00A43C11" w:rsidP="00A43C11">
      <w:pPr>
        <w:rPr>
          <w:rFonts w:ascii="Arial Narrow" w:hAnsi="Arial Narrow" w:cs="Arial Narrow"/>
          <w:b/>
          <w:szCs w:val="24"/>
        </w:rPr>
      </w:pPr>
      <w:r w:rsidRPr="00A43C11">
        <w:rPr>
          <w:rFonts w:ascii="Arial Narrow" w:hAnsi="Arial Narrow" w:cs="Arial Narrow"/>
          <w:b/>
          <w:szCs w:val="24"/>
        </w:rPr>
        <w:t>Legislatívne predpoklady</w:t>
      </w:r>
    </w:p>
    <w:p w:rsidR="00DD172F" w:rsidRPr="00DF45EC" w:rsidP="00DD172F">
      <w:pPr>
        <w:ind w:firstLine="708"/>
        <w:jc w:val="both"/>
        <w:rPr>
          <w:rFonts w:ascii="Arial Narrow" w:hAnsi="Arial Narrow" w:cs="Arial Narrow"/>
          <w:szCs w:val="24"/>
          <w:highlight w:val="yellow"/>
        </w:rPr>
      </w:pPr>
    </w:p>
    <w:p w:rsidR="00ED680D" w:rsidP="00DD172F">
      <w:pPr>
        <w:ind w:firstLine="720"/>
        <w:jc w:val="both"/>
        <w:rPr>
          <w:rFonts w:ascii="Arial Narrow" w:hAnsi="Arial Narrow" w:cs="Arial Narrow"/>
          <w:sz w:val="22"/>
          <w:szCs w:val="24"/>
        </w:rPr>
      </w:pPr>
      <w:r w:rsidRPr="00DF45EC" w:rsidR="00DD172F">
        <w:rPr>
          <w:rFonts w:ascii="Arial Narrow" w:hAnsi="Arial Narrow" w:cs="Arial Narrow"/>
          <w:sz w:val="22"/>
          <w:szCs w:val="24"/>
        </w:rPr>
        <w:t>Makroekonomické predpoklady uvedené v predchádzajúcej časti tohto dokumentu boli základom pre vypracovanie aktuálnych prognóz daňových príjmov verejnej správy na roky 20</w:t>
      </w:r>
      <w:r w:rsidR="00DD172F">
        <w:rPr>
          <w:rFonts w:ascii="Arial Narrow" w:hAnsi="Arial Narrow" w:cs="Arial Narrow"/>
          <w:sz w:val="22"/>
          <w:szCs w:val="24"/>
        </w:rPr>
        <w:t>10</w:t>
      </w:r>
      <w:r w:rsidR="007173EA">
        <w:rPr>
          <w:rFonts w:ascii="Arial Narrow" w:hAnsi="Arial Narrow" w:cs="Arial Narrow"/>
          <w:sz w:val="22"/>
          <w:szCs w:val="24"/>
        </w:rPr>
        <w:t xml:space="preserve"> až </w:t>
      </w:r>
      <w:r w:rsidRPr="00DF45EC" w:rsidR="00DD172F">
        <w:rPr>
          <w:rFonts w:ascii="Arial Narrow" w:hAnsi="Arial Narrow" w:cs="Arial Narrow"/>
          <w:sz w:val="22"/>
          <w:szCs w:val="24"/>
        </w:rPr>
        <w:t>20</w:t>
      </w:r>
      <w:r w:rsidR="00DD172F">
        <w:rPr>
          <w:rFonts w:ascii="Arial Narrow" w:hAnsi="Arial Narrow" w:cs="Arial Narrow"/>
          <w:sz w:val="22"/>
          <w:szCs w:val="24"/>
        </w:rPr>
        <w:t>12</w:t>
      </w:r>
      <w:r w:rsidRPr="00DF45EC" w:rsidR="00DD172F">
        <w:rPr>
          <w:rFonts w:ascii="Arial Narrow" w:hAnsi="Arial Narrow" w:cs="Arial Narrow"/>
          <w:sz w:val="22"/>
          <w:szCs w:val="24"/>
        </w:rPr>
        <w:t xml:space="preserve">. Prognózy vychádzajú z platnej legislatívy, ako aj z legislatívy, ktorej účinnosť sa predpokladá </w:t>
      </w:r>
      <w:r w:rsidR="00DD172F">
        <w:rPr>
          <w:rFonts w:ascii="Arial Narrow" w:hAnsi="Arial Narrow" w:cs="Arial Narrow"/>
          <w:sz w:val="22"/>
          <w:szCs w:val="24"/>
        </w:rPr>
        <w:t xml:space="preserve">v priebehu roka 2010. </w:t>
      </w:r>
      <w:r w:rsidRPr="00DF45EC" w:rsidR="00DD172F">
        <w:rPr>
          <w:rFonts w:ascii="Arial Narrow" w:hAnsi="Arial Narrow" w:cs="Arial Narrow"/>
          <w:sz w:val="22"/>
          <w:szCs w:val="24"/>
        </w:rPr>
        <w:t>Oproti schválenému rozpočtu verejnej správy na roky 200</w:t>
      </w:r>
      <w:r w:rsidR="00DD172F">
        <w:rPr>
          <w:rFonts w:ascii="Arial Narrow" w:hAnsi="Arial Narrow" w:cs="Arial Narrow"/>
          <w:sz w:val="22"/>
          <w:szCs w:val="24"/>
        </w:rPr>
        <w:t>9</w:t>
      </w:r>
      <w:r w:rsidR="007173EA">
        <w:rPr>
          <w:rFonts w:ascii="Arial Narrow" w:hAnsi="Arial Narrow" w:cs="Arial Narrow"/>
          <w:sz w:val="22"/>
          <w:szCs w:val="24"/>
        </w:rPr>
        <w:t xml:space="preserve"> až </w:t>
      </w:r>
      <w:r w:rsidRPr="00DF45EC" w:rsidR="00DD172F">
        <w:rPr>
          <w:rFonts w:ascii="Arial Narrow" w:hAnsi="Arial Narrow" w:cs="Arial Narrow"/>
          <w:sz w:val="22"/>
          <w:szCs w:val="24"/>
        </w:rPr>
        <w:t>20</w:t>
      </w:r>
      <w:r w:rsidR="00DD172F">
        <w:rPr>
          <w:rFonts w:ascii="Arial Narrow" w:hAnsi="Arial Narrow" w:cs="Arial Narrow"/>
          <w:sz w:val="22"/>
          <w:szCs w:val="24"/>
        </w:rPr>
        <w:t>11 (rok 2009 – prognóza z novembra 2008, roky 2010 a 2011 – prognóza zo septembra 2008)</w:t>
      </w:r>
      <w:r w:rsidRPr="00DF45EC" w:rsidR="00DD172F">
        <w:rPr>
          <w:rFonts w:ascii="Arial Narrow" w:hAnsi="Arial Narrow" w:cs="Arial Narrow"/>
          <w:sz w:val="22"/>
          <w:szCs w:val="24"/>
        </w:rPr>
        <w:t xml:space="preserve"> dochádza k zme</w:t>
      </w:r>
      <w:r w:rsidR="0044618F">
        <w:rPr>
          <w:rFonts w:ascii="Arial Narrow" w:hAnsi="Arial Narrow" w:cs="Arial Narrow"/>
          <w:sz w:val="22"/>
          <w:szCs w:val="24"/>
        </w:rPr>
        <w:t>ne legislatívnych predpokladov pri</w:t>
      </w:r>
      <w:r w:rsidR="00DD172F">
        <w:rPr>
          <w:rFonts w:ascii="Arial Narrow" w:hAnsi="Arial Narrow" w:cs="Arial Narrow"/>
          <w:sz w:val="22"/>
          <w:szCs w:val="24"/>
        </w:rPr>
        <w:t> dani z príj</w:t>
      </w:r>
      <w:r w:rsidR="0044618F">
        <w:rPr>
          <w:rFonts w:ascii="Arial Narrow" w:hAnsi="Arial Narrow" w:cs="Arial Narrow"/>
          <w:sz w:val="22"/>
          <w:szCs w:val="24"/>
        </w:rPr>
        <w:t>mov, pri dani z pridanej hodnoty, pri</w:t>
      </w:r>
      <w:r w:rsidR="00DD172F">
        <w:rPr>
          <w:rFonts w:ascii="Arial Narrow" w:hAnsi="Arial Narrow" w:cs="Arial Narrow"/>
          <w:sz w:val="22"/>
          <w:szCs w:val="24"/>
        </w:rPr>
        <w:t> spotrebn</w:t>
      </w:r>
      <w:r w:rsidR="0044618F">
        <w:rPr>
          <w:rFonts w:ascii="Arial Narrow" w:hAnsi="Arial Narrow" w:cs="Arial Narrow"/>
          <w:sz w:val="22"/>
          <w:szCs w:val="24"/>
        </w:rPr>
        <w:t>ej dani z tabakových výrobkov, pri spotrebnej dani z liehu a pri</w:t>
      </w:r>
      <w:r w:rsidR="00DD172F">
        <w:rPr>
          <w:rFonts w:ascii="Arial Narrow" w:hAnsi="Arial Narrow" w:cs="Arial Narrow"/>
          <w:sz w:val="22"/>
          <w:szCs w:val="24"/>
        </w:rPr>
        <w:t> dani za jadrové zariadenie.</w:t>
      </w:r>
    </w:p>
    <w:p w:rsidR="00ED680D" w:rsidP="00DD172F">
      <w:pPr>
        <w:ind w:firstLine="720"/>
        <w:jc w:val="both"/>
        <w:rPr>
          <w:rFonts w:ascii="Arial Narrow" w:hAnsi="Arial Narrow" w:cs="Arial Narrow"/>
          <w:sz w:val="22"/>
          <w:szCs w:val="24"/>
        </w:rPr>
      </w:pPr>
    </w:p>
    <w:p w:rsidR="00DD172F" w:rsidP="00DD172F">
      <w:pPr>
        <w:jc w:val="both"/>
        <w:rPr>
          <w:rFonts w:ascii="Arial Narrow" w:hAnsi="Arial Narrow" w:cs="Arial Narrow"/>
          <w:sz w:val="22"/>
          <w:szCs w:val="24"/>
        </w:rPr>
      </w:pPr>
    </w:p>
    <w:tbl>
      <w:tblPr>
        <w:tblStyle w:val="TableNormal"/>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320"/>
        <w:gridCol w:w="1188"/>
        <w:gridCol w:w="1188"/>
        <w:gridCol w:w="1188"/>
        <w:gridCol w:w="1188"/>
      </w:tblGrid>
      <w:tr>
        <w:tblPrEx>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375"/>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D172F" w:rsidRPr="001A652B" w:rsidP="00B80F08">
            <w:pPr>
              <w:rPr>
                <w:rFonts w:ascii="Arial Narrow" w:hAnsi="Arial Narrow" w:cs="Arial Narrow"/>
                <w:b/>
                <w:color w:val="FFFFFF"/>
                <w:sz w:val="20"/>
                <w:szCs w:val="24"/>
              </w:rPr>
            </w:pPr>
            <w:r w:rsidRPr="001A652B">
              <w:rPr>
                <w:rFonts w:ascii="Arial Narrow" w:hAnsi="Arial Narrow" w:cs="Arial Narrow"/>
                <w:b/>
                <w:color w:val="FFFFFF"/>
                <w:sz w:val="20"/>
                <w:szCs w:val="24"/>
              </w:rPr>
              <w:t xml:space="preserve">Kvantifikácia </w:t>
            </w:r>
            <w:r>
              <w:rPr>
                <w:rFonts w:ascii="Arial Narrow" w:hAnsi="Arial Narrow" w:cs="Arial Narrow"/>
                <w:b/>
                <w:color w:val="FFFFFF"/>
                <w:sz w:val="20"/>
                <w:szCs w:val="24"/>
              </w:rPr>
              <w:t>vplyv</w:t>
            </w:r>
            <w:r w:rsidRPr="001A652B">
              <w:rPr>
                <w:rFonts w:ascii="Arial Narrow" w:hAnsi="Arial Narrow" w:cs="Arial Narrow"/>
                <w:b/>
                <w:color w:val="FFFFFF"/>
                <w:sz w:val="20"/>
                <w:szCs w:val="24"/>
              </w:rPr>
              <w:t>u legislatívnych zmien na rozpočet verejnej správy (ESA</w:t>
            </w:r>
            <w:r w:rsidR="00F66708">
              <w:rPr>
                <w:rFonts w:ascii="Arial Narrow" w:hAnsi="Arial Narrow" w:cs="Arial Narrow"/>
                <w:b/>
                <w:color w:val="FFFFFF"/>
                <w:sz w:val="20"/>
                <w:szCs w:val="24"/>
              </w:rPr>
              <w:t xml:space="preserve"> </w:t>
            </w:r>
            <w:r w:rsidRPr="001A652B">
              <w:rPr>
                <w:rFonts w:ascii="Arial Narrow" w:hAnsi="Arial Narrow" w:cs="Arial Narrow"/>
                <w:b/>
                <w:color w:val="FFFFFF"/>
                <w:sz w:val="20"/>
                <w:szCs w:val="24"/>
              </w:rPr>
              <w:t>95, tis. eur)</w:t>
            </w:r>
          </w:p>
        </w:tc>
      </w:tr>
      <w:tr>
        <w:tblPrEx>
          <w:tblW w:w="9072" w:type="dxa"/>
          <w:jc w:val="center"/>
          <w:tblInd w:w="0" w:type="dxa"/>
          <w:tblLayout w:type="fixed"/>
          <w:tblCellMar>
            <w:left w:w="70" w:type="dxa"/>
            <w:right w:w="70" w:type="dxa"/>
          </w:tblCellMar>
        </w:tblPrEx>
        <w:trPr>
          <w:trHeight w:val="270"/>
          <w:jc w:val="center"/>
        </w:trPr>
        <w:tc>
          <w:tcPr>
            <w:tcW w:w="43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1A652B" w:rsidP="00B80F08">
            <w:pPr>
              <w:jc w:val="center"/>
              <w:rPr>
                <w:rFonts w:ascii="Arial Narrow" w:hAnsi="Arial Narrow" w:cs="Arial Narrow"/>
                <w:sz w:val="18"/>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1A652B" w:rsidP="00B80F08">
            <w:pPr>
              <w:jc w:val="center"/>
              <w:rPr>
                <w:rFonts w:ascii="Arial Narrow" w:hAnsi="Arial Narrow" w:cs="Arial Narrow"/>
                <w:b/>
                <w:sz w:val="18"/>
                <w:szCs w:val="24"/>
              </w:rPr>
            </w:pPr>
            <w:r w:rsidRPr="001A652B">
              <w:rPr>
                <w:rFonts w:ascii="Arial Narrow" w:hAnsi="Arial Narrow" w:cs="Arial Narrow"/>
                <w:b/>
                <w:sz w:val="18"/>
                <w:szCs w:val="24"/>
              </w:rPr>
              <w:t>2009</w:t>
            </w:r>
          </w:p>
        </w:tc>
        <w:tc>
          <w:tcPr>
            <w:tcW w:w="118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1A652B" w:rsidP="00B80F08">
            <w:pPr>
              <w:jc w:val="center"/>
              <w:rPr>
                <w:rFonts w:ascii="Arial Narrow" w:hAnsi="Arial Narrow" w:cs="Arial Narrow"/>
                <w:b/>
                <w:sz w:val="18"/>
                <w:szCs w:val="24"/>
              </w:rPr>
            </w:pPr>
            <w:r w:rsidRPr="001A652B">
              <w:rPr>
                <w:rFonts w:ascii="Arial Narrow" w:hAnsi="Arial Narrow" w:cs="Arial Narrow"/>
                <w:b/>
                <w:sz w:val="18"/>
                <w:szCs w:val="24"/>
              </w:rPr>
              <w:t>2010</w:t>
            </w:r>
          </w:p>
        </w:tc>
        <w:tc>
          <w:tcPr>
            <w:tcW w:w="118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1A652B" w:rsidP="00B80F08">
            <w:pPr>
              <w:jc w:val="center"/>
              <w:rPr>
                <w:rFonts w:ascii="Arial Narrow" w:hAnsi="Arial Narrow" w:cs="Arial Narrow"/>
                <w:b/>
                <w:sz w:val="18"/>
                <w:szCs w:val="24"/>
              </w:rPr>
            </w:pPr>
            <w:r w:rsidRPr="001A652B">
              <w:rPr>
                <w:rFonts w:ascii="Arial Narrow" w:hAnsi="Arial Narrow" w:cs="Arial Narrow"/>
                <w:b/>
                <w:sz w:val="18"/>
                <w:szCs w:val="24"/>
              </w:rPr>
              <w:t>2011</w:t>
            </w:r>
          </w:p>
        </w:tc>
        <w:tc>
          <w:tcPr>
            <w:tcW w:w="118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172F" w:rsidRPr="001A652B"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textDirection w:val="lrTb"/>
            <w:vAlign w:val="center"/>
          </w:tcPr>
          <w:p w:rsidR="00DD172F" w:rsidRPr="001A652B" w:rsidP="00B80F08">
            <w:pPr>
              <w:rPr>
                <w:rFonts w:ascii="Arial Narrow" w:hAnsi="Arial Narrow" w:cs="Arial Narrow"/>
                <w:b/>
                <w:sz w:val="18"/>
                <w:szCs w:val="24"/>
              </w:rPr>
            </w:pPr>
            <w:r>
              <w:rPr>
                <w:rFonts w:ascii="Arial Narrow" w:hAnsi="Arial Narrow" w:cs="Arial Narrow"/>
                <w:b/>
                <w:sz w:val="18"/>
                <w:szCs w:val="24"/>
              </w:rPr>
              <w:t>VPLYV</w:t>
            </w:r>
            <w:r w:rsidRPr="001A652B">
              <w:rPr>
                <w:rFonts w:ascii="Arial Narrow" w:hAnsi="Arial Narrow" w:cs="Arial Narrow"/>
                <w:b/>
                <w:sz w:val="18"/>
                <w:szCs w:val="24"/>
              </w:rPr>
              <w:t xml:space="preserve"> NA DAŇOVÉ PRÍJMY VEREJNEJ SPRÁVY SPOLU*</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b/>
                <w:sz w:val="18"/>
                <w:szCs w:val="24"/>
              </w:rPr>
            </w:pPr>
            <w:r w:rsidRPr="00ED1191">
              <w:rPr>
                <w:rFonts w:ascii="Arial Narrow" w:hAnsi="Arial Narrow" w:cs="Arial Narrow"/>
                <w:b/>
                <w:sz w:val="18"/>
                <w:szCs w:val="24"/>
              </w:rPr>
              <w:t>-153 209</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b/>
                <w:sz w:val="18"/>
                <w:szCs w:val="24"/>
              </w:rPr>
            </w:pPr>
            <w:r w:rsidRPr="00ED1191">
              <w:rPr>
                <w:rFonts w:ascii="Arial Narrow" w:hAnsi="Arial Narrow" w:cs="Arial Narrow"/>
                <w:b/>
                <w:sz w:val="18"/>
                <w:szCs w:val="24"/>
              </w:rPr>
              <w:t>-283 060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b/>
                <w:sz w:val="18"/>
                <w:szCs w:val="24"/>
              </w:rPr>
            </w:pPr>
            <w:r w:rsidRPr="00ED1191">
              <w:rPr>
                <w:rFonts w:ascii="Arial Narrow" w:hAnsi="Arial Narrow" w:cs="Arial Narrow"/>
                <w:b/>
                <w:sz w:val="18"/>
                <w:szCs w:val="24"/>
              </w:rPr>
              <w:t>-107 417</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RPr="00ED1191" w:rsidP="004A0822">
            <w:pPr>
              <w:jc w:val="right"/>
              <w:rPr>
                <w:rFonts w:ascii="Arial Narrow" w:hAnsi="Arial Narrow" w:cs="Arial Narrow"/>
                <w:b/>
                <w:sz w:val="18"/>
                <w:szCs w:val="24"/>
              </w:rPr>
            </w:pPr>
            <w:r w:rsidRPr="00ED1191">
              <w:rPr>
                <w:rFonts w:ascii="Arial Narrow" w:hAnsi="Arial Narrow" w:cs="Arial Narrow"/>
                <w:b/>
                <w:sz w:val="18"/>
                <w:szCs w:val="24"/>
              </w:rPr>
              <w:t>-75 174</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textDirection w:val="lrTb"/>
            <w:vAlign w:val="center"/>
          </w:tcPr>
          <w:p w:rsidR="00DD172F" w:rsidRPr="001A652B" w:rsidP="00B80F08">
            <w:pPr>
              <w:ind w:left="708"/>
              <w:rPr>
                <w:rFonts w:ascii="Arial Narrow" w:hAnsi="Arial Narrow" w:cs="Arial Narrow"/>
                <w:sz w:val="18"/>
                <w:szCs w:val="24"/>
              </w:rPr>
            </w:pPr>
            <w:r w:rsidRPr="001A652B">
              <w:rPr>
                <w:rFonts w:ascii="Arial Narrow" w:hAnsi="Arial Narrow" w:cs="Arial Narrow"/>
                <w:sz w:val="18"/>
                <w:szCs w:val="24"/>
              </w:rPr>
              <w:t>Daň z</w:t>
            </w:r>
            <w:r>
              <w:rPr>
                <w:rFonts w:ascii="Arial Narrow" w:hAnsi="Arial Narrow" w:cs="Arial Narrow"/>
                <w:sz w:val="18"/>
                <w:szCs w:val="24"/>
              </w:rPr>
              <w:t> </w:t>
            </w:r>
            <w:r w:rsidRPr="001A652B">
              <w:rPr>
                <w:rFonts w:ascii="Arial Narrow" w:hAnsi="Arial Narrow" w:cs="Arial Narrow"/>
                <w:sz w:val="18"/>
                <w:szCs w:val="24"/>
              </w:rPr>
              <w:t>príjmov</w:t>
            </w:r>
            <w:r>
              <w:rPr>
                <w:rFonts w:ascii="Arial Narrow" w:hAnsi="Arial Narrow" w:cs="Arial Narrow"/>
                <w:sz w:val="18"/>
                <w:szCs w:val="24"/>
              </w:rPr>
              <w:t xml:space="preserve"> fyzických osôb</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sz w:val="18"/>
                <w:szCs w:val="24"/>
              </w:rPr>
            </w:pPr>
            <w:r w:rsidRPr="00ED1191">
              <w:rPr>
                <w:rFonts w:ascii="Arial Narrow" w:hAnsi="Arial Narrow" w:cs="Arial Narrow"/>
                <w:sz w:val="18"/>
                <w:szCs w:val="24"/>
              </w:rPr>
              <w:t>-147 619</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sz w:val="18"/>
                <w:szCs w:val="24"/>
              </w:rPr>
            </w:pPr>
            <w:r w:rsidRPr="00ED1191">
              <w:rPr>
                <w:rFonts w:ascii="Arial Narrow" w:hAnsi="Arial Narrow" w:cs="Arial Narrow"/>
                <w:sz w:val="18"/>
                <w:szCs w:val="24"/>
              </w:rPr>
              <w:t>-218 928</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ED1191" w:rsidP="004A0822">
            <w:pPr>
              <w:jc w:val="right"/>
              <w:rPr>
                <w:rFonts w:ascii="Arial Narrow" w:hAnsi="Arial Narrow" w:cs="Arial Narrow"/>
                <w:sz w:val="18"/>
                <w:szCs w:val="24"/>
              </w:rPr>
            </w:pPr>
            <w:r w:rsidRPr="00ED1191">
              <w:rPr>
                <w:rFonts w:ascii="Arial Narrow" w:hAnsi="Arial Narrow" w:cs="Arial Narrow"/>
                <w:sz w:val="18"/>
                <w:szCs w:val="24"/>
              </w:rPr>
              <w:t>-27 143</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RPr="00ED1191" w:rsidP="004A0822">
            <w:pPr>
              <w:jc w:val="right"/>
              <w:rPr>
                <w:rFonts w:ascii="Arial Narrow" w:hAnsi="Arial Narrow" w:cs="Arial Narrow"/>
                <w:sz w:val="18"/>
                <w:szCs w:val="24"/>
              </w:rPr>
            </w:pPr>
            <w:r w:rsidRPr="00ED1191">
              <w:rPr>
                <w:rFonts w:ascii="Arial Narrow" w:hAnsi="Arial Narrow" w:cs="Arial Narrow"/>
                <w:sz w:val="18"/>
                <w:szCs w:val="24"/>
              </w:rPr>
              <w:t>-1 218</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1A652B" w:rsidP="00B80F08">
            <w:pPr>
              <w:ind w:left="1416"/>
              <w:rPr>
                <w:rFonts w:ascii="Arial Narrow" w:hAnsi="Arial Narrow" w:cs="Arial Narrow"/>
                <w:sz w:val="18"/>
                <w:szCs w:val="24"/>
              </w:rPr>
            </w:pPr>
            <w:r w:rsidRPr="001A652B">
              <w:rPr>
                <w:rFonts w:ascii="Arial Narrow" w:hAnsi="Arial Narrow" w:cs="Arial Narrow"/>
                <w:sz w:val="18"/>
                <w:szCs w:val="24"/>
              </w:rPr>
              <w:t>- zo závislej činnosti</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-131 278</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-201 151</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-25 935</w:t>
            </w:r>
          </w:p>
        </w:tc>
        <w:tc>
          <w:tcPr>
            <w:tcW w:w="1188" w:type="dxa"/>
            <w:tcBorders>
              <w:top w:val="single" w:sz="4" w:space="0" w:color="auto"/>
              <w:left w:val="single" w:sz="4" w:space="0" w:color="auto"/>
              <w:bottom w:val="single" w:sz="4" w:space="0" w:color="auto"/>
              <w:right w:val="single" w:sz="4" w:space="0" w:color="auto"/>
            </w:tcBorders>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-495</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1A652B" w:rsidP="00B80F08">
            <w:pPr>
              <w:ind w:left="1416"/>
              <w:rPr>
                <w:rFonts w:ascii="Arial Narrow" w:hAnsi="Arial Narrow" w:cs="Arial Narrow"/>
                <w:sz w:val="18"/>
                <w:szCs w:val="24"/>
              </w:rPr>
            </w:pPr>
            <w:r w:rsidRPr="001A652B">
              <w:rPr>
                <w:rFonts w:ascii="Arial Narrow" w:hAnsi="Arial Narrow" w:cs="Arial Narrow"/>
                <w:sz w:val="18"/>
                <w:szCs w:val="24"/>
              </w:rPr>
              <w:t xml:space="preserve">- </w:t>
            </w:r>
            <w:r>
              <w:rPr>
                <w:rFonts w:ascii="Arial Narrow" w:hAnsi="Arial Narrow" w:cs="Arial Narrow"/>
                <w:sz w:val="18"/>
                <w:szCs w:val="24"/>
              </w:rPr>
              <w:t>z podnikania</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-16 341</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-17 777</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-1 208</w:t>
            </w:r>
          </w:p>
        </w:tc>
        <w:tc>
          <w:tcPr>
            <w:tcW w:w="1188" w:type="dxa"/>
            <w:tcBorders>
              <w:top w:val="single" w:sz="4" w:space="0" w:color="auto"/>
              <w:left w:val="single" w:sz="4" w:space="0" w:color="auto"/>
              <w:bottom w:val="single" w:sz="4" w:space="0" w:color="auto"/>
              <w:right w:val="single" w:sz="4" w:space="0" w:color="auto"/>
            </w:tcBorders>
            <w:textDirection w:val="lrTb"/>
            <w:vAlign w:val="bottom"/>
          </w:tcPr>
          <w:p w:rsidR="00DD172F" w:rsidP="004A0822">
            <w:pPr>
              <w:jc w:val="right"/>
              <w:rPr>
                <w:rFonts w:ascii="Arial Narrow" w:hAnsi="Arial Narrow" w:cs="Arial Narrow"/>
                <w:sz w:val="18"/>
                <w:szCs w:val="24"/>
              </w:rPr>
            </w:pPr>
            <w:r>
              <w:rPr>
                <w:rFonts w:ascii="Arial Narrow" w:hAnsi="Arial Narrow" w:cs="Arial Narrow"/>
                <w:sz w:val="18"/>
                <w:szCs w:val="24"/>
              </w:rPr>
              <w:t>-723</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1A652B" w:rsidP="00B80F08">
            <w:pPr>
              <w:ind w:left="708"/>
              <w:rPr>
                <w:rFonts w:ascii="Arial Narrow" w:hAnsi="Arial Narrow" w:cs="Arial Narrow"/>
                <w:sz w:val="18"/>
                <w:szCs w:val="24"/>
              </w:rPr>
            </w:pPr>
            <w:r>
              <w:rPr>
                <w:rFonts w:ascii="Arial Narrow" w:hAnsi="Arial Narrow" w:cs="Arial Narrow"/>
                <w:sz w:val="18"/>
                <w:szCs w:val="24"/>
              </w:rPr>
              <w:t>Daň z príjmov právnických osôb</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RPr="00F8290F" w:rsidP="004A0822">
            <w:pPr>
              <w:jc w:val="right"/>
              <w:rPr>
                <w:rFonts w:ascii="Arial Narrow" w:hAnsi="Arial Narrow" w:cs="Arial Narrow"/>
                <w:sz w:val="18"/>
                <w:szCs w:val="24"/>
              </w:rPr>
            </w:pPr>
            <w:r w:rsidRPr="00F8290F">
              <w:rPr>
                <w:rFonts w:ascii="Arial Narrow" w:hAnsi="Arial Narrow" w:cs="Arial Narrow"/>
                <w:sz w:val="18"/>
                <w:szCs w:val="24"/>
              </w:rPr>
              <w:t>-</w:t>
            </w:r>
            <w:r>
              <w:rPr>
                <w:rFonts w:ascii="Arial Narrow" w:hAnsi="Arial Narrow" w:cs="Arial Narrow"/>
                <w:sz w:val="18"/>
                <w:szCs w:val="24"/>
              </w:rPr>
              <w:t>12 076</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RPr="00F8290F" w:rsidP="004A0822">
            <w:pPr>
              <w:jc w:val="right"/>
              <w:rPr>
                <w:rFonts w:ascii="Arial Narrow" w:hAnsi="Arial Narrow" w:cs="Arial Narrow"/>
                <w:sz w:val="18"/>
                <w:szCs w:val="24"/>
              </w:rPr>
            </w:pPr>
            <w:r w:rsidRPr="00F8290F">
              <w:rPr>
                <w:rFonts w:ascii="Arial Narrow" w:hAnsi="Arial Narrow" w:cs="Arial Narrow"/>
                <w:sz w:val="18"/>
                <w:szCs w:val="24"/>
              </w:rPr>
              <w:t>-52 982</w:t>
            </w:r>
          </w:p>
        </w:tc>
        <w:tc>
          <w:tcPr>
            <w:tcW w:w="1188" w:type="dxa"/>
            <w:tcBorders>
              <w:top w:val="single" w:sz="4" w:space="0" w:color="auto"/>
              <w:left w:val="single" w:sz="4" w:space="0" w:color="auto"/>
              <w:bottom w:val="single" w:sz="4" w:space="0" w:color="auto"/>
              <w:right w:val="single" w:sz="4" w:space="0" w:color="auto"/>
            </w:tcBorders>
            <w:noWrap/>
            <w:textDirection w:val="lrTb"/>
            <w:vAlign w:val="bottom"/>
          </w:tcPr>
          <w:p w:rsidR="00DD172F" w:rsidRPr="00F8290F" w:rsidP="004A0822">
            <w:pPr>
              <w:jc w:val="right"/>
              <w:rPr>
                <w:rFonts w:ascii="Arial Narrow" w:hAnsi="Arial Narrow" w:cs="Arial Narrow"/>
                <w:sz w:val="18"/>
                <w:szCs w:val="24"/>
              </w:rPr>
            </w:pPr>
            <w:r w:rsidRPr="00F8290F">
              <w:rPr>
                <w:rFonts w:ascii="Arial Narrow" w:hAnsi="Arial Narrow" w:cs="Arial Narrow"/>
                <w:sz w:val="18"/>
                <w:szCs w:val="24"/>
              </w:rPr>
              <w:t>-70 142</w:t>
            </w:r>
          </w:p>
        </w:tc>
        <w:tc>
          <w:tcPr>
            <w:tcW w:w="1188" w:type="dxa"/>
            <w:tcBorders>
              <w:top w:val="single" w:sz="4" w:space="0" w:color="auto"/>
              <w:left w:val="single" w:sz="4" w:space="0" w:color="auto"/>
              <w:bottom w:val="single" w:sz="4" w:space="0" w:color="auto"/>
              <w:right w:val="single" w:sz="4" w:space="0" w:color="auto"/>
            </w:tcBorders>
            <w:textDirection w:val="lrTb"/>
            <w:vAlign w:val="bottom"/>
          </w:tcPr>
          <w:p w:rsidR="00DD172F" w:rsidRPr="00F8290F" w:rsidP="004A0822">
            <w:pPr>
              <w:jc w:val="right"/>
              <w:rPr>
                <w:rFonts w:ascii="Arial Narrow" w:hAnsi="Arial Narrow" w:cs="Arial Narrow"/>
                <w:sz w:val="18"/>
                <w:szCs w:val="24"/>
              </w:rPr>
            </w:pPr>
            <w:r w:rsidRPr="00F8290F">
              <w:rPr>
                <w:rFonts w:ascii="Arial Narrow" w:hAnsi="Arial Narrow" w:cs="Arial Narrow"/>
                <w:sz w:val="18"/>
                <w:szCs w:val="24"/>
              </w:rPr>
              <w:t>-63 286</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1A652B" w:rsidP="00B80F08">
            <w:pPr>
              <w:ind w:left="708"/>
              <w:rPr>
                <w:rFonts w:ascii="Arial Narrow" w:hAnsi="Arial Narrow" w:cs="Arial Narrow"/>
                <w:sz w:val="18"/>
                <w:szCs w:val="24"/>
              </w:rPr>
            </w:pPr>
            <w:r w:rsidRPr="001A652B">
              <w:rPr>
                <w:rFonts w:ascii="Arial Narrow" w:hAnsi="Arial Narrow" w:cs="Arial Narrow"/>
                <w:sz w:val="18"/>
                <w:szCs w:val="24"/>
              </w:rPr>
              <w:t>DPH</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9 042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4A0822">
            <w:pPr>
              <w:jc w:val="right"/>
              <w:rPr>
                <w:rFonts w:ascii="Arial Narrow" w:hAnsi="Arial Narrow" w:cs="Arial Narrow"/>
                <w:sz w:val="18"/>
                <w:szCs w:val="24"/>
              </w:rPr>
            </w:pPr>
            <w:r>
              <w:rPr>
                <w:rFonts w:ascii="Arial Narrow" w:hAnsi="Arial Narrow" w:cs="Arial Narrow"/>
                <w:sz w:val="18"/>
                <w:szCs w:val="24"/>
              </w:rPr>
              <w:t>-24 612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4A0822">
            <w:pPr>
              <w:jc w:val="right"/>
              <w:rPr>
                <w:rFonts w:ascii="Arial Narrow" w:hAnsi="Arial Narrow" w:cs="Arial Narrow"/>
                <w:sz w:val="18"/>
                <w:szCs w:val="24"/>
              </w:rPr>
            </w:pPr>
            <w:r>
              <w:rPr>
                <w:rFonts w:ascii="Arial Narrow" w:hAnsi="Arial Narrow" w:cs="Arial Narrow"/>
                <w:sz w:val="18"/>
                <w:szCs w:val="24"/>
              </w:rPr>
              <w:t>-30 464</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RPr="00AE4ACC" w:rsidP="004A0822">
            <w:pPr>
              <w:jc w:val="right"/>
              <w:rPr>
                <w:rFonts w:ascii="Arial Narrow" w:hAnsi="Arial Narrow" w:cs="Arial Narrow"/>
                <w:sz w:val="18"/>
                <w:szCs w:val="24"/>
              </w:rPr>
            </w:pPr>
            <w:r>
              <w:rPr>
                <w:rFonts w:ascii="Arial Narrow" w:hAnsi="Arial Narrow" w:cs="Arial Narrow"/>
                <w:sz w:val="18"/>
                <w:szCs w:val="24"/>
              </w:rPr>
              <w:t>-31 672</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1A652B" w:rsidP="00B80F08">
            <w:pPr>
              <w:ind w:left="708"/>
              <w:rPr>
                <w:rFonts w:ascii="Arial Narrow" w:hAnsi="Arial Narrow" w:cs="Arial Narrow"/>
                <w:sz w:val="18"/>
                <w:szCs w:val="24"/>
              </w:rPr>
            </w:pPr>
            <w:r>
              <w:rPr>
                <w:rFonts w:ascii="Arial Narrow" w:hAnsi="Arial Narrow" w:cs="Arial Narrow"/>
                <w:sz w:val="18"/>
                <w:szCs w:val="24"/>
              </w:rPr>
              <w:t>Spotrebná daň z tabakových výrobkov</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-2 556</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B80F08">
            <w:pPr>
              <w:ind w:left="708"/>
              <w:rPr>
                <w:rFonts w:ascii="Arial Narrow" w:hAnsi="Arial Narrow" w:cs="Arial Narrow"/>
                <w:sz w:val="18"/>
                <w:szCs w:val="24"/>
              </w:rPr>
            </w:pPr>
            <w:r>
              <w:rPr>
                <w:rFonts w:ascii="Arial Narrow" w:hAnsi="Arial Narrow" w:cs="Arial Narrow"/>
                <w:sz w:val="18"/>
                <w:szCs w:val="24"/>
              </w:rPr>
              <w:t>Spotrebná daň z liehu</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13 170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20 040</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20 710</w:t>
            </w:r>
          </w:p>
        </w:tc>
      </w:tr>
      <w:tr>
        <w:tblPrEx>
          <w:tblW w:w="9072" w:type="dxa"/>
          <w:jc w:val="center"/>
          <w:tblInd w:w="0" w:type="dxa"/>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B80F08">
            <w:pPr>
              <w:ind w:left="708"/>
              <w:rPr>
                <w:rFonts w:ascii="Arial Narrow" w:hAnsi="Arial Narrow" w:cs="Arial Narrow"/>
                <w:sz w:val="18"/>
                <w:szCs w:val="24"/>
              </w:rPr>
            </w:pPr>
            <w:r>
              <w:rPr>
                <w:rFonts w:ascii="Arial Narrow" w:hAnsi="Arial Narrow" w:cs="Arial Narrow"/>
                <w:sz w:val="18"/>
                <w:szCs w:val="24"/>
              </w:rPr>
              <w:t>Daň za jadrové zariadenie</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292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292</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292</w:t>
            </w:r>
          </w:p>
        </w:tc>
      </w:tr>
    </w:tbl>
    <w:p w:rsidR="00DD172F" w:rsidP="00DD172F">
      <w:pPr>
        <w:jc w:val="both"/>
        <w:rPr>
          <w:rFonts w:ascii="Arial Narrow" w:hAnsi="Arial Narrow" w:cs="Arial Narrow"/>
          <w:sz w:val="16"/>
          <w:szCs w:val="24"/>
        </w:rPr>
      </w:pPr>
      <w:r w:rsidRPr="00A76C1C">
        <w:rPr>
          <w:rFonts w:ascii="Arial Narrow" w:hAnsi="Arial Narrow" w:cs="Arial Narrow"/>
          <w:sz w:val="16"/>
          <w:szCs w:val="24"/>
        </w:rPr>
        <w:t xml:space="preserve">* znamienko (-) znamená </w:t>
      </w:r>
      <w:r>
        <w:rPr>
          <w:rFonts w:ascii="Arial Narrow" w:hAnsi="Arial Narrow" w:cs="Arial Narrow"/>
          <w:sz w:val="16"/>
          <w:szCs w:val="24"/>
        </w:rPr>
        <w:t xml:space="preserve">zníženie daňových príjmov </w:t>
      </w:r>
      <w:r w:rsidRPr="00A76C1C">
        <w:rPr>
          <w:rFonts w:ascii="Arial Narrow" w:hAnsi="Arial Narrow" w:cs="Arial Narrow"/>
          <w:sz w:val="16"/>
          <w:szCs w:val="24"/>
        </w:rPr>
        <w:t>verejnej správy</w:t>
      </w:r>
    </w:p>
    <w:p w:rsidR="00DD172F" w:rsidP="00DD172F">
      <w:pPr>
        <w:jc w:val="both"/>
        <w:rPr>
          <w:rFonts w:ascii="Arial Narrow" w:hAnsi="Arial Narrow" w:cs="Arial Narrow"/>
          <w:sz w:val="22"/>
          <w:szCs w:val="24"/>
        </w:rPr>
      </w:pPr>
    </w:p>
    <w:p w:rsidR="00DD172F" w:rsidRPr="00BA7187" w:rsidP="00DD172F">
      <w:pPr>
        <w:ind w:firstLine="720"/>
        <w:jc w:val="both"/>
        <w:rPr>
          <w:rFonts w:ascii="Arial Narrow" w:hAnsi="Arial Narrow" w:cs="Arial Narrow"/>
          <w:sz w:val="22"/>
          <w:szCs w:val="24"/>
        </w:rPr>
      </w:pPr>
      <w:r>
        <w:rPr>
          <w:rFonts w:ascii="Arial Narrow" w:hAnsi="Arial Narrow" w:cs="Arial Narrow"/>
          <w:sz w:val="22"/>
          <w:szCs w:val="24"/>
        </w:rPr>
        <w:t>Novelou zákona č. 595/2003 Z. z. o </w:t>
      </w:r>
      <w:r w:rsidRPr="001E70C4">
        <w:rPr>
          <w:rFonts w:ascii="Arial Narrow" w:hAnsi="Arial Narrow" w:cs="Arial Narrow"/>
          <w:b/>
          <w:sz w:val="22"/>
          <w:szCs w:val="24"/>
        </w:rPr>
        <w:t>dani z príjmov</w:t>
      </w:r>
      <w:r>
        <w:rPr>
          <w:rFonts w:ascii="Arial Narrow" w:hAnsi="Arial Narrow" w:cs="Arial Narrow"/>
          <w:sz w:val="22"/>
          <w:szCs w:val="24"/>
        </w:rPr>
        <w:t xml:space="preserve">, ktorú NR SR schválila dňa 9.2.2009, sa zaviedlo viacero legislatívnych zmien prijatých za účelom podpory ekonomického rastu, zníženia administratívnej záťaže v podnikaní a zabezpečenia rovnakých pravidiel pri zdaňovaní s účinnosťou od 1.3.2009. V nasledujúcom texte je uvedený podrobnejší </w:t>
      </w:r>
      <w:r w:rsidRPr="00BA7187">
        <w:rPr>
          <w:rFonts w:ascii="Arial Narrow" w:hAnsi="Arial Narrow" w:cs="Arial Narrow"/>
          <w:sz w:val="22"/>
          <w:szCs w:val="24"/>
        </w:rPr>
        <w:t>opis týchto opatrení.</w:t>
      </w:r>
    </w:p>
    <w:p w:rsidR="00DD172F" w:rsidRPr="00BA7187" w:rsidP="00ED680D">
      <w:pPr>
        <w:numPr>
          <w:numId w:val="6"/>
        </w:numPr>
        <w:spacing w:before="120"/>
        <w:jc w:val="both"/>
        <w:rPr>
          <w:rFonts w:ascii="Arial Narrow" w:hAnsi="Arial Narrow" w:cs="Arial Narrow"/>
          <w:sz w:val="22"/>
          <w:szCs w:val="24"/>
        </w:rPr>
      </w:pPr>
      <w:r w:rsidRPr="00BA7187">
        <w:rPr>
          <w:rFonts w:ascii="Arial Narrow" w:hAnsi="Arial Narrow" w:cs="Arial Narrow"/>
          <w:sz w:val="22"/>
          <w:szCs w:val="24"/>
        </w:rPr>
        <w:t>Zvýšenie nezdaniteľnej časti základu dane na daňovníka počas obdobia rokov 2009 a 2010 z 19,2-násobku životného minima na úroveň 22,5-násobku životného minima, posun hranice znižovania nezdaniteľnej časti základu dane zo 100-násobku životného minima na 86-násobok životného minima a posilnenie zamestnaneckej prémie. V roku 2009 tak došlo k zvýšeniu nezdaniteľnej časti základu dane z pôvodných 3 43</w:t>
      </w:r>
      <w:r>
        <w:rPr>
          <w:rFonts w:ascii="Arial Narrow" w:hAnsi="Arial Narrow" w:cs="Arial Narrow"/>
          <w:sz w:val="22"/>
          <w:szCs w:val="24"/>
        </w:rPr>
        <w:t>5</w:t>
      </w:r>
      <w:r w:rsidRPr="00BA7187">
        <w:rPr>
          <w:rFonts w:ascii="Arial Narrow" w:hAnsi="Arial Narrow" w:cs="Arial Narrow"/>
          <w:sz w:val="22"/>
          <w:szCs w:val="24"/>
        </w:rPr>
        <w:t>,27 eur na úroveň 4 025,70 eur a maximálna výška zamestnaneckej prémie sa zvýšila zo 70 eur na 181,03 eur.</w:t>
      </w:r>
    </w:p>
    <w:p w:rsidR="00DD172F" w:rsidP="00ED680D">
      <w:pPr>
        <w:numPr>
          <w:numId w:val="6"/>
        </w:numPr>
        <w:spacing w:before="120"/>
        <w:jc w:val="both"/>
        <w:rPr>
          <w:rFonts w:ascii="Arial Narrow" w:hAnsi="Arial Narrow" w:cs="Arial Narrow"/>
          <w:sz w:val="22"/>
          <w:szCs w:val="24"/>
        </w:rPr>
      </w:pPr>
      <w:r w:rsidRPr="00BA7187">
        <w:rPr>
          <w:rFonts w:ascii="Arial Narrow" w:hAnsi="Arial Narrow" w:cs="Arial Narrow"/>
          <w:sz w:val="22"/>
          <w:szCs w:val="24"/>
        </w:rPr>
        <w:t>Zavedenie výnimky z povinnosti</w:t>
      </w:r>
      <w:r>
        <w:rPr>
          <w:rFonts w:ascii="Arial Narrow" w:hAnsi="Arial Narrow" w:cs="Arial Narrow"/>
          <w:sz w:val="22"/>
          <w:szCs w:val="24"/>
        </w:rPr>
        <w:t xml:space="preserve"> viesť účtovníctvo (zjednodušenie daňovej evidencie) pre podnikateľov, ktorí sú fyzickými osobami, uplatňujú preukázateľné daňové výdavky, nezamestnávajú žiadnych zamestnancov a ich obrat nie je vyšší ako 170 000 eur - na základe tohto ustanovenia zákona sa tak na týchto daňovníkov nebude vzťahovať povinnosť vykonať inventarizáciu, zostavovať účtovnú závierku, povinnosť uzatvárať a otvárať účtovné knihy a vyhotovovať účtovné výkazy</w:t>
      </w:r>
      <w:r w:rsidRPr="0035367F">
        <w:rPr>
          <w:rFonts w:ascii="Arial Narrow" w:hAnsi="Arial Narrow" w:cs="Arial Narrow"/>
          <w:sz w:val="22"/>
          <w:szCs w:val="24"/>
        </w:rPr>
        <w:t>, oceňovať majetok reálnou hodnotou, zostavovať účtovný odpisový plá</w:t>
      </w:r>
      <w:r>
        <w:rPr>
          <w:rFonts w:ascii="Arial Narrow" w:hAnsi="Arial Narrow" w:cs="Arial Narrow"/>
          <w:sz w:val="22"/>
          <w:szCs w:val="24"/>
        </w:rPr>
        <w:t>n a vyčísľovať kurzové rozdiely.</w:t>
      </w:r>
    </w:p>
    <w:p w:rsidR="00DD172F" w:rsidP="00ED680D">
      <w:pPr>
        <w:numPr>
          <w:numId w:val="6"/>
        </w:numPr>
        <w:spacing w:before="120"/>
        <w:jc w:val="both"/>
        <w:rPr>
          <w:rFonts w:ascii="Arial Narrow" w:hAnsi="Arial Narrow" w:cs="Arial Narrow"/>
          <w:sz w:val="22"/>
          <w:szCs w:val="24"/>
        </w:rPr>
      </w:pPr>
      <w:r>
        <w:rPr>
          <w:rFonts w:ascii="Arial Narrow" w:hAnsi="Arial Narrow" w:cs="Arial Narrow"/>
          <w:sz w:val="22"/>
          <w:szCs w:val="24"/>
        </w:rPr>
        <w:t>Zvýšenie vstupnej ceny hmotného majetku a technického zhodnotenia hmotného a nehmotného majetku z 996 eur na 1 700 eur, ako aj zvýšenie vstupnej ceny nehmotného majetku z 1 660 eur na 2 400 eur, zavedenie účtovania zriaďovacích nákladov priamo do nákladov, pričom zriaďovacie výdavky sa nebudú ďalej považovať za nehmotný majetok tak na účtovné ako aj daňové účely.</w:t>
      </w:r>
    </w:p>
    <w:p w:rsidR="00DD172F" w:rsidP="00ED680D">
      <w:pPr>
        <w:numPr>
          <w:numId w:val="6"/>
        </w:numPr>
        <w:spacing w:before="120"/>
        <w:jc w:val="both"/>
        <w:rPr>
          <w:rFonts w:ascii="Arial Narrow" w:hAnsi="Arial Narrow" w:cs="Arial Narrow"/>
          <w:sz w:val="22"/>
          <w:szCs w:val="24"/>
        </w:rPr>
      </w:pPr>
      <w:r w:rsidRPr="00D16010">
        <w:rPr>
          <w:rFonts w:ascii="Arial Narrow" w:hAnsi="Arial Narrow" w:cs="Arial Narrow"/>
          <w:sz w:val="22"/>
          <w:szCs w:val="24"/>
        </w:rPr>
        <w:t>Zavedenie možnosti výberu jedného z troch variantov pre uplatňovanie preukázateľne vynaložených výdavkov na spot</w:t>
      </w:r>
      <w:r>
        <w:rPr>
          <w:rFonts w:ascii="Arial Narrow" w:hAnsi="Arial Narrow" w:cs="Arial Narrow"/>
          <w:sz w:val="22"/>
          <w:szCs w:val="24"/>
        </w:rPr>
        <w:t xml:space="preserve">rebované pohonné látky, pričom </w:t>
      </w:r>
      <w:r w:rsidRPr="00D16010">
        <w:rPr>
          <w:rFonts w:ascii="Arial Narrow" w:hAnsi="Arial Narrow" w:cs="Arial Narrow"/>
          <w:sz w:val="22"/>
          <w:szCs w:val="24"/>
        </w:rPr>
        <w:t xml:space="preserve">súčasný platný stav </w:t>
      </w:r>
      <w:r>
        <w:rPr>
          <w:rFonts w:ascii="Arial Narrow" w:hAnsi="Arial Narrow" w:cs="Arial Narrow"/>
          <w:sz w:val="22"/>
          <w:szCs w:val="24"/>
        </w:rPr>
        <w:t>bol rozšírený</w:t>
      </w:r>
      <w:r w:rsidRPr="00D16010">
        <w:rPr>
          <w:rFonts w:ascii="Arial Narrow" w:hAnsi="Arial Narrow" w:cs="Arial Narrow"/>
          <w:sz w:val="22"/>
          <w:szCs w:val="24"/>
        </w:rPr>
        <w:t xml:space="preserve"> </w:t>
      </w:r>
      <w:r>
        <w:rPr>
          <w:rFonts w:ascii="Arial Narrow" w:hAnsi="Arial Narrow" w:cs="Arial Narrow"/>
          <w:sz w:val="22"/>
          <w:szCs w:val="24"/>
        </w:rPr>
        <w:t xml:space="preserve">o </w:t>
      </w:r>
      <w:r w:rsidRPr="00D16010">
        <w:rPr>
          <w:rFonts w:ascii="Arial Narrow" w:hAnsi="Arial Narrow" w:cs="Arial Narrow"/>
          <w:sz w:val="22"/>
          <w:szCs w:val="24"/>
        </w:rPr>
        <w:t>dve nové možnosti</w:t>
      </w:r>
      <w:r>
        <w:rPr>
          <w:rFonts w:ascii="Arial Narrow" w:hAnsi="Arial Narrow" w:cs="Arial Narrow"/>
          <w:sz w:val="22"/>
          <w:szCs w:val="24"/>
        </w:rPr>
        <w:t xml:space="preserve"> - prvou je u vozidiel vybavených jednotkou satelitného sledovania možnosť uplatnenia daňových výdavkov na základe pohybu vozidla, keď jednotka satelitného sledovania zaznamenáva evidenciu jázd. Druhou možnosťou je uplatniť paušálne výdavky na spotrebu pohonných látok do výšky 80</w:t>
      </w:r>
      <w:r w:rsidR="00F66708">
        <w:rPr>
          <w:rFonts w:ascii="Arial Narrow" w:hAnsi="Arial Narrow" w:cs="Arial Narrow"/>
          <w:sz w:val="22"/>
          <w:szCs w:val="24"/>
        </w:rPr>
        <w:t xml:space="preserve"> </w:t>
      </w:r>
      <w:r>
        <w:rPr>
          <w:rFonts w:ascii="Arial Narrow" w:hAnsi="Arial Narrow" w:cs="Arial Narrow"/>
          <w:sz w:val="22"/>
          <w:szCs w:val="24"/>
        </w:rPr>
        <w:t>% z celkového preukázateľného nákupu pohonných látok, pričom nie je potrebné viesť knihu jázd, ale bude sa vychádzať z počtu najazdených kilometrov, ktoré sa zistia zo stavu tachometra na začiatku a na konci príslušného zdaňovacieho obdobia.</w:t>
      </w:r>
    </w:p>
    <w:p w:rsidR="00DD172F" w:rsidP="00ED680D">
      <w:pPr>
        <w:numPr>
          <w:numId w:val="6"/>
        </w:numPr>
        <w:spacing w:before="120"/>
        <w:jc w:val="both"/>
        <w:rPr>
          <w:rFonts w:ascii="Arial Narrow" w:hAnsi="Arial Narrow" w:cs="Arial Narrow"/>
          <w:sz w:val="22"/>
          <w:szCs w:val="24"/>
        </w:rPr>
      </w:pPr>
      <w:r>
        <w:rPr>
          <w:rFonts w:ascii="Arial Narrow" w:hAnsi="Arial Narrow" w:cs="Arial Narrow"/>
          <w:sz w:val="22"/>
          <w:szCs w:val="24"/>
        </w:rPr>
        <w:t>Zavedenie odpisovania jednotlivých oddeliteľných súčastí (tzv. komponentné odpisovanie) za podmienky, že takto odpisovaný hmotný majetok charakteru samostatných hnuteľných vecí sa môže rozložiť na jednotlivé oddeliteľné súčasti (komponenty), ktorých vstupná cena bude vyššia ako 1 700 eur.</w:t>
      </w:r>
    </w:p>
    <w:p w:rsidR="00DD172F" w:rsidP="00ED680D">
      <w:pPr>
        <w:numPr>
          <w:numId w:val="6"/>
        </w:numPr>
        <w:spacing w:before="120"/>
        <w:jc w:val="both"/>
        <w:rPr>
          <w:rFonts w:ascii="Arial Narrow" w:hAnsi="Arial Narrow" w:cs="Arial Narrow"/>
          <w:sz w:val="22"/>
          <w:szCs w:val="24"/>
        </w:rPr>
      </w:pPr>
      <w:r>
        <w:rPr>
          <w:rFonts w:ascii="Arial Narrow" w:hAnsi="Arial Narrow" w:cs="Arial Narrow"/>
          <w:sz w:val="22"/>
          <w:szCs w:val="24"/>
        </w:rPr>
        <w:t>Zavedenie oslobodenia od dane pre príjmy získané nadobudnutím vlastníctva bytu ako náhrady za uvoľnenie iného bytu alebo ako náhrady za uvoľnenie bytu, vyplatenej užívateľovi bytu a pre prijaté náhrady za vyvlastnenie pozemkov a stavieb vo verejnom záujme.</w:t>
      </w:r>
    </w:p>
    <w:p w:rsidR="00DD172F" w:rsidP="00DD172F">
      <w:pPr>
        <w:numPr>
          <w:numId w:val="6"/>
        </w:numPr>
        <w:jc w:val="both"/>
        <w:rPr>
          <w:rFonts w:ascii="Arial Narrow" w:hAnsi="Arial Narrow" w:cs="Arial Narrow"/>
          <w:sz w:val="22"/>
          <w:szCs w:val="24"/>
        </w:rPr>
      </w:pPr>
      <w:r>
        <w:rPr>
          <w:rFonts w:ascii="Arial Narrow" w:hAnsi="Arial Narrow" w:cs="Arial Narrow"/>
          <w:sz w:val="22"/>
          <w:szCs w:val="24"/>
        </w:rPr>
        <w:t>Zavedenie možnosti uplatnenia nezdaniteľnej časti základu dane a daňového bonusu pre nerezidentov (daňovníkov s obmedzenou daňovou povinnosťou), ale len za podmienky, že úhrn ich zdaniteľných príjmov zo zdrojov na území SR v príslušnom zdaňovacom období tvorí najmenej 90</w:t>
      </w:r>
      <w:r w:rsidR="00F66708">
        <w:rPr>
          <w:rFonts w:ascii="Arial Narrow" w:hAnsi="Arial Narrow" w:cs="Arial Narrow"/>
          <w:sz w:val="22"/>
          <w:szCs w:val="24"/>
        </w:rPr>
        <w:t xml:space="preserve"> </w:t>
      </w:r>
      <w:r>
        <w:rPr>
          <w:rFonts w:ascii="Arial Narrow" w:hAnsi="Arial Narrow" w:cs="Arial Narrow"/>
          <w:sz w:val="22"/>
          <w:szCs w:val="24"/>
        </w:rPr>
        <w:t>% zo všetkých príjmov týchto daňovníkov. Zavedenie možnosti podať daňové priznanie zo zdrojov na území SR aj pre nerezidenta, čo umožní daňovníkom s obmedzenou daňovou povinnosťou vysporiadať daň rovnakým spôsobom ako u daňovníkov s neobmedzenou daňovou povinnosťou.</w:t>
      </w:r>
    </w:p>
    <w:p w:rsidR="00DD172F" w:rsidRPr="00137107" w:rsidP="00DD172F">
      <w:pPr>
        <w:jc w:val="both"/>
        <w:rPr>
          <w:rFonts w:ascii="Arial Narrow" w:hAnsi="Arial Narrow" w:cs="Arial Narrow"/>
          <w:sz w:val="22"/>
          <w:szCs w:val="24"/>
        </w:rPr>
      </w:pPr>
    </w:p>
    <w:p w:rsidR="00DD172F" w:rsidRPr="00276114" w:rsidP="00DD172F">
      <w:pPr>
        <w:ind w:firstLine="720"/>
        <w:jc w:val="both"/>
        <w:rPr>
          <w:rFonts w:ascii="Arial Narrow" w:hAnsi="Arial Narrow" w:cs="Arial Narrow"/>
          <w:sz w:val="22"/>
          <w:szCs w:val="24"/>
        </w:rPr>
      </w:pPr>
      <w:r w:rsidRPr="00276114">
        <w:rPr>
          <w:rFonts w:ascii="Arial Narrow" w:hAnsi="Arial Narrow" w:cs="Arial Narrow"/>
          <w:sz w:val="22"/>
          <w:szCs w:val="24"/>
        </w:rPr>
        <w:t>Novelou zákona č. 595/2003 Z. z. o </w:t>
      </w:r>
      <w:r w:rsidRPr="00276114">
        <w:rPr>
          <w:rFonts w:ascii="Arial Narrow" w:hAnsi="Arial Narrow" w:cs="Arial Narrow"/>
          <w:b/>
          <w:sz w:val="22"/>
          <w:szCs w:val="24"/>
        </w:rPr>
        <w:t>dani z príjmov</w:t>
      </w:r>
      <w:r w:rsidRPr="00276114">
        <w:rPr>
          <w:rFonts w:ascii="Arial Narrow" w:hAnsi="Arial Narrow" w:cs="Arial Narrow"/>
          <w:sz w:val="22"/>
          <w:szCs w:val="24"/>
        </w:rPr>
        <w:t>, ktorú schválila vláda SR dňa 19.8.2009, sa zaviedlo oslobodenie príjmu - ako náhrady za stratu zdaniteľného príjmu od dane z príjmu v prípade, že zamestnanec bol povinný zúčastniť sa súdneho pojednávania (s účinnosťou od 1.1.2010). S uvedeným opatrením je spojený negatívny vplyv na daňové príjmy v rokoc</w:t>
      </w:r>
      <w:r>
        <w:rPr>
          <w:rFonts w:ascii="Arial Narrow" w:hAnsi="Arial Narrow" w:cs="Arial Narrow"/>
          <w:sz w:val="22"/>
          <w:szCs w:val="24"/>
        </w:rPr>
        <w:t xml:space="preserve">h 2010 </w:t>
      </w:r>
      <w:r w:rsidR="00A97FD4">
        <w:rPr>
          <w:rFonts w:ascii="Arial Narrow" w:hAnsi="Arial Narrow" w:cs="Arial Narrow"/>
          <w:sz w:val="22"/>
          <w:szCs w:val="24"/>
        </w:rPr>
        <w:t>až</w:t>
      </w:r>
      <w:r>
        <w:rPr>
          <w:rFonts w:ascii="Arial Narrow" w:hAnsi="Arial Narrow" w:cs="Arial Narrow"/>
          <w:sz w:val="22"/>
          <w:szCs w:val="24"/>
        </w:rPr>
        <w:t xml:space="preserve"> 2012 vo výške 40 tis. e</w:t>
      </w:r>
      <w:r w:rsidRPr="00276114">
        <w:rPr>
          <w:rFonts w:ascii="Arial Narrow" w:hAnsi="Arial Narrow" w:cs="Arial Narrow"/>
          <w:sz w:val="22"/>
          <w:szCs w:val="24"/>
        </w:rPr>
        <w:t>ur ročne.</w:t>
      </w:r>
    </w:p>
    <w:p w:rsidR="00DD172F" w:rsidRPr="00276114" w:rsidP="00DD172F">
      <w:pPr>
        <w:ind w:firstLine="720"/>
        <w:jc w:val="both"/>
        <w:rPr>
          <w:rFonts w:ascii="Arial Narrow" w:hAnsi="Arial Narrow" w:cs="Arial Narrow"/>
          <w:sz w:val="22"/>
          <w:szCs w:val="24"/>
        </w:rPr>
      </w:pPr>
    </w:p>
    <w:p w:rsidR="00DD172F" w:rsidRPr="00137107" w:rsidP="00DD172F">
      <w:pPr>
        <w:ind w:firstLine="720"/>
        <w:jc w:val="both"/>
        <w:rPr>
          <w:rFonts w:ascii="Arial Narrow" w:hAnsi="Arial Narrow" w:cs="Arial Narrow"/>
          <w:b/>
          <w:sz w:val="22"/>
          <w:szCs w:val="24"/>
        </w:rPr>
      </w:pPr>
      <w:r w:rsidRPr="00276114">
        <w:rPr>
          <w:rFonts w:ascii="Arial Narrow" w:hAnsi="Arial Narrow" w:cs="Arial Narrow"/>
          <w:sz w:val="22"/>
          <w:szCs w:val="24"/>
        </w:rPr>
        <w:t>Novelou zákona č. 461/2003 Z. z. o </w:t>
      </w:r>
      <w:r w:rsidRPr="00276114">
        <w:rPr>
          <w:rFonts w:ascii="Arial Narrow" w:hAnsi="Arial Narrow" w:cs="Arial Narrow"/>
          <w:b/>
          <w:sz w:val="22"/>
          <w:szCs w:val="24"/>
        </w:rPr>
        <w:t>sociálnom poistení</w:t>
      </w:r>
      <w:r w:rsidRPr="00276114">
        <w:rPr>
          <w:rFonts w:ascii="Arial Narrow" w:hAnsi="Arial Narrow" w:cs="Arial Narrow"/>
          <w:sz w:val="22"/>
          <w:szCs w:val="24"/>
        </w:rPr>
        <w:t>, ktorú NR SR schválila dňa 11.3.2009, sa s účinnosťou od 1.4.2009 do 31.12.2010 zaviedlo dočasné zníženie sadzby sociálneho poistenia pre SZČO do rezervného fondu solidarity z 4,75</w:t>
      </w:r>
      <w:r w:rsidR="00F66708">
        <w:rPr>
          <w:rFonts w:ascii="Arial Narrow" w:hAnsi="Arial Narrow" w:cs="Arial Narrow"/>
          <w:sz w:val="22"/>
          <w:szCs w:val="24"/>
        </w:rPr>
        <w:t xml:space="preserve"> </w:t>
      </w:r>
      <w:r w:rsidRPr="00276114">
        <w:rPr>
          <w:rFonts w:ascii="Arial Narrow" w:hAnsi="Arial Narrow" w:cs="Arial Narrow"/>
          <w:sz w:val="22"/>
          <w:szCs w:val="24"/>
        </w:rPr>
        <w:t>% na 2</w:t>
      </w:r>
      <w:r w:rsidR="00F66708">
        <w:rPr>
          <w:rFonts w:ascii="Arial Narrow" w:hAnsi="Arial Narrow" w:cs="Arial Narrow"/>
          <w:sz w:val="22"/>
          <w:szCs w:val="24"/>
        </w:rPr>
        <w:t xml:space="preserve"> </w:t>
      </w:r>
      <w:r w:rsidRPr="00276114">
        <w:rPr>
          <w:rFonts w:ascii="Arial Narrow" w:hAnsi="Arial Narrow" w:cs="Arial Narrow"/>
          <w:sz w:val="22"/>
          <w:szCs w:val="24"/>
        </w:rPr>
        <w:t>%. Uvedená zmena tak bude mať mierne pozitívny dopad na daň z príjmov fyzických osôb z podnikania v roku 2009 vo výške 1  011 tis. eur a v roku 2010 v sume 1 702 tis. eur.</w:t>
      </w:r>
    </w:p>
    <w:p w:rsidR="00DD172F" w:rsidRPr="00137107" w:rsidP="00DD172F">
      <w:pPr>
        <w:jc w:val="both"/>
        <w:rPr>
          <w:rFonts w:ascii="Arial Narrow" w:hAnsi="Arial Narrow" w:cs="Arial Narrow"/>
          <w:sz w:val="22"/>
          <w:szCs w:val="24"/>
        </w:rPr>
      </w:pPr>
    </w:p>
    <w:p w:rsidR="00DD172F" w:rsidRPr="003248B4" w:rsidP="00DD172F">
      <w:pPr>
        <w:ind w:firstLine="708"/>
        <w:jc w:val="both"/>
        <w:rPr>
          <w:rFonts w:ascii="Arial Narrow" w:hAnsi="Arial Narrow" w:cs="Arial Narrow"/>
          <w:sz w:val="22"/>
          <w:szCs w:val="24"/>
        </w:rPr>
      </w:pPr>
      <w:r>
        <w:rPr>
          <w:rFonts w:ascii="Arial Narrow" w:hAnsi="Arial Narrow" w:cs="Arial Narrow"/>
          <w:sz w:val="22"/>
          <w:szCs w:val="24"/>
        </w:rPr>
        <w:t>Cieľom z</w:t>
      </w:r>
      <w:r w:rsidRPr="003248B4">
        <w:rPr>
          <w:rFonts w:ascii="Arial Narrow" w:hAnsi="Arial Narrow" w:cs="Arial Narrow"/>
          <w:sz w:val="22"/>
          <w:szCs w:val="24"/>
        </w:rPr>
        <w:t>ákon</w:t>
      </w:r>
      <w:r>
        <w:rPr>
          <w:rFonts w:ascii="Arial Narrow" w:hAnsi="Arial Narrow" w:cs="Arial Narrow"/>
          <w:sz w:val="22"/>
          <w:szCs w:val="24"/>
        </w:rPr>
        <w:t>a</w:t>
      </w:r>
      <w:r w:rsidRPr="003248B4">
        <w:rPr>
          <w:rFonts w:ascii="Arial Narrow" w:hAnsi="Arial Narrow" w:cs="Arial Narrow"/>
          <w:sz w:val="22"/>
          <w:szCs w:val="24"/>
        </w:rPr>
        <w:t xml:space="preserve"> o stimuloch pre výskum a vývoj č.185/2009 </w:t>
      </w:r>
      <w:r>
        <w:rPr>
          <w:rFonts w:ascii="Arial Narrow" w:hAnsi="Arial Narrow" w:cs="Arial Narrow"/>
          <w:sz w:val="22"/>
          <w:szCs w:val="24"/>
        </w:rPr>
        <w:t>Z. z. a doplnenia z</w:t>
      </w:r>
      <w:r w:rsidRPr="003248B4">
        <w:rPr>
          <w:rFonts w:ascii="Arial Narrow" w:hAnsi="Arial Narrow" w:cs="Arial Narrow"/>
          <w:sz w:val="22"/>
          <w:szCs w:val="24"/>
        </w:rPr>
        <w:t>ákona o dani z</w:t>
      </w:r>
      <w:r>
        <w:rPr>
          <w:rFonts w:ascii="Arial Narrow" w:hAnsi="Arial Narrow" w:cs="Arial Narrow"/>
          <w:sz w:val="22"/>
          <w:szCs w:val="24"/>
        </w:rPr>
        <w:t> </w:t>
      </w:r>
      <w:r w:rsidRPr="003248B4">
        <w:rPr>
          <w:rFonts w:ascii="Arial Narrow" w:hAnsi="Arial Narrow" w:cs="Arial Narrow"/>
          <w:sz w:val="22"/>
          <w:szCs w:val="24"/>
        </w:rPr>
        <w:t>príjmov</w:t>
      </w:r>
      <w:r>
        <w:rPr>
          <w:rFonts w:ascii="Arial Narrow" w:hAnsi="Arial Narrow" w:cs="Arial Narrow"/>
          <w:sz w:val="22"/>
          <w:szCs w:val="24"/>
        </w:rPr>
        <w:t xml:space="preserve"> bolo zvýšiť</w:t>
      </w:r>
      <w:r w:rsidRPr="003248B4">
        <w:rPr>
          <w:rFonts w:ascii="Arial Narrow" w:hAnsi="Arial Narrow" w:cs="Arial Narrow"/>
          <w:sz w:val="22"/>
          <w:szCs w:val="24"/>
        </w:rPr>
        <w:t xml:space="preserve"> úrov</w:t>
      </w:r>
      <w:r>
        <w:rPr>
          <w:rFonts w:ascii="Arial Narrow" w:hAnsi="Arial Narrow" w:cs="Arial Narrow"/>
          <w:sz w:val="22"/>
          <w:szCs w:val="24"/>
        </w:rPr>
        <w:t>eň</w:t>
      </w:r>
      <w:r w:rsidRPr="003248B4">
        <w:rPr>
          <w:rFonts w:ascii="Arial Narrow" w:hAnsi="Arial Narrow" w:cs="Arial Narrow"/>
          <w:sz w:val="22"/>
          <w:szCs w:val="24"/>
        </w:rPr>
        <w:t xml:space="preserve"> výskumu a vývoja. Právnické osoby budú môcť získať okrem priamej dotácie z rozpočtu M</w:t>
      </w:r>
      <w:r>
        <w:rPr>
          <w:rFonts w:ascii="Arial Narrow" w:hAnsi="Arial Narrow" w:cs="Arial Narrow"/>
          <w:sz w:val="22"/>
          <w:szCs w:val="24"/>
        </w:rPr>
        <w:t>inisterstva školstva</w:t>
      </w:r>
      <w:r w:rsidRPr="003248B4">
        <w:rPr>
          <w:rFonts w:ascii="Arial Narrow" w:hAnsi="Arial Narrow" w:cs="Arial Narrow"/>
          <w:sz w:val="22"/>
          <w:szCs w:val="24"/>
        </w:rPr>
        <w:t xml:space="preserve"> SR aj stimul formou úľavy na dani, ktorá je maximálne vo výške vlastných nákladov právnickej osoby vložených do projektu.</w:t>
      </w:r>
    </w:p>
    <w:p w:rsidR="004A0822" w:rsidP="00DD172F">
      <w:pPr>
        <w:ind w:firstLine="708"/>
        <w:jc w:val="both"/>
        <w:rPr>
          <w:rFonts w:ascii="Arial Narrow" w:hAnsi="Arial Narrow" w:cs="Arial Narrow"/>
          <w:sz w:val="22"/>
          <w:szCs w:val="24"/>
        </w:rPr>
      </w:pPr>
    </w:p>
    <w:p w:rsidR="00DD172F" w:rsidRPr="00195DFF" w:rsidP="00DD172F">
      <w:pPr>
        <w:ind w:firstLine="708"/>
        <w:jc w:val="both"/>
        <w:rPr>
          <w:rFonts w:ascii="Arial Narrow" w:hAnsi="Arial Narrow" w:cs="Arial Narrow"/>
          <w:sz w:val="22"/>
          <w:szCs w:val="24"/>
        </w:rPr>
      </w:pPr>
      <w:r w:rsidRPr="003248B4">
        <w:rPr>
          <w:rFonts w:ascii="Arial Narrow" w:hAnsi="Arial Narrow" w:cs="Arial Narrow"/>
          <w:sz w:val="22"/>
          <w:szCs w:val="24"/>
        </w:rPr>
        <w:t>V decembri 2008 bola schválená investičná pomoc formou daňovej úľavy pre automobilový priemysel. Cieľom je kapacitný rozvoj, pričom sa žiadateľ zaväzuje do roku 2012 vytvoriť 760 nových pracovných miest.</w:t>
      </w:r>
    </w:p>
    <w:p w:rsidR="00D43B68"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tbl>
      <w:tblPr>
        <w:tblStyle w:val="TableNormal"/>
        <w:tblW w:w="9157" w:type="dxa"/>
        <w:tblInd w:w="55" w:type="dxa"/>
        <w:tblLayout w:type="fixed"/>
        <w:tblCellMar>
          <w:left w:w="70" w:type="dxa"/>
          <w:right w:w="70" w:type="dxa"/>
        </w:tblCellMar>
      </w:tblPr>
      <w:tblGrid>
        <w:gridCol w:w="5032"/>
        <w:gridCol w:w="1031"/>
        <w:gridCol w:w="1031"/>
        <w:gridCol w:w="1031"/>
        <w:gridCol w:w="1032"/>
      </w:tblGrid>
      <w:tr>
        <w:tblPrEx>
          <w:tblW w:w="9157" w:type="dxa"/>
          <w:tblInd w:w="55" w:type="dxa"/>
          <w:tblLayout w:type="fixed"/>
          <w:tblCellMar>
            <w:left w:w="70" w:type="dxa"/>
            <w:right w:w="70" w:type="dxa"/>
          </w:tblCellMar>
        </w:tblPrEx>
        <w:trPr>
          <w:trHeight w:val="255"/>
        </w:trPr>
        <w:tc>
          <w:tcPr>
            <w:tcW w:w="9157" w:type="dxa"/>
            <w:gridSpan w:val="5"/>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D172F" w:rsidP="00B80F08">
            <w:pPr>
              <w:rPr>
                <w:rFonts w:ascii="Arial Narrow" w:hAnsi="Arial Narrow" w:cs="Arial Narrow"/>
                <w:b/>
                <w:color w:val="FFFFFF"/>
                <w:sz w:val="20"/>
                <w:szCs w:val="24"/>
              </w:rPr>
            </w:pPr>
            <w:r>
              <w:rPr>
                <w:rFonts w:ascii="Arial Narrow" w:hAnsi="Arial Narrow" w:cs="Arial Narrow"/>
                <w:b/>
                <w:color w:val="FFFFFF"/>
                <w:sz w:val="20"/>
                <w:szCs w:val="24"/>
              </w:rPr>
              <w:t xml:space="preserve">Vplyv noviel zákona č. 595/2003 </w:t>
            </w:r>
            <w:r w:rsidR="00BB5C1C">
              <w:rPr>
                <w:rFonts w:ascii="Arial Narrow" w:hAnsi="Arial Narrow" w:cs="Arial Narrow"/>
                <w:b/>
                <w:color w:val="FFFFFF"/>
                <w:sz w:val="20"/>
                <w:szCs w:val="24"/>
              </w:rPr>
              <w:t xml:space="preserve">Z. z. </w:t>
            </w:r>
            <w:r>
              <w:rPr>
                <w:rFonts w:ascii="Arial Narrow" w:hAnsi="Arial Narrow" w:cs="Arial Narrow"/>
                <w:b/>
                <w:color w:val="FFFFFF"/>
                <w:sz w:val="20"/>
                <w:szCs w:val="24"/>
              </w:rPr>
              <w:t>o dani z p</w:t>
            </w:r>
            <w:r w:rsidR="00BB5C1C">
              <w:rPr>
                <w:rFonts w:ascii="Arial Narrow" w:hAnsi="Arial Narrow" w:cs="Arial Narrow"/>
                <w:b/>
                <w:color w:val="FFFFFF"/>
                <w:sz w:val="20"/>
                <w:szCs w:val="24"/>
              </w:rPr>
              <w:t>ríjmov</w:t>
            </w:r>
            <w:r>
              <w:rPr>
                <w:rFonts w:ascii="Arial Narrow" w:hAnsi="Arial Narrow" w:cs="Arial Narrow"/>
                <w:b/>
                <w:color w:val="FFFFFF"/>
                <w:sz w:val="20"/>
                <w:szCs w:val="24"/>
              </w:rPr>
              <w:t xml:space="preserve"> (ESA</w:t>
            </w:r>
            <w:r w:rsidR="00F66708">
              <w:rPr>
                <w:rFonts w:ascii="Arial Narrow" w:hAnsi="Arial Narrow" w:cs="Arial Narrow"/>
                <w:b/>
                <w:color w:val="FFFFFF"/>
                <w:sz w:val="20"/>
                <w:szCs w:val="24"/>
              </w:rPr>
              <w:t xml:space="preserve"> </w:t>
            </w:r>
            <w:r>
              <w:rPr>
                <w:rFonts w:ascii="Arial Narrow" w:hAnsi="Arial Narrow" w:cs="Arial Narrow"/>
                <w:b/>
                <w:color w:val="FFFFFF"/>
                <w:sz w:val="20"/>
                <w:szCs w:val="24"/>
              </w:rPr>
              <w:t>95, tis. eur)</w:t>
            </w:r>
          </w:p>
        </w:tc>
      </w:tr>
      <w:tr>
        <w:tblPrEx>
          <w:tblW w:w="9157" w:type="dxa"/>
          <w:tblInd w:w="55" w:type="dxa"/>
          <w:tblLayout w:type="fixed"/>
          <w:tblCellMar>
            <w:left w:w="70" w:type="dxa"/>
            <w:right w:w="70" w:type="dxa"/>
          </w:tblCellMar>
        </w:tblPrEx>
        <w:trPr>
          <w:trHeight w:val="285"/>
        </w:trPr>
        <w:tc>
          <w:tcPr>
            <w:tcW w:w="5032" w:type="dxa"/>
            <w:tcBorders>
              <w:top w:val="single" w:sz="4" w:space="0" w:color="auto"/>
              <w:left w:val="single" w:sz="8" w:space="0" w:color="auto"/>
              <w:bottom w:val="single" w:sz="8" w:space="0" w:color="auto"/>
              <w:right w:val="single" w:sz="8" w:space="0" w:color="auto"/>
            </w:tcBorders>
            <w:shd w:val="clear" w:color="auto" w:fill="C0C0C0"/>
            <w:noWrap/>
            <w:textDirection w:val="lrTb"/>
            <w:vAlign w:val="bottom"/>
          </w:tcPr>
          <w:p w:rsidR="00DD172F" w:rsidP="00B80F08">
            <w:pPr>
              <w:rPr>
                <w:rFonts w:ascii="Arial Narrow" w:hAnsi="Arial Narrow" w:cs="Arial Narrow"/>
                <w:sz w:val="18"/>
                <w:szCs w:val="24"/>
              </w:rPr>
            </w:pPr>
            <w:r>
              <w:rPr>
                <w:rFonts w:ascii="Arial Narrow" w:hAnsi="Arial Narrow" w:cs="Arial Narrow"/>
                <w:sz w:val="18"/>
                <w:szCs w:val="24"/>
              </w:rPr>
              <w:t> </w:t>
            </w:r>
          </w:p>
        </w:tc>
        <w:tc>
          <w:tcPr>
            <w:tcW w:w="1031" w:type="dxa"/>
            <w:tcBorders>
              <w:top w:val="single" w:sz="4" w:space="0" w:color="auto"/>
              <w:left w:val="nil"/>
              <w:bottom w:val="single" w:sz="8" w:space="0" w:color="auto"/>
              <w:right w:val="single" w:sz="8" w:space="0" w:color="auto"/>
            </w:tcBorders>
            <w:shd w:val="clear" w:color="auto" w:fill="C0C0C0"/>
            <w:noWrap/>
            <w:textDirection w:val="lrTb"/>
            <w:vAlign w:val="center"/>
          </w:tcPr>
          <w:p w:rsidR="00DD172F" w:rsidP="00B80F08">
            <w:pPr>
              <w:jc w:val="center"/>
              <w:rPr>
                <w:rFonts w:ascii="Arial Narrow" w:hAnsi="Arial Narrow" w:cs="Arial Narrow"/>
                <w:b/>
                <w:sz w:val="18"/>
                <w:szCs w:val="24"/>
              </w:rPr>
            </w:pPr>
            <w:r>
              <w:rPr>
                <w:rFonts w:ascii="Arial Narrow" w:hAnsi="Arial Narrow" w:cs="Arial Narrow"/>
                <w:b/>
                <w:sz w:val="18"/>
                <w:szCs w:val="24"/>
              </w:rPr>
              <w:t>2009</w:t>
            </w:r>
          </w:p>
        </w:tc>
        <w:tc>
          <w:tcPr>
            <w:tcW w:w="1031" w:type="dxa"/>
            <w:tcBorders>
              <w:top w:val="single" w:sz="4" w:space="0" w:color="auto"/>
              <w:left w:val="nil"/>
              <w:bottom w:val="single" w:sz="8" w:space="0" w:color="auto"/>
              <w:right w:val="single" w:sz="8" w:space="0" w:color="auto"/>
            </w:tcBorders>
            <w:shd w:val="clear" w:color="auto" w:fill="C0C0C0"/>
            <w:noWrap/>
            <w:textDirection w:val="lrTb"/>
            <w:vAlign w:val="center"/>
          </w:tcPr>
          <w:p w:rsidR="00DD172F" w:rsidP="00B80F08">
            <w:pPr>
              <w:jc w:val="center"/>
              <w:rPr>
                <w:rFonts w:ascii="Arial Narrow" w:hAnsi="Arial Narrow" w:cs="Arial Narrow"/>
                <w:b/>
                <w:sz w:val="18"/>
                <w:szCs w:val="24"/>
              </w:rPr>
            </w:pPr>
            <w:r>
              <w:rPr>
                <w:rFonts w:ascii="Arial Narrow" w:hAnsi="Arial Narrow" w:cs="Arial Narrow"/>
                <w:b/>
                <w:sz w:val="18"/>
                <w:szCs w:val="24"/>
              </w:rPr>
              <w:t>2010</w:t>
            </w:r>
          </w:p>
        </w:tc>
        <w:tc>
          <w:tcPr>
            <w:tcW w:w="1031" w:type="dxa"/>
            <w:tcBorders>
              <w:top w:val="single" w:sz="4" w:space="0" w:color="auto"/>
              <w:left w:val="nil"/>
              <w:bottom w:val="single" w:sz="8" w:space="0" w:color="auto"/>
              <w:right w:val="single" w:sz="8" w:space="0" w:color="auto"/>
            </w:tcBorders>
            <w:shd w:val="clear" w:color="auto" w:fill="C0C0C0"/>
            <w:noWrap/>
            <w:textDirection w:val="lrTb"/>
            <w:vAlign w:val="center"/>
          </w:tcPr>
          <w:p w:rsidR="00DD172F" w:rsidP="00B80F08">
            <w:pPr>
              <w:jc w:val="center"/>
              <w:rPr>
                <w:rFonts w:ascii="Arial Narrow" w:hAnsi="Arial Narrow" w:cs="Arial Narrow"/>
                <w:b/>
                <w:sz w:val="18"/>
                <w:szCs w:val="24"/>
              </w:rPr>
            </w:pPr>
            <w:r>
              <w:rPr>
                <w:rFonts w:ascii="Arial Narrow" w:hAnsi="Arial Narrow" w:cs="Arial Narrow"/>
                <w:b/>
                <w:sz w:val="18"/>
                <w:szCs w:val="24"/>
              </w:rPr>
              <w:t>2011</w:t>
            </w:r>
          </w:p>
        </w:tc>
        <w:tc>
          <w:tcPr>
            <w:tcW w:w="1032" w:type="dxa"/>
            <w:tcBorders>
              <w:top w:val="single" w:sz="4" w:space="0" w:color="auto"/>
              <w:left w:val="nil"/>
              <w:bottom w:val="single" w:sz="8" w:space="0" w:color="auto"/>
              <w:right w:val="single" w:sz="8" w:space="0" w:color="auto"/>
            </w:tcBorders>
            <w:shd w:val="clear" w:color="auto" w:fill="C0C0C0"/>
            <w:noWrap/>
            <w:textDirection w:val="lrTb"/>
            <w:vAlign w:val="center"/>
          </w:tcPr>
          <w:p w:rsidR="00DD172F"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157" w:type="dxa"/>
          <w:tblInd w:w="55" w:type="dxa"/>
          <w:tblLayout w:type="fixed"/>
          <w:tblCellMar>
            <w:left w:w="70" w:type="dxa"/>
            <w:right w:w="70" w:type="dxa"/>
          </w:tblCellMar>
        </w:tblPrEx>
        <w:trPr>
          <w:trHeight w:val="289"/>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sz w:val="18"/>
                <w:szCs w:val="24"/>
              </w:rPr>
            </w:pPr>
            <w:r>
              <w:rPr>
                <w:rFonts w:ascii="Arial Narrow" w:hAnsi="Arial Narrow" w:cs="Arial Narrow"/>
                <w:sz w:val="18"/>
                <w:szCs w:val="24"/>
              </w:rPr>
              <w:t>Komponentné odpisovanie hmotného majetku</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-199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-2 124</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-4 282</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-6 971</w:t>
            </w:r>
          </w:p>
        </w:tc>
      </w:tr>
      <w:tr>
        <w:tblPrEx>
          <w:tblW w:w="9157" w:type="dxa"/>
          <w:tblInd w:w="55" w:type="dxa"/>
          <w:tblLayout w:type="fixed"/>
          <w:tblCellMar>
            <w:left w:w="70" w:type="dxa"/>
            <w:right w:w="70" w:type="dxa"/>
          </w:tblCellMar>
        </w:tblPrEx>
        <w:trPr>
          <w:trHeight w:val="289"/>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DPPO</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-186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-1 988</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-4 007</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-6 523</w:t>
            </w:r>
          </w:p>
        </w:tc>
      </w:tr>
      <w:tr>
        <w:tblPrEx>
          <w:tblW w:w="9157" w:type="dxa"/>
          <w:tblInd w:w="55" w:type="dxa"/>
          <w:tblLayout w:type="fixed"/>
          <w:tblCellMar>
            <w:left w:w="70" w:type="dxa"/>
            <w:right w:w="70" w:type="dxa"/>
          </w:tblCellMar>
        </w:tblPrEx>
        <w:trPr>
          <w:trHeight w:val="289"/>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-13</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-136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-275</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-448</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sz w:val="18"/>
                <w:szCs w:val="24"/>
              </w:rPr>
            </w:pPr>
            <w:r>
              <w:rPr>
                <w:rFonts w:ascii="Arial Narrow" w:hAnsi="Arial Narrow" w:cs="Arial Narrow"/>
                <w:sz w:val="18"/>
                <w:szCs w:val="24"/>
              </w:rPr>
              <w:t>Zvýšenie vstupnej ceny hmotného majetku</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-12 182</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-16 863</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-13 975</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-3 618</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DPPO</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-11 452</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-15 833</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-13 145</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-3 386</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-730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-1 029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-830</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-232</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Zvýšenie vstupnej ceny nehmotného majetku</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-1 029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-1 328</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-1 029</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DPPO</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-963</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-1 261</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-963</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-66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-66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-66</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Stimuly pre výskum a vývoj formou daňovej úľavy (vplyv na DPPO)</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-33 194</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-49 791</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-49 791</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Stimul formou daňovej úľavy pre automobilový priemysel (vplyv na DPPO)</w:t>
            </w:r>
          </w:p>
        </w:tc>
        <w:tc>
          <w:tcPr>
            <w:tcW w:w="1031" w:type="dxa"/>
            <w:tcBorders>
              <w:top w:val="nil"/>
              <w:left w:val="nil"/>
              <w:bottom w:val="single" w:sz="8" w:space="0" w:color="auto"/>
              <w:right w:val="single" w:sz="8" w:space="0" w:color="auto"/>
            </w:tcBorders>
            <w:noWrap/>
            <w:textDirection w:val="lrTb"/>
            <w:vAlign w:val="center"/>
          </w:tcPr>
          <w:p w:rsidR="00DD172F" w:rsidRPr="0080590C" w:rsidP="004A0822">
            <w:pPr>
              <w:jc w:val="right"/>
              <w:rPr>
                <w:rFonts w:ascii="Arial Narrow" w:hAnsi="Arial Narrow" w:cs="Arial Narrow"/>
                <w:sz w:val="18"/>
                <w:szCs w:val="24"/>
              </w:rPr>
            </w:pPr>
            <w:r w:rsidRPr="0080590C">
              <w:rPr>
                <w:rFonts w:ascii="Arial Narrow" w:hAnsi="Arial Narrow" w:cs="Arial Narrow"/>
                <w:sz w:val="18"/>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RPr="0080590C" w:rsidP="004A0822">
            <w:pPr>
              <w:jc w:val="right"/>
              <w:rPr>
                <w:rFonts w:ascii="Arial Narrow" w:hAnsi="Arial Narrow" w:cs="Arial Narrow"/>
                <w:sz w:val="18"/>
                <w:szCs w:val="24"/>
              </w:rPr>
            </w:pPr>
            <w:r w:rsidRPr="0080590C">
              <w:rPr>
                <w:rFonts w:ascii="Arial Narrow" w:hAnsi="Arial Narrow" w:cs="Arial Narrow"/>
                <w:sz w:val="18"/>
                <w:szCs w:val="24"/>
              </w:rPr>
              <w:t>-2 860</w:t>
            </w:r>
          </w:p>
        </w:tc>
        <w:tc>
          <w:tcPr>
            <w:tcW w:w="1031" w:type="dxa"/>
            <w:tcBorders>
              <w:top w:val="nil"/>
              <w:left w:val="nil"/>
              <w:bottom w:val="single" w:sz="8" w:space="0" w:color="auto"/>
              <w:right w:val="single" w:sz="8" w:space="0" w:color="auto"/>
            </w:tcBorders>
            <w:noWrap/>
            <w:textDirection w:val="lrTb"/>
            <w:vAlign w:val="center"/>
          </w:tcPr>
          <w:p w:rsidR="00DD172F" w:rsidRPr="0080590C" w:rsidP="004A0822">
            <w:pPr>
              <w:jc w:val="right"/>
              <w:rPr>
                <w:rFonts w:ascii="Arial Narrow" w:hAnsi="Arial Narrow" w:cs="Arial Narrow"/>
                <w:sz w:val="18"/>
                <w:szCs w:val="24"/>
              </w:rPr>
            </w:pPr>
            <w:r w:rsidRPr="0080590C">
              <w:rPr>
                <w:rFonts w:ascii="Arial Narrow" w:hAnsi="Arial Narrow" w:cs="Arial Narrow"/>
                <w:sz w:val="18"/>
                <w:szCs w:val="24"/>
              </w:rPr>
              <w:t>-5 005</w:t>
            </w:r>
          </w:p>
        </w:tc>
        <w:tc>
          <w:tcPr>
            <w:tcW w:w="1032" w:type="dxa"/>
            <w:tcBorders>
              <w:top w:val="nil"/>
              <w:left w:val="nil"/>
              <w:bottom w:val="single" w:sz="8" w:space="0" w:color="auto"/>
              <w:right w:val="single" w:sz="8" w:space="0" w:color="auto"/>
            </w:tcBorders>
            <w:noWrap/>
            <w:textDirection w:val="lrTb"/>
            <w:vAlign w:val="center"/>
          </w:tcPr>
          <w:p w:rsidR="00DD172F" w:rsidRPr="0080590C" w:rsidP="004A0822">
            <w:pPr>
              <w:jc w:val="right"/>
              <w:rPr>
                <w:rFonts w:ascii="Arial Narrow" w:hAnsi="Arial Narrow" w:cs="Arial Narrow"/>
                <w:sz w:val="18"/>
                <w:szCs w:val="24"/>
              </w:rPr>
            </w:pPr>
            <w:r w:rsidRPr="0080590C">
              <w:rPr>
                <w:rFonts w:ascii="Arial Narrow" w:hAnsi="Arial Narrow" w:cs="Arial Narrow"/>
                <w:sz w:val="18"/>
                <w:szCs w:val="24"/>
              </w:rPr>
              <w:t>-6 435</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Oslobodenie príjmu ako náhrady za uvoľnenie bytu (vplyv na DPFO zč)</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-66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-66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-66</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-66</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Možnosť uplatnenia NČZD a daňového bonusu u nerezidenta</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-166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-166</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-199</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závislá činnosť</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-149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-149</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-179</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-17</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-17</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Možnosť podať DP zo zdrojov na území SR pre nerezidenta</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-199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-199</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-232</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závislá činnosť</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-179</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-179</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-209</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-20</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-23</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Zvýšenie nezdaniteľnej časti základu dane + zvýšená ZP</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-147 754</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-218 926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-25 500</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sz w:val="18"/>
                <w:szCs w:val="24"/>
              </w:rPr>
            </w:pPr>
            <w:r>
              <w:rPr>
                <w:rFonts w:ascii="Arial Narrow" w:hAnsi="Arial Narrow" w:cs="Arial Narrow"/>
                <w:sz w:val="18"/>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závislá činnosť</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-131 212</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-200 716</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-25 500</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textDirection w:val="lrTb"/>
            <w:vAlign w:val="center"/>
          </w:tcPr>
          <w:p w:rsidR="00DD172F" w:rsidP="00B80F08">
            <w:pPr>
              <w:rPr>
                <w:rFonts w:ascii="Arial Narrow" w:hAnsi="Arial Narrow" w:cs="Arial Narrow"/>
                <w:i/>
                <w:sz w:val="16"/>
                <w:szCs w:val="24"/>
              </w:rPr>
            </w:pPr>
            <w:r>
              <w:rPr>
                <w:rFonts w:ascii="Arial Narrow" w:hAnsi="Arial Narrow" w:cs="Arial Narrow"/>
                <w:i/>
                <w:sz w:val="16"/>
                <w:szCs w:val="24"/>
              </w:rPr>
              <w:t xml:space="preserve">       - z toho vplyv na DPFO podnikanie</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-16 543</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-18 210</w:t>
            </w:r>
          </w:p>
        </w:tc>
        <w:tc>
          <w:tcPr>
            <w:tcW w:w="1031"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c>
          <w:tcPr>
            <w:tcW w:w="1032" w:type="dxa"/>
            <w:tcBorders>
              <w:top w:val="nil"/>
              <w:left w:val="nil"/>
              <w:bottom w:val="single" w:sz="8" w:space="0" w:color="auto"/>
              <w:right w:val="single" w:sz="8" w:space="0" w:color="auto"/>
            </w:tcBorders>
            <w:noWrap/>
            <w:textDirection w:val="lrTb"/>
            <w:vAlign w:val="center"/>
          </w:tcPr>
          <w:p w:rsidR="00DD172F" w:rsidP="004A0822">
            <w:pPr>
              <w:jc w:val="right"/>
              <w:rPr>
                <w:rFonts w:ascii="Arial Narrow" w:hAnsi="Arial Narrow" w:cs="Arial Narrow"/>
                <w:i/>
                <w:sz w:val="16"/>
                <w:szCs w:val="24"/>
              </w:rPr>
            </w:pPr>
            <w:r>
              <w:rPr>
                <w:rFonts w:ascii="Arial Narrow" w:hAnsi="Arial Narrow" w:cs="Arial Narrow"/>
                <w:i/>
                <w:sz w:val="16"/>
                <w:szCs w:val="24"/>
              </w:rPr>
              <w:t>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P="00B80F08">
            <w:pPr>
              <w:rPr>
                <w:rFonts w:ascii="Arial Narrow" w:hAnsi="Arial Narrow" w:cs="Arial Narrow"/>
                <w:color w:val="000000"/>
                <w:sz w:val="18"/>
                <w:szCs w:val="24"/>
              </w:rPr>
            </w:pPr>
            <w:r>
              <w:rPr>
                <w:rFonts w:ascii="Arial Narrow" w:hAnsi="Arial Narrow" w:cs="Arial Narrow"/>
                <w:color w:val="000000"/>
                <w:sz w:val="18"/>
                <w:szCs w:val="24"/>
              </w:rPr>
              <w:t>Zavedenie smernice o globálnej homologizácii áut N1 (vplyv na DPPO)</w:t>
            </w:r>
          </w:p>
        </w:tc>
        <w:tc>
          <w:tcPr>
            <w:tcW w:w="1031" w:type="dxa"/>
            <w:tcBorders>
              <w:top w:val="nil"/>
              <w:left w:val="nil"/>
              <w:bottom w:val="single" w:sz="8" w:space="0" w:color="auto"/>
              <w:right w:val="single" w:sz="8" w:space="0" w:color="auto"/>
            </w:tcBorders>
            <w:noWrap/>
            <w:textDirection w:val="lrTb"/>
            <w:vAlign w:val="center"/>
          </w:tcPr>
          <w:p w:rsidR="00DD172F" w:rsidRPr="00BA5D92" w:rsidP="004A0822">
            <w:pPr>
              <w:jc w:val="right"/>
              <w:rPr>
                <w:rFonts w:ascii="Arial Narrow" w:hAnsi="Arial Narrow" w:cs="Arial Narrow"/>
                <w:sz w:val="18"/>
                <w:szCs w:val="24"/>
              </w:rPr>
            </w:pPr>
            <w:r w:rsidRPr="00BA5D92">
              <w:rPr>
                <w:rFonts w:ascii="Arial Narrow" w:hAnsi="Arial Narrow" w:cs="Arial Narrow"/>
                <w:sz w:val="18"/>
                <w:szCs w:val="24"/>
              </w:rPr>
              <w:t>525</w:t>
            </w:r>
          </w:p>
        </w:tc>
        <w:tc>
          <w:tcPr>
            <w:tcW w:w="1031" w:type="dxa"/>
            <w:tcBorders>
              <w:top w:val="nil"/>
              <w:left w:val="nil"/>
              <w:bottom w:val="single" w:sz="8" w:space="0" w:color="auto"/>
              <w:right w:val="single" w:sz="8" w:space="0" w:color="auto"/>
            </w:tcBorders>
            <w:noWrap/>
            <w:textDirection w:val="lrTb"/>
            <w:vAlign w:val="center"/>
          </w:tcPr>
          <w:p w:rsidR="00DD172F" w:rsidRPr="00BA5D92" w:rsidP="004A0822">
            <w:pPr>
              <w:jc w:val="right"/>
              <w:rPr>
                <w:rFonts w:ascii="Arial Narrow" w:hAnsi="Arial Narrow" w:cs="Arial Narrow"/>
                <w:sz w:val="18"/>
                <w:szCs w:val="24"/>
              </w:rPr>
            </w:pPr>
            <w:r w:rsidRPr="00BA5D92">
              <w:rPr>
                <w:rFonts w:ascii="Arial Narrow" w:hAnsi="Arial Narrow" w:cs="Arial Narrow"/>
                <w:sz w:val="18"/>
                <w:szCs w:val="24"/>
              </w:rPr>
              <w:t>2 155</w:t>
            </w:r>
          </w:p>
        </w:tc>
        <w:tc>
          <w:tcPr>
            <w:tcW w:w="1031" w:type="dxa"/>
            <w:tcBorders>
              <w:top w:val="nil"/>
              <w:left w:val="nil"/>
              <w:bottom w:val="single" w:sz="8" w:space="0" w:color="auto"/>
              <w:right w:val="single" w:sz="8" w:space="0" w:color="auto"/>
            </w:tcBorders>
            <w:noWrap/>
            <w:textDirection w:val="lrTb"/>
            <w:vAlign w:val="center"/>
          </w:tcPr>
          <w:p w:rsidR="00DD172F" w:rsidRPr="00BA5D92" w:rsidP="004A0822">
            <w:pPr>
              <w:jc w:val="right"/>
              <w:rPr>
                <w:rFonts w:ascii="Arial Narrow" w:hAnsi="Arial Narrow" w:cs="Arial Narrow"/>
                <w:sz w:val="18"/>
                <w:szCs w:val="24"/>
              </w:rPr>
            </w:pPr>
            <w:r w:rsidRPr="00BA5D92">
              <w:rPr>
                <w:rFonts w:ascii="Arial Narrow" w:hAnsi="Arial Narrow" w:cs="Arial Narrow"/>
                <w:sz w:val="18"/>
                <w:szCs w:val="24"/>
              </w:rPr>
              <w:t>2 769</w:t>
            </w:r>
          </w:p>
        </w:tc>
        <w:tc>
          <w:tcPr>
            <w:tcW w:w="1032" w:type="dxa"/>
            <w:tcBorders>
              <w:top w:val="nil"/>
              <w:left w:val="nil"/>
              <w:bottom w:val="single" w:sz="8" w:space="0" w:color="auto"/>
              <w:right w:val="single" w:sz="8" w:space="0" w:color="auto"/>
            </w:tcBorders>
            <w:noWrap/>
            <w:textDirection w:val="lrTb"/>
            <w:vAlign w:val="center"/>
          </w:tcPr>
          <w:p w:rsidR="00DD172F" w:rsidRPr="00BA5D92" w:rsidP="004A0822">
            <w:pPr>
              <w:jc w:val="right"/>
              <w:rPr>
                <w:rFonts w:ascii="Arial Narrow" w:hAnsi="Arial Narrow" w:cs="Arial Narrow"/>
                <w:sz w:val="18"/>
                <w:szCs w:val="24"/>
              </w:rPr>
            </w:pPr>
            <w:r w:rsidRPr="00BA5D92">
              <w:rPr>
                <w:rFonts w:ascii="Arial Narrow" w:hAnsi="Arial Narrow" w:cs="Arial Narrow"/>
                <w:sz w:val="18"/>
                <w:szCs w:val="24"/>
              </w:rPr>
              <w:t>2 849</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RPr="00650A8F" w:rsidP="00B80F08">
            <w:pPr>
              <w:rPr>
                <w:rFonts w:ascii="Arial Narrow" w:hAnsi="Arial Narrow" w:cs="Arial Narrow"/>
                <w:color w:val="000000"/>
                <w:sz w:val="18"/>
                <w:szCs w:val="24"/>
              </w:rPr>
            </w:pPr>
            <w:r w:rsidRPr="00650A8F">
              <w:rPr>
                <w:rFonts w:ascii="Arial Narrow" w:hAnsi="Arial Narrow" w:cs="Arial Narrow"/>
                <w:sz w:val="18"/>
                <w:szCs w:val="24"/>
              </w:rPr>
              <w:t>Oslobodenie príjmu ako náhrady za stratu príjmu (vplyv na DPFO zč)</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sz w:val="18"/>
                <w:szCs w:val="24"/>
              </w:rPr>
            </w:pPr>
            <w:r w:rsidRPr="00650A8F">
              <w:rPr>
                <w:rFonts w:ascii="Arial Narrow" w:hAnsi="Arial Narrow" w:cs="Arial Narrow"/>
                <w:sz w:val="18"/>
                <w:szCs w:val="24"/>
              </w:rPr>
              <w:t>0</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sz w:val="18"/>
                <w:szCs w:val="24"/>
              </w:rPr>
            </w:pPr>
            <w:r w:rsidRPr="00650A8F">
              <w:rPr>
                <w:rFonts w:ascii="Arial Narrow" w:hAnsi="Arial Narrow" w:cs="Arial Narrow"/>
                <w:sz w:val="18"/>
                <w:szCs w:val="24"/>
              </w:rPr>
              <w:t>-40</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sz w:val="18"/>
                <w:szCs w:val="24"/>
              </w:rPr>
            </w:pPr>
            <w:r w:rsidRPr="00650A8F">
              <w:rPr>
                <w:rFonts w:ascii="Arial Narrow" w:hAnsi="Arial Narrow" w:cs="Arial Narrow"/>
                <w:sz w:val="18"/>
                <w:szCs w:val="24"/>
              </w:rPr>
              <w:t>-40</w:t>
            </w:r>
          </w:p>
        </w:tc>
        <w:tc>
          <w:tcPr>
            <w:tcW w:w="1032"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sz w:val="18"/>
                <w:szCs w:val="24"/>
              </w:rPr>
            </w:pPr>
            <w:r w:rsidRPr="00650A8F">
              <w:rPr>
                <w:rFonts w:ascii="Arial Narrow" w:hAnsi="Arial Narrow" w:cs="Arial Narrow"/>
                <w:sz w:val="18"/>
                <w:szCs w:val="24"/>
              </w:rPr>
              <w:t>-40</w:t>
            </w:r>
          </w:p>
        </w:tc>
      </w:tr>
      <w:tr>
        <w:tblPrEx>
          <w:tblW w:w="9157" w:type="dxa"/>
          <w:tblInd w:w="55" w:type="dxa"/>
          <w:tblLayout w:type="fixed"/>
          <w:tblCellMar>
            <w:left w:w="70" w:type="dxa"/>
            <w:right w:w="70" w:type="dxa"/>
          </w:tblCellMar>
        </w:tblPrEx>
        <w:trPr>
          <w:trHeight w:val="285"/>
        </w:trPr>
        <w:tc>
          <w:tcPr>
            <w:tcW w:w="5032" w:type="dxa"/>
            <w:tcBorders>
              <w:top w:val="nil"/>
              <w:left w:val="single" w:sz="8" w:space="0" w:color="auto"/>
              <w:bottom w:val="single" w:sz="8" w:space="0" w:color="auto"/>
              <w:right w:val="single" w:sz="8" w:space="0" w:color="auto"/>
            </w:tcBorders>
            <w:noWrap/>
            <w:textDirection w:val="lrTb"/>
            <w:vAlign w:val="center"/>
          </w:tcPr>
          <w:p w:rsidR="00DD172F" w:rsidRPr="00650A8F" w:rsidP="00B80F08">
            <w:pPr>
              <w:rPr>
                <w:rFonts w:ascii="Arial Narrow" w:hAnsi="Arial Narrow" w:cs="Arial Narrow"/>
                <w:b/>
                <w:sz w:val="18"/>
                <w:szCs w:val="24"/>
              </w:rPr>
            </w:pPr>
            <w:r w:rsidRPr="00650A8F">
              <w:rPr>
                <w:rFonts w:ascii="Arial Narrow" w:hAnsi="Arial Narrow" w:cs="Arial Narrow"/>
                <w:b/>
                <w:sz w:val="18"/>
                <w:szCs w:val="24"/>
              </w:rPr>
              <w:t>SPOLU</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b/>
                <w:sz w:val="18"/>
                <w:szCs w:val="24"/>
              </w:rPr>
            </w:pPr>
            <w:r w:rsidRPr="00650A8F">
              <w:rPr>
                <w:rFonts w:ascii="Arial Narrow" w:hAnsi="Arial Narrow" w:cs="Arial Narrow"/>
                <w:b/>
                <w:sz w:val="18"/>
                <w:szCs w:val="24"/>
              </w:rPr>
              <w:t>-160 705</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b/>
                <w:sz w:val="18"/>
                <w:szCs w:val="24"/>
              </w:rPr>
            </w:pPr>
            <w:r w:rsidRPr="00650A8F">
              <w:rPr>
                <w:rFonts w:ascii="Arial Narrow" w:hAnsi="Arial Narrow" w:cs="Arial Narrow"/>
                <w:b/>
                <w:sz w:val="18"/>
                <w:szCs w:val="24"/>
              </w:rPr>
              <w:t>-273 611</w:t>
            </w:r>
          </w:p>
        </w:tc>
        <w:tc>
          <w:tcPr>
            <w:tcW w:w="1031"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b/>
                <w:sz w:val="18"/>
                <w:szCs w:val="24"/>
              </w:rPr>
            </w:pPr>
            <w:r w:rsidRPr="00650A8F">
              <w:rPr>
                <w:rFonts w:ascii="Arial Narrow" w:hAnsi="Arial Narrow" w:cs="Arial Narrow"/>
                <w:b/>
                <w:sz w:val="18"/>
                <w:szCs w:val="24"/>
              </w:rPr>
              <w:t>-97 284</w:t>
            </w:r>
          </w:p>
        </w:tc>
        <w:tc>
          <w:tcPr>
            <w:tcW w:w="1032" w:type="dxa"/>
            <w:tcBorders>
              <w:top w:val="nil"/>
              <w:left w:val="nil"/>
              <w:bottom w:val="single" w:sz="8" w:space="0" w:color="auto"/>
              <w:right w:val="single" w:sz="8" w:space="0" w:color="auto"/>
            </w:tcBorders>
            <w:noWrap/>
            <w:textDirection w:val="lrTb"/>
            <w:vAlign w:val="center"/>
          </w:tcPr>
          <w:p w:rsidR="00DD172F" w:rsidRPr="00650A8F" w:rsidP="004A0822">
            <w:pPr>
              <w:jc w:val="right"/>
              <w:rPr>
                <w:rFonts w:ascii="Arial Narrow" w:hAnsi="Arial Narrow" w:cs="Arial Narrow"/>
                <w:b/>
                <w:sz w:val="18"/>
                <w:szCs w:val="24"/>
              </w:rPr>
            </w:pPr>
            <w:r w:rsidRPr="00650A8F">
              <w:rPr>
                <w:rFonts w:ascii="Arial Narrow" w:hAnsi="Arial Narrow" w:cs="Arial Narrow"/>
                <w:b/>
                <w:sz w:val="18"/>
                <w:szCs w:val="24"/>
              </w:rPr>
              <w:t>-64 504</w:t>
            </w:r>
          </w:p>
        </w:tc>
      </w:tr>
    </w:tbl>
    <w:p w:rsidR="00DD172F" w:rsidP="00DD172F">
      <w:pPr>
        <w:jc w:val="both"/>
        <w:rPr>
          <w:rFonts w:ascii="Arial Narrow" w:hAnsi="Arial Narrow" w:cs="Arial Narrow"/>
          <w:sz w:val="22"/>
          <w:szCs w:val="24"/>
        </w:rPr>
      </w:pPr>
    </w:p>
    <w:p w:rsidR="00DD172F" w:rsidP="00DD172F">
      <w:pPr>
        <w:jc w:val="both"/>
        <w:rPr>
          <w:rFonts w:ascii="Arial Narrow" w:hAnsi="Arial Narrow" w:cs="Arial Narrow"/>
          <w:sz w:val="22"/>
          <w:szCs w:val="24"/>
        </w:rPr>
      </w:pPr>
      <w:r>
        <w:rPr>
          <w:rFonts w:ascii="Arial Narrow" w:hAnsi="Arial Narrow" w:cs="Arial Narrow"/>
          <w:sz w:val="22"/>
          <w:szCs w:val="24"/>
        </w:rPr>
        <w:tab/>
      </w:r>
      <w:r w:rsidRPr="00AE2DA8">
        <w:rPr>
          <w:rFonts w:ascii="Arial Narrow" w:hAnsi="Arial Narrow" w:cs="Arial Narrow"/>
          <w:sz w:val="22"/>
          <w:szCs w:val="24"/>
        </w:rPr>
        <w:t xml:space="preserve">Výnos </w:t>
      </w:r>
      <w:r w:rsidRPr="00AE2DA8">
        <w:rPr>
          <w:rFonts w:ascii="Arial Narrow" w:hAnsi="Arial Narrow" w:cs="Arial Narrow"/>
          <w:b/>
          <w:sz w:val="22"/>
          <w:szCs w:val="24"/>
        </w:rPr>
        <w:t>dane z príjmov vyberanej zrážkou</w:t>
      </w:r>
      <w:r w:rsidRPr="00AE2DA8">
        <w:rPr>
          <w:rFonts w:ascii="Arial Narrow" w:hAnsi="Arial Narrow" w:cs="Arial Narrow"/>
          <w:sz w:val="22"/>
          <w:szCs w:val="24"/>
        </w:rPr>
        <w:t xml:space="preserve"> bude mierne negatívne ovplyvnený zavedením oslobodenia výhier z lotérií realizovaných v zahraničí a naopak mierne pozitívny dopad bude mať na jej výnos zrušenie oslobodenia výnosov zo štátnych dlhopisov SR vydaných a registrovaných v zahraničí.</w:t>
      </w:r>
    </w:p>
    <w:p w:rsidR="00DD172F" w:rsidP="00DD172F">
      <w:pPr>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Pr>
          <w:rFonts w:ascii="Arial Narrow" w:hAnsi="Arial Narrow" w:cs="Arial Narrow"/>
          <w:sz w:val="22"/>
          <w:szCs w:val="24"/>
        </w:rPr>
        <w:t xml:space="preserve">S účinnosťou od 1. apríla 2009 sa pri </w:t>
      </w:r>
      <w:r w:rsidRPr="00A24303">
        <w:rPr>
          <w:rFonts w:ascii="Arial Narrow" w:hAnsi="Arial Narrow" w:cs="Arial Narrow"/>
          <w:b/>
          <w:sz w:val="22"/>
          <w:szCs w:val="24"/>
        </w:rPr>
        <w:t>dani z pridanej hodnoty</w:t>
      </w:r>
      <w:r>
        <w:rPr>
          <w:rFonts w:ascii="Arial Narrow" w:hAnsi="Arial Narrow" w:cs="Arial Narrow"/>
          <w:sz w:val="22"/>
          <w:szCs w:val="24"/>
        </w:rPr>
        <w:t xml:space="preserve"> skracuje lehota na vrátenie nadmerných odpočtov zo 60 dní na 30 dní. Týka sa to tých platiteľov dane, ktorých zdaňovacím obdobím je kalendárny mesiac, ktorí sú platiteľmi dane najmenej 12 kalendárnych mesiacov pred skončením kalendárneho mesiaca, v ktorom nadmerný odpočet vznikol a ktorí nemali v období predchádzajúcich 12 kalendárnych mesiacov daňové nedoplatky, colné nedoplatky a nedoplatky na povinných odvodoch poistného. Táto legislatívna úprava nebude mať na výnos DPH v metodike ESA</w:t>
      </w:r>
      <w:r w:rsidR="009F659D">
        <w:rPr>
          <w:rFonts w:ascii="Arial Narrow" w:hAnsi="Arial Narrow" w:cs="Arial Narrow"/>
          <w:sz w:val="22"/>
          <w:szCs w:val="24"/>
        </w:rPr>
        <w:t xml:space="preserve"> </w:t>
      </w:r>
      <w:r>
        <w:rPr>
          <w:rFonts w:ascii="Arial Narrow" w:hAnsi="Arial Narrow" w:cs="Arial Narrow"/>
          <w:sz w:val="22"/>
          <w:szCs w:val="24"/>
        </w:rPr>
        <w:t>95 žiadny vplyv. Na hotovostný výnos bude mať negatívny vplyv, v roku 2009 vo výške 205,2 mil. eur, v roku 2010 vo výške 16,4 mil. eur, v roku 2011 vo výške 17,7 mil. eur a v roku 2012 vo výške 19,1 mil. eur.</w:t>
      </w:r>
    </w:p>
    <w:p w:rsidR="00BB5C1C" w:rsidP="00DD172F">
      <w:pPr>
        <w:ind w:firstLine="708"/>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Pr>
          <w:rFonts w:ascii="Arial Narrow" w:hAnsi="Arial Narrow" w:cs="Arial Narrow"/>
          <w:sz w:val="22"/>
          <w:szCs w:val="24"/>
        </w:rPr>
        <w:t>Ďalšími legislatívnymi zmenami sú zavedenie možnosti skupinovej registrácie (za jednu zdaniteľnú osobu bude možno považovať viac osôb so sídlom v SR, ktoré sú právne nezávislé, ale sú vzájomne úzko prepojené finančnými, ekonomickými a organizačnými väzbami), umožnenie spätnej registrácie za platiteľa dane (umožnenie podnikateľom uplatniť si nárok na odpočet dane za obdobie, v ktorom mali byť platiteľom dane a vysporiadať prípadné povinnosti týkajúce sa tohto obdobia) a možnosť vykonať odpočet dane v ktoromkoľvek zdaňovacom období.</w:t>
      </w:r>
    </w:p>
    <w:p w:rsidR="00BB5C1C" w:rsidP="00DD172F">
      <w:pPr>
        <w:ind w:firstLine="708"/>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Pr>
          <w:rFonts w:ascii="Arial Narrow" w:hAnsi="Arial Narrow" w:cs="Arial Narrow"/>
          <w:sz w:val="22"/>
          <w:szCs w:val="24"/>
        </w:rPr>
        <w:t xml:space="preserve">Na výnos DPH bude mať v prognózovanom období negatívny vplyv účinnosť Smernice 2007/46/ES od 29. apríla 2009, ktorá rieši globálnu homologizáciu automobilov kategórie N1. Globálna homologizácia nahradí systém národného typového schvaľovania vozidiel jednotlivými členskými štátmi, t.j. ak v jednom členskom štáte schvália auto v kategórii N1, bude to platiť aj pre ostatné členské štáty. Predpokladá sa, že táto smernica bude mať negatívny vplyv na výnos DPH z dôvodu, že platitelia dane budú preferovať kúpu auta v kategórii N1 s možnosťou odpočtu DPH pred kúpou auta v kategórii M1 bez možnosti odpočtu DPH. Od 29. apríla 2009 totiž auto kategórie M1 môže byť zaregistrované v kategórii N1 bez toho, aby sa vizuálne alebo inak líšilo. Smernica bude </w:t>
      </w:r>
      <w:r w:rsidRPr="00B77BFB">
        <w:rPr>
          <w:rFonts w:ascii="Arial Narrow" w:hAnsi="Arial Narrow" w:cs="Arial Narrow"/>
          <w:sz w:val="22"/>
          <w:szCs w:val="24"/>
        </w:rPr>
        <w:t xml:space="preserve">mať pozitívny vplyv na výnos dane </w:t>
      </w:r>
      <w:r>
        <w:rPr>
          <w:rFonts w:ascii="Arial Narrow" w:hAnsi="Arial Narrow" w:cs="Arial Narrow"/>
          <w:sz w:val="22"/>
          <w:szCs w:val="24"/>
        </w:rPr>
        <w:t xml:space="preserve">z príjmov </w:t>
      </w:r>
      <w:r w:rsidRPr="00B77BFB">
        <w:rPr>
          <w:rFonts w:ascii="Arial Narrow" w:hAnsi="Arial Narrow" w:cs="Arial Narrow"/>
          <w:sz w:val="22"/>
          <w:szCs w:val="24"/>
        </w:rPr>
        <w:t>právnických osôb</w:t>
      </w:r>
      <w:r>
        <w:rPr>
          <w:rFonts w:ascii="Arial Narrow" w:hAnsi="Arial Narrow" w:cs="Arial Narrow"/>
          <w:sz w:val="22"/>
          <w:szCs w:val="24"/>
        </w:rPr>
        <w:t xml:space="preserve"> z titulu z</w:t>
      </w:r>
      <w:r w:rsidRPr="00B77BFB">
        <w:rPr>
          <w:rFonts w:ascii="Arial Narrow" w:hAnsi="Arial Narrow" w:cs="Arial Narrow"/>
          <w:sz w:val="22"/>
          <w:szCs w:val="24"/>
        </w:rPr>
        <w:t>níženi</w:t>
      </w:r>
      <w:r>
        <w:rPr>
          <w:rFonts w:ascii="Arial Narrow" w:hAnsi="Arial Narrow" w:cs="Arial Narrow"/>
          <w:sz w:val="22"/>
          <w:szCs w:val="24"/>
        </w:rPr>
        <w:t>a</w:t>
      </w:r>
      <w:r w:rsidRPr="00B77BFB">
        <w:rPr>
          <w:rFonts w:ascii="Arial Narrow" w:hAnsi="Arial Narrow" w:cs="Arial Narrow"/>
          <w:sz w:val="22"/>
          <w:szCs w:val="24"/>
        </w:rPr>
        <w:t xml:space="preserve"> nákladov na obstaranie automobilov</w:t>
      </w:r>
      <w:r>
        <w:rPr>
          <w:rFonts w:ascii="Arial Narrow" w:hAnsi="Arial Narrow" w:cs="Arial Narrow"/>
          <w:sz w:val="22"/>
          <w:szCs w:val="24"/>
        </w:rPr>
        <w:t>, čo sa prejaví na vyššom základe dane právnických osôb.</w:t>
      </w:r>
    </w:p>
    <w:p w:rsidR="00DD172F" w:rsidP="00DD172F">
      <w:pPr>
        <w:jc w:val="both"/>
        <w:rPr>
          <w:rFonts w:ascii="Arial Narrow" w:hAnsi="Arial Narrow" w:cs="Arial Narrow"/>
          <w:sz w:val="22"/>
          <w:szCs w:val="24"/>
        </w:rPr>
      </w:pPr>
    </w:p>
    <w:tbl>
      <w:tblPr>
        <w:tblStyle w:val="TableNormal"/>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833"/>
        <w:gridCol w:w="1309"/>
        <w:gridCol w:w="1310"/>
        <w:gridCol w:w="1310"/>
        <w:gridCol w:w="1310"/>
      </w:tblGrid>
      <w:tr>
        <w:tblPrEx>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75"/>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D172F" w:rsidP="00B80F08">
            <w:pPr>
              <w:rPr>
                <w:rFonts w:ascii="Arial Narrow" w:hAnsi="Arial Narrow" w:cs="Arial Narrow"/>
                <w:b/>
                <w:color w:val="FFFFFF"/>
                <w:sz w:val="20"/>
                <w:szCs w:val="24"/>
              </w:rPr>
            </w:pPr>
            <w:r>
              <w:rPr>
                <w:rFonts w:ascii="Arial Narrow" w:hAnsi="Arial Narrow" w:cs="Arial Narrow"/>
                <w:b/>
                <w:color w:val="FFFFFF"/>
                <w:sz w:val="20"/>
                <w:szCs w:val="24"/>
              </w:rPr>
              <w:t>Vplyv účinnosti Smernice Rady č. 2007/46/ES na výnos DPH (ESA</w:t>
            </w:r>
            <w:r w:rsidR="009F659D">
              <w:rPr>
                <w:rFonts w:ascii="Arial Narrow" w:hAnsi="Arial Narrow" w:cs="Arial Narrow"/>
                <w:b/>
                <w:color w:val="FFFFFF"/>
                <w:sz w:val="20"/>
                <w:szCs w:val="24"/>
              </w:rPr>
              <w:t xml:space="preserve"> </w:t>
            </w:r>
            <w:r>
              <w:rPr>
                <w:rFonts w:ascii="Arial Narrow" w:hAnsi="Arial Narrow" w:cs="Arial Narrow"/>
                <w:b/>
                <w:color w:val="FFFFFF"/>
                <w:sz w:val="20"/>
                <w:szCs w:val="24"/>
              </w:rPr>
              <w:t>95, tis. eur)</w:t>
            </w:r>
          </w:p>
        </w:tc>
      </w:tr>
      <w:tr>
        <w:tblPrEx>
          <w:tblW w:w="9072" w:type="dxa"/>
          <w:jc w:val="center"/>
          <w:tblInd w:w="0" w:type="dxa"/>
          <w:tblCellMar>
            <w:left w:w="70" w:type="dxa"/>
            <w:right w:w="70" w:type="dxa"/>
          </w:tblCellMar>
        </w:tblPrEx>
        <w:trPr>
          <w:trHeight w:val="270"/>
          <w:jc w:val="center"/>
        </w:trPr>
        <w:tc>
          <w:tcPr>
            <w:tcW w:w="383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DD172F" w:rsidRPr="00E560E1" w:rsidP="00B80F08">
            <w:pPr>
              <w:rPr>
                <w:rFonts w:ascii="Arial Narrow" w:hAnsi="Arial Narrow" w:cs="Arial Narrow"/>
                <w:sz w:val="18"/>
                <w:szCs w:val="24"/>
              </w:rPr>
            </w:pPr>
            <w:r w:rsidRPr="00E560E1">
              <w:rPr>
                <w:rFonts w:ascii="Arial Narrow" w:hAnsi="Arial Narrow" w:cs="Arial Narrow"/>
                <w:sz w:val="18"/>
                <w:szCs w:val="24"/>
              </w:rPr>
              <w:t> </w:t>
            </w:r>
          </w:p>
        </w:tc>
        <w:tc>
          <w:tcPr>
            <w:tcW w:w="130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2009</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2010</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2011</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072" w:type="dxa"/>
          <w:jc w:val="center"/>
          <w:tblInd w:w="0" w:type="dxa"/>
          <w:tblCellMar>
            <w:left w:w="70" w:type="dxa"/>
            <w:right w:w="70" w:type="dxa"/>
          </w:tblCellMar>
        </w:tblPrEx>
        <w:trPr>
          <w:trHeight w:val="285"/>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rPr>
                <w:rFonts w:ascii="Arial Narrow" w:hAnsi="Arial Narrow" w:cs="Arial Narrow"/>
                <w:sz w:val="18"/>
                <w:szCs w:val="24"/>
              </w:rPr>
            </w:pPr>
            <w:r>
              <w:rPr>
                <w:rFonts w:ascii="Arial Narrow" w:hAnsi="Arial Narrow" w:cs="Arial Narrow"/>
                <w:sz w:val="18"/>
                <w:szCs w:val="24"/>
              </w:rPr>
              <w:t>DPH</w:t>
            </w:r>
          </w:p>
        </w:tc>
        <w:tc>
          <w:tcPr>
            <w:tcW w:w="1309"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center"/>
              <w:rPr>
                <w:rFonts w:ascii="Arial Narrow" w:hAnsi="Arial Narrow" w:cs="Arial Narrow"/>
                <w:sz w:val="18"/>
                <w:szCs w:val="24"/>
              </w:rPr>
            </w:pPr>
            <w:r>
              <w:rPr>
                <w:rFonts w:ascii="Arial Narrow" w:hAnsi="Arial Narrow" w:cs="Arial Narrow"/>
                <w:sz w:val="18"/>
                <w:szCs w:val="24"/>
              </w:rPr>
              <w:t>-4 601</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-18 903</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-24 290</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-24 995</w:t>
            </w:r>
          </w:p>
        </w:tc>
      </w:tr>
    </w:tbl>
    <w:p w:rsidR="00DD172F" w:rsidP="00DD172F">
      <w:pPr>
        <w:jc w:val="both"/>
        <w:rPr>
          <w:rFonts w:ascii="Arial Narrow" w:hAnsi="Arial Narrow" w:cs="Arial Narrow"/>
          <w:sz w:val="22"/>
          <w:szCs w:val="24"/>
        </w:rPr>
      </w:pPr>
    </w:p>
    <w:p w:rsidR="00DD172F" w:rsidP="00DD172F">
      <w:pPr>
        <w:jc w:val="both"/>
        <w:rPr>
          <w:rFonts w:ascii="Arial Narrow" w:hAnsi="Arial Narrow" w:cs="Arial Narrow"/>
          <w:sz w:val="22"/>
          <w:szCs w:val="24"/>
        </w:rPr>
      </w:pPr>
      <w:r>
        <w:rPr>
          <w:rFonts w:ascii="Arial Narrow" w:hAnsi="Arial Narrow" w:cs="Arial Narrow"/>
          <w:sz w:val="22"/>
          <w:szCs w:val="24"/>
        </w:rPr>
        <w:tab/>
        <w:t>S účinnosťou od 1. júla 2009 sa mení výška prahu registrácie za platiteľa DPH z ročného obratu vo výške 35 000 eur na 49 790 eur. Prah registrácie sa týmto dostane na úroveň, ktorá platila pred 1. januárom 2009 (v súvislosti so zavedením meny euro v SR sa menil prah registrácie pre daň od 1. januára 2009 z ročného obratu 49 791 eur (1,5 mil. Sk) na 35 000 eur). Zmena bude mať v porovnaní s Rozpočtom verejnej správy na roky 2009 až 2011 pozitívny vplyv na výnos DPH v roku 2009 vo výške 13,6 mil. eur a v ďalších rokoch negatívny vplyv vo výške približne 6,0 mil. eur.</w:t>
      </w:r>
    </w:p>
    <w:p w:rsidR="00DD172F" w:rsidP="00DD172F">
      <w:pPr>
        <w:jc w:val="both"/>
        <w:rPr>
          <w:rFonts w:ascii="Arial Narrow" w:hAnsi="Arial Narrow" w:cs="Arial Narrow"/>
          <w:sz w:val="22"/>
          <w:szCs w:val="24"/>
        </w:rPr>
      </w:pPr>
    </w:p>
    <w:tbl>
      <w:tblPr>
        <w:tblStyle w:val="TableNormal"/>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833"/>
        <w:gridCol w:w="1309"/>
        <w:gridCol w:w="1310"/>
        <w:gridCol w:w="1310"/>
        <w:gridCol w:w="1310"/>
      </w:tblGrid>
      <w:tr>
        <w:tblPrEx>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75"/>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DD172F" w:rsidP="00B80F08">
            <w:pPr>
              <w:rPr>
                <w:rFonts w:ascii="Arial Narrow" w:hAnsi="Arial Narrow" w:cs="Arial Narrow"/>
                <w:b/>
                <w:color w:val="FFFFFF"/>
                <w:sz w:val="20"/>
                <w:szCs w:val="24"/>
              </w:rPr>
            </w:pPr>
            <w:r>
              <w:rPr>
                <w:rFonts w:ascii="Arial Narrow" w:hAnsi="Arial Narrow" w:cs="Arial Narrow"/>
                <w:b/>
                <w:color w:val="FFFFFF"/>
                <w:sz w:val="20"/>
                <w:szCs w:val="24"/>
              </w:rPr>
              <w:t>Vplyv zmeny výšky prahu registrácie pre daň na výnos DPH (ESA</w:t>
            </w:r>
            <w:r w:rsidR="009F659D">
              <w:rPr>
                <w:rFonts w:ascii="Arial Narrow" w:hAnsi="Arial Narrow" w:cs="Arial Narrow"/>
                <w:b/>
                <w:color w:val="FFFFFF"/>
                <w:sz w:val="20"/>
                <w:szCs w:val="24"/>
              </w:rPr>
              <w:t xml:space="preserve"> </w:t>
            </w:r>
            <w:r>
              <w:rPr>
                <w:rFonts w:ascii="Arial Narrow" w:hAnsi="Arial Narrow" w:cs="Arial Narrow"/>
                <w:b/>
                <w:color w:val="FFFFFF"/>
                <w:sz w:val="20"/>
                <w:szCs w:val="24"/>
              </w:rPr>
              <w:t>95, tis. eur)</w:t>
            </w:r>
          </w:p>
        </w:tc>
      </w:tr>
      <w:tr>
        <w:tblPrEx>
          <w:tblW w:w="9072" w:type="dxa"/>
          <w:jc w:val="center"/>
          <w:tblInd w:w="0" w:type="dxa"/>
          <w:tblCellMar>
            <w:left w:w="70" w:type="dxa"/>
            <w:right w:w="70" w:type="dxa"/>
          </w:tblCellMar>
        </w:tblPrEx>
        <w:trPr>
          <w:trHeight w:val="270"/>
          <w:jc w:val="center"/>
        </w:trPr>
        <w:tc>
          <w:tcPr>
            <w:tcW w:w="383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DD172F" w:rsidRPr="00E560E1" w:rsidP="00B80F08">
            <w:pPr>
              <w:rPr>
                <w:rFonts w:ascii="Arial Narrow" w:hAnsi="Arial Narrow" w:cs="Arial Narrow"/>
                <w:sz w:val="18"/>
                <w:szCs w:val="24"/>
              </w:rPr>
            </w:pPr>
            <w:r w:rsidRPr="00E560E1">
              <w:rPr>
                <w:rFonts w:ascii="Arial Narrow" w:hAnsi="Arial Narrow" w:cs="Arial Narrow"/>
                <w:sz w:val="18"/>
                <w:szCs w:val="24"/>
              </w:rPr>
              <w:t> </w:t>
            </w:r>
          </w:p>
        </w:tc>
        <w:tc>
          <w:tcPr>
            <w:tcW w:w="130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2009</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2010</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2011</w:t>
            </w:r>
          </w:p>
        </w:tc>
        <w:tc>
          <w:tcPr>
            <w:tcW w:w="131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D172F" w:rsidRPr="00E560E1"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072" w:type="dxa"/>
          <w:jc w:val="center"/>
          <w:tblInd w:w="0" w:type="dxa"/>
          <w:tblCellMar>
            <w:left w:w="70" w:type="dxa"/>
            <w:right w:w="70" w:type="dxa"/>
          </w:tblCellMar>
        </w:tblPrEx>
        <w:trPr>
          <w:trHeight w:val="285"/>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rPr>
                <w:rFonts w:ascii="Arial Narrow" w:hAnsi="Arial Narrow" w:cs="Arial Narrow"/>
                <w:sz w:val="18"/>
                <w:szCs w:val="24"/>
              </w:rPr>
            </w:pPr>
            <w:r>
              <w:rPr>
                <w:rFonts w:ascii="Arial Narrow" w:hAnsi="Arial Narrow" w:cs="Arial Narrow"/>
                <w:sz w:val="18"/>
                <w:szCs w:val="24"/>
              </w:rPr>
              <w:t>DPH</w:t>
            </w:r>
          </w:p>
        </w:tc>
        <w:tc>
          <w:tcPr>
            <w:tcW w:w="1309"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center"/>
              <w:rPr>
                <w:rFonts w:ascii="Arial Narrow" w:hAnsi="Arial Narrow" w:cs="Arial Narrow"/>
                <w:sz w:val="18"/>
                <w:szCs w:val="24"/>
              </w:rPr>
            </w:pPr>
            <w:r>
              <w:rPr>
                <w:rFonts w:ascii="Arial Narrow" w:hAnsi="Arial Narrow" w:cs="Arial Narrow"/>
                <w:sz w:val="18"/>
                <w:szCs w:val="24"/>
              </w:rPr>
              <w:t>13 643</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-5 709</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-6 174</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DD172F" w:rsidRPr="00AE4ACC" w:rsidP="00B80F08">
            <w:pPr>
              <w:jc w:val="center"/>
              <w:rPr>
                <w:rFonts w:ascii="Arial Narrow" w:hAnsi="Arial Narrow" w:cs="Arial Narrow"/>
                <w:sz w:val="18"/>
                <w:szCs w:val="24"/>
              </w:rPr>
            </w:pPr>
            <w:r>
              <w:rPr>
                <w:rFonts w:ascii="Arial Narrow" w:hAnsi="Arial Narrow" w:cs="Arial Narrow"/>
                <w:sz w:val="18"/>
                <w:szCs w:val="24"/>
              </w:rPr>
              <w:t>-6 677</w:t>
            </w:r>
          </w:p>
        </w:tc>
      </w:tr>
    </w:tbl>
    <w:p w:rsidR="00DD172F" w:rsidP="00DD172F">
      <w:pPr>
        <w:jc w:val="both"/>
        <w:rPr>
          <w:rFonts w:ascii="Arial Narrow" w:hAnsi="Arial Narrow" w:cs="Arial Narrow"/>
          <w:sz w:val="22"/>
          <w:szCs w:val="24"/>
        </w:rPr>
      </w:pPr>
    </w:p>
    <w:p w:rsidR="00DD172F" w:rsidP="00DD172F">
      <w:pPr>
        <w:jc w:val="both"/>
        <w:rPr>
          <w:rFonts w:ascii="Arial Narrow" w:hAnsi="Arial Narrow" w:cs="Arial Narrow"/>
          <w:sz w:val="22"/>
          <w:szCs w:val="24"/>
        </w:rPr>
      </w:pPr>
      <w:r>
        <w:rPr>
          <w:rFonts w:ascii="Arial Narrow" w:hAnsi="Arial Narrow" w:cs="Arial Narrow"/>
          <w:sz w:val="22"/>
          <w:szCs w:val="24"/>
        </w:rPr>
        <w:tab/>
        <w:t>Od 1. januára 2010 sa do zákona o DPH preberajú tri smernice EÚ, ktoré upravujú miesto poskytovania služieb, vrátenie dane zdaniteľným osobám, ktoré nie sú usadené v členskom štáte vrátenia dane, ale v inom členskom štáte a zmeny súvisiace s cieľom bojovať proti daňovým podvodom spojenými s transakciami v rámci EÚ.</w:t>
      </w:r>
    </w:p>
    <w:p w:rsidR="00DD172F" w:rsidRPr="004D25EB" w:rsidP="00DD172F">
      <w:pPr>
        <w:jc w:val="both"/>
        <w:rPr>
          <w:rFonts w:ascii="Arial Narrow" w:hAnsi="Arial Narrow" w:cs="Arial Narrow"/>
          <w:sz w:val="22"/>
          <w:szCs w:val="24"/>
        </w:rPr>
      </w:pPr>
    </w:p>
    <w:p w:rsidR="00DD172F" w:rsidRPr="005F6BC7" w:rsidP="005F6BC7">
      <w:pPr>
        <w:ind w:firstLine="708"/>
        <w:jc w:val="both"/>
        <w:rPr>
          <w:rFonts w:ascii="Arial Narrow" w:hAnsi="Arial Narrow" w:cs="Arial Narrow"/>
          <w:sz w:val="22"/>
          <w:szCs w:val="24"/>
        </w:rPr>
      </w:pPr>
      <w:r w:rsidRPr="005F6BC7">
        <w:rPr>
          <w:rFonts w:ascii="Arial Narrow" w:hAnsi="Arial Narrow" w:cs="Arial Narrow"/>
          <w:sz w:val="22"/>
          <w:szCs w:val="24"/>
        </w:rPr>
        <w:t>Pri spotrebnej dani z tabakových výrobkov došlo k posunutiu limitu dopredaja starých cigariet z 30. septembra 2009 na 31. október 2009. Táto úprava bude mať za následok v roku 2009 negatívny vplyv na výnos dane vo výške 2 556 tis. eur.</w:t>
      </w:r>
    </w:p>
    <w:p w:rsidR="00DD172F" w:rsidP="00DD172F">
      <w:pPr>
        <w:jc w:val="both"/>
        <w:rPr>
          <w:rFonts w:ascii="Arial Narrow" w:hAnsi="Arial Narrow" w:cs="Arial Narrow"/>
          <w:sz w:val="22"/>
          <w:szCs w:val="24"/>
        </w:rPr>
      </w:pPr>
    </w:p>
    <w:p w:rsidR="00DD172F" w:rsidRPr="00260972" w:rsidP="00260972">
      <w:pPr>
        <w:ind w:firstLine="708"/>
        <w:jc w:val="both"/>
        <w:rPr>
          <w:rFonts w:ascii="Arial Narrow" w:hAnsi="Arial Narrow" w:cs="Arial Narrow"/>
          <w:sz w:val="22"/>
          <w:szCs w:val="24"/>
        </w:rPr>
      </w:pPr>
      <w:r w:rsidRPr="00260972">
        <w:rPr>
          <w:rFonts w:ascii="Arial Narrow" w:hAnsi="Arial Narrow" w:cs="Arial Narrow"/>
          <w:sz w:val="22"/>
          <w:szCs w:val="24"/>
        </w:rPr>
        <w:t>Pri spotrebnej dani z liehu dôjde k zvýšeniu sadzby od 1.3.2010 zo súčasných 939,38 eur/hl a. na 1080 eur/hl a. pri základnej sadzbe a z 469,69 eur/hl a. na 540 eur/hl a. pri zníženej sadzbe. V roku 2010 sa odhaduje pozitívny vplyv na výnos dane na úrovni 13 170 tis. eur, v roku 2011 na úrovni 20 040 tis. eur a v roku 2012 na úrovni 20 710 tis. eur.</w:t>
      </w:r>
    </w:p>
    <w:p w:rsidR="00DD172F" w:rsidP="00DD172F">
      <w:pPr>
        <w:jc w:val="both"/>
        <w:rPr>
          <w:rFonts w:ascii="Arial Narrow" w:hAnsi="Arial Narrow" w:cs="Arial Narrow"/>
          <w:sz w:val="22"/>
          <w:szCs w:val="24"/>
        </w:rPr>
      </w:pPr>
    </w:p>
    <w:p w:rsidR="00DD172F" w:rsidP="00DD172F">
      <w:pPr>
        <w:jc w:val="both"/>
        <w:rPr>
          <w:rFonts w:ascii="Arial Narrow" w:hAnsi="Arial Narrow" w:cs="Arial Narrow"/>
          <w:sz w:val="22"/>
          <w:szCs w:val="24"/>
        </w:rPr>
      </w:pPr>
      <w:r>
        <w:rPr>
          <w:rFonts w:ascii="Arial Narrow" w:hAnsi="Arial Narrow" w:cs="Arial Narrow"/>
          <w:sz w:val="22"/>
          <w:szCs w:val="24"/>
        </w:rPr>
        <w:tab/>
        <w:t>S účinnosťou od 1. januára 2010 dochádza k zmene pri dani za jadrové zariadenie, ktorá je súčasťou daní za špecifické služby a je príjmom obcí. Zmena sa týka úpravy jednotlivých pásiem oblasti ohrozenia jadrovým zariadením, v ktorých sa daň vyberá. Celkový vplyv na daňové príjmy obcí bude pozitívny vo výške 292 tis. eur v každom roku prognózovaného obdobia.</w:t>
      </w:r>
    </w:p>
    <w:p w:rsidR="00DD172F" w:rsidRPr="004D25EB" w:rsidP="00DD172F">
      <w:pPr>
        <w:jc w:val="both"/>
        <w:rPr>
          <w:rFonts w:ascii="Arial Narrow" w:hAnsi="Arial Narrow" w:cs="Arial Narrow"/>
          <w:sz w:val="22"/>
          <w:szCs w:val="24"/>
        </w:rPr>
      </w:pPr>
    </w:p>
    <w:p w:rsidR="00DD172F" w:rsidRPr="00DF45EC" w:rsidP="00DD172F">
      <w:pPr>
        <w:ind w:firstLine="708"/>
        <w:jc w:val="both"/>
        <w:rPr>
          <w:szCs w:val="24"/>
        </w:rPr>
      </w:pPr>
      <w:r w:rsidRPr="00DF45EC">
        <w:rPr>
          <w:rFonts w:ascii="Arial Narrow" w:hAnsi="Arial Narrow" w:cs="Arial Narrow"/>
          <w:sz w:val="22"/>
          <w:szCs w:val="24"/>
        </w:rPr>
        <w:t>Aktuálna prognóza na roky 200</w:t>
      </w:r>
      <w:r>
        <w:rPr>
          <w:rFonts w:ascii="Arial Narrow" w:hAnsi="Arial Narrow" w:cs="Arial Narrow"/>
          <w:sz w:val="22"/>
          <w:szCs w:val="24"/>
        </w:rPr>
        <w:t>9</w:t>
      </w:r>
      <w:r w:rsidR="00A97FD4">
        <w:rPr>
          <w:rFonts w:ascii="Arial Narrow" w:hAnsi="Arial Narrow" w:cs="Arial Narrow"/>
          <w:sz w:val="22"/>
          <w:szCs w:val="24"/>
        </w:rPr>
        <w:t xml:space="preserve"> až </w:t>
      </w:r>
      <w:r w:rsidRPr="00DF45EC">
        <w:rPr>
          <w:rFonts w:ascii="Arial Narrow" w:hAnsi="Arial Narrow" w:cs="Arial Narrow"/>
          <w:sz w:val="22"/>
          <w:szCs w:val="24"/>
        </w:rPr>
        <w:t>20</w:t>
      </w:r>
      <w:r>
        <w:rPr>
          <w:rFonts w:ascii="Arial Narrow" w:hAnsi="Arial Narrow" w:cs="Arial Narrow"/>
          <w:sz w:val="22"/>
          <w:szCs w:val="24"/>
        </w:rPr>
        <w:t>12</w:t>
      </w:r>
      <w:r w:rsidRPr="00DF45EC">
        <w:rPr>
          <w:rFonts w:ascii="Arial Narrow" w:hAnsi="Arial Narrow" w:cs="Arial Narrow"/>
          <w:sz w:val="22"/>
          <w:szCs w:val="24"/>
        </w:rPr>
        <w:t xml:space="preserve"> zohľadňuje okrem makroekonomického rámca a platnej legislatívy aj </w:t>
      </w:r>
      <w:r>
        <w:rPr>
          <w:rFonts w:ascii="Arial Narrow" w:hAnsi="Arial Narrow" w:cs="Arial Narrow"/>
          <w:sz w:val="22"/>
          <w:szCs w:val="24"/>
        </w:rPr>
        <w:t>skutočné výnosy daní za rok 2008 podľa metodiky ESA</w:t>
      </w:r>
      <w:r w:rsidR="009F659D">
        <w:rPr>
          <w:rFonts w:ascii="Arial Narrow" w:hAnsi="Arial Narrow" w:cs="Arial Narrow"/>
          <w:sz w:val="22"/>
          <w:szCs w:val="24"/>
        </w:rPr>
        <w:t xml:space="preserve"> </w:t>
      </w:r>
      <w:r>
        <w:rPr>
          <w:rFonts w:ascii="Arial Narrow" w:hAnsi="Arial Narrow" w:cs="Arial Narrow"/>
          <w:sz w:val="22"/>
          <w:szCs w:val="24"/>
        </w:rPr>
        <w:t xml:space="preserve">95 (okrem DPFO a DPPO, ktoré sú odhadmi) </w:t>
      </w:r>
      <w:r w:rsidRPr="00DF45EC">
        <w:rPr>
          <w:rFonts w:ascii="Arial Narrow" w:hAnsi="Arial Narrow" w:cs="Arial Narrow"/>
          <w:sz w:val="22"/>
          <w:szCs w:val="24"/>
        </w:rPr>
        <w:t>a aktuálne hotovostné plnenie</w:t>
      </w:r>
      <w:r>
        <w:rPr>
          <w:rFonts w:ascii="Arial Narrow" w:hAnsi="Arial Narrow" w:cs="Arial Narrow"/>
          <w:sz w:val="22"/>
          <w:szCs w:val="24"/>
        </w:rPr>
        <w:t xml:space="preserve"> daní</w:t>
      </w:r>
      <w:r w:rsidRPr="00DF45EC">
        <w:rPr>
          <w:rFonts w:ascii="Arial Narrow" w:hAnsi="Arial Narrow" w:cs="Arial Narrow"/>
          <w:sz w:val="22"/>
          <w:szCs w:val="24"/>
        </w:rPr>
        <w:t xml:space="preserve"> za </w:t>
      </w:r>
      <w:r>
        <w:rPr>
          <w:rFonts w:ascii="Arial Narrow" w:hAnsi="Arial Narrow" w:cs="Arial Narrow"/>
          <w:sz w:val="22"/>
          <w:szCs w:val="24"/>
        </w:rPr>
        <w:t xml:space="preserve">január až august </w:t>
      </w:r>
      <w:r w:rsidRPr="00DF45EC">
        <w:rPr>
          <w:rFonts w:ascii="Arial Narrow" w:hAnsi="Arial Narrow" w:cs="Arial Narrow"/>
          <w:sz w:val="22"/>
          <w:szCs w:val="24"/>
        </w:rPr>
        <w:t>200</w:t>
      </w:r>
      <w:r>
        <w:rPr>
          <w:rFonts w:ascii="Arial Narrow" w:hAnsi="Arial Narrow" w:cs="Arial Narrow"/>
          <w:sz w:val="22"/>
          <w:szCs w:val="24"/>
        </w:rPr>
        <w:t>9</w:t>
      </w:r>
      <w:r w:rsidRPr="00DF45EC">
        <w:rPr>
          <w:rFonts w:ascii="Arial Narrow" w:hAnsi="Arial Narrow" w:cs="Arial Narrow"/>
          <w:sz w:val="22"/>
          <w:szCs w:val="24"/>
        </w:rPr>
        <w:t>.</w:t>
      </w:r>
    </w:p>
    <w:p w:rsidR="00DD172F" w:rsidRPr="00DF45EC" w:rsidP="00DD172F">
      <w:pPr>
        <w:jc w:val="both"/>
        <w:rPr>
          <w:rFonts w:ascii="Arial Narrow" w:hAnsi="Arial Narrow" w:cs="Arial Narrow"/>
          <w:sz w:val="22"/>
          <w:szCs w:val="24"/>
          <w:highlight w:val="yellow"/>
        </w:rPr>
      </w:pPr>
    </w:p>
    <w:p w:rsidR="00DD172F" w:rsidRPr="00C31B30" w:rsidP="005B25F9">
      <w:pPr>
        <w:rPr>
          <w:rFonts w:ascii="Arial Narrow" w:hAnsi="Arial Narrow" w:cs="Arial Narrow"/>
          <w:b/>
          <w:szCs w:val="24"/>
        </w:rPr>
      </w:pPr>
      <w:r w:rsidRPr="00C31B30">
        <w:rPr>
          <w:rFonts w:ascii="Arial Narrow" w:hAnsi="Arial Narrow" w:cs="Arial Narrow"/>
          <w:b/>
          <w:szCs w:val="24"/>
        </w:rPr>
        <w:t>Odhad jednotlivých daní</w:t>
      </w:r>
    </w:p>
    <w:p w:rsidR="00DD172F" w:rsidRPr="00137107" w:rsidP="00DD172F">
      <w:pPr>
        <w:jc w:val="both"/>
        <w:rPr>
          <w:rFonts w:ascii="Arial Narrow" w:hAnsi="Arial Narrow" w:cs="Arial Narrow"/>
          <w:color w:val="FF0000"/>
          <w:sz w:val="22"/>
          <w:szCs w:val="24"/>
        </w:rPr>
      </w:pPr>
    </w:p>
    <w:p w:rsidR="00DD172F" w:rsidRPr="00530D23" w:rsidP="00DD172F">
      <w:pPr>
        <w:ind w:firstLine="720"/>
        <w:jc w:val="both"/>
        <w:rPr>
          <w:rFonts w:ascii="Arial Narrow" w:hAnsi="Arial Narrow" w:cs="Arial Narrow"/>
          <w:sz w:val="22"/>
          <w:szCs w:val="24"/>
        </w:rPr>
      </w:pPr>
      <w:r w:rsidRPr="00530D23">
        <w:rPr>
          <w:rFonts w:ascii="Arial Narrow" w:hAnsi="Arial Narrow" w:cs="Arial Narrow"/>
          <w:sz w:val="22"/>
          <w:szCs w:val="24"/>
        </w:rPr>
        <w:t xml:space="preserve">Výnos </w:t>
      </w:r>
      <w:r w:rsidRPr="00530D23">
        <w:rPr>
          <w:rFonts w:ascii="Arial Narrow" w:hAnsi="Arial Narrow" w:cs="Arial Narrow"/>
          <w:b/>
          <w:sz w:val="22"/>
          <w:szCs w:val="24"/>
        </w:rPr>
        <w:t>dane z príjmu fyzických osôb zo závislej činnosti</w:t>
      </w:r>
      <w:r w:rsidRPr="00530D23">
        <w:rPr>
          <w:rFonts w:ascii="Arial Narrow" w:hAnsi="Arial Narrow" w:cs="Arial Narrow"/>
          <w:sz w:val="22"/>
          <w:szCs w:val="24"/>
        </w:rPr>
        <w:t xml:space="preserve"> je ovplyvnený vývojom zamestnanosti a miezd ako aj novou legislatívou, najmä zvýšením nezdaniteľnej časti základu dane. Nezdaniteľná časť základu dane (NČZD) na daňovníka sa počas prechodného obdobia rokov 2009 a 2010 zvýšila z 19,2</w:t>
      </w:r>
      <w:r w:rsidR="009F659D">
        <w:rPr>
          <w:rFonts w:ascii="Arial Narrow" w:hAnsi="Arial Narrow" w:cs="Arial Narrow"/>
          <w:sz w:val="22"/>
          <w:szCs w:val="24"/>
        </w:rPr>
        <w:t>-</w:t>
      </w:r>
      <w:r w:rsidRPr="00530D23">
        <w:rPr>
          <w:rFonts w:ascii="Arial Narrow" w:hAnsi="Arial Narrow" w:cs="Arial Narrow"/>
          <w:sz w:val="22"/>
          <w:szCs w:val="24"/>
        </w:rPr>
        <w:t xml:space="preserve">násobku životného minima na 22,5-násobok životného minima platného k 1. januáru príslušného roka. Vzhľadom na životné minimum platné od 1.7.2009 vo výške 185,19 eur bude NČZD na rok 2010 v sume 4 166,78 eur. Od roku 2007 sa začala uplatňovať klesajúca NČZD, ktorá v roku 2010 začne klesať pri hrubej mesačnej mzde približne 1 525,4 eur, od mzdy približne vo výške 3 052,2 eur bude NČZD nulová. Pre účely odhadov sa životné minimum indexuje </w:t>
      </w:r>
      <w:r w:rsidRPr="00530D23">
        <w:rPr>
          <w:rFonts w:ascii="Arial Narrow" w:hAnsi="Arial Narrow" w:cs="Arial Narrow"/>
          <w:color w:val="000000"/>
          <w:sz w:val="22"/>
          <w:szCs w:val="24"/>
        </w:rPr>
        <w:t>rastom spotrebiteľských cien pre nízkopríjmové domácnosti. N</w:t>
      </w:r>
      <w:r w:rsidRPr="00530D23">
        <w:rPr>
          <w:rFonts w:ascii="Arial Narrow" w:hAnsi="Arial Narrow" w:cs="Arial Narrow"/>
          <w:sz w:val="22"/>
          <w:szCs w:val="24"/>
        </w:rPr>
        <w:t>a rozdiel od NČZD na daňovníka, ktorá sa mení vždy k 1. januáru príslušného roka, výška daňového bonusu na dieťa sa mení vždy od 1. júla príslušného roka. Priemerná mesačná výška daňového bonusu na dieťa sa v roku 2010 odhaduje vo výške 20,35 eur. Od 1.1.2009 majú zamestnanci s najnižšími mzdami pri splnení zákonom stanovených podmienok nárok na zamestnaneckú prémiu. Odhadovaná výška maximálnej zamestnaneckej prémie za celé zdaňovacie obdobie roka 2010 dosiahne úroveň približne 160,09 eur, v mesačnom vyjadrení ide o 13,34 eur. Nárok na maximálnu výšku zamestnaneckej prémie získajú zamestnanci s príjmom od polovice minimálnej mzdy do úrovne minimálnej mzdy (ktorá sa odhaduje v roku 2010 na úrovni 319,5 eur) pri splnení ďalších zákonom stanovených podmienok. Celá výška zamestnaneckej prémie v sume približne 160,09 eur bude vyplatená v rámci ročného zúčtovania dane do konca marca 2011.</w:t>
      </w:r>
    </w:p>
    <w:p w:rsidR="00DD172F" w:rsidRPr="00530D23" w:rsidP="00DD172F">
      <w:pPr>
        <w:ind w:firstLine="708"/>
        <w:jc w:val="both"/>
        <w:rPr>
          <w:rFonts w:ascii="Arial Narrow" w:hAnsi="Arial Narrow" w:cs="Arial Narrow"/>
          <w:sz w:val="22"/>
          <w:szCs w:val="24"/>
        </w:rPr>
      </w:pPr>
    </w:p>
    <w:p w:rsidR="00DD172F" w:rsidRPr="00137107" w:rsidP="00DD172F">
      <w:pPr>
        <w:ind w:firstLine="708"/>
        <w:jc w:val="both"/>
        <w:rPr>
          <w:rFonts w:ascii="Arial Narrow" w:hAnsi="Arial Narrow" w:cs="Arial Narrow"/>
          <w:sz w:val="22"/>
          <w:szCs w:val="24"/>
        </w:rPr>
      </w:pPr>
      <w:r w:rsidRPr="00530D23">
        <w:rPr>
          <w:rFonts w:ascii="Arial Narrow" w:hAnsi="Arial Narrow" w:cs="Arial Narrow"/>
          <w:sz w:val="22"/>
          <w:szCs w:val="24"/>
        </w:rPr>
        <w:t xml:space="preserve">Na výnose </w:t>
      </w:r>
      <w:r w:rsidRPr="00530D23">
        <w:rPr>
          <w:rFonts w:ascii="Arial Narrow" w:hAnsi="Arial Narrow" w:cs="Arial Narrow"/>
          <w:b/>
          <w:sz w:val="22"/>
          <w:szCs w:val="24"/>
        </w:rPr>
        <w:t>dane z príjmov fyzických osôb z podnikania</w:t>
      </w:r>
      <w:r w:rsidRPr="00530D23">
        <w:rPr>
          <w:rFonts w:ascii="Arial Narrow" w:hAnsi="Arial Narrow" w:cs="Arial Narrow"/>
          <w:sz w:val="22"/>
          <w:szCs w:val="24"/>
        </w:rPr>
        <w:t xml:space="preserve"> sa negatívne prejaví spomalenie ekonomického rastu, najmä pomalší rast nominálnych miezd v rokoch 2009</w:t>
      </w:r>
      <w:r w:rsidR="00A97FD4">
        <w:rPr>
          <w:rFonts w:ascii="Arial Narrow" w:hAnsi="Arial Narrow" w:cs="Arial Narrow"/>
          <w:sz w:val="22"/>
          <w:szCs w:val="24"/>
        </w:rPr>
        <w:t xml:space="preserve"> až </w:t>
      </w:r>
      <w:r w:rsidRPr="00530D23">
        <w:rPr>
          <w:rFonts w:ascii="Arial Narrow" w:hAnsi="Arial Narrow" w:cs="Arial Narrow"/>
          <w:sz w:val="22"/>
          <w:szCs w:val="24"/>
        </w:rPr>
        <w:t>2010 a pokles zamestnanosti v roku 2009. Nezanedbateľný vplyv na výnos dane budú mať aj legislatívne zmeny týkajúce sa zvýšenia nezdaniteľnej časti základu dane, úpravy v odpisovaní hmotného a nehmotného majetku, či zníženia sadzby sociálneho poistenia pre SZČO do rezervného fondu solidarity.</w:t>
      </w:r>
    </w:p>
    <w:p w:rsidR="00DD172F" w:rsidP="00DD172F">
      <w:pPr>
        <w:ind w:firstLine="720"/>
        <w:jc w:val="both"/>
        <w:rPr>
          <w:rFonts w:ascii="Arial Narrow" w:hAnsi="Arial Narrow" w:cs="Arial Narrow"/>
          <w:sz w:val="22"/>
          <w:szCs w:val="24"/>
        </w:rPr>
      </w:pPr>
    </w:p>
    <w:p w:rsidR="00DD172F" w:rsidP="00DD172F">
      <w:pPr>
        <w:autoSpaceDE w:val="0"/>
        <w:autoSpaceDN w:val="0"/>
        <w:adjustRightInd w:val="0"/>
        <w:spacing w:line="240" w:lineRule="atLeast"/>
        <w:ind w:firstLine="708"/>
        <w:jc w:val="both"/>
        <w:rPr>
          <w:rFonts w:ascii="Arial Narrow" w:hAnsi="Arial Narrow" w:cs="Arial Narrow"/>
          <w:color w:val="000000"/>
          <w:sz w:val="22"/>
          <w:szCs w:val="24"/>
        </w:rPr>
      </w:pPr>
      <w:r w:rsidRPr="00404A75">
        <w:rPr>
          <w:rFonts w:ascii="Arial Narrow" w:hAnsi="Arial Narrow" w:cs="Arial Narrow"/>
          <w:color w:val="000000"/>
          <w:sz w:val="22"/>
          <w:szCs w:val="24"/>
        </w:rPr>
        <w:t xml:space="preserve">Výnos </w:t>
      </w:r>
      <w:r w:rsidRPr="00404A75">
        <w:rPr>
          <w:rFonts w:ascii="Arial Narrow" w:hAnsi="Arial Narrow" w:cs="Arial Narrow"/>
          <w:b/>
          <w:color w:val="000000"/>
          <w:sz w:val="22"/>
          <w:szCs w:val="24"/>
        </w:rPr>
        <w:t>dane z príjmov právnických osôb</w:t>
      </w:r>
      <w:r w:rsidRPr="00404A75">
        <w:rPr>
          <w:rFonts w:ascii="Arial Narrow" w:hAnsi="Arial Narrow" w:cs="Arial Narrow"/>
          <w:color w:val="000000"/>
          <w:sz w:val="22"/>
          <w:szCs w:val="24"/>
        </w:rPr>
        <w:t xml:space="preserve"> (DPPO) bude ovplyvnený znížením ekonomického rastu a následným znížením ziskovosti finančných a nefinančných korporácií. Predpokladá sa záujem podnikov o riadenie svojho cash-flow vytváraním rezerv a opravných položiek, ktoré odložia prípadnú daňovú povinnosť do budúcich rokov. Rizikom je možné čerpanie investičných stimulov formou daňových úľav existujúcich daňových subjektov, u ktorých by čerpaná úľava predstavovala výpadok na DPPO, nakoľko v minulosti daň platili. Zároveň bud</w:t>
      </w:r>
      <w:r>
        <w:rPr>
          <w:rFonts w:ascii="Arial Narrow" w:hAnsi="Arial Narrow" w:cs="Arial Narrow"/>
          <w:color w:val="000000"/>
          <w:sz w:val="22"/>
          <w:szCs w:val="24"/>
        </w:rPr>
        <w:t>e</w:t>
      </w:r>
      <w:r w:rsidRPr="00404A75">
        <w:rPr>
          <w:rFonts w:ascii="Arial Narrow" w:hAnsi="Arial Narrow" w:cs="Arial Narrow"/>
          <w:color w:val="000000"/>
          <w:sz w:val="22"/>
          <w:szCs w:val="24"/>
        </w:rPr>
        <w:t xml:space="preserve"> mať negatívny vplyv na výnos dane aj </w:t>
      </w:r>
      <w:r>
        <w:rPr>
          <w:rFonts w:ascii="Arial Narrow" w:hAnsi="Arial Narrow" w:cs="Arial Narrow"/>
          <w:color w:val="000000"/>
          <w:sz w:val="22"/>
          <w:szCs w:val="24"/>
        </w:rPr>
        <w:t xml:space="preserve">predpokladané čerpanie </w:t>
      </w:r>
      <w:r w:rsidRPr="00404A75">
        <w:rPr>
          <w:rFonts w:ascii="Arial Narrow" w:hAnsi="Arial Narrow" w:cs="Arial Narrow"/>
          <w:color w:val="000000"/>
          <w:sz w:val="22"/>
          <w:szCs w:val="24"/>
        </w:rPr>
        <w:t>daňov</w:t>
      </w:r>
      <w:r>
        <w:rPr>
          <w:rFonts w:ascii="Arial Narrow" w:hAnsi="Arial Narrow" w:cs="Arial Narrow"/>
          <w:color w:val="000000"/>
          <w:sz w:val="22"/>
          <w:szCs w:val="24"/>
        </w:rPr>
        <w:t>ých</w:t>
      </w:r>
      <w:r w:rsidRPr="00404A75">
        <w:rPr>
          <w:rFonts w:ascii="Arial Narrow" w:hAnsi="Arial Narrow" w:cs="Arial Narrow"/>
          <w:color w:val="000000"/>
          <w:sz w:val="22"/>
          <w:szCs w:val="24"/>
        </w:rPr>
        <w:t xml:space="preserve"> stimul</w:t>
      </w:r>
      <w:r>
        <w:rPr>
          <w:rFonts w:ascii="Arial Narrow" w:hAnsi="Arial Narrow" w:cs="Arial Narrow"/>
          <w:color w:val="000000"/>
          <w:sz w:val="22"/>
          <w:szCs w:val="24"/>
        </w:rPr>
        <w:t>ov</w:t>
      </w:r>
      <w:r w:rsidRPr="00404A75">
        <w:rPr>
          <w:rFonts w:ascii="Arial Narrow" w:hAnsi="Arial Narrow" w:cs="Arial Narrow"/>
          <w:color w:val="000000"/>
          <w:sz w:val="22"/>
          <w:szCs w:val="24"/>
        </w:rPr>
        <w:t xml:space="preserve"> pre vedu a výskum.</w:t>
      </w:r>
    </w:p>
    <w:p w:rsidR="00DD172F" w:rsidRPr="00D37490" w:rsidP="00DD172F">
      <w:pPr>
        <w:autoSpaceDE w:val="0"/>
        <w:autoSpaceDN w:val="0"/>
        <w:adjustRightInd w:val="0"/>
        <w:spacing w:line="240" w:lineRule="atLeast"/>
        <w:ind w:firstLine="708"/>
        <w:jc w:val="both"/>
        <w:rPr>
          <w:rFonts w:ascii="Arial Narrow" w:hAnsi="Arial Narrow" w:cs="Arial Narrow"/>
          <w:color w:val="000000"/>
          <w:sz w:val="22"/>
          <w:szCs w:val="24"/>
        </w:rPr>
      </w:pPr>
    </w:p>
    <w:p w:rsidR="00DD172F" w:rsidRPr="00007DFA" w:rsidP="00DD172F">
      <w:pPr>
        <w:ind w:firstLine="708"/>
        <w:jc w:val="both"/>
        <w:rPr>
          <w:rFonts w:ascii="Arial Narrow" w:hAnsi="Arial Narrow" w:cs="Arial Narrow"/>
          <w:color w:val="FF0000"/>
          <w:sz w:val="22"/>
          <w:szCs w:val="24"/>
        </w:rPr>
      </w:pPr>
      <w:r w:rsidRPr="00FD2A3C">
        <w:rPr>
          <w:rFonts w:ascii="Arial Narrow" w:hAnsi="Arial Narrow" w:cs="Arial Narrow"/>
          <w:color w:val="000000"/>
          <w:sz w:val="22"/>
          <w:szCs w:val="24"/>
        </w:rPr>
        <w:t xml:space="preserve">Neistotou pri prognóze daní z príjmov fyzických a právnických osôb je možnosť daňovníkov poukázať </w:t>
      </w:r>
      <w:r w:rsidR="006F5C6E">
        <w:rPr>
          <w:rFonts w:ascii="Arial Narrow" w:hAnsi="Arial Narrow" w:cs="Arial Narrow"/>
          <w:color w:val="000000"/>
          <w:sz w:val="22"/>
          <w:szCs w:val="24"/>
        </w:rPr>
        <w:t xml:space="preserve">   </w:t>
      </w:r>
      <w:r w:rsidRPr="00FD2A3C">
        <w:rPr>
          <w:rFonts w:ascii="Arial Narrow" w:hAnsi="Arial Narrow" w:cs="Arial Narrow"/>
          <w:color w:val="000000"/>
          <w:sz w:val="22"/>
          <w:szCs w:val="24"/>
        </w:rPr>
        <w:t>2</w:t>
      </w:r>
      <w:r w:rsidR="006F5C6E">
        <w:rPr>
          <w:rFonts w:ascii="Arial Narrow" w:hAnsi="Arial Narrow" w:cs="Arial Narrow"/>
          <w:color w:val="000000"/>
          <w:sz w:val="22"/>
          <w:szCs w:val="24"/>
        </w:rPr>
        <w:t xml:space="preserve"> </w:t>
      </w:r>
      <w:r w:rsidRPr="00FD2A3C">
        <w:rPr>
          <w:rFonts w:ascii="Arial Narrow" w:hAnsi="Arial Narrow" w:cs="Arial Narrow"/>
          <w:color w:val="000000"/>
          <w:sz w:val="22"/>
          <w:szCs w:val="24"/>
        </w:rPr>
        <w:t xml:space="preserve">% zo zaplatenej dane na osobitné účely (verejnoprospešné aktivity mimovládnych neziskových organizácií). V roku 2008 dosiahla suma prostriedkov prevedených na verejnoprospešný účel 49 180 tis. eur (z toho FO previedli 15 036 tis. eur a PO previedli 34 144 tis. eur). Predpokladá sa, že suma prostriedkov určených na osobitné účely dosiahne v roku 2010 </w:t>
      </w:r>
      <w:r w:rsidRPr="00007DFA">
        <w:rPr>
          <w:rFonts w:ascii="Arial Narrow" w:hAnsi="Arial Narrow" w:cs="Arial Narrow"/>
          <w:color w:val="000000"/>
          <w:sz w:val="22"/>
          <w:szCs w:val="24"/>
        </w:rPr>
        <w:t>úroveň  46 920 tis. eur.</w:t>
      </w:r>
    </w:p>
    <w:p w:rsidR="00DD172F" w:rsidRPr="00007DFA" w:rsidP="00DD172F">
      <w:pPr>
        <w:jc w:val="both"/>
        <w:rPr>
          <w:rFonts w:ascii="Arial Narrow" w:hAnsi="Arial Narrow" w:cs="Arial Narrow"/>
          <w:color w:val="FF0000"/>
          <w:sz w:val="22"/>
          <w:szCs w:val="24"/>
        </w:rPr>
      </w:pPr>
    </w:p>
    <w:p w:rsidR="00DD172F" w:rsidRPr="00AE2DA8" w:rsidP="00DD172F">
      <w:pPr>
        <w:ind w:firstLine="708"/>
        <w:jc w:val="both"/>
        <w:rPr>
          <w:rFonts w:ascii="Arial Narrow" w:hAnsi="Arial Narrow" w:cs="Arial Narrow"/>
          <w:color w:val="000000"/>
          <w:sz w:val="22"/>
          <w:szCs w:val="24"/>
        </w:rPr>
      </w:pPr>
      <w:r w:rsidRPr="00007DFA">
        <w:rPr>
          <w:rFonts w:ascii="Arial Narrow" w:hAnsi="Arial Narrow" w:cs="Arial Narrow"/>
          <w:color w:val="000000"/>
          <w:sz w:val="22"/>
          <w:szCs w:val="24"/>
        </w:rPr>
        <w:t xml:space="preserve">Prognóza </w:t>
      </w:r>
      <w:r w:rsidRPr="00007DFA">
        <w:rPr>
          <w:rFonts w:ascii="Arial Narrow" w:hAnsi="Arial Narrow" w:cs="Arial Narrow"/>
          <w:b/>
          <w:color w:val="000000"/>
          <w:sz w:val="22"/>
          <w:szCs w:val="24"/>
        </w:rPr>
        <w:t>dane z príjmov vyberanej zrážkou</w:t>
      </w:r>
      <w:r w:rsidRPr="00007DFA">
        <w:rPr>
          <w:rFonts w:ascii="Arial Narrow" w:hAnsi="Arial Narrow" w:cs="Arial Narrow"/>
          <w:color w:val="000000"/>
          <w:sz w:val="22"/>
          <w:szCs w:val="24"/>
        </w:rPr>
        <w:t xml:space="preserve"> na roky 2010 až 2012 vychádza z odhadovaného poklesu makroekonomickej základne a očakávaného zníženia priemernej úrokovej miery z celkového objemu vkladov. Na výnos dane má vplyv aj výnos dane z platieb licenčných poplatkov, ktorý na celkovom výnose dane vyberanej zrážkou tvorí približne </w:t>
      </w:r>
      <w:r>
        <w:rPr>
          <w:rFonts w:ascii="Arial Narrow" w:hAnsi="Arial Narrow" w:cs="Arial Narrow"/>
          <w:color w:val="000000"/>
          <w:sz w:val="22"/>
          <w:szCs w:val="24"/>
        </w:rPr>
        <w:t>20</w:t>
      </w:r>
      <w:r w:rsidR="006F5C6E">
        <w:rPr>
          <w:rFonts w:ascii="Arial Narrow" w:hAnsi="Arial Narrow" w:cs="Arial Narrow"/>
          <w:color w:val="000000"/>
          <w:sz w:val="22"/>
          <w:szCs w:val="24"/>
        </w:rPr>
        <w:t xml:space="preserve"> </w:t>
      </w:r>
      <w:r>
        <w:rPr>
          <w:rFonts w:ascii="Arial Narrow" w:hAnsi="Arial Narrow" w:cs="Arial Narrow"/>
          <w:color w:val="000000"/>
          <w:sz w:val="22"/>
          <w:szCs w:val="24"/>
        </w:rPr>
        <w:t>%</w:t>
      </w:r>
      <w:r w:rsidRPr="00007DFA">
        <w:rPr>
          <w:rFonts w:ascii="Arial Narrow" w:hAnsi="Arial Narrow" w:cs="Arial Narrow"/>
          <w:color w:val="000000"/>
          <w:sz w:val="22"/>
          <w:szCs w:val="24"/>
        </w:rPr>
        <w:t>. Výška licenčných poplatkov len čiastočne súvisí s makroekonomickým vývojom (licenčné poplatky odvíjajúce sa od výšky tržieb), keďže licenčné poplatky sa môžu platiť aj jednorazovo bez ohľadu na objem tržieb.</w:t>
      </w:r>
    </w:p>
    <w:p w:rsidR="00DD172F" w:rsidRPr="000F375B" w:rsidP="00DD172F">
      <w:pPr>
        <w:ind w:firstLine="708"/>
        <w:jc w:val="both"/>
        <w:rPr>
          <w:rFonts w:ascii="Arial Narrow" w:hAnsi="Arial Narrow" w:cs="Arial Narrow"/>
          <w:color w:val="000000"/>
          <w:sz w:val="22"/>
          <w:szCs w:val="24"/>
        </w:rPr>
      </w:pPr>
    </w:p>
    <w:p w:rsidR="00DD172F" w:rsidRPr="00DF45EC" w:rsidP="00DD172F">
      <w:pPr>
        <w:jc w:val="both"/>
        <w:rPr>
          <w:rFonts w:ascii="Arial Narrow" w:hAnsi="Arial Narrow" w:cs="Arial Narrow"/>
          <w:sz w:val="22"/>
          <w:szCs w:val="24"/>
        </w:rPr>
      </w:pPr>
      <w:r w:rsidRPr="00DF45EC">
        <w:rPr>
          <w:rFonts w:ascii="Arial Narrow" w:hAnsi="Arial Narrow" w:cs="Arial Narrow"/>
          <w:sz w:val="22"/>
          <w:szCs w:val="24"/>
        </w:rPr>
        <w:tab/>
      </w:r>
      <w:r>
        <w:rPr>
          <w:rFonts w:ascii="Arial Narrow" w:hAnsi="Arial Narrow" w:cs="Arial Narrow"/>
          <w:sz w:val="22"/>
          <w:szCs w:val="24"/>
        </w:rPr>
        <w:t xml:space="preserve">Výnos </w:t>
      </w:r>
      <w:r w:rsidRPr="00DF45EC">
        <w:rPr>
          <w:rFonts w:ascii="Arial Narrow" w:hAnsi="Arial Narrow" w:cs="Arial Narrow"/>
          <w:b/>
          <w:sz w:val="22"/>
          <w:szCs w:val="24"/>
        </w:rPr>
        <w:t>dan</w:t>
      </w:r>
      <w:r>
        <w:rPr>
          <w:rFonts w:ascii="Arial Narrow" w:hAnsi="Arial Narrow" w:cs="Arial Narrow"/>
          <w:b/>
          <w:sz w:val="22"/>
          <w:szCs w:val="24"/>
        </w:rPr>
        <w:t>e</w:t>
      </w:r>
      <w:r w:rsidRPr="00DF45EC">
        <w:rPr>
          <w:rFonts w:ascii="Arial Narrow" w:hAnsi="Arial Narrow" w:cs="Arial Narrow"/>
          <w:b/>
          <w:sz w:val="22"/>
          <w:szCs w:val="24"/>
        </w:rPr>
        <w:t xml:space="preserve"> z pridanej hodnoty</w:t>
      </w:r>
      <w:r w:rsidRPr="00DF45EC">
        <w:rPr>
          <w:rFonts w:ascii="Arial Narrow" w:hAnsi="Arial Narrow" w:cs="Arial Narrow"/>
          <w:sz w:val="22"/>
          <w:szCs w:val="24"/>
        </w:rPr>
        <w:t xml:space="preserve"> </w:t>
      </w:r>
      <w:r>
        <w:rPr>
          <w:rFonts w:ascii="Arial Narrow" w:hAnsi="Arial Narrow" w:cs="Arial Narrow"/>
          <w:sz w:val="22"/>
          <w:szCs w:val="24"/>
        </w:rPr>
        <w:t>bude rásť v prognózovanom období pomalšie ako spotrebné výdavky</w:t>
      </w:r>
      <w:r w:rsidRPr="00DF45EC">
        <w:rPr>
          <w:rFonts w:ascii="Arial Narrow" w:hAnsi="Arial Narrow" w:cs="Arial Narrow"/>
          <w:sz w:val="22"/>
          <w:szCs w:val="24"/>
        </w:rPr>
        <w:t xml:space="preserve"> domácn</w:t>
      </w:r>
      <w:r>
        <w:rPr>
          <w:rFonts w:ascii="Arial Narrow" w:hAnsi="Arial Narrow" w:cs="Arial Narrow"/>
          <w:sz w:val="22"/>
          <w:szCs w:val="24"/>
        </w:rPr>
        <w:t>ostí</w:t>
      </w:r>
      <w:r w:rsidRPr="00DF45EC">
        <w:rPr>
          <w:rFonts w:ascii="Arial Narrow" w:hAnsi="Arial Narrow" w:cs="Arial Narrow"/>
          <w:sz w:val="22"/>
          <w:szCs w:val="24"/>
        </w:rPr>
        <w:t>.</w:t>
      </w:r>
      <w:r>
        <w:rPr>
          <w:rFonts w:ascii="Arial Narrow" w:hAnsi="Arial Narrow" w:cs="Arial Narrow"/>
          <w:sz w:val="22"/>
          <w:szCs w:val="24"/>
        </w:rPr>
        <w:t xml:space="preserve"> Negatívne bude v rokoch 2010 až 2012 ovplyvnený európskou homologizáciou áut kategórie N1. Na hotovostný výnos bude mať v roku 2009 negatívny vplyv skrátenie lehoty na vrátenie nadmerných odpočtov zo 60 dní na 30 dní.</w:t>
      </w:r>
    </w:p>
    <w:p w:rsidR="00DD172F" w:rsidRPr="00781A2C" w:rsidP="00DD172F">
      <w:pPr>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sidRPr="000E77B2">
        <w:rPr>
          <w:rFonts w:ascii="Arial Narrow" w:hAnsi="Arial Narrow" w:cs="Arial Narrow"/>
          <w:sz w:val="22"/>
          <w:szCs w:val="24"/>
        </w:rPr>
        <w:t xml:space="preserve">Výnosy </w:t>
      </w:r>
      <w:r w:rsidRPr="000E77B2">
        <w:rPr>
          <w:rFonts w:ascii="Arial Narrow" w:hAnsi="Arial Narrow" w:cs="Arial Narrow"/>
          <w:b/>
          <w:sz w:val="22"/>
          <w:szCs w:val="24"/>
        </w:rPr>
        <w:t>spotrebných daní</w:t>
      </w:r>
      <w:r w:rsidRPr="000E77B2">
        <w:rPr>
          <w:rFonts w:ascii="Arial Narrow" w:hAnsi="Arial Narrow" w:cs="Arial Narrow"/>
          <w:sz w:val="22"/>
          <w:szCs w:val="24"/>
        </w:rPr>
        <w:t xml:space="preserve"> v metodike ESA</w:t>
      </w:r>
      <w:r w:rsidR="006F5C6E">
        <w:rPr>
          <w:rFonts w:ascii="Arial Narrow" w:hAnsi="Arial Narrow" w:cs="Arial Narrow"/>
          <w:sz w:val="22"/>
          <w:szCs w:val="24"/>
        </w:rPr>
        <w:t xml:space="preserve"> </w:t>
      </w:r>
      <w:r w:rsidRPr="000E77B2">
        <w:rPr>
          <w:rFonts w:ascii="Arial Narrow" w:hAnsi="Arial Narrow" w:cs="Arial Narrow"/>
          <w:sz w:val="22"/>
          <w:szCs w:val="24"/>
        </w:rPr>
        <w:t>95 budú rásť v súlade s tempom rastu domácností v stálych cenách, pričom najväčší efekt predstavuje predzásobenie cigaretami. V súlade s harmonizáciou sadzieb dane EÚ došlo 1.2.2009 k zvýšeniu sadzieb dane z tabakových výrobkov. S tým súvisí predzásobenie v posledných mesiacoch pred zvýšením sadzby dane. Následkom zvyšovania sadzieb dane až od 1.2. 2009 došlo k rozdeleniu výnosu z tohto predzásobenia medzi roky 2008 a 2009, pričom v roku 2008 sa výnos z predzásobenia pohybuje na úrovni 134 082 tis. eur a v roku 2009 na úrovni 217 534 tis. eur. Nové sadzby spotrebnej dane na tabakové výrobky sa tak na výnose dane naplno prejavia až v rokoch 2010 a 2011.</w:t>
      </w:r>
    </w:p>
    <w:p w:rsidR="00BB5C1C" w:rsidRPr="000E77B2" w:rsidP="00DD172F">
      <w:pPr>
        <w:ind w:firstLine="708"/>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sidRPr="000E77B2">
        <w:rPr>
          <w:rFonts w:ascii="Arial Narrow" w:hAnsi="Arial Narrow" w:cs="Arial Narrow"/>
          <w:sz w:val="22"/>
          <w:szCs w:val="24"/>
        </w:rPr>
        <w:t>Významný vplyv na výnos spotrebnej dane z minerálnych olejov má primiešavanie biozložiek do benzínov a nafty. Ročný negatívny dopad na výnos dane sa v roku 2009 odhaduje na úrovni 39 526 tis. eur s postupným nárastom až na 55 019 tis. eur v roku 2012.</w:t>
      </w:r>
    </w:p>
    <w:p w:rsidR="00BB5C1C" w:rsidP="00DD172F">
      <w:pPr>
        <w:ind w:firstLine="708"/>
        <w:jc w:val="both"/>
        <w:rPr>
          <w:rFonts w:ascii="Arial Narrow" w:hAnsi="Arial Narrow" w:cs="Arial Narrow"/>
          <w:sz w:val="22"/>
          <w:szCs w:val="24"/>
        </w:rPr>
      </w:pPr>
    </w:p>
    <w:p w:rsidR="00DD172F" w:rsidP="00DD172F">
      <w:pPr>
        <w:ind w:firstLine="708"/>
        <w:jc w:val="both"/>
        <w:rPr>
          <w:rFonts w:ascii="Arial Narrow" w:hAnsi="Arial Narrow" w:cs="Arial Narrow"/>
          <w:color w:val="000000"/>
          <w:sz w:val="22"/>
          <w:szCs w:val="24"/>
        </w:rPr>
      </w:pPr>
      <w:r>
        <w:rPr>
          <w:rFonts w:ascii="Arial Narrow" w:hAnsi="Arial Narrow" w:cs="Arial Narrow"/>
          <w:color w:val="000000"/>
          <w:sz w:val="22"/>
          <w:szCs w:val="24"/>
        </w:rPr>
        <w:t>Výnos spotrebnej dane z liehu bude výrazne ovplyvnený zvyšovaním sadzieb od 1.3.2010. V tejto súvislosti dôjde k predzásobeniu, ktoré sa odhaduje na úrovni 43 300 tis. eur, čo predstavuje približne 3-mesačnú spotrebu. Pozitívny vplyv na výnos dane sa v roku 2010 odhaduje vo výške 13 170 tis. eur, v roku 2011 vo výške 20 040 tis. eur a v roku 2012 na úrovni 20 710 tis. eur.</w:t>
      </w:r>
    </w:p>
    <w:p w:rsidR="00BB5C1C" w:rsidRPr="00781A2C" w:rsidP="00DD172F">
      <w:pPr>
        <w:ind w:firstLine="708"/>
        <w:jc w:val="both"/>
        <w:rPr>
          <w:rFonts w:ascii="Arial Narrow" w:hAnsi="Arial Narrow" w:cs="Arial Narrow"/>
          <w:sz w:val="22"/>
          <w:szCs w:val="24"/>
        </w:rPr>
      </w:pPr>
    </w:p>
    <w:p w:rsidR="00DD172F" w:rsidRPr="00DF45EC" w:rsidP="00DD172F">
      <w:pPr>
        <w:ind w:firstLine="708"/>
        <w:jc w:val="both"/>
        <w:rPr>
          <w:rFonts w:ascii="Arial Narrow" w:hAnsi="Arial Narrow" w:cs="Arial Narrow"/>
          <w:sz w:val="22"/>
          <w:szCs w:val="24"/>
        </w:rPr>
      </w:pPr>
      <w:r w:rsidRPr="00DF45EC">
        <w:rPr>
          <w:rFonts w:ascii="Arial Narrow" w:hAnsi="Arial Narrow" w:cs="Arial Narrow"/>
          <w:sz w:val="22"/>
          <w:szCs w:val="24"/>
        </w:rPr>
        <w:t xml:space="preserve">Podľa </w:t>
      </w:r>
      <w:r w:rsidRPr="00DF45EC">
        <w:rPr>
          <w:rFonts w:ascii="Arial Narrow" w:hAnsi="Arial Narrow" w:cs="Arial Narrow"/>
          <w:b/>
          <w:sz w:val="22"/>
          <w:szCs w:val="24"/>
        </w:rPr>
        <w:t>zákona o miestnych daniach</w:t>
      </w:r>
      <w:r w:rsidRPr="00DF45EC">
        <w:rPr>
          <w:rFonts w:ascii="Arial Narrow" w:hAnsi="Arial Narrow" w:cs="Arial Narrow"/>
          <w:sz w:val="22"/>
          <w:szCs w:val="24"/>
        </w:rPr>
        <w:t xml:space="preserve"> a miestnom poplatku za komunálne odpady a drobné stavebné odpady, ktorý upravuje daň z nehnuteľností, dane za špecifické služby a daň z motorových vozidiel, majú stanovenie výšky sadzieb daní v kompetencii jednotlivé obce (daň z nehnuteľností a dane za špecifické služby) a VÚC (daň z motorových </w:t>
      </w:r>
      <w:r w:rsidR="00BB5C1C">
        <w:rPr>
          <w:rFonts w:ascii="Arial Narrow" w:hAnsi="Arial Narrow" w:cs="Arial Narrow"/>
          <w:sz w:val="22"/>
          <w:szCs w:val="24"/>
        </w:rPr>
        <w:t>vozidiel). Odhad MF SR pri</w:t>
      </w:r>
      <w:r w:rsidRPr="00DF45EC">
        <w:rPr>
          <w:rFonts w:ascii="Arial Narrow" w:hAnsi="Arial Narrow" w:cs="Arial Narrow"/>
          <w:sz w:val="22"/>
          <w:szCs w:val="24"/>
        </w:rPr>
        <w:t xml:space="preserve"> týchto dan</w:t>
      </w:r>
      <w:r w:rsidR="00BB5C1C">
        <w:rPr>
          <w:rFonts w:ascii="Arial Narrow" w:hAnsi="Arial Narrow" w:cs="Arial Narrow"/>
          <w:sz w:val="22"/>
          <w:szCs w:val="24"/>
        </w:rPr>
        <w:t>iach</w:t>
      </w:r>
      <w:r w:rsidRPr="00DF45EC">
        <w:rPr>
          <w:rFonts w:ascii="Arial Narrow" w:hAnsi="Arial Narrow" w:cs="Arial Narrow"/>
          <w:sz w:val="22"/>
          <w:szCs w:val="24"/>
        </w:rPr>
        <w:t xml:space="preserve"> je preto len indikatívny, nakoľko subjekty samosprávy si zostavujú</w:t>
      </w:r>
      <w:r>
        <w:rPr>
          <w:rFonts w:ascii="Arial Narrow" w:hAnsi="Arial Narrow" w:cs="Arial Narrow"/>
          <w:sz w:val="22"/>
          <w:szCs w:val="24"/>
        </w:rPr>
        <w:t xml:space="preserve"> vlastné rozpočty. Do výraznejšieho nárastu výnosu daní v odhade MF SR na rok 2009 bol zapracovaný predpoklad čiastočnej kompenzácie výpadku dane z príjmov fyzických osôb zvýšením sadzby dane z nehnuteľností.</w:t>
      </w:r>
    </w:p>
    <w:p w:rsidR="00DD172F" w:rsidRPr="00DF45EC" w:rsidP="00DD172F">
      <w:pPr>
        <w:jc w:val="both"/>
        <w:rPr>
          <w:color w:val="FF0000"/>
          <w:szCs w:val="24"/>
          <w:highlight w:val="yellow"/>
        </w:rPr>
      </w:pPr>
    </w:p>
    <w:p w:rsidR="00DD172F" w:rsidP="00DD172F">
      <w:pPr>
        <w:ind w:firstLine="708"/>
        <w:jc w:val="both"/>
        <w:rPr>
          <w:rFonts w:ascii="Arial Narrow" w:hAnsi="Arial Narrow" w:cs="Arial Narrow"/>
          <w:sz w:val="22"/>
          <w:szCs w:val="24"/>
        </w:rPr>
      </w:pPr>
      <w:r w:rsidRPr="00DF45EC">
        <w:rPr>
          <w:rFonts w:ascii="Arial Narrow" w:hAnsi="Arial Narrow" w:cs="Arial Narrow"/>
          <w:sz w:val="22"/>
          <w:szCs w:val="24"/>
        </w:rPr>
        <w:t xml:space="preserve">Odhad výnosu </w:t>
      </w:r>
      <w:r w:rsidRPr="00DF45EC">
        <w:rPr>
          <w:rFonts w:ascii="Arial Narrow" w:hAnsi="Arial Narrow" w:cs="Arial Narrow"/>
          <w:b/>
          <w:sz w:val="22"/>
          <w:szCs w:val="24"/>
        </w:rPr>
        <w:t>ostatných daní</w:t>
      </w:r>
      <w:r w:rsidRPr="00DF45EC">
        <w:rPr>
          <w:rFonts w:ascii="Arial Narrow" w:hAnsi="Arial Narrow" w:cs="Arial Narrow"/>
          <w:sz w:val="22"/>
          <w:szCs w:val="24"/>
        </w:rPr>
        <w:t xml:space="preserve"> je tvorený odhadom výnosov z podielu na vybratých finančných prostriedkoch</w:t>
      </w:r>
      <w:r>
        <w:rPr>
          <w:rFonts w:ascii="Arial Narrow" w:hAnsi="Arial Narrow" w:cs="Arial Narrow"/>
          <w:sz w:val="22"/>
          <w:szCs w:val="24"/>
        </w:rPr>
        <w:t xml:space="preserve"> EÚ</w:t>
      </w:r>
      <w:r w:rsidRPr="00DF45EC">
        <w:rPr>
          <w:rFonts w:ascii="Arial Narrow" w:hAnsi="Arial Narrow" w:cs="Arial Narrow"/>
          <w:sz w:val="22"/>
          <w:szCs w:val="24"/>
        </w:rPr>
        <w:t>, z úhrad za dobývací priestor a z úhrad za uskladňovanie plynov alebo kvapalín. Výnos z podielu na vybratých finančných prostriedkoch</w:t>
      </w:r>
      <w:r>
        <w:rPr>
          <w:rFonts w:ascii="Arial Narrow" w:hAnsi="Arial Narrow" w:cs="Arial Narrow"/>
          <w:sz w:val="22"/>
          <w:szCs w:val="24"/>
        </w:rPr>
        <w:t xml:space="preserve"> EÚ</w:t>
      </w:r>
      <w:r w:rsidRPr="00DF45EC">
        <w:rPr>
          <w:rFonts w:ascii="Arial Narrow" w:hAnsi="Arial Narrow" w:cs="Arial Narrow"/>
          <w:sz w:val="22"/>
          <w:szCs w:val="24"/>
        </w:rPr>
        <w:t xml:space="preserve"> je tvorený 25</w:t>
      </w:r>
      <w:r w:rsidR="006F5C6E">
        <w:rPr>
          <w:rFonts w:ascii="Arial Narrow" w:hAnsi="Arial Narrow" w:cs="Arial Narrow"/>
          <w:sz w:val="22"/>
          <w:szCs w:val="24"/>
        </w:rPr>
        <w:t xml:space="preserve"> </w:t>
      </w:r>
      <w:r w:rsidRPr="00DF45EC">
        <w:rPr>
          <w:rFonts w:ascii="Arial Narrow" w:hAnsi="Arial Narrow" w:cs="Arial Narrow"/>
          <w:sz w:val="22"/>
          <w:szCs w:val="24"/>
        </w:rPr>
        <w:t>% zo sumy vlastných tradičných zdrojov EÚ pripadajúcich na dovozné clo a poľnohospodárske poplatky, ostávajúcich 75</w:t>
      </w:r>
      <w:r w:rsidR="006F5C6E">
        <w:rPr>
          <w:rFonts w:ascii="Arial Narrow" w:hAnsi="Arial Narrow" w:cs="Arial Narrow"/>
          <w:sz w:val="22"/>
          <w:szCs w:val="24"/>
        </w:rPr>
        <w:t xml:space="preserve"> </w:t>
      </w:r>
      <w:r w:rsidRPr="00DF45EC">
        <w:rPr>
          <w:rFonts w:ascii="Arial Narrow" w:hAnsi="Arial Narrow" w:cs="Arial Narrow"/>
          <w:sz w:val="22"/>
          <w:szCs w:val="24"/>
        </w:rPr>
        <w:t xml:space="preserve">% plynie priamo do rozpočtu EÚ. </w:t>
      </w:r>
      <w:r>
        <w:rPr>
          <w:rFonts w:ascii="Arial Narrow" w:hAnsi="Arial Narrow" w:cs="Arial Narrow"/>
          <w:sz w:val="22"/>
          <w:szCs w:val="24"/>
        </w:rPr>
        <w:t>V</w:t>
      </w:r>
      <w:r w:rsidRPr="00DF45EC">
        <w:rPr>
          <w:rFonts w:ascii="Arial Narrow" w:hAnsi="Arial Narrow" w:cs="Arial Narrow"/>
          <w:sz w:val="22"/>
          <w:szCs w:val="24"/>
        </w:rPr>
        <w:t xml:space="preserve">ýnos dane z úhrad za uskladňovanie plynov alebo kvapalín, ktorý je príjmom Environmentálneho fondu, sa očakáva v rokoch </w:t>
      </w:r>
      <w:r>
        <w:rPr>
          <w:rFonts w:ascii="Arial Narrow" w:hAnsi="Arial Narrow" w:cs="Arial Narrow"/>
          <w:sz w:val="22"/>
          <w:szCs w:val="24"/>
        </w:rPr>
        <w:t>2010 až 2012 vo výške 1 156 tis. eur. Prognóza</w:t>
      </w:r>
      <w:r w:rsidRPr="0080765E">
        <w:rPr>
          <w:rFonts w:ascii="Arial Narrow" w:hAnsi="Arial Narrow" w:cs="Arial Narrow"/>
          <w:sz w:val="22"/>
          <w:szCs w:val="24"/>
        </w:rPr>
        <w:t xml:space="preserve"> </w:t>
      </w:r>
      <w:r>
        <w:rPr>
          <w:rFonts w:ascii="Arial Narrow" w:hAnsi="Arial Narrow" w:cs="Arial Narrow"/>
          <w:sz w:val="22"/>
          <w:szCs w:val="24"/>
        </w:rPr>
        <w:t>úhrady za služby verejnosti poskytované STV a SRo predpokladá, že v roku 2010 dosiahne výšku 77 452 tis. eur a v rokoch 2011 a 2012 vzrastie tento výnos o 1,0</w:t>
      </w:r>
      <w:r w:rsidR="006F5C6E">
        <w:rPr>
          <w:rFonts w:ascii="Arial Narrow" w:hAnsi="Arial Narrow" w:cs="Arial Narrow"/>
          <w:sz w:val="22"/>
          <w:szCs w:val="24"/>
        </w:rPr>
        <w:t xml:space="preserve"> </w:t>
      </w:r>
      <w:r>
        <w:rPr>
          <w:rFonts w:ascii="Arial Narrow" w:hAnsi="Arial Narrow" w:cs="Arial Narrow"/>
          <w:sz w:val="22"/>
          <w:szCs w:val="24"/>
        </w:rPr>
        <w:t>%.</w:t>
      </w:r>
    </w:p>
    <w:p w:rsidR="00DD172F" w:rsidP="00DD172F">
      <w:pPr>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sidRPr="00DF45EC">
        <w:rPr>
          <w:rFonts w:ascii="Arial Narrow" w:hAnsi="Arial Narrow" w:cs="Arial Narrow"/>
          <w:sz w:val="22"/>
          <w:szCs w:val="24"/>
        </w:rPr>
        <w:t>Súčasťou ostatných daní sú aj zrušené majetkové dane, z ktorých naďalej plynú dobiehajúce platby d</w:t>
      </w:r>
      <w:r>
        <w:rPr>
          <w:rFonts w:ascii="Arial Narrow" w:hAnsi="Arial Narrow" w:cs="Arial Narrow"/>
          <w:sz w:val="22"/>
          <w:szCs w:val="24"/>
        </w:rPr>
        <w:t>o štátneho rozpočtu. V roku 2008</w:t>
      </w:r>
      <w:r w:rsidRPr="00DF45EC">
        <w:rPr>
          <w:rFonts w:ascii="Arial Narrow" w:hAnsi="Arial Narrow" w:cs="Arial Narrow"/>
          <w:sz w:val="22"/>
          <w:szCs w:val="24"/>
        </w:rPr>
        <w:t xml:space="preserve"> </w:t>
      </w:r>
      <w:r>
        <w:rPr>
          <w:rFonts w:ascii="Arial Narrow" w:hAnsi="Arial Narrow" w:cs="Arial Narrow"/>
          <w:sz w:val="22"/>
          <w:szCs w:val="24"/>
        </w:rPr>
        <w:t xml:space="preserve">dosiahol výnos </w:t>
      </w:r>
      <w:r w:rsidRPr="00DF45EC">
        <w:rPr>
          <w:rFonts w:ascii="Arial Narrow" w:hAnsi="Arial Narrow" w:cs="Arial Narrow"/>
          <w:sz w:val="22"/>
          <w:szCs w:val="24"/>
        </w:rPr>
        <w:t xml:space="preserve">z týchto daní </w:t>
      </w:r>
      <w:r>
        <w:rPr>
          <w:rFonts w:ascii="Arial Narrow" w:hAnsi="Arial Narrow" w:cs="Arial Narrow"/>
          <w:sz w:val="22"/>
          <w:szCs w:val="24"/>
        </w:rPr>
        <w:t xml:space="preserve">934 tis. eur a ku koncu augusta 2009 </w:t>
      </w:r>
      <w:r w:rsidRPr="0024598E">
        <w:rPr>
          <w:rFonts w:ascii="Arial Narrow" w:hAnsi="Arial Narrow" w:cs="Arial Narrow"/>
          <w:sz w:val="22"/>
          <w:szCs w:val="24"/>
        </w:rPr>
        <w:t xml:space="preserve">bol </w:t>
      </w:r>
      <w:r>
        <w:rPr>
          <w:rFonts w:ascii="Arial Narrow" w:hAnsi="Arial Narrow" w:cs="Arial Narrow"/>
          <w:sz w:val="22"/>
          <w:szCs w:val="24"/>
        </w:rPr>
        <w:t>522</w:t>
      </w:r>
      <w:r w:rsidRPr="0024598E">
        <w:rPr>
          <w:rFonts w:ascii="Arial Narrow" w:hAnsi="Arial Narrow" w:cs="Arial Narrow"/>
          <w:sz w:val="22"/>
          <w:szCs w:val="24"/>
        </w:rPr>
        <w:t xml:space="preserve"> tis</w:t>
      </w:r>
      <w:r>
        <w:rPr>
          <w:rFonts w:ascii="Arial Narrow" w:hAnsi="Arial Narrow" w:cs="Arial Narrow"/>
          <w:sz w:val="22"/>
          <w:szCs w:val="24"/>
        </w:rPr>
        <w:t xml:space="preserve">. eur. Pre </w:t>
      </w:r>
      <w:r w:rsidRPr="00DF45EC">
        <w:rPr>
          <w:rFonts w:ascii="Arial Narrow" w:hAnsi="Arial Narrow" w:cs="Arial Narrow"/>
          <w:sz w:val="22"/>
          <w:szCs w:val="24"/>
        </w:rPr>
        <w:t>nasledujúc</w:t>
      </w:r>
      <w:r>
        <w:rPr>
          <w:rFonts w:ascii="Arial Narrow" w:hAnsi="Arial Narrow" w:cs="Arial Narrow"/>
          <w:sz w:val="22"/>
          <w:szCs w:val="24"/>
        </w:rPr>
        <w:t>e</w:t>
      </w:r>
      <w:r w:rsidRPr="00DF45EC">
        <w:rPr>
          <w:rFonts w:ascii="Arial Narrow" w:hAnsi="Arial Narrow" w:cs="Arial Narrow"/>
          <w:sz w:val="22"/>
          <w:szCs w:val="24"/>
        </w:rPr>
        <w:t xml:space="preserve"> rok</w:t>
      </w:r>
      <w:r>
        <w:rPr>
          <w:rFonts w:ascii="Arial Narrow" w:hAnsi="Arial Narrow" w:cs="Arial Narrow"/>
          <w:sz w:val="22"/>
          <w:szCs w:val="24"/>
        </w:rPr>
        <w:t>y</w:t>
      </w:r>
      <w:r w:rsidRPr="00DF45EC">
        <w:rPr>
          <w:rFonts w:ascii="Arial Narrow" w:hAnsi="Arial Narrow" w:cs="Arial Narrow"/>
          <w:sz w:val="22"/>
          <w:szCs w:val="24"/>
        </w:rPr>
        <w:t xml:space="preserve"> sa už </w:t>
      </w:r>
      <w:r>
        <w:rPr>
          <w:rFonts w:ascii="Arial Narrow" w:hAnsi="Arial Narrow" w:cs="Arial Narrow"/>
          <w:sz w:val="22"/>
          <w:szCs w:val="24"/>
        </w:rPr>
        <w:t xml:space="preserve">tieto </w:t>
      </w:r>
      <w:r w:rsidRPr="00DF45EC">
        <w:rPr>
          <w:rFonts w:ascii="Arial Narrow" w:hAnsi="Arial Narrow" w:cs="Arial Narrow"/>
          <w:sz w:val="22"/>
          <w:szCs w:val="24"/>
        </w:rPr>
        <w:t>dan</w:t>
      </w:r>
      <w:r>
        <w:rPr>
          <w:rFonts w:ascii="Arial Narrow" w:hAnsi="Arial Narrow" w:cs="Arial Narrow"/>
          <w:sz w:val="22"/>
          <w:szCs w:val="24"/>
        </w:rPr>
        <w:t>e nerozpočtujú</w:t>
      </w:r>
      <w:r w:rsidRPr="00DF45EC">
        <w:rPr>
          <w:rFonts w:ascii="Arial Narrow" w:hAnsi="Arial Narrow" w:cs="Arial Narrow"/>
          <w:sz w:val="22"/>
          <w:szCs w:val="24"/>
        </w:rPr>
        <w:t>.</w:t>
      </w:r>
    </w:p>
    <w:p w:rsidR="00DD172F" w:rsidRPr="000045C9" w:rsidP="00DD172F">
      <w:pPr>
        <w:jc w:val="both"/>
        <w:outlineLvl w:val="0"/>
        <w:rPr>
          <w:rFonts w:ascii="Arial Narrow" w:hAnsi="Arial Narrow" w:cs="Arial Narrow"/>
          <w:b/>
          <w:sz w:val="22"/>
          <w:szCs w:val="24"/>
        </w:rPr>
      </w:pPr>
    </w:p>
    <w:p w:rsidR="00DD172F" w:rsidRPr="00C31B30" w:rsidP="00581272">
      <w:pPr>
        <w:rPr>
          <w:rFonts w:ascii="Arial Narrow" w:hAnsi="Arial Narrow" w:cs="Arial Narrow"/>
          <w:b/>
          <w:szCs w:val="24"/>
        </w:rPr>
      </w:pPr>
      <w:r w:rsidRPr="00C31B30">
        <w:rPr>
          <w:rFonts w:ascii="Arial Narrow" w:hAnsi="Arial Narrow" w:cs="Arial Narrow"/>
          <w:b/>
          <w:szCs w:val="24"/>
        </w:rPr>
        <w:t>Kvantifikácia daňových príjmov</w:t>
      </w:r>
    </w:p>
    <w:p w:rsidR="00DD172F" w:rsidRPr="00ED2A90" w:rsidP="00DD172F">
      <w:pPr>
        <w:jc w:val="both"/>
        <w:outlineLvl w:val="0"/>
        <w:rPr>
          <w:rFonts w:ascii="Arial Narrow" w:hAnsi="Arial Narrow" w:cs="Arial Narrow"/>
          <w:sz w:val="22"/>
          <w:szCs w:val="24"/>
        </w:rPr>
      </w:pPr>
    </w:p>
    <w:p w:rsidR="00DD172F" w:rsidRPr="000F41ED" w:rsidP="000F41ED">
      <w:pPr>
        <w:ind w:firstLine="708"/>
        <w:jc w:val="both"/>
        <w:rPr>
          <w:rFonts w:ascii="Arial Narrow" w:hAnsi="Arial Narrow" w:cs="Arial Narrow"/>
          <w:sz w:val="22"/>
          <w:szCs w:val="24"/>
        </w:rPr>
      </w:pPr>
      <w:r w:rsidRPr="000F41ED">
        <w:rPr>
          <w:rFonts w:ascii="Arial Narrow" w:hAnsi="Arial Narrow" w:cs="Arial Narrow"/>
          <w:sz w:val="22"/>
          <w:szCs w:val="24"/>
        </w:rPr>
        <w:t xml:space="preserve">Medzi </w:t>
      </w:r>
      <w:r w:rsidRPr="000F41ED">
        <w:rPr>
          <w:rFonts w:ascii="Arial Narrow" w:hAnsi="Arial Narrow" w:cs="Arial Narrow"/>
          <w:b/>
          <w:sz w:val="22"/>
          <w:szCs w:val="24"/>
        </w:rPr>
        <w:t>hlavné riziká prognózy</w:t>
      </w:r>
      <w:r w:rsidRPr="000F41ED">
        <w:rPr>
          <w:rFonts w:ascii="Arial Narrow" w:hAnsi="Arial Narrow" w:cs="Arial Narrow"/>
          <w:sz w:val="22"/>
          <w:szCs w:val="24"/>
        </w:rPr>
        <w:t xml:space="preserve"> patrí samotný makroekonomický vývoj. Aktuálna prognóza daňových príjmov je postavená na predpoklade poklesu ekonomiky v roku 2009 na úrovni 5,7</w:t>
      </w:r>
      <w:r w:rsidRPr="000F41ED" w:rsidR="00C67C16">
        <w:rPr>
          <w:rFonts w:ascii="Arial Narrow" w:hAnsi="Arial Narrow" w:cs="Arial Narrow"/>
          <w:sz w:val="22"/>
          <w:szCs w:val="24"/>
        </w:rPr>
        <w:t xml:space="preserve"> </w:t>
      </w:r>
      <w:r w:rsidRPr="000F41ED">
        <w:rPr>
          <w:rFonts w:ascii="Arial Narrow" w:hAnsi="Arial Narrow" w:cs="Arial Narrow"/>
          <w:sz w:val="22"/>
          <w:szCs w:val="24"/>
        </w:rPr>
        <w:t>% a na predpoklade rastu ekonomiky v roku 2010 na úrovni 1,9</w:t>
      </w:r>
      <w:r w:rsidRPr="000F41ED" w:rsidR="00C67C16">
        <w:rPr>
          <w:rFonts w:ascii="Arial Narrow" w:hAnsi="Arial Narrow" w:cs="Arial Narrow"/>
          <w:sz w:val="22"/>
          <w:szCs w:val="24"/>
        </w:rPr>
        <w:t xml:space="preserve"> </w:t>
      </w:r>
      <w:r w:rsidRPr="000F41ED">
        <w:rPr>
          <w:rFonts w:ascii="Arial Narrow" w:hAnsi="Arial Narrow" w:cs="Arial Narrow"/>
          <w:sz w:val="22"/>
          <w:szCs w:val="24"/>
        </w:rPr>
        <w:t>%, pričom nenaplnenie tohto odhadu sa následne premietne aj do nižšieho výnosu daňových príjmov. Výnos DPH môže byť v porovnaní s predpokladmi negatívne ovplyvnený rýchlejším nábehom globálnej homologizácie áut kategórie N1. Pri spotrebnej dani z minerálnych olejov negatívne riziko vyplýva z možnosti, že v budúcnosti budú prijaté nové technické normy umožňujúce vyššie objemy biozložiek. Negatívny dopad môže mať aj väčšie využívanie možnosti zasielania 2</w:t>
      </w:r>
      <w:r w:rsidRPr="000F41ED" w:rsidR="00C67C16">
        <w:rPr>
          <w:rFonts w:ascii="Arial Narrow" w:hAnsi="Arial Narrow" w:cs="Arial Narrow"/>
          <w:sz w:val="22"/>
          <w:szCs w:val="24"/>
        </w:rPr>
        <w:t xml:space="preserve"> </w:t>
      </w:r>
      <w:r w:rsidRPr="000F41ED">
        <w:rPr>
          <w:rFonts w:ascii="Arial Narrow" w:hAnsi="Arial Narrow" w:cs="Arial Narrow"/>
          <w:sz w:val="22"/>
          <w:szCs w:val="24"/>
        </w:rPr>
        <w:t>% daní na verejnoprospešný účel. Maximálny vplyv prevodu prostriedkov môže v roku 2010 dosiahnuť úroveň až 69 112 tis. eur, čo je oproti prognózovanej hodnote viac o 22 192 tis. eur.</w:t>
      </w:r>
    </w:p>
    <w:p w:rsidR="00DD172F" w:rsidRPr="000045C9" w:rsidP="00DD172F">
      <w:pPr>
        <w:ind w:firstLine="708"/>
        <w:jc w:val="both"/>
        <w:rPr>
          <w:rFonts w:ascii="Arial Narrow" w:hAnsi="Arial Narrow" w:cs="Arial Narrow"/>
          <w:sz w:val="22"/>
          <w:szCs w:val="24"/>
        </w:rPr>
      </w:pPr>
    </w:p>
    <w:p w:rsidR="00DD172F" w:rsidP="00152079">
      <w:pPr>
        <w:ind w:firstLine="708"/>
        <w:jc w:val="both"/>
        <w:rPr>
          <w:rFonts w:ascii="Arial Narrow" w:hAnsi="Arial Narrow" w:cs="Arial Narrow"/>
          <w:sz w:val="22"/>
          <w:szCs w:val="24"/>
        </w:rPr>
      </w:pPr>
      <w:r w:rsidRPr="00514B77">
        <w:rPr>
          <w:rFonts w:ascii="Arial Narrow" w:hAnsi="Arial Narrow" w:cs="Arial Narrow"/>
          <w:b/>
          <w:sz w:val="22"/>
          <w:szCs w:val="24"/>
        </w:rPr>
        <w:t>Daňové príjmy na hotovostnej báze</w:t>
      </w:r>
      <w:r w:rsidRPr="00514B77">
        <w:rPr>
          <w:rFonts w:ascii="Arial Narrow" w:hAnsi="Arial Narrow" w:cs="Arial Narrow"/>
          <w:sz w:val="22"/>
          <w:szCs w:val="24"/>
        </w:rPr>
        <w:t xml:space="preserve"> sú prezentované v nasledovnej tabuľke. Podľa rozpočtovej klasifikácie sa sankčné úroky (ďalej len sankcie) uložené v daňovom konaní k jednotlivým daniam rozpočtujú v rámci samostatnej kategórie. Tabuľka prezentuje výnosy jednotlivých daní </w:t>
      </w:r>
      <w:r w:rsidRPr="00514B77">
        <w:rPr>
          <w:rFonts w:ascii="Arial Narrow" w:hAnsi="Arial Narrow" w:cs="Arial Narrow"/>
          <w:b/>
          <w:sz w:val="22"/>
          <w:szCs w:val="24"/>
        </w:rPr>
        <w:t>bez sankcií</w:t>
      </w:r>
      <w:r w:rsidRPr="00514B77">
        <w:rPr>
          <w:rFonts w:ascii="Arial Narrow" w:hAnsi="Arial Narrow" w:cs="Arial Narrow"/>
          <w:sz w:val="22"/>
          <w:szCs w:val="24"/>
        </w:rPr>
        <w:t>, pričom v súlade s rozpočtovou klasifikáciou je predpokladaná výška sankcií k jednotlivým dan</w:t>
      </w:r>
      <w:r w:rsidR="00ED680D">
        <w:rPr>
          <w:rFonts w:ascii="Arial Narrow" w:hAnsi="Arial Narrow" w:cs="Arial Narrow"/>
          <w:sz w:val="22"/>
          <w:szCs w:val="24"/>
        </w:rPr>
        <w:t>iam uvedená v osobitnej tabuľke.</w:t>
      </w:r>
    </w:p>
    <w:p w:rsidR="00DD172F"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p w:rsidR="00F315AD" w:rsidP="00DD172F">
      <w:pPr>
        <w:jc w:val="both"/>
        <w:outlineLvl w:val="0"/>
        <w:rPr>
          <w:rFonts w:ascii="Arial Narrow" w:hAnsi="Arial Narrow" w:cs="Arial Narrow"/>
          <w:sz w:val="22"/>
          <w:szCs w:val="24"/>
          <w:highlight w:val="yellow"/>
        </w:rPr>
      </w:pPr>
    </w:p>
    <w:tbl>
      <w:tblPr>
        <w:tblStyle w:val="TableNormal"/>
        <w:tblW w:w="9072" w:type="dxa"/>
        <w:jc w:val="center"/>
        <w:tblInd w:w="0" w:type="dxa"/>
        <w:tblCellMar>
          <w:left w:w="70" w:type="dxa"/>
          <w:right w:w="70" w:type="dxa"/>
        </w:tblCellMar>
      </w:tblPr>
      <w:tblGrid>
        <w:gridCol w:w="4159"/>
        <w:gridCol w:w="1011"/>
        <w:gridCol w:w="976"/>
        <w:gridCol w:w="976"/>
        <w:gridCol w:w="976"/>
        <w:gridCol w:w="974"/>
      </w:tblGrid>
      <w:tr>
        <w:tblPrEx>
          <w:tblW w:w="9072" w:type="dxa"/>
          <w:jc w:val="center"/>
          <w:tblInd w:w="0" w:type="dxa"/>
          <w:tblCellMar>
            <w:left w:w="70" w:type="dxa"/>
            <w:right w:w="70" w:type="dxa"/>
          </w:tblCellMar>
        </w:tblPrEx>
        <w:trPr>
          <w:trHeight w:val="282"/>
          <w:jc w:val="center"/>
        </w:trPr>
        <w:tc>
          <w:tcPr>
            <w:tcW w:w="2292" w:type="pct"/>
            <w:vMerge w:val="restart"/>
            <w:tcBorders>
              <w:top w:val="single" w:sz="12" w:space="0" w:color="auto"/>
              <w:left w:val="single" w:sz="12" w:space="0" w:color="auto"/>
              <w:bottom w:val="single" w:sz="8" w:space="0" w:color="000000"/>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v tis. eur</w:t>
            </w:r>
          </w:p>
        </w:tc>
        <w:tc>
          <w:tcPr>
            <w:tcW w:w="557" w:type="pct"/>
            <w:tcBorders>
              <w:top w:val="single" w:sz="12" w:space="0" w:color="auto"/>
              <w:left w:val="single" w:sz="12" w:space="0" w:color="auto"/>
              <w:bottom w:val="nil"/>
              <w:right w:val="single" w:sz="8"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Skutočnosť</w:t>
            </w:r>
          </w:p>
        </w:tc>
        <w:tc>
          <w:tcPr>
            <w:tcW w:w="2151" w:type="pct"/>
            <w:gridSpan w:val="4"/>
            <w:tcBorders>
              <w:top w:val="single" w:sz="12" w:space="0" w:color="auto"/>
              <w:left w:val="single" w:sz="8" w:space="0" w:color="auto"/>
              <w:bottom w:val="single" w:sz="8" w:space="0" w:color="auto"/>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Prognóza</w:t>
            </w:r>
          </w:p>
        </w:tc>
      </w:tr>
      <w:tr>
        <w:tblPrEx>
          <w:tblW w:w="9072" w:type="dxa"/>
          <w:jc w:val="center"/>
          <w:tblInd w:w="0" w:type="dxa"/>
          <w:tblCellMar>
            <w:left w:w="70" w:type="dxa"/>
            <w:right w:w="70" w:type="dxa"/>
          </w:tblCellMar>
        </w:tblPrEx>
        <w:trPr>
          <w:trHeight w:val="282"/>
          <w:jc w:val="center"/>
        </w:trPr>
        <w:tc>
          <w:tcPr>
            <w:tcW w:w="2292" w:type="pct"/>
            <w:vMerge/>
            <w:tcBorders>
              <w:top w:val="single" w:sz="8" w:space="0" w:color="auto"/>
              <w:left w:val="single" w:sz="12" w:space="0" w:color="auto"/>
              <w:bottom w:val="single" w:sz="8" w:space="0" w:color="000000"/>
              <w:right w:val="single" w:sz="12" w:space="0" w:color="auto"/>
            </w:tcBorders>
            <w:textDirection w:val="lrTb"/>
            <w:vAlign w:val="center"/>
          </w:tcPr>
          <w:p w:rsidR="00DD172F" w:rsidRPr="00274F1D" w:rsidP="00B80F08">
            <w:pPr>
              <w:rPr>
                <w:rFonts w:ascii="Arial Narrow" w:hAnsi="Arial Narrow" w:cs="Arial Narrow"/>
                <w:b/>
                <w:color w:val="FFFFFF"/>
                <w:sz w:val="18"/>
                <w:szCs w:val="24"/>
              </w:rPr>
            </w:pPr>
          </w:p>
        </w:tc>
        <w:tc>
          <w:tcPr>
            <w:tcW w:w="557" w:type="pct"/>
            <w:tcBorders>
              <w:top w:val="nil"/>
              <w:left w:val="single" w:sz="12" w:space="0" w:color="auto"/>
              <w:bottom w:val="single" w:sz="8" w:space="0" w:color="auto"/>
              <w:right w:val="single" w:sz="8" w:space="0" w:color="auto"/>
            </w:tcBorders>
            <w:shd w:val="clear" w:color="auto" w:fill="000000"/>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2008</w:t>
            </w:r>
          </w:p>
        </w:tc>
        <w:tc>
          <w:tcPr>
            <w:tcW w:w="538" w:type="pct"/>
            <w:tcBorders>
              <w:top w:val="single" w:sz="8" w:space="0" w:color="auto"/>
              <w:left w:val="nil"/>
              <w:bottom w:val="single" w:sz="8" w:space="0" w:color="auto"/>
              <w:right w:val="single" w:sz="4"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2009</w:t>
            </w:r>
          </w:p>
        </w:tc>
        <w:tc>
          <w:tcPr>
            <w:tcW w:w="538" w:type="pct"/>
            <w:tcBorders>
              <w:top w:val="single" w:sz="8" w:space="0" w:color="auto"/>
              <w:left w:val="nil"/>
              <w:bottom w:val="single" w:sz="8" w:space="0" w:color="auto"/>
              <w:right w:val="single" w:sz="4"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2010</w:t>
            </w:r>
          </w:p>
        </w:tc>
        <w:tc>
          <w:tcPr>
            <w:tcW w:w="538" w:type="pct"/>
            <w:tcBorders>
              <w:top w:val="single" w:sz="8" w:space="0" w:color="auto"/>
              <w:left w:val="nil"/>
              <w:bottom w:val="single" w:sz="8" w:space="0" w:color="auto"/>
              <w:right w:val="single" w:sz="4"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2011</w:t>
            </w:r>
          </w:p>
        </w:tc>
        <w:tc>
          <w:tcPr>
            <w:tcW w:w="537" w:type="pct"/>
            <w:tcBorders>
              <w:top w:val="single" w:sz="8" w:space="0" w:color="auto"/>
              <w:left w:val="nil"/>
              <w:bottom w:val="single" w:sz="8" w:space="0" w:color="auto"/>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2012</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z príjmov, ziskov a kapitálového majetku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4 140 940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3 875 468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3 537 462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3 914 949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4 343 643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príjmov fyzických osôb</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1 819 293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1 645 292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1 610 734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1 926 389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2 145 460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DPFO zo závislej činnosti</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1 620 231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1 463 087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1 449 414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1 759 830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1 964 374</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 xml:space="preserve">DPFO z  podnikania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199 063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182 205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161 320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166 559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181 086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štátneho rozpočtu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117 441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38 918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138 417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151 282</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121 665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8C5F17" w:rsidP="00513FFB">
            <w:pPr>
              <w:ind w:firstLine="1080" w:firstLineChars="600"/>
              <w:rPr>
                <w:rFonts w:ascii="Arial Narrow" w:hAnsi="Arial Narrow" w:cs="Arial Narrow"/>
                <w:sz w:val="18"/>
                <w:szCs w:val="24"/>
              </w:rPr>
            </w:pPr>
            <w:r w:rsidRPr="008C5F17">
              <w:rPr>
                <w:rFonts w:ascii="Arial Narrow" w:hAnsi="Arial Narrow" w:cs="Arial Narrow"/>
                <w:sz w:val="18"/>
                <w:szCs w:val="24"/>
              </w:rPr>
              <w:t xml:space="preserve">do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1 275 482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1 203 924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1 103 453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1 330 384</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1 516 767</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8C5F17" w:rsidP="00513FFB">
            <w:pPr>
              <w:ind w:firstLine="1080" w:firstLineChars="600"/>
              <w:rPr>
                <w:rFonts w:ascii="Arial Narrow" w:hAnsi="Arial Narrow" w:cs="Arial Narrow"/>
                <w:sz w:val="18"/>
                <w:szCs w:val="24"/>
              </w:rPr>
            </w:pPr>
            <w:r w:rsidRPr="008C5F17">
              <w:rPr>
                <w:rFonts w:ascii="Arial Narrow" w:hAnsi="Arial Narrow" w:cs="Arial Narrow"/>
                <w:sz w:val="18"/>
                <w:szCs w:val="24"/>
              </w:rPr>
              <w:t xml:space="preserve">do VÚC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426 370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402 450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368 864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444 723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507 028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príjmov právnických osôb</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2 115 673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2 077 527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1 779 888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1 826 129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2 002 852</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príjmov vyberaná zrážkou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205 973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152 649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146 840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162 431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195 331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na tovary a služby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6 518 176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5 544 580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6 497 055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6 853 548</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7 342 178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pridanej hodnoty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4 614 313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3 715 414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4 504 367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4 801 949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5 209 441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Spotrebné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1 903 863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1 829 166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1 992 688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2 051 599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2 132 737</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minerálnych olejov</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1 173 941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1 053 409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1 065 898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1 106 241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1 166 701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liehu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221 859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203 372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212 105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226 039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237 150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piva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62 974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59 920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59 691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61 070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63 106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vína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3 699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tabaku a tabakových výrobkov</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432 489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487 547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609 332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611 706</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617 823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elektrickej energie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3 897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8 334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16 818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17 171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17 738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Zo zemného plynu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4 674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12 036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24 289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24 799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25 618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uhlia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328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830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837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855</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883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z medzinárodného obchodu a transakcií</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36 807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28 117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28 918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29 503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30 099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Dovozné clo</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Dovozná prirážka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Podiel na vybratých finančných prostriedkoch</w:t>
            </w:r>
            <w:r>
              <w:rPr>
                <w:rFonts w:ascii="Arial Narrow" w:hAnsi="Arial Narrow" w:cs="Arial Narrow"/>
                <w:sz w:val="18"/>
                <w:szCs w:val="24"/>
              </w:rPr>
              <w:t xml:space="preserve"> EÚ</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36 784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28 117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28 918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29 503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30 099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Ostatné colné príjmy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Miestne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471 830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540 574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566 889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594 171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622 773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nehnuteľností</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237 421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254 113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266 819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280 160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294 168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Dane za špecifické služby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155 114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160 807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169 139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177 581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186 445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motorových vozidiel</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79 295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125 654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130 931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136 430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142 160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Ostatné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77 740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81 028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79 139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79 914</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80 696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Úhrada za služby verejnosti poskytované STV a SRo</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74 774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79 181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77 452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78 227</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79 009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úhrad za dobývací priestor</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štátneho rozpočtu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úhrad za uskladňovanie plynov alebo kvapalín</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1 188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896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Majetkové dane (do ŠR)</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934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522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12"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Iné dane</w:t>
            </w:r>
          </w:p>
        </w:tc>
        <w:tc>
          <w:tcPr>
            <w:tcW w:w="557" w:type="pct"/>
            <w:tcBorders>
              <w:top w:val="nil"/>
              <w:left w:val="single" w:sz="12" w:space="0" w:color="auto"/>
              <w:bottom w:val="single" w:sz="12"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293</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-102</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12"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single" w:sz="12" w:space="0" w:color="auto"/>
              <w:left w:val="single" w:sz="12" w:space="0" w:color="auto"/>
              <w:bottom w:val="single" w:sz="12" w:space="0" w:color="auto"/>
              <w:right w:val="single" w:sz="12" w:space="0" w:color="auto"/>
            </w:tcBorders>
            <w:shd w:val="clear" w:color="auto" w:fill="C0C0C0"/>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Daňové príjmy VS spolu</w:t>
            </w:r>
          </w:p>
        </w:tc>
        <w:tc>
          <w:tcPr>
            <w:tcW w:w="557" w:type="pct"/>
            <w:tcBorders>
              <w:top w:val="single" w:sz="12" w:space="0" w:color="auto"/>
              <w:left w:val="single" w:sz="12" w:space="0" w:color="auto"/>
              <w:bottom w:val="single" w:sz="12" w:space="0" w:color="auto"/>
              <w:right w:val="single" w:sz="8"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11 245 493</w:t>
            </w:r>
          </w:p>
        </w:tc>
        <w:tc>
          <w:tcPr>
            <w:tcW w:w="538" w:type="pct"/>
            <w:tcBorders>
              <w:top w:val="single" w:sz="12" w:space="0" w:color="auto"/>
              <w:left w:val="nil"/>
              <w:bottom w:val="single" w:sz="12" w:space="0" w:color="auto"/>
              <w:right w:val="single" w:sz="4"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10 069 767</w:t>
            </w:r>
          </w:p>
        </w:tc>
        <w:tc>
          <w:tcPr>
            <w:tcW w:w="538" w:type="pct"/>
            <w:tcBorders>
              <w:top w:val="single" w:sz="12" w:space="0" w:color="auto"/>
              <w:left w:val="nil"/>
              <w:bottom w:val="single" w:sz="12" w:space="0" w:color="auto"/>
              <w:right w:val="single" w:sz="4"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10 709 463</w:t>
            </w:r>
          </w:p>
        </w:tc>
        <w:tc>
          <w:tcPr>
            <w:tcW w:w="538" w:type="pct"/>
            <w:tcBorders>
              <w:top w:val="single" w:sz="12" w:space="0" w:color="auto"/>
              <w:left w:val="nil"/>
              <w:bottom w:val="single" w:sz="12" w:space="0" w:color="auto"/>
              <w:right w:val="single" w:sz="4"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11 472 085</w:t>
            </w:r>
          </w:p>
        </w:tc>
        <w:tc>
          <w:tcPr>
            <w:tcW w:w="537" w:type="pct"/>
            <w:tcBorders>
              <w:top w:val="single" w:sz="12" w:space="0" w:color="auto"/>
              <w:left w:val="nil"/>
              <w:bottom w:val="single" w:sz="12" w:space="0" w:color="auto"/>
              <w:right w:val="single" w:sz="12"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12 419 389</w:t>
            </w:r>
          </w:p>
        </w:tc>
      </w:tr>
      <w:tr>
        <w:tblPrEx>
          <w:tblW w:w="9072" w:type="dxa"/>
          <w:jc w:val="center"/>
          <w:tblInd w:w="0" w:type="dxa"/>
          <w:tblCellMar>
            <w:left w:w="70" w:type="dxa"/>
            <w:right w:w="70" w:type="dxa"/>
          </w:tblCellMar>
        </w:tblPrEx>
        <w:trPr>
          <w:trHeight w:val="282"/>
          <w:jc w:val="center"/>
        </w:trPr>
        <w:tc>
          <w:tcPr>
            <w:tcW w:w="2292" w:type="pct"/>
            <w:tcBorders>
              <w:top w:val="single" w:sz="12" w:space="0" w:color="auto"/>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Daňové príjmy ŠR</w:t>
            </w:r>
          </w:p>
        </w:tc>
        <w:tc>
          <w:tcPr>
            <w:tcW w:w="557" w:type="pct"/>
            <w:tcBorders>
              <w:top w:val="single" w:sz="12"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8 995 115</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7 842 317</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8 591 224</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9 022 999</w:t>
            </w:r>
          </w:p>
        </w:tc>
        <w:tc>
          <w:tcPr>
            <w:tcW w:w="537" w:type="pct"/>
            <w:tcBorders>
              <w:top w:val="single" w:sz="12" w:space="0" w:color="auto"/>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9 692 231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 xml:space="preserve">Daňové príjmy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1 668 751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1 619 269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1 539 836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1 788 550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1 997 805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Daňové príjmy VÚC</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505 665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528 104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499 795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581 153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649 188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Daňové príjmy STV</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52 276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55 113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54 217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54 759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55 306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Daňové príjmy SRo</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22 498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24 068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23 236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23 468</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23 703</w:t>
            </w:r>
          </w:p>
        </w:tc>
      </w:tr>
      <w:tr>
        <w:tblPrEx>
          <w:tblW w:w="9072" w:type="dxa"/>
          <w:jc w:val="center"/>
          <w:tblInd w:w="0" w:type="dxa"/>
          <w:tblCellMar>
            <w:left w:w="70" w:type="dxa"/>
            <w:right w:w="70" w:type="dxa"/>
          </w:tblCellMar>
        </w:tblPrEx>
        <w:trPr>
          <w:trHeight w:val="282"/>
          <w:jc w:val="center"/>
        </w:trPr>
        <w:tc>
          <w:tcPr>
            <w:tcW w:w="2292" w:type="pct"/>
            <w:tcBorders>
              <w:top w:val="single" w:sz="4" w:space="0" w:color="auto"/>
              <w:left w:val="single" w:sz="12" w:space="0" w:color="auto"/>
              <w:bottom w:val="single" w:sz="12"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Environmentálny fond</w:t>
            </w:r>
          </w:p>
        </w:tc>
        <w:tc>
          <w:tcPr>
            <w:tcW w:w="557" w:type="pct"/>
            <w:tcBorders>
              <w:top w:val="single" w:sz="4" w:space="0" w:color="auto"/>
              <w:left w:val="single" w:sz="12" w:space="0" w:color="auto"/>
              <w:bottom w:val="single" w:sz="12"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1 188</w:t>
            </w:r>
          </w:p>
        </w:tc>
        <w:tc>
          <w:tcPr>
            <w:tcW w:w="538" w:type="pct"/>
            <w:tcBorders>
              <w:top w:val="single" w:sz="4" w:space="0" w:color="auto"/>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896</w:t>
            </w:r>
          </w:p>
        </w:tc>
        <w:tc>
          <w:tcPr>
            <w:tcW w:w="538" w:type="pct"/>
            <w:tcBorders>
              <w:top w:val="single" w:sz="4" w:space="0" w:color="auto"/>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8" w:type="pct"/>
            <w:tcBorders>
              <w:top w:val="single" w:sz="4" w:space="0" w:color="auto"/>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7" w:type="pct"/>
            <w:tcBorders>
              <w:top w:val="single" w:sz="4" w:space="0" w:color="auto"/>
              <w:left w:val="nil"/>
              <w:bottom w:val="single" w:sz="12"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r>
    </w:tbl>
    <w:p w:rsidR="00DD172F" w:rsidRPr="004A3238" w:rsidP="004A3238">
      <w:pPr>
        <w:rPr>
          <w:rFonts w:ascii="Arial Narrow" w:hAnsi="Arial Narrow" w:cs="Arial Narrow"/>
          <w:sz w:val="22"/>
          <w:szCs w:val="24"/>
        </w:rPr>
      </w:pPr>
      <w:r w:rsidRPr="004A3238">
        <w:rPr>
          <w:rFonts w:ascii="Arial Narrow" w:hAnsi="Arial Narrow" w:cs="Arial Narrow"/>
          <w:sz w:val="22"/>
          <w:szCs w:val="24"/>
        </w:rPr>
        <w:t xml:space="preserve">Predpokladaná výška sankcií na roky 2009 </w:t>
      </w:r>
      <w:r w:rsidRPr="004A3238" w:rsidR="00E0720E">
        <w:rPr>
          <w:rFonts w:ascii="Arial Narrow" w:hAnsi="Arial Narrow" w:cs="Arial Narrow"/>
          <w:sz w:val="22"/>
          <w:szCs w:val="24"/>
        </w:rPr>
        <w:t>až</w:t>
      </w:r>
      <w:r w:rsidRPr="004A3238">
        <w:rPr>
          <w:rFonts w:ascii="Arial Narrow" w:hAnsi="Arial Narrow" w:cs="Arial Narrow"/>
          <w:sz w:val="22"/>
          <w:szCs w:val="24"/>
        </w:rPr>
        <w:t xml:space="preserve"> 2012 je uvedená v nasledujúcej tabuľke:</w:t>
      </w:r>
    </w:p>
    <w:tbl>
      <w:tblPr>
        <w:tblStyle w:val="TableNormal"/>
        <w:tblW w:w="9072" w:type="dxa"/>
        <w:jc w:val="center"/>
        <w:tblInd w:w="0" w:type="dxa"/>
        <w:tblCellMar>
          <w:left w:w="70" w:type="dxa"/>
          <w:right w:w="70" w:type="dxa"/>
        </w:tblCellMar>
      </w:tblPr>
      <w:tblGrid>
        <w:gridCol w:w="4077"/>
        <w:gridCol w:w="999"/>
        <w:gridCol w:w="999"/>
        <w:gridCol w:w="999"/>
        <w:gridCol w:w="999"/>
        <w:gridCol w:w="999"/>
      </w:tblGrid>
      <w:tr>
        <w:tblPrEx>
          <w:tblW w:w="9072" w:type="dxa"/>
          <w:jc w:val="center"/>
          <w:tblInd w:w="0" w:type="dxa"/>
          <w:tblCellMar>
            <w:left w:w="70" w:type="dxa"/>
            <w:right w:w="70" w:type="dxa"/>
          </w:tblCellMar>
        </w:tblPrEx>
        <w:trPr>
          <w:trHeight w:val="340"/>
          <w:jc w:val="center"/>
        </w:trPr>
        <w:tc>
          <w:tcPr>
            <w:tcW w:w="9072" w:type="dxa"/>
            <w:gridSpan w:val="6"/>
            <w:tcBorders>
              <w:top w:val="single" w:sz="4" w:space="0" w:color="auto"/>
              <w:left w:val="single" w:sz="4" w:space="0" w:color="auto"/>
              <w:bottom w:val="nil"/>
              <w:right w:val="single" w:sz="4" w:space="0" w:color="000000"/>
            </w:tcBorders>
            <w:shd w:val="clear" w:color="auto" w:fill="000000"/>
            <w:textDirection w:val="lrTb"/>
            <w:vAlign w:val="center"/>
          </w:tcPr>
          <w:p w:rsidR="00DD172F" w:rsidRPr="00DF45EC" w:rsidP="00B80F08">
            <w:pPr>
              <w:rPr>
                <w:rFonts w:ascii="Arial Narrow" w:hAnsi="Arial Narrow" w:cs="Arial Narrow"/>
                <w:b/>
                <w:color w:val="FFFFFF"/>
                <w:sz w:val="20"/>
                <w:szCs w:val="24"/>
              </w:rPr>
            </w:pPr>
            <w:r w:rsidRPr="00DF45EC">
              <w:rPr>
                <w:rFonts w:ascii="Arial Narrow" w:hAnsi="Arial Narrow" w:cs="Arial Narrow"/>
                <w:b/>
                <w:color w:val="FFFFFF"/>
                <w:sz w:val="20"/>
                <w:szCs w:val="24"/>
              </w:rPr>
              <w:t xml:space="preserve">Predpokladaný vývoj sankcií </w:t>
            </w:r>
            <w:r w:rsidRPr="00DF45EC">
              <w:rPr>
                <w:rFonts w:ascii="Arial Narrow" w:hAnsi="Arial Narrow" w:cs="Arial Narrow"/>
                <w:b/>
                <w:color w:val="FFFFFF"/>
                <w:sz w:val="16"/>
                <w:szCs w:val="24"/>
              </w:rPr>
              <w:t>*</w:t>
            </w:r>
            <w:r w:rsidRPr="00DF45EC">
              <w:rPr>
                <w:rFonts w:ascii="Arial Narrow" w:hAnsi="Arial Narrow" w:cs="Arial Narrow"/>
                <w:b/>
                <w:color w:val="FFFFFF"/>
                <w:sz w:val="20"/>
                <w:szCs w:val="24"/>
              </w:rPr>
              <w:t xml:space="preserve">(v </w:t>
            </w:r>
            <w:r>
              <w:rPr>
                <w:rFonts w:ascii="Arial Narrow" w:hAnsi="Arial Narrow" w:cs="Arial Narrow"/>
                <w:b/>
                <w:color w:val="FFFFFF"/>
                <w:sz w:val="20"/>
                <w:szCs w:val="24"/>
              </w:rPr>
              <w:t>tis. eur</w:t>
            </w:r>
            <w:r w:rsidRPr="00DF45EC">
              <w:rPr>
                <w:rFonts w:ascii="Arial Narrow" w:hAnsi="Arial Narrow" w:cs="Arial Narrow"/>
                <w:b/>
                <w:color w:val="FFFFFF"/>
                <w:sz w:val="20"/>
                <w:szCs w:val="24"/>
              </w:rPr>
              <w:t>)</w:t>
            </w:r>
          </w:p>
        </w:tc>
      </w:tr>
      <w:tr>
        <w:tblPrEx>
          <w:tblW w:w="9072" w:type="dxa"/>
          <w:jc w:val="center"/>
          <w:tblInd w:w="0" w:type="dxa"/>
          <w:tblCellMar>
            <w:left w:w="70" w:type="dxa"/>
            <w:right w:w="70" w:type="dxa"/>
          </w:tblCellMar>
        </w:tblPrEx>
        <w:trPr>
          <w:trHeight w:val="270"/>
          <w:jc w:val="center"/>
        </w:trPr>
        <w:tc>
          <w:tcPr>
            <w:tcW w:w="4077" w:type="dxa"/>
            <w:tcBorders>
              <w:top w:val="nil"/>
              <w:left w:val="single" w:sz="4" w:space="0" w:color="auto"/>
              <w:bottom w:val="nil"/>
              <w:right w:val="nil"/>
            </w:tcBorders>
            <w:shd w:val="clear" w:color="auto" w:fill="C0C0C0"/>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 </w:t>
            </w:r>
          </w:p>
        </w:tc>
        <w:tc>
          <w:tcPr>
            <w:tcW w:w="999" w:type="dxa"/>
            <w:tcBorders>
              <w:top w:val="nil"/>
              <w:left w:val="nil"/>
              <w:bottom w:val="nil"/>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2008</w:t>
            </w:r>
          </w:p>
        </w:tc>
        <w:tc>
          <w:tcPr>
            <w:tcW w:w="999" w:type="dxa"/>
            <w:tcBorders>
              <w:top w:val="nil"/>
              <w:left w:val="nil"/>
              <w:bottom w:val="nil"/>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2009</w:t>
            </w:r>
          </w:p>
        </w:tc>
        <w:tc>
          <w:tcPr>
            <w:tcW w:w="999" w:type="dxa"/>
            <w:tcBorders>
              <w:top w:val="nil"/>
              <w:left w:val="nil"/>
              <w:bottom w:val="nil"/>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2010</w:t>
            </w:r>
          </w:p>
        </w:tc>
        <w:tc>
          <w:tcPr>
            <w:tcW w:w="999" w:type="dxa"/>
            <w:tcBorders>
              <w:top w:val="nil"/>
              <w:left w:val="nil"/>
              <w:bottom w:val="nil"/>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2011</w:t>
            </w:r>
          </w:p>
        </w:tc>
        <w:tc>
          <w:tcPr>
            <w:tcW w:w="999" w:type="dxa"/>
            <w:tcBorders>
              <w:top w:val="nil"/>
              <w:left w:val="nil"/>
              <w:bottom w:val="nil"/>
              <w:right w:val="single" w:sz="4" w:space="0" w:color="auto"/>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072" w:type="dxa"/>
          <w:jc w:val="center"/>
          <w:tblInd w:w="0" w:type="dxa"/>
          <w:tblCellMar>
            <w:left w:w="70" w:type="dxa"/>
            <w:right w:w="70" w:type="dxa"/>
          </w:tblCellMar>
        </w:tblPrEx>
        <w:trPr>
          <w:trHeight w:val="270"/>
          <w:jc w:val="center"/>
        </w:trPr>
        <w:tc>
          <w:tcPr>
            <w:tcW w:w="4077" w:type="dxa"/>
            <w:tcBorders>
              <w:top w:val="nil"/>
              <w:left w:val="single" w:sz="4" w:space="0" w:color="auto"/>
              <w:bottom w:val="single" w:sz="4" w:space="0" w:color="auto"/>
              <w:right w:val="nil"/>
            </w:tcBorders>
            <w:shd w:val="clear" w:color="auto" w:fill="C0C0C0"/>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 </w:t>
            </w:r>
          </w:p>
        </w:tc>
        <w:tc>
          <w:tcPr>
            <w:tcW w:w="999"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Skutočnosť</w:t>
            </w:r>
          </w:p>
        </w:tc>
        <w:tc>
          <w:tcPr>
            <w:tcW w:w="999"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P</w:t>
            </w:r>
            <w:r w:rsidRPr="00DF45EC">
              <w:rPr>
                <w:rFonts w:ascii="Arial Narrow" w:hAnsi="Arial Narrow" w:cs="Arial Narrow"/>
                <w:b/>
                <w:sz w:val="18"/>
                <w:szCs w:val="24"/>
              </w:rPr>
              <w:t>rognóza</w:t>
            </w:r>
          </w:p>
        </w:tc>
        <w:tc>
          <w:tcPr>
            <w:tcW w:w="999"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P</w:t>
            </w:r>
            <w:r w:rsidRPr="00DF45EC">
              <w:rPr>
                <w:rFonts w:ascii="Arial Narrow" w:hAnsi="Arial Narrow" w:cs="Arial Narrow"/>
                <w:b/>
                <w:sz w:val="18"/>
                <w:szCs w:val="24"/>
              </w:rPr>
              <w:t>rognóza</w:t>
            </w:r>
          </w:p>
        </w:tc>
        <w:tc>
          <w:tcPr>
            <w:tcW w:w="999"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P</w:t>
            </w:r>
            <w:r w:rsidRPr="00DF45EC">
              <w:rPr>
                <w:rFonts w:ascii="Arial Narrow" w:hAnsi="Arial Narrow" w:cs="Arial Narrow"/>
                <w:b/>
                <w:sz w:val="18"/>
                <w:szCs w:val="24"/>
              </w:rPr>
              <w:t>rognóza</w:t>
            </w:r>
          </w:p>
        </w:tc>
        <w:tc>
          <w:tcPr>
            <w:tcW w:w="999" w:type="dxa"/>
            <w:tcBorders>
              <w:top w:val="nil"/>
              <w:left w:val="nil"/>
              <w:bottom w:val="single" w:sz="4" w:space="0" w:color="auto"/>
              <w:right w:val="single" w:sz="4" w:space="0" w:color="auto"/>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P</w:t>
            </w:r>
            <w:r w:rsidRPr="00DF45EC">
              <w:rPr>
                <w:rFonts w:ascii="Arial Narrow" w:hAnsi="Arial Narrow" w:cs="Arial Narrow"/>
                <w:b/>
                <w:sz w:val="18"/>
                <w:szCs w:val="24"/>
              </w:rPr>
              <w:t>rognóza</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B80F08">
            <w:pPr>
              <w:rPr>
                <w:rFonts w:ascii="Arial Narrow" w:hAnsi="Arial Narrow" w:cs="Arial Narrow"/>
                <w:b/>
                <w:sz w:val="18"/>
                <w:szCs w:val="24"/>
              </w:rPr>
            </w:pPr>
            <w:r>
              <w:rPr>
                <w:rFonts w:ascii="Arial Narrow" w:hAnsi="Arial Narrow" w:cs="Arial Narrow"/>
                <w:b/>
                <w:sz w:val="18"/>
                <w:szCs w:val="24"/>
              </w:rPr>
              <w:t>SANKCIE spolu</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b/>
                <w:sz w:val="18"/>
                <w:szCs w:val="24"/>
              </w:rPr>
            </w:pPr>
            <w:r>
              <w:rPr>
                <w:rFonts w:ascii="Arial Narrow" w:hAnsi="Arial Narrow" w:cs="Arial Narrow"/>
                <w:b/>
                <w:sz w:val="18"/>
                <w:szCs w:val="24"/>
              </w:rPr>
              <w:t>36 842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b/>
                <w:sz w:val="18"/>
                <w:szCs w:val="24"/>
              </w:rPr>
            </w:pPr>
            <w:r>
              <w:rPr>
                <w:rFonts w:ascii="Arial Narrow" w:hAnsi="Arial Narrow" w:cs="Arial Narrow"/>
                <w:b/>
                <w:sz w:val="18"/>
                <w:szCs w:val="24"/>
              </w:rPr>
              <w:t>35 056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b/>
                <w:sz w:val="18"/>
                <w:szCs w:val="24"/>
              </w:rPr>
            </w:pPr>
            <w:r>
              <w:rPr>
                <w:rFonts w:ascii="Arial Narrow" w:hAnsi="Arial Narrow" w:cs="Arial Narrow"/>
                <w:b/>
                <w:sz w:val="18"/>
                <w:szCs w:val="24"/>
              </w:rPr>
              <w:t>35 794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b/>
                <w:sz w:val="18"/>
                <w:szCs w:val="24"/>
              </w:rPr>
            </w:pPr>
            <w:r>
              <w:rPr>
                <w:rFonts w:ascii="Arial Narrow" w:hAnsi="Arial Narrow" w:cs="Arial Narrow"/>
                <w:b/>
                <w:sz w:val="18"/>
                <w:szCs w:val="24"/>
              </w:rPr>
              <w:t>35 427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b/>
                <w:sz w:val="18"/>
                <w:szCs w:val="24"/>
              </w:rPr>
            </w:pPr>
            <w:r>
              <w:rPr>
                <w:rFonts w:ascii="Arial Narrow" w:hAnsi="Arial Narrow" w:cs="Arial Narrow"/>
                <w:b/>
                <w:sz w:val="18"/>
                <w:szCs w:val="24"/>
              </w:rPr>
              <w:t>35 609</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fyzických osôb</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7 811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6 325</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7 068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6 698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6 882</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do štátneho rozpočtu</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484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150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607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526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391</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 xml:space="preserve">do obcí </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5 491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4 628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4 842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4 626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4 865</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 xml:space="preserve">do VÚC </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1 836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1 547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1 619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1 546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1 626</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právnických osôb</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6 380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6 380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6 380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6 380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6 380</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vyberaná zrážkou</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12</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pridanej hodnoty</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18 211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18 611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18 611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18 611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18 611</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Spotrebné dane</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1 295</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1 296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1 296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1 296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1 296</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Miestne dane</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854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588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588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588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588</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Ostatné dane</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463</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70"/>
          <w:jc w:val="center"/>
        </w:trPr>
        <w:tc>
          <w:tcPr>
            <w:tcW w:w="4077"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Pr>
                <w:rFonts w:ascii="Arial Narrow" w:hAnsi="Arial Narrow" w:cs="Arial Narrow"/>
                <w:sz w:val="18"/>
                <w:szCs w:val="24"/>
              </w:rPr>
              <w:t>Sankcie uložené v daňovom konaní</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1 824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1 840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1 840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1 840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DD172F" w:rsidRPr="00453D14" w:rsidP="004D044F">
            <w:pPr>
              <w:jc w:val="right"/>
              <w:rPr>
                <w:rFonts w:ascii="Arial Narrow" w:hAnsi="Arial Narrow" w:cs="Arial Narrow"/>
                <w:sz w:val="18"/>
                <w:szCs w:val="24"/>
              </w:rPr>
            </w:pPr>
            <w:r>
              <w:rPr>
                <w:rFonts w:ascii="Arial Narrow" w:hAnsi="Arial Narrow" w:cs="Arial Narrow"/>
                <w:sz w:val="18"/>
                <w:szCs w:val="24"/>
              </w:rPr>
              <w:t>1 840</w:t>
            </w:r>
          </w:p>
        </w:tc>
      </w:tr>
      <w:tr>
        <w:tblPrEx>
          <w:tblW w:w="9072" w:type="dxa"/>
          <w:jc w:val="center"/>
          <w:tblInd w:w="0" w:type="dxa"/>
          <w:tblCellMar>
            <w:left w:w="70" w:type="dxa"/>
            <w:right w:w="70" w:type="dxa"/>
          </w:tblCellMar>
        </w:tblPrEx>
        <w:trPr>
          <w:trHeight w:val="255"/>
          <w:jc w:val="center"/>
        </w:trPr>
        <w:tc>
          <w:tcPr>
            <w:tcW w:w="5076" w:type="dxa"/>
            <w:gridSpan w:val="2"/>
            <w:tcBorders>
              <w:top w:val="nil"/>
              <w:left w:val="nil"/>
              <w:bottom w:val="nil"/>
              <w:right w:val="nil"/>
            </w:tcBorders>
            <w:noWrap/>
            <w:textDirection w:val="lrTb"/>
            <w:vAlign w:val="center"/>
          </w:tcPr>
          <w:p w:rsidR="00DD172F" w:rsidRPr="001A0C6D" w:rsidP="00B80F08">
            <w:pPr>
              <w:rPr>
                <w:rFonts w:ascii="Arial Narrow" w:hAnsi="Arial Narrow" w:cs="Arial Narrow"/>
                <w:sz w:val="16"/>
                <w:szCs w:val="24"/>
              </w:rPr>
            </w:pPr>
            <w:r w:rsidRPr="001A0C6D">
              <w:rPr>
                <w:rFonts w:ascii="Arial Narrow" w:hAnsi="Arial Narrow" w:cs="Arial Narrow"/>
                <w:sz w:val="16"/>
                <w:szCs w:val="24"/>
              </w:rPr>
              <w:t>* sankcie sú identické podľa hotovostnej a akruálnej metodiky</w:t>
            </w:r>
          </w:p>
        </w:tc>
        <w:tc>
          <w:tcPr>
            <w:tcW w:w="999" w:type="dxa"/>
            <w:tcBorders>
              <w:top w:val="nil"/>
              <w:left w:val="nil"/>
              <w:bottom w:val="nil"/>
              <w:right w:val="nil"/>
            </w:tcBorders>
            <w:noWrap/>
            <w:textDirection w:val="lrTb"/>
            <w:vAlign w:val="center"/>
          </w:tcPr>
          <w:p w:rsidR="00DD172F" w:rsidRPr="001A0C6D" w:rsidP="00B80F08">
            <w:pPr>
              <w:rPr>
                <w:rFonts w:ascii="Arial Narrow" w:hAnsi="Arial Narrow" w:cs="Arial Narrow"/>
                <w:sz w:val="20"/>
                <w:szCs w:val="24"/>
              </w:rPr>
            </w:pPr>
          </w:p>
        </w:tc>
        <w:tc>
          <w:tcPr>
            <w:tcW w:w="999" w:type="dxa"/>
            <w:tcBorders>
              <w:top w:val="nil"/>
              <w:left w:val="nil"/>
              <w:bottom w:val="nil"/>
              <w:right w:val="nil"/>
            </w:tcBorders>
            <w:noWrap/>
            <w:textDirection w:val="lrTb"/>
            <w:vAlign w:val="center"/>
          </w:tcPr>
          <w:p w:rsidR="00DD172F" w:rsidRPr="001A0C6D" w:rsidP="00B80F08">
            <w:pPr>
              <w:rPr>
                <w:rFonts w:ascii="Arial Narrow" w:hAnsi="Arial Narrow" w:cs="Arial Narrow"/>
                <w:sz w:val="20"/>
                <w:szCs w:val="24"/>
              </w:rPr>
            </w:pPr>
          </w:p>
        </w:tc>
        <w:tc>
          <w:tcPr>
            <w:tcW w:w="999" w:type="dxa"/>
            <w:tcBorders>
              <w:top w:val="nil"/>
              <w:left w:val="nil"/>
              <w:bottom w:val="nil"/>
              <w:right w:val="nil"/>
            </w:tcBorders>
            <w:noWrap/>
            <w:textDirection w:val="lrTb"/>
            <w:vAlign w:val="center"/>
          </w:tcPr>
          <w:p w:rsidR="00DD172F" w:rsidRPr="001A0C6D" w:rsidP="00B80F08">
            <w:pPr>
              <w:rPr>
                <w:rFonts w:ascii="Arial Narrow" w:hAnsi="Arial Narrow" w:cs="Arial Narrow"/>
                <w:sz w:val="20"/>
                <w:szCs w:val="24"/>
              </w:rPr>
            </w:pPr>
          </w:p>
        </w:tc>
        <w:tc>
          <w:tcPr>
            <w:tcW w:w="999" w:type="dxa"/>
            <w:tcBorders>
              <w:top w:val="nil"/>
              <w:left w:val="nil"/>
              <w:bottom w:val="nil"/>
              <w:right w:val="nil"/>
            </w:tcBorders>
            <w:noWrap/>
            <w:textDirection w:val="lrTb"/>
            <w:vAlign w:val="center"/>
          </w:tcPr>
          <w:p w:rsidR="00DD172F" w:rsidRPr="001A0C6D" w:rsidP="00B80F08">
            <w:pPr>
              <w:rPr>
                <w:rFonts w:ascii="Arial Narrow" w:hAnsi="Arial Narrow" w:cs="Arial Narrow"/>
                <w:sz w:val="20"/>
                <w:szCs w:val="24"/>
              </w:rPr>
            </w:pPr>
          </w:p>
        </w:tc>
      </w:tr>
    </w:tbl>
    <w:p w:rsidR="00DD172F" w:rsidRPr="009C4242" w:rsidP="00DD172F">
      <w:pPr>
        <w:outlineLvl w:val="0"/>
        <w:rPr>
          <w:rFonts w:ascii="Arial Narrow" w:hAnsi="Arial Narrow" w:cs="Arial Narrow"/>
          <w:b/>
          <w:sz w:val="22"/>
          <w:szCs w:val="24"/>
          <w:highlight w:val="yellow"/>
        </w:rPr>
      </w:pPr>
    </w:p>
    <w:p w:rsidR="00DD172F" w:rsidRPr="008A1CF7" w:rsidP="008A1CF7">
      <w:pPr>
        <w:pStyle w:val="Heading2"/>
        <w:rPr>
          <w:rFonts w:ascii="Arial Narrow" w:hAnsi="Arial Narrow" w:cs="Arial Narrow"/>
          <w:i w:val="0"/>
          <w:sz w:val="24"/>
          <w:szCs w:val="24"/>
        </w:rPr>
      </w:pPr>
      <w:bookmarkStart w:id="36" w:name="_Toc241846643"/>
      <w:r w:rsidRPr="008A1CF7" w:rsidR="008A1CF7">
        <w:rPr>
          <w:rFonts w:ascii="Arial Narrow" w:hAnsi="Arial Narrow" w:cs="Arial Narrow"/>
          <w:i w:val="0"/>
          <w:sz w:val="24"/>
          <w:szCs w:val="24"/>
        </w:rPr>
        <w:t xml:space="preserve">3.2. </w:t>
      </w:r>
      <w:r w:rsidRPr="008A1CF7">
        <w:rPr>
          <w:rFonts w:ascii="Arial Narrow" w:hAnsi="Arial Narrow" w:cs="Arial Narrow"/>
          <w:i w:val="0"/>
          <w:sz w:val="24"/>
          <w:szCs w:val="24"/>
        </w:rPr>
        <w:t>Akruálne dane pre návrh rozpočtu verejnej správy 2010 až 2012</w:t>
      </w:r>
      <w:bookmarkEnd w:id="36"/>
    </w:p>
    <w:p w:rsidR="00DD172F" w:rsidRPr="00DF45EC" w:rsidP="00DD172F">
      <w:pPr>
        <w:ind w:firstLine="708"/>
        <w:jc w:val="both"/>
        <w:rPr>
          <w:rFonts w:ascii="Arial Narrow" w:hAnsi="Arial Narrow" w:cs="Arial Narrow"/>
          <w:sz w:val="22"/>
          <w:szCs w:val="24"/>
          <w:highlight w:val="yellow"/>
        </w:rPr>
      </w:pPr>
    </w:p>
    <w:p w:rsidR="00DD172F" w:rsidRPr="00DF45EC" w:rsidP="00DD172F">
      <w:pPr>
        <w:ind w:firstLine="708"/>
        <w:jc w:val="both"/>
        <w:rPr>
          <w:rFonts w:ascii="Arial Narrow" w:hAnsi="Arial Narrow" w:cs="Arial Narrow"/>
          <w:sz w:val="22"/>
          <w:szCs w:val="24"/>
        </w:rPr>
      </w:pPr>
      <w:r w:rsidRPr="00DF45EC">
        <w:rPr>
          <w:rFonts w:ascii="Arial Narrow" w:hAnsi="Arial Narrow" w:cs="Arial Narrow"/>
          <w:sz w:val="22"/>
          <w:szCs w:val="24"/>
        </w:rPr>
        <w:t>Celkové daňové príjmy verejnej správy v metodike ESA</w:t>
      </w:r>
      <w:r w:rsidR="00C67C16">
        <w:rPr>
          <w:rFonts w:ascii="Arial Narrow" w:hAnsi="Arial Narrow" w:cs="Arial Narrow"/>
          <w:sz w:val="22"/>
          <w:szCs w:val="24"/>
        </w:rPr>
        <w:t xml:space="preserve"> </w:t>
      </w:r>
      <w:r w:rsidRPr="00DF45EC">
        <w:rPr>
          <w:rFonts w:ascii="Arial Narrow" w:hAnsi="Arial Narrow" w:cs="Arial Narrow"/>
          <w:sz w:val="22"/>
          <w:szCs w:val="24"/>
        </w:rPr>
        <w:t xml:space="preserve">95 rastú v súlade s rastom ekonomiky. </w:t>
      </w:r>
      <w:r>
        <w:rPr>
          <w:rFonts w:ascii="Arial Narrow" w:hAnsi="Arial Narrow" w:cs="Arial Narrow"/>
          <w:sz w:val="22"/>
          <w:szCs w:val="24"/>
        </w:rPr>
        <w:t xml:space="preserve">Najviac </w:t>
      </w:r>
      <w:r w:rsidRPr="00DF45EC">
        <w:rPr>
          <w:rFonts w:ascii="Arial Narrow" w:hAnsi="Arial Narrow" w:cs="Arial Narrow"/>
          <w:sz w:val="22"/>
          <w:szCs w:val="24"/>
        </w:rPr>
        <w:t>sa prognóza daní v metodike ESA</w:t>
      </w:r>
      <w:r w:rsidR="00C67C16">
        <w:rPr>
          <w:rFonts w:ascii="Arial Narrow" w:hAnsi="Arial Narrow" w:cs="Arial Narrow"/>
          <w:sz w:val="22"/>
          <w:szCs w:val="24"/>
        </w:rPr>
        <w:t xml:space="preserve"> </w:t>
      </w:r>
      <w:r w:rsidRPr="00DF45EC">
        <w:rPr>
          <w:rFonts w:ascii="Arial Narrow" w:hAnsi="Arial Narrow" w:cs="Arial Narrow"/>
          <w:sz w:val="22"/>
          <w:szCs w:val="24"/>
        </w:rPr>
        <w:t xml:space="preserve">95 </w:t>
      </w:r>
      <w:r>
        <w:rPr>
          <w:rFonts w:ascii="Arial Narrow" w:hAnsi="Arial Narrow" w:cs="Arial Narrow"/>
          <w:sz w:val="22"/>
          <w:szCs w:val="24"/>
        </w:rPr>
        <w:t>odlišuje od predpokladaného</w:t>
      </w:r>
      <w:r w:rsidRPr="00DF45EC">
        <w:rPr>
          <w:rFonts w:ascii="Arial Narrow" w:hAnsi="Arial Narrow" w:cs="Arial Narrow"/>
          <w:sz w:val="22"/>
          <w:szCs w:val="24"/>
        </w:rPr>
        <w:t xml:space="preserve"> hotovostné</w:t>
      </w:r>
      <w:r>
        <w:rPr>
          <w:rFonts w:ascii="Arial Narrow" w:hAnsi="Arial Narrow" w:cs="Arial Narrow"/>
          <w:sz w:val="22"/>
          <w:szCs w:val="24"/>
        </w:rPr>
        <w:t>ho</w:t>
      </w:r>
      <w:r w:rsidRPr="00DF45EC">
        <w:rPr>
          <w:rFonts w:ascii="Arial Narrow" w:hAnsi="Arial Narrow" w:cs="Arial Narrow"/>
          <w:sz w:val="22"/>
          <w:szCs w:val="24"/>
        </w:rPr>
        <w:t xml:space="preserve"> plneni</w:t>
      </w:r>
      <w:r>
        <w:rPr>
          <w:rFonts w:ascii="Arial Narrow" w:hAnsi="Arial Narrow" w:cs="Arial Narrow"/>
          <w:sz w:val="22"/>
          <w:szCs w:val="24"/>
        </w:rPr>
        <w:t>a v roku 2009</w:t>
      </w:r>
      <w:r w:rsidRPr="00DF45EC">
        <w:rPr>
          <w:rFonts w:ascii="Arial Narrow" w:hAnsi="Arial Narrow" w:cs="Arial Narrow"/>
          <w:sz w:val="22"/>
          <w:szCs w:val="24"/>
        </w:rPr>
        <w:t>. Vykazovanie akruálnych daní podľa metodiky ESA</w:t>
      </w:r>
      <w:r w:rsidR="00C67C16">
        <w:rPr>
          <w:rFonts w:ascii="Arial Narrow" w:hAnsi="Arial Narrow" w:cs="Arial Narrow"/>
          <w:sz w:val="22"/>
          <w:szCs w:val="24"/>
        </w:rPr>
        <w:t xml:space="preserve"> </w:t>
      </w:r>
      <w:r w:rsidRPr="00DF45EC">
        <w:rPr>
          <w:rFonts w:ascii="Arial Narrow" w:hAnsi="Arial Narrow" w:cs="Arial Narrow"/>
          <w:sz w:val="22"/>
          <w:szCs w:val="24"/>
        </w:rPr>
        <w:t>95 je založené na časovom posunutí hotovostných platieb daní do príslušných akruálnych ob</w:t>
      </w:r>
      <w:r>
        <w:rPr>
          <w:rFonts w:ascii="Arial Narrow" w:hAnsi="Arial Narrow" w:cs="Arial Narrow"/>
          <w:sz w:val="22"/>
          <w:szCs w:val="24"/>
        </w:rPr>
        <w:t>dobí (metóda časových posunov).</w:t>
      </w:r>
    </w:p>
    <w:p w:rsidR="00DD172F" w:rsidRPr="00DF45EC" w:rsidP="00DD172F">
      <w:pPr>
        <w:ind w:firstLine="708"/>
        <w:jc w:val="both"/>
        <w:rPr>
          <w:rFonts w:ascii="Arial Narrow" w:hAnsi="Arial Narrow" w:cs="Arial Narrow"/>
          <w:sz w:val="22"/>
          <w:szCs w:val="24"/>
        </w:rPr>
      </w:pPr>
    </w:p>
    <w:p w:rsidR="00DD172F" w:rsidRPr="00DF45EC" w:rsidP="00DD172F">
      <w:pPr>
        <w:ind w:firstLine="708"/>
        <w:jc w:val="both"/>
        <w:rPr>
          <w:rFonts w:ascii="Arial Narrow" w:hAnsi="Arial Narrow" w:cs="Arial Narrow"/>
          <w:sz w:val="22"/>
          <w:szCs w:val="24"/>
        </w:rPr>
      </w:pPr>
      <w:r w:rsidRPr="00DF45EC">
        <w:rPr>
          <w:rFonts w:ascii="Arial Narrow" w:hAnsi="Arial Narrow" w:cs="Arial Narrow"/>
          <w:sz w:val="22"/>
          <w:szCs w:val="24"/>
        </w:rPr>
        <w:t>V nižšie uvedenej tabuľke sú rozdiely medzi akruálnymi a hotovostnými odh</w:t>
      </w:r>
      <w:r>
        <w:rPr>
          <w:rFonts w:ascii="Arial Narrow" w:hAnsi="Arial Narrow" w:cs="Arial Narrow"/>
          <w:sz w:val="22"/>
          <w:szCs w:val="24"/>
        </w:rPr>
        <w:t>admi daní.</w:t>
      </w:r>
    </w:p>
    <w:p w:rsidR="00DD172F" w:rsidRPr="00DF45EC" w:rsidP="00DD172F">
      <w:pPr>
        <w:ind w:firstLine="708"/>
        <w:jc w:val="both"/>
        <w:rPr>
          <w:rFonts w:ascii="Arial Narrow" w:hAnsi="Arial Narrow" w:cs="Arial Narrow"/>
          <w:sz w:val="22"/>
          <w:szCs w:val="24"/>
        </w:rPr>
      </w:pPr>
    </w:p>
    <w:tbl>
      <w:tblPr>
        <w:tblStyle w:val="TableNormal"/>
        <w:tblW w:w="7938" w:type="dxa"/>
        <w:jc w:val="center"/>
        <w:tblInd w:w="0" w:type="dxa"/>
        <w:tblCellMar>
          <w:left w:w="70" w:type="dxa"/>
          <w:right w:w="70" w:type="dxa"/>
        </w:tblCellMar>
      </w:tblPr>
      <w:tblGrid>
        <w:gridCol w:w="4010"/>
        <w:gridCol w:w="982"/>
        <w:gridCol w:w="982"/>
        <w:gridCol w:w="982"/>
        <w:gridCol w:w="982"/>
      </w:tblGrid>
      <w:tr>
        <w:tblPrEx>
          <w:tblW w:w="7938" w:type="dxa"/>
          <w:jc w:val="center"/>
          <w:tblInd w:w="0" w:type="dxa"/>
          <w:tblCellMar>
            <w:left w:w="70" w:type="dxa"/>
            <w:right w:w="70" w:type="dxa"/>
          </w:tblCellMar>
        </w:tblPrEx>
        <w:trPr>
          <w:trHeight w:val="340"/>
          <w:jc w:val="center"/>
        </w:trPr>
        <w:tc>
          <w:tcPr>
            <w:tcW w:w="7938" w:type="dxa"/>
            <w:gridSpan w:val="5"/>
            <w:tcBorders>
              <w:top w:val="single" w:sz="4" w:space="0" w:color="auto"/>
              <w:left w:val="single" w:sz="4" w:space="0" w:color="auto"/>
              <w:bottom w:val="nil"/>
              <w:right w:val="single" w:sz="4" w:space="0" w:color="000000"/>
            </w:tcBorders>
            <w:shd w:val="clear" w:color="auto" w:fill="000000"/>
            <w:noWrap/>
            <w:textDirection w:val="lrTb"/>
            <w:vAlign w:val="center"/>
          </w:tcPr>
          <w:p w:rsidR="00DD172F" w:rsidRPr="00DF45EC" w:rsidP="00E0720E">
            <w:pPr>
              <w:rPr>
                <w:rFonts w:ascii="Arial Narrow" w:hAnsi="Arial Narrow" w:cs="Arial Narrow"/>
                <w:b/>
                <w:color w:val="FFFFFF"/>
                <w:sz w:val="20"/>
                <w:szCs w:val="24"/>
              </w:rPr>
            </w:pPr>
            <w:r w:rsidRPr="00DF45EC">
              <w:rPr>
                <w:rFonts w:ascii="Arial Narrow" w:hAnsi="Arial Narrow" w:cs="Arial Narrow"/>
                <w:b/>
                <w:color w:val="FFFFFF"/>
                <w:sz w:val="20"/>
                <w:szCs w:val="24"/>
              </w:rPr>
              <w:t>Odhad rozdielu medzi akruálnymi a hotov</w:t>
            </w:r>
            <w:r>
              <w:rPr>
                <w:rFonts w:ascii="Arial Narrow" w:hAnsi="Arial Narrow" w:cs="Arial Narrow"/>
                <w:b/>
                <w:color w:val="FFFFFF"/>
                <w:sz w:val="20"/>
                <w:szCs w:val="24"/>
              </w:rPr>
              <w:t xml:space="preserve">ostnými prognózami v rokoch 2009 </w:t>
            </w:r>
            <w:r w:rsidR="00E0720E">
              <w:rPr>
                <w:rFonts w:ascii="Arial Narrow" w:hAnsi="Arial Narrow" w:cs="Arial Narrow"/>
                <w:b/>
                <w:color w:val="FFFFFF"/>
                <w:sz w:val="20"/>
                <w:szCs w:val="24"/>
              </w:rPr>
              <w:t>až</w:t>
            </w:r>
            <w:r>
              <w:rPr>
                <w:rFonts w:ascii="Arial Narrow" w:hAnsi="Arial Narrow" w:cs="Arial Narrow"/>
                <w:b/>
                <w:color w:val="FFFFFF"/>
                <w:sz w:val="20"/>
                <w:szCs w:val="24"/>
              </w:rPr>
              <w:t xml:space="preserve"> 2012</w:t>
            </w:r>
            <w:r w:rsidRPr="00DF45EC">
              <w:rPr>
                <w:rFonts w:ascii="Arial Narrow" w:hAnsi="Arial Narrow" w:cs="Arial Narrow"/>
                <w:b/>
                <w:color w:val="FFFFFF"/>
                <w:sz w:val="20"/>
                <w:szCs w:val="24"/>
              </w:rPr>
              <w:t xml:space="preserve"> (v </w:t>
            </w:r>
            <w:r>
              <w:rPr>
                <w:rFonts w:ascii="Arial Narrow" w:hAnsi="Arial Narrow" w:cs="Arial Narrow"/>
                <w:b/>
                <w:color w:val="FFFFFF"/>
                <w:sz w:val="20"/>
                <w:szCs w:val="24"/>
              </w:rPr>
              <w:t>tis. eur</w:t>
            </w:r>
            <w:r w:rsidRPr="00DF45EC">
              <w:rPr>
                <w:rFonts w:ascii="Arial Narrow" w:hAnsi="Arial Narrow" w:cs="Arial Narrow"/>
                <w:b/>
                <w:color w:val="FFFFFF"/>
                <w:sz w:val="20"/>
                <w:szCs w:val="24"/>
              </w:rPr>
              <w:t>)</w:t>
            </w:r>
          </w:p>
        </w:tc>
      </w:tr>
      <w:tr>
        <w:tblPrEx>
          <w:tblW w:w="7938" w:type="dxa"/>
          <w:jc w:val="center"/>
          <w:tblInd w:w="0" w:type="dxa"/>
          <w:tblCellMar>
            <w:left w:w="70" w:type="dxa"/>
            <w:right w:w="70" w:type="dxa"/>
          </w:tblCellMar>
        </w:tblPrEx>
        <w:trPr>
          <w:trHeight w:val="270"/>
          <w:jc w:val="center"/>
        </w:trPr>
        <w:tc>
          <w:tcPr>
            <w:tcW w:w="4010" w:type="dxa"/>
            <w:tcBorders>
              <w:top w:val="single" w:sz="4" w:space="0" w:color="auto"/>
              <w:left w:val="single" w:sz="4" w:space="0" w:color="auto"/>
              <w:bottom w:val="single" w:sz="4" w:space="0" w:color="auto"/>
              <w:right w:val="nil"/>
            </w:tcBorders>
            <w:shd w:val="clear" w:color="auto" w:fill="C0C0C0"/>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 </w:t>
            </w:r>
          </w:p>
        </w:tc>
        <w:tc>
          <w:tcPr>
            <w:tcW w:w="982" w:type="dxa"/>
            <w:tcBorders>
              <w:top w:val="single" w:sz="4" w:space="0" w:color="auto"/>
              <w:left w:val="nil"/>
              <w:bottom w:val="single" w:sz="4" w:space="0" w:color="auto"/>
              <w:right w:val="nil"/>
            </w:tcBorders>
            <w:shd w:val="clear" w:color="auto" w:fill="C0C0C0"/>
            <w:textDirection w:val="lrTb"/>
            <w:vAlign w:val="center"/>
          </w:tcPr>
          <w:p w:rsidR="00DD172F" w:rsidRPr="00DF45EC" w:rsidP="00B80F08">
            <w:pPr>
              <w:jc w:val="right"/>
              <w:rPr>
                <w:rFonts w:ascii="Arial Narrow" w:hAnsi="Arial Narrow" w:cs="Arial Narrow"/>
                <w:b/>
                <w:sz w:val="18"/>
                <w:szCs w:val="24"/>
              </w:rPr>
            </w:pPr>
            <w:r w:rsidRPr="00DF45EC">
              <w:rPr>
                <w:rFonts w:ascii="Arial Narrow" w:hAnsi="Arial Narrow" w:cs="Arial Narrow"/>
                <w:b/>
                <w:sz w:val="18"/>
                <w:szCs w:val="24"/>
              </w:rPr>
              <w:t>200</w:t>
            </w:r>
            <w:r>
              <w:rPr>
                <w:rFonts w:ascii="Arial Narrow" w:hAnsi="Arial Narrow" w:cs="Arial Narrow"/>
                <w:b/>
                <w:sz w:val="18"/>
                <w:szCs w:val="24"/>
              </w:rPr>
              <w:t>9</w:t>
            </w:r>
          </w:p>
        </w:tc>
        <w:tc>
          <w:tcPr>
            <w:tcW w:w="982" w:type="dxa"/>
            <w:tcBorders>
              <w:top w:val="single" w:sz="4" w:space="0" w:color="auto"/>
              <w:left w:val="nil"/>
              <w:bottom w:val="single" w:sz="4" w:space="0" w:color="auto"/>
              <w:right w:val="nil"/>
            </w:tcBorders>
            <w:shd w:val="clear" w:color="auto" w:fill="C0C0C0"/>
            <w:textDirection w:val="lrTb"/>
            <w:vAlign w:val="center"/>
          </w:tcPr>
          <w:p w:rsidR="00DD172F" w:rsidRPr="00DF45EC" w:rsidP="00B80F08">
            <w:pPr>
              <w:jc w:val="right"/>
              <w:rPr>
                <w:rFonts w:ascii="Arial Narrow" w:hAnsi="Arial Narrow" w:cs="Arial Narrow"/>
                <w:b/>
                <w:sz w:val="18"/>
                <w:szCs w:val="24"/>
              </w:rPr>
            </w:pPr>
            <w:r w:rsidRPr="00DF45EC">
              <w:rPr>
                <w:rFonts w:ascii="Arial Narrow" w:hAnsi="Arial Narrow" w:cs="Arial Narrow"/>
                <w:b/>
                <w:sz w:val="18"/>
                <w:szCs w:val="24"/>
              </w:rPr>
              <w:t>20</w:t>
            </w:r>
            <w:r>
              <w:rPr>
                <w:rFonts w:ascii="Arial Narrow" w:hAnsi="Arial Narrow" w:cs="Arial Narrow"/>
                <w:b/>
                <w:sz w:val="18"/>
                <w:szCs w:val="24"/>
              </w:rPr>
              <w:t>10</w:t>
            </w:r>
          </w:p>
        </w:tc>
        <w:tc>
          <w:tcPr>
            <w:tcW w:w="982" w:type="dxa"/>
            <w:tcBorders>
              <w:top w:val="single" w:sz="4" w:space="0" w:color="auto"/>
              <w:left w:val="nil"/>
              <w:bottom w:val="single" w:sz="4" w:space="0" w:color="auto"/>
              <w:right w:val="nil"/>
            </w:tcBorders>
            <w:shd w:val="clear" w:color="auto" w:fill="C0C0C0"/>
            <w:textDirection w:val="lrTb"/>
            <w:vAlign w:val="center"/>
          </w:tcPr>
          <w:p w:rsidR="00DD172F" w:rsidRPr="00DF45EC" w:rsidP="00B80F08">
            <w:pPr>
              <w:jc w:val="right"/>
              <w:rPr>
                <w:rFonts w:ascii="Arial Narrow" w:hAnsi="Arial Narrow" w:cs="Arial Narrow"/>
                <w:b/>
                <w:sz w:val="18"/>
                <w:szCs w:val="24"/>
              </w:rPr>
            </w:pPr>
            <w:r w:rsidRPr="00DF45EC">
              <w:rPr>
                <w:rFonts w:ascii="Arial Narrow" w:hAnsi="Arial Narrow" w:cs="Arial Narrow"/>
                <w:b/>
                <w:sz w:val="18"/>
                <w:szCs w:val="24"/>
              </w:rPr>
              <w:t>201</w:t>
            </w:r>
            <w:r>
              <w:rPr>
                <w:rFonts w:ascii="Arial Narrow" w:hAnsi="Arial Narrow" w:cs="Arial Narrow"/>
                <w:b/>
                <w:sz w:val="18"/>
                <w:szCs w:val="24"/>
              </w:rPr>
              <w:t>1</w:t>
            </w:r>
          </w:p>
        </w:tc>
        <w:tc>
          <w:tcPr>
            <w:tcW w:w="982" w:type="dxa"/>
            <w:tcBorders>
              <w:top w:val="single" w:sz="4" w:space="0" w:color="auto"/>
              <w:left w:val="nil"/>
              <w:bottom w:val="single" w:sz="4" w:space="0" w:color="auto"/>
              <w:right w:val="single" w:sz="4" w:space="0" w:color="auto"/>
            </w:tcBorders>
            <w:shd w:val="clear" w:color="auto" w:fill="C0C0C0"/>
            <w:textDirection w:val="lrTb"/>
            <w:vAlign w:val="center"/>
          </w:tcPr>
          <w:p w:rsidR="00DD172F" w:rsidRPr="00DF45EC" w:rsidP="00B80F08">
            <w:pPr>
              <w:jc w:val="right"/>
              <w:rPr>
                <w:rFonts w:ascii="Arial Narrow" w:hAnsi="Arial Narrow" w:cs="Arial Narrow"/>
                <w:b/>
                <w:sz w:val="18"/>
                <w:szCs w:val="24"/>
              </w:rPr>
            </w:pPr>
            <w:r>
              <w:rPr>
                <w:rFonts w:ascii="Arial Narrow" w:hAnsi="Arial Narrow" w:cs="Arial Narrow"/>
                <w:b/>
                <w:sz w:val="18"/>
                <w:szCs w:val="24"/>
              </w:rPr>
              <w:t>2012</w:t>
            </w:r>
          </w:p>
        </w:tc>
      </w:tr>
      <w:tr>
        <w:tblPrEx>
          <w:tblW w:w="7938" w:type="dxa"/>
          <w:jc w:val="center"/>
          <w:tblInd w:w="0" w:type="dxa"/>
          <w:tblCellMar>
            <w:left w:w="70" w:type="dxa"/>
            <w:right w:w="70" w:type="dxa"/>
          </w:tblCellMar>
        </w:tblPrEx>
        <w:trPr>
          <w:trHeight w:val="270"/>
          <w:jc w:val="center"/>
        </w:trPr>
        <w:tc>
          <w:tcPr>
            <w:tcW w:w="4010"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Daňové príjmy</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373 582</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78 621</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203 688</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234 977</w:t>
            </w:r>
          </w:p>
        </w:tc>
      </w:tr>
      <w:tr>
        <w:tblPrEx>
          <w:tblW w:w="7938" w:type="dxa"/>
          <w:jc w:val="center"/>
          <w:tblInd w:w="0" w:type="dxa"/>
          <w:tblCellMar>
            <w:left w:w="70" w:type="dxa"/>
            <w:right w:w="70" w:type="dxa"/>
          </w:tblCellMar>
        </w:tblPrEx>
        <w:trPr>
          <w:trHeight w:val="270"/>
          <w:jc w:val="center"/>
        </w:trPr>
        <w:tc>
          <w:tcPr>
            <w:tcW w:w="4010"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 xml:space="preserve">štátny rozpočet </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362 659</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67 239</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191 828</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222 619</w:t>
            </w:r>
          </w:p>
        </w:tc>
      </w:tr>
      <w:tr>
        <w:tblPrEx>
          <w:tblW w:w="7938" w:type="dxa"/>
          <w:jc w:val="center"/>
          <w:tblInd w:w="0" w:type="dxa"/>
          <w:tblCellMar>
            <w:left w:w="70" w:type="dxa"/>
            <w:right w:w="70" w:type="dxa"/>
          </w:tblCellMar>
        </w:tblPrEx>
        <w:trPr>
          <w:trHeight w:val="270"/>
          <w:jc w:val="center"/>
        </w:trPr>
        <w:tc>
          <w:tcPr>
            <w:tcW w:w="4010"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obce</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7938" w:type="dxa"/>
          <w:jc w:val="center"/>
          <w:tblInd w:w="0" w:type="dxa"/>
          <w:tblCellMar>
            <w:left w:w="70" w:type="dxa"/>
            <w:right w:w="70" w:type="dxa"/>
          </w:tblCellMar>
        </w:tblPrEx>
        <w:trPr>
          <w:trHeight w:val="270"/>
          <w:jc w:val="center"/>
        </w:trPr>
        <w:tc>
          <w:tcPr>
            <w:tcW w:w="4010"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VÚC</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10 923</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11 382</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11 860</w:t>
            </w:r>
          </w:p>
        </w:tc>
        <w:tc>
          <w:tcPr>
            <w:tcW w:w="982"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12 358</w:t>
            </w:r>
          </w:p>
        </w:tc>
      </w:tr>
    </w:tbl>
    <w:p w:rsidR="00DD172F" w:rsidRPr="008C1E7A" w:rsidP="00DD172F">
      <w:pPr>
        <w:jc w:val="both"/>
        <w:rPr>
          <w:rFonts w:ascii="Arial Narrow" w:hAnsi="Arial Narrow" w:cs="Arial Narrow"/>
          <w:sz w:val="22"/>
          <w:szCs w:val="24"/>
          <w:highlight w:val="yellow"/>
        </w:rPr>
      </w:pPr>
    </w:p>
    <w:p w:rsidR="00DD172F" w:rsidP="00DD172F">
      <w:pPr>
        <w:ind w:firstLine="708"/>
        <w:jc w:val="both"/>
        <w:rPr>
          <w:rFonts w:ascii="Arial Narrow" w:hAnsi="Arial Narrow" w:cs="Arial Narrow"/>
          <w:sz w:val="22"/>
          <w:szCs w:val="24"/>
        </w:rPr>
      </w:pPr>
      <w:r>
        <w:rPr>
          <w:rFonts w:ascii="Arial Narrow" w:hAnsi="Arial Narrow" w:cs="Arial Narrow"/>
          <w:sz w:val="22"/>
          <w:szCs w:val="24"/>
        </w:rPr>
        <w:t xml:space="preserve">Veľký rozdiel medzi </w:t>
      </w:r>
      <w:r w:rsidRPr="00D7753F">
        <w:rPr>
          <w:rFonts w:ascii="Arial Narrow" w:hAnsi="Arial Narrow" w:cs="Arial Narrow"/>
          <w:sz w:val="22"/>
          <w:szCs w:val="24"/>
        </w:rPr>
        <w:t>akruálny</w:t>
      </w:r>
      <w:r>
        <w:rPr>
          <w:rFonts w:ascii="Arial Narrow" w:hAnsi="Arial Narrow" w:cs="Arial Narrow"/>
          <w:sz w:val="22"/>
          <w:szCs w:val="24"/>
        </w:rPr>
        <w:t>m</w:t>
      </w:r>
      <w:r w:rsidRPr="00D7753F">
        <w:rPr>
          <w:rFonts w:ascii="Arial Narrow" w:hAnsi="Arial Narrow" w:cs="Arial Narrow"/>
          <w:sz w:val="22"/>
          <w:szCs w:val="24"/>
        </w:rPr>
        <w:t xml:space="preserve"> výnos</w:t>
      </w:r>
      <w:r>
        <w:rPr>
          <w:rFonts w:ascii="Arial Narrow" w:hAnsi="Arial Narrow" w:cs="Arial Narrow"/>
          <w:sz w:val="22"/>
          <w:szCs w:val="24"/>
        </w:rPr>
        <w:t>om</w:t>
      </w:r>
      <w:r w:rsidRPr="00D7753F">
        <w:rPr>
          <w:rFonts w:ascii="Arial Narrow" w:hAnsi="Arial Narrow" w:cs="Arial Narrow"/>
          <w:sz w:val="22"/>
          <w:szCs w:val="24"/>
        </w:rPr>
        <w:t xml:space="preserve"> daní</w:t>
      </w:r>
      <w:r>
        <w:rPr>
          <w:rFonts w:ascii="Arial Narrow" w:hAnsi="Arial Narrow" w:cs="Arial Narrow"/>
          <w:sz w:val="22"/>
          <w:szCs w:val="24"/>
        </w:rPr>
        <w:t xml:space="preserve"> a </w:t>
      </w:r>
      <w:r w:rsidRPr="00D7753F">
        <w:rPr>
          <w:rFonts w:ascii="Arial Narrow" w:hAnsi="Arial Narrow" w:cs="Arial Narrow"/>
          <w:sz w:val="22"/>
          <w:szCs w:val="24"/>
        </w:rPr>
        <w:t xml:space="preserve">hotovostným výnosom </w:t>
      </w:r>
      <w:r>
        <w:rPr>
          <w:rFonts w:ascii="Arial Narrow" w:hAnsi="Arial Narrow" w:cs="Arial Narrow"/>
          <w:sz w:val="22"/>
          <w:szCs w:val="24"/>
        </w:rPr>
        <w:t xml:space="preserve">daní </w:t>
      </w:r>
      <w:r w:rsidRPr="00D7753F">
        <w:rPr>
          <w:rFonts w:ascii="Arial Narrow" w:hAnsi="Arial Narrow" w:cs="Arial Narrow"/>
          <w:sz w:val="22"/>
          <w:szCs w:val="24"/>
        </w:rPr>
        <w:t xml:space="preserve">je spôsobený v roku 2009 najmä </w:t>
      </w:r>
      <w:r>
        <w:rPr>
          <w:rFonts w:ascii="Arial Narrow" w:hAnsi="Arial Narrow" w:cs="Arial Narrow"/>
          <w:sz w:val="22"/>
          <w:szCs w:val="24"/>
        </w:rPr>
        <w:t xml:space="preserve">DPH, daňou z príjmov právnických osôb a </w:t>
      </w:r>
      <w:r w:rsidRPr="00D7753F">
        <w:rPr>
          <w:rFonts w:ascii="Arial Narrow" w:hAnsi="Arial Narrow" w:cs="Arial Narrow"/>
          <w:sz w:val="22"/>
          <w:szCs w:val="24"/>
        </w:rPr>
        <w:t>spotrebnou daňou z</w:t>
      </w:r>
      <w:r>
        <w:rPr>
          <w:rFonts w:ascii="Arial Narrow" w:hAnsi="Arial Narrow" w:cs="Arial Narrow"/>
          <w:sz w:val="22"/>
          <w:szCs w:val="24"/>
        </w:rPr>
        <w:t> tabaku a</w:t>
      </w:r>
      <w:r w:rsidRPr="00D7753F">
        <w:rPr>
          <w:rFonts w:ascii="Arial Narrow" w:hAnsi="Arial Narrow" w:cs="Arial Narrow"/>
          <w:sz w:val="22"/>
          <w:szCs w:val="24"/>
        </w:rPr>
        <w:t> tabakových výrobkov</w:t>
      </w:r>
      <w:r>
        <w:rPr>
          <w:rFonts w:ascii="Arial Narrow" w:hAnsi="Arial Narrow" w:cs="Arial Narrow"/>
          <w:sz w:val="22"/>
          <w:szCs w:val="24"/>
        </w:rPr>
        <w:t>. V</w:t>
      </w:r>
      <w:r w:rsidRPr="00D7753F">
        <w:rPr>
          <w:rFonts w:ascii="Arial Narrow" w:hAnsi="Arial Narrow" w:cs="Arial Narrow"/>
          <w:sz w:val="22"/>
          <w:szCs w:val="24"/>
        </w:rPr>
        <w:t xml:space="preserve"> roku 2010 </w:t>
      </w:r>
      <w:r>
        <w:rPr>
          <w:rFonts w:ascii="Arial Narrow" w:hAnsi="Arial Narrow" w:cs="Arial Narrow"/>
          <w:sz w:val="22"/>
          <w:szCs w:val="24"/>
        </w:rPr>
        <w:t xml:space="preserve">je rozdiel spôsobený </w:t>
      </w:r>
      <w:r w:rsidRPr="003037D8">
        <w:rPr>
          <w:rFonts w:ascii="Arial Narrow" w:hAnsi="Arial Narrow" w:cs="Arial Narrow"/>
          <w:sz w:val="22"/>
          <w:szCs w:val="24"/>
        </w:rPr>
        <w:t xml:space="preserve">najmä </w:t>
      </w:r>
      <w:r>
        <w:rPr>
          <w:rFonts w:ascii="Arial Narrow" w:hAnsi="Arial Narrow" w:cs="Arial Narrow"/>
          <w:sz w:val="22"/>
          <w:szCs w:val="24"/>
        </w:rPr>
        <w:t xml:space="preserve">DPH a </w:t>
      </w:r>
      <w:r w:rsidRPr="003037D8">
        <w:rPr>
          <w:rFonts w:ascii="Arial Narrow" w:hAnsi="Arial Narrow" w:cs="Arial Narrow"/>
          <w:sz w:val="22"/>
          <w:szCs w:val="24"/>
        </w:rPr>
        <w:t>daňou</w:t>
      </w:r>
      <w:r w:rsidRPr="00D7753F">
        <w:rPr>
          <w:rFonts w:ascii="Arial Narrow" w:hAnsi="Arial Narrow" w:cs="Arial Narrow"/>
          <w:sz w:val="22"/>
          <w:szCs w:val="24"/>
        </w:rPr>
        <w:t xml:space="preserve"> z príjmov </w:t>
      </w:r>
      <w:r>
        <w:rPr>
          <w:rFonts w:ascii="Arial Narrow" w:hAnsi="Arial Narrow" w:cs="Arial Narrow"/>
          <w:sz w:val="22"/>
          <w:szCs w:val="24"/>
        </w:rPr>
        <w:t xml:space="preserve">právnických </w:t>
      </w:r>
      <w:r w:rsidRPr="00D7753F">
        <w:rPr>
          <w:rFonts w:ascii="Arial Narrow" w:hAnsi="Arial Narrow" w:cs="Arial Narrow"/>
          <w:sz w:val="22"/>
          <w:szCs w:val="24"/>
        </w:rPr>
        <w:t xml:space="preserve">osôb. </w:t>
      </w:r>
      <w:r>
        <w:rPr>
          <w:rFonts w:ascii="Arial Narrow" w:hAnsi="Arial Narrow" w:cs="Arial Narrow"/>
          <w:sz w:val="22"/>
          <w:szCs w:val="24"/>
        </w:rPr>
        <w:t>Vývoj hotovostného výnosu DPH v prvých mesiacoch roka 2009 spolu s legislatívnou zmenou, ktorá skracuje lehotu na vrátenie nadmerných odpočtov zo 60 dní na 30 dní spôsobí, že v roku 2009 je akruálny výnos DPH o 713 746 tis. eur vyšší ako hotovostný výnos. Vysoké nadmerné odpočty v prvých troch mesiacoch mali negatívny vplyv na hotovostný výnos 2009, ale bez vplyvu na akruálny výnos 2009 (patria do akruálneho výnosu 2008), čo vyplýva z metodiky zaz</w:t>
      </w:r>
      <w:r w:rsidR="00BB5C1C">
        <w:rPr>
          <w:rFonts w:ascii="Arial Narrow" w:hAnsi="Arial Narrow" w:cs="Arial Narrow"/>
          <w:sz w:val="22"/>
          <w:szCs w:val="24"/>
        </w:rPr>
        <w:t>namenávania akruálneho výnosu. Pri</w:t>
      </w:r>
      <w:r w:rsidRPr="00D7753F">
        <w:rPr>
          <w:rFonts w:ascii="Arial Narrow" w:hAnsi="Arial Narrow" w:cs="Arial Narrow"/>
          <w:sz w:val="22"/>
          <w:szCs w:val="24"/>
        </w:rPr>
        <w:t> spotrebnej dani z tabakových výrobkov</w:t>
      </w:r>
      <w:r>
        <w:rPr>
          <w:rFonts w:ascii="Arial Narrow" w:hAnsi="Arial Narrow" w:cs="Arial Narrow"/>
          <w:sz w:val="22"/>
          <w:szCs w:val="24"/>
        </w:rPr>
        <w:t xml:space="preserve"> je v</w:t>
      </w:r>
      <w:r w:rsidRPr="00D7753F">
        <w:rPr>
          <w:rFonts w:ascii="Arial Narrow" w:hAnsi="Arial Narrow" w:cs="Arial Narrow"/>
          <w:sz w:val="22"/>
          <w:szCs w:val="24"/>
        </w:rPr>
        <w:t xml:space="preserve"> roku 2009 príčinou vyššieho hotovostného výnosu v porovnaní s akruálnym výnosom vysoké predzásobenie sa cigaretami v decembri 2008, ako dôsledok zvýšenia sadzieb </w:t>
      </w:r>
      <w:r w:rsidRPr="00EA35DB">
        <w:rPr>
          <w:rFonts w:ascii="Arial Narrow" w:hAnsi="Arial Narrow" w:cs="Arial Narrow"/>
          <w:sz w:val="22"/>
          <w:szCs w:val="24"/>
        </w:rPr>
        <w:t>k 1.2.2009.</w:t>
      </w:r>
      <w:r w:rsidRPr="00D7753F">
        <w:rPr>
          <w:rFonts w:ascii="Arial Narrow" w:hAnsi="Arial Narrow" w:cs="Arial Narrow"/>
          <w:sz w:val="22"/>
          <w:szCs w:val="24"/>
        </w:rPr>
        <w:t xml:space="preserve"> Hotovostné januárové plnenie podľa akruálneho princípu patrí do decembra predchádzajúceho roka, a teda predzásobenie má pozitívny vplyv na akruálny výnos roka 2008. Naopak, vysoké predzásobenie znamená výpadok príjmov od februára 2009, čo bude mať negatívny dopad na akruálny výnos roku 2009</w:t>
      </w:r>
      <w:r w:rsidRPr="003B614B">
        <w:rPr>
          <w:rFonts w:ascii="Arial Narrow" w:hAnsi="Arial Narrow" w:cs="Arial Narrow"/>
          <w:sz w:val="22"/>
          <w:szCs w:val="24"/>
        </w:rPr>
        <w:t xml:space="preserve">. </w:t>
      </w:r>
      <w:r w:rsidRPr="00DE43BA">
        <w:rPr>
          <w:rFonts w:ascii="Arial Narrow" w:hAnsi="Arial Narrow" w:cs="Arial Narrow"/>
          <w:sz w:val="22"/>
          <w:szCs w:val="24"/>
        </w:rPr>
        <w:t>Rozdiel medzi akruálnym a hotovostným výnosom DPPO v roku 2009 je spôsobený legislatívnou úpravou (novela zákona o dani z príjmov č. 621/2007</w:t>
      </w:r>
      <w:r w:rsidR="00BB5C1C">
        <w:rPr>
          <w:rFonts w:ascii="Arial Narrow" w:hAnsi="Arial Narrow" w:cs="Arial Narrow"/>
          <w:sz w:val="22"/>
          <w:szCs w:val="24"/>
        </w:rPr>
        <w:t xml:space="preserve"> Z.z.</w:t>
      </w:r>
      <w:r w:rsidRPr="00DE43BA">
        <w:rPr>
          <w:rFonts w:ascii="Arial Narrow" w:hAnsi="Arial Narrow" w:cs="Arial Narrow"/>
          <w:sz w:val="22"/>
          <w:szCs w:val="24"/>
        </w:rPr>
        <w:t xml:space="preserve"> upravujúca najmä daňovú uznateľnosť tvorby opravných položiek pre podnikateľov a banky ako aj tvorby technických rezerv u poisťovní), ktorá spôsobí, že akruálny </w:t>
      </w:r>
      <w:r>
        <w:rPr>
          <w:rFonts w:ascii="Arial Narrow" w:hAnsi="Arial Narrow" w:cs="Arial Narrow"/>
          <w:sz w:val="22"/>
          <w:szCs w:val="24"/>
        </w:rPr>
        <w:t>vplyv</w:t>
      </w:r>
      <w:r w:rsidRPr="00DE43BA">
        <w:rPr>
          <w:rFonts w:ascii="Arial Narrow" w:hAnsi="Arial Narrow" w:cs="Arial Narrow"/>
          <w:sz w:val="22"/>
          <w:szCs w:val="24"/>
        </w:rPr>
        <w:t xml:space="preserve"> sa premietne v hotovostnom plnení až v nasledujúcom roku.</w:t>
      </w:r>
    </w:p>
    <w:p w:rsidR="00DD172F" w:rsidRPr="002C0507" w:rsidP="00DD172F">
      <w:pPr>
        <w:ind w:firstLine="708"/>
        <w:jc w:val="both"/>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Pr>
          <w:rFonts w:ascii="Arial Narrow" w:hAnsi="Arial Narrow" w:cs="Arial Narrow"/>
          <w:sz w:val="22"/>
          <w:szCs w:val="24"/>
        </w:rPr>
        <w:t xml:space="preserve">Zároveň </w:t>
      </w:r>
      <w:r w:rsidRPr="00F16E0A">
        <w:rPr>
          <w:rFonts w:ascii="Arial Narrow" w:hAnsi="Arial Narrow" w:cs="Arial Narrow"/>
          <w:sz w:val="22"/>
          <w:szCs w:val="24"/>
        </w:rPr>
        <w:t>na rozdiel medzi akruálnym a hotovostným</w:t>
      </w:r>
      <w:r w:rsidRPr="003B614B">
        <w:rPr>
          <w:rFonts w:ascii="Arial Narrow" w:hAnsi="Arial Narrow" w:cs="Arial Narrow"/>
          <w:sz w:val="22"/>
          <w:szCs w:val="24"/>
        </w:rPr>
        <w:t xml:space="preserve"> výnosom pozitívne vplýva najmä odlišné zaznamenávanie sumy 2</w:t>
      </w:r>
      <w:r w:rsidR="00C67C16">
        <w:rPr>
          <w:rFonts w:ascii="Arial Narrow" w:hAnsi="Arial Narrow" w:cs="Arial Narrow"/>
          <w:sz w:val="22"/>
          <w:szCs w:val="24"/>
        </w:rPr>
        <w:t xml:space="preserve"> </w:t>
      </w:r>
      <w:r w:rsidRPr="003B614B">
        <w:rPr>
          <w:rFonts w:ascii="Arial Narrow" w:hAnsi="Arial Narrow" w:cs="Arial Narrow"/>
          <w:sz w:val="22"/>
          <w:szCs w:val="24"/>
        </w:rPr>
        <w:t>%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daňovej povinnosti voči verejným financiám (akruálnu daň), ale na základe zákona schváleného NR SR, sa časť peňazí použije na financovanie tretieho sektora. Uvedená suma teda neznižuje príjmy, ale zvyšuje verejné výdavky a týmto spôsobom negatívne ovplyvňuje hospodárenie v metodike ESA</w:t>
      </w:r>
      <w:r w:rsidR="00C67C16">
        <w:rPr>
          <w:rFonts w:ascii="Arial Narrow" w:hAnsi="Arial Narrow" w:cs="Arial Narrow"/>
          <w:sz w:val="22"/>
          <w:szCs w:val="24"/>
        </w:rPr>
        <w:t xml:space="preserve"> </w:t>
      </w:r>
      <w:r w:rsidRPr="003B614B">
        <w:rPr>
          <w:rFonts w:ascii="Arial Narrow" w:hAnsi="Arial Narrow" w:cs="Arial Narrow"/>
          <w:sz w:val="22"/>
          <w:szCs w:val="24"/>
        </w:rPr>
        <w:t>95.</w:t>
      </w:r>
    </w:p>
    <w:p w:rsidR="00DD172F" w:rsidRPr="00DF45EC" w:rsidP="00DD172F">
      <w:pPr>
        <w:ind w:firstLine="708"/>
        <w:jc w:val="both"/>
        <w:rPr>
          <w:rFonts w:ascii="Arial Narrow" w:hAnsi="Arial Narrow" w:cs="Arial Narrow"/>
          <w:sz w:val="22"/>
          <w:szCs w:val="24"/>
        </w:rPr>
      </w:pPr>
    </w:p>
    <w:p w:rsidR="00DD172F" w:rsidP="00DD172F">
      <w:pPr>
        <w:pStyle w:val="Default"/>
        <w:spacing w:before="3"/>
        <w:ind w:firstLine="708"/>
        <w:jc w:val="both"/>
        <w:rPr>
          <w:rFonts w:ascii="Arial Narrow" w:hAnsi="Arial Narrow" w:cs="Arial Narrow"/>
          <w:sz w:val="22"/>
          <w:szCs w:val="24"/>
        </w:rPr>
      </w:pPr>
      <w:r w:rsidRPr="00342188">
        <w:rPr>
          <w:rFonts w:ascii="Arial Narrow" w:hAnsi="Arial Narrow" w:cs="Arial Narrow"/>
          <w:color w:val="auto"/>
          <w:sz w:val="22"/>
          <w:szCs w:val="24"/>
        </w:rPr>
        <w:t xml:space="preserve">Od roku 2011 sa bude objem poukazovaného podielu zaplatenej dane právnických osôb postupne znižovať. </w:t>
      </w:r>
      <w:r w:rsidRPr="00342188">
        <w:rPr>
          <w:rFonts w:ascii="Arial Narrow" w:hAnsi="Arial Narrow" w:cs="Arial Narrow"/>
          <w:sz w:val="22"/>
          <w:szCs w:val="24"/>
        </w:rPr>
        <w:t>Novela zákona č. 595/2003 Z. z. o dani z príjmov</w:t>
      </w:r>
      <w:r w:rsidRPr="00342188">
        <w:rPr>
          <w:rFonts w:ascii="Arial Narrow" w:hAnsi="Arial Narrow" w:cs="Arial Narrow"/>
          <w:color w:val="auto"/>
          <w:sz w:val="22"/>
          <w:szCs w:val="24"/>
        </w:rPr>
        <w:t xml:space="preserve"> sprísňuje podmienky pre asignáciu 2</w:t>
      </w:r>
      <w:r w:rsidR="0051597B">
        <w:rPr>
          <w:rFonts w:ascii="Arial Narrow" w:hAnsi="Arial Narrow" w:cs="Arial Narrow"/>
          <w:color w:val="auto"/>
          <w:sz w:val="22"/>
          <w:szCs w:val="24"/>
        </w:rPr>
        <w:t xml:space="preserve"> </w:t>
      </w:r>
      <w:r w:rsidRPr="00342188">
        <w:rPr>
          <w:rFonts w:ascii="Arial Narrow" w:hAnsi="Arial Narrow" w:cs="Arial Narrow"/>
          <w:color w:val="auto"/>
          <w:sz w:val="22"/>
          <w:szCs w:val="24"/>
        </w:rPr>
        <w:t>% dane a zavádza postupné znižovanie poukazovaného podielu zaplatenej</w:t>
      </w:r>
      <w:r>
        <w:rPr>
          <w:rFonts w:ascii="Arial Narrow" w:hAnsi="Arial Narrow" w:cs="Arial Narrow"/>
          <w:color w:val="auto"/>
          <w:sz w:val="22"/>
          <w:szCs w:val="24"/>
        </w:rPr>
        <w:t xml:space="preserve"> dane z</w:t>
      </w:r>
      <w:r w:rsidR="0051597B">
        <w:rPr>
          <w:rFonts w:ascii="Arial Narrow" w:hAnsi="Arial Narrow" w:cs="Arial Narrow"/>
          <w:color w:val="auto"/>
          <w:sz w:val="22"/>
          <w:szCs w:val="24"/>
        </w:rPr>
        <w:t> </w:t>
      </w:r>
      <w:r>
        <w:rPr>
          <w:rFonts w:ascii="Arial Narrow" w:hAnsi="Arial Narrow" w:cs="Arial Narrow"/>
          <w:color w:val="auto"/>
          <w:sz w:val="22"/>
          <w:szCs w:val="24"/>
        </w:rPr>
        <w:t>2</w:t>
      </w:r>
      <w:r w:rsidR="0051597B">
        <w:rPr>
          <w:rFonts w:ascii="Arial Narrow" w:hAnsi="Arial Narrow" w:cs="Arial Narrow"/>
          <w:color w:val="auto"/>
          <w:sz w:val="22"/>
          <w:szCs w:val="24"/>
        </w:rPr>
        <w:t xml:space="preserve"> </w:t>
      </w:r>
      <w:r>
        <w:rPr>
          <w:rFonts w:ascii="Arial Narrow" w:hAnsi="Arial Narrow" w:cs="Arial Narrow"/>
          <w:color w:val="auto"/>
          <w:sz w:val="22"/>
          <w:szCs w:val="24"/>
        </w:rPr>
        <w:t>% na 0,5</w:t>
      </w:r>
      <w:r w:rsidR="0051597B">
        <w:rPr>
          <w:rFonts w:ascii="Arial Narrow" w:hAnsi="Arial Narrow" w:cs="Arial Narrow"/>
          <w:color w:val="auto"/>
          <w:sz w:val="22"/>
          <w:szCs w:val="24"/>
        </w:rPr>
        <w:t xml:space="preserve"> </w:t>
      </w:r>
      <w:r>
        <w:rPr>
          <w:rFonts w:ascii="Arial Narrow" w:hAnsi="Arial Narrow" w:cs="Arial Narrow"/>
          <w:color w:val="auto"/>
          <w:sz w:val="22"/>
          <w:szCs w:val="24"/>
        </w:rPr>
        <w:t xml:space="preserve">% v roku 2018. </w:t>
      </w:r>
      <w:r w:rsidRPr="00342188">
        <w:rPr>
          <w:rFonts w:ascii="Arial Narrow" w:hAnsi="Arial Narrow" w:cs="Arial Narrow"/>
          <w:sz w:val="22"/>
          <w:szCs w:val="24"/>
        </w:rPr>
        <w:t>Pre roky 2011 a 2012 bude môcť právnická osoba darovať podiel vo výške 2</w:t>
      </w:r>
      <w:r w:rsidR="0051597B">
        <w:rPr>
          <w:rFonts w:ascii="Arial Narrow" w:hAnsi="Arial Narrow" w:cs="Arial Narrow"/>
          <w:sz w:val="22"/>
          <w:szCs w:val="24"/>
        </w:rPr>
        <w:t xml:space="preserve"> </w:t>
      </w:r>
      <w:r w:rsidRPr="00342188">
        <w:rPr>
          <w:rFonts w:ascii="Arial Narrow" w:hAnsi="Arial Narrow" w:cs="Arial Narrow"/>
          <w:sz w:val="22"/>
          <w:szCs w:val="24"/>
        </w:rPr>
        <w:t>% zaplatenej dane len v prípade, že poskytne oprávnenému prijímateľovi dar vo výške zodpovedajúcej 0,5</w:t>
      </w:r>
      <w:r w:rsidR="0051597B">
        <w:rPr>
          <w:rFonts w:ascii="Arial Narrow" w:hAnsi="Arial Narrow" w:cs="Arial Narrow"/>
          <w:sz w:val="22"/>
          <w:szCs w:val="24"/>
        </w:rPr>
        <w:t xml:space="preserve"> </w:t>
      </w:r>
      <w:r w:rsidRPr="00342188">
        <w:rPr>
          <w:rFonts w:ascii="Arial Narrow" w:hAnsi="Arial Narrow" w:cs="Arial Narrow"/>
          <w:sz w:val="22"/>
          <w:szCs w:val="24"/>
        </w:rPr>
        <w:t>% daňovej povinnosti. Ak dar neposkytne, správca dane zníži poukazovaný podiel zaplatenej dane na 1,5</w:t>
      </w:r>
      <w:r w:rsidR="0051597B">
        <w:rPr>
          <w:rFonts w:ascii="Arial Narrow" w:hAnsi="Arial Narrow" w:cs="Arial Narrow"/>
          <w:sz w:val="22"/>
          <w:szCs w:val="24"/>
        </w:rPr>
        <w:t xml:space="preserve"> </w:t>
      </w:r>
      <w:r w:rsidRPr="00342188">
        <w:rPr>
          <w:rFonts w:ascii="Arial Narrow" w:hAnsi="Arial Narrow" w:cs="Arial Narrow"/>
          <w:sz w:val="22"/>
          <w:szCs w:val="24"/>
        </w:rPr>
        <w:t>%. Podľa nových pravidiel sa podiel zaplatenej dane nebude môcť použiť na reklamu a obstaranie nehnuteľností.</w:t>
      </w:r>
    </w:p>
    <w:p w:rsidR="00DD172F" w:rsidP="00DD172F">
      <w:pPr>
        <w:rPr>
          <w:rFonts w:ascii="Arial Narrow" w:hAnsi="Arial Narrow" w:cs="Arial Narrow"/>
          <w:sz w:val="22"/>
          <w:szCs w:val="24"/>
        </w:rPr>
      </w:pPr>
    </w:p>
    <w:tbl>
      <w:tblPr>
        <w:tblStyle w:val="TableNormal"/>
        <w:tblW w:w="9072" w:type="dxa"/>
        <w:jc w:val="center"/>
        <w:tblInd w:w="0" w:type="dxa"/>
        <w:tblCellMar>
          <w:left w:w="70" w:type="dxa"/>
          <w:right w:w="70" w:type="dxa"/>
        </w:tblCellMar>
      </w:tblPr>
      <w:tblGrid>
        <w:gridCol w:w="2880"/>
        <w:gridCol w:w="900"/>
        <w:gridCol w:w="900"/>
        <w:gridCol w:w="900"/>
        <w:gridCol w:w="900"/>
        <w:gridCol w:w="900"/>
        <w:gridCol w:w="900"/>
        <w:gridCol w:w="792"/>
      </w:tblGrid>
      <w:tr>
        <w:tblPrEx>
          <w:tblW w:w="9072" w:type="dxa"/>
          <w:jc w:val="center"/>
          <w:tblInd w:w="0" w:type="dxa"/>
          <w:tblCellMar>
            <w:left w:w="70" w:type="dxa"/>
            <w:right w:w="70" w:type="dxa"/>
          </w:tblCellMar>
        </w:tblPrEx>
        <w:trPr>
          <w:trHeight w:val="340"/>
          <w:jc w:val="center"/>
        </w:trPr>
        <w:tc>
          <w:tcPr>
            <w:tcW w:w="9072" w:type="dxa"/>
            <w:gridSpan w:val="8"/>
            <w:tcBorders>
              <w:top w:val="nil"/>
              <w:left w:val="nil"/>
              <w:bottom w:val="nil"/>
              <w:right w:val="nil"/>
            </w:tcBorders>
            <w:shd w:val="clear" w:color="auto" w:fill="000000"/>
            <w:textDirection w:val="lrTb"/>
            <w:vAlign w:val="center"/>
          </w:tcPr>
          <w:p w:rsidR="00DD172F" w:rsidRPr="00DF45EC" w:rsidP="00DE74B6">
            <w:pPr>
              <w:rPr>
                <w:rFonts w:ascii="Arial Narrow" w:hAnsi="Arial Narrow" w:cs="Arial Narrow"/>
                <w:b/>
                <w:color w:val="FFFFFF"/>
                <w:sz w:val="20"/>
                <w:szCs w:val="24"/>
              </w:rPr>
            </w:pPr>
            <w:r w:rsidRPr="00DF45EC">
              <w:rPr>
                <w:rFonts w:ascii="Arial Narrow" w:hAnsi="Arial Narrow" w:cs="Arial Narrow"/>
                <w:b/>
                <w:color w:val="FFFFFF"/>
                <w:sz w:val="20"/>
                <w:szCs w:val="24"/>
              </w:rPr>
              <w:t>Vplyv prevodu prostriedkov na ver</w:t>
            </w:r>
            <w:r>
              <w:rPr>
                <w:rFonts w:ascii="Arial Narrow" w:hAnsi="Arial Narrow" w:cs="Arial Narrow"/>
                <w:b/>
                <w:color w:val="FFFFFF"/>
                <w:sz w:val="20"/>
                <w:szCs w:val="24"/>
              </w:rPr>
              <w:t xml:space="preserve">ejnoprospešný účel v rokoch 2006 </w:t>
            </w:r>
            <w:r w:rsidR="00DE74B6">
              <w:rPr>
                <w:rFonts w:ascii="Arial Narrow" w:hAnsi="Arial Narrow" w:cs="Arial Narrow"/>
                <w:b/>
                <w:color w:val="FFFFFF"/>
                <w:sz w:val="20"/>
                <w:szCs w:val="24"/>
              </w:rPr>
              <w:t>až</w:t>
            </w:r>
            <w:r>
              <w:rPr>
                <w:rFonts w:ascii="Arial Narrow" w:hAnsi="Arial Narrow" w:cs="Arial Narrow"/>
                <w:b/>
                <w:color w:val="FFFFFF"/>
                <w:sz w:val="20"/>
                <w:szCs w:val="24"/>
              </w:rPr>
              <w:t xml:space="preserve"> 2012</w:t>
            </w:r>
            <w:r w:rsidRPr="00DF45EC">
              <w:rPr>
                <w:rFonts w:ascii="Arial Narrow" w:hAnsi="Arial Narrow" w:cs="Arial Narrow"/>
                <w:b/>
                <w:color w:val="FFFFFF"/>
                <w:sz w:val="20"/>
                <w:szCs w:val="24"/>
              </w:rPr>
              <w:t xml:space="preserve"> na rozpočet (v </w:t>
            </w:r>
            <w:r>
              <w:rPr>
                <w:rFonts w:ascii="Arial Narrow" w:hAnsi="Arial Narrow" w:cs="Arial Narrow"/>
                <w:b/>
                <w:color w:val="FFFFFF"/>
                <w:sz w:val="20"/>
                <w:szCs w:val="24"/>
              </w:rPr>
              <w:t>tis. eur</w:t>
            </w:r>
            <w:r w:rsidRPr="00DF45EC">
              <w:rPr>
                <w:rFonts w:ascii="Arial Narrow" w:hAnsi="Arial Narrow" w:cs="Arial Narrow"/>
                <w:b/>
                <w:color w:val="FFFFFF"/>
                <w:sz w:val="20"/>
                <w:szCs w:val="24"/>
              </w:rPr>
              <w:t>)</w:t>
            </w:r>
            <w:r w:rsidRPr="00DF45EC">
              <w:rPr>
                <w:rFonts w:ascii="Arial Narrow" w:hAnsi="Arial Narrow" w:cs="Arial Narrow"/>
                <w:sz w:val="20"/>
                <w:szCs w:val="24"/>
              </w:rPr>
              <w:t> </w:t>
            </w:r>
          </w:p>
        </w:tc>
      </w:tr>
      <w:tr>
        <w:tblPrEx>
          <w:tblW w:w="9072" w:type="dxa"/>
          <w:jc w:val="center"/>
          <w:tblInd w:w="0" w:type="dxa"/>
          <w:tblCellMar>
            <w:left w:w="70" w:type="dxa"/>
            <w:right w:w="70" w:type="dxa"/>
          </w:tblCellMar>
        </w:tblPrEx>
        <w:trPr>
          <w:trHeight w:val="270"/>
          <w:jc w:val="center"/>
        </w:trPr>
        <w:tc>
          <w:tcPr>
            <w:tcW w:w="2880" w:type="dxa"/>
            <w:tcBorders>
              <w:top w:val="nil"/>
              <w:left w:val="nil"/>
              <w:bottom w:val="single" w:sz="4" w:space="0" w:color="auto"/>
              <w:right w:val="nil"/>
            </w:tcBorders>
            <w:shd w:val="clear" w:color="auto" w:fill="C0C0C0"/>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 </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sidRPr="00DF45EC">
              <w:rPr>
                <w:rFonts w:ascii="Arial Narrow" w:hAnsi="Arial Narrow" w:cs="Arial Narrow"/>
                <w:b/>
                <w:sz w:val="18"/>
                <w:szCs w:val="24"/>
              </w:rPr>
              <w:t>2006</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sidRPr="00DF45EC">
              <w:rPr>
                <w:rFonts w:ascii="Arial Narrow" w:hAnsi="Arial Narrow" w:cs="Arial Narrow"/>
                <w:b/>
                <w:sz w:val="18"/>
                <w:szCs w:val="24"/>
              </w:rPr>
              <w:t>2007</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2008</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2009</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2010</w:t>
            </w:r>
          </w:p>
        </w:tc>
        <w:tc>
          <w:tcPr>
            <w:tcW w:w="900"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2011</w:t>
            </w:r>
          </w:p>
        </w:tc>
        <w:tc>
          <w:tcPr>
            <w:tcW w:w="792"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2012</w:t>
            </w:r>
          </w:p>
        </w:tc>
      </w:tr>
      <w:tr>
        <w:tblPrEx>
          <w:tblW w:w="9072" w:type="dxa"/>
          <w:jc w:val="center"/>
          <w:tblInd w:w="0" w:type="dxa"/>
          <w:tblCellMar>
            <w:left w:w="70" w:type="dxa"/>
            <w:right w:w="70" w:type="dxa"/>
          </w:tblCellMar>
        </w:tblPrEx>
        <w:trPr>
          <w:trHeight w:val="270"/>
          <w:jc w:val="center"/>
        </w:trPr>
        <w:tc>
          <w:tcPr>
            <w:tcW w:w="2880" w:type="dxa"/>
            <w:tcBorders>
              <w:top w:val="single" w:sz="4" w:space="0" w:color="auto"/>
              <w:left w:val="nil"/>
              <w:bottom w:val="nil"/>
              <w:right w:val="nil"/>
            </w:tcBorders>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 xml:space="preserve">Prevod na VPÚ </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sidRPr="002B3F91">
              <w:rPr>
                <w:rFonts w:ascii="Arial Narrow" w:hAnsi="Arial Narrow" w:cs="Arial Narrow"/>
                <w:b/>
                <w:sz w:val="18"/>
                <w:szCs w:val="24"/>
              </w:rPr>
              <w:t>37 346</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sidRPr="002B3F91">
              <w:rPr>
                <w:rFonts w:ascii="Arial Narrow" w:hAnsi="Arial Narrow" w:cs="Arial Narrow"/>
                <w:b/>
                <w:sz w:val="18"/>
                <w:szCs w:val="24"/>
              </w:rPr>
              <w:t>42 125</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49 180</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53 243</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46 920</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38 648</w:t>
            </w:r>
          </w:p>
        </w:tc>
        <w:tc>
          <w:tcPr>
            <w:tcW w:w="792"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44 040</w:t>
            </w:r>
          </w:p>
        </w:tc>
      </w:tr>
      <w:tr>
        <w:tblPrEx>
          <w:tblW w:w="9072" w:type="dxa"/>
          <w:jc w:val="center"/>
          <w:tblInd w:w="0" w:type="dxa"/>
          <w:tblCellMar>
            <w:left w:w="70" w:type="dxa"/>
            <w:right w:w="70" w:type="dxa"/>
          </w:tblCellMar>
        </w:tblPrEx>
        <w:trPr>
          <w:trHeight w:val="270"/>
          <w:jc w:val="center"/>
        </w:trPr>
        <w:tc>
          <w:tcPr>
            <w:tcW w:w="2880" w:type="dxa"/>
            <w:tcBorders>
              <w:top w:val="nil"/>
              <w:left w:val="nil"/>
              <w:bottom w:val="single" w:sz="4" w:space="0" w:color="auto"/>
              <w:right w:val="nil"/>
            </w:tcBorders>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 xml:space="preserve"> - zníženie príjmov na hotovostnej báze</w:t>
            </w: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c>
          <w:tcPr>
            <w:tcW w:w="792" w:type="dxa"/>
            <w:vMerge/>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b/>
                <w:sz w:val="18"/>
                <w:szCs w:val="24"/>
              </w:rPr>
            </w:pPr>
          </w:p>
        </w:tc>
      </w:tr>
      <w:tr>
        <w:tblPrEx>
          <w:tblW w:w="9072" w:type="dxa"/>
          <w:jc w:val="center"/>
          <w:tblInd w:w="0" w:type="dxa"/>
          <w:tblCellMar>
            <w:left w:w="70" w:type="dxa"/>
            <w:right w:w="70" w:type="dxa"/>
          </w:tblCellMar>
        </w:tblPrEx>
        <w:trPr>
          <w:trHeight w:val="270"/>
          <w:jc w:val="center"/>
        </w:trPr>
        <w:tc>
          <w:tcPr>
            <w:tcW w:w="2880" w:type="dxa"/>
            <w:tcBorders>
              <w:top w:val="nil"/>
              <w:left w:val="nil"/>
              <w:bottom w:val="single" w:sz="4" w:space="0" w:color="auto"/>
              <w:right w:val="nil"/>
            </w:tcBorders>
            <w:textDirection w:val="lrTb"/>
            <w:vAlign w:val="center"/>
          </w:tcPr>
          <w:p w:rsidR="00DD172F" w:rsidRPr="00DF45EC" w:rsidP="00B80F08">
            <w:pP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900"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c>
          <w:tcPr>
            <w:tcW w:w="792" w:type="dxa"/>
            <w:tcBorders>
              <w:top w:val="single" w:sz="4" w:space="0" w:color="auto"/>
              <w:left w:val="nil"/>
              <w:bottom w:val="single" w:sz="4" w:space="0" w:color="auto"/>
              <w:right w:val="nil"/>
            </w:tcBorders>
            <w:textDirection w:val="lrTb"/>
            <w:vAlign w:val="center"/>
          </w:tcPr>
          <w:p w:rsidR="00DD172F" w:rsidRPr="00DF45EC" w:rsidP="00B80F08">
            <w:pPr>
              <w:jc w:val="center"/>
              <w:rPr>
                <w:rFonts w:ascii="Arial Narrow" w:hAnsi="Arial Narrow" w:cs="Arial Narrow"/>
                <w:sz w:val="18"/>
                <w:szCs w:val="24"/>
              </w:rPr>
            </w:pPr>
          </w:p>
        </w:tc>
      </w:tr>
      <w:tr>
        <w:tblPrEx>
          <w:tblW w:w="9072" w:type="dxa"/>
          <w:jc w:val="center"/>
          <w:tblInd w:w="0" w:type="dxa"/>
          <w:tblCellMar>
            <w:left w:w="70" w:type="dxa"/>
            <w:right w:w="70" w:type="dxa"/>
          </w:tblCellMar>
        </w:tblPrEx>
        <w:trPr>
          <w:trHeight w:val="270"/>
          <w:jc w:val="center"/>
        </w:trPr>
        <w:tc>
          <w:tcPr>
            <w:tcW w:w="2880" w:type="dxa"/>
            <w:tcBorders>
              <w:top w:val="single" w:sz="4" w:space="0" w:color="auto"/>
              <w:left w:val="nil"/>
              <w:bottom w:val="nil"/>
              <w:right w:val="nil"/>
            </w:tcBorders>
            <w:textDirection w:val="lrTb"/>
            <w:vAlign w:val="center"/>
          </w:tcPr>
          <w:p w:rsidR="00DD172F" w:rsidRPr="002B3F91" w:rsidP="00B80F08">
            <w:pPr>
              <w:rPr>
                <w:rFonts w:ascii="Arial Narrow" w:hAnsi="Arial Narrow" w:cs="Arial Narrow"/>
                <w:b/>
                <w:sz w:val="18"/>
                <w:szCs w:val="24"/>
              </w:rPr>
            </w:pPr>
            <w:r w:rsidRPr="002B3F91">
              <w:rPr>
                <w:rFonts w:ascii="Arial Narrow" w:hAnsi="Arial Narrow" w:cs="Arial Narrow"/>
                <w:b/>
                <w:sz w:val="18"/>
                <w:szCs w:val="24"/>
              </w:rPr>
              <w:t>Prevod na VPÚ spolu ESA</w:t>
            </w:r>
            <w:r w:rsidR="008112A0">
              <w:rPr>
                <w:rFonts w:ascii="Arial Narrow" w:hAnsi="Arial Narrow" w:cs="Arial Narrow"/>
                <w:b/>
                <w:sz w:val="18"/>
                <w:szCs w:val="24"/>
              </w:rPr>
              <w:t xml:space="preserve"> </w:t>
            </w:r>
            <w:r w:rsidRPr="002B3F91">
              <w:rPr>
                <w:rFonts w:ascii="Arial Narrow" w:hAnsi="Arial Narrow" w:cs="Arial Narrow"/>
                <w:b/>
                <w:sz w:val="18"/>
                <w:szCs w:val="24"/>
              </w:rPr>
              <w:t>95</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sidRPr="002B3F91">
              <w:rPr>
                <w:rFonts w:ascii="Arial Narrow" w:hAnsi="Arial Narrow" w:cs="Arial Narrow"/>
                <w:b/>
                <w:sz w:val="18"/>
                <w:szCs w:val="24"/>
              </w:rPr>
              <w:t>37 346</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sidRPr="002B3F91">
              <w:rPr>
                <w:rFonts w:ascii="Arial Narrow" w:hAnsi="Arial Narrow" w:cs="Arial Narrow"/>
                <w:b/>
                <w:sz w:val="18"/>
                <w:szCs w:val="24"/>
              </w:rPr>
              <w:t>42 125</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49 180</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53 243</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46 920</w:t>
            </w:r>
          </w:p>
        </w:tc>
        <w:tc>
          <w:tcPr>
            <w:tcW w:w="900"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38 648</w:t>
            </w:r>
          </w:p>
        </w:tc>
        <w:tc>
          <w:tcPr>
            <w:tcW w:w="792" w:type="dxa"/>
            <w:vMerge w:val="restart"/>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r>
              <w:rPr>
                <w:rFonts w:ascii="Arial Narrow" w:hAnsi="Arial Narrow" w:cs="Arial Narrow"/>
                <w:b/>
                <w:sz w:val="18"/>
                <w:szCs w:val="24"/>
              </w:rPr>
              <w:t>44 040</w:t>
            </w:r>
          </w:p>
        </w:tc>
      </w:tr>
      <w:tr>
        <w:tblPrEx>
          <w:tblW w:w="9072" w:type="dxa"/>
          <w:jc w:val="center"/>
          <w:tblInd w:w="0" w:type="dxa"/>
          <w:tblCellMar>
            <w:left w:w="70" w:type="dxa"/>
            <w:right w:w="70" w:type="dxa"/>
          </w:tblCellMar>
        </w:tblPrEx>
        <w:trPr>
          <w:trHeight w:val="270"/>
          <w:jc w:val="center"/>
        </w:trPr>
        <w:tc>
          <w:tcPr>
            <w:tcW w:w="2880" w:type="dxa"/>
            <w:tcBorders>
              <w:top w:val="nil"/>
              <w:left w:val="nil"/>
              <w:bottom w:val="single" w:sz="4" w:space="0" w:color="auto"/>
              <w:right w:val="nil"/>
            </w:tcBorders>
            <w:textDirection w:val="lrTb"/>
            <w:vAlign w:val="center"/>
          </w:tcPr>
          <w:p w:rsidR="00DD172F" w:rsidRPr="002B3F91" w:rsidP="00B80F08">
            <w:pPr>
              <w:rPr>
                <w:rFonts w:ascii="Arial Narrow" w:hAnsi="Arial Narrow" w:cs="Arial Narrow"/>
                <w:sz w:val="18"/>
                <w:szCs w:val="24"/>
              </w:rPr>
            </w:pPr>
            <w:r w:rsidRPr="002B3F91">
              <w:rPr>
                <w:rFonts w:ascii="Arial Narrow" w:hAnsi="Arial Narrow" w:cs="Arial Narrow"/>
                <w:sz w:val="18"/>
                <w:szCs w:val="24"/>
              </w:rPr>
              <w:t xml:space="preserve"> - zvýšenie výdavkov v</w:t>
            </w:r>
            <w:r w:rsidR="008112A0">
              <w:rPr>
                <w:rFonts w:ascii="Arial Narrow" w:hAnsi="Arial Narrow" w:cs="Arial Narrow"/>
                <w:sz w:val="18"/>
                <w:szCs w:val="24"/>
              </w:rPr>
              <w:t> </w:t>
            </w:r>
            <w:r w:rsidRPr="002B3F91">
              <w:rPr>
                <w:rFonts w:ascii="Arial Narrow" w:hAnsi="Arial Narrow" w:cs="Arial Narrow"/>
                <w:sz w:val="18"/>
                <w:szCs w:val="24"/>
              </w:rPr>
              <w:t>ESA</w:t>
            </w:r>
            <w:r w:rsidR="008112A0">
              <w:rPr>
                <w:rFonts w:ascii="Arial Narrow" w:hAnsi="Arial Narrow" w:cs="Arial Narrow"/>
                <w:sz w:val="18"/>
                <w:szCs w:val="24"/>
              </w:rPr>
              <w:t xml:space="preserve"> </w:t>
            </w:r>
            <w:r w:rsidRPr="002B3F91">
              <w:rPr>
                <w:rFonts w:ascii="Arial Narrow" w:hAnsi="Arial Narrow" w:cs="Arial Narrow"/>
                <w:sz w:val="18"/>
                <w:szCs w:val="24"/>
              </w:rPr>
              <w:t>95</w:t>
            </w: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900"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c>
          <w:tcPr>
            <w:tcW w:w="792" w:type="dxa"/>
            <w:vMerge/>
            <w:tcBorders>
              <w:top w:val="single" w:sz="4" w:space="0" w:color="auto"/>
              <w:left w:val="nil"/>
              <w:bottom w:val="single" w:sz="4" w:space="0" w:color="auto"/>
              <w:right w:val="nil"/>
            </w:tcBorders>
            <w:textDirection w:val="lrTb"/>
            <w:vAlign w:val="center"/>
          </w:tcPr>
          <w:p w:rsidR="00DD172F" w:rsidRPr="002B3F91" w:rsidP="00B80F08">
            <w:pPr>
              <w:jc w:val="center"/>
              <w:rPr>
                <w:rFonts w:ascii="Arial Narrow" w:hAnsi="Arial Narrow" w:cs="Arial Narrow"/>
                <w:b/>
                <w:sz w:val="18"/>
                <w:szCs w:val="24"/>
              </w:rPr>
            </w:pPr>
          </w:p>
        </w:tc>
      </w:tr>
      <w:tr>
        <w:tblPrEx>
          <w:tblW w:w="9072" w:type="dxa"/>
          <w:jc w:val="center"/>
          <w:tblInd w:w="0" w:type="dxa"/>
          <w:tblCellMar>
            <w:left w:w="70" w:type="dxa"/>
            <w:right w:w="70" w:type="dxa"/>
          </w:tblCellMar>
        </w:tblPrEx>
        <w:trPr>
          <w:trHeight w:val="270"/>
          <w:jc w:val="center"/>
        </w:trPr>
        <w:tc>
          <w:tcPr>
            <w:tcW w:w="2880" w:type="dxa"/>
            <w:tcBorders>
              <w:top w:val="single" w:sz="4" w:space="0" w:color="auto"/>
              <w:left w:val="nil"/>
              <w:bottom w:val="nil"/>
              <w:right w:val="nil"/>
            </w:tcBorders>
            <w:textDirection w:val="lrTb"/>
            <w:vAlign w:val="center"/>
          </w:tcPr>
          <w:p w:rsidR="00DD172F" w:rsidRPr="002B3F91" w:rsidP="00B80F08">
            <w:pPr>
              <w:rPr>
                <w:rFonts w:ascii="Arial Narrow" w:hAnsi="Arial Narrow" w:cs="Arial Narrow"/>
                <w:sz w:val="18"/>
                <w:szCs w:val="24"/>
              </w:rPr>
            </w:pPr>
            <w:r w:rsidRPr="002B3F91">
              <w:rPr>
                <w:rFonts w:ascii="Arial Narrow" w:hAnsi="Arial Narrow" w:cs="Arial Narrow"/>
                <w:sz w:val="18"/>
                <w:szCs w:val="24"/>
              </w:rPr>
              <w:t>Prevod na VPÚ z DPFO</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sidRPr="002B3F91">
              <w:rPr>
                <w:rFonts w:ascii="Arial Narrow" w:hAnsi="Arial Narrow" w:cs="Arial Narrow"/>
                <w:sz w:val="18"/>
                <w:szCs w:val="24"/>
              </w:rPr>
              <w:t>11 717</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sidRPr="002B3F91">
              <w:rPr>
                <w:rFonts w:ascii="Arial Narrow" w:hAnsi="Arial Narrow" w:cs="Arial Narrow"/>
                <w:sz w:val="18"/>
                <w:szCs w:val="24"/>
              </w:rPr>
              <w:t>12 819</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15 036</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17 759</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16 066</w:t>
            </w:r>
          </w:p>
        </w:tc>
        <w:tc>
          <w:tcPr>
            <w:tcW w:w="900"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15 734</w:t>
            </w:r>
          </w:p>
        </w:tc>
        <w:tc>
          <w:tcPr>
            <w:tcW w:w="792" w:type="dxa"/>
            <w:tcBorders>
              <w:top w:val="single" w:sz="4" w:space="0" w:color="auto"/>
              <w:left w:val="nil"/>
              <w:bottom w:val="nil"/>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18 821</w:t>
            </w:r>
          </w:p>
        </w:tc>
      </w:tr>
      <w:tr>
        <w:tblPrEx>
          <w:tblW w:w="9072" w:type="dxa"/>
          <w:jc w:val="center"/>
          <w:tblInd w:w="0" w:type="dxa"/>
          <w:tblCellMar>
            <w:left w:w="70" w:type="dxa"/>
            <w:right w:w="70" w:type="dxa"/>
          </w:tblCellMar>
        </w:tblPrEx>
        <w:trPr>
          <w:trHeight w:val="270"/>
          <w:jc w:val="center"/>
        </w:trPr>
        <w:tc>
          <w:tcPr>
            <w:tcW w:w="2880" w:type="dxa"/>
            <w:tcBorders>
              <w:top w:val="nil"/>
              <w:left w:val="nil"/>
              <w:bottom w:val="single" w:sz="4" w:space="0" w:color="auto"/>
              <w:right w:val="nil"/>
            </w:tcBorders>
            <w:textDirection w:val="lrTb"/>
            <w:vAlign w:val="center"/>
          </w:tcPr>
          <w:p w:rsidR="00DD172F" w:rsidRPr="002B3F91" w:rsidP="00B80F08">
            <w:pPr>
              <w:rPr>
                <w:rFonts w:ascii="Arial Narrow" w:hAnsi="Arial Narrow" w:cs="Arial Narrow"/>
                <w:sz w:val="18"/>
                <w:szCs w:val="24"/>
              </w:rPr>
            </w:pPr>
            <w:r w:rsidRPr="002B3F91">
              <w:rPr>
                <w:rFonts w:ascii="Arial Narrow" w:hAnsi="Arial Narrow" w:cs="Arial Narrow"/>
                <w:sz w:val="18"/>
                <w:szCs w:val="24"/>
              </w:rPr>
              <w:t>Prevod na VPÚ z DPPO</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sidRPr="002B3F91">
              <w:rPr>
                <w:rFonts w:ascii="Arial Narrow" w:hAnsi="Arial Narrow" w:cs="Arial Narrow"/>
                <w:sz w:val="18"/>
                <w:szCs w:val="24"/>
              </w:rPr>
              <w:t>25 629</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sidRPr="002B3F91">
              <w:rPr>
                <w:rFonts w:ascii="Arial Narrow" w:hAnsi="Arial Narrow" w:cs="Arial Narrow"/>
                <w:sz w:val="18"/>
                <w:szCs w:val="24"/>
              </w:rPr>
              <w:t>29 306</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34 144</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35 484</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30 854</w:t>
            </w:r>
          </w:p>
        </w:tc>
        <w:tc>
          <w:tcPr>
            <w:tcW w:w="900"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22 914</w:t>
            </w:r>
          </w:p>
        </w:tc>
        <w:tc>
          <w:tcPr>
            <w:tcW w:w="792" w:type="dxa"/>
            <w:tcBorders>
              <w:top w:val="nil"/>
              <w:left w:val="nil"/>
              <w:bottom w:val="single" w:sz="4" w:space="0" w:color="auto"/>
              <w:right w:val="nil"/>
            </w:tcBorders>
            <w:textDirection w:val="lrTb"/>
            <w:vAlign w:val="center"/>
          </w:tcPr>
          <w:p w:rsidR="00DD172F" w:rsidRPr="002B3F91" w:rsidP="00B80F08">
            <w:pPr>
              <w:jc w:val="center"/>
              <w:rPr>
                <w:rFonts w:ascii="Arial Narrow" w:hAnsi="Arial Narrow" w:cs="Arial Narrow"/>
                <w:sz w:val="18"/>
                <w:szCs w:val="24"/>
              </w:rPr>
            </w:pPr>
            <w:r>
              <w:rPr>
                <w:rFonts w:ascii="Arial Narrow" w:hAnsi="Arial Narrow" w:cs="Arial Narrow"/>
                <w:sz w:val="18"/>
                <w:szCs w:val="24"/>
              </w:rPr>
              <w:t>25 219</w:t>
            </w:r>
          </w:p>
        </w:tc>
      </w:tr>
    </w:tbl>
    <w:p w:rsidR="00DD172F" w:rsidRPr="00F31A90" w:rsidP="00DD172F">
      <w:pPr>
        <w:rPr>
          <w:rFonts w:ascii="Arial Narrow" w:hAnsi="Arial Narrow" w:cs="Arial Narrow"/>
          <w:sz w:val="22"/>
          <w:szCs w:val="24"/>
          <w:highlight w:val="yellow"/>
        </w:rPr>
      </w:pPr>
    </w:p>
    <w:p w:rsidR="00DD172F" w:rsidP="00DD172F">
      <w:pPr>
        <w:jc w:val="both"/>
        <w:rPr>
          <w:rFonts w:ascii="Arial Narrow" w:hAnsi="Arial Narrow" w:cs="Arial Narrow"/>
          <w:sz w:val="22"/>
          <w:szCs w:val="24"/>
        </w:rPr>
      </w:pPr>
      <w:r w:rsidRPr="00DF45EC">
        <w:rPr>
          <w:rFonts w:ascii="Arial Narrow" w:hAnsi="Arial Narrow" w:cs="Arial Narrow"/>
          <w:b/>
          <w:sz w:val="22"/>
          <w:szCs w:val="24"/>
        </w:rPr>
        <w:t>Daňové príjmy na akruálnej báze</w:t>
      </w:r>
      <w:r w:rsidRPr="00DF45EC">
        <w:rPr>
          <w:rFonts w:ascii="Arial Narrow" w:hAnsi="Arial Narrow" w:cs="Arial Narrow"/>
          <w:sz w:val="22"/>
          <w:szCs w:val="24"/>
        </w:rPr>
        <w:t xml:space="preserve"> (metodika ESA</w:t>
      </w:r>
      <w:r w:rsidR="008112A0">
        <w:rPr>
          <w:rFonts w:ascii="Arial Narrow" w:hAnsi="Arial Narrow" w:cs="Arial Narrow"/>
          <w:sz w:val="22"/>
          <w:szCs w:val="24"/>
        </w:rPr>
        <w:t xml:space="preserve"> </w:t>
      </w:r>
      <w:r w:rsidRPr="00DF45EC">
        <w:rPr>
          <w:rFonts w:ascii="Arial Narrow" w:hAnsi="Arial Narrow" w:cs="Arial Narrow"/>
          <w:sz w:val="22"/>
          <w:szCs w:val="24"/>
        </w:rPr>
        <w:t xml:space="preserve">95) </w:t>
      </w:r>
      <w:r w:rsidRPr="00156985">
        <w:rPr>
          <w:rFonts w:ascii="Arial Narrow" w:hAnsi="Arial Narrow" w:cs="Arial Narrow"/>
          <w:b/>
          <w:sz w:val="22"/>
          <w:szCs w:val="24"/>
        </w:rPr>
        <w:t>bez sankcií</w:t>
      </w:r>
      <w:r w:rsidRPr="00DF45EC">
        <w:rPr>
          <w:rFonts w:ascii="Arial Narrow" w:hAnsi="Arial Narrow" w:cs="Arial Narrow"/>
          <w:sz w:val="22"/>
          <w:szCs w:val="24"/>
        </w:rPr>
        <w:t xml:space="preserve"> sú prezentované v nasledovnej tabuľke.</w:t>
      </w: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ED680D"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A847B3" w:rsidP="00DD172F">
      <w:pPr>
        <w:jc w:val="both"/>
        <w:rPr>
          <w:rFonts w:ascii="Arial Narrow" w:hAnsi="Arial Narrow" w:cs="Arial Narrow"/>
          <w:sz w:val="22"/>
          <w:szCs w:val="24"/>
        </w:rPr>
      </w:pPr>
    </w:p>
    <w:p w:rsidR="00DD172F" w:rsidP="00DD172F">
      <w:pPr>
        <w:jc w:val="both"/>
        <w:rPr>
          <w:rFonts w:ascii="Arial Narrow" w:hAnsi="Arial Narrow" w:cs="Arial Narrow"/>
          <w:sz w:val="22"/>
          <w:szCs w:val="24"/>
          <w:highlight w:val="yellow"/>
        </w:rPr>
      </w:pPr>
    </w:p>
    <w:tbl>
      <w:tblPr>
        <w:tblStyle w:val="TableNormal"/>
        <w:tblW w:w="9072" w:type="dxa"/>
        <w:jc w:val="center"/>
        <w:tblInd w:w="0" w:type="dxa"/>
        <w:tblCellMar>
          <w:left w:w="70" w:type="dxa"/>
          <w:right w:w="70" w:type="dxa"/>
        </w:tblCellMar>
      </w:tblPr>
      <w:tblGrid>
        <w:gridCol w:w="4159"/>
        <w:gridCol w:w="1011"/>
        <w:gridCol w:w="976"/>
        <w:gridCol w:w="976"/>
        <w:gridCol w:w="976"/>
        <w:gridCol w:w="974"/>
      </w:tblGrid>
      <w:tr>
        <w:tblPrEx>
          <w:tblW w:w="9072" w:type="dxa"/>
          <w:jc w:val="center"/>
          <w:tblInd w:w="0" w:type="dxa"/>
          <w:tblCellMar>
            <w:left w:w="70" w:type="dxa"/>
            <w:right w:w="70" w:type="dxa"/>
          </w:tblCellMar>
        </w:tblPrEx>
        <w:trPr>
          <w:trHeight w:val="282"/>
          <w:jc w:val="center"/>
        </w:trPr>
        <w:tc>
          <w:tcPr>
            <w:tcW w:w="2292" w:type="pct"/>
            <w:vMerge w:val="restart"/>
            <w:tcBorders>
              <w:top w:val="single" w:sz="12" w:space="0" w:color="auto"/>
              <w:left w:val="single" w:sz="12" w:space="0" w:color="auto"/>
              <w:bottom w:val="single" w:sz="8" w:space="0" w:color="000000"/>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v tis. eur</w:t>
            </w:r>
          </w:p>
        </w:tc>
        <w:tc>
          <w:tcPr>
            <w:tcW w:w="557" w:type="pct"/>
            <w:tcBorders>
              <w:top w:val="single" w:sz="12" w:space="0" w:color="auto"/>
              <w:left w:val="single" w:sz="12" w:space="0" w:color="auto"/>
              <w:bottom w:val="nil"/>
              <w:right w:val="single" w:sz="8"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Skutočnosť</w:t>
            </w:r>
          </w:p>
        </w:tc>
        <w:tc>
          <w:tcPr>
            <w:tcW w:w="2151" w:type="pct"/>
            <w:gridSpan w:val="4"/>
            <w:tcBorders>
              <w:top w:val="single" w:sz="12" w:space="0" w:color="auto"/>
              <w:left w:val="nil"/>
              <w:bottom w:val="single" w:sz="8" w:space="0" w:color="auto"/>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Prognóza</w:t>
            </w:r>
          </w:p>
        </w:tc>
      </w:tr>
      <w:tr>
        <w:tblPrEx>
          <w:tblW w:w="9072" w:type="dxa"/>
          <w:jc w:val="center"/>
          <w:tblInd w:w="0" w:type="dxa"/>
          <w:tblCellMar>
            <w:left w:w="70" w:type="dxa"/>
            <w:right w:w="70" w:type="dxa"/>
          </w:tblCellMar>
        </w:tblPrEx>
        <w:trPr>
          <w:trHeight w:val="282"/>
          <w:jc w:val="center"/>
        </w:trPr>
        <w:tc>
          <w:tcPr>
            <w:tcW w:w="2292" w:type="pct"/>
            <w:vMerge/>
            <w:tcBorders>
              <w:top w:val="single" w:sz="8" w:space="0" w:color="auto"/>
              <w:left w:val="single" w:sz="12" w:space="0" w:color="auto"/>
              <w:bottom w:val="single" w:sz="8" w:space="0" w:color="000000"/>
              <w:right w:val="single" w:sz="12" w:space="0" w:color="auto"/>
            </w:tcBorders>
            <w:textDirection w:val="lrTb"/>
            <w:vAlign w:val="center"/>
          </w:tcPr>
          <w:p w:rsidR="00DD172F" w:rsidRPr="00274F1D" w:rsidP="00B80F08">
            <w:pPr>
              <w:rPr>
                <w:rFonts w:ascii="Arial Narrow" w:hAnsi="Arial Narrow" w:cs="Arial Narrow"/>
                <w:b/>
                <w:color w:val="FFFFFF"/>
                <w:sz w:val="18"/>
                <w:szCs w:val="24"/>
              </w:rPr>
            </w:pPr>
          </w:p>
        </w:tc>
        <w:tc>
          <w:tcPr>
            <w:tcW w:w="557" w:type="pct"/>
            <w:tcBorders>
              <w:top w:val="nil"/>
              <w:left w:val="single" w:sz="12" w:space="0" w:color="auto"/>
              <w:bottom w:val="single" w:sz="8" w:space="0" w:color="auto"/>
              <w:right w:val="single" w:sz="8" w:space="0" w:color="auto"/>
            </w:tcBorders>
            <w:shd w:val="clear" w:color="auto" w:fill="000000"/>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2008</w:t>
            </w:r>
          </w:p>
        </w:tc>
        <w:tc>
          <w:tcPr>
            <w:tcW w:w="538" w:type="pct"/>
            <w:tcBorders>
              <w:top w:val="single" w:sz="8" w:space="0" w:color="auto"/>
              <w:left w:val="nil"/>
              <w:bottom w:val="single" w:sz="8" w:space="0" w:color="auto"/>
              <w:right w:val="single" w:sz="4"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2009</w:t>
            </w:r>
          </w:p>
        </w:tc>
        <w:tc>
          <w:tcPr>
            <w:tcW w:w="538" w:type="pct"/>
            <w:tcBorders>
              <w:top w:val="single" w:sz="8" w:space="0" w:color="auto"/>
              <w:left w:val="nil"/>
              <w:bottom w:val="single" w:sz="8" w:space="0" w:color="auto"/>
              <w:right w:val="single" w:sz="4"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2010</w:t>
            </w:r>
          </w:p>
        </w:tc>
        <w:tc>
          <w:tcPr>
            <w:tcW w:w="538" w:type="pct"/>
            <w:tcBorders>
              <w:top w:val="single" w:sz="8" w:space="0" w:color="auto"/>
              <w:left w:val="nil"/>
              <w:bottom w:val="single" w:sz="8" w:space="0" w:color="auto"/>
              <w:right w:val="nil"/>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2011</w:t>
            </w:r>
          </w:p>
        </w:tc>
        <w:tc>
          <w:tcPr>
            <w:tcW w:w="537" w:type="pct"/>
            <w:tcBorders>
              <w:top w:val="single" w:sz="8" w:space="0" w:color="auto"/>
              <w:left w:val="single" w:sz="4" w:space="0" w:color="auto"/>
              <w:bottom w:val="single" w:sz="8" w:space="0" w:color="auto"/>
              <w:right w:val="single" w:sz="12" w:space="0" w:color="auto"/>
            </w:tcBorders>
            <w:shd w:val="clear" w:color="auto" w:fill="000000"/>
            <w:noWrap/>
            <w:textDirection w:val="lrTb"/>
            <w:vAlign w:val="center"/>
          </w:tcPr>
          <w:p w:rsidR="00DD172F" w:rsidRPr="00274F1D" w:rsidP="00B80F08">
            <w:pPr>
              <w:jc w:val="center"/>
              <w:rPr>
                <w:rFonts w:ascii="Arial Narrow" w:hAnsi="Arial Narrow" w:cs="Arial Narrow"/>
                <w:b/>
                <w:color w:val="FFFFFF"/>
                <w:sz w:val="18"/>
                <w:szCs w:val="24"/>
              </w:rPr>
            </w:pPr>
            <w:r w:rsidRPr="00274F1D">
              <w:rPr>
                <w:rFonts w:ascii="Arial Narrow" w:hAnsi="Arial Narrow" w:cs="Arial Narrow"/>
                <w:b/>
                <w:color w:val="FFFFFF"/>
                <w:sz w:val="18"/>
                <w:szCs w:val="24"/>
              </w:rPr>
              <w:t>2012</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z príjmov, ziskov a kapitálového majetku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4 133 806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3 608 240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3 521 218</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4 038 371</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4 516 324</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príjmov fyzických osôb</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1 819 884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1 651 239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 xml:space="preserve">1 640 318 </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1 979 507</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2 205 255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DPFO zo závislej činnosti</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1 627 755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1 480 655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1 465 290</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1 775 335</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1 982 938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Pr>
                <w:rFonts w:ascii="Arial Narrow" w:hAnsi="Arial Narrow" w:cs="Arial Narrow"/>
                <w:sz w:val="18"/>
                <w:szCs w:val="24"/>
              </w:rPr>
              <w:t>DPFO z podnikania (2008 je odhad)</w:t>
            </w:r>
          </w:p>
        </w:tc>
        <w:tc>
          <w:tcPr>
            <w:tcW w:w="557" w:type="pct"/>
            <w:tcBorders>
              <w:top w:val="single" w:sz="4"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192 129</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170 584</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175 028</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204 172</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222 317</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štátneho rozpočtu </w:t>
            </w:r>
          </w:p>
        </w:tc>
        <w:tc>
          <w:tcPr>
            <w:tcW w:w="557" w:type="pct"/>
            <w:tcBorders>
              <w:top w:val="single" w:sz="4"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112 833</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44 865</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168 001</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204 400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181 460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1 279 379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1 203 924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1 103 453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1 330 384</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1 516 767</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VÚC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427 673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402 450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368 864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444 723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507 028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w:t>
            </w:r>
            <w:r>
              <w:rPr>
                <w:rFonts w:ascii="Arial Narrow" w:hAnsi="Arial Narrow" w:cs="Arial Narrow"/>
                <w:sz w:val="18"/>
                <w:szCs w:val="24"/>
              </w:rPr>
              <w:t>ov právnických osôb (2008 je odhad)</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2 107 948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1 804 352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1 734 060</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1 896 433</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2 115 738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príjmov vyberaná zrážkou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205 973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152 649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146 840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162 431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195 331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na tovary a služby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6 430 661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6 174 467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6 580 538</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6 921 954</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7 392 116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pridanej hodnoty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4 621 418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4 429 160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4 584 983</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4 864 658</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5 252 222</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Spotrebné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1 809 243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1 745 307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1 995 555</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2 057 296</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2 139 894</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minerálnych olejov</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1 185 458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1 051 501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1 067 274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1 109 965</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1 172 123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liehu</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219 791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197 577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213 719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227 408</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238 233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piva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63 886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59 085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59 735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61 169</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63 248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vína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3 931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3 718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tabaku a tabakových výrobkov</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324 636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412 226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609 165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612 211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618 333</w:t>
            </w:r>
          </w:p>
        </w:tc>
      </w:tr>
      <w:tr>
        <w:tblPrEx>
          <w:tblW w:w="9072" w:type="dxa"/>
          <w:jc w:val="center"/>
          <w:tblInd w:w="0" w:type="dxa"/>
          <w:tblCellMar>
            <w:left w:w="70" w:type="dxa"/>
            <w:right w:w="70" w:type="dxa"/>
          </w:tblCellMar>
        </w:tblPrEx>
        <w:trPr>
          <w:trHeight w:val="282"/>
          <w:jc w:val="center"/>
        </w:trPr>
        <w:tc>
          <w:tcPr>
            <w:tcW w:w="2292" w:type="pct"/>
            <w:tcBorders>
              <w:top w:val="single" w:sz="4" w:space="0" w:color="auto"/>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elektrickej energie</w:t>
            </w:r>
          </w:p>
        </w:tc>
        <w:tc>
          <w:tcPr>
            <w:tcW w:w="557" w:type="pct"/>
            <w:tcBorders>
              <w:top w:val="single" w:sz="4" w:space="0" w:color="auto"/>
              <w:left w:val="single" w:sz="12" w:space="0" w:color="auto"/>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4 661</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8 334</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16 818</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17 171</w:t>
            </w:r>
          </w:p>
        </w:tc>
        <w:tc>
          <w:tcPr>
            <w:tcW w:w="537" w:type="pct"/>
            <w:tcBorders>
              <w:top w:val="single" w:sz="4" w:space="0" w:color="auto"/>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17 738</w:t>
            </w:r>
          </w:p>
        </w:tc>
      </w:tr>
      <w:tr>
        <w:tblPrEx>
          <w:tblW w:w="9072" w:type="dxa"/>
          <w:jc w:val="center"/>
          <w:tblInd w:w="0" w:type="dxa"/>
          <w:tblCellMar>
            <w:left w:w="70" w:type="dxa"/>
            <w:right w:w="70" w:type="dxa"/>
          </w:tblCellMar>
        </w:tblPrEx>
        <w:trPr>
          <w:trHeight w:val="282"/>
          <w:jc w:val="center"/>
        </w:trPr>
        <w:tc>
          <w:tcPr>
            <w:tcW w:w="2292" w:type="pct"/>
            <w:tcBorders>
              <w:top w:val="single" w:sz="4" w:space="0" w:color="auto"/>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Zo zemného plynu</w:t>
            </w:r>
          </w:p>
        </w:tc>
        <w:tc>
          <w:tcPr>
            <w:tcW w:w="557" w:type="pct"/>
            <w:tcBorders>
              <w:top w:val="single" w:sz="4"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6 410</w:t>
            </w:r>
          </w:p>
        </w:tc>
        <w:tc>
          <w:tcPr>
            <w:tcW w:w="538" w:type="pct"/>
            <w:tcBorders>
              <w:top w:val="single" w:sz="4" w:space="0" w:color="auto"/>
              <w:left w:val="nil"/>
              <w:bottom w:val="nil"/>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12 036</w:t>
            </w:r>
          </w:p>
        </w:tc>
        <w:tc>
          <w:tcPr>
            <w:tcW w:w="538" w:type="pct"/>
            <w:tcBorders>
              <w:top w:val="single" w:sz="4" w:space="0" w:color="auto"/>
              <w:left w:val="nil"/>
              <w:bottom w:val="nil"/>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24 289</w:t>
            </w:r>
          </w:p>
        </w:tc>
        <w:tc>
          <w:tcPr>
            <w:tcW w:w="538" w:type="pct"/>
            <w:tcBorders>
              <w:top w:val="single" w:sz="4" w:space="0" w:color="auto"/>
              <w:left w:val="nil"/>
              <w:bottom w:val="nil"/>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24 799</w:t>
            </w:r>
          </w:p>
        </w:tc>
        <w:tc>
          <w:tcPr>
            <w:tcW w:w="537" w:type="pct"/>
            <w:tcBorders>
              <w:top w:val="single" w:sz="4" w:space="0" w:color="auto"/>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25 618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720" w:firstLineChars="400"/>
              <w:rPr>
                <w:rFonts w:ascii="Arial Narrow" w:hAnsi="Arial Narrow" w:cs="Arial Narrow"/>
                <w:sz w:val="18"/>
                <w:szCs w:val="24"/>
              </w:rPr>
            </w:pPr>
            <w:r w:rsidRPr="00DF45EC">
              <w:rPr>
                <w:rFonts w:ascii="Arial Narrow" w:hAnsi="Arial Narrow" w:cs="Arial Narrow"/>
                <w:sz w:val="18"/>
                <w:szCs w:val="24"/>
              </w:rPr>
              <w:t>Z uhlia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471</w:t>
            </w:r>
          </w:p>
        </w:tc>
        <w:tc>
          <w:tcPr>
            <w:tcW w:w="538" w:type="pct"/>
            <w:tcBorders>
              <w:top w:val="single" w:sz="4" w:space="0" w:color="auto"/>
              <w:left w:val="nil"/>
              <w:bottom w:val="nil"/>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830</w:t>
            </w:r>
          </w:p>
        </w:tc>
        <w:tc>
          <w:tcPr>
            <w:tcW w:w="538" w:type="pct"/>
            <w:tcBorders>
              <w:top w:val="single" w:sz="4" w:space="0" w:color="auto"/>
              <w:left w:val="nil"/>
              <w:bottom w:val="nil"/>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837</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855</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883</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Dane z medzinárodného obchodu a transakcií</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36 807</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28 117</w:t>
            </w:r>
          </w:p>
        </w:tc>
        <w:tc>
          <w:tcPr>
            <w:tcW w:w="538" w:type="pct"/>
            <w:tcBorders>
              <w:top w:val="single" w:sz="4"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28 918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29 503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30 099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Dovozné clo</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Dovozná prirážka</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Podiel na vybratých finančných prostriedkoch</w:t>
            </w:r>
            <w:r>
              <w:rPr>
                <w:rFonts w:ascii="Arial Narrow" w:hAnsi="Arial Narrow" w:cs="Arial Narrow"/>
                <w:sz w:val="18"/>
                <w:szCs w:val="24"/>
              </w:rPr>
              <w:t xml:space="preserve"> EÚ</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36 784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28 117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28 918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29 503</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30 099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Ostatné colné príjmy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Miestne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512 874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551 497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578 271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606 031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635 131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nehnuteľností</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237 421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254 113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266 819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280 160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294 168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Dane za špecifické služby</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155 114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160 807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169 139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177 581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186 445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motorových vozidiel</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120 339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136 577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142 313</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148 290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154 518</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Ostatné dane</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77 740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81 028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79 139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79 914</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80 696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Úhrada za služby verejnosti poskytované STV a SRo</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74 774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79 181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77 452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78 227</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79 009</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úhrad za dobývací priestor</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531</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štátneho rozpočtu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1080" w:firstLineChars="600"/>
              <w:rPr>
                <w:rFonts w:ascii="Arial Narrow" w:hAnsi="Arial Narrow" w:cs="Arial Narrow"/>
                <w:sz w:val="18"/>
                <w:szCs w:val="24"/>
              </w:rPr>
            </w:pPr>
            <w:r w:rsidRPr="00DF45EC">
              <w:rPr>
                <w:rFonts w:ascii="Arial Narrow" w:hAnsi="Arial Narrow" w:cs="Arial Narrow"/>
                <w:sz w:val="18"/>
                <w:szCs w:val="24"/>
              </w:rPr>
              <w:t xml:space="preserve">do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440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425</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 z úhrad za uskladňovanie plynov alebo kvapalín</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1 188</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896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Majetkové dane (do ŠR)</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934</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522</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82"/>
          <w:jc w:val="center"/>
        </w:trPr>
        <w:tc>
          <w:tcPr>
            <w:tcW w:w="2292" w:type="pct"/>
            <w:tcBorders>
              <w:top w:val="nil"/>
              <w:left w:val="single" w:sz="12" w:space="0" w:color="auto"/>
              <w:bottom w:val="single" w:sz="12"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Iné dane</w:t>
            </w:r>
          </w:p>
        </w:tc>
        <w:tc>
          <w:tcPr>
            <w:tcW w:w="557" w:type="pct"/>
            <w:tcBorders>
              <w:top w:val="nil"/>
              <w:left w:val="single" w:sz="12" w:space="0" w:color="auto"/>
              <w:bottom w:val="single" w:sz="12"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293</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-102</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c>
          <w:tcPr>
            <w:tcW w:w="537" w:type="pct"/>
            <w:tcBorders>
              <w:top w:val="nil"/>
              <w:left w:val="nil"/>
              <w:bottom w:val="single" w:sz="12"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0</w:t>
            </w:r>
          </w:p>
        </w:tc>
      </w:tr>
      <w:tr>
        <w:tblPrEx>
          <w:tblW w:w="9072" w:type="dxa"/>
          <w:jc w:val="center"/>
          <w:tblInd w:w="0" w:type="dxa"/>
          <w:tblCellMar>
            <w:left w:w="70" w:type="dxa"/>
            <w:right w:w="70" w:type="dxa"/>
          </w:tblCellMar>
        </w:tblPrEx>
        <w:trPr>
          <w:trHeight w:val="227"/>
          <w:jc w:val="center"/>
        </w:trPr>
        <w:tc>
          <w:tcPr>
            <w:tcW w:w="2292" w:type="pct"/>
            <w:tcBorders>
              <w:top w:val="single" w:sz="12" w:space="0" w:color="auto"/>
              <w:left w:val="single" w:sz="12" w:space="0" w:color="auto"/>
              <w:bottom w:val="single" w:sz="12" w:space="0" w:color="auto"/>
              <w:right w:val="single" w:sz="12" w:space="0" w:color="auto"/>
            </w:tcBorders>
            <w:shd w:val="clear" w:color="auto" w:fill="C0C0C0"/>
            <w:noWrap/>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Daňové príjmy VS spolu</w:t>
            </w:r>
          </w:p>
        </w:tc>
        <w:tc>
          <w:tcPr>
            <w:tcW w:w="557" w:type="pct"/>
            <w:tcBorders>
              <w:top w:val="single" w:sz="12" w:space="0" w:color="auto"/>
              <w:left w:val="single" w:sz="12" w:space="0" w:color="auto"/>
              <w:bottom w:val="single" w:sz="12" w:space="0" w:color="auto"/>
              <w:right w:val="single" w:sz="8"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11 191 887</w:t>
            </w:r>
          </w:p>
        </w:tc>
        <w:tc>
          <w:tcPr>
            <w:tcW w:w="538" w:type="pct"/>
            <w:tcBorders>
              <w:top w:val="single" w:sz="12" w:space="0" w:color="auto"/>
              <w:left w:val="nil"/>
              <w:bottom w:val="single" w:sz="12" w:space="0" w:color="auto"/>
              <w:right w:val="single" w:sz="4"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10 443 349</w:t>
            </w:r>
          </w:p>
        </w:tc>
        <w:tc>
          <w:tcPr>
            <w:tcW w:w="538" w:type="pct"/>
            <w:tcBorders>
              <w:top w:val="single" w:sz="12" w:space="0" w:color="auto"/>
              <w:left w:val="nil"/>
              <w:bottom w:val="single" w:sz="12" w:space="0" w:color="auto"/>
              <w:right w:val="single" w:sz="4"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10 788 084</w:t>
            </w:r>
          </w:p>
        </w:tc>
        <w:tc>
          <w:tcPr>
            <w:tcW w:w="538" w:type="pct"/>
            <w:tcBorders>
              <w:top w:val="single" w:sz="12" w:space="0" w:color="auto"/>
              <w:left w:val="nil"/>
              <w:bottom w:val="single" w:sz="12" w:space="0" w:color="auto"/>
              <w:right w:val="nil"/>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11 675 773</w:t>
            </w:r>
          </w:p>
        </w:tc>
        <w:tc>
          <w:tcPr>
            <w:tcW w:w="537" w:type="pct"/>
            <w:tcBorders>
              <w:top w:val="single" w:sz="12" w:space="0" w:color="auto"/>
              <w:left w:val="single" w:sz="4" w:space="0" w:color="auto"/>
              <w:bottom w:val="single" w:sz="12" w:space="0" w:color="auto"/>
              <w:right w:val="single" w:sz="12" w:space="0" w:color="auto"/>
            </w:tcBorders>
            <w:shd w:val="clear" w:color="auto" w:fill="C0C0C0"/>
            <w:noWrap/>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12 654 366</w:t>
            </w:r>
          </w:p>
        </w:tc>
      </w:tr>
      <w:tr>
        <w:tblPrEx>
          <w:tblW w:w="9072" w:type="dxa"/>
          <w:jc w:val="center"/>
          <w:tblInd w:w="0" w:type="dxa"/>
          <w:tblCellMar>
            <w:left w:w="70" w:type="dxa"/>
            <w:right w:w="70" w:type="dxa"/>
          </w:tblCellMar>
        </w:tblPrEx>
        <w:trPr>
          <w:trHeight w:val="227"/>
          <w:jc w:val="center"/>
        </w:trPr>
        <w:tc>
          <w:tcPr>
            <w:tcW w:w="2292" w:type="pct"/>
            <w:tcBorders>
              <w:top w:val="single" w:sz="12" w:space="0" w:color="auto"/>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Daňové príjmy ŠR</w:t>
            </w:r>
          </w:p>
        </w:tc>
        <w:tc>
          <w:tcPr>
            <w:tcW w:w="557" w:type="pct"/>
            <w:tcBorders>
              <w:top w:val="single" w:sz="12"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8 895 266</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8 204 976</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8 658 463</w:t>
            </w:r>
          </w:p>
        </w:tc>
        <w:tc>
          <w:tcPr>
            <w:tcW w:w="538" w:type="pct"/>
            <w:tcBorders>
              <w:top w:val="single" w:sz="12" w:space="0" w:color="auto"/>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9 214 827</w:t>
            </w:r>
          </w:p>
        </w:tc>
        <w:tc>
          <w:tcPr>
            <w:tcW w:w="537" w:type="pct"/>
            <w:tcBorders>
              <w:top w:val="single" w:sz="12" w:space="0" w:color="auto"/>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9 914 850</w:t>
            </w:r>
          </w:p>
        </w:tc>
      </w:tr>
      <w:tr>
        <w:tblPrEx>
          <w:tblW w:w="9072" w:type="dxa"/>
          <w:jc w:val="center"/>
          <w:tblInd w:w="0" w:type="dxa"/>
          <w:tblCellMar>
            <w:left w:w="70" w:type="dxa"/>
            <w:right w:w="70" w:type="dxa"/>
          </w:tblCellMar>
        </w:tblPrEx>
        <w:trPr>
          <w:trHeight w:val="227"/>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 xml:space="preserve">Daňové príjmy obcí </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1 672 647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1 619 269</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1 539 836</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1 788 550</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1 997 805</w:t>
            </w:r>
          </w:p>
        </w:tc>
      </w:tr>
      <w:tr>
        <w:tblPrEx>
          <w:tblW w:w="9072" w:type="dxa"/>
          <w:jc w:val="center"/>
          <w:tblInd w:w="0" w:type="dxa"/>
          <w:tblCellMar>
            <w:left w:w="70" w:type="dxa"/>
            <w:right w:w="70" w:type="dxa"/>
          </w:tblCellMar>
        </w:tblPrEx>
        <w:trPr>
          <w:trHeight w:val="227"/>
          <w:jc w:val="center"/>
        </w:trPr>
        <w:tc>
          <w:tcPr>
            <w:tcW w:w="2292" w:type="pct"/>
            <w:tcBorders>
              <w:top w:val="nil"/>
              <w:left w:val="single" w:sz="12" w:space="0" w:color="auto"/>
              <w:bottom w:val="single" w:sz="4"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Daňové príjmy VÚC</w:t>
            </w:r>
          </w:p>
        </w:tc>
        <w:tc>
          <w:tcPr>
            <w:tcW w:w="557" w:type="pct"/>
            <w:tcBorders>
              <w:top w:val="nil"/>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548 011</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539 027</w:t>
            </w:r>
          </w:p>
        </w:tc>
        <w:tc>
          <w:tcPr>
            <w:tcW w:w="538" w:type="pct"/>
            <w:tcBorders>
              <w:top w:val="nil"/>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511 177</w:t>
            </w:r>
          </w:p>
        </w:tc>
        <w:tc>
          <w:tcPr>
            <w:tcW w:w="538" w:type="pct"/>
            <w:tcBorders>
              <w:top w:val="nil"/>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593 013</w:t>
            </w:r>
          </w:p>
        </w:tc>
        <w:tc>
          <w:tcPr>
            <w:tcW w:w="537" w:type="pct"/>
            <w:tcBorders>
              <w:top w:val="nil"/>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661 546</w:t>
            </w:r>
          </w:p>
        </w:tc>
      </w:tr>
      <w:tr>
        <w:tblPrEx>
          <w:tblW w:w="9072" w:type="dxa"/>
          <w:jc w:val="center"/>
          <w:tblInd w:w="0" w:type="dxa"/>
          <w:tblCellMar>
            <w:left w:w="70" w:type="dxa"/>
            <w:right w:w="70" w:type="dxa"/>
          </w:tblCellMar>
        </w:tblPrEx>
        <w:trPr>
          <w:trHeight w:val="227"/>
          <w:jc w:val="center"/>
        </w:trPr>
        <w:tc>
          <w:tcPr>
            <w:tcW w:w="2292" w:type="pct"/>
            <w:tcBorders>
              <w:top w:val="single" w:sz="4" w:space="0" w:color="auto"/>
              <w:left w:val="single" w:sz="12" w:space="0" w:color="auto"/>
              <w:bottom w:val="single" w:sz="8"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Daňové príjmy STV</w:t>
            </w:r>
          </w:p>
        </w:tc>
        <w:tc>
          <w:tcPr>
            <w:tcW w:w="557" w:type="pct"/>
            <w:tcBorders>
              <w:top w:val="single" w:sz="4" w:space="0" w:color="auto"/>
              <w:left w:val="single" w:sz="12" w:space="0" w:color="auto"/>
              <w:bottom w:val="single" w:sz="8"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52 276</w:t>
            </w:r>
          </w:p>
        </w:tc>
        <w:tc>
          <w:tcPr>
            <w:tcW w:w="538" w:type="pct"/>
            <w:tcBorders>
              <w:top w:val="single" w:sz="4" w:space="0" w:color="auto"/>
              <w:left w:val="nil"/>
              <w:bottom w:val="single" w:sz="8"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55 113</w:t>
            </w:r>
          </w:p>
        </w:tc>
        <w:tc>
          <w:tcPr>
            <w:tcW w:w="538" w:type="pct"/>
            <w:tcBorders>
              <w:top w:val="single" w:sz="4" w:space="0" w:color="auto"/>
              <w:left w:val="nil"/>
              <w:bottom w:val="single" w:sz="8"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54 217</w:t>
            </w:r>
          </w:p>
        </w:tc>
        <w:tc>
          <w:tcPr>
            <w:tcW w:w="538" w:type="pct"/>
            <w:tcBorders>
              <w:top w:val="single" w:sz="4" w:space="0" w:color="auto"/>
              <w:left w:val="nil"/>
              <w:bottom w:val="single" w:sz="8"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54 759</w:t>
            </w:r>
          </w:p>
        </w:tc>
        <w:tc>
          <w:tcPr>
            <w:tcW w:w="537" w:type="pct"/>
            <w:tcBorders>
              <w:top w:val="single" w:sz="4" w:space="0" w:color="auto"/>
              <w:left w:val="single" w:sz="4" w:space="0" w:color="auto"/>
              <w:bottom w:val="single" w:sz="8"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55 306</w:t>
            </w:r>
          </w:p>
        </w:tc>
      </w:tr>
      <w:tr>
        <w:tblPrEx>
          <w:tblW w:w="9072" w:type="dxa"/>
          <w:jc w:val="center"/>
          <w:tblInd w:w="0" w:type="dxa"/>
          <w:tblCellMar>
            <w:left w:w="70" w:type="dxa"/>
            <w:right w:w="70" w:type="dxa"/>
          </w:tblCellMar>
        </w:tblPrEx>
        <w:trPr>
          <w:trHeight w:val="227"/>
          <w:jc w:val="center"/>
        </w:trPr>
        <w:tc>
          <w:tcPr>
            <w:tcW w:w="2292" w:type="pct"/>
            <w:tcBorders>
              <w:top w:val="single" w:sz="8" w:space="0" w:color="auto"/>
              <w:left w:val="single" w:sz="12" w:space="0" w:color="auto"/>
              <w:bottom w:val="single" w:sz="8"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Pr>
                <w:rFonts w:ascii="Arial Narrow" w:hAnsi="Arial Narrow" w:cs="Arial Narrow"/>
                <w:sz w:val="18"/>
                <w:szCs w:val="24"/>
              </w:rPr>
              <w:t>Daňové príjmy SRo</w:t>
            </w:r>
          </w:p>
        </w:tc>
        <w:tc>
          <w:tcPr>
            <w:tcW w:w="557" w:type="pct"/>
            <w:tcBorders>
              <w:top w:val="single" w:sz="8" w:space="0" w:color="auto"/>
              <w:left w:val="single" w:sz="12" w:space="0" w:color="auto"/>
              <w:bottom w:val="single" w:sz="8"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22 498</w:t>
            </w:r>
          </w:p>
        </w:tc>
        <w:tc>
          <w:tcPr>
            <w:tcW w:w="538" w:type="pct"/>
            <w:tcBorders>
              <w:top w:val="single" w:sz="8" w:space="0" w:color="auto"/>
              <w:left w:val="nil"/>
              <w:bottom w:val="single" w:sz="8"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24 068</w:t>
            </w:r>
          </w:p>
        </w:tc>
        <w:tc>
          <w:tcPr>
            <w:tcW w:w="538" w:type="pct"/>
            <w:tcBorders>
              <w:top w:val="single" w:sz="8" w:space="0" w:color="auto"/>
              <w:left w:val="nil"/>
              <w:bottom w:val="single" w:sz="8"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23 236</w:t>
            </w:r>
          </w:p>
        </w:tc>
        <w:tc>
          <w:tcPr>
            <w:tcW w:w="538" w:type="pct"/>
            <w:tcBorders>
              <w:top w:val="single" w:sz="8" w:space="0" w:color="auto"/>
              <w:left w:val="nil"/>
              <w:bottom w:val="single" w:sz="8"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23 468</w:t>
            </w:r>
          </w:p>
        </w:tc>
        <w:tc>
          <w:tcPr>
            <w:tcW w:w="537" w:type="pct"/>
            <w:tcBorders>
              <w:top w:val="single" w:sz="8" w:space="0" w:color="auto"/>
              <w:left w:val="single" w:sz="4" w:space="0" w:color="auto"/>
              <w:bottom w:val="single" w:sz="8"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23 703</w:t>
            </w:r>
          </w:p>
        </w:tc>
      </w:tr>
      <w:tr>
        <w:tblPrEx>
          <w:tblW w:w="9072" w:type="dxa"/>
          <w:jc w:val="center"/>
          <w:tblInd w:w="0" w:type="dxa"/>
          <w:tblCellMar>
            <w:left w:w="70" w:type="dxa"/>
            <w:right w:w="70" w:type="dxa"/>
          </w:tblCellMar>
        </w:tblPrEx>
        <w:trPr>
          <w:trHeight w:val="227"/>
          <w:jc w:val="center"/>
        </w:trPr>
        <w:tc>
          <w:tcPr>
            <w:tcW w:w="2292" w:type="pct"/>
            <w:tcBorders>
              <w:top w:val="single" w:sz="8" w:space="0" w:color="auto"/>
              <w:left w:val="single" w:sz="12" w:space="0" w:color="auto"/>
              <w:bottom w:val="single" w:sz="12" w:space="0" w:color="auto"/>
              <w:right w:val="single" w:sz="12" w:space="0" w:color="auto"/>
            </w:tcBorders>
            <w:noWrap/>
            <w:textDirection w:val="lrTb"/>
            <w:vAlign w:val="center"/>
          </w:tcPr>
          <w:p w:rsidR="00DD172F" w:rsidRPr="00DF45EC" w:rsidP="00513FFB">
            <w:pPr>
              <w:ind w:firstLine="360" w:firstLineChars="200"/>
              <w:rPr>
                <w:rFonts w:ascii="Arial Narrow" w:hAnsi="Arial Narrow" w:cs="Arial Narrow"/>
                <w:sz w:val="18"/>
                <w:szCs w:val="24"/>
              </w:rPr>
            </w:pPr>
            <w:r w:rsidRPr="00DF45EC">
              <w:rPr>
                <w:rFonts w:ascii="Arial Narrow" w:hAnsi="Arial Narrow" w:cs="Arial Narrow"/>
                <w:sz w:val="18"/>
                <w:szCs w:val="24"/>
              </w:rPr>
              <w:t>Environmentálny fond</w:t>
            </w:r>
          </w:p>
        </w:tc>
        <w:tc>
          <w:tcPr>
            <w:tcW w:w="557" w:type="pct"/>
            <w:tcBorders>
              <w:top w:val="single" w:sz="8" w:space="0" w:color="auto"/>
              <w:left w:val="single" w:sz="12" w:space="0" w:color="auto"/>
              <w:bottom w:val="single" w:sz="12"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1 188</w:t>
            </w:r>
          </w:p>
        </w:tc>
        <w:tc>
          <w:tcPr>
            <w:tcW w:w="538" w:type="pct"/>
            <w:tcBorders>
              <w:top w:val="single" w:sz="8" w:space="0" w:color="auto"/>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896</w:t>
            </w:r>
          </w:p>
        </w:tc>
        <w:tc>
          <w:tcPr>
            <w:tcW w:w="538" w:type="pct"/>
            <w:tcBorders>
              <w:top w:val="single" w:sz="8" w:space="0" w:color="auto"/>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8" w:type="pct"/>
            <w:tcBorders>
              <w:top w:val="single" w:sz="8" w:space="0" w:color="auto"/>
              <w:left w:val="nil"/>
              <w:bottom w:val="single" w:sz="12"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c>
          <w:tcPr>
            <w:tcW w:w="537" w:type="pct"/>
            <w:tcBorders>
              <w:top w:val="single" w:sz="8" w:space="0" w:color="auto"/>
              <w:left w:val="single" w:sz="4" w:space="0" w:color="auto"/>
              <w:bottom w:val="single" w:sz="12"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1 156</w:t>
            </w:r>
          </w:p>
        </w:tc>
      </w:tr>
      <w:tr>
        <w:tblPrEx>
          <w:tblW w:w="9072" w:type="dxa"/>
          <w:jc w:val="center"/>
          <w:tblInd w:w="0" w:type="dxa"/>
          <w:tblCellMar>
            <w:left w:w="70" w:type="dxa"/>
            <w:right w:w="70" w:type="dxa"/>
          </w:tblCellMar>
        </w:tblPrEx>
        <w:trPr>
          <w:trHeight w:val="227"/>
          <w:jc w:val="center"/>
        </w:trPr>
        <w:tc>
          <w:tcPr>
            <w:tcW w:w="2292" w:type="pct"/>
            <w:tcBorders>
              <w:top w:val="single" w:sz="12" w:space="0" w:color="auto"/>
              <w:left w:val="single" w:sz="12" w:space="0" w:color="auto"/>
              <w:bottom w:val="single" w:sz="4" w:space="0" w:color="auto"/>
              <w:right w:val="single" w:sz="12" w:space="0" w:color="auto"/>
            </w:tcBorders>
            <w:noWrap/>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Daňové príjmy VS – medziročný rast v %</w:t>
            </w:r>
          </w:p>
        </w:tc>
        <w:tc>
          <w:tcPr>
            <w:tcW w:w="557" w:type="pct"/>
            <w:tcBorders>
              <w:top w:val="single" w:sz="12" w:space="0" w:color="auto"/>
              <w:left w:val="single" w:sz="12" w:space="0" w:color="auto"/>
              <w:bottom w:val="single" w:sz="4"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6,2</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-6,7</w:t>
            </w:r>
          </w:p>
        </w:tc>
        <w:tc>
          <w:tcPr>
            <w:tcW w:w="538" w:type="pct"/>
            <w:tcBorders>
              <w:top w:val="single" w:sz="12" w:space="0" w:color="auto"/>
              <w:left w:val="nil"/>
              <w:bottom w:val="single" w:sz="4"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3,3</w:t>
            </w:r>
          </w:p>
        </w:tc>
        <w:tc>
          <w:tcPr>
            <w:tcW w:w="538" w:type="pct"/>
            <w:tcBorders>
              <w:top w:val="single" w:sz="12" w:space="0" w:color="auto"/>
              <w:left w:val="nil"/>
              <w:bottom w:val="single" w:sz="4"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8,2</w:t>
            </w:r>
          </w:p>
        </w:tc>
        <w:tc>
          <w:tcPr>
            <w:tcW w:w="537" w:type="pct"/>
            <w:tcBorders>
              <w:top w:val="single" w:sz="12" w:space="0" w:color="auto"/>
              <w:left w:val="single" w:sz="4" w:space="0" w:color="auto"/>
              <w:bottom w:val="single" w:sz="4"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8,4</w:t>
            </w:r>
          </w:p>
        </w:tc>
      </w:tr>
      <w:tr>
        <w:tblPrEx>
          <w:tblW w:w="9072" w:type="dxa"/>
          <w:jc w:val="center"/>
          <w:tblInd w:w="0" w:type="dxa"/>
          <w:tblCellMar>
            <w:left w:w="70" w:type="dxa"/>
            <w:right w:w="70" w:type="dxa"/>
          </w:tblCellMar>
        </w:tblPrEx>
        <w:trPr>
          <w:trHeight w:val="227"/>
          <w:jc w:val="center"/>
        </w:trPr>
        <w:tc>
          <w:tcPr>
            <w:tcW w:w="2292" w:type="pct"/>
            <w:tcBorders>
              <w:top w:val="nil"/>
              <w:left w:val="single" w:sz="12" w:space="0" w:color="auto"/>
              <w:bottom w:val="single" w:sz="12" w:space="0" w:color="auto"/>
              <w:right w:val="single" w:sz="12" w:space="0" w:color="auto"/>
            </w:tcBorders>
            <w:noWrap/>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Daňové príjmy VS – podiel na HDP v %</w:t>
            </w:r>
          </w:p>
        </w:tc>
        <w:tc>
          <w:tcPr>
            <w:tcW w:w="557" w:type="pct"/>
            <w:tcBorders>
              <w:top w:val="nil"/>
              <w:left w:val="single" w:sz="12" w:space="0" w:color="auto"/>
              <w:bottom w:val="single" w:sz="12" w:space="0" w:color="auto"/>
              <w:right w:val="single" w:sz="8"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16,6</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16,4</w:t>
            </w:r>
          </w:p>
        </w:tc>
        <w:tc>
          <w:tcPr>
            <w:tcW w:w="538" w:type="pct"/>
            <w:tcBorders>
              <w:top w:val="nil"/>
              <w:left w:val="nil"/>
              <w:bottom w:val="single" w:sz="12" w:space="0" w:color="auto"/>
              <w:right w:val="single" w:sz="4"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16,0</w:t>
            </w:r>
          </w:p>
        </w:tc>
        <w:tc>
          <w:tcPr>
            <w:tcW w:w="538" w:type="pct"/>
            <w:tcBorders>
              <w:top w:val="nil"/>
              <w:left w:val="nil"/>
              <w:bottom w:val="single" w:sz="12" w:space="0" w:color="auto"/>
              <w:right w:val="nil"/>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16,1</w:t>
            </w:r>
          </w:p>
        </w:tc>
        <w:tc>
          <w:tcPr>
            <w:tcW w:w="537" w:type="pct"/>
            <w:tcBorders>
              <w:top w:val="nil"/>
              <w:left w:val="single" w:sz="4" w:space="0" w:color="auto"/>
              <w:bottom w:val="single" w:sz="12" w:space="0" w:color="auto"/>
              <w:right w:val="single" w:sz="12" w:space="0" w:color="auto"/>
            </w:tcBorders>
            <w:noWrap/>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16,0</w:t>
            </w:r>
          </w:p>
        </w:tc>
      </w:tr>
    </w:tbl>
    <w:p w:rsidR="00DD172F" w:rsidRPr="00BC43AA" w:rsidP="00DD172F">
      <w:pPr>
        <w:rPr>
          <w:rFonts w:ascii="Arial Narrow" w:hAnsi="Arial Narrow" w:cs="Arial Narrow"/>
          <w:b/>
          <w:sz w:val="22"/>
          <w:szCs w:val="24"/>
        </w:rPr>
      </w:pPr>
    </w:p>
    <w:p w:rsidR="00DD172F" w:rsidRPr="00795632" w:rsidP="00795632">
      <w:pPr>
        <w:pStyle w:val="Heading2"/>
        <w:rPr>
          <w:rFonts w:ascii="Arial Narrow" w:hAnsi="Arial Narrow" w:cs="Arial Narrow"/>
          <w:i w:val="0"/>
          <w:sz w:val="24"/>
          <w:szCs w:val="24"/>
        </w:rPr>
      </w:pPr>
      <w:bookmarkStart w:id="37" w:name="_Toc241846644"/>
      <w:r w:rsidRPr="00795632" w:rsidR="00795632">
        <w:rPr>
          <w:rFonts w:ascii="Arial Narrow" w:hAnsi="Arial Narrow" w:cs="Arial Narrow"/>
          <w:i w:val="0"/>
          <w:sz w:val="24"/>
          <w:szCs w:val="24"/>
        </w:rPr>
        <w:t xml:space="preserve">3.3. </w:t>
      </w:r>
      <w:r w:rsidRPr="00795632">
        <w:rPr>
          <w:rFonts w:ascii="Arial Narrow" w:hAnsi="Arial Narrow" w:cs="Arial Narrow"/>
          <w:i w:val="0"/>
          <w:sz w:val="24"/>
          <w:szCs w:val="24"/>
        </w:rPr>
        <w:t xml:space="preserve">Porovnanie aktuálneho odhadu daní s rozpočtom verejnej správy na roky 2009 </w:t>
      </w:r>
      <w:r w:rsidRPr="00795632" w:rsidR="00E0720E">
        <w:rPr>
          <w:rFonts w:ascii="Arial Narrow" w:hAnsi="Arial Narrow" w:cs="Arial Narrow"/>
          <w:i w:val="0"/>
          <w:sz w:val="24"/>
          <w:szCs w:val="24"/>
        </w:rPr>
        <w:t>až</w:t>
      </w:r>
      <w:r w:rsidRPr="00795632">
        <w:rPr>
          <w:rFonts w:ascii="Arial Narrow" w:hAnsi="Arial Narrow" w:cs="Arial Narrow"/>
          <w:i w:val="0"/>
          <w:sz w:val="24"/>
          <w:szCs w:val="24"/>
        </w:rPr>
        <w:t xml:space="preserve"> 2011</w:t>
      </w:r>
      <w:bookmarkEnd w:id="37"/>
    </w:p>
    <w:p w:rsidR="00DD172F" w:rsidRPr="00BC43AA" w:rsidP="00DD172F">
      <w:pPr>
        <w:rPr>
          <w:rFonts w:ascii="Arial Narrow" w:hAnsi="Arial Narrow" w:cs="Arial Narrow"/>
          <w:sz w:val="22"/>
          <w:szCs w:val="24"/>
        </w:rPr>
      </w:pPr>
    </w:p>
    <w:p w:rsidR="00DD172F" w:rsidP="00DD172F">
      <w:pPr>
        <w:ind w:firstLine="708"/>
        <w:jc w:val="both"/>
        <w:rPr>
          <w:rFonts w:ascii="Arial Narrow" w:hAnsi="Arial Narrow" w:cs="Arial Narrow"/>
          <w:sz w:val="22"/>
          <w:szCs w:val="24"/>
        </w:rPr>
      </w:pPr>
      <w:r w:rsidRPr="00DF45EC">
        <w:rPr>
          <w:rFonts w:ascii="Arial Narrow" w:hAnsi="Arial Narrow" w:cs="Arial Narrow"/>
          <w:sz w:val="22"/>
          <w:szCs w:val="24"/>
        </w:rPr>
        <w:t>Nižšie uvedená tabuľka prezentuje rozdiely aktuálnej prognózy daní v metodike ESA</w:t>
      </w:r>
      <w:r w:rsidR="008112A0">
        <w:rPr>
          <w:rFonts w:ascii="Arial Narrow" w:hAnsi="Arial Narrow" w:cs="Arial Narrow"/>
          <w:sz w:val="22"/>
          <w:szCs w:val="24"/>
        </w:rPr>
        <w:t xml:space="preserve"> </w:t>
      </w:r>
      <w:r w:rsidRPr="00DF45EC">
        <w:rPr>
          <w:rFonts w:ascii="Arial Narrow" w:hAnsi="Arial Narrow" w:cs="Arial Narrow"/>
          <w:sz w:val="22"/>
          <w:szCs w:val="24"/>
        </w:rPr>
        <w:t>95 oproti rozpočtu verejnej správy na roky 200</w:t>
      </w:r>
      <w:r>
        <w:rPr>
          <w:rFonts w:ascii="Arial Narrow" w:hAnsi="Arial Narrow" w:cs="Arial Narrow"/>
          <w:sz w:val="22"/>
          <w:szCs w:val="24"/>
        </w:rPr>
        <w:t>9</w:t>
      </w:r>
      <w:r w:rsidR="00A97FD4">
        <w:rPr>
          <w:rFonts w:ascii="Arial Narrow" w:hAnsi="Arial Narrow" w:cs="Arial Narrow"/>
          <w:sz w:val="22"/>
          <w:szCs w:val="24"/>
        </w:rPr>
        <w:t xml:space="preserve"> až</w:t>
      </w:r>
      <w:r w:rsidRPr="00DF45EC">
        <w:rPr>
          <w:rFonts w:ascii="Arial Narrow" w:hAnsi="Arial Narrow" w:cs="Arial Narrow"/>
          <w:sz w:val="22"/>
          <w:szCs w:val="24"/>
        </w:rPr>
        <w:t xml:space="preserve"> </w:t>
      </w:r>
      <w:r>
        <w:rPr>
          <w:rFonts w:ascii="Arial Narrow" w:hAnsi="Arial Narrow" w:cs="Arial Narrow"/>
          <w:sz w:val="22"/>
          <w:szCs w:val="24"/>
        </w:rPr>
        <w:t>2011</w:t>
      </w:r>
      <w:r w:rsidRPr="00DF45EC">
        <w:rPr>
          <w:rFonts w:ascii="Arial Narrow" w:hAnsi="Arial Narrow" w:cs="Arial Narrow"/>
          <w:sz w:val="22"/>
          <w:szCs w:val="24"/>
        </w:rPr>
        <w:t xml:space="preserve">. </w:t>
      </w:r>
      <w:r>
        <w:rPr>
          <w:rFonts w:ascii="Arial Narrow" w:hAnsi="Arial Narrow" w:cs="Arial Narrow"/>
          <w:sz w:val="22"/>
          <w:szCs w:val="24"/>
        </w:rPr>
        <w:t xml:space="preserve">Pod rozpočtom verejnej správy na roky 2009 </w:t>
      </w:r>
      <w:r w:rsidR="00A97FD4">
        <w:rPr>
          <w:rFonts w:ascii="Arial Narrow" w:hAnsi="Arial Narrow" w:cs="Arial Narrow"/>
          <w:sz w:val="22"/>
          <w:szCs w:val="24"/>
        </w:rPr>
        <w:t>až</w:t>
      </w:r>
      <w:r>
        <w:rPr>
          <w:rFonts w:ascii="Arial Narrow" w:hAnsi="Arial Narrow" w:cs="Arial Narrow"/>
          <w:sz w:val="22"/>
          <w:szCs w:val="24"/>
        </w:rPr>
        <w:t xml:space="preserve"> 2011 sa tu rozumie prognóza daní, ktorá je pre rok 2009 z novembra 2008 a pre roky 2010 a 2011 z októbra 2008 (schválená vládou SR). </w:t>
      </w:r>
      <w:r w:rsidRPr="00DF45EC">
        <w:rPr>
          <w:rFonts w:ascii="Arial Narrow" w:hAnsi="Arial Narrow" w:cs="Arial Narrow"/>
          <w:sz w:val="22"/>
          <w:szCs w:val="24"/>
        </w:rPr>
        <w:t xml:space="preserve">Aktuálna prognóza je v porovnaní so schváleným rozpočtom </w:t>
      </w:r>
      <w:r>
        <w:rPr>
          <w:rFonts w:ascii="Arial Narrow" w:hAnsi="Arial Narrow" w:cs="Arial Narrow"/>
          <w:sz w:val="22"/>
          <w:szCs w:val="24"/>
        </w:rPr>
        <w:t>v roku 2009 nižšia o 1 702,8 mil. eur</w:t>
      </w:r>
      <w:r w:rsidRPr="00DF45EC">
        <w:rPr>
          <w:rFonts w:ascii="Arial Narrow" w:hAnsi="Arial Narrow" w:cs="Arial Narrow"/>
          <w:sz w:val="22"/>
          <w:szCs w:val="24"/>
        </w:rPr>
        <w:t xml:space="preserve"> </w:t>
      </w:r>
      <w:r>
        <w:rPr>
          <w:rFonts w:ascii="Arial Narrow" w:hAnsi="Arial Narrow" w:cs="Arial Narrow"/>
          <w:sz w:val="22"/>
          <w:szCs w:val="24"/>
        </w:rPr>
        <w:t>a</w:t>
      </w:r>
      <w:r w:rsidRPr="00DF45EC">
        <w:rPr>
          <w:rFonts w:ascii="Arial Narrow" w:hAnsi="Arial Narrow" w:cs="Arial Narrow"/>
          <w:sz w:val="22"/>
          <w:szCs w:val="24"/>
        </w:rPr>
        <w:t xml:space="preserve"> </w:t>
      </w:r>
      <w:r>
        <w:rPr>
          <w:rFonts w:ascii="Arial Narrow" w:hAnsi="Arial Narrow" w:cs="Arial Narrow"/>
          <w:sz w:val="22"/>
          <w:szCs w:val="24"/>
        </w:rPr>
        <w:t>v roku 2010 nižšia o 2 614,6 mil. eur</w:t>
      </w:r>
      <w:r w:rsidRPr="00DF45EC">
        <w:rPr>
          <w:rFonts w:ascii="Arial Narrow" w:hAnsi="Arial Narrow" w:cs="Arial Narrow"/>
          <w:sz w:val="22"/>
          <w:szCs w:val="24"/>
        </w:rPr>
        <w:t>.</w:t>
      </w:r>
      <w:r>
        <w:rPr>
          <w:rFonts w:ascii="Arial Narrow" w:hAnsi="Arial Narrow" w:cs="Arial Narrow"/>
          <w:sz w:val="22"/>
          <w:szCs w:val="24"/>
        </w:rPr>
        <w:t xml:space="preserve"> Výrazné zníženie prognózy daňových príjmov je spôsobené najmä zhoršeným vývojom makroekonomického prostredia v porovnaní s pôvodnými očakávaniami a legislatívnymi opatreniami, ktoré boli prijaté s cieľom podporiť ekonomický rast. </w:t>
      </w:r>
      <w:r w:rsidRPr="00495032">
        <w:rPr>
          <w:rFonts w:ascii="Arial Narrow" w:hAnsi="Arial Narrow" w:cs="Arial Narrow"/>
          <w:sz w:val="22"/>
          <w:szCs w:val="24"/>
        </w:rPr>
        <w:t>V nadväznosti na aktualizáciu prognózy DPFO a</w:t>
      </w:r>
      <w:r>
        <w:rPr>
          <w:rFonts w:ascii="Arial Narrow" w:hAnsi="Arial Narrow" w:cs="Arial Narrow"/>
          <w:sz w:val="22"/>
          <w:szCs w:val="24"/>
        </w:rPr>
        <w:t> </w:t>
      </w:r>
      <w:r w:rsidRPr="00495032">
        <w:rPr>
          <w:rFonts w:ascii="Arial Narrow" w:hAnsi="Arial Narrow" w:cs="Arial Narrow"/>
          <w:sz w:val="22"/>
          <w:szCs w:val="24"/>
        </w:rPr>
        <w:t>DPPO</w:t>
      </w:r>
      <w:r>
        <w:rPr>
          <w:rFonts w:ascii="Arial Narrow" w:hAnsi="Arial Narrow" w:cs="Arial Narrow"/>
          <w:sz w:val="22"/>
          <w:szCs w:val="24"/>
        </w:rPr>
        <w:t xml:space="preserve"> a prijatú legislatívu</w:t>
      </w:r>
      <w:r w:rsidRPr="00495032">
        <w:rPr>
          <w:rFonts w:ascii="Arial Narrow" w:hAnsi="Arial Narrow" w:cs="Arial Narrow"/>
          <w:sz w:val="22"/>
          <w:szCs w:val="24"/>
        </w:rPr>
        <w:t xml:space="preserve"> došlo k </w:t>
      </w:r>
      <w:r>
        <w:rPr>
          <w:rFonts w:ascii="Arial Narrow" w:hAnsi="Arial Narrow" w:cs="Arial Narrow"/>
          <w:sz w:val="22"/>
          <w:szCs w:val="24"/>
        </w:rPr>
        <w:t>zníženiu</w:t>
      </w:r>
      <w:r w:rsidRPr="00495032">
        <w:rPr>
          <w:rFonts w:ascii="Arial Narrow" w:hAnsi="Arial Narrow" w:cs="Arial Narrow"/>
          <w:sz w:val="22"/>
          <w:szCs w:val="24"/>
        </w:rPr>
        <w:t xml:space="preserve"> odhadu prevodu 2</w:t>
      </w:r>
      <w:r w:rsidR="00F01F53">
        <w:rPr>
          <w:rFonts w:ascii="Arial Narrow" w:hAnsi="Arial Narrow" w:cs="Arial Narrow"/>
          <w:sz w:val="22"/>
          <w:szCs w:val="24"/>
        </w:rPr>
        <w:t xml:space="preserve"> </w:t>
      </w:r>
      <w:r w:rsidRPr="00495032">
        <w:rPr>
          <w:rFonts w:ascii="Arial Narrow" w:hAnsi="Arial Narrow" w:cs="Arial Narrow"/>
          <w:sz w:val="22"/>
          <w:szCs w:val="24"/>
        </w:rPr>
        <w:t>% z daní na verejnoprospešný účel.</w:t>
      </w:r>
      <w:r>
        <w:rPr>
          <w:rFonts w:ascii="Arial Narrow" w:hAnsi="Arial Narrow" w:cs="Arial Narrow"/>
          <w:sz w:val="22"/>
          <w:szCs w:val="24"/>
        </w:rPr>
        <w:t xml:space="preserve"> Rozdiel v prognóze ostatných daní v porovnaní s rozpočtom verejnej správy na roky 2009 </w:t>
      </w:r>
      <w:r w:rsidR="00A97FD4">
        <w:rPr>
          <w:rFonts w:ascii="Arial Narrow" w:hAnsi="Arial Narrow" w:cs="Arial Narrow"/>
          <w:sz w:val="22"/>
          <w:szCs w:val="24"/>
        </w:rPr>
        <w:t>až</w:t>
      </w:r>
      <w:r>
        <w:rPr>
          <w:rFonts w:ascii="Arial Narrow" w:hAnsi="Arial Narrow" w:cs="Arial Narrow"/>
          <w:sz w:val="22"/>
          <w:szCs w:val="24"/>
        </w:rPr>
        <w:t xml:space="preserve"> 2011 je spôsobený najmä plnením dane za služby verejnosti poskytované STV a SRo. Naopak, lepšie ako predpokladané plnenie miestnych daní v roku 2008 a predpoklad kompenzovania výpadku príjmov z DPFO najmä v rokoch 2009 a 2010 bolo dôvodom na zvýšenie prognózy výnosov týchto daní na nasledujúce roky.</w:t>
      </w:r>
    </w:p>
    <w:p w:rsidR="00DD172F" w:rsidRPr="009137FD" w:rsidP="00DD172F">
      <w:pPr>
        <w:ind w:firstLine="708"/>
        <w:jc w:val="both"/>
        <w:rPr>
          <w:rFonts w:ascii="Arial Narrow" w:hAnsi="Arial Narrow" w:cs="Arial Narrow"/>
          <w:sz w:val="22"/>
          <w:szCs w:val="24"/>
        </w:rPr>
      </w:pPr>
      <w:r w:rsidRPr="006B6D82">
        <w:rPr>
          <w:szCs w:val="24"/>
        </w:rPr>
        <w:t xml:space="preserve"> </w:t>
      </w:r>
    </w:p>
    <w:tbl>
      <w:tblPr>
        <w:tblStyle w:val="TableNormal"/>
        <w:tblW w:w="9072" w:type="dxa"/>
        <w:jc w:val="center"/>
        <w:tblInd w:w="0" w:type="dxa"/>
        <w:tblCellMar>
          <w:left w:w="70" w:type="dxa"/>
          <w:right w:w="70" w:type="dxa"/>
        </w:tblCellMar>
      </w:tblPr>
      <w:tblGrid>
        <w:gridCol w:w="5229"/>
        <w:gridCol w:w="1281"/>
        <w:gridCol w:w="1281"/>
        <w:gridCol w:w="1281"/>
      </w:tblGrid>
      <w:tr>
        <w:tblPrEx>
          <w:tblW w:w="9072" w:type="dxa"/>
          <w:jc w:val="center"/>
          <w:tblInd w:w="0" w:type="dxa"/>
          <w:tblCellMar>
            <w:left w:w="70" w:type="dxa"/>
            <w:right w:w="70" w:type="dxa"/>
          </w:tblCellMar>
        </w:tblPrEx>
        <w:trPr>
          <w:trHeight w:val="340"/>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D172F" w:rsidRPr="00DF45EC" w:rsidP="00A97FD4">
            <w:pPr>
              <w:rPr>
                <w:rFonts w:ascii="Arial Narrow" w:hAnsi="Arial Narrow" w:cs="Arial Narrow"/>
                <w:b/>
                <w:color w:val="FFFFFF"/>
                <w:sz w:val="20"/>
                <w:szCs w:val="24"/>
              </w:rPr>
            </w:pPr>
            <w:r w:rsidRPr="00DF45EC">
              <w:rPr>
                <w:rFonts w:ascii="Arial Narrow" w:hAnsi="Arial Narrow" w:cs="Arial Narrow"/>
                <w:b/>
                <w:color w:val="FFFFFF"/>
                <w:sz w:val="20"/>
                <w:szCs w:val="24"/>
              </w:rPr>
              <w:t>Rozdiely medzi aktuálnym odhadom daní a rozpoč</w:t>
            </w:r>
            <w:r>
              <w:rPr>
                <w:rFonts w:ascii="Arial Narrow" w:hAnsi="Arial Narrow" w:cs="Arial Narrow"/>
                <w:b/>
                <w:color w:val="FFFFFF"/>
                <w:sz w:val="20"/>
                <w:szCs w:val="24"/>
              </w:rPr>
              <w:t>tom verejnej správy na roky 2009</w:t>
            </w:r>
            <w:r w:rsidR="00A97FD4">
              <w:rPr>
                <w:rFonts w:ascii="Arial Narrow" w:hAnsi="Arial Narrow" w:cs="Arial Narrow"/>
                <w:b/>
                <w:color w:val="FFFFFF"/>
                <w:sz w:val="20"/>
                <w:szCs w:val="24"/>
              </w:rPr>
              <w:t xml:space="preserve"> až </w:t>
            </w:r>
            <w:r>
              <w:rPr>
                <w:rFonts w:ascii="Arial Narrow" w:hAnsi="Arial Narrow" w:cs="Arial Narrow"/>
                <w:b/>
                <w:color w:val="FFFFFF"/>
                <w:sz w:val="20"/>
                <w:szCs w:val="24"/>
              </w:rPr>
              <w:t>2011</w:t>
            </w:r>
            <w:r w:rsidRPr="00DF45EC">
              <w:rPr>
                <w:rFonts w:ascii="Arial Narrow" w:hAnsi="Arial Narrow" w:cs="Arial Narrow"/>
                <w:b/>
                <w:color w:val="FFFFFF"/>
                <w:sz w:val="20"/>
                <w:szCs w:val="24"/>
              </w:rPr>
              <w:t xml:space="preserve"> (</w:t>
            </w:r>
            <w:r>
              <w:rPr>
                <w:rFonts w:ascii="Arial Narrow" w:hAnsi="Arial Narrow" w:cs="Arial Narrow"/>
                <w:b/>
                <w:color w:val="FFFFFF"/>
                <w:sz w:val="20"/>
                <w:szCs w:val="24"/>
              </w:rPr>
              <w:t>ESA</w:t>
            </w:r>
            <w:r w:rsidR="00F01F53">
              <w:rPr>
                <w:rFonts w:ascii="Arial Narrow" w:hAnsi="Arial Narrow" w:cs="Arial Narrow"/>
                <w:b/>
                <w:color w:val="FFFFFF"/>
                <w:sz w:val="20"/>
                <w:szCs w:val="24"/>
              </w:rPr>
              <w:t xml:space="preserve"> </w:t>
            </w:r>
            <w:r>
              <w:rPr>
                <w:rFonts w:ascii="Arial Narrow" w:hAnsi="Arial Narrow" w:cs="Arial Narrow"/>
                <w:b/>
                <w:color w:val="FFFFFF"/>
                <w:sz w:val="20"/>
                <w:szCs w:val="24"/>
              </w:rPr>
              <w:t>95, tis. eur</w:t>
            </w:r>
            <w:r w:rsidRPr="00DF45EC">
              <w:rPr>
                <w:rFonts w:ascii="Arial Narrow" w:hAnsi="Arial Narrow" w:cs="Arial Narrow"/>
                <w:b/>
                <w:color w:val="FFFFFF"/>
                <w:sz w:val="20"/>
                <w:szCs w:val="24"/>
              </w:rPr>
              <w:t>)</w:t>
            </w:r>
          </w:p>
        </w:tc>
      </w:tr>
      <w:tr>
        <w:tblPrEx>
          <w:tblW w:w="9072" w:type="dxa"/>
          <w:jc w:val="center"/>
          <w:tblInd w:w="0" w:type="dxa"/>
          <w:tblCellMar>
            <w:left w:w="70" w:type="dxa"/>
            <w:right w:w="70" w:type="dxa"/>
          </w:tblCellMar>
        </w:tblPrEx>
        <w:trPr>
          <w:trHeight w:val="270"/>
          <w:jc w:val="center"/>
        </w:trPr>
        <w:tc>
          <w:tcPr>
            <w:tcW w:w="5229" w:type="dxa"/>
            <w:tcBorders>
              <w:top w:val="nil"/>
              <w:left w:val="single" w:sz="4" w:space="0" w:color="auto"/>
              <w:bottom w:val="single" w:sz="4" w:space="0" w:color="auto"/>
              <w:right w:val="nil"/>
            </w:tcBorders>
            <w:shd w:val="clear" w:color="auto" w:fill="C0C0C0"/>
            <w:textDirection w:val="lrTb"/>
            <w:vAlign w:val="center"/>
          </w:tcPr>
          <w:p w:rsidR="00DD172F" w:rsidRPr="00DF45EC" w:rsidP="00B80F08">
            <w:pPr>
              <w:rPr>
                <w:rFonts w:ascii="Arial Narrow" w:hAnsi="Arial Narrow" w:cs="Arial Narrow"/>
                <w:sz w:val="18"/>
                <w:szCs w:val="24"/>
              </w:rPr>
            </w:pPr>
            <w:r w:rsidRPr="00DF45EC">
              <w:rPr>
                <w:rFonts w:ascii="Arial Narrow" w:hAnsi="Arial Narrow" w:cs="Arial Narrow"/>
                <w:sz w:val="18"/>
                <w:szCs w:val="24"/>
              </w:rPr>
              <w:t> </w:t>
            </w:r>
          </w:p>
        </w:tc>
        <w:tc>
          <w:tcPr>
            <w:tcW w:w="1281"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2009</w:t>
            </w:r>
          </w:p>
        </w:tc>
        <w:tc>
          <w:tcPr>
            <w:tcW w:w="1281" w:type="dxa"/>
            <w:tcBorders>
              <w:top w:val="nil"/>
              <w:left w:val="nil"/>
              <w:bottom w:val="single" w:sz="4" w:space="0" w:color="auto"/>
              <w:right w:val="nil"/>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2010</w:t>
            </w:r>
          </w:p>
        </w:tc>
        <w:tc>
          <w:tcPr>
            <w:tcW w:w="1281" w:type="dxa"/>
            <w:tcBorders>
              <w:top w:val="nil"/>
              <w:left w:val="nil"/>
              <w:bottom w:val="single" w:sz="4" w:space="0" w:color="auto"/>
              <w:right w:val="single" w:sz="4" w:space="0" w:color="auto"/>
            </w:tcBorders>
            <w:shd w:val="clear" w:color="auto" w:fill="C0C0C0"/>
            <w:textDirection w:val="lrTb"/>
            <w:vAlign w:val="center"/>
          </w:tcPr>
          <w:p w:rsidR="00DD172F" w:rsidRPr="00DF45EC" w:rsidP="00B80F08">
            <w:pPr>
              <w:jc w:val="center"/>
              <w:rPr>
                <w:rFonts w:ascii="Arial Narrow" w:hAnsi="Arial Narrow" w:cs="Arial Narrow"/>
                <w:b/>
                <w:sz w:val="18"/>
                <w:szCs w:val="24"/>
              </w:rPr>
            </w:pPr>
            <w:r>
              <w:rPr>
                <w:rFonts w:ascii="Arial Narrow" w:hAnsi="Arial Narrow" w:cs="Arial Narrow"/>
                <w:b/>
                <w:sz w:val="18"/>
                <w:szCs w:val="24"/>
              </w:rPr>
              <w:t>2011</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none" w:sz="0" w:space="0" w:color="auto"/>
              <w:right w:val="single" w:sz="4" w:space="0" w:color="auto"/>
            </w:tcBorders>
            <w:textDirection w:val="lrTb"/>
            <w:vAlign w:val="center"/>
          </w:tcPr>
          <w:p w:rsidR="00DD172F" w:rsidRPr="00DF45EC" w:rsidP="00B80F08">
            <w:pPr>
              <w:rPr>
                <w:rFonts w:ascii="Arial Narrow" w:hAnsi="Arial Narrow" w:cs="Arial Narrow"/>
                <w:b/>
                <w:sz w:val="18"/>
                <w:szCs w:val="24"/>
              </w:rPr>
            </w:pPr>
            <w:r w:rsidRPr="00DF45EC">
              <w:rPr>
                <w:rFonts w:ascii="Arial Narrow" w:hAnsi="Arial Narrow" w:cs="Arial Narrow"/>
                <w:b/>
                <w:sz w:val="18"/>
                <w:szCs w:val="24"/>
              </w:rPr>
              <w:t>Daňové príjmy na akruálnej báze spolu</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b/>
                <w:sz w:val="18"/>
                <w:szCs w:val="24"/>
              </w:rPr>
            </w:pPr>
            <w:r w:rsidRPr="00C86668">
              <w:rPr>
                <w:rFonts w:ascii="Arial Narrow" w:hAnsi="Arial Narrow" w:cs="Arial Narrow"/>
                <w:b/>
                <w:sz w:val="18"/>
                <w:szCs w:val="24"/>
              </w:rPr>
              <w:t>-1 702 798</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b/>
                <w:sz w:val="18"/>
                <w:szCs w:val="24"/>
              </w:rPr>
            </w:pPr>
            <w:r w:rsidRPr="00C86668">
              <w:rPr>
                <w:rFonts w:ascii="Arial Narrow" w:hAnsi="Arial Narrow" w:cs="Arial Narrow"/>
                <w:b/>
                <w:sz w:val="18"/>
                <w:szCs w:val="24"/>
              </w:rPr>
              <w:t>-2 614 636</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b/>
                <w:sz w:val="18"/>
                <w:szCs w:val="24"/>
              </w:rPr>
            </w:pPr>
            <w:r w:rsidRPr="00C86668">
              <w:rPr>
                <w:rFonts w:ascii="Arial Narrow" w:hAnsi="Arial Narrow" w:cs="Arial Narrow"/>
                <w:b/>
                <w:sz w:val="18"/>
                <w:szCs w:val="24"/>
              </w:rPr>
              <w:t>-2 749 705</w:t>
            </w:r>
          </w:p>
        </w:tc>
      </w:tr>
      <w:tr>
        <w:tblPrEx>
          <w:tblW w:w="9072" w:type="dxa"/>
          <w:jc w:val="center"/>
          <w:tblInd w:w="0" w:type="dxa"/>
          <w:tblCellMar>
            <w:left w:w="70" w:type="dxa"/>
            <w:right w:w="70" w:type="dxa"/>
          </w:tblCellMar>
        </w:tblPrEx>
        <w:trPr>
          <w:trHeight w:val="270"/>
          <w:jc w:val="center"/>
        </w:trPr>
        <w:tc>
          <w:tcPr>
            <w:tcW w:w="5229" w:type="dxa"/>
            <w:tcBorders>
              <w:top w:val="none" w:sz="0" w:space="0" w:color="auto"/>
              <w:left w:val="single" w:sz="4" w:space="0" w:color="auto"/>
              <w:bottom w:val="none" w:sz="0" w:space="0" w:color="auto"/>
              <w:right w:val="single" w:sz="4" w:space="0" w:color="auto"/>
            </w:tcBorders>
            <w:textDirection w:val="lrTb"/>
            <w:vAlign w:val="center"/>
          </w:tcPr>
          <w:p w:rsidR="00DD172F" w:rsidRPr="00780FA6" w:rsidP="00B80F08">
            <w:pPr>
              <w:rPr>
                <w:rFonts w:ascii="Arial Narrow" w:hAnsi="Arial Narrow" w:cs="Arial Narrow"/>
                <w:sz w:val="18"/>
                <w:szCs w:val="24"/>
              </w:rPr>
            </w:pPr>
            <w:r>
              <w:rPr>
                <w:rFonts w:ascii="Arial Narrow" w:hAnsi="Arial Narrow" w:cs="Arial Narrow"/>
                <w:sz w:val="18"/>
                <w:szCs w:val="24"/>
              </w:rPr>
              <w:t>z toho: vplyv zmeny makroekonomickej prognózy</w:t>
            </w:r>
          </w:p>
        </w:tc>
        <w:tc>
          <w:tcPr>
            <w:tcW w:w="1281" w:type="dxa"/>
            <w:tcBorders>
              <w:top w:val="none" w:sz="0"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-1 549 589</w:t>
            </w:r>
          </w:p>
        </w:tc>
        <w:tc>
          <w:tcPr>
            <w:tcW w:w="1281" w:type="dxa"/>
            <w:tcBorders>
              <w:top w:val="none" w:sz="0"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-2 331 576</w:t>
            </w:r>
          </w:p>
        </w:tc>
        <w:tc>
          <w:tcPr>
            <w:tcW w:w="1281" w:type="dxa"/>
            <w:tcBorders>
              <w:top w:val="none" w:sz="0" w:space="0" w:color="auto"/>
              <w:left w:val="single" w:sz="4" w:space="0" w:color="auto"/>
              <w:bottom w:val="none" w:sz="0"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-2 642 288</w:t>
            </w:r>
          </w:p>
        </w:tc>
      </w:tr>
      <w:tr>
        <w:tblPrEx>
          <w:tblW w:w="9072" w:type="dxa"/>
          <w:jc w:val="center"/>
          <w:tblInd w:w="0" w:type="dxa"/>
          <w:tblCellMar>
            <w:left w:w="70" w:type="dxa"/>
            <w:right w:w="70" w:type="dxa"/>
          </w:tblCellMar>
        </w:tblPrEx>
        <w:trPr>
          <w:trHeight w:val="270"/>
          <w:jc w:val="center"/>
        </w:trPr>
        <w:tc>
          <w:tcPr>
            <w:tcW w:w="5229" w:type="dxa"/>
            <w:tcBorders>
              <w:top w:val="none" w:sz="0" w:space="0" w:color="auto"/>
              <w:left w:val="single" w:sz="4" w:space="0" w:color="auto"/>
              <w:bottom w:val="single" w:sz="4" w:space="0" w:color="auto"/>
              <w:right w:val="single" w:sz="4" w:space="0" w:color="auto"/>
            </w:tcBorders>
            <w:textDirection w:val="lrTb"/>
            <w:vAlign w:val="center"/>
          </w:tcPr>
          <w:p w:rsidR="00DD172F" w:rsidRPr="00780FA6" w:rsidP="00B80F08">
            <w:pPr>
              <w:rPr>
                <w:rFonts w:ascii="Arial Narrow" w:hAnsi="Arial Narrow" w:cs="Arial Narrow"/>
                <w:sz w:val="18"/>
                <w:szCs w:val="24"/>
              </w:rPr>
            </w:pPr>
            <w:r>
              <w:rPr>
                <w:rFonts w:ascii="Arial Narrow" w:hAnsi="Arial Narrow" w:cs="Arial Narrow"/>
                <w:sz w:val="18"/>
                <w:szCs w:val="24"/>
              </w:rPr>
              <w:t xml:space="preserve">            vplyv legislatívnych zmien</w:t>
            </w:r>
          </w:p>
        </w:tc>
        <w:tc>
          <w:tcPr>
            <w:tcW w:w="1281" w:type="dxa"/>
            <w:tcBorders>
              <w:top w:val="none" w:sz="0" w:space="0" w:color="auto"/>
              <w:left w:val="single" w:sz="4" w:space="0" w:color="auto"/>
              <w:bottom w:val="single" w:sz="4"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-153 209</w:t>
            </w:r>
          </w:p>
        </w:tc>
        <w:tc>
          <w:tcPr>
            <w:tcW w:w="1281" w:type="dxa"/>
            <w:tcBorders>
              <w:top w:val="none" w:sz="0" w:space="0" w:color="auto"/>
              <w:left w:val="single" w:sz="4" w:space="0" w:color="auto"/>
              <w:bottom w:val="single" w:sz="4"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-283 060</w:t>
            </w:r>
          </w:p>
        </w:tc>
        <w:tc>
          <w:tcPr>
            <w:tcW w:w="1281" w:type="dxa"/>
            <w:tcBorders>
              <w:top w:val="none" w:sz="0" w:space="0" w:color="auto"/>
              <w:left w:val="single" w:sz="4" w:space="0" w:color="auto"/>
              <w:bottom w:val="single" w:sz="4" w:space="0" w:color="auto"/>
              <w:right w:val="single" w:sz="4" w:space="0" w:color="auto"/>
            </w:tcBorders>
            <w:textDirection w:val="lrTb"/>
            <w:vAlign w:val="center"/>
          </w:tcPr>
          <w:p w:rsidR="00DD172F" w:rsidRPr="00C86668" w:rsidP="00B80F08">
            <w:pPr>
              <w:jc w:val="right"/>
              <w:rPr>
                <w:rFonts w:ascii="Arial Narrow" w:hAnsi="Arial Narrow" w:cs="Arial Narrow"/>
                <w:sz w:val="18"/>
                <w:szCs w:val="24"/>
              </w:rPr>
            </w:pPr>
            <w:r w:rsidRPr="00C86668">
              <w:rPr>
                <w:rFonts w:ascii="Arial Narrow" w:hAnsi="Arial Narrow" w:cs="Arial Narrow"/>
                <w:sz w:val="18"/>
                <w:szCs w:val="24"/>
              </w:rPr>
              <w:t>-107 417</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fyzických osôb</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-384 958</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-628 519</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-536 359</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právnických osôb</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-598 855</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-867 725</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-952 493</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vyberaná zrážkou</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-54 381</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-77 285</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-67 437</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pridanej hodnoty</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-479 590</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-812 083</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-973 322</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Spotrebné dane</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-204 903</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-256 006</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-261 650</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Pr>
                <w:rFonts w:ascii="Arial Narrow" w:hAnsi="Arial Narrow" w:cs="Arial Narrow"/>
                <w:sz w:val="18"/>
                <w:szCs w:val="24"/>
              </w:rPr>
              <w:t>Dane z medzinárodného obchodu a transakcií</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-10 521</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-11 583</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-11 889</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Miestne dane</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41 704</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55 931</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70 878</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12"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Ostatné dane</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-11 294</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-17 366</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-17 433</w:t>
            </w:r>
          </w:p>
        </w:tc>
      </w:tr>
      <w:tr>
        <w:tblPrEx>
          <w:tblW w:w="9072" w:type="dxa"/>
          <w:jc w:val="center"/>
          <w:tblInd w:w="0" w:type="dxa"/>
          <w:tblCellMar>
            <w:left w:w="70" w:type="dxa"/>
            <w:right w:w="70" w:type="dxa"/>
          </w:tblCellMar>
        </w:tblPrEx>
        <w:trPr>
          <w:trHeight w:val="270"/>
          <w:jc w:val="center"/>
        </w:trPr>
        <w:tc>
          <w:tcPr>
            <w:tcW w:w="5229" w:type="dxa"/>
            <w:tcBorders>
              <w:top w:val="single" w:sz="12" w:space="0" w:color="auto"/>
              <w:left w:val="single" w:sz="8" w:space="0" w:color="auto"/>
              <w:bottom w:val="single" w:sz="8" w:space="0" w:color="auto"/>
              <w:right w:val="single" w:sz="8" w:space="0" w:color="auto"/>
            </w:tcBorders>
            <w:textDirection w:val="lrTb"/>
            <w:vAlign w:val="center"/>
          </w:tcPr>
          <w:p w:rsidR="00DD172F" w:rsidRPr="00C05316" w:rsidP="00B80F08">
            <w:pPr>
              <w:rPr>
                <w:rFonts w:ascii="Arial Narrow" w:hAnsi="Arial Narrow" w:cs="Arial Narrow"/>
                <w:b/>
                <w:sz w:val="18"/>
                <w:szCs w:val="24"/>
              </w:rPr>
            </w:pPr>
            <w:r w:rsidRPr="00C05316">
              <w:rPr>
                <w:rFonts w:ascii="Arial Narrow" w:hAnsi="Arial Narrow" w:cs="Arial Narrow"/>
                <w:b/>
                <w:sz w:val="18"/>
                <w:szCs w:val="24"/>
              </w:rPr>
              <w:t>Výdavky na verejnoprospešný účel</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-432</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-13 792</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DD172F" w:rsidP="00B80F08">
            <w:pPr>
              <w:jc w:val="right"/>
              <w:rPr>
                <w:rFonts w:ascii="Arial Narrow" w:hAnsi="Arial Narrow" w:cs="Arial Narrow"/>
                <w:b/>
                <w:sz w:val="18"/>
                <w:szCs w:val="24"/>
              </w:rPr>
            </w:pPr>
            <w:r>
              <w:rPr>
                <w:rFonts w:ascii="Arial Narrow" w:hAnsi="Arial Narrow" w:cs="Arial Narrow"/>
                <w:b/>
                <w:sz w:val="18"/>
                <w:szCs w:val="24"/>
              </w:rPr>
              <w:t>-28 371</w:t>
            </w:r>
          </w:p>
        </w:tc>
      </w:tr>
      <w:tr>
        <w:tblPrEx>
          <w:tblW w:w="9072" w:type="dxa"/>
          <w:jc w:val="center"/>
          <w:tblInd w:w="0" w:type="dxa"/>
          <w:tblCellMar>
            <w:left w:w="70" w:type="dxa"/>
            <w:right w:w="70" w:type="dxa"/>
          </w:tblCellMar>
        </w:tblPrEx>
        <w:trPr>
          <w:trHeight w:val="270"/>
          <w:jc w:val="center"/>
        </w:trPr>
        <w:tc>
          <w:tcPr>
            <w:tcW w:w="5229" w:type="dxa"/>
            <w:tcBorders>
              <w:top w:val="single" w:sz="8"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fyzických osôb</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565</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-3 120</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-5 112</w:t>
            </w:r>
          </w:p>
        </w:tc>
      </w:tr>
      <w:tr>
        <w:tblPrEx>
          <w:tblW w:w="9072" w:type="dxa"/>
          <w:jc w:val="center"/>
          <w:tblInd w:w="0" w:type="dxa"/>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DD172F" w:rsidRPr="00DF45EC" w:rsidP="00513FFB">
            <w:pPr>
              <w:ind w:firstLine="180" w:firstLineChars="100"/>
              <w:rPr>
                <w:rFonts w:ascii="Arial Narrow" w:hAnsi="Arial Narrow" w:cs="Arial Narrow"/>
                <w:sz w:val="18"/>
                <w:szCs w:val="24"/>
              </w:rPr>
            </w:pPr>
            <w:r w:rsidRPr="00DF45EC">
              <w:rPr>
                <w:rFonts w:ascii="Arial Narrow" w:hAnsi="Arial Narrow" w:cs="Arial Narrow"/>
                <w:sz w:val="18"/>
                <w:szCs w:val="24"/>
              </w:rPr>
              <w:t>Daň z príjmov právnických osôb</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-996</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-10 672</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DD172F" w:rsidP="00B80F08">
            <w:pPr>
              <w:jc w:val="right"/>
              <w:rPr>
                <w:rFonts w:ascii="Arial Narrow" w:hAnsi="Arial Narrow" w:cs="Arial Narrow"/>
                <w:sz w:val="18"/>
                <w:szCs w:val="24"/>
              </w:rPr>
            </w:pPr>
            <w:r>
              <w:rPr>
                <w:rFonts w:ascii="Arial Narrow" w:hAnsi="Arial Narrow" w:cs="Arial Narrow"/>
                <w:sz w:val="18"/>
                <w:szCs w:val="24"/>
              </w:rPr>
              <w:t>-23 259</w:t>
            </w:r>
          </w:p>
        </w:tc>
      </w:tr>
      <w:tr>
        <w:tblPrEx>
          <w:tblW w:w="9072" w:type="dxa"/>
          <w:jc w:val="center"/>
          <w:tblInd w:w="0" w:type="dxa"/>
          <w:tblCellMar>
            <w:left w:w="70" w:type="dxa"/>
            <w:right w:w="70" w:type="dxa"/>
          </w:tblCellMar>
        </w:tblPrEx>
        <w:trPr>
          <w:trHeight w:val="270"/>
          <w:jc w:val="center"/>
        </w:trPr>
        <w:tc>
          <w:tcPr>
            <w:tcW w:w="9072" w:type="dxa"/>
            <w:gridSpan w:val="4"/>
            <w:tcBorders>
              <w:top w:val="single" w:sz="4" w:space="0" w:color="auto"/>
              <w:left w:val="nil"/>
              <w:bottom w:val="nil"/>
              <w:right w:val="nil"/>
            </w:tcBorders>
            <w:textDirection w:val="lrTb"/>
            <w:vAlign w:val="center"/>
          </w:tcPr>
          <w:p w:rsidR="00DD172F" w:rsidP="00B80F08">
            <w:pPr>
              <w:rPr>
                <w:rFonts w:ascii="Arial Narrow" w:hAnsi="Arial Narrow" w:cs="Arial Narrow"/>
                <w:i/>
                <w:sz w:val="16"/>
                <w:szCs w:val="24"/>
              </w:rPr>
            </w:pPr>
            <w:r w:rsidRPr="00DF45EC">
              <w:rPr>
                <w:rFonts w:ascii="Arial Narrow" w:hAnsi="Arial Narrow" w:cs="Arial Narrow"/>
                <w:i/>
                <w:sz w:val="16"/>
                <w:szCs w:val="24"/>
              </w:rPr>
              <w:t>(+)  indikuje aktuálny odhad vyšší ako rozpočet, (-)  indikuje a</w:t>
            </w:r>
            <w:r>
              <w:rPr>
                <w:rFonts w:ascii="Arial Narrow" w:hAnsi="Arial Narrow" w:cs="Arial Narrow"/>
                <w:i/>
                <w:sz w:val="16"/>
                <w:szCs w:val="24"/>
              </w:rPr>
              <w:t>ktuálny odhad nižší ako rozpočet</w:t>
            </w:r>
          </w:p>
          <w:p w:rsidR="00DD172F" w:rsidRPr="00DF45EC" w:rsidP="00B80F08">
            <w:pPr>
              <w:rPr>
                <w:rFonts w:ascii="Arial Narrow" w:hAnsi="Arial Narrow" w:cs="Arial Narrow"/>
                <w:i/>
                <w:sz w:val="16"/>
                <w:szCs w:val="24"/>
              </w:rPr>
            </w:pPr>
            <w:r>
              <w:rPr>
                <w:rFonts w:ascii="Arial Narrow" w:hAnsi="Arial Narrow" w:cs="Arial Narrow"/>
                <w:i/>
                <w:sz w:val="16"/>
                <w:szCs w:val="24"/>
              </w:rPr>
              <w:t>Rozdiely sú robené na prognózach bez sankcií.</w:t>
            </w:r>
          </w:p>
        </w:tc>
      </w:tr>
    </w:tbl>
    <w:p w:rsidR="00DD172F" w:rsidRPr="00A822E4" w:rsidP="00DD172F">
      <w:pPr>
        <w:outlineLvl w:val="0"/>
        <w:rPr>
          <w:rFonts w:ascii="Arial Narrow" w:hAnsi="Arial Narrow" w:cs="Arial Narrow"/>
          <w:b/>
          <w:sz w:val="22"/>
          <w:szCs w:val="24"/>
        </w:rPr>
      </w:pPr>
    </w:p>
    <w:p w:rsidR="00DD172F" w:rsidRPr="00272CC4" w:rsidP="00272CC4">
      <w:pPr>
        <w:rPr>
          <w:rFonts w:ascii="Arial Narrow" w:hAnsi="Arial Narrow" w:cs="Arial Narrow"/>
          <w:b/>
          <w:szCs w:val="24"/>
        </w:rPr>
      </w:pPr>
      <w:r w:rsidRPr="00272CC4">
        <w:rPr>
          <w:rFonts w:ascii="Arial Narrow" w:hAnsi="Arial Narrow" w:cs="Arial Narrow"/>
          <w:b/>
          <w:szCs w:val="24"/>
        </w:rPr>
        <w:t>Vyjadrenia členov daňového výboru k prognózam</w:t>
      </w:r>
    </w:p>
    <w:p w:rsidR="00DD172F" w:rsidRPr="00A822E4" w:rsidP="00DD172F">
      <w:pPr>
        <w:jc w:val="both"/>
        <w:rPr>
          <w:rFonts w:ascii="Arial Narrow" w:hAnsi="Arial Narrow" w:cs="Arial Narrow"/>
          <w:sz w:val="22"/>
          <w:szCs w:val="24"/>
        </w:rPr>
      </w:pPr>
    </w:p>
    <w:p w:rsidR="00DD172F" w:rsidRPr="005C5D3D" w:rsidP="00DD172F">
      <w:pPr>
        <w:ind w:firstLine="708"/>
        <w:jc w:val="both"/>
        <w:rPr>
          <w:rFonts w:ascii="Arial Narrow" w:hAnsi="Arial Narrow" w:cs="Arial Narrow"/>
          <w:sz w:val="22"/>
          <w:szCs w:val="24"/>
        </w:rPr>
      </w:pPr>
      <w:r w:rsidRPr="005C5D3D">
        <w:rPr>
          <w:rFonts w:ascii="Arial Narrow" w:hAnsi="Arial Narrow" w:cs="Arial Narrow"/>
          <w:sz w:val="22"/>
          <w:szCs w:val="24"/>
        </w:rPr>
        <w:t xml:space="preserve">Prognóza daňových príjmov MF SR bola podrobená hodnoteniu v rámci Výboru pre daňové prognózy. Osemnáste zasadnutie Výboru sa konalo 21. septembra 2009. Strednodobá prognóza daňových príjmov a sociálnych odvodov MF SR bola všetkými členmi Výboru označená ako </w:t>
      </w:r>
      <w:r w:rsidRPr="005C5D3D">
        <w:rPr>
          <w:rFonts w:ascii="Arial Narrow" w:hAnsi="Arial Narrow" w:cs="Arial Narrow"/>
          <w:b/>
          <w:sz w:val="22"/>
          <w:szCs w:val="24"/>
        </w:rPr>
        <w:t>realistická</w:t>
      </w:r>
      <w:r w:rsidRPr="005C5D3D">
        <w:rPr>
          <w:rFonts w:ascii="Arial Narrow" w:hAnsi="Arial Narrow" w:cs="Arial Narrow"/>
          <w:sz w:val="22"/>
          <w:szCs w:val="24"/>
        </w:rPr>
        <w:t>.</w:t>
      </w:r>
    </w:p>
    <w:p w:rsidR="00DD172F" w:rsidRPr="005C5D3D" w:rsidP="00DD172F">
      <w:pPr>
        <w:jc w:val="both"/>
        <w:rPr>
          <w:rFonts w:ascii="Arial Narrow" w:hAnsi="Arial Narrow" w:cs="Arial Narrow"/>
          <w:sz w:val="22"/>
          <w:szCs w:val="24"/>
          <w:highlight w:val="yellow"/>
          <w:u w:val="single"/>
        </w:rPr>
      </w:pPr>
    </w:p>
    <w:p w:rsidR="00DD172F" w:rsidRPr="005C5D3D" w:rsidP="00DD172F">
      <w:pPr>
        <w:autoSpaceDE w:val="0"/>
        <w:autoSpaceDN w:val="0"/>
        <w:adjustRightInd w:val="0"/>
        <w:spacing w:line="240" w:lineRule="atLeast"/>
        <w:jc w:val="both"/>
        <w:rPr>
          <w:rFonts w:ascii="Arial Narrow" w:hAnsi="Arial Narrow" w:cs="Arial Narrow"/>
          <w:sz w:val="22"/>
          <w:szCs w:val="24"/>
          <w:u w:val="single"/>
        </w:rPr>
      </w:pPr>
      <w:r w:rsidRPr="005C5D3D">
        <w:rPr>
          <w:rFonts w:ascii="Arial Narrow" w:hAnsi="Arial Narrow" w:cs="Arial Narrow"/>
          <w:sz w:val="22"/>
          <w:szCs w:val="24"/>
          <w:u w:val="single"/>
        </w:rPr>
        <w:t>NBS</w:t>
      </w:r>
    </w:p>
    <w:p w:rsidR="00DD172F" w:rsidRPr="005C5D3D" w:rsidP="00DD172F">
      <w:pPr>
        <w:autoSpaceDE w:val="0"/>
        <w:autoSpaceDN w:val="0"/>
        <w:adjustRightInd w:val="0"/>
        <w:spacing w:line="240" w:lineRule="atLeast"/>
        <w:jc w:val="both"/>
        <w:rPr>
          <w:rFonts w:ascii="Arial Narrow" w:hAnsi="Arial Narrow" w:cs="Arial Narrow"/>
          <w:sz w:val="22"/>
          <w:szCs w:val="24"/>
        </w:rPr>
      </w:pPr>
    </w:p>
    <w:p w:rsidR="00DD172F" w:rsidRPr="005C5D3D" w:rsidP="00DD172F">
      <w:pPr>
        <w:autoSpaceDE w:val="0"/>
        <w:autoSpaceDN w:val="0"/>
        <w:adjustRightInd w:val="0"/>
        <w:spacing w:line="240" w:lineRule="atLeast"/>
        <w:ind w:firstLine="708"/>
        <w:jc w:val="both"/>
        <w:rPr>
          <w:rFonts w:ascii="Arial Narrow" w:hAnsi="Arial Narrow" w:cs="Arial Narrow"/>
          <w:sz w:val="22"/>
          <w:szCs w:val="24"/>
        </w:rPr>
      </w:pPr>
      <w:r w:rsidRPr="005C5D3D">
        <w:rPr>
          <w:rFonts w:ascii="Arial Narrow" w:hAnsi="Arial Narrow" w:cs="Arial Narrow"/>
          <w:sz w:val="22"/>
          <w:szCs w:val="24"/>
        </w:rPr>
        <w:t>NBS považuje prognózu daňových a odvodových príjmov MF</w:t>
      </w:r>
      <w:r>
        <w:rPr>
          <w:rFonts w:ascii="Arial Narrow" w:hAnsi="Arial Narrow" w:cs="Arial Narrow"/>
          <w:sz w:val="22"/>
          <w:szCs w:val="24"/>
        </w:rPr>
        <w:t xml:space="preserve"> </w:t>
      </w:r>
      <w:r w:rsidRPr="005C5D3D">
        <w:rPr>
          <w:rFonts w:ascii="Arial Narrow" w:hAnsi="Arial Narrow" w:cs="Arial Narrow"/>
          <w:sz w:val="22"/>
          <w:szCs w:val="24"/>
        </w:rPr>
        <w:t>SR za realistickú pri očakávanom scenári makroekonomického vývoja. Aktuálne riziká plnenia daňových a odvodových príjmov súvisia v prevažnej miere s nenaplnením očakávaní ohľadom vývoja makroekonomického prostredia. V rámci daní má NBS mierne konzervatívnejšie očakávania ohľadom príjmov dane z príjmu fyzických osôb v roku 2009 a vývoja spotrebných daní v rokoch 2010 až 2012. Pri ostatných príjmoch očakáva NBS plnenie porovnateľné s výhľadom MF SR.</w:t>
      </w:r>
    </w:p>
    <w:p w:rsidR="00DD172F" w:rsidRPr="005C5D3D" w:rsidP="00DD172F">
      <w:pPr>
        <w:autoSpaceDE w:val="0"/>
        <w:autoSpaceDN w:val="0"/>
        <w:adjustRightInd w:val="0"/>
        <w:spacing w:line="240" w:lineRule="atLeast"/>
        <w:jc w:val="both"/>
        <w:rPr>
          <w:rFonts w:ascii="Arial Narrow" w:hAnsi="Arial Narrow" w:cs="Arial Narrow"/>
          <w:sz w:val="22"/>
          <w:szCs w:val="24"/>
        </w:rPr>
      </w:pPr>
    </w:p>
    <w:p w:rsidR="00DD172F" w:rsidRPr="005C5D3D" w:rsidP="00DD172F">
      <w:pPr>
        <w:autoSpaceDE w:val="0"/>
        <w:autoSpaceDN w:val="0"/>
        <w:adjustRightInd w:val="0"/>
        <w:spacing w:line="240" w:lineRule="atLeast"/>
        <w:jc w:val="both"/>
        <w:rPr>
          <w:rFonts w:ascii="Arial Narrow" w:hAnsi="Arial Narrow" w:cs="Arial Narrow"/>
          <w:sz w:val="22"/>
          <w:szCs w:val="24"/>
          <w:u w:val="single"/>
        </w:rPr>
      </w:pPr>
      <w:r w:rsidRPr="005C5D3D">
        <w:rPr>
          <w:rFonts w:ascii="Arial Narrow" w:hAnsi="Arial Narrow" w:cs="Arial Narrow"/>
          <w:sz w:val="22"/>
          <w:szCs w:val="24"/>
          <w:u w:val="single"/>
        </w:rPr>
        <w:t>Tatra banka</w:t>
      </w:r>
    </w:p>
    <w:p w:rsidR="00DD172F" w:rsidRPr="005C5D3D" w:rsidP="00DD172F">
      <w:pPr>
        <w:autoSpaceDE w:val="0"/>
        <w:autoSpaceDN w:val="0"/>
        <w:adjustRightInd w:val="0"/>
        <w:spacing w:line="240" w:lineRule="atLeast"/>
        <w:jc w:val="both"/>
        <w:rPr>
          <w:rFonts w:ascii="Arial Narrow" w:hAnsi="Arial Narrow" w:cs="Arial Narrow"/>
          <w:sz w:val="22"/>
          <w:szCs w:val="24"/>
        </w:rPr>
      </w:pPr>
    </w:p>
    <w:p w:rsidR="00DD172F" w:rsidRPr="005C5D3D" w:rsidP="00DD172F">
      <w:pPr>
        <w:autoSpaceDE w:val="0"/>
        <w:autoSpaceDN w:val="0"/>
        <w:adjustRightInd w:val="0"/>
        <w:spacing w:line="240" w:lineRule="atLeast"/>
        <w:ind w:firstLine="708"/>
        <w:jc w:val="both"/>
        <w:rPr>
          <w:rFonts w:ascii="Arial Narrow" w:hAnsi="Arial Narrow" w:cs="Arial Narrow"/>
          <w:sz w:val="22"/>
          <w:szCs w:val="24"/>
        </w:rPr>
      </w:pPr>
      <w:r w:rsidR="00BB5C1C">
        <w:rPr>
          <w:rFonts w:ascii="Arial Narrow" w:hAnsi="Arial Narrow" w:cs="Arial Narrow"/>
          <w:sz w:val="22"/>
          <w:szCs w:val="24"/>
        </w:rPr>
        <w:t>Prognózu MF SR hodnotí</w:t>
      </w:r>
      <w:r w:rsidRPr="005C5D3D">
        <w:rPr>
          <w:rFonts w:ascii="Arial Narrow" w:hAnsi="Arial Narrow" w:cs="Arial Narrow"/>
          <w:sz w:val="22"/>
          <w:szCs w:val="24"/>
        </w:rPr>
        <w:t xml:space="preserve"> ako realistickú. Určité riziko vid</w:t>
      </w:r>
      <w:r w:rsidR="00BB5C1C">
        <w:rPr>
          <w:rFonts w:ascii="Arial Narrow" w:hAnsi="Arial Narrow" w:cs="Arial Narrow"/>
          <w:sz w:val="22"/>
          <w:szCs w:val="24"/>
        </w:rPr>
        <w:t>í</w:t>
      </w:r>
      <w:r w:rsidRPr="005C5D3D">
        <w:rPr>
          <w:rFonts w:ascii="Arial Narrow" w:hAnsi="Arial Narrow" w:cs="Arial Narrow"/>
          <w:sz w:val="22"/>
          <w:szCs w:val="24"/>
        </w:rPr>
        <w:t xml:space="preserve"> vo výbere dani z príjmov právnických osôb v roku 2010 vzhľadom na veľký prepad ziskovosti celého podnikového sektora. Preto očakáva</w:t>
      </w:r>
      <w:r w:rsidR="00BB5C1C">
        <w:rPr>
          <w:rFonts w:ascii="Arial Narrow" w:hAnsi="Arial Narrow" w:cs="Arial Narrow"/>
          <w:sz w:val="22"/>
          <w:szCs w:val="24"/>
        </w:rPr>
        <w:t xml:space="preserve"> </w:t>
      </w:r>
      <w:r w:rsidRPr="005C5D3D">
        <w:rPr>
          <w:rFonts w:ascii="Arial Narrow" w:hAnsi="Arial Narrow" w:cs="Arial Narrow"/>
          <w:sz w:val="22"/>
          <w:szCs w:val="24"/>
        </w:rPr>
        <w:t>v roku 2010 nižší výber tejto dane asi o 100 mil. eur ako očakáva MF SR. V roku 2011 by sa ziskovosť podnikového sektora mala zlepšiť a výber dane z právnických osôb by mal byť zhodný s očakávaniami MF SR.</w:t>
      </w:r>
    </w:p>
    <w:p w:rsidR="00DE74B6" w:rsidP="00DE74B6">
      <w:pPr>
        <w:autoSpaceDE w:val="0"/>
        <w:autoSpaceDN w:val="0"/>
        <w:adjustRightInd w:val="0"/>
        <w:spacing w:line="240" w:lineRule="atLeast"/>
        <w:jc w:val="both"/>
        <w:rPr>
          <w:rFonts w:ascii="Arial Narrow" w:hAnsi="Arial Narrow" w:cs="Arial Narrow"/>
          <w:sz w:val="22"/>
          <w:szCs w:val="24"/>
          <w:u w:val="single"/>
        </w:rPr>
      </w:pPr>
    </w:p>
    <w:p w:rsidR="00DE74B6" w:rsidRPr="005C5D3D" w:rsidP="00DE74B6">
      <w:pPr>
        <w:autoSpaceDE w:val="0"/>
        <w:autoSpaceDN w:val="0"/>
        <w:adjustRightInd w:val="0"/>
        <w:spacing w:line="240" w:lineRule="atLeast"/>
        <w:jc w:val="both"/>
        <w:rPr>
          <w:rFonts w:ascii="Arial Narrow" w:hAnsi="Arial Narrow" w:cs="Arial Narrow"/>
          <w:sz w:val="22"/>
          <w:szCs w:val="24"/>
          <w:u w:val="single"/>
        </w:rPr>
      </w:pPr>
      <w:r>
        <w:rPr>
          <w:rFonts w:ascii="Arial Narrow" w:hAnsi="Arial Narrow" w:cs="Arial Narrow"/>
          <w:sz w:val="22"/>
          <w:szCs w:val="24"/>
          <w:u w:val="single"/>
        </w:rPr>
        <w:t>Infostat</w:t>
      </w:r>
    </w:p>
    <w:p w:rsidR="00DE74B6" w:rsidRPr="005C5D3D" w:rsidP="00DE74B6">
      <w:pPr>
        <w:autoSpaceDE w:val="0"/>
        <w:autoSpaceDN w:val="0"/>
        <w:adjustRightInd w:val="0"/>
        <w:spacing w:line="240" w:lineRule="atLeast"/>
        <w:jc w:val="both"/>
        <w:rPr>
          <w:rFonts w:ascii="Arial Narrow" w:hAnsi="Arial Narrow" w:cs="Arial Narrow"/>
          <w:sz w:val="22"/>
          <w:szCs w:val="24"/>
        </w:rPr>
      </w:pPr>
    </w:p>
    <w:p w:rsidR="00DE74B6" w:rsidP="00DE74B6">
      <w:pPr>
        <w:autoSpaceDE w:val="0"/>
        <w:autoSpaceDN w:val="0"/>
        <w:adjustRightInd w:val="0"/>
        <w:spacing w:line="240" w:lineRule="atLeast"/>
        <w:ind w:firstLine="708"/>
        <w:jc w:val="both"/>
        <w:rPr>
          <w:rFonts w:ascii="Arial Narrow" w:hAnsi="Arial Narrow" w:cs="Arial Narrow"/>
          <w:color w:val="000000"/>
          <w:sz w:val="22"/>
          <w:szCs w:val="24"/>
        </w:rPr>
      </w:pPr>
      <w:r>
        <w:rPr>
          <w:rFonts w:ascii="Arial Narrow" w:hAnsi="Arial Narrow" w:cs="Arial Narrow"/>
          <w:color w:val="000000"/>
          <w:sz w:val="22"/>
          <w:szCs w:val="24"/>
        </w:rPr>
        <w:t>Prognózu vývoja daňových a sociálnych príjmov MF SR na roky 2009 až 2012 hodnoti</w:t>
      </w:r>
      <w:r w:rsidR="00BB5C1C">
        <w:rPr>
          <w:rFonts w:ascii="Arial Narrow" w:hAnsi="Arial Narrow" w:cs="Arial Narrow"/>
          <w:color w:val="000000"/>
          <w:sz w:val="22"/>
          <w:szCs w:val="24"/>
        </w:rPr>
        <w:t>í</w:t>
      </w:r>
      <w:r>
        <w:rPr>
          <w:rFonts w:ascii="Arial Narrow" w:hAnsi="Arial Narrow" w:cs="Arial Narrow"/>
          <w:color w:val="000000"/>
          <w:sz w:val="22"/>
          <w:szCs w:val="24"/>
        </w:rPr>
        <w:t xml:space="preserve"> celkovo ako realistickú. Z h</w:t>
      </w:r>
      <w:r w:rsidR="00BB5C1C">
        <w:rPr>
          <w:rFonts w:ascii="Arial Narrow" w:hAnsi="Arial Narrow" w:cs="Arial Narrow"/>
          <w:color w:val="000000"/>
          <w:sz w:val="22"/>
          <w:szCs w:val="24"/>
        </w:rPr>
        <w:t>ľadiska štruktúry však očakáva</w:t>
      </w:r>
      <w:r>
        <w:rPr>
          <w:rFonts w:ascii="Arial Narrow" w:hAnsi="Arial Narrow" w:cs="Arial Narrow"/>
          <w:color w:val="000000"/>
          <w:sz w:val="22"/>
          <w:szCs w:val="24"/>
        </w:rPr>
        <w:t xml:space="preserve"> čiastočne rozdielny vývoj.</w:t>
      </w:r>
      <w:r w:rsidR="00BB5C1C">
        <w:rPr>
          <w:rFonts w:ascii="Arial Narrow" w:hAnsi="Arial Narrow" w:cs="Arial Narrow"/>
          <w:color w:val="000000"/>
          <w:sz w:val="22"/>
          <w:szCs w:val="24"/>
        </w:rPr>
        <w:t xml:space="preserve"> Pri priamych daniach prognózujr</w:t>
      </w:r>
      <w:r>
        <w:rPr>
          <w:rFonts w:ascii="Arial Narrow" w:hAnsi="Arial Narrow" w:cs="Arial Narrow"/>
          <w:color w:val="000000"/>
          <w:sz w:val="22"/>
          <w:szCs w:val="24"/>
        </w:rPr>
        <w:t xml:space="preserve"> vyššie príjmy v porovnaní s MF SR, naopak v oblasti nepriamych daní príjmy nižšie.</w:t>
      </w:r>
    </w:p>
    <w:p w:rsidR="00D077AE" w:rsidRPr="00656C18" w:rsidP="00274F1D">
      <w:pPr>
        <w:pStyle w:val="Heading2"/>
        <w:spacing w:before="360"/>
        <w:rPr>
          <w:rFonts w:ascii="Arial Narrow" w:hAnsi="Arial Narrow" w:cs="Arial Narrow"/>
          <w:i w:val="0"/>
          <w:sz w:val="24"/>
          <w:szCs w:val="24"/>
        </w:rPr>
      </w:pPr>
      <w:bookmarkStart w:id="38" w:name="_Toc219860186"/>
      <w:bookmarkStart w:id="39" w:name="_Toc241846645"/>
      <w:r>
        <w:rPr>
          <w:rFonts w:ascii="Arial Narrow" w:hAnsi="Arial Narrow" w:cs="Arial Narrow"/>
          <w:i w:val="0"/>
          <w:sz w:val="24"/>
          <w:szCs w:val="24"/>
        </w:rPr>
        <w:t xml:space="preserve">3.4. </w:t>
      </w:r>
      <w:r w:rsidRPr="00656C18">
        <w:rPr>
          <w:rFonts w:ascii="Arial Narrow" w:hAnsi="Arial Narrow" w:cs="Arial Narrow"/>
          <w:i w:val="0"/>
          <w:sz w:val="24"/>
          <w:szCs w:val="24"/>
        </w:rPr>
        <w:t>Rozpočtovanie iných ako daňových príjmov</w:t>
      </w:r>
      <w:bookmarkEnd w:id="38"/>
      <w:bookmarkEnd w:id="39"/>
    </w:p>
    <w:p w:rsidR="00D077AE" w:rsidRPr="00BC499A" w:rsidP="00F315AD">
      <w:pPr>
        <w:spacing w:before="240"/>
        <w:rPr>
          <w:rFonts w:ascii="Arial Narrow" w:hAnsi="Arial Narrow" w:cs="Arial Narrow"/>
          <w:sz w:val="22"/>
          <w:szCs w:val="24"/>
        </w:rPr>
      </w:pPr>
      <w:r w:rsidRPr="00BC499A">
        <w:rPr>
          <w:rFonts w:ascii="Arial Narrow" w:hAnsi="Arial Narrow" w:cs="Arial Narrow"/>
          <w:b/>
          <w:sz w:val="22"/>
          <w:szCs w:val="24"/>
        </w:rPr>
        <w:tab/>
      </w:r>
      <w:r w:rsidRPr="00BC499A">
        <w:rPr>
          <w:rFonts w:ascii="Arial Narrow" w:hAnsi="Arial Narrow" w:cs="Arial Narrow"/>
          <w:sz w:val="22"/>
          <w:szCs w:val="24"/>
        </w:rPr>
        <w:t xml:space="preserve">Iné ako daňové príjmy štátneho rozpočtu tvoria nedaňové príjmy, granty a transfery. </w:t>
      </w:r>
    </w:p>
    <w:p w:rsidR="00D077AE" w:rsidRPr="00BC499A" w:rsidP="00F315AD">
      <w:pPr>
        <w:spacing w:before="120"/>
        <w:ind w:firstLine="709"/>
        <w:jc w:val="both"/>
        <w:rPr>
          <w:rFonts w:ascii="Arial Narrow" w:hAnsi="Arial Narrow" w:cs="Arial Narrow"/>
          <w:sz w:val="22"/>
          <w:szCs w:val="24"/>
        </w:rPr>
      </w:pPr>
      <w:r w:rsidRPr="00BC499A">
        <w:rPr>
          <w:rFonts w:ascii="Arial Narrow" w:hAnsi="Arial Narrow" w:cs="Arial Narrow"/>
          <w:b/>
          <w:sz w:val="22"/>
          <w:szCs w:val="24"/>
        </w:rPr>
        <w:t>Nedaňové príjmy</w:t>
      </w:r>
      <w:r w:rsidRPr="00BC499A">
        <w:rPr>
          <w:rFonts w:ascii="Arial Narrow" w:hAnsi="Arial Narrow" w:cs="Arial Narrow"/>
          <w:sz w:val="22"/>
          <w:szCs w:val="24"/>
        </w:rPr>
        <w:t xml:space="preserve"> súvisia s činnosťou jednotlivých kapitol štátneho rozpočtu a  tvoria ich</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 xml:space="preserve"> - príjmy z podnikania a z vlastníctva majetku,</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 xml:space="preserve"> - administratívne a iné poplatky a platby,</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 xml:space="preserve"> - kapitálové príjmy, </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 xml:space="preserve"> - úroky z tuzemských a zahraničných úverov, pôžičiek, návratných finančných výpomocí, vkladov</w:t>
      </w:r>
      <w:r>
        <w:rPr>
          <w:rFonts w:ascii="Arial Narrow" w:hAnsi="Arial Narrow" w:cs="Arial Narrow"/>
          <w:sz w:val="22"/>
          <w:szCs w:val="24"/>
        </w:rPr>
        <w:t>,</w:t>
      </w:r>
      <w:r w:rsidRPr="00BC499A">
        <w:rPr>
          <w:rFonts w:ascii="Arial Narrow" w:hAnsi="Arial Narrow" w:cs="Arial Narrow"/>
          <w:sz w:val="22"/>
          <w:szCs w:val="24"/>
        </w:rPr>
        <w:t xml:space="preserve">        </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 xml:space="preserve"> - iné nedaňové príjmy.</w:t>
      </w:r>
      <w:r>
        <w:rPr>
          <w:rFonts w:ascii="Arial Narrow" w:hAnsi="Arial Narrow" w:cs="Arial Narrow"/>
          <w:sz w:val="22"/>
          <w:szCs w:val="24"/>
        </w:rPr>
        <w:t xml:space="preserve"> </w:t>
      </w:r>
    </w:p>
    <w:p w:rsidR="00D077AE" w:rsidP="00D077AE">
      <w:pPr>
        <w:jc w:val="both"/>
        <w:rPr>
          <w:rFonts w:ascii="Arial Narrow" w:hAnsi="Arial Narrow" w:cs="Arial Narrow"/>
          <w:sz w:val="22"/>
          <w:szCs w:val="24"/>
        </w:rPr>
      </w:pPr>
      <w:r w:rsidRPr="00BC499A">
        <w:rPr>
          <w:rFonts w:ascii="Arial Narrow" w:hAnsi="Arial Narrow" w:cs="Arial Narrow"/>
          <w:sz w:val="22"/>
          <w:szCs w:val="24"/>
        </w:rPr>
        <w:tab/>
      </w:r>
    </w:p>
    <w:p w:rsidR="00D077AE" w:rsidP="00D077AE">
      <w:pPr>
        <w:ind w:firstLine="708"/>
        <w:jc w:val="both"/>
        <w:rPr>
          <w:rFonts w:ascii="Arial Narrow" w:hAnsi="Arial Narrow" w:cs="Arial Narrow"/>
          <w:sz w:val="22"/>
          <w:szCs w:val="24"/>
        </w:rPr>
      </w:pPr>
      <w:r w:rsidRPr="00BC499A">
        <w:rPr>
          <w:rFonts w:ascii="Arial Narrow" w:hAnsi="Arial Narrow" w:cs="Arial Narrow"/>
          <w:b/>
          <w:sz w:val="22"/>
          <w:szCs w:val="24"/>
        </w:rPr>
        <w:t>Granty a transfery</w:t>
      </w:r>
      <w:r w:rsidRPr="00BC499A">
        <w:rPr>
          <w:rFonts w:ascii="Arial Narrow" w:hAnsi="Arial Narrow" w:cs="Arial Narrow"/>
          <w:sz w:val="22"/>
          <w:szCs w:val="24"/>
        </w:rPr>
        <w:t xml:space="preserve"> tvoria bežné, kapitálové a zahraničné granty a transfery. Granty sú dobrovoľné príspevky prijaté od darcov a sponzorov. V rámci transferov sa rozpočtujú transfery v rámci verejnej správy – zo štátnych finančných aktív a zo zdravotných poisťovní a zahraničné transfery – prostriedky z rozpočtu Európskej únie. </w:t>
        <w:tab/>
      </w:r>
    </w:p>
    <w:p w:rsidR="00D077AE" w:rsidRPr="00BC499A" w:rsidP="00D077AE">
      <w:pPr>
        <w:ind w:firstLine="708"/>
        <w:jc w:val="both"/>
        <w:rPr>
          <w:rFonts w:ascii="Arial Narrow" w:hAnsi="Arial Narrow" w:cs="Arial Narrow"/>
          <w:sz w:val="22"/>
          <w:szCs w:val="24"/>
        </w:rPr>
      </w:pPr>
      <w:r w:rsidRPr="00BC499A">
        <w:rPr>
          <w:rFonts w:ascii="Arial Narrow" w:hAnsi="Arial Narrow" w:cs="Arial Narrow"/>
          <w:sz w:val="22"/>
          <w:szCs w:val="24"/>
        </w:rPr>
        <w:t>Vývoj iných a</w:t>
      </w:r>
      <w:r>
        <w:rPr>
          <w:rFonts w:ascii="Arial Narrow" w:hAnsi="Arial Narrow" w:cs="Arial Narrow"/>
          <w:sz w:val="22"/>
          <w:szCs w:val="24"/>
        </w:rPr>
        <w:t>ko daňových príjmov na roky 2009 až 2012</w:t>
      </w:r>
      <w:r w:rsidRPr="00BC499A">
        <w:rPr>
          <w:rFonts w:ascii="Arial Narrow" w:hAnsi="Arial Narrow" w:cs="Arial Narrow"/>
          <w:sz w:val="22"/>
          <w:szCs w:val="24"/>
        </w:rPr>
        <w:t xml:space="preserve"> zobrazuje nasledovná tabuľka: </w:t>
      </w:r>
    </w:p>
    <w:tbl>
      <w:tblPr>
        <w:tblStyle w:val="TableNormal"/>
        <w:tblpPr w:leftFromText="141" w:rightFromText="141" w:vertAnchor="text" w:horzAnchor="margin" w:tblpXSpec="center" w:tblpY="185"/>
        <w:tblW w:w="7881" w:type="dxa"/>
        <w:tblInd w:w="0" w:type="dxa"/>
        <w:tblCellMar>
          <w:left w:w="70" w:type="dxa"/>
          <w:right w:w="70" w:type="dxa"/>
        </w:tblCellMar>
      </w:tblPr>
      <w:tblGrid>
        <w:gridCol w:w="2703"/>
        <w:gridCol w:w="1726"/>
        <w:gridCol w:w="1726"/>
        <w:gridCol w:w="1726"/>
      </w:tblGrid>
      <w:tr>
        <w:tblPrEx>
          <w:tblW w:w="7881" w:type="dxa"/>
          <w:tblInd w:w="0" w:type="dxa"/>
          <w:tblCellMar>
            <w:left w:w="70" w:type="dxa"/>
            <w:right w:w="70" w:type="dxa"/>
          </w:tblCellMar>
        </w:tblPrEx>
        <w:trPr>
          <w:trHeight w:val="255"/>
        </w:trPr>
        <w:tc>
          <w:tcPr>
            <w:tcW w:w="2703"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74F1D" w:rsidRPr="00FB3B03" w:rsidP="00274F1D">
            <w:pP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(v tis. eur)</w:t>
            </w:r>
          </w:p>
        </w:tc>
        <w:tc>
          <w:tcPr>
            <w:tcW w:w="1726"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w:t>
            </w:r>
            <w:r>
              <w:rPr>
                <w:rFonts w:ascii="Arial Narrow" w:hAnsi="Arial Narrow" w:cs="Arial Narrow"/>
                <w:b/>
                <w:color w:val="FFFFFF"/>
                <w:sz w:val="20"/>
                <w:szCs w:val="24"/>
                <w:lang w:eastAsia="sk-SK"/>
              </w:rPr>
              <w:t>10</w:t>
            </w:r>
          </w:p>
        </w:tc>
        <w:tc>
          <w:tcPr>
            <w:tcW w:w="1726"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1</w:t>
            </w:r>
          </w:p>
        </w:tc>
        <w:tc>
          <w:tcPr>
            <w:tcW w:w="1726"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2</w:t>
            </w:r>
          </w:p>
        </w:tc>
      </w:tr>
      <w:tr>
        <w:tblPrEx>
          <w:tblW w:w="7881" w:type="dxa"/>
          <w:tblInd w:w="0" w:type="dxa"/>
          <w:tblCellMar>
            <w:left w:w="70" w:type="dxa"/>
            <w:right w:w="70" w:type="dxa"/>
          </w:tblCellMar>
        </w:tblPrEx>
        <w:trPr>
          <w:trHeight w:val="255"/>
        </w:trPr>
        <w:tc>
          <w:tcPr>
            <w:tcW w:w="2703" w:type="dxa"/>
            <w:tcBorders>
              <w:top w:val="nil"/>
              <w:left w:val="single" w:sz="4" w:space="0" w:color="auto"/>
              <w:bottom w:val="single" w:sz="4" w:space="0" w:color="auto"/>
              <w:right w:val="single" w:sz="4" w:space="0" w:color="auto"/>
            </w:tcBorders>
            <w:textDirection w:val="lrTb"/>
            <w:vAlign w:val="center"/>
          </w:tcPr>
          <w:p w:rsidR="00274F1D"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Nedaňové príjmy</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626  414</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604 875</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843  020</w:t>
            </w:r>
          </w:p>
        </w:tc>
      </w:tr>
      <w:tr>
        <w:tblPrEx>
          <w:tblW w:w="7881" w:type="dxa"/>
          <w:tblInd w:w="0" w:type="dxa"/>
          <w:tblCellMar>
            <w:left w:w="70" w:type="dxa"/>
            <w:right w:w="70" w:type="dxa"/>
          </w:tblCellMar>
        </w:tblPrEx>
        <w:trPr>
          <w:trHeight w:val="255"/>
        </w:trPr>
        <w:tc>
          <w:tcPr>
            <w:tcW w:w="2703" w:type="dxa"/>
            <w:tcBorders>
              <w:top w:val="nil"/>
              <w:left w:val="single" w:sz="4" w:space="0" w:color="auto"/>
              <w:bottom w:val="single" w:sz="4" w:space="0" w:color="auto"/>
              <w:right w:val="single" w:sz="4" w:space="0" w:color="auto"/>
            </w:tcBorders>
            <w:textDirection w:val="lrTb"/>
            <w:vAlign w:val="center"/>
          </w:tcPr>
          <w:p w:rsidR="00274F1D"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Granty a transfery</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3 284 315</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3 364 138</w:t>
            </w:r>
          </w:p>
        </w:tc>
        <w:tc>
          <w:tcPr>
            <w:tcW w:w="1726" w:type="dxa"/>
            <w:tcBorders>
              <w:top w:val="nil"/>
              <w:left w:val="nil"/>
              <w:bottom w:val="single" w:sz="4" w:space="0" w:color="auto"/>
              <w:right w:val="single" w:sz="4" w:space="0" w:color="auto"/>
            </w:tcBorders>
            <w:textDirection w:val="lrTb"/>
            <w:vAlign w:val="center"/>
          </w:tcPr>
          <w:p w:rsidR="00274F1D"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2 917 175</w:t>
            </w:r>
          </w:p>
        </w:tc>
      </w:tr>
      <w:tr>
        <w:tblPrEx>
          <w:tblW w:w="7881" w:type="dxa"/>
          <w:tblInd w:w="0" w:type="dxa"/>
          <w:tblCellMar>
            <w:left w:w="70" w:type="dxa"/>
            <w:right w:w="70" w:type="dxa"/>
          </w:tblCellMar>
        </w:tblPrEx>
        <w:trPr>
          <w:trHeight w:val="255"/>
        </w:trPr>
        <w:tc>
          <w:tcPr>
            <w:tcW w:w="2703" w:type="dxa"/>
            <w:tcBorders>
              <w:top w:val="nil"/>
              <w:left w:val="single" w:sz="4" w:space="0" w:color="auto"/>
              <w:bottom w:val="single" w:sz="4" w:space="0" w:color="auto"/>
              <w:right w:val="single" w:sz="4" w:space="0" w:color="auto"/>
            </w:tcBorders>
            <w:shd w:val="clear" w:color="auto" w:fill="C0C0C0"/>
            <w:textDirection w:val="lrTb"/>
            <w:vAlign w:val="center"/>
          </w:tcPr>
          <w:p w:rsidR="00274F1D"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S p o l u</w:t>
            </w:r>
          </w:p>
        </w:tc>
        <w:tc>
          <w:tcPr>
            <w:tcW w:w="1726" w:type="dxa"/>
            <w:tcBorders>
              <w:top w:val="nil"/>
              <w:left w:val="nil"/>
              <w:bottom w:val="single" w:sz="4" w:space="0" w:color="auto"/>
              <w:right w:val="single" w:sz="4" w:space="0" w:color="auto"/>
            </w:tcBorders>
            <w:shd w:val="clear" w:color="auto" w:fill="C0C0C0"/>
            <w:textDirection w:val="lrTb"/>
            <w:vAlign w:val="center"/>
          </w:tcPr>
          <w:p w:rsidR="00274F1D"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3 910 729</w:t>
            </w:r>
          </w:p>
        </w:tc>
        <w:tc>
          <w:tcPr>
            <w:tcW w:w="1726" w:type="dxa"/>
            <w:tcBorders>
              <w:top w:val="nil"/>
              <w:left w:val="nil"/>
              <w:bottom w:val="single" w:sz="4" w:space="0" w:color="auto"/>
              <w:right w:val="single" w:sz="4" w:space="0" w:color="auto"/>
            </w:tcBorders>
            <w:shd w:val="clear" w:color="auto" w:fill="C0C0C0"/>
            <w:textDirection w:val="lrTb"/>
            <w:vAlign w:val="center"/>
          </w:tcPr>
          <w:p w:rsidR="00274F1D"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3 969 013</w:t>
            </w:r>
          </w:p>
        </w:tc>
        <w:tc>
          <w:tcPr>
            <w:tcW w:w="1726" w:type="dxa"/>
            <w:tcBorders>
              <w:top w:val="nil"/>
              <w:left w:val="nil"/>
              <w:bottom w:val="single" w:sz="4" w:space="0" w:color="auto"/>
              <w:right w:val="single" w:sz="4" w:space="0" w:color="auto"/>
            </w:tcBorders>
            <w:shd w:val="clear" w:color="auto" w:fill="C0C0C0"/>
            <w:textDirection w:val="lrTb"/>
            <w:vAlign w:val="center"/>
          </w:tcPr>
          <w:p w:rsidR="00274F1D"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3 760 195</w:t>
            </w:r>
          </w:p>
        </w:tc>
      </w:tr>
    </w:tbl>
    <w:p w:rsidR="00D077AE" w:rsidP="00D077AE">
      <w:pPr>
        <w:jc w:val="both"/>
        <w:rPr>
          <w:rFonts w:ascii="Arial Narrow" w:hAnsi="Arial Narrow" w:cs="Arial Narrow"/>
          <w:sz w:val="22"/>
          <w:szCs w:val="24"/>
        </w:rPr>
      </w:pPr>
    </w:p>
    <w:p w:rsidR="00274F1D" w:rsidP="00D077AE">
      <w:pPr>
        <w:jc w:val="both"/>
        <w:rPr>
          <w:rFonts w:ascii="Arial Narrow" w:hAnsi="Arial Narrow" w:cs="Arial Narrow"/>
          <w:sz w:val="22"/>
          <w:szCs w:val="24"/>
        </w:rPr>
      </w:pPr>
    </w:p>
    <w:p w:rsidR="00274F1D" w:rsidP="00D077AE">
      <w:pPr>
        <w:jc w:val="both"/>
        <w:rPr>
          <w:rFonts w:ascii="Arial Narrow" w:hAnsi="Arial Narrow" w:cs="Arial Narrow"/>
          <w:sz w:val="22"/>
          <w:szCs w:val="24"/>
        </w:rPr>
      </w:pPr>
    </w:p>
    <w:p w:rsidR="00D077AE" w:rsidP="00D077AE">
      <w:pPr>
        <w:jc w:val="both"/>
        <w:rPr>
          <w:rFonts w:ascii="Arial Narrow" w:hAnsi="Arial Narrow" w:cs="Arial Narrow"/>
          <w:b/>
          <w:sz w:val="22"/>
          <w:szCs w:val="24"/>
        </w:rPr>
      </w:pPr>
    </w:p>
    <w:p w:rsidR="00F315AD" w:rsidP="00D077AE">
      <w:pPr>
        <w:jc w:val="both"/>
        <w:rPr>
          <w:rFonts w:ascii="Arial Narrow" w:hAnsi="Arial Narrow" w:cs="Arial Narrow"/>
          <w:b/>
          <w:sz w:val="22"/>
          <w:szCs w:val="24"/>
        </w:rPr>
      </w:pPr>
    </w:p>
    <w:p w:rsidR="00274F1D" w:rsidP="00D077AE">
      <w:pPr>
        <w:jc w:val="both"/>
        <w:rPr>
          <w:rFonts w:ascii="Arial Narrow" w:hAnsi="Arial Narrow" w:cs="Arial Narrow"/>
          <w:b/>
          <w:sz w:val="22"/>
          <w:szCs w:val="24"/>
        </w:rPr>
      </w:pPr>
    </w:p>
    <w:p w:rsidR="00274F1D" w:rsidP="00D077AE">
      <w:pPr>
        <w:jc w:val="both"/>
        <w:rPr>
          <w:rFonts w:ascii="Arial Narrow" w:hAnsi="Arial Narrow" w:cs="Arial Narrow"/>
          <w:b/>
          <w:sz w:val="22"/>
          <w:szCs w:val="24"/>
        </w:rPr>
      </w:pPr>
    </w:p>
    <w:p w:rsidR="00D077AE" w:rsidRPr="00BC499A" w:rsidP="00D077AE">
      <w:pPr>
        <w:jc w:val="both"/>
        <w:rPr>
          <w:rFonts w:ascii="Arial Narrow" w:hAnsi="Arial Narrow" w:cs="Arial Narrow"/>
          <w:b/>
          <w:sz w:val="22"/>
          <w:szCs w:val="24"/>
        </w:rPr>
      </w:pPr>
      <w:r w:rsidRPr="00BC499A">
        <w:rPr>
          <w:rFonts w:ascii="Arial Narrow" w:hAnsi="Arial Narrow" w:cs="Arial Narrow"/>
          <w:b/>
          <w:sz w:val="22"/>
          <w:szCs w:val="24"/>
        </w:rPr>
        <w:t>3.</w:t>
      </w:r>
      <w:r>
        <w:rPr>
          <w:rFonts w:ascii="Arial Narrow" w:hAnsi="Arial Narrow" w:cs="Arial Narrow"/>
          <w:b/>
          <w:sz w:val="22"/>
          <w:szCs w:val="24"/>
        </w:rPr>
        <w:t>4</w:t>
      </w:r>
      <w:r w:rsidRPr="00BC499A">
        <w:rPr>
          <w:rFonts w:ascii="Arial Narrow" w:hAnsi="Arial Narrow" w:cs="Arial Narrow"/>
          <w:b/>
          <w:sz w:val="22"/>
          <w:szCs w:val="24"/>
        </w:rPr>
        <w:t>.1</w:t>
      </w:r>
      <w:r>
        <w:rPr>
          <w:rFonts w:ascii="Arial Narrow" w:hAnsi="Arial Narrow" w:cs="Arial Narrow"/>
          <w:b/>
          <w:sz w:val="22"/>
          <w:szCs w:val="24"/>
        </w:rPr>
        <w:t>.</w:t>
      </w:r>
      <w:r w:rsidRPr="00BC499A">
        <w:rPr>
          <w:rFonts w:ascii="Arial Narrow" w:hAnsi="Arial Narrow" w:cs="Arial Narrow"/>
          <w:b/>
          <w:sz w:val="22"/>
          <w:szCs w:val="24"/>
        </w:rPr>
        <w:t xml:space="preserve"> Rozpočtovanie nedaňových príjmov </w:t>
      </w:r>
    </w:p>
    <w:p w:rsidR="00D077AE" w:rsidRPr="00BC499A" w:rsidP="00D077AE">
      <w:pPr>
        <w:jc w:val="both"/>
        <w:rPr>
          <w:rFonts w:ascii="Arial Narrow" w:hAnsi="Arial Narrow" w:cs="Arial Narrow"/>
          <w:b/>
          <w:sz w:val="22"/>
          <w:szCs w:val="24"/>
        </w:rPr>
      </w:pPr>
    </w:p>
    <w:p w:rsidR="00D077AE" w:rsidP="00D077AE">
      <w:pPr>
        <w:ind w:firstLine="708"/>
        <w:jc w:val="both"/>
        <w:rPr>
          <w:rFonts w:ascii="Arial Narrow" w:hAnsi="Arial Narrow" w:cs="Arial Narrow"/>
          <w:sz w:val="22"/>
          <w:szCs w:val="24"/>
        </w:rPr>
      </w:pPr>
      <w:r w:rsidRPr="00951CC4">
        <w:rPr>
          <w:rFonts w:ascii="Arial Narrow" w:hAnsi="Arial Narrow" w:cs="Arial Narrow"/>
          <w:b/>
          <w:sz w:val="22"/>
          <w:szCs w:val="24"/>
        </w:rPr>
        <w:t xml:space="preserve">Nedaňové príjmy </w:t>
      </w:r>
      <w:r w:rsidRPr="00951CC4">
        <w:rPr>
          <w:rFonts w:ascii="Arial Narrow" w:hAnsi="Arial Narrow" w:cs="Arial Narrow"/>
          <w:sz w:val="22"/>
          <w:szCs w:val="24"/>
        </w:rPr>
        <w:t xml:space="preserve">na roky 2010 až 2012 sa rozpočtujú vo výške </w:t>
      </w:r>
      <w:r w:rsidRPr="00951CC4">
        <w:rPr>
          <w:rFonts w:ascii="Arial Narrow" w:hAnsi="Arial Narrow" w:cs="Arial Narrow"/>
          <w:sz w:val="22"/>
          <w:szCs w:val="24"/>
          <w:lang w:eastAsia="sk-SK"/>
        </w:rPr>
        <w:t>626 414</w:t>
      </w:r>
      <w:r w:rsidRPr="00951CC4">
        <w:rPr>
          <w:rFonts w:ascii="Arial Narrow" w:hAnsi="Arial Narrow" w:cs="Arial Narrow"/>
          <w:sz w:val="22"/>
          <w:szCs w:val="24"/>
        </w:rPr>
        <w:t xml:space="preserve"> tis. eur, </w:t>
      </w:r>
      <w:r w:rsidRPr="00951CC4">
        <w:rPr>
          <w:rFonts w:ascii="Arial Narrow" w:hAnsi="Arial Narrow" w:cs="Arial Narrow"/>
          <w:sz w:val="22"/>
          <w:szCs w:val="24"/>
          <w:lang w:eastAsia="sk-SK"/>
        </w:rPr>
        <w:t>604 875</w:t>
      </w:r>
      <w:r w:rsidRPr="00951CC4">
        <w:rPr>
          <w:rFonts w:ascii="Arial Narrow" w:hAnsi="Arial Narrow" w:cs="Arial Narrow"/>
          <w:sz w:val="22"/>
          <w:szCs w:val="24"/>
        </w:rPr>
        <w:t xml:space="preserve"> tis. eur a </w:t>
      </w:r>
      <w:r w:rsidRPr="00951CC4">
        <w:rPr>
          <w:rFonts w:ascii="Arial Narrow" w:hAnsi="Arial Narrow" w:cs="Arial Narrow"/>
          <w:sz w:val="22"/>
          <w:szCs w:val="24"/>
          <w:lang w:eastAsia="sk-SK"/>
        </w:rPr>
        <w:t xml:space="preserve">843 020 </w:t>
      </w:r>
      <w:r w:rsidRPr="00951CC4">
        <w:rPr>
          <w:rFonts w:ascii="Arial Narrow" w:hAnsi="Arial Narrow" w:cs="Arial Narrow"/>
          <w:sz w:val="22"/>
          <w:szCs w:val="24"/>
        </w:rPr>
        <w:t xml:space="preserve">tis. eur. V roku 2010 dochádza v porovnaní so schváleným rozpočtom 2009 k poklesu celkových nedaňových príjmov vo výške 29,9 %. V roku 2011 sa oproti roku 2010 predpokladá pokles nedaňových príjmov vo výške 3,4 % a v roku 2012 predstavuje nárast 39,4 % oproti roku 2011. Uvedený pokles týchto príjmov v rokoch 2010 a 2011 je spôsobený hlavne poklesom úrokových príjmov zo zhodnocovania dočasne voľných finančných prostriedkov Ministerstva financií SR na peňažnom trhu a kapitálových príjmov. </w:t>
      </w:r>
    </w:p>
    <w:p w:rsidR="002F23EC" w:rsidRPr="00951CC4" w:rsidP="00D077AE">
      <w:pPr>
        <w:ind w:firstLine="708"/>
        <w:jc w:val="both"/>
        <w:rPr>
          <w:rFonts w:ascii="Arial Narrow" w:hAnsi="Arial Narrow" w:cs="Arial Narrow"/>
          <w:sz w:val="22"/>
          <w:szCs w:val="24"/>
        </w:rPr>
      </w:pPr>
    </w:p>
    <w:p w:rsidR="00D077AE" w:rsidP="00D077AE">
      <w:pPr>
        <w:jc w:val="both"/>
        <w:rPr>
          <w:rFonts w:ascii="Arial Narrow" w:hAnsi="Arial Narrow" w:cs="Arial Narrow"/>
          <w:sz w:val="22"/>
          <w:szCs w:val="24"/>
        </w:rPr>
      </w:pPr>
    </w:p>
    <w:tbl>
      <w:tblPr>
        <w:tblStyle w:val="TableNormal"/>
        <w:tblW w:w="7935" w:type="dxa"/>
        <w:tblInd w:w="576" w:type="dxa"/>
        <w:tblCellMar>
          <w:left w:w="70" w:type="dxa"/>
          <w:right w:w="70" w:type="dxa"/>
        </w:tblCellMar>
      </w:tblPr>
      <w:tblGrid>
        <w:gridCol w:w="460"/>
        <w:gridCol w:w="4235"/>
        <w:gridCol w:w="1080"/>
        <w:gridCol w:w="1080"/>
        <w:gridCol w:w="1080"/>
      </w:tblGrid>
      <w:tr>
        <w:tblPrEx>
          <w:tblW w:w="7935" w:type="dxa"/>
          <w:tblInd w:w="576" w:type="dxa"/>
          <w:tblCellMar>
            <w:left w:w="70" w:type="dxa"/>
            <w:right w:w="70" w:type="dxa"/>
          </w:tblCellMar>
        </w:tblPrEx>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74F1D" w:rsidRPr="00FB3B03" w:rsidP="00417604">
            <w:pPr>
              <w:jc w:val="both"/>
              <w:rPr>
                <w:rFonts w:ascii="Arial Narrow" w:hAnsi="Arial Narrow" w:cs="Arial Narrow"/>
                <w:b/>
                <w:sz w:val="20"/>
                <w:szCs w:val="24"/>
                <w:lang w:eastAsia="sk-SK"/>
              </w:rPr>
            </w:pPr>
            <w:r w:rsidRPr="00FB3B03">
              <w:rPr>
                <w:rFonts w:ascii="Arial Narrow" w:hAnsi="Arial Narrow" w:cs="Arial Narrow"/>
                <w:b/>
                <w:sz w:val="20"/>
                <w:szCs w:val="24"/>
                <w:lang w:eastAsia="sk-SK"/>
              </w:rPr>
              <w:t> </w:t>
            </w:r>
          </w:p>
        </w:tc>
        <w:tc>
          <w:tcPr>
            <w:tcW w:w="4235"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(v tis. eur)</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w:t>
            </w:r>
            <w:r>
              <w:rPr>
                <w:rFonts w:ascii="Arial Narrow" w:hAnsi="Arial Narrow" w:cs="Arial Narrow"/>
                <w:b/>
                <w:color w:val="FFFFFF"/>
                <w:sz w:val="20"/>
                <w:szCs w:val="24"/>
                <w:lang w:eastAsia="sk-SK"/>
              </w:rPr>
              <w:t>10</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1</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274F1D"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2</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shd w:val="clear" w:color="auto" w:fill="C0C0C0"/>
            <w:textDirection w:val="lrTb"/>
            <w:vAlign w:val="top"/>
          </w:tcPr>
          <w:p w:rsidR="00274F1D" w:rsidRPr="00FB3B03" w:rsidP="00417604">
            <w:pPr>
              <w:jc w:val="both"/>
              <w:rPr>
                <w:rFonts w:ascii="Arial Narrow" w:hAnsi="Arial Narrow" w:cs="Arial Narrow"/>
                <w:sz w:val="20"/>
                <w:szCs w:val="24"/>
                <w:lang w:eastAsia="sk-SK"/>
              </w:rPr>
            </w:pPr>
            <w:r w:rsidRPr="00FB3B03">
              <w:rPr>
                <w:rFonts w:ascii="Arial Narrow" w:hAnsi="Arial Narrow" w:cs="Arial Narrow"/>
                <w:sz w:val="20"/>
                <w:szCs w:val="24"/>
                <w:lang w:eastAsia="sk-SK"/>
              </w:rPr>
              <w:t> </w:t>
            </w:r>
          </w:p>
        </w:tc>
        <w:tc>
          <w:tcPr>
            <w:tcW w:w="4235" w:type="dxa"/>
            <w:tcBorders>
              <w:top w:val="nil"/>
              <w:left w:val="nil"/>
              <w:bottom w:val="single" w:sz="4" w:space="0" w:color="auto"/>
              <w:right w:val="single" w:sz="4" w:space="0" w:color="auto"/>
            </w:tcBorders>
            <w:shd w:val="clear" w:color="auto" w:fill="C0C0C0"/>
            <w:textDirection w:val="lrTb"/>
            <w:vAlign w:val="center"/>
          </w:tcPr>
          <w:p w:rsidR="00274F1D" w:rsidRPr="00FB3B03" w:rsidP="00BB5C1C">
            <w:pPr>
              <w:rPr>
                <w:rFonts w:ascii="Arial Narrow" w:hAnsi="Arial Narrow" w:cs="Arial Narrow"/>
                <w:b/>
                <w:sz w:val="20"/>
                <w:szCs w:val="24"/>
                <w:lang w:eastAsia="sk-SK"/>
              </w:rPr>
            </w:pPr>
            <w:r w:rsidRPr="00FB3B03">
              <w:rPr>
                <w:rFonts w:ascii="Arial Narrow" w:hAnsi="Arial Narrow" w:cs="Arial Narrow"/>
                <w:b/>
                <w:sz w:val="20"/>
                <w:szCs w:val="24"/>
                <w:lang w:eastAsia="sk-SK"/>
              </w:rPr>
              <w:t>Nedaňové príjmy</w:t>
            </w:r>
          </w:p>
        </w:tc>
        <w:tc>
          <w:tcPr>
            <w:tcW w:w="1080" w:type="dxa"/>
            <w:tcBorders>
              <w:top w:val="nil"/>
              <w:left w:val="nil"/>
              <w:bottom w:val="single" w:sz="4" w:space="0" w:color="auto"/>
              <w:right w:val="single" w:sz="4" w:space="0" w:color="auto"/>
            </w:tcBorders>
            <w:shd w:val="clear" w:color="auto" w:fill="C0C0C0"/>
            <w:textDirection w:val="lrTb"/>
            <w:vAlign w:val="center"/>
          </w:tcPr>
          <w:p w:rsidR="00274F1D" w:rsidRPr="00FB3B03" w:rsidP="00BB5C1C">
            <w:pPr>
              <w:jc w:val="right"/>
              <w:rPr>
                <w:rFonts w:ascii="Arial Narrow" w:hAnsi="Arial Narrow" w:cs="Arial Narrow"/>
                <w:b/>
                <w:sz w:val="20"/>
                <w:szCs w:val="24"/>
                <w:lang w:eastAsia="sk-SK"/>
              </w:rPr>
            </w:pPr>
            <w:r w:rsidRPr="00DD38DB">
              <w:rPr>
                <w:rFonts w:ascii="Arial Narrow" w:hAnsi="Arial Narrow" w:cs="Arial Narrow"/>
                <w:b/>
                <w:sz w:val="20"/>
                <w:szCs w:val="24"/>
                <w:lang w:eastAsia="sk-SK"/>
              </w:rPr>
              <w:t>626 414</w:t>
            </w:r>
          </w:p>
        </w:tc>
        <w:tc>
          <w:tcPr>
            <w:tcW w:w="1080" w:type="dxa"/>
            <w:tcBorders>
              <w:top w:val="nil"/>
              <w:left w:val="nil"/>
              <w:bottom w:val="single" w:sz="4" w:space="0" w:color="auto"/>
              <w:right w:val="single" w:sz="4" w:space="0" w:color="auto"/>
            </w:tcBorders>
            <w:shd w:val="clear" w:color="auto" w:fill="C0C0C0"/>
            <w:textDirection w:val="lrTb"/>
            <w:vAlign w:val="center"/>
          </w:tcPr>
          <w:p w:rsidR="00274F1D" w:rsidRPr="00FB3B03" w:rsidP="00BB5C1C">
            <w:pPr>
              <w:jc w:val="right"/>
              <w:rPr>
                <w:rFonts w:ascii="Arial Narrow" w:hAnsi="Arial Narrow" w:cs="Arial Narrow"/>
                <w:b/>
                <w:sz w:val="20"/>
                <w:szCs w:val="24"/>
                <w:lang w:eastAsia="sk-SK"/>
              </w:rPr>
            </w:pPr>
            <w:r>
              <w:rPr>
                <w:rFonts w:ascii="Arial Narrow" w:hAnsi="Arial Narrow" w:cs="Arial Narrow"/>
                <w:b/>
                <w:sz w:val="20"/>
                <w:szCs w:val="24"/>
                <w:lang w:eastAsia="sk-SK"/>
              </w:rPr>
              <w:t>604 875</w:t>
            </w:r>
          </w:p>
        </w:tc>
        <w:tc>
          <w:tcPr>
            <w:tcW w:w="1080" w:type="dxa"/>
            <w:tcBorders>
              <w:top w:val="nil"/>
              <w:left w:val="nil"/>
              <w:bottom w:val="single" w:sz="4" w:space="0" w:color="auto"/>
              <w:right w:val="single" w:sz="4" w:space="0" w:color="auto"/>
            </w:tcBorders>
            <w:shd w:val="clear" w:color="auto" w:fill="C0C0C0"/>
            <w:textDirection w:val="lrTb"/>
            <w:vAlign w:val="center"/>
          </w:tcPr>
          <w:p w:rsidR="00274F1D" w:rsidRPr="00FB3B03" w:rsidP="00BB5C1C">
            <w:pPr>
              <w:jc w:val="right"/>
              <w:rPr>
                <w:rFonts w:ascii="Arial Narrow" w:hAnsi="Arial Narrow" w:cs="Arial Narrow"/>
                <w:b/>
                <w:sz w:val="20"/>
                <w:szCs w:val="24"/>
                <w:lang w:eastAsia="sk-SK"/>
              </w:rPr>
            </w:pPr>
            <w:r>
              <w:rPr>
                <w:rFonts w:ascii="Arial Narrow" w:hAnsi="Arial Narrow" w:cs="Arial Narrow"/>
                <w:b/>
                <w:sz w:val="20"/>
                <w:szCs w:val="24"/>
                <w:lang w:eastAsia="sk-SK"/>
              </w:rPr>
              <w:t>843 020</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sidRPr="00FB3B03">
              <w:rPr>
                <w:rFonts w:ascii="Arial Narrow" w:hAnsi="Arial Narrow" w:cs="Arial Narrow"/>
                <w:sz w:val="20"/>
                <w:szCs w:val="24"/>
                <w:lang w:eastAsia="sk-SK"/>
              </w:rPr>
              <w:t>A.</w:t>
            </w:r>
          </w:p>
        </w:tc>
        <w:tc>
          <w:tcPr>
            <w:tcW w:w="4235" w:type="dxa"/>
            <w:tcBorders>
              <w:top w:val="nil"/>
              <w:left w:val="nil"/>
              <w:bottom w:val="single" w:sz="4" w:space="0" w:color="auto"/>
              <w:right w:val="single" w:sz="4" w:space="0" w:color="auto"/>
            </w:tcBorders>
            <w:textDirection w:val="lrTb"/>
            <w:vAlign w:val="center"/>
          </w:tcPr>
          <w:p w:rsidR="00274F1D" w:rsidRPr="00FB3B03" w:rsidP="00BB5C1C">
            <w:pPr>
              <w:rPr>
                <w:rFonts w:ascii="Arial Narrow" w:hAnsi="Arial Narrow" w:cs="Arial Narrow"/>
                <w:sz w:val="20"/>
                <w:szCs w:val="24"/>
                <w:lang w:eastAsia="sk-SK"/>
              </w:rPr>
            </w:pPr>
            <w:r w:rsidRPr="00FB3B03">
              <w:rPr>
                <w:rFonts w:ascii="Arial Narrow" w:hAnsi="Arial Narrow" w:cs="Arial Narrow"/>
                <w:sz w:val="20"/>
                <w:szCs w:val="24"/>
                <w:lang w:eastAsia="sk-SK"/>
              </w:rPr>
              <w:t>Príjmy z podnikania a z vlastníctva majetku</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62 563</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62 677</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62 765</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sidRPr="00FB3B03">
              <w:rPr>
                <w:rFonts w:ascii="Arial Narrow" w:hAnsi="Arial Narrow" w:cs="Arial Narrow"/>
                <w:sz w:val="20"/>
                <w:szCs w:val="24"/>
                <w:lang w:eastAsia="sk-SK"/>
              </w:rPr>
              <w:t>B.</w:t>
            </w:r>
          </w:p>
        </w:tc>
        <w:tc>
          <w:tcPr>
            <w:tcW w:w="4235" w:type="dxa"/>
            <w:tcBorders>
              <w:top w:val="nil"/>
              <w:left w:val="nil"/>
              <w:bottom w:val="single" w:sz="4" w:space="0" w:color="auto"/>
              <w:right w:val="single" w:sz="4" w:space="0" w:color="auto"/>
            </w:tcBorders>
            <w:textDirection w:val="lrTb"/>
            <w:vAlign w:val="center"/>
          </w:tcPr>
          <w:p w:rsidR="00274F1D" w:rsidRPr="00FB3B03" w:rsidP="00BB5C1C">
            <w:pPr>
              <w:rPr>
                <w:rFonts w:ascii="Arial Narrow" w:hAnsi="Arial Narrow" w:cs="Arial Narrow"/>
                <w:sz w:val="20"/>
                <w:szCs w:val="24"/>
                <w:lang w:eastAsia="sk-SK"/>
              </w:rPr>
            </w:pPr>
            <w:r w:rsidRPr="00FB3B03">
              <w:rPr>
                <w:rFonts w:ascii="Arial Narrow" w:hAnsi="Arial Narrow" w:cs="Arial Narrow"/>
                <w:sz w:val="20"/>
                <w:szCs w:val="24"/>
                <w:lang w:eastAsia="sk-SK"/>
              </w:rPr>
              <w:t>Administratívne a iné poplatky a platby</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296 888</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278 192</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279 937</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sidRPr="00FB3B03">
              <w:rPr>
                <w:rFonts w:ascii="Arial Narrow" w:hAnsi="Arial Narrow" w:cs="Arial Narrow"/>
                <w:sz w:val="20"/>
                <w:szCs w:val="24"/>
                <w:lang w:eastAsia="sk-SK"/>
              </w:rPr>
              <w:t>C.</w:t>
            </w:r>
          </w:p>
        </w:tc>
        <w:tc>
          <w:tcPr>
            <w:tcW w:w="4235" w:type="dxa"/>
            <w:tcBorders>
              <w:top w:val="nil"/>
              <w:left w:val="nil"/>
              <w:bottom w:val="single" w:sz="4" w:space="0" w:color="auto"/>
              <w:right w:val="single" w:sz="4" w:space="0" w:color="auto"/>
            </w:tcBorders>
            <w:textDirection w:val="lrTb"/>
            <w:vAlign w:val="center"/>
          </w:tcPr>
          <w:p w:rsidR="00274F1D" w:rsidRPr="00FB3B03" w:rsidP="00BB5C1C">
            <w:pPr>
              <w:rPr>
                <w:rFonts w:ascii="Arial Narrow" w:hAnsi="Arial Narrow" w:cs="Arial Narrow"/>
                <w:sz w:val="20"/>
                <w:szCs w:val="24"/>
                <w:lang w:eastAsia="sk-SK"/>
              </w:rPr>
            </w:pPr>
            <w:r w:rsidRPr="00FB3B03">
              <w:rPr>
                <w:rFonts w:ascii="Arial Narrow" w:hAnsi="Arial Narrow" w:cs="Arial Narrow"/>
                <w:sz w:val="20"/>
                <w:szCs w:val="24"/>
                <w:lang w:eastAsia="sk-SK"/>
              </w:rPr>
              <w:t>Kapitálové príjmy</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41 520</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6 013</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221 486</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sidRPr="00FB3B03">
              <w:rPr>
                <w:rFonts w:ascii="Arial Narrow" w:hAnsi="Arial Narrow" w:cs="Arial Narrow"/>
                <w:sz w:val="20"/>
                <w:szCs w:val="24"/>
                <w:lang w:eastAsia="sk-SK"/>
              </w:rPr>
              <w:t>D.</w:t>
            </w:r>
          </w:p>
        </w:tc>
        <w:tc>
          <w:tcPr>
            <w:tcW w:w="4235" w:type="dxa"/>
            <w:tcBorders>
              <w:top w:val="nil"/>
              <w:left w:val="nil"/>
              <w:bottom w:val="single" w:sz="4" w:space="0" w:color="auto"/>
              <w:right w:val="single" w:sz="4" w:space="0" w:color="auto"/>
            </w:tcBorders>
            <w:textDirection w:val="lrTb"/>
            <w:vAlign w:val="center"/>
          </w:tcPr>
          <w:p w:rsidR="00274F1D" w:rsidRPr="00FB3B03" w:rsidP="00BB5C1C">
            <w:pPr>
              <w:rPr>
                <w:rFonts w:ascii="Arial Narrow" w:hAnsi="Arial Narrow" w:cs="Arial Narrow"/>
                <w:sz w:val="20"/>
                <w:szCs w:val="24"/>
                <w:lang w:eastAsia="sk-SK"/>
              </w:rPr>
            </w:pPr>
            <w:r w:rsidRPr="00FB3B03">
              <w:rPr>
                <w:rFonts w:ascii="Arial Narrow" w:hAnsi="Arial Narrow" w:cs="Arial Narrow"/>
                <w:sz w:val="20"/>
                <w:szCs w:val="24"/>
                <w:lang w:eastAsia="sk-SK"/>
              </w:rPr>
              <w:t>Úroky z tuzem. a zahr. úverov, pôžičiek a vkladov</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72 625</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96 645</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116 969</w:t>
            </w:r>
          </w:p>
        </w:tc>
      </w:tr>
      <w:tr>
        <w:tblPrEx>
          <w:tblW w:w="7935" w:type="dxa"/>
          <w:tblInd w:w="576" w:type="dxa"/>
          <w:tblCellMar>
            <w:left w:w="70" w:type="dxa"/>
            <w:right w:w="70" w:type="dxa"/>
          </w:tblCellMar>
        </w:tblPrEx>
        <w:trPr>
          <w:trHeight w:val="255"/>
        </w:trPr>
        <w:tc>
          <w:tcPr>
            <w:tcW w:w="460" w:type="dxa"/>
            <w:tcBorders>
              <w:top w:val="nil"/>
              <w:left w:val="single" w:sz="4" w:space="0" w:color="auto"/>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sidRPr="00FB3B03">
              <w:rPr>
                <w:rFonts w:ascii="Arial Narrow" w:hAnsi="Arial Narrow" w:cs="Arial Narrow"/>
                <w:sz w:val="20"/>
                <w:szCs w:val="24"/>
                <w:lang w:eastAsia="sk-SK"/>
              </w:rPr>
              <w:t>E.</w:t>
            </w:r>
          </w:p>
        </w:tc>
        <w:tc>
          <w:tcPr>
            <w:tcW w:w="4235" w:type="dxa"/>
            <w:tcBorders>
              <w:top w:val="nil"/>
              <w:left w:val="nil"/>
              <w:bottom w:val="single" w:sz="4" w:space="0" w:color="auto"/>
              <w:right w:val="single" w:sz="4" w:space="0" w:color="auto"/>
            </w:tcBorders>
            <w:textDirection w:val="lrTb"/>
            <w:vAlign w:val="center"/>
          </w:tcPr>
          <w:p w:rsidR="00274F1D" w:rsidRPr="00FB3B03" w:rsidP="00BB5C1C">
            <w:pPr>
              <w:rPr>
                <w:rFonts w:ascii="Arial Narrow" w:hAnsi="Arial Narrow" w:cs="Arial Narrow"/>
                <w:sz w:val="20"/>
                <w:szCs w:val="24"/>
                <w:lang w:eastAsia="sk-SK"/>
              </w:rPr>
            </w:pPr>
            <w:r w:rsidRPr="00FB3B03">
              <w:rPr>
                <w:rFonts w:ascii="Arial Narrow" w:hAnsi="Arial Narrow" w:cs="Arial Narrow"/>
                <w:sz w:val="20"/>
                <w:szCs w:val="24"/>
                <w:lang w:eastAsia="sk-SK"/>
              </w:rPr>
              <w:t>Iné nedaňové príjmy</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152 818</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161 348</w:t>
            </w:r>
          </w:p>
        </w:tc>
        <w:tc>
          <w:tcPr>
            <w:tcW w:w="1080" w:type="dxa"/>
            <w:tcBorders>
              <w:top w:val="nil"/>
              <w:left w:val="nil"/>
              <w:bottom w:val="single" w:sz="4" w:space="0" w:color="auto"/>
              <w:right w:val="single" w:sz="4" w:space="0" w:color="auto"/>
            </w:tcBorders>
            <w:textDirection w:val="lrTb"/>
            <w:vAlign w:val="center"/>
          </w:tcPr>
          <w:p w:rsidR="00274F1D" w:rsidRPr="00FB3B03" w:rsidP="00BB5C1C">
            <w:pPr>
              <w:jc w:val="center"/>
              <w:rPr>
                <w:rFonts w:ascii="Arial Narrow" w:hAnsi="Arial Narrow" w:cs="Arial Narrow"/>
                <w:sz w:val="20"/>
                <w:szCs w:val="24"/>
                <w:lang w:eastAsia="sk-SK"/>
              </w:rPr>
            </w:pPr>
            <w:r>
              <w:rPr>
                <w:rFonts w:ascii="Arial Narrow" w:hAnsi="Arial Narrow" w:cs="Arial Narrow"/>
                <w:sz w:val="20"/>
                <w:szCs w:val="24"/>
                <w:lang w:eastAsia="sk-SK"/>
              </w:rPr>
              <w:t>161 863</w:t>
            </w:r>
          </w:p>
        </w:tc>
      </w:tr>
    </w:tbl>
    <w:p w:rsidR="00D077AE" w:rsidP="00D077AE">
      <w:pPr>
        <w:ind w:firstLine="709"/>
        <w:jc w:val="both"/>
        <w:rPr>
          <w:rFonts w:ascii="Arial Narrow" w:hAnsi="Arial Narrow" w:cs="Arial Narrow"/>
          <w:b/>
          <w:sz w:val="22"/>
          <w:szCs w:val="24"/>
        </w:rPr>
      </w:pPr>
    </w:p>
    <w:p w:rsidR="00D077AE" w:rsidP="00D077AE">
      <w:pPr>
        <w:ind w:firstLine="709"/>
        <w:jc w:val="both"/>
        <w:rPr>
          <w:rFonts w:ascii="Arial Narrow" w:hAnsi="Arial Narrow" w:cs="Arial Narrow"/>
          <w:sz w:val="22"/>
          <w:szCs w:val="24"/>
        </w:rPr>
      </w:pPr>
      <w:r w:rsidRPr="00951CC4">
        <w:rPr>
          <w:rFonts w:ascii="Arial Narrow" w:hAnsi="Arial Narrow" w:cs="Arial Narrow"/>
          <w:b/>
          <w:sz w:val="22"/>
          <w:szCs w:val="24"/>
        </w:rPr>
        <w:t xml:space="preserve">A. Príjmy z podnikania a z vlastníctva majetku </w:t>
      </w:r>
      <w:r w:rsidRPr="00951CC4">
        <w:rPr>
          <w:rFonts w:ascii="Arial Narrow" w:hAnsi="Arial Narrow" w:cs="Arial Narrow"/>
          <w:sz w:val="22"/>
          <w:szCs w:val="24"/>
        </w:rPr>
        <w:t xml:space="preserve">sa rozpočtujú vo výške </w:t>
      </w:r>
      <w:r w:rsidRPr="00951CC4">
        <w:rPr>
          <w:rFonts w:ascii="Arial Narrow" w:hAnsi="Arial Narrow" w:cs="Arial Narrow"/>
          <w:sz w:val="22"/>
          <w:szCs w:val="24"/>
          <w:lang w:eastAsia="sk-SK"/>
        </w:rPr>
        <w:t xml:space="preserve">62 563 </w:t>
      </w:r>
      <w:r w:rsidRPr="00951CC4">
        <w:rPr>
          <w:rFonts w:ascii="Arial Narrow" w:hAnsi="Arial Narrow" w:cs="Arial Narrow"/>
          <w:sz w:val="22"/>
          <w:szCs w:val="24"/>
        </w:rPr>
        <w:t xml:space="preserve">tis. eur v roku 2010,       </w:t>
      </w:r>
      <w:r w:rsidRPr="00951CC4">
        <w:rPr>
          <w:rFonts w:ascii="Arial Narrow" w:hAnsi="Arial Narrow" w:cs="Arial Narrow"/>
          <w:sz w:val="22"/>
          <w:szCs w:val="24"/>
          <w:lang w:eastAsia="sk-SK"/>
        </w:rPr>
        <w:t>62 677</w:t>
      </w:r>
      <w:r w:rsidRPr="00951CC4">
        <w:rPr>
          <w:rFonts w:ascii="Arial Narrow" w:hAnsi="Arial Narrow" w:cs="Arial Narrow"/>
          <w:sz w:val="22"/>
          <w:szCs w:val="24"/>
        </w:rPr>
        <w:t xml:space="preserve"> tis. eur v roku 2011 a </w:t>
      </w:r>
      <w:r w:rsidRPr="00951CC4">
        <w:rPr>
          <w:rFonts w:ascii="Arial Narrow" w:hAnsi="Arial Narrow" w:cs="Arial Narrow"/>
          <w:sz w:val="22"/>
          <w:szCs w:val="24"/>
          <w:lang w:eastAsia="sk-SK"/>
        </w:rPr>
        <w:t>62 765</w:t>
      </w:r>
      <w:r w:rsidRPr="00951CC4">
        <w:rPr>
          <w:rFonts w:ascii="Arial Narrow" w:hAnsi="Arial Narrow" w:cs="Arial Narrow"/>
          <w:sz w:val="22"/>
          <w:szCs w:val="24"/>
        </w:rPr>
        <w:t xml:space="preserve"> tis. eur v roku 2012. Ide o dividendy, nájomné z prenájmu pozemkov, budov, strojov a pod.  </w:t>
      </w:r>
    </w:p>
    <w:p w:rsidR="00F315AD" w:rsidP="00D077AE">
      <w:pPr>
        <w:ind w:firstLine="709"/>
        <w:jc w:val="both"/>
        <w:rPr>
          <w:rFonts w:ascii="Arial Narrow" w:hAnsi="Arial Narrow" w:cs="Arial Narrow"/>
          <w:sz w:val="22"/>
          <w:szCs w:val="24"/>
        </w:rPr>
      </w:pPr>
    </w:p>
    <w:p w:rsidR="00F315AD" w:rsidP="00D077AE">
      <w:pPr>
        <w:ind w:firstLine="709"/>
        <w:jc w:val="both"/>
        <w:rPr>
          <w:rFonts w:ascii="Arial Narrow" w:hAnsi="Arial Narrow" w:cs="Arial Narrow"/>
          <w:sz w:val="22"/>
          <w:szCs w:val="24"/>
        </w:rPr>
      </w:pPr>
    </w:p>
    <w:tbl>
      <w:tblPr>
        <w:tblStyle w:val="TableNormal"/>
        <w:tblW w:w="9100" w:type="dxa"/>
        <w:tblInd w:w="55" w:type="dxa"/>
        <w:tblCellMar>
          <w:left w:w="70" w:type="dxa"/>
          <w:right w:w="70" w:type="dxa"/>
        </w:tblCellMar>
      </w:tblPr>
      <w:tblGrid>
        <w:gridCol w:w="5200"/>
        <w:gridCol w:w="1300"/>
        <w:gridCol w:w="1300"/>
        <w:gridCol w:w="1300"/>
      </w:tblGrid>
      <w:tr>
        <w:tblPrEx>
          <w:tblW w:w="9100" w:type="dxa"/>
          <w:tblInd w:w="55" w:type="dxa"/>
          <w:tblCellMar>
            <w:left w:w="70" w:type="dxa"/>
            <w:right w:w="70" w:type="dxa"/>
          </w:tblCellMar>
        </w:tblPrEx>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077AE" w:rsidRPr="00FB3B03" w:rsidP="00274F1D">
            <w:pP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(v tis. eur)</w:t>
            </w:r>
          </w:p>
        </w:tc>
        <w:tc>
          <w:tcPr>
            <w:tcW w:w="130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w:t>
            </w:r>
            <w:r>
              <w:rPr>
                <w:rFonts w:ascii="Arial Narrow" w:hAnsi="Arial Narrow" w:cs="Arial Narrow"/>
                <w:b/>
                <w:color w:val="FFFFFF"/>
                <w:sz w:val="20"/>
                <w:szCs w:val="24"/>
                <w:lang w:eastAsia="sk-SK"/>
              </w:rPr>
              <w:t>10</w:t>
            </w:r>
          </w:p>
        </w:tc>
        <w:tc>
          <w:tcPr>
            <w:tcW w:w="130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1</w:t>
            </w:r>
          </w:p>
        </w:tc>
        <w:tc>
          <w:tcPr>
            <w:tcW w:w="130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2</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shd w:val="clear" w:color="auto" w:fill="C0C0C0"/>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Príjmy z podnikania - dividendy</w:t>
            </w:r>
          </w:p>
        </w:tc>
        <w:tc>
          <w:tcPr>
            <w:tcW w:w="1300" w:type="dxa"/>
            <w:tcBorders>
              <w:top w:val="nil"/>
              <w:left w:val="nil"/>
              <w:bottom w:val="single" w:sz="4" w:space="0" w:color="auto"/>
              <w:right w:val="single" w:sz="4" w:space="0" w:color="auto"/>
            </w:tcBorders>
            <w:shd w:val="clear" w:color="auto" w:fill="C0C0C0"/>
            <w:textDirection w:val="lrTb"/>
            <w:vAlign w:val="center"/>
          </w:tcPr>
          <w:p w:rsidR="00D077AE" w:rsidRPr="00552652" w:rsidP="003E39F7">
            <w:pPr>
              <w:jc w:val="right"/>
              <w:rPr>
                <w:rFonts w:ascii="Arial Narrow" w:hAnsi="Arial Narrow" w:cs="Arial Narrow"/>
                <w:b/>
                <w:sz w:val="20"/>
                <w:szCs w:val="24"/>
                <w:highlight w:val="lightGray"/>
                <w:lang w:eastAsia="sk-SK"/>
              </w:rPr>
            </w:pPr>
            <w:r w:rsidRPr="00552652">
              <w:rPr>
                <w:rFonts w:ascii="Arial Narrow" w:hAnsi="Arial Narrow" w:cs="Arial Narrow"/>
                <w:b/>
                <w:sz w:val="20"/>
                <w:szCs w:val="24"/>
                <w:highlight w:val="lightGray"/>
                <w:lang w:eastAsia="sk-SK"/>
              </w:rPr>
              <w:t>55 099</w:t>
            </w:r>
          </w:p>
        </w:tc>
        <w:tc>
          <w:tcPr>
            <w:tcW w:w="1300" w:type="dxa"/>
            <w:tcBorders>
              <w:top w:val="nil"/>
              <w:left w:val="nil"/>
              <w:bottom w:val="single" w:sz="4" w:space="0" w:color="auto"/>
              <w:right w:val="single" w:sz="4" w:space="0" w:color="auto"/>
            </w:tcBorders>
            <w:shd w:val="clear" w:color="auto" w:fill="C0C0C0"/>
            <w:textDirection w:val="lrTb"/>
            <w:vAlign w:val="center"/>
          </w:tcPr>
          <w:p w:rsidR="00D077AE" w:rsidRPr="00552652" w:rsidP="003E39F7">
            <w:pPr>
              <w:jc w:val="right"/>
              <w:rPr>
                <w:rFonts w:ascii="Arial Narrow" w:hAnsi="Arial Narrow" w:cs="Arial Narrow"/>
                <w:b/>
                <w:sz w:val="20"/>
                <w:szCs w:val="24"/>
                <w:highlight w:val="lightGray"/>
                <w:lang w:eastAsia="sk-SK"/>
              </w:rPr>
            </w:pPr>
            <w:r w:rsidRPr="00552652">
              <w:rPr>
                <w:rFonts w:ascii="Arial Narrow" w:hAnsi="Arial Narrow" w:cs="Arial Narrow"/>
                <w:b/>
                <w:sz w:val="20"/>
                <w:szCs w:val="24"/>
                <w:highlight w:val="lightGray"/>
                <w:lang w:eastAsia="sk-SK"/>
              </w:rPr>
              <w:t>55 156</w:t>
            </w:r>
          </w:p>
        </w:tc>
        <w:tc>
          <w:tcPr>
            <w:tcW w:w="1300" w:type="dxa"/>
            <w:tcBorders>
              <w:top w:val="nil"/>
              <w:left w:val="nil"/>
              <w:bottom w:val="single" w:sz="4" w:space="0" w:color="auto"/>
              <w:right w:val="single" w:sz="4" w:space="0" w:color="auto"/>
            </w:tcBorders>
            <w:shd w:val="clear" w:color="auto" w:fill="C0C0C0"/>
            <w:textDirection w:val="lrTb"/>
            <w:vAlign w:val="center"/>
          </w:tcPr>
          <w:p w:rsidR="00D077AE" w:rsidRPr="00552652" w:rsidP="003E39F7">
            <w:pPr>
              <w:jc w:val="right"/>
              <w:rPr>
                <w:rFonts w:ascii="Arial Narrow" w:hAnsi="Arial Narrow" w:cs="Arial Narrow"/>
                <w:b/>
                <w:sz w:val="20"/>
                <w:szCs w:val="24"/>
                <w:highlight w:val="lightGray"/>
                <w:lang w:eastAsia="sk-SK"/>
              </w:rPr>
            </w:pPr>
            <w:r w:rsidRPr="00552652">
              <w:rPr>
                <w:rFonts w:ascii="Arial Narrow" w:hAnsi="Arial Narrow" w:cs="Arial Narrow"/>
                <w:b/>
                <w:sz w:val="20"/>
                <w:szCs w:val="24"/>
                <w:highlight w:val="lightGray"/>
                <w:lang w:eastAsia="sk-SK"/>
              </w:rPr>
              <w:t>55 202</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Ministerstvo financií SR</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 xml:space="preserve">7 </w:t>
            </w:r>
            <w:r>
              <w:rPr>
                <w:rFonts w:ascii="Arial Narrow" w:hAnsi="Arial Narrow" w:cs="Arial Narrow"/>
                <w:b/>
                <w:sz w:val="20"/>
                <w:szCs w:val="24"/>
                <w:lang w:eastAsia="sk-SK"/>
              </w:rPr>
              <w:t>600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7 600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7 600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Pr>
                <w:rFonts w:ascii="Arial Narrow" w:hAnsi="Arial Narrow" w:cs="Arial Narrow"/>
                <w:sz w:val="20"/>
                <w:szCs w:val="24"/>
                <w:lang w:eastAsia="sk-SK"/>
              </w:rPr>
              <w:t>Slovenská konsolidačná</w:t>
            </w:r>
            <w:r w:rsidRPr="00FB3B03">
              <w:rPr>
                <w:rFonts w:ascii="Arial Narrow" w:hAnsi="Arial Narrow" w:cs="Arial Narrow"/>
                <w:sz w:val="20"/>
                <w:szCs w:val="24"/>
                <w:lang w:eastAsia="sk-SK"/>
              </w:rPr>
              <w:t>,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4 200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4 000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3 800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Tipos,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3 400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3 600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3 800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Ministerstvo zahraničných vecí SR</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564</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564</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564</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Správa služieb diplomatickému zboru</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564</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564</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564</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Ministerstvo hospodárstva SR</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35 328</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35 385</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3</w:t>
            </w:r>
            <w:r>
              <w:rPr>
                <w:rFonts w:ascii="Arial Narrow" w:hAnsi="Arial Narrow" w:cs="Arial Narrow"/>
                <w:b/>
                <w:sz w:val="20"/>
                <w:szCs w:val="24"/>
                <w:lang w:eastAsia="sk-SK"/>
              </w:rPr>
              <w:t>5 428</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Jadrová vyraďovacia spoločnosť,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1 662</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1 622</w:t>
            </w:r>
          </w:p>
        </w:tc>
        <w:tc>
          <w:tcPr>
            <w:tcW w:w="1300" w:type="dxa"/>
            <w:tcBorders>
              <w:top w:val="nil"/>
              <w:left w:val="nil"/>
              <w:bottom w:val="single" w:sz="4" w:space="0" w:color="auto"/>
              <w:right w:val="single" w:sz="4" w:space="0" w:color="auto"/>
            </w:tcBorders>
            <w:textDirection w:val="lrTb"/>
            <w:vAlign w:val="center"/>
          </w:tcPr>
          <w:p w:rsidR="00D077AE" w:rsidRPr="00F8232E" w:rsidP="003E39F7">
            <w:pPr>
              <w:jc w:val="right"/>
              <w:rPr>
                <w:rFonts w:ascii="Arial Narrow" w:hAnsi="Arial Narrow" w:cs="Arial Narrow"/>
                <w:sz w:val="20"/>
                <w:szCs w:val="24"/>
                <w:lang w:eastAsia="sk-SK"/>
              </w:rPr>
            </w:pPr>
            <w:r w:rsidRPr="00F8232E">
              <w:rPr>
                <w:rFonts w:ascii="Arial Narrow" w:hAnsi="Arial Narrow" w:cs="Arial Narrow"/>
                <w:sz w:val="20"/>
                <w:szCs w:val="24"/>
                <w:lang w:eastAsia="sk-SK"/>
              </w:rPr>
              <w:t>668</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Slovak Telecom,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33 666</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33 763</w:t>
            </w:r>
          </w:p>
        </w:tc>
        <w:tc>
          <w:tcPr>
            <w:tcW w:w="1300" w:type="dxa"/>
            <w:tcBorders>
              <w:top w:val="nil"/>
              <w:left w:val="nil"/>
              <w:bottom w:val="single" w:sz="4" w:space="0" w:color="auto"/>
              <w:right w:val="single" w:sz="4" w:space="0" w:color="auto"/>
            </w:tcBorders>
            <w:textDirection w:val="lrTb"/>
            <w:vAlign w:val="center"/>
          </w:tcPr>
          <w:p w:rsidR="00D077AE" w:rsidRPr="00F8232E" w:rsidP="003E39F7">
            <w:pPr>
              <w:jc w:val="right"/>
              <w:rPr>
                <w:rFonts w:ascii="Arial Narrow" w:hAnsi="Arial Narrow" w:cs="Arial Narrow"/>
                <w:sz w:val="20"/>
                <w:szCs w:val="24"/>
                <w:lang w:eastAsia="sk-SK"/>
              </w:rPr>
            </w:pPr>
            <w:r w:rsidRPr="00F8232E">
              <w:rPr>
                <w:rFonts w:ascii="Arial Narrow" w:hAnsi="Arial Narrow" w:cs="Arial Narrow"/>
                <w:sz w:val="20"/>
                <w:szCs w:val="24"/>
                <w:lang w:eastAsia="sk-SK"/>
              </w:rPr>
              <w:t>34 760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Ministerstvo práce, sociálnych vecí a rodiny SR</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7</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7</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1</w:t>
            </w:r>
            <w:r>
              <w:rPr>
                <w:rFonts w:ascii="Arial Narrow" w:hAnsi="Arial Narrow" w:cs="Arial Narrow"/>
                <w:b/>
                <w:sz w:val="20"/>
                <w:szCs w:val="24"/>
                <w:lang w:eastAsia="sk-SK"/>
              </w:rPr>
              <w:t>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Technická inšpekcia,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7</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7</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1</w:t>
            </w:r>
            <w:r>
              <w:rPr>
                <w:rFonts w:ascii="Arial Narrow" w:hAnsi="Arial Narrow" w:cs="Arial Narrow"/>
                <w:sz w:val="20"/>
                <w:szCs w:val="24"/>
                <w:lang w:eastAsia="sk-SK"/>
              </w:rPr>
              <w:t>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Všeobecná pokladničná správa</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11 6</w:t>
            </w:r>
            <w:r>
              <w:rPr>
                <w:rFonts w:ascii="Arial Narrow" w:hAnsi="Arial Narrow" w:cs="Arial Narrow"/>
                <w:b/>
                <w:sz w:val="20"/>
                <w:szCs w:val="24"/>
                <w:lang w:eastAsia="sk-SK"/>
              </w:rPr>
              <w:t>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11 6</w:t>
            </w:r>
            <w:r>
              <w:rPr>
                <w:rFonts w:ascii="Arial Narrow" w:hAnsi="Arial Narrow" w:cs="Arial Narrow"/>
                <w:b/>
                <w:sz w:val="20"/>
                <w:szCs w:val="24"/>
                <w:lang w:eastAsia="sk-SK"/>
              </w:rPr>
              <w:t>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b/>
                <w:sz w:val="20"/>
                <w:szCs w:val="24"/>
                <w:lang w:eastAsia="sk-SK"/>
              </w:rPr>
            </w:pPr>
            <w:r w:rsidRPr="00FB3B03">
              <w:rPr>
                <w:rFonts w:ascii="Arial Narrow" w:hAnsi="Arial Narrow" w:cs="Arial Narrow"/>
                <w:b/>
                <w:sz w:val="20"/>
                <w:szCs w:val="24"/>
                <w:lang w:eastAsia="sk-SK"/>
              </w:rPr>
              <w:t>11 6</w:t>
            </w:r>
            <w:r>
              <w:rPr>
                <w:rFonts w:ascii="Arial Narrow" w:hAnsi="Arial Narrow" w:cs="Arial Narrow"/>
                <w:b/>
                <w:sz w:val="20"/>
                <w:szCs w:val="24"/>
                <w:lang w:eastAsia="sk-SK"/>
              </w:rPr>
              <w:t>00</w:t>
            </w:r>
          </w:p>
        </w:tc>
      </w:tr>
      <w:tr>
        <w:tblPrEx>
          <w:tblW w:w="9100" w:type="dxa"/>
          <w:tblInd w:w="55" w:type="dxa"/>
          <w:tblCellMar>
            <w:left w:w="70" w:type="dxa"/>
            <w:right w:w="70" w:type="dxa"/>
          </w:tblCellMar>
        </w:tblPrEx>
        <w:trPr>
          <w:trHeight w:val="255"/>
        </w:trPr>
        <w:tc>
          <w:tcPr>
            <w:tcW w:w="5200"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Transpetrol, a.s.</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11 6</w:t>
            </w:r>
            <w:r>
              <w:rPr>
                <w:rFonts w:ascii="Arial Narrow" w:hAnsi="Arial Narrow" w:cs="Arial Narrow"/>
                <w:sz w:val="20"/>
                <w:szCs w:val="24"/>
                <w:lang w:eastAsia="sk-SK"/>
              </w:rPr>
              <w:t>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11 6</w:t>
            </w:r>
            <w:r>
              <w:rPr>
                <w:rFonts w:ascii="Arial Narrow" w:hAnsi="Arial Narrow" w:cs="Arial Narrow"/>
                <w:sz w:val="20"/>
                <w:szCs w:val="24"/>
                <w:lang w:eastAsia="sk-SK"/>
              </w:rPr>
              <w:t>00</w:t>
            </w:r>
          </w:p>
        </w:tc>
        <w:tc>
          <w:tcPr>
            <w:tcW w:w="130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sidRPr="00FB3B03">
              <w:rPr>
                <w:rFonts w:ascii="Arial Narrow" w:hAnsi="Arial Narrow" w:cs="Arial Narrow"/>
                <w:sz w:val="20"/>
                <w:szCs w:val="24"/>
                <w:lang w:eastAsia="sk-SK"/>
              </w:rPr>
              <w:t>11 6</w:t>
            </w:r>
            <w:r>
              <w:rPr>
                <w:rFonts w:ascii="Arial Narrow" w:hAnsi="Arial Narrow" w:cs="Arial Narrow"/>
                <w:sz w:val="20"/>
                <w:szCs w:val="24"/>
                <w:lang w:eastAsia="sk-SK"/>
              </w:rPr>
              <w:t>00</w:t>
            </w:r>
          </w:p>
        </w:tc>
      </w:tr>
    </w:tbl>
    <w:p w:rsidR="00D077AE" w:rsidP="00D077AE">
      <w:pPr>
        <w:ind w:firstLine="709"/>
        <w:jc w:val="both"/>
        <w:rPr>
          <w:rFonts w:ascii="Arial Narrow" w:hAnsi="Arial Narrow" w:cs="Arial Narrow"/>
          <w:sz w:val="22"/>
          <w:szCs w:val="24"/>
        </w:rPr>
      </w:pPr>
    </w:p>
    <w:p w:rsidR="00D077AE" w:rsidP="00D077AE">
      <w:pPr>
        <w:ind w:firstLine="709"/>
        <w:jc w:val="both"/>
        <w:rPr>
          <w:rFonts w:ascii="Arial Narrow" w:hAnsi="Arial Narrow" w:cs="Arial Narrow"/>
          <w:sz w:val="22"/>
          <w:szCs w:val="24"/>
        </w:rPr>
      </w:pPr>
      <w:r w:rsidRPr="00BC499A">
        <w:rPr>
          <w:rFonts w:ascii="Arial Narrow" w:hAnsi="Arial Narrow" w:cs="Arial Narrow"/>
          <w:sz w:val="22"/>
          <w:szCs w:val="24"/>
        </w:rPr>
        <w:t>Z vlastníckeho podielu štátu, ktorý je zastúpený príslušnými rezortnými ministerstvami v akciových spoločnostiach s majetkovou účasťou štátu</w:t>
      </w:r>
      <w:r>
        <w:rPr>
          <w:rFonts w:ascii="Arial Narrow" w:hAnsi="Arial Narrow" w:cs="Arial Narrow"/>
          <w:sz w:val="22"/>
          <w:szCs w:val="24"/>
        </w:rPr>
        <w:t>,</w:t>
      </w:r>
      <w:r w:rsidRPr="00BC499A">
        <w:rPr>
          <w:rFonts w:ascii="Arial Narrow" w:hAnsi="Arial Narrow" w:cs="Arial Narrow"/>
          <w:sz w:val="22"/>
          <w:szCs w:val="24"/>
        </w:rPr>
        <w:t xml:space="preserve"> ide predovš</w:t>
      </w:r>
      <w:r>
        <w:rPr>
          <w:rFonts w:ascii="Arial Narrow" w:hAnsi="Arial Narrow" w:cs="Arial Narrow"/>
          <w:sz w:val="22"/>
          <w:szCs w:val="24"/>
        </w:rPr>
        <w:t>etkým o dividendy od spoločností</w:t>
      </w:r>
      <w:r w:rsidRPr="00BC499A">
        <w:rPr>
          <w:rFonts w:ascii="Arial Narrow" w:hAnsi="Arial Narrow" w:cs="Arial Narrow"/>
          <w:sz w:val="22"/>
          <w:szCs w:val="24"/>
        </w:rPr>
        <w:t xml:space="preserve"> </w:t>
      </w:r>
      <w:r>
        <w:rPr>
          <w:rFonts w:ascii="Arial Narrow" w:hAnsi="Arial Narrow" w:cs="Arial Narrow"/>
          <w:sz w:val="22"/>
          <w:szCs w:val="24"/>
        </w:rPr>
        <w:t xml:space="preserve">Slovak Telekom a. s., </w:t>
      </w:r>
      <w:r w:rsidRPr="00BC499A">
        <w:rPr>
          <w:rFonts w:ascii="Arial Narrow" w:hAnsi="Arial Narrow" w:cs="Arial Narrow"/>
          <w:sz w:val="22"/>
          <w:szCs w:val="24"/>
        </w:rPr>
        <w:t>Jadrová vyraďovacia spoločnosť, a. s. Jaslovské Bohunice a Transpetrol, a. s. (vo vecnej pôsobnosti rezortu Ministerstva hospodárstva SR, pričom príjem od Transp</w:t>
      </w:r>
      <w:r>
        <w:rPr>
          <w:rFonts w:ascii="Arial Narrow" w:hAnsi="Arial Narrow" w:cs="Arial Narrow"/>
          <w:sz w:val="22"/>
          <w:szCs w:val="24"/>
        </w:rPr>
        <w:t>etrolu</w:t>
      </w:r>
      <w:r w:rsidRPr="00BC499A">
        <w:rPr>
          <w:rFonts w:ascii="Arial Narrow" w:hAnsi="Arial Narrow" w:cs="Arial Narrow"/>
          <w:sz w:val="22"/>
          <w:szCs w:val="24"/>
        </w:rPr>
        <w:t>, a. s. je príjmom kapitoly Všeobecná pokladničná správa</w:t>
      </w:r>
      <w:r>
        <w:rPr>
          <w:rFonts w:ascii="Arial Narrow" w:hAnsi="Arial Narrow" w:cs="Arial Narrow"/>
          <w:sz w:val="22"/>
          <w:szCs w:val="24"/>
        </w:rPr>
        <w:t>)</w:t>
      </w:r>
      <w:r w:rsidRPr="00BC499A">
        <w:rPr>
          <w:rFonts w:ascii="Arial Narrow" w:hAnsi="Arial Narrow" w:cs="Arial Narrow"/>
          <w:sz w:val="22"/>
          <w:szCs w:val="24"/>
        </w:rPr>
        <w:t xml:space="preserve">, od spoločnosti </w:t>
      </w:r>
      <w:r>
        <w:rPr>
          <w:rFonts w:ascii="Arial Narrow" w:hAnsi="Arial Narrow" w:cs="Arial Narrow"/>
          <w:sz w:val="22"/>
          <w:szCs w:val="24"/>
        </w:rPr>
        <w:t>Slovenská konsolidačná, a. s.</w:t>
      </w:r>
      <w:r w:rsidRPr="00BC499A">
        <w:rPr>
          <w:rFonts w:ascii="Arial Narrow" w:hAnsi="Arial Narrow" w:cs="Arial Narrow"/>
          <w:sz w:val="22"/>
          <w:szCs w:val="24"/>
        </w:rPr>
        <w:t xml:space="preserve"> a TIPOS, a. s. (v pôsobno</w:t>
      </w:r>
      <w:r>
        <w:rPr>
          <w:rFonts w:ascii="Arial Narrow" w:hAnsi="Arial Narrow" w:cs="Arial Narrow"/>
          <w:sz w:val="22"/>
          <w:szCs w:val="24"/>
        </w:rPr>
        <w:t>sti Ministerstva financií SR)</w:t>
      </w:r>
      <w:r w:rsidRPr="00BC499A">
        <w:rPr>
          <w:rFonts w:ascii="Arial Narrow" w:hAnsi="Arial Narrow" w:cs="Arial Narrow"/>
          <w:sz w:val="22"/>
          <w:szCs w:val="24"/>
        </w:rPr>
        <w:t xml:space="preserve"> a </w:t>
      </w:r>
      <w:r>
        <w:rPr>
          <w:rFonts w:ascii="Arial Narrow" w:hAnsi="Arial Narrow" w:cs="Arial Narrow"/>
          <w:sz w:val="22"/>
          <w:szCs w:val="24"/>
        </w:rPr>
        <w:t>od Správy služieb diplomatickému zboru, a. s. (</w:t>
      </w:r>
      <w:r w:rsidRPr="00BC499A">
        <w:rPr>
          <w:rFonts w:ascii="Arial Narrow" w:hAnsi="Arial Narrow" w:cs="Arial Narrow"/>
          <w:sz w:val="22"/>
          <w:szCs w:val="24"/>
        </w:rPr>
        <w:t xml:space="preserve">vo vecnej pôsobnosti Ministerstva zahraničných vecí SR).  </w:t>
      </w:r>
    </w:p>
    <w:p w:rsidR="00D077AE" w:rsidP="00F315AD">
      <w:pPr>
        <w:spacing w:before="120"/>
        <w:ind w:firstLine="709"/>
        <w:jc w:val="both"/>
        <w:rPr>
          <w:rFonts w:ascii="Arial Narrow" w:hAnsi="Arial Narrow" w:cs="Arial Narrow"/>
          <w:sz w:val="22"/>
          <w:szCs w:val="24"/>
        </w:rPr>
      </w:pPr>
      <w:r w:rsidRPr="00BC499A">
        <w:rPr>
          <w:rFonts w:ascii="Arial Narrow" w:hAnsi="Arial Narrow" w:cs="Arial Narrow"/>
          <w:b/>
          <w:sz w:val="22"/>
          <w:szCs w:val="24"/>
        </w:rPr>
        <w:t xml:space="preserve">B. </w:t>
      </w:r>
      <w:r w:rsidRPr="00BC499A">
        <w:rPr>
          <w:rFonts w:ascii="Arial Narrow" w:hAnsi="Arial Narrow" w:cs="Arial Narrow"/>
          <w:sz w:val="22"/>
          <w:szCs w:val="24"/>
        </w:rPr>
        <w:t xml:space="preserve">Pri </w:t>
      </w:r>
      <w:r w:rsidRPr="00BC499A">
        <w:rPr>
          <w:rFonts w:ascii="Arial Narrow" w:hAnsi="Arial Narrow" w:cs="Arial Narrow"/>
          <w:b/>
          <w:sz w:val="22"/>
          <w:szCs w:val="24"/>
        </w:rPr>
        <w:t xml:space="preserve">administratívnych a iných poplatkoch a platbách </w:t>
      </w:r>
      <w:r w:rsidRPr="00BC499A">
        <w:rPr>
          <w:rFonts w:ascii="Arial Narrow" w:hAnsi="Arial Narrow" w:cs="Arial Narrow"/>
          <w:sz w:val="22"/>
          <w:szCs w:val="24"/>
        </w:rPr>
        <w:t xml:space="preserve">výška príjmov závisí od počtu jednotlivých aktov konania v priebehu roka. </w:t>
      </w:r>
    </w:p>
    <w:p w:rsidR="00D077AE" w:rsidP="00D077AE">
      <w:pPr>
        <w:ind w:firstLine="708"/>
        <w:jc w:val="both"/>
        <w:rPr>
          <w:rFonts w:ascii="Arial Narrow" w:hAnsi="Arial Narrow" w:cs="Arial Narrow"/>
          <w:sz w:val="22"/>
          <w:szCs w:val="24"/>
        </w:rPr>
      </w:pPr>
      <w:r>
        <w:rPr>
          <w:rFonts w:ascii="Arial Narrow" w:hAnsi="Arial Narrow" w:cs="Arial Narrow"/>
          <w:sz w:val="22"/>
          <w:szCs w:val="24"/>
        </w:rPr>
        <w:t>Ich vývoj v rozpočtovom rámci 2010 až 2012 je nasledovný</w:t>
      </w:r>
      <w:r w:rsidRPr="00BC499A">
        <w:rPr>
          <w:rFonts w:ascii="Arial Narrow" w:hAnsi="Arial Narrow" w:cs="Arial Narrow"/>
          <w:sz w:val="22"/>
          <w:szCs w:val="24"/>
        </w:rPr>
        <w:t xml:space="preserve">: </w:t>
      </w:r>
    </w:p>
    <w:p w:rsidR="00D077AE" w:rsidP="00D077AE">
      <w:pPr>
        <w:ind w:firstLine="708"/>
        <w:jc w:val="both"/>
        <w:rPr>
          <w:rFonts w:ascii="Arial Narrow" w:hAnsi="Arial Narrow" w:cs="Arial Narrow"/>
          <w:sz w:val="22"/>
          <w:szCs w:val="24"/>
        </w:rPr>
      </w:pPr>
    </w:p>
    <w:tbl>
      <w:tblPr>
        <w:tblStyle w:val="TableNormal"/>
        <w:tblW w:w="9015" w:type="dxa"/>
        <w:tblInd w:w="55" w:type="dxa"/>
        <w:tblCellMar>
          <w:left w:w="70" w:type="dxa"/>
          <w:right w:w="70" w:type="dxa"/>
        </w:tblCellMar>
        <w:tblLook w:val="0040"/>
      </w:tblPr>
      <w:tblGrid>
        <w:gridCol w:w="5775"/>
        <w:gridCol w:w="1080"/>
        <w:gridCol w:w="1080"/>
        <w:gridCol w:w="1080"/>
      </w:tblGrid>
      <w:tr>
        <w:tblPrEx>
          <w:tblW w:w="9015" w:type="dxa"/>
          <w:tblInd w:w="55" w:type="dxa"/>
          <w:tblCellMar>
            <w:left w:w="70" w:type="dxa"/>
            <w:right w:w="70" w:type="dxa"/>
          </w:tblCellMar>
          <w:tblLook w:val="0040"/>
        </w:tblPrEx>
        <w:trPr>
          <w:trHeight w:val="255"/>
        </w:trPr>
        <w:tc>
          <w:tcPr>
            <w:tcW w:w="577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077AE" w:rsidRPr="003E39F7" w:rsidP="00274F1D">
            <w:pPr>
              <w:rPr>
                <w:rFonts w:ascii="Arial Narrow" w:hAnsi="Arial Narrow" w:cs="Arial Narrow"/>
                <w:b/>
                <w:color w:val="FFFFFF"/>
                <w:sz w:val="16"/>
                <w:szCs w:val="24"/>
                <w:lang w:eastAsia="sk-SK"/>
              </w:rPr>
            </w:pPr>
            <w:r w:rsidRPr="003E39F7">
              <w:rPr>
                <w:rFonts w:ascii="Arial Narrow" w:hAnsi="Arial Narrow" w:cs="Arial Narrow"/>
                <w:b/>
                <w:color w:val="FFFFFF"/>
                <w:sz w:val="16"/>
                <w:szCs w:val="24"/>
                <w:lang w:eastAsia="sk-SK"/>
              </w:rPr>
              <w:t>(v tis. eur)</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w:t>
            </w:r>
            <w:r>
              <w:rPr>
                <w:rFonts w:ascii="Arial Narrow" w:hAnsi="Arial Narrow" w:cs="Arial Narrow"/>
                <w:b/>
                <w:color w:val="FFFFFF"/>
                <w:sz w:val="20"/>
                <w:szCs w:val="24"/>
                <w:lang w:eastAsia="sk-SK"/>
              </w:rPr>
              <w:t>10</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1</w:t>
            </w:r>
          </w:p>
        </w:tc>
        <w:tc>
          <w:tcPr>
            <w:tcW w:w="108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274F1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2</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shd w:val="clear" w:color="auto" w:fill="C0C0C0"/>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Administratívne poplatky</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161 726</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161 700</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161 396</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v tom: súdne </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25 020</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25 020</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25 020</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           tržby z predaja kolkových známok         </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112 863</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112 863</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112 863</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           puncové poplatky                                     </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913</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913</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963</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           ostatné poplatky</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22 864</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22 837</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22 483</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           licencie</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 xml:space="preserve">66 </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67</w:t>
            </w:r>
          </w:p>
        </w:tc>
        <w:tc>
          <w:tcPr>
            <w:tcW w:w="108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67</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shd w:val="clear" w:color="auto" w:fill="C0C0C0"/>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Pokuty, penále a iné sankcie</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79 402</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63 855</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64 816</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shd w:val="clear" w:color="auto" w:fill="C0C0C0"/>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Poplatky a platby z nepriemyselného a náhodného predaja a služieb</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55 760</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52 637</w:t>
            </w:r>
          </w:p>
        </w:tc>
        <w:tc>
          <w:tcPr>
            <w:tcW w:w="108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53 725</w:t>
            </w:r>
          </w:p>
        </w:tc>
      </w:tr>
      <w:tr>
        <w:tblPrEx>
          <w:tblW w:w="9015" w:type="dxa"/>
          <w:tblInd w:w="55" w:type="dxa"/>
          <w:tblCellMar>
            <w:left w:w="70" w:type="dxa"/>
            <w:right w:w="70" w:type="dxa"/>
          </w:tblCellMar>
          <w:tblLook w:val="0040"/>
        </w:tblPrEx>
        <w:trPr>
          <w:trHeight w:val="255"/>
        </w:trPr>
        <w:tc>
          <w:tcPr>
            <w:tcW w:w="5775" w:type="dxa"/>
            <w:tcBorders>
              <w:top w:val="nil"/>
              <w:left w:val="single" w:sz="4" w:space="0" w:color="auto"/>
              <w:bottom w:val="single" w:sz="4" w:space="0" w:color="auto"/>
              <w:right w:val="single" w:sz="4" w:space="0" w:color="auto"/>
            </w:tcBorders>
            <w:shd w:val="clear" w:color="auto" w:fill="808080"/>
            <w:textDirection w:val="lrTb"/>
            <w:vAlign w:val="center"/>
          </w:tcPr>
          <w:p w:rsidR="00D077AE" w:rsidRPr="00FB3B03" w:rsidP="003E39F7">
            <w:pPr>
              <w:rPr>
                <w:rFonts w:ascii="Arial Narrow" w:hAnsi="Arial Narrow" w:cs="Arial Narrow"/>
                <w:b/>
                <w:sz w:val="20"/>
                <w:szCs w:val="24"/>
                <w:lang w:eastAsia="sk-SK"/>
              </w:rPr>
            </w:pPr>
            <w:r w:rsidRPr="00FB3B03">
              <w:rPr>
                <w:rFonts w:ascii="Arial Narrow" w:hAnsi="Arial Narrow" w:cs="Arial Narrow"/>
                <w:b/>
                <w:sz w:val="20"/>
                <w:szCs w:val="24"/>
                <w:lang w:eastAsia="sk-SK"/>
              </w:rPr>
              <w:t>SPOLU</w:t>
            </w:r>
          </w:p>
        </w:tc>
        <w:tc>
          <w:tcPr>
            <w:tcW w:w="1080" w:type="dxa"/>
            <w:tcBorders>
              <w:top w:val="nil"/>
              <w:left w:val="nil"/>
              <w:bottom w:val="single" w:sz="4" w:space="0" w:color="auto"/>
              <w:right w:val="single" w:sz="4" w:space="0" w:color="auto"/>
            </w:tcBorders>
            <w:shd w:val="clear" w:color="auto" w:fill="80808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296 888</w:t>
            </w:r>
          </w:p>
        </w:tc>
        <w:tc>
          <w:tcPr>
            <w:tcW w:w="1080" w:type="dxa"/>
            <w:tcBorders>
              <w:top w:val="nil"/>
              <w:left w:val="nil"/>
              <w:bottom w:val="single" w:sz="4" w:space="0" w:color="auto"/>
              <w:right w:val="single" w:sz="4" w:space="0" w:color="auto"/>
            </w:tcBorders>
            <w:shd w:val="clear" w:color="auto" w:fill="80808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278 192</w:t>
            </w:r>
          </w:p>
        </w:tc>
        <w:tc>
          <w:tcPr>
            <w:tcW w:w="1080" w:type="dxa"/>
            <w:tcBorders>
              <w:top w:val="nil"/>
              <w:left w:val="nil"/>
              <w:bottom w:val="single" w:sz="4" w:space="0" w:color="auto"/>
              <w:right w:val="single" w:sz="4" w:space="0" w:color="auto"/>
            </w:tcBorders>
            <w:shd w:val="clear" w:color="auto" w:fill="80808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279 937</w:t>
            </w:r>
          </w:p>
        </w:tc>
      </w:tr>
    </w:tbl>
    <w:p w:rsidR="00D077AE" w:rsidP="00D077AE">
      <w:pPr>
        <w:jc w:val="both"/>
        <w:rPr>
          <w:rFonts w:ascii="Arial Narrow" w:hAnsi="Arial Narrow" w:cs="Arial Narrow"/>
          <w:sz w:val="22"/>
          <w:szCs w:val="24"/>
        </w:rPr>
      </w:pPr>
    </w:p>
    <w:p w:rsidR="00D077AE" w:rsidRPr="00E062F2" w:rsidP="00D077AE">
      <w:pPr>
        <w:ind w:firstLine="708"/>
        <w:jc w:val="both"/>
        <w:rPr>
          <w:rFonts w:ascii="Arial Narrow" w:hAnsi="Arial Narrow" w:cs="Arial Narrow"/>
          <w:sz w:val="22"/>
          <w:szCs w:val="24"/>
        </w:rPr>
      </w:pPr>
      <w:r w:rsidRPr="00E062F2">
        <w:rPr>
          <w:rFonts w:ascii="Arial Narrow" w:hAnsi="Arial Narrow" w:cs="Arial Narrow"/>
          <w:sz w:val="22"/>
          <w:szCs w:val="24"/>
        </w:rPr>
        <w:t>Najväčší výnos z príjmov z administratívnych poplatkov a platieb bude v období rozpočtového rámca 20</w:t>
      </w:r>
      <w:r>
        <w:rPr>
          <w:rFonts w:ascii="Arial Narrow" w:hAnsi="Arial Narrow" w:cs="Arial Narrow"/>
          <w:sz w:val="22"/>
          <w:szCs w:val="24"/>
        </w:rPr>
        <w:t>10</w:t>
      </w:r>
      <w:r w:rsidRPr="00E062F2">
        <w:rPr>
          <w:rFonts w:ascii="Arial Narrow" w:hAnsi="Arial Narrow" w:cs="Arial Narrow"/>
          <w:sz w:val="22"/>
          <w:szCs w:val="24"/>
        </w:rPr>
        <w:t xml:space="preserve"> až 201</w:t>
      </w:r>
      <w:r>
        <w:rPr>
          <w:rFonts w:ascii="Arial Narrow" w:hAnsi="Arial Narrow" w:cs="Arial Narrow"/>
          <w:sz w:val="22"/>
          <w:szCs w:val="24"/>
        </w:rPr>
        <w:t>2</w:t>
      </w:r>
      <w:r w:rsidRPr="00E062F2">
        <w:rPr>
          <w:rFonts w:ascii="Arial Narrow" w:hAnsi="Arial Narrow" w:cs="Arial Narrow"/>
          <w:sz w:val="22"/>
          <w:szCs w:val="24"/>
        </w:rPr>
        <w:t xml:space="preserve"> v kapitolách Všeobecná pokladničná správa, Ministerstvo vnútra SR, Ministerstvo práce, sociálnych vecí a rodiny SR a Ministerstvo dopravy, pôšt a telekomunikácií SR.</w:t>
      </w:r>
    </w:p>
    <w:p w:rsidR="00D077AE" w:rsidP="00F315AD">
      <w:pPr>
        <w:spacing w:before="120"/>
        <w:jc w:val="both"/>
        <w:rPr>
          <w:rFonts w:ascii="Arial Narrow" w:hAnsi="Arial Narrow" w:cs="Arial Narrow"/>
          <w:sz w:val="22"/>
          <w:szCs w:val="24"/>
        </w:rPr>
      </w:pPr>
      <w:r w:rsidRPr="00BC499A">
        <w:rPr>
          <w:rFonts w:ascii="Arial Narrow" w:hAnsi="Arial Narrow" w:cs="Arial Narrow"/>
          <w:sz w:val="22"/>
          <w:szCs w:val="24"/>
        </w:rPr>
        <w:tab/>
      </w:r>
      <w:r w:rsidRPr="00BC499A">
        <w:rPr>
          <w:rFonts w:ascii="Arial Narrow" w:hAnsi="Arial Narrow" w:cs="Arial Narrow"/>
          <w:b/>
          <w:sz w:val="22"/>
          <w:szCs w:val="24"/>
        </w:rPr>
        <w:t>C.</w:t>
      </w:r>
      <w:r w:rsidRPr="00BC499A">
        <w:rPr>
          <w:rFonts w:ascii="Arial Narrow" w:hAnsi="Arial Narrow" w:cs="Arial Narrow"/>
          <w:sz w:val="22"/>
          <w:szCs w:val="24"/>
        </w:rPr>
        <w:t xml:space="preserve"> Výška</w:t>
      </w:r>
      <w:r w:rsidRPr="00BC499A">
        <w:rPr>
          <w:rFonts w:ascii="Arial Narrow" w:hAnsi="Arial Narrow" w:cs="Arial Narrow"/>
          <w:b/>
          <w:sz w:val="22"/>
          <w:szCs w:val="24"/>
        </w:rPr>
        <w:t xml:space="preserve"> kapitálových príjmov </w:t>
      </w:r>
      <w:r w:rsidRPr="00BC499A">
        <w:rPr>
          <w:rFonts w:ascii="Arial Narrow" w:hAnsi="Arial Narrow" w:cs="Arial Narrow"/>
          <w:sz w:val="22"/>
          <w:szCs w:val="24"/>
        </w:rPr>
        <w:t>závisí od objemu nadbytočného hnuteľného a nehnuteľného majetku v správe jednotlivých kapitol</w:t>
      </w:r>
      <w:r>
        <w:rPr>
          <w:rFonts w:ascii="Arial Narrow" w:hAnsi="Arial Narrow" w:cs="Arial Narrow"/>
          <w:sz w:val="22"/>
          <w:szCs w:val="24"/>
        </w:rPr>
        <w:t xml:space="preserve"> štátneho rozpočtu</w:t>
      </w:r>
      <w:r w:rsidRPr="00BC499A">
        <w:rPr>
          <w:rFonts w:ascii="Arial Narrow" w:hAnsi="Arial Narrow" w:cs="Arial Narrow"/>
          <w:sz w:val="22"/>
          <w:szCs w:val="24"/>
        </w:rPr>
        <w:t xml:space="preserve">, ktorý bude predmetom predaja v príslušných rozpočtových rokoch. </w:t>
      </w:r>
      <w:r>
        <w:rPr>
          <w:rFonts w:ascii="Arial Narrow" w:hAnsi="Arial Narrow" w:cs="Arial Narrow"/>
          <w:sz w:val="22"/>
          <w:szCs w:val="24"/>
        </w:rPr>
        <w:t xml:space="preserve">V roku 2010 sa predpokladá objem týchto príjmov 41 520 tis. eur a bude sa nich podieľať najmä Ministerstvo kultúry SR, Ministerstvo obrany SR a Ministerstva vnútra SR </w:t>
      </w:r>
    </w:p>
    <w:p w:rsidR="00D077AE" w:rsidP="00F315AD">
      <w:pPr>
        <w:spacing w:before="120"/>
        <w:ind w:firstLine="708"/>
        <w:jc w:val="both"/>
        <w:rPr>
          <w:rFonts w:ascii="Arial Narrow" w:hAnsi="Arial Narrow" w:cs="Arial Narrow"/>
          <w:sz w:val="22"/>
          <w:szCs w:val="24"/>
        </w:rPr>
      </w:pPr>
      <w:r w:rsidRPr="00BC499A">
        <w:rPr>
          <w:rFonts w:ascii="Arial Narrow" w:hAnsi="Arial Narrow" w:cs="Arial Narrow"/>
          <w:b/>
          <w:sz w:val="22"/>
          <w:szCs w:val="24"/>
        </w:rPr>
        <w:t xml:space="preserve">D. Úroky z tuzemských a zahraničných úverov, pôžičiek, návratných finančných výpomocí a vkladov </w:t>
      </w:r>
      <w:r>
        <w:rPr>
          <w:rFonts w:ascii="Arial Narrow" w:hAnsi="Arial Narrow" w:cs="Arial Narrow"/>
          <w:sz w:val="22"/>
          <w:szCs w:val="24"/>
        </w:rPr>
        <w:t>sa v rozpočtovom období 2010 až 2012</w:t>
      </w:r>
      <w:r w:rsidRPr="00BC499A">
        <w:rPr>
          <w:rFonts w:ascii="Arial Narrow" w:hAnsi="Arial Narrow" w:cs="Arial Narrow"/>
          <w:sz w:val="22"/>
          <w:szCs w:val="24"/>
        </w:rPr>
        <w:t xml:space="preserve"> rozpočtujú vo výške</w:t>
      </w:r>
      <w:r>
        <w:rPr>
          <w:rFonts w:ascii="Arial Narrow" w:hAnsi="Arial Narrow" w:cs="Arial Narrow"/>
          <w:sz w:val="22"/>
          <w:szCs w:val="24"/>
        </w:rPr>
        <w:t xml:space="preserve"> </w:t>
      </w:r>
      <w:r w:rsidRPr="00DD38DB">
        <w:rPr>
          <w:rFonts w:ascii="Arial Narrow" w:hAnsi="Arial Narrow" w:cs="Arial Narrow"/>
          <w:sz w:val="22"/>
          <w:szCs w:val="24"/>
        </w:rPr>
        <w:t>72 625</w:t>
      </w:r>
      <w:r>
        <w:rPr>
          <w:rFonts w:ascii="Arial Narrow" w:hAnsi="Arial Narrow" w:cs="Arial Narrow"/>
          <w:sz w:val="22"/>
          <w:szCs w:val="24"/>
        </w:rPr>
        <w:t xml:space="preserve"> tis</w:t>
      </w:r>
      <w:r w:rsidRPr="00BC499A">
        <w:rPr>
          <w:rFonts w:ascii="Arial Narrow" w:hAnsi="Arial Narrow" w:cs="Arial Narrow"/>
          <w:sz w:val="22"/>
          <w:szCs w:val="24"/>
        </w:rPr>
        <w:t>.</w:t>
      </w:r>
      <w:r>
        <w:rPr>
          <w:rFonts w:ascii="Arial Narrow" w:hAnsi="Arial Narrow" w:cs="Arial Narrow"/>
          <w:sz w:val="22"/>
          <w:szCs w:val="24"/>
        </w:rPr>
        <w:t xml:space="preserve"> eur</w:t>
      </w:r>
      <w:r w:rsidRPr="00BC499A">
        <w:rPr>
          <w:rFonts w:ascii="Arial Narrow" w:hAnsi="Arial Narrow" w:cs="Arial Narrow"/>
          <w:sz w:val="22"/>
          <w:szCs w:val="24"/>
        </w:rPr>
        <w:t>,</w:t>
      </w:r>
      <w:r w:rsidRPr="001A2AD9">
        <w:rPr>
          <w:rFonts w:ascii="Arial Narrow" w:hAnsi="Arial Narrow" w:cs="Arial Narrow"/>
          <w:sz w:val="22"/>
          <w:szCs w:val="24"/>
        </w:rPr>
        <w:t xml:space="preserve"> </w:t>
      </w:r>
      <w:r>
        <w:rPr>
          <w:rFonts w:ascii="Arial Narrow" w:hAnsi="Arial Narrow" w:cs="Arial Narrow"/>
          <w:sz w:val="22"/>
          <w:szCs w:val="24"/>
        </w:rPr>
        <w:t>96 645</w:t>
      </w:r>
      <w:r w:rsidRPr="00BC499A">
        <w:rPr>
          <w:rFonts w:ascii="Arial Narrow" w:hAnsi="Arial Narrow" w:cs="Arial Narrow"/>
          <w:sz w:val="22"/>
          <w:szCs w:val="24"/>
        </w:rPr>
        <w:t xml:space="preserve"> </w:t>
      </w:r>
      <w:r>
        <w:rPr>
          <w:rFonts w:ascii="Arial Narrow" w:hAnsi="Arial Narrow" w:cs="Arial Narrow"/>
          <w:sz w:val="22"/>
          <w:szCs w:val="24"/>
        </w:rPr>
        <w:t>tis. eur</w:t>
      </w:r>
      <w:r w:rsidRPr="00BC499A">
        <w:rPr>
          <w:rFonts w:ascii="Arial Narrow" w:hAnsi="Arial Narrow" w:cs="Arial Narrow"/>
          <w:sz w:val="22"/>
          <w:szCs w:val="24"/>
        </w:rPr>
        <w:t xml:space="preserve"> a</w:t>
      </w:r>
      <w:r>
        <w:rPr>
          <w:rFonts w:ascii="Arial Narrow" w:hAnsi="Arial Narrow" w:cs="Arial Narrow"/>
          <w:sz w:val="22"/>
          <w:szCs w:val="24"/>
        </w:rPr>
        <w:t> </w:t>
      </w:r>
      <w:r w:rsidRPr="00DD38DB">
        <w:rPr>
          <w:rFonts w:ascii="Arial Narrow" w:hAnsi="Arial Narrow" w:cs="Arial Narrow"/>
          <w:sz w:val="22"/>
          <w:szCs w:val="24"/>
        </w:rPr>
        <w:t>116 969</w:t>
      </w:r>
      <w:r>
        <w:rPr>
          <w:rFonts w:ascii="Arial Narrow" w:hAnsi="Arial Narrow" w:cs="Arial Narrow"/>
          <w:sz w:val="22"/>
          <w:szCs w:val="24"/>
        </w:rPr>
        <w:t xml:space="preserve"> tis. eur</w:t>
      </w:r>
      <w:r w:rsidRPr="00BC499A">
        <w:rPr>
          <w:rFonts w:ascii="Arial Narrow" w:hAnsi="Arial Narrow" w:cs="Arial Narrow"/>
          <w:sz w:val="22"/>
          <w:szCs w:val="24"/>
        </w:rPr>
        <w:t xml:space="preserve">. </w:t>
      </w:r>
    </w:p>
    <w:p w:rsidR="00D077AE" w:rsidRPr="00BC499A" w:rsidP="00F315AD">
      <w:pPr>
        <w:spacing w:before="120" w:after="120"/>
        <w:ind w:firstLine="709"/>
        <w:jc w:val="both"/>
        <w:rPr>
          <w:rFonts w:ascii="Arial Narrow" w:hAnsi="Arial Narrow" w:cs="Arial Narrow"/>
          <w:sz w:val="22"/>
          <w:szCs w:val="24"/>
        </w:rPr>
      </w:pPr>
      <w:r w:rsidRPr="00BC499A">
        <w:rPr>
          <w:rFonts w:ascii="Arial Narrow" w:hAnsi="Arial Narrow" w:cs="Arial Narrow"/>
          <w:sz w:val="22"/>
          <w:szCs w:val="24"/>
        </w:rPr>
        <w:t>Najväčší podiel z tohto objemu tvoria</w:t>
      </w:r>
      <w:r>
        <w:rPr>
          <w:rFonts w:ascii="Arial Narrow" w:hAnsi="Arial Narrow" w:cs="Arial Narrow"/>
          <w:sz w:val="22"/>
          <w:szCs w:val="24"/>
        </w:rPr>
        <w:t xml:space="preserve"> úroky z finančných operácií, </w:t>
      </w:r>
      <w:r w:rsidRPr="00B95E43">
        <w:rPr>
          <w:rFonts w:ascii="Arial Narrow" w:hAnsi="Arial Narrow" w:cs="Arial Narrow"/>
          <w:sz w:val="22"/>
          <w:szCs w:val="24"/>
        </w:rPr>
        <w:t>úroky z kreditných zostatkov peňažných prostriedkov vedených na účtoch Štátnej pokladnice</w:t>
      </w:r>
      <w:r w:rsidRPr="00BC499A">
        <w:rPr>
          <w:rFonts w:ascii="Arial Narrow" w:hAnsi="Arial Narrow" w:cs="Arial Narrow"/>
          <w:sz w:val="22"/>
          <w:szCs w:val="24"/>
        </w:rPr>
        <w:t xml:space="preserve"> v Národnej banke Slovenska, banke alebo pobočke zahraničnej banky vrátane úrokov z finančných operácií vykonaných Štátnou pokladnicou s klientom Štátny dlh znížené o úroky platené Štátnou pokladnicou a výnosy z finančných operácií zabezpečovaných Štátnou pokladnicou znížené o úroky plat</w:t>
      </w:r>
      <w:r>
        <w:rPr>
          <w:rFonts w:ascii="Arial Narrow" w:hAnsi="Arial Narrow" w:cs="Arial Narrow"/>
          <w:sz w:val="22"/>
          <w:szCs w:val="24"/>
        </w:rPr>
        <w:t>e</w:t>
      </w:r>
      <w:r w:rsidRPr="00BC499A">
        <w:rPr>
          <w:rFonts w:ascii="Arial Narrow" w:hAnsi="Arial Narrow" w:cs="Arial Narrow"/>
          <w:sz w:val="22"/>
          <w:szCs w:val="24"/>
        </w:rPr>
        <w:t xml:space="preserve">né Štátnou pokladnicou a príjmy z poplatkov za služby poskytované Štátnou pokladnicou znížené o náklady súvisiace s ich poskytnutím. </w:t>
      </w:r>
    </w:p>
    <w:p w:rsidR="00D077AE" w:rsidRPr="00BC499A" w:rsidP="00D077AE">
      <w:pPr>
        <w:jc w:val="both"/>
        <w:rPr>
          <w:rFonts w:ascii="Arial Narrow" w:hAnsi="Arial Narrow" w:cs="Arial Narrow"/>
          <w:sz w:val="22"/>
          <w:szCs w:val="24"/>
        </w:rPr>
      </w:pPr>
      <w:r w:rsidRPr="00BC499A">
        <w:rPr>
          <w:rFonts w:ascii="Arial Narrow" w:hAnsi="Arial Narrow" w:cs="Arial Narrow"/>
          <w:sz w:val="22"/>
          <w:szCs w:val="24"/>
        </w:rPr>
        <w:tab/>
        <w:t>Ďalej sem patria úroky z poskytnutých návratných finančných výpomoc</w:t>
      </w:r>
      <w:r>
        <w:rPr>
          <w:rFonts w:ascii="Arial Narrow" w:hAnsi="Arial Narrow" w:cs="Arial Narrow"/>
          <w:sz w:val="22"/>
          <w:szCs w:val="24"/>
        </w:rPr>
        <w:t>í – úroky z úver</w:t>
      </w:r>
      <w:r w:rsidR="00951CC4">
        <w:rPr>
          <w:rFonts w:ascii="Arial Narrow" w:hAnsi="Arial Narrow" w:cs="Arial Narrow"/>
          <w:sz w:val="22"/>
          <w:szCs w:val="24"/>
        </w:rPr>
        <w:t>ov</w:t>
      </w:r>
      <w:r>
        <w:rPr>
          <w:rFonts w:ascii="Arial Narrow" w:hAnsi="Arial Narrow" w:cs="Arial Narrow"/>
          <w:sz w:val="22"/>
          <w:szCs w:val="24"/>
        </w:rPr>
        <w:t xml:space="preserve"> poskytnut</w:t>
      </w:r>
      <w:r w:rsidR="00951CC4">
        <w:rPr>
          <w:rFonts w:ascii="Arial Narrow" w:hAnsi="Arial Narrow" w:cs="Arial Narrow"/>
          <w:sz w:val="22"/>
          <w:szCs w:val="24"/>
        </w:rPr>
        <w:t xml:space="preserve">ých </w:t>
      </w:r>
      <w:r>
        <w:rPr>
          <w:rFonts w:ascii="Arial Narrow" w:hAnsi="Arial Narrow" w:cs="Arial Narrow"/>
          <w:sz w:val="22"/>
          <w:szCs w:val="24"/>
        </w:rPr>
        <w:t>m</w:t>
      </w:r>
      <w:r w:rsidRPr="00BC499A">
        <w:rPr>
          <w:rFonts w:ascii="Arial Narrow" w:hAnsi="Arial Narrow" w:cs="Arial Narrow"/>
          <w:sz w:val="22"/>
          <w:szCs w:val="24"/>
        </w:rPr>
        <w:t>estu Košice</w:t>
      </w:r>
      <w:r>
        <w:rPr>
          <w:rFonts w:ascii="Arial Narrow" w:hAnsi="Arial Narrow" w:cs="Arial Narrow"/>
          <w:sz w:val="22"/>
          <w:szCs w:val="24"/>
        </w:rPr>
        <w:t>, ZSSK CARGO, ŽSR a Bratislavskému samosprávnemu kraju,</w:t>
      </w:r>
      <w:r w:rsidRPr="00BC499A">
        <w:rPr>
          <w:rFonts w:ascii="Arial Narrow" w:hAnsi="Arial Narrow" w:cs="Arial Narrow"/>
          <w:sz w:val="22"/>
          <w:szCs w:val="24"/>
        </w:rPr>
        <w:t xml:space="preserve"> úroky z realizovaných štátnych záruk (Vodohospodárska výstavba, š. p.) v zmysle platných splátkových kalendárov.  </w:t>
      </w:r>
    </w:p>
    <w:p w:rsidR="00D077AE" w:rsidRPr="00BC499A" w:rsidP="00D077AE">
      <w:pPr>
        <w:jc w:val="both"/>
        <w:rPr>
          <w:rFonts w:ascii="Arial Narrow" w:hAnsi="Arial Narrow" w:cs="Arial Narrow"/>
          <w:sz w:val="22"/>
          <w:szCs w:val="24"/>
        </w:rPr>
      </w:pPr>
    </w:p>
    <w:p w:rsidR="00D077AE" w:rsidRPr="003D4829" w:rsidP="00D077AE">
      <w:pPr>
        <w:tabs>
          <w:tab w:val="left" w:pos="1620"/>
        </w:tabs>
        <w:ind w:firstLine="708"/>
        <w:jc w:val="both"/>
        <w:rPr>
          <w:rFonts w:ascii="Arial Narrow" w:hAnsi="Arial Narrow" w:cs="Arial Narrow"/>
          <w:sz w:val="22"/>
          <w:szCs w:val="24"/>
        </w:rPr>
      </w:pPr>
      <w:r>
        <w:rPr>
          <w:rFonts w:ascii="Arial Narrow" w:hAnsi="Arial Narrow" w:cs="Arial Narrow"/>
          <w:sz w:val="22"/>
          <w:szCs w:val="24"/>
        </w:rPr>
        <w:t>Ú</w:t>
      </w:r>
      <w:r w:rsidRPr="00BC499A">
        <w:rPr>
          <w:rFonts w:ascii="Arial Narrow" w:hAnsi="Arial Narrow" w:cs="Arial Narrow"/>
          <w:sz w:val="22"/>
          <w:szCs w:val="24"/>
        </w:rPr>
        <w:t>roky zo zahraničných úverov, pôžičiek, návratných finančných výpomocí a vkladov tvoria najmä úroky z vládnych úverov poskytnutých do zahraničia</w:t>
      </w:r>
      <w:r>
        <w:rPr>
          <w:rFonts w:ascii="Arial Narrow" w:hAnsi="Arial Narrow" w:cs="Arial Narrow"/>
          <w:sz w:val="22"/>
          <w:szCs w:val="24"/>
        </w:rPr>
        <w:t>.</w:t>
      </w:r>
      <w:r w:rsidRPr="00BC499A">
        <w:rPr>
          <w:rFonts w:ascii="Arial Narrow" w:hAnsi="Arial Narrow" w:cs="Arial Narrow"/>
          <w:sz w:val="22"/>
          <w:szCs w:val="24"/>
        </w:rPr>
        <w:t xml:space="preserve"> Sú príjmami kapitoly Všeobecná pokladničná správa (štátny dlh). </w:t>
      </w:r>
      <w:r w:rsidRPr="003D4829">
        <w:rPr>
          <w:rFonts w:ascii="Arial Narrow" w:hAnsi="Arial Narrow" w:cs="Arial Narrow"/>
          <w:sz w:val="22"/>
          <w:szCs w:val="24"/>
        </w:rPr>
        <w:t xml:space="preserve">V rámci kapitoly Ministerstva zahraničných vecí SR </w:t>
      </w:r>
      <w:r>
        <w:rPr>
          <w:rFonts w:ascii="Arial Narrow" w:hAnsi="Arial Narrow" w:cs="Arial Narrow"/>
          <w:sz w:val="22"/>
          <w:szCs w:val="24"/>
        </w:rPr>
        <w:t xml:space="preserve">a Ministerstva obrany SR </w:t>
      </w:r>
      <w:r w:rsidRPr="003D4829">
        <w:rPr>
          <w:rFonts w:ascii="Arial Narrow" w:hAnsi="Arial Narrow" w:cs="Arial Narrow"/>
          <w:sz w:val="22"/>
          <w:szCs w:val="24"/>
        </w:rPr>
        <w:t xml:space="preserve">ide o kreditné úroky účtov zastupiteľských úradov Slovenskej republiky v zahraničí. </w:t>
      </w:r>
    </w:p>
    <w:p w:rsidR="00D077AE" w:rsidP="00F5568D">
      <w:pPr>
        <w:spacing w:before="120" w:after="120"/>
        <w:ind w:firstLine="709"/>
        <w:jc w:val="both"/>
        <w:rPr>
          <w:rFonts w:ascii="Arial Narrow" w:hAnsi="Arial Narrow" w:cs="Arial Narrow"/>
          <w:sz w:val="22"/>
          <w:szCs w:val="24"/>
        </w:rPr>
      </w:pPr>
      <w:r>
        <w:rPr>
          <w:rFonts w:ascii="Arial Narrow" w:hAnsi="Arial Narrow" w:cs="Arial Narrow"/>
          <w:sz w:val="22"/>
          <w:szCs w:val="24"/>
        </w:rPr>
        <w:t xml:space="preserve">Vývoj týchto príjmov v jednotlivých rokoch 2010 až 2012 je nasledovný: </w:t>
      </w:r>
    </w:p>
    <w:tbl>
      <w:tblPr>
        <w:tblStyle w:val="TableNormal"/>
        <w:tblW w:w="9015" w:type="dxa"/>
        <w:tblInd w:w="55" w:type="dxa"/>
        <w:tblCellMar>
          <w:left w:w="70" w:type="dxa"/>
          <w:right w:w="70" w:type="dxa"/>
        </w:tblCellMar>
      </w:tblPr>
      <w:tblGrid>
        <w:gridCol w:w="4695"/>
        <w:gridCol w:w="1440"/>
        <w:gridCol w:w="1440"/>
        <w:gridCol w:w="1440"/>
      </w:tblGrid>
      <w:tr>
        <w:tblPrEx>
          <w:tblW w:w="9015" w:type="dxa"/>
          <w:tblInd w:w="55" w:type="dxa"/>
          <w:tblCellMar>
            <w:left w:w="70" w:type="dxa"/>
            <w:right w:w="70" w:type="dxa"/>
          </w:tblCellMar>
        </w:tblPrEx>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D077AE" w:rsidRPr="00FB3B03" w:rsidP="001330FD">
            <w:pP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(v tis. eur)</w:t>
            </w:r>
          </w:p>
        </w:tc>
        <w:tc>
          <w:tcPr>
            <w:tcW w:w="144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1330F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w:t>
            </w:r>
            <w:r>
              <w:rPr>
                <w:rFonts w:ascii="Arial Narrow" w:hAnsi="Arial Narrow" w:cs="Arial Narrow"/>
                <w:b/>
                <w:color w:val="FFFFFF"/>
                <w:sz w:val="20"/>
                <w:szCs w:val="24"/>
                <w:lang w:eastAsia="sk-SK"/>
              </w:rPr>
              <w:t>10</w:t>
            </w:r>
          </w:p>
        </w:tc>
        <w:tc>
          <w:tcPr>
            <w:tcW w:w="144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1330F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1</w:t>
            </w:r>
          </w:p>
        </w:tc>
        <w:tc>
          <w:tcPr>
            <w:tcW w:w="1440" w:type="dxa"/>
            <w:tcBorders>
              <w:top w:val="single" w:sz="4" w:space="0" w:color="auto"/>
              <w:left w:val="nil"/>
              <w:bottom w:val="single" w:sz="4" w:space="0" w:color="auto"/>
              <w:right w:val="single" w:sz="4" w:space="0" w:color="auto"/>
            </w:tcBorders>
            <w:shd w:val="clear" w:color="auto" w:fill="000000"/>
            <w:textDirection w:val="lrTb"/>
            <w:vAlign w:val="center"/>
          </w:tcPr>
          <w:p w:rsidR="00D077AE" w:rsidRPr="00FB3B03" w:rsidP="001330FD">
            <w:pPr>
              <w:jc w:val="center"/>
              <w:rPr>
                <w:rFonts w:ascii="Arial Narrow" w:hAnsi="Arial Narrow" w:cs="Arial Narrow"/>
                <w:b/>
                <w:color w:val="FFFFFF"/>
                <w:sz w:val="20"/>
                <w:szCs w:val="24"/>
                <w:lang w:eastAsia="sk-SK"/>
              </w:rPr>
            </w:pPr>
            <w:r w:rsidRPr="00FB3B03">
              <w:rPr>
                <w:rFonts w:ascii="Arial Narrow" w:hAnsi="Arial Narrow" w:cs="Arial Narrow"/>
                <w:b/>
                <w:color w:val="FFFFFF"/>
                <w:sz w:val="20"/>
                <w:szCs w:val="24"/>
                <w:lang w:eastAsia="sk-SK"/>
              </w:rPr>
              <w:t>201</w:t>
            </w:r>
            <w:r>
              <w:rPr>
                <w:rFonts w:ascii="Arial Narrow" w:hAnsi="Arial Narrow" w:cs="Arial Narrow"/>
                <w:b/>
                <w:color w:val="FFFFFF"/>
                <w:sz w:val="20"/>
                <w:szCs w:val="24"/>
                <w:lang w:eastAsia="sk-SK"/>
              </w:rPr>
              <w:t>2</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Z úverov a pôžičiek</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498</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498</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498</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Úroky z finančných operácií </w:t>
            </w:r>
            <w:r w:rsidRPr="00DD38DB">
              <w:rPr>
                <w:rFonts w:ascii="Arial Narrow" w:hAnsi="Arial Narrow" w:cs="Arial Narrow"/>
                <w:sz w:val="20"/>
                <w:szCs w:val="24"/>
                <w:lang w:eastAsia="sk-SK"/>
              </w:rPr>
              <w:t>(ARDAL)</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31 604</w:t>
            </w:r>
          </w:p>
        </w:tc>
        <w:tc>
          <w:tcPr>
            <w:tcW w:w="1440" w:type="dxa"/>
            <w:tcBorders>
              <w:top w:val="nil"/>
              <w:left w:val="nil"/>
              <w:bottom w:val="single" w:sz="4" w:space="0" w:color="auto"/>
              <w:right w:val="single" w:sz="4" w:space="0" w:color="auto"/>
            </w:tcBorders>
            <w:textDirection w:val="lrTb"/>
            <w:vAlign w:val="center"/>
          </w:tcPr>
          <w:p w:rsidR="00D077AE" w:rsidRPr="004B04C7" w:rsidP="003E39F7">
            <w:pPr>
              <w:jc w:val="right"/>
              <w:rPr>
                <w:rFonts w:ascii="Arial Narrow" w:hAnsi="Arial Narrow" w:cs="Arial Narrow"/>
                <w:sz w:val="20"/>
                <w:szCs w:val="24"/>
                <w:highlight w:val="yellow"/>
                <w:lang w:eastAsia="sk-SK"/>
              </w:rPr>
            </w:pPr>
            <w:r w:rsidRPr="004B04C7">
              <w:rPr>
                <w:rFonts w:ascii="Arial Narrow" w:hAnsi="Arial Narrow" w:cs="Arial Narrow"/>
                <w:sz w:val="20"/>
                <w:szCs w:val="24"/>
                <w:lang w:eastAsia="sk-SK"/>
              </w:rPr>
              <w:t>41 537</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50 478</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 xml:space="preserve">Úroky z účtov fin. hospodárenia </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16 861</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33 016</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46 243</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Úroky z návratných fin. výpomocí a štátnych záruk (VHV š.p.)</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22 867</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21 418</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19 610</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textDirection w:val="lrTb"/>
            <w:vAlign w:val="center"/>
          </w:tcPr>
          <w:p w:rsidR="00D077AE" w:rsidRPr="00FB3B03" w:rsidP="003E39F7">
            <w:pPr>
              <w:rPr>
                <w:rFonts w:ascii="Arial Narrow" w:hAnsi="Arial Narrow" w:cs="Arial Narrow"/>
                <w:sz w:val="20"/>
                <w:szCs w:val="24"/>
                <w:lang w:eastAsia="sk-SK"/>
              </w:rPr>
            </w:pPr>
            <w:r w:rsidRPr="00FB3B03">
              <w:rPr>
                <w:rFonts w:ascii="Arial Narrow" w:hAnsi="Arial Narrow" w:cs="Arial Narrow"/>
                <w:sz w:val="20"/>
                <w:szCs w:val="24"/>
                <w:lang w:eastAsia="sk-SK"/>
              </w:rPr>
              <w:t>Úroky z vládnych úverov poskytnutých do zahraničia</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795</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176</w:t>
            </w:r>
          </w:p>
        </w:tc>
        <w:tc>
          <w:tcPr>
            <w:tcW w:w="1440" w:type="dxa"/>
            <w:tcBorders>
              <w:top w:val="nil"/>
              <w:left w:val="nil"/>
              <w:bottom w:val="single" w:sz="4" w:space="0" w:color="auto"/>
              <w:right w:val="single" w:sz="4" w:space="0" w:color="auto"/>
            </w:tcBorders>
            <w:textDirection w:val="lrTb"/>
            <w:vAlign w:val="center"/>
          </w:tcPr>
          <w:p w:rsidR="00D077AE" w:rsidRPr="00FB3B03" w:rsidP="003E39F7">
            <w:pPr>
              <w:jc w:val="right"/>
              <w:rPr>
                <w:rFonts w:ascii="Arial Narrow" w:hAnsi="Arial Narrow" w:cs="Arial Narrow"/>
                <w:sz w:val="20"/>
                <w:szCs w:val="24"/>
                <w:lang w:eastAsia="sk-SK"/>
              </w:rPr>
            </w:pPr>
            <w:r>
              <w:rPr>
                <w:rFonts w:ascii="Arial Narrow" w:hAnsi="Arial Narrow" w:cs="Arial Narrow"/>
                <w:sz w:val="20"/>
                <w:szCs w:val="24"/>
                <w:lang w:eastAsia="sk-SK"/>
              </w:rPr>
              <w:t>140</w:t>
            </w:r>
          </w:p>
        </w:tc>
      </w:tr>
      <w:tr>
        <w:tblPrEx>
          <w:tblW w:w="9015" w:type="dxa"/>
          <w:tblInd w:w="55" w:type="dxa"/>
          <w:tblCellMar>
            <w:left w:w="70" w:type="dxa"/>
            <w:right w:w="70" w:type="dxa"/>
          </w:tblCellMar>
        </w:tblPrEx>
        <w:trPr>
          <w:trHeight w:val="255"/>
        </w:trPr>
        <w:tc>
          <w:tcPr>
            <w:tcW w:w="4695" w:type="dxa"/>
            <w:tcBorders>
              <w:top w:val="nil"/>
              <w:left w:val="single" w:sz="4" w:space="0" w:color="auto"/>
              <w:bottom w:val="single" w:sz="4" w:space="0" w:color="auto"/>
              <w:right w:val="single" w:sz="4" w:space="0" w:color="auto"/>
            </w:tcBorders>
            <w:shd w:val="clear" w:color="auto" w:fill="C0C0C0"/>
            <w:textDirection w:val="lrTb"/>
            <w:vAlign w:val="top"/>
          </w:tcPr>
          <w:p w:rsidR="00D077AE" w:rsidRPr="00FB3B03" w:rsidP="00417604">
            <w:pPr>
              <w:jc w:val="both"/>
              <w:rPr>
                <w:rFonts w:ascii="Arial Narrow" w:hAnsi="Arial Narrow" w:cs="Arial Narrow"/>
                <w:b/>
                <w:sz w:val="20"/>
                <w:szCs w:val="24"/>
                <w:lang w:eastAsia="sk-SK"/>
              </w:rPr>
            </w:pPr>
            <w:r w:rsidRPr="00FB3B03">
              <w:rPr>
                <w:rFonts w:ascii="Arial Narrow" w:hAnsi="Arial Narrow" w:cs="Arial Narrow"/>
                <w:b/>
                <w:sz w:val="20"/>
                <w:szCs w:val="24"/>
                <w:lang w:eastAsia="sk-SK"/>
              </w:rPr>
              <w:t>S p o l u</w:t>
            </w:r>
          </w:p>
        </w:tc>
        <w:tc>
          <w:tcPr>
            <w:tcW w:w="144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sidRPr="00DD38DB">
              <w:rPr>
                <w:rFonts w:ascii="Arial Narrow" w:hAnsi="Arial Narrow" w:cs="Arial Narrow"/>
                <w:b/>
                <w:sz w:val="20"/>
                <w:szCs w:val="24"/>
                <w:highlight w:val="lightGray"/>
                <w:lang w:eastAsia="sk-SK"/>
              </w:rPr>
              <w:t>72 625</w:t>
            </w:r>
          </w:p>
        </w:tc>
        <w:tc>
          <w:tcPr>
            <w:tcW w:w="144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Pr>
                <w:rFonts w:ascii="Arial Narrow" w:hAnsi="Arial Narrow" w:cs="Arial Narrow"/>
                <w:b/>
                <w:sz w:val="20"/>
                <w:szCs w:val="24"/>
                <w:lang w:eastAsia="sk-SK"/>
              </w:rPr>
              <w:t>96 645</w:t>
            </w:r>
          </w:p>
        </w:tc>
        <w:tc>
          <w:tcPr>
            <w:tcW w:w="1440" w:type="dxa"/>
            <w:tcBorders>
              <w:top w:val="nil"/>
              <w:left w:val="nil"/>
              <w:bottom w:val="single" w:sz="4" w:space="0" w:color="auto"/>
              <w:right w:val="single" w:sz="4" w:space="0" w:color="auto"/>
            </w:tcBorders>
            <w:shd w:val="clear" w:color="auto" w:fill="C0C0C0"/>
            <w:textDirection w:val="lrTb"/>
            <w:vAlign w:val="center"/>
          </w:tcPr>
          <w:p w:rsidR="00D077AE" w:rsidRPr="00FB3B03" w:rsidP="003E39F7">
            <w:pPr>
              <w:jc w:val="right"/>
              <w:rPr>
                <w:rFonts w:ascii="Arial Narrow" w:hAnsi="Arial Narrow" w:cs="Arial Narrow"/>
                <w:b/>
                <w:sz w:val="20"/>
                <w:szCs w:val="24"/>
                <w:lang w:eastAsia="sk-SK"/>
              </w:rPr>
            </w:pPr>
            <w:r w:rsidRPr="00DD38DB">
              <w:rPr>
                <w:rFonts w:ascii="Arial Narrow" w:hAnsi="Arial Narrow" w:cs="Arial Narrow"/>
                <w:b/>
                <w:sz w:val="20"/>
                <w:szCs w:val="24"/>
                <w:lang w:eastAsia="sk-SK"/>
              </w:rPr>
              <w:t>116 969</w:t>
            </w:r>
          </w:p>
        </w:tc>
      </w:tr>
    </w:tbl>
    <w:p w:rsidR="00D077AE" w:rsidRPr="00BC499A" w:rsidP="00D077AE">
      <w:pPr>
        <w:jc w:val="both"/>
        <w:rPr>
          <w:rFonts w:ascii="Arial Narrow" w:hAnsi="Arial Narrow" w:cs="Arial Narrow"/>
          <w:sz w:val="22"/>
          <w:szCs w:val="24"/>
        </w:rPr>
      </w:pPr>
    </w:p>
    <w:p w:rsidR="00D077AE" w:rsidP="00D077AE">
      <w:pPr>
        <w:ind w:firstLine="708"/>
        <w:jc w:val="both"/>
        <w:rPr>
          <w:rFonts w:ascii="Arial Narrow" w:hAnsi="Arial Narrow" w:cs="Arial Narrow"/>
          <w:sz w:val="22"/>
          <w:szCs w:val="24"/>
        </w:rPr>
      </w:pPr>
      <w:r w:rsidRPr="00BC499A">
        <w:rPr>
          <w:rFonts w:ascii="Arial Narrow" w:hAnsi="Arial Narrow" w:cs="Arial Narrow"/>
          <w:b/>
          <w:sz w:val="22"/>
          <w:szCs w:val="24"/>
        </w:rPr>
        <w:t>E. Iné nedaňové príjmy</w:t>
      </w:r>
      <w:r w:rsidRPr="00BC499A">
        <w:rPr>
          <w:rFonts w:ascii="Arial Narrow" w:hAnsi="Arial Narrow" w:cs="Arial Narrow"/>
          <w:sz w:val="22"/>
          <w:szCs w:val="24"/>
        </w:rPr>
        <w:t xml:space="preserve"> tvoria vrátené neoprávnene použité alebo zadržané finančné prostriedky a ostatné príjmy.</w:t>
      </w:r>
      <w:r>
        <w:rPr>
          <w:rFonts w:ascii="Arial Narrow" w:hAnsi="Arial Narrow" w:cs="Arial Narrow"/>
          <w:sz w:val="22"/>
          <w:szCs w:val="24"/>
        </w:rPr>
        <w:t xml:space="preserve"> V rámci rozpočtového obdobia 2010 až 2012 sa predpokladá takmer rovnaká úroveň</w:t>
      </w:r>
      <w:r w:rsidRPr="00BC499A">
        <w:rPr>
          <w:rFonts w:ascii="Arial Narrow" w:hAnsi="Arial Narrow" w:cs="Arial Narrow"/>
          <w:sz w:val="22"/>
          <w:szCs w:val="24"/>
        </w:rPr>
        <w:t> uvedených príjmov</w:t>
      </w:r>
      <w:r>
        <w:rPr>
          <w:rFonts w:ascii="Arial Narrow" w:hAnsi="Arial Narrow" w:cs="Arial Narrow"/>
          <w:sz w:val="22"/>
          <w:szCs w:val="24"/>
        </w:rPr>
        <w:t xml:space="preserve">. Najväčší objem z týchto príjmov predstavujú príjmy z hazardných hier, ktoré </w:t>
      </w:r>
      <w:r w:rsidRPr="00BC499A">
        <w:rPr>
          <w:rFonts w:ascii="Arial Narrow" w:hAnsi="Arial Narrow" w:cs="Arial Narrow"/>
          <w:sz w:val="22"/>
          <w:szCs w:val="24"/>
        </w:rPr>
        <w:t xml:space="preserve">sú rozpočtované v kapitole Všeobecná pokladničná správa. </w:t>
      </w:r>
    </w:p>
    <w:p w:rsidR="00D077AE" w:rsidP="00F5568D">
      <w:pPr>
        <w:spacing w:before="120" w:after="120"/>
        <w:jc w:val="both"/>
        <w:rPr>
          <w:rFonts w:ascii="Arial Narrow" w:hAnsi="Arial Narrow" w:cs="Arial Narrow"/>
          <w:sz w:val="22"/>
          <w:szCs w:val="24"/>
        </w:rPr>
      </w:pPr>
      <w:r>
        <w:rPr>
          <w:rFonts w:ascii="Arial Narrow" w:hAnsi="Arial Narrow" w:cs="Arial Narrow"/>
          <w:sz w:val="22"/>
          <w:szCs w:val="24"/>
        </w:rPr>
        <w:tab/>
        <w:t xml:space="preserve">V rozpočtovom období 2010 až 2012 sa ich výška predpokladá nasledovne: </w:t>
      </w:r>
    </w:p>
    <w:tbl>
      <w:tblPr>
        <w:tblStyle w:val="TableNormal"/>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7"/>
        <w:gridCol w:w="1421"/>
        <w:gridCol w:w="1421"/>
        <w:gridCol w:w="1421"/>
      </w:tblGrid>
      <w:tr>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37"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274F1D" w:rsidRPr="001330FD" w:rsidP="001330FD">
            <w:pPr>
              <w:rPr>
                <w:rFonts w:ascii="Arial Narrow" w:hAnsi="Arial Narrow" w:cs="Arial Narrow"/>
                <w:b/>
                <w:sz w:val="20"/>
                <w:szCs w:val="24"/>
              </w:rPr>
            </w:pPr>
            <w:r w:rsidRPr="001330FD">
              <w:rPr>
                <w:rFonts w:ascii="Arial Narrow" w:hAnsi="Arial Narrow" w:cs="Arial Narrow"/>
                <w:b/>
                <w:sz w:val="20"/>
                <w:szCs w:val="24"/>
              </w:rPr>
              <w:t>(v tis. eur)</w:t>
            </w:r>
          </w:p>
        </w:tc>
        <w:tc>
          <w:tcPr>
            <w:tcW w:w="1421"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274F1D" w:rsidRPr="00B13A0D" w:rsidP="001330FD">
            <w:pPr>
              <w:jc w:val="center"/>
              <w:rPr>
                <w:rFonts w:ascii="Arial Narrow" w:hAnsi="Arial Narrow" w:cs="Arial Narrow"/>
                <w:b/>
                <w:color w:val="FFFFFF"/>
                <w:sz w:val="20"/>
                <w:szCs w:val="24"/>
              </w:rPr>
            </w:pPr>
            <w:r w:rsidRPr="00B13A0D">
              <w:rPr>
                <w:rFonts w:ascii="Arial Narrow" w:hAnsi="Arial Narrow" w:cs="Arial Narrow"/>
                <w:b/>
                <w:color w:val="FFFFFF"/>
                <w:sz w:val="20"/>
                <w:szCs w:val="24"/>
              </w:rPr>
              <w:t>2010</w:t>
            </w:r>
          </w:p>
        </w:tc>
        <w:tc>
          <w:tcPr>
            <w:tcW w:w="1421"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274F1D" w:rsidRPr="00B13A0D" w:rsidP="001330FD">
            <w:pPr>
              <w:jc w:val="center"/>
              <w:rPr>
                <w:rFonts w:ascii="Arial Narrow" w:hAnsi="Arial Narrow" w:cs="Arial Narrow"/>
                <w:b/>
                <w:color w:val="FFFFFF"/>
                <w:sz w:val="20"/>
                <w:szCs w:val="24"/>
              </w:rPr>
            </w:pPr>
            <w:r w:rsidRPr="00B13A0D">
              <w:rPr>
                <w:rFonts w:ascii="Arial Narrow" w:hAnsi="Arial Narrow" w:cs="Arial Narrow"/>
                <w:b/>
                <w:color w:val="FFFFFF"/>
                <w:sz w:val="20"/>
                <w:szCs w:val="24"/>
              </w:rPr>
              <w:t>2011</w:t>
            </w:r>
          </w:p>
        </w:tc>
        <w:tc>
          <w:tcPr>
            <w:tcW w:w="1421"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274F1D" w:rsidRPr="00B13A0D" w:rsidP="001330FD">
            <w:pPr>
              <w:jc w:val="center"/>
              <w:rPr>
                <w:rFonts w:ascii="Arial Narrow" w:hAnsi="Arial Narrow" w:cs="Arial Narrow"/>
                <w:b/>
                <w:color w:val="FFFFFF"/>
                <w:sz w:val="20"/>
                <w:szCs w:val="24"/>
              </w:rPr>
            </w:pPr>
            <w:r w:rsidRPr="00B13A0D">
              <w:rPr>
                <w:rFonts w:ascii="Arial Narrow" w:hAnsi="Arial Narrow" w:cs="Arial Narrow"/>
                <w:b/>
                <w:color w:val="FFFFFF"/>
                <w:sz w:val="20"/>
                <w:szCs w:val="24"/>
              </w:rPr>
              <w:t>2012</w:t>
            </w:r>
          </w:p>
        </w:tc>
      </w:tr>
      <w:tr>
        <w:tblPrEx>
          <w:tblW w:w="9000" w:type="dxa"/>
          <w:tblInd w:w="108" w:type="dxa"/>
          <w:tblLook w:val="01E0"/>
        </w:tblPrEx>
        <w:tc>
          <w:tcPr>
            <w:tcW w:w="473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74F1D" w:rsidRPr="00B13A0D" w:rsidP="00417604">
            <w:pPr>
              <w:jc w:val="both"/>
              <w:rPr>
                <w:rFonts w:ascii="Arial Narrow" w:hAnsi="Arial Narrow" w:cs="Arial Narrow"/>
                <w:b/>
                <w:sz w:val="20"/>
                <w:szCs w:val="24"/>
              </w:rPr>
            </w:pPr>
            <w:r w:rsidRPr="00B13A0D">
              <w:rPr>
                <w:rFonts w:ascii="Arial Narrow" w:hAnsi="Arial Narrow" w:cs="Arial Narrow"/>
                <w:b/>
                <w:sz w:val="20"/>
                <w:szCs w:val="24"/>
              </w:rPr>
              <w:t>Iné nedaňové príjmy</w:t>
            </w:r>
          </w:p>
        </w:tc>
        <w:tc>
          <w:tcPr>
            <w:tcW w:w="142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74F1D" w:rsidRPr="00B13A0D" w:rsidP="003E39F7">
            <w:pPr>
              <w:jc w:val="right"/>
              <w:rPr>
                <w:rFonts w:ascii="Arial Narrow" w:hAnsi="Arial Narrow" w:cs="Arial Narrow"/>
                <w:b/>
                <w:sz w:val="20"/>
                <w:szCs w:val="24"/>
              </w:rPr>
            </w:pPr>
            <w:r w:rsidRPr="00B13A0D">
              <w:rPr>
                <w:rFonts w:ascii="Arial Narrow" w:hAnsi="Arial Narrow" w:cs="Arial Narrow"/>
                <w:b/>
                <w:sz w:val="20"/>
                <w:szCs w:val="24"/>
              </w:rPr>
              <w:t xml:space="preserve">152 818 </w:t>
            </w:r>
          </w:p>
        </w:tc>
        <w:tc>
          <w:tcPr>
            <w:tcW w:w="142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74F1D" w:rsidRPr="00B13A0D" w:rsidP="003E39F7">
            <w:pPr>
              <w:jc w:val="right"/>
              <w:rPr>
                <w:rFonts w:ascii="Arial Narrow" w:hAnsi="Arial Narrow" w:cs="Arial Narrow"/>
                <w:b/>
                <w:sz w:val="20"/>
                <w:szCs w:val="24"/>
              </w:rPr>
            </w:pPr>
            <w:r w:rsidRPr="00B13A0D">
              <w:rPr>
                <w:rFonts w:ascii="Arial Narrow" w:hAnsi="Arial Narrow" w:cs="Arial Narrow"/>
                <w:b/>
                <w:sz w:val="20"/>
                <w:szCs w:val="24"/>
              </w:rPr>
              <w:t>161 348</w:t>
            </w:r>
          </w:p>
        </w:tc>
        <w:tc>
          <w:tcPr>
            <w:tcW w:w="142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74F1D" w:rsidRPr="00B13A0D" w:rsidP="003E39F7">
            <w:pPr>
              <w:jc w:val="right"/>
              <w:rPr>
                <w:rFonts w:ascii="Arial Narrow" w:hAnsi="Arial Narrow" w:cs="Arial Narrow"/>
                <w:b/>
                <w:sz w:val="20"/>
                <w:szCs w:val="24"/>
              </w:rPr>
            </w:pPr>
            <w:r w:rsidRPr="00B13A0D">
              <w:rPr>
                <w:rFonts w:ascii="Arial Narrow" w:hAnsi="Arial Narrow" w:cs="Arial Narrow"/>
                <w:b/>
                <w:sz w:val="20"/>
                <w:szCs w:val="24"/>
              </w:rPr>
              <w:t>161 863</w:t>
            </w:r>
          </w:p>
        </w:tc>
      </w:tr>
    </w:tbl>
    <w:p w:rsidR="00D077AE" w:rsidRPr="00BC499A"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r w:rsidRPr="00BC499A">
        <w:rPr>
          <w:rFonts w:ascii="Arial Narrow" w:hAnsi="Arial Narrow" w:cs="Arial Narrow"/>
          <w:sz w:val="22"/>
          <w:szCs w:val="24"/>
        </w:rPr>
        <w:tab/>
        <w:t xml:space="preserve">Výška iných nedaňových príjmov je v priebehu rozpočtového roka ovplyvnená </w:t>
      </w:r>
      <w:r>
        <w:rPr>
          <w:rFonts w:ascii="Arial Narrow" w:hAnsi="Arial Narrow" w:cs="Arial Narrow"/>
          <w:sz w:val="22"/>
          <w:szCs w:val="24"/>
        </w:rPr>
        <w:t xml:space="preserve">najmä </w:t>
      </w:r>
      <w:r w:rsidRPr="00BC499A">
        <w:rPr>
          <w:rFonts w:ascii="Arial Narrow" w:hAnsi="Arial Narrow" w:cs="Arial Narrow"/>
          <w:sz w:val="22"/>
          <w:szCs w:val="24"/>
        </w:rPr>
        <w:t>objemom vrátených neoprávnene použitých finančných prostriedkov od neziskových organizácií, rozpočtových organizácií, obcí a ostatných príjmov, medzi kt</w:t>
      </w:r>
      <w:r>
        <w:rPr>
          <w:rFonts w:ascii="Arial Narrow" w:hAnsi="Arial Narrow" w:cs="Arial Narrow"/>
          <w:sz w:val="22"/>
          <w:szCs w:val="24"/>
        </w:rPr>
        <w:t>oré patria najmä odvody a vratky.</w:t>
      </w:r>
      <w:r w:rsidRPr="00BC499A">
        <w:rPr>
          <w:rFonts w:ascii="Arial Narrow" w:hAnsi="Arial Narrow" w:cs="Arial Narrow"/>
          <w:sz w:val="22"/>
          <w:szCs w:val="24"/>
        </w:rPr>
        <w:t xml:space="preserve"> </w:t>
      </w:r>
    </w:p>
    <w:p w:rsidR="00A847B3" w:rsidP="00D077AE">
      <w:pPr>
        <w:jc w:val="both"/>
        <w:rPr>
          <w:rFonts w:ascii="Arial Narrow" w:hAnsi="Arial Narrow" w:cs="Arial Narrow"/>
          <w:b/>
          <w:sz w:val="22"/>
          <w:szCs w:val="24"/>
        </w:rPr>
      </w:pPr>
    </w:p>
    <w:p w:rsidR="00D077AE" w:rsidRPr="00BC499A" w:rsidP="00D077AE">
      <w:pPr>
        <w:jc w:val="both"/>
        <w:rPr>
          <w:rFonts w:ascii="Arial Narrow" w:hAnsi="Arial Narrow" w:cs="Arial Narrow"/>
          <w:b/>
          <w:sz w:val="22"/>
          <w:szCs w:val="24"/>
        </w:rPr>
      </w:pPr>
      <w:r>
        <w:rPr>
          <w:rFonts w:ascii="Arial Narrow" w:hAnsi="Arial Narrow" w:cs="Arial Narrow"/>
          <w:b/>
          <w:sz w:val="22"/>
          <w:szCs w:val="24"/>
        </w:rPr>
        <w:t xml:space="preserve">3.4.2. </w:t>
      </w:r>
      <w:r w:rsidRPr="00BC499A">
        <w:rPr>
          <w:rFonts w:ascii="Arial Narrow" w:hAnsi="Arial Narrow" w:cs="Arial Narrow"/>
          <w:b/>
          <w:sz w:val="22"/>
          <w:szCs w:val="24"/>
        </w:rPr>
        <w:t>Granty a transfery</w:t>
      </w:r>
    </w:p>
    <w:p w:rsidR="00D077AE" w:rsidRPr="00BC499A" w:rsidP="00F5568D">
      <w:pPr>
        <w:spacing w:before="240"/>
        <w:ind w:firstLine="703"/>
        <w:jc w:val="both"/>
        <w:rPr>
          <w:rFonts w:ascii="Arial Narrow" w:hAnsi="Arial Narrow" w:cs="Arial Narrow"/>
          <w:sz w:val="22"/>
          <w:szCs w:val="24"/>
        </w:rPr>
      </w:pPr>
      <w:r>
        <w:rPr>
          <w:rFonts w:ascii="Arial Narrow" w:hAnsi="Arial Narrow" w:cs="Arial Narrow"/>
          <w:sz w:val="22"/>
          <w:szCs w:val="24"/>
        </w:rPr>
        <w:t>V rokoch 2010 až 2012</w:t>
      </w:r>
      <w:r w:rsidRPr="00BC499A">
        <w:rPr>
          <w:rFonts w:ascii="Arial Narrow" w:hAnsi="Arial Narrow" w:cs="Arial Narrow"/>
          <w:sz w:val="22"/>
          <w:szCs w:val="24"/>
        </w:rPr>
        <w:t xml:space="preserve"> sa predpokladá podiel transferov na celk</w:t>
      </w:r>
      <w:r>
        <w:rPr>
          <w:rFonts w:ascii="Arial Narrow" w:hAnsi="Arial Narrow" w:cs="Arial Narrow"/>
          <w:sz w:val="22"/>
          <w:szCs w:val="24"/>
        </w:rPr>
        <w:t>ových iných ako daňových príjmoch</w:t>
      </w:r>
      <w:r w:rsidRPr="00BC499A">
        <w:rPr>
          <w:rFonts w:ascii="Arial Narrow" w:hAnsi="Arial Narrow" w:cs="Arial Narrow"/>
          <w:sz w:val="22"/>
          <w:szCs w:val="24"/>
        </w:rPr>
        <w:t xml:space="preserve"> </w:t>
      </w:r>
      <w:r>
        <w:rPr>
          <w:rFonts w:ascii="Arial Narrow" w:hAnsi="Arial Narrow" w:cs="Arial Narrow"/>
          <w:sz w:val="22"/>
          <w:szCs w:val="24"/>
        </w:rPr>
        <w:t xml:space="preserve">na úrovni </w:t>
      </w:r>
      <w:r w:rsidRPr="001D7103">
        <w:rPr>
          <w:rFonts w:ascii="Arial Narrow" w:hAnsi="Arial Narrow" w:cs="Arial Narrow"/>
          <w:sz w:val="22"/>
          <w:szCs w:val="24"/>
        </w:rPr>
        <w:t>7</w:t>
      </w:r>
      <w:r>
        <w:rPr>
          <w:rFonts w:ascii="Arial Narrow" w:hAnsi="Arial Narrow" w:cs="Arial Narrow"/>
          <w:sz w:val="22"/>
          <w:szCs w:val="24"/>
        </w:rPr>
        <w:t>7,6</w:t>
      </w:r>
      <w:r w:rsidRPr="001D7103">
        <w:rPr>
          <w:rFonts w:ascii="Arial Narrow" w:hAnsi="Arial Narrow" w:cs="Arial Narrow"/>
          <w:sz w:val="22"/>
          <w:szCs w:val="24"/>
        </w:rPr>
        <w:t xml:space="preserve"> % až 8</w:t>
      </w:r>
      <w:r>
        <w:rPr>
          <w:rFonts w:ascii="Arial Narrow" w:hAnsi="Arial Narrow" w:cs="Arial Narrow"/>
          <w:sz w:val="22"/>
          <w:szCs w:val="24"/>
        </w:rPr>
        <w:t>4,0</w:t>
      </w:r>
      <w:r w:rsidRPr="001D7103">
        <w:rPr>
          <w:rFonts w:ascii="Arial Narrow" w:hAnsi="Arial Narrow" w:cs="Arial Narrow"/>
          <w:sz w:val="22"/>
          <w:szCs w:val="24"/>
        </w:rPr>
        <w:t xml:space="preserve"> %.</w:t>
      </w:r>
      <w:r w:rsidRPr="00BC499A">
        <w:rPr>
          <w:rFonts w:ascii="Arial Narrow" w:hAnsi="Arial Narrow" w:cs="Arial Narrow"/>
          <w:sz w:val="22"/>
          <w:szCs w:val="24"/>
        </w:rPr>
        <w:t xml:space="preserve"> </w:t>
      </w:r>
      <w:r>
        <w:rPr>
          <w:rFonts w:ascii="Arial Narrow" w:hAnsi="Arial Narrow" w:cs="Arial Narrow"/>
          <w:sz w:val="22"/>
          <w:szCs w:val="24"/>
        </w:rPr>
        <w:t>V roku 2010</w:t>
      </w:r>
      <w:r w:rsidRPr="00BC499A">
        <w:rPr>
          <w:rFonts w:ascii="Arial Narrow" w:hAnsi="Arial Narrow" w:cs="Arial Narrow"/>
          <w:sz w:val="22"/>
          <w:szCs w:val="24"/>
        </w:rPr>
        <w:t xml:space="preserve"> sa </w:t>
      </w:r>
      <w:r w:rsidRPr="00BC499A">
        <w:rPr>
          <w:rFonts w:ascii="Arial Narrow" w:hAnsi="Arial Narrow" w:cs="Arial Narrow"/>
          <w:b/>
          <w:sz w:val="22"/>
          <w:szCs w:val="24"/>
        </w:rPr>
        <w:t>transfery</w:t>
      </w:r>
      <w:r w:rsidRPr="00BC499A">
        <w:rPr>
          <w:rFonts w:ascii="Arial Narrow" w:hAnsi="Arial Narrow" w:cs="Arial Narrow"/>
          <w:sz w:val="22"/>
          <w:szCs w:val="24"/>
        </w:rPr>
        <w:t xml:space="preserve"> rozpočtujú v</w:t>
      </w:r>
      <w:r>
        <w:rPr>
          <w:rFonts w:ascii="Arial Narrow" w:hAnsi="Arial Narrow" w:cs="Arial Narrow"/>
          <w:sz w:val="22"/>
          <w:szCs w:val="24"/>
        </w:rPr>
        <w:t> </w:t>
      </w:r>
      <w:r w:rsidRPr="00BC499A">
        <w:rPr>
          <w:rFonts w:ascii="Arial Narrow" w:hAnsi="Arial Narrow" w:cs="Arial Narrow"/>
          <w:sz w:val="22"/>
          <w:szCs w:val="24"/>
        </w:rPr>
        <w:t>objeme</w:t>
      </w:r>
      <w:r>
        <w:rPr>
          <w:rFonts w:ascii="Arial Narrow" w:hAnsi="Arial Narrow" w:cs="Arial Narrow"/>
          <w:sz w:val="22"/>
          <w:szCs w:val="24"/>
        </w:rPr>
        <w:t xml:space="preserve"> </w:t>
      </w:r>
      <w:r w:rsidRPr="00582A96">
        <w:rPr>
          <w:rFonts w:ascii="Arial Narrow" w:hAnsi="Arial Narrow" w:cs="Arial Narrow"/>
          <w:sz w:val="22"/>
          <w:szCs w:val="24"/>
          <w:lang w:eastAsia="sk-SK"/>
        </w:rPr>
        <w:t>3 284 315</w:t>
      </w:r>
      <w:r>
        <w:rPr>
          <w:rFonts w:ascii="Arial Narrow" w:hAnsi="Arial Narrow" w:cs="Arial Narrow"/>
          <w:sz w:val="22"/>
          <w:szCs w:val="24"/>
        </w:rPr>
        <w:t xml:space="preserve"> tis. eur</w:t>
      </w:r>
      <w:r w:rsidRPr="00BC499A">
        <w:rPr>
          <w:rFonts w:ascii="Arial Narrow" w:hAnsi="Arial Narrow" w:cs="Arial Narrow"/>
          <w:sz w:val="22"/>
          <w:szCs w:val="24"/>
        </w:rPr>
        <w:t>. V</w:t>
      </w:r>
      <w:r>
        <w:rPr>
          <w:rFonts w:ascii="Arial Narrow" w:hAnsi="Arial Narrow" w:cs="Arial Narrow"/>
          <w:sz w:val="22"/>
          <w:szCs w:val="24"/>
        </w:rPr>
        <w:t> tejto kategórii</w:t>
      </w:r>
      <w:r w:rsidRPr="00BC499A">
        <w:rPr>
          <w:rFonts w:ascii="Arial Narrow" w:hAnsi="Arial Narrow" w:cs="Arial Narrow"/>
          <w:sz w:val="22"/>
          <w:szCs w:val="24"/>
        </w:rPr>
        <w:t xml:space="preserve"> sa rozpočtujú:</w:t>
      </w:r>
    </w:p>
    <w:p w:rsidR="00D077AE" w:rsidRPr="00BC499A" w:rsidP="00D077AE">
      <w:pPr>
        <w:jc w:val="both"/>
        <w:rPr>
          <w:rFonts w:ascii="Arial Narrow" w:hAnsi="Arial Narrow" w:cs="Arial Narrow"/>
          <w:sz w:val="22"/>
          <w:szCs w:val="24"/>
        </w:rPr>
      </w:pPr>
    </w:p>
    <w:p w:rsidR="00D077AE" w:rsidRPr="005F3CD0" w:rsidP="00D077AE">
      <w:pPr>
        <w:jc w:val="both"/>
        <w:rPr>
          <w:rFonts w:ascii="Arial Narrow" w:hAnsi="Arial Narrow" w:cs="Arial Narrow"/>
          <w:sz w:val="22"/>
          <w:szCs w:val="24"/>
        </w:rPr>
      </w:pPr>
      <w:r w:rsidR="00951CC4">
        <w:rPr>
          <w:rFonts w:ascii="Arial Narrow" w:hAnsi="Arial Narrow" w:cs="Arial Narrow"/>
          <w:b/>
          <w:sz w:val="22"/>
          <w:szCs w:val="24"/>
        </w:rPr>
        <w:t>A. T</w:t>
      </w:r>
      <w:r w:rsidRPr="00BC499A">
        <w:rPr>
          <w:rFonts w:ascii="Arial Narrow" w:hAnsi="Arial Narrow" w:cs="Arial Narrow"/>
          <w:b/>
          <w:sz w:val="22"/>
          <w:szCs w:val="24"/>
        </w:rPr>
        <w:t>ransfery v rámci verejnej správy</w:t>
      </w:r>
      <w:r>
        <w:rPr>
          <w:rFonts w:ascii="Arial Narrow" w:hAnsi="Arial Narrow" w:cs="Arial Narrow"/>
          <w:b/>
          <w:sz w:val="22"/>
          <w:szCs w:val="24"/>
        </w:rPr>
        <w:t xml:space="preserve"> sú vo výške 386 815 tis. eur</w:t>
      </w:r>
      <w:r w:rsidRPr="00BC499A">
        <w:rPr>
          <w:rFonts w:ascii="Arial Narrow" w:hAnsi="Arial Narrow" w:cs="Arial Narrow"/>
          <w:b/>
          <w:sz w:val="22"/>
          <w:szCs w:val="24"/>
        </w:rPr>
        <w:t xml:space="preserve"> </w:t>
      </w:r>
      <w:r>
        <w:rPr>
          <w:rFonts w:ascii="Arial Narrow" w:hAnsi="Arial Narrow" w:cs="Arial Narrow"/>
          <w:sz w:val="22"/>
          <w:szCs w:val="24"/>
        </w:rPr>
        <w:t>a tvoria ich transfery:</w:t>
      </w:r>
    </w:p>
    <w:p w:rsidR="00A847B3" w:rsidP="00F315AD">
      <w:pPr>
        <w:spacing w:before="120"/>
        <w:jc w:val="both"/>
        <w:rPr>
          <w:rFonts w:ascii="Arial Narrow" w:hAnsi="Arial Narrow" w:cs="Arial Narrow"/>
          <w:sz w:val="22"/>
          <w:szCs w:val="24"/>
        </w:rPr>
      </w:pPr>
      <w:r w:rsidRPr="00BC499A" w:rsidR="00D077AE">
        <w:rPr>
          <w:rFonts w:ascii="Arial Narrow" w:hAnsi="Arial Narrow" w:cs="Arial Narrow"/>
          <w:sz w:val="22"/>
          <w:szCs w:val="24"/>
        </w:rPr>
        <w:t xml:space="preserve">- zo štátnych finančných aktív vo výške </w:t>
      </w:r>
      <w:r w:rsidR="00D077AE">
        <w:rPr>
          <w:rFonts w:ascii="Arial Narrow" w:hAnsi="Arial Narrow" w:cs="Arial Narrow"/>
          <w:sz w:val="22"/>
          <w:szCs w:val="24"/>
        </w:rPr>
        <w:t>374 919 tis. eur</w:t>
      </w:r>
      <w:r w:rsidRPr="00BC499A" w:rsidR="00D077AE">
        <w:rPr>
          <w:rFonts w:ascii="Arial Narrow" w:hAnsi="Arial Narrow" w:cs="Arial Narrow"/>
          <w:sz w:val="22"/>
          <w:szCs w:val="24"/>
        </w:rPr>
        <w:t>. Ide o príjmy z dividend z podnikov s majetkovou účasťou Fondu národného majetku SR</w:t>
      </w:r>
      <w:r w:rsidR="00D077AE">
        <w:rPr>
          <w:rFonts w:ascii="Arial Narrow" w:hAnsi="Arial Narrow" w:cs="Arial Narrow"/>
          <w:sz w:val="22"/>
          <w:szCs w:val="24"/>
        </w:rPr>
        <w:t>,</w:t>
      </w:r>
      <w:r w:rsidRPr="00BC499A" w:rsidR="00D077AE">
        <w:rPr>
          <w:rFonts w:ascii="Arial Narrow" w:hAnsi="Arial Narrow" w:cs="Arial Narrow"/>
          <w:sz w:val="22"/>
          <w:szCs w:val="24"/>
        </w:rPr>
        <w:t xml:space="preserve"> ktoré sa po posilnení štátnych finančných aktív následne stanú príjmom štátneho rozpočtu.  </w:t>
      </w:r>
    </w:p>
    <w:p w:rsidR="00D077AE" w:rsidP="00D077AE">
      <w:pPr>
        <w:jc w:val="both"/>
        <w:rPr>
          <w:rFonts w:ascii="Arial Narrow" w:hAnsi="Arial Narrow" w:cs="Arial Narrow"/>
          <w:sz w:val="22"/>
          <w:szCs w:val="24"/>
        </w:rPr>
      </w:pPr>
      <w:r>
        <w:rPr>
          <w:b/>
          <w:noProof/>
          <w:szCs w:val="24"/>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01.85pt;height:192.1pt;margin-top:-1.1pt;margin-left:20.65pt;position:absolute;z-index:251658240" o:oleicon="f" o:preferrelative="t" filled="f" stroked="f">
            <v:fill o:detectmouseclick="f"/>
            <v:imagedata r:id="rId5" o:title=""/>
            <o:lock v:ext="edit" aspectratio="t"/>
            <o:diagram v:ext="edit"/>
          </v:shape>
          <o:OLEObject Type="Embed" ProgID="Excel.Sheet.8" ShapeID="_x0000_s1025" DrawAspect="Content" ObjectID="_1" r:id="rId6"/>
        </w:pict>
      </w: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p>
    <w:p w:rsidR="00F5568D" w:rsidP="00D077AE">
      <w:pPr>
        <w:jc w:val="both"/>
        <w:rPr>
          <w:rFonts w:ascii="Arial Narrow" w:hAnsi="Arial Narrow" w:cs="Arial Narrow"/>
          <w:sz w:val="22"/>
          <w:szCs w:val="24"/>
        </w:rPr>
      </w:pPr>
    </w:p>
    <w:p w:rsidR="00F5568D" w:rsidP="00D077AE">
      <w:pPr>
        <w:jc w:val="both"/>
        <w:rPr>
          <w:rFonts w:ascii="Arial Narrow" w:hAnsi="Arial Narrow" w:cs="Arial Narrow"/>
          <w:sz w:val="22"/>
          <w:szCs w:val="24"/>
        </w:rPr>
      </w:pPr>
    </w:p>
    <w:p w:rsidR="00D077AE" w:rsidP="00D077AE">
      <w:pPr>
        <w:jc w:val="both"/>
        <w:rPr>
          <w:rFonts w:ascii="Arial Narrow" w:hAnsi="Arial Narrow" w:cs="Arial Narrow"/>
          <w:sz w:val="22"/>
          <w:szCs w:val="24"/>
        </w:rPr>
      </w:pPr>
      <w:r w:rsidRPr="00BC499A">
        <w:rPr>
          <w:rFonts w:ascii="Arial Narrow" w:hAnsi="Arial Narrow" w:cs="Arial Narrow"/>
          <w:sz w:val="22"/>
          <w:szCs w:val="24"/>
        </w:rPr>
        <w:t xml:space="preserve">- zo zdravotných poisťovní </w:t>
      </w:r>
      <w:r>
        <w:rPr>
          <w:rFonts w:ascii="Arial Narrow" w:hAnsi="Arial Narrow" w:cs="Arial Narrow"/>
          <w:sz w:val="22"/>
          <w:szCs w:val="24"/>
        </w:rPr>
        <w:t xml:space="preserve">v sume 11 811 tis. eur </w:t>
      </w:r>
      <w:r w:rsidRPr="00BC499A">
        <w:rPr>
          <w:rFonts w:ascii="Arial Narrow" w:hAnsi="Arial Narrow" w:cs="Arial Narrow"/>
          <w:sz w:val="22"/>
          <w:szCs w:val="24"/>
        </w:rPr>
        <w:t>– v kapitole Ministerstva zdravotníctva SR</w:t>
      </w:r>
      <w:r>
        <w:rPr>
          <w:rFonts w:ascii="Arial Narrow" w:hAnsi="Arial Narrow" w:cs="Arial Narrow"/>
          <w:sz w:val="22"/>
          <w:szCs w:val="24"/>
        </w:rPr>
        <w:t>,</w:t>
      </w:r>
      <w:r w:rsidRPr="00BC499A">
        <w:rPr>
          <w:rFonts w:ascii="Arial Narrow" w:hAnsi="Arial Narrow" w:cs="Arial Narrow"/>
          <w:sz w:val="22"/>
          <w:szCs w:val="24"/>
        </w:rPr>
        <w:t xml:space="preserve"> ide o príspevky zdravotných poisťovní na činnosť operačných stredísk záchrannej zdravotnej služby. </w:t>
      </w:r>
    </w:p>
    <w:p w:rsidR="00D077AE" w:rsidP="00D077AE">
      <w:pPr>
        <w:jc w:val="both"/>
        <w:rPr>
          <w:rFonts w:ascii="Arial Narrow" w:hAnsi="Arial Narrow" w:cs="Arial Narrow"/>
          <w:sz w:val="22"/>
          <w:szCs w:val="24"/>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080"/>
        <w:gridCol w:w="1080"/>
        <w:gridCol w:w="108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6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D077AE" w:rsidRPr="00B13A0D" w:rsidP="003E39F7">
            <w:pPr>
              <w:rPr>
                <w:rFonts w:ascii="Arial Narrow" w:hAnsi="Arial Narrow" w:cs="Arial Narrow"/>
                <w:sz w:val="20"/>
                <w:szCs w:val="24"/>
              </w:rPr>
            </w:pPr>
            <w:r w:rsidRPr="00B13A0D">
              <w:rPr>
                <w:rFonts w:ascii="Arial Narrow" w:hAnsi="Arial Narrow" w:cs="Arial Narrow"/>
                <w:sz w:val="20"/>
                <w:szCs w:val="24"/>
              </w:rPr>
              <w:t>(v tis. eur)</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D077AE" w:rsidRPr="00B13A0D" w:rsidP="003E39F7">
            <w:pPr>
              <w:jc w:val="center"/>
              <w:rPr>
                <w:rFonts w:ascii="Arial Narrow" w:hAnsi="Arial Narrow" w:cs="Arial Narrow"/>
                <w:sz w:val="20"/>
                <w:szCs w:val="24"/>
              </w:rPr>
            </w:pPr>
            <w:r w:rsidRPr="00B13A0D">
              <w:rPr>
                <w:rFonts w:ascii="Arial Narrow" w:hAnsi="Arial Narrow" w:cs="Arial Narrow"/>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D077AE" w:rsidRPr="00B13A0D" w:rsidP="003E39F7">
            <w:pPr>
              <w:jc w:val="center"/>
              <w:rPr>
                <w:rFonts w:ascii="Arial Narrow" w:hAnsi="Arial Narrow" w:cs="Arial Narrow"/>
                <w:sz w:val="20"/>
                <w:szCs w:val="24"/>
              </w:rPr>
            </w:pPr>
            <w:r w:rsidRPr="00B13A0D">
              <w:rPr>
                <w:rFonts w:ascii="Arial Narrow" w:hAnsi="Arial Narrow" w:cs="Arial Narrow"/>
                <w:sz w:val="20"/>
                <w:szCs w:val="24"/>
              </w:rPr>
              <w:t>2011</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D077AE" w:rsidRPr="00B13A0D" w:rsidP="003E39F7">
            <w:pPr>
              <w:jc w:val="center"/>
              <w:rPr>
                <w:rFonts w:ascii="Arial Narrow" w:hAnsi="Arial Narrow" w:cs="Arial Narrow"/>
                <w:sz w:val="20"/>
                <w:szCs w:val="24"/>
              </w:rPr>
            </w:pPr>
            <w:r w:rsidRPr="00B13A0D">
              <w:rPr>
                <w:rFonts w:ascii="Arial Narrow" w:hAnsi="Arial Narrow" w:cs="Arial Narrow"/>
                <w:sz w:val="20"/>
                <w:szCs w:val="24"/>
              </w:rPr>
              <w:t>2012</w:t>
            </w:r>
          </w:p>
        </w:tc>
      </w:tr>
      <w:tr>
        <w:tblPrEx>
          <w:tblW w:w="0" w:type="auto"/>
          <w:tblInd w:w="108" w:type="dxa"/>
          <w:tblLook w:val="01E0"/>
        </w:tblPrEx>
        <w:tc>
          <w:tcPr>
            <w:tcW w:w="5760" w:type="dxa"/>
            <w:tcBorders>
              <w:top w:val="single" w:sz="4" w:space="0" w:color="auto"/>
              <w:left w:val="single" w:sz="4" w:space="0" w:color="auto"/>
              <w:bottom w:val="single" w:sz="4" w:space="0" w:color="auto"/>
              <w:right w:val="single" w:sz="4" w:space="0" w:color="auto"/>
            </w:tcBorders>
            <w:textDirection w:val="lrTb"/>
            <w:vAlign w:val="top"/>
          </w:tcPr>
          <w:p w:rsidR="00D077AE" w:rsidRPr="00B13A0D" w:rsidP="00417604">
            <w:pPr>
              <w:jc w:val="both"/>
              <w:rPr>
                <w:rFonts w:ascii="Arial Narrow" w:hAnsi="Arial Narrow" w:cs="Arial Narrow"/>
                <w:sz w:val="20"/>
                <w:szCs w:val="24"/>
              </w:rPr>
            </w:pPr>
            <w:r w:rsidRPr="00B13A0D">
              <w:rPr>
                <w:rFonts w:ascii="Arial Narrow" w:hAnsi="Arial Narrow" w:cs="Arial Narrow"/>
                <w:sz w:val="20"/>
                <w:szCs w:val="24"/>
              </w:rPr>
              <w:t xml:space="preserve">Príspevky zdravotných poisťovní na činnosť operačných </w:t>
            </w:r>
          </w:p>
          <w:p w:rsidR="00D077AE" w:rsidRPr="00B13A0D" w:rsidP="00417604">
            <w:pPr>
              <w:jc w:val="both"/>
              <w:rPr>
                <w:rFonts w:ascii="Arial Narrow" w:hAnsi="Arial Narrow" w:cs="Arial Narrow"/>
                <w:sz w:val="20"/>
                <w:szCs w:val="24"/>
              </w:rPr>
            </w:pPr>
            <w:r w:rsidRPr="00B13A0D">
              <w:rPr>
                <w:rFonts w:ascii="Arial Narrow" w:hAnsi="Arial Narrow" w:cs="Arial Narrow"/>
                <w:sz w:val="20"/>
                <w:szCs w:val="24"/>
              </w:rPr>
              <w:t>stredísk záchrannej zdravotnej služby</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077AE" w:rsidRPr="00B13A0D" w:rsidP="00417604">
            <w:pPr>
              <w:jc w:val="right"/>
              <w:rPr>
                <w:rFonts w:ascii="Arial Narrow" w:hAnsi="Arial Narrow" w:cs="Arial Narrow"/>
                <w:sz w:val="20"/>
                <w:szCs w:val="24"/>
              </w:rPr>
            </w:pPr>
          </w:p>
          <w:p w:rsidR="00D077AE" w:rsidRPr="00B13A0D" w:rsidP="00417604">
            <w:pPr>
              <w:jc w:val="right"/>
              <w:rPr>
                <w:rFonts w:ascii="Arial Narrow" w:hAnsi="Arial Narrow" w:cs="Arial Narrow"/>
                <w:sz w:val="20"/>
                <w:szCs w:val="24"/>
              </w:rPr>
            </w:pPr>
            <w:r w:rsidRPr="00B13A0D">
              <w:rPr>
                <w:rFonts w:ascii="Arial Narrow" w:hAnsi="Arial Narrow" w:cs="Arial Narrow"/>
                <w:sz w:val="20"/>
                <w:szCs w:val="24"/>
              </w:rPr>
              <w:t>11 811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077AE" w:rsidRPr="00B13A0D" w:rsidP="00417604">
            <w:pPr>
              <w:jc w:val="right"/>
              <w:rPr>
                <w:rFonts w:ascii="Arial Narrow" w:hAnsi="Arial Narrow" w:cs="Arial Narrow"/>
                <w:sz w:val="20"/>
                <w:szCs w:val="24"/>
              </w:rPr>
            </w:pPr>
          </w:p>
          <w:p w:rsidR="00D077AE" w:rsidRPr="00B13A0D" w:rsidP="00417604">
            <w:pPr>
              <w:jc w:val="right"/>
              <w:rPr>
                <w:rFonts w:ascii="Arial Narrow" w:hAnsi="Arial Narrow" w:cs="Arial Narrow"/>
                <w:sz w:val="20"/>
                <w:szCs w:val="24"/>
              </w:rPr>
            </w:pPr>
            <w:r w:rsidRPr="00B13A0D">
              <w:rPr>
                <w:rFonts w:ascii="Arial Narrow" w:hAnsi="Arial Narrow" w:cs="Arial Narrow"/>
                <w:sz w:val="20"/>
                <w:szCs w:val="24"/>
              </w:rPr>
              <w:t>12 387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077AE" w:rsidRPr="00B13A0D" w:rsidP="00417604">
            <w:pPr>
              <w:jc w:val="right"/>
              <w:rPr>
                <w:rFonts w:ascii="Arial Narrow" w:hAnsi="Arial Narrow" w:cs="Arial Narrow"/>
                <w:sz w:val="20"/>
                <w:szCs w:val="24"/>
              </w:rPr>
            </w:pPr>
          </w:p>
          <w:p w:rsidR="00D077AE" w:rsidRPr="00B13A0D" w:rsidP="00417604">
            <w:pPr>
              <w:jc w:val="right"/>
              <w:rPr>
                <w:rFonts w:ascii="Arial Narrow" w:hAnsi="Arial Narrow" w:cs="Arial Narrow"/>
                <w:sz w:val="20"/>
                <w:szCs w:val="24"/>
              </w:rPr>
            </w:pPr>
            <w:r w:rsidRPr="00B13A0D">
              <w:rPr>
                <w:rFonts w:ascii="Arial Narrow" w:hAnsi="Arial Narrow" w:cs="Arial Narrow"/>
                <w:sz w:val="20"/>
                <w:szCs w:val="24"/>
              </w:rPr>
              <w:t>13 222</w:t>
            </w:r>
          </w:p>
        </w:tc>
      </w:tr>
    </w:tbl>
    <w:p w:rsidR="00D077AE" w:rsidRPr="00BC499A" w:rsidP="00D077AE">
      <w:pPr>
        <w:jc w:val="both"/>
        <w:rPr>
          <w:rFonts w:ascii="Arial Narrow" w:hAnsi="Arial Narrow" w:cs="Arial Narrow"/>
          <w:sz w:val="22"/>
          <w:szCs w:val="24"/>
        </w:rPr>
      </w:pPr>
    </w:p>
    <w:p w:rsidR="00D077AE" w:rsidP="00D077AE">
      <w:pPr>
        <w:jc w:val="both"/>
        <w:rPr>
          <w:szCs w:val="24"/>
        </w:rPr>
      </w:pPr>
      <w:r w:rsidR="00951CC4">
        <w:rPr>
          <w:rFonts w:ascii="Arial Narrow" w:hAnsi="Arial Narrow" w:cs="Arial Narrow"/>
          <w:b/>
          <w:sz w:val="22"/>
          <w:szCs w:val="24"/>
        </w:rPr>
        <w:t>B. Z</w:t>
      </w:r>
      <w:r w:rsidRPr="00BC499A">
        <w:rPr>
          <w:rFonts w:ascii="Arial Narrow" w:hAnsi="Arial Narrow" w:cs="Arial Narrow"/>
          <w:b/>
          <w:sz w:val="22"/>
          <w:szCs w:val="24"/>
        </w:rPr>
        <w:t>ahraničné transfery</w:t>
      </w:r>
      <w:r w:rsidRPr="00BC499A">
        <w:rPr>
          <w:rFonts w:ascii="Arial Narrow" w:hAnsi="Arial Narrow" w:cs="Arial Narrow"/>
          <w:sz w:val="22"/>
          <w:szCs w:val="24"/>
        </w:rPr>
        <w:t xml:space="preserve"> predstavujú prostriedky zo všeobecného rozpočtu Európskej únie v rámci druhého programového obdobia</w:t>
      </w:r>
      <w:r>
        <w:rPr>
          <w:rFonts w:ascii="Arial Narrow" w:hAnsi="Arial Narrow" w:cs="Arial Narrow"/>
          <w:sz w:val="22"/>
          <w:szCs w:val="24"/>
        </w:rPr>
        <w:t xml:space="preserve"> a v roku 2010 sa rozpočtujú vo výške 2 897 501 tis. eur</w:t>
      </w:r>
      <w:r w:rsidRPr="00BC499A">
        <w:rPr>
          <w:rFonts w:ascii="Arial Narrow" w:hAnsi="Arial Narrow" w:cs="Arial Narrow"/>
          <w:sz w:val="22"/>
          <w:szCs w:val="24"/>
        </w:rPr>
        <w:t xml:space="preserve">. </w:t>
      </w:r>
      <w:r>
        <w:rPr>
          <w:rFonts w:ascii="Arial Narrow" w:hAnsi="Arial Narrow" w:cs="Arial Narrow"/>
          <w:sz w:val="22"/>
          <w:szCs w:val="24"/>
        </w:rPr>
        <w:t>V roku 2011 v porovnaní s rokom 2010 sa predpokladá zvýšenie týchto príjmov o 124 080 tis. eur (na 3 021 581 tis. eur) a v roku 2012 v porovnaní s rokom 2011 zníženie o 252 241 tis. eur (na 2 769 340 tis. eur). Najväčší objem z týchto prostriedkov sa poskytne prostredníctvom kapitoly Ministerstva pôdohospodárstva SR, Ministerstva dopravy, pôšt a telekomunikácií SR a Ministerstva školstva SR.</w:t>
      </w:r>
      <w:r>
        <w:rPr>
          <w:szCs w:val="24"/>
        </w:rPr>
        <w:t xml:space="preserve"> </w:t>
      </w:r>
    </w:p>
    <w:p w:rsidR="00F315AD" w:rsidP="00D077AE">
      <w:pPr>
        <w:jc w:val="both"/>
        <w:rPr>
          <w:szCs w:val="24"/>
        </w:rPr>
      </w:pPr>
    </w:p>
    <w:p w:rsidR="008128F4" w:rsidP="008128F4">
      <w:pPr>
        <w:pStyle w:val="Heading1"/>
        <w:rPr>
          <w:rFonts w:ascii="Arial Narrow" w:hAnsi="Arial Narrow" w:cs="Arial Narrow"/>
          <w:sz w:val="28"/>
          <w:szCs w:val="24"/>
        </w:rPr>
      </w:pPr>
      <w:bookmarkStart w:id="40" w:name="_Toc116476495"/>
      <w:bookmarkStart w:id="41" w:name="_Toc141529498"/>
      <w:bookmarkStart w:id="42" w:name="_Toc219860187"/>
      <w:bookmarkStart w:id="43" w:name="_Toc241846646"/>
      <w:r w:rsidRPr="00830307">
        <w:rPr>
          <w:rFonts w:ascii="Arial Narrow" w:hAnsi="Arial Narrow" w:cs="Arial Narrow"/>
          <w:sz w:val="28"/>
          <w:szCs w:val="24"/>
        </w:rPr>
        <w:t>4. Rozpočtovanie výdavkov štátneho rozpočtu</w:t>
      </w:r>
      <w:bookmarkEnd w:id="40"/>
      <w:bookmarkEnd w:id="41"/>
      <w:bookmarkEnd w:id="42"/>
      <w:bookmarkEnd w:id="43"/>
    </w:p>
    <w:p w:rsidR="008128F4" w:rsidRPr="00656C18" w:rsidP="008128F4">
      <w:pPr>
        <w:pStyle w:val="Heading2"/>
        <w:rPr>
          <w:rFonts w:ascii="Arial Narrow" w:hAnsi="Arial Narrow" w:cs="Arial Narrow"/>
          <w:i w:val="0"/>
          <w:sz w:val="24"/>
          <w:szCs w:val="24"/>
        </w:rPr>
      </w:pPr>
      <w:bookmarkStart w:id="44" w:name="_Toc219860188"/>
      <w:bookmarkStart w:id="45" w:name="_Toc241846647"/>
      <w:r w:rsidRPr="00656C18">
        <w:rPr>
          <w:rFonts w:ascii="Arial Narrow" w:hAnsi="Arial Narrow" w:cs="Arial Narrow"/>
          <w:i w:val="0"/>
          <w:sz w:val="24"/>
          <w:szCs w:val="24"/>
        </w:rPr>
        <w:t>4.1. Kvantifikácia výdavkov štátneho rozpočtu</w:t>
      </w:r>
      <w:bookmarkEnd w:id="44"/>
      <w:bookmarkEnd w:id="45"/>
    </w:p>
    <w:p w:rsidR="008128F4" w:rsidP="008128F4">
      <w:pPr>
        <w:jc w:val="both"/>
        <w:rPr>
          <w:rFonts w:ascii="Arial Narrow" w:hAnsi="Arial Narrow" w:cs="Arial Narrow"/>
          <w:szCs w:val="24"/>
          <w:highlight w:val="yellow"/>
        </w:rPr>
      </w:pPr>
    </w:p>
    <w:p w:rsidR="008128F4" w:rsidP="008128F4">
      <w:pPr>
        <w:ind w:firstLine="708"/>
        <w:jc w:val="both"/>
        <w:rPr>
          <w:rFonts w:ascii="Arial Narrow" w:hAnsi="Arial Narrow" w:cs="Arial Narrow"/>
          <w:sz w:val="22"/>
          <w:szCs w:val="24"/>
        </w:rPr>
      </w:pPr>
      <w:r>
        <w:rPr>
          <w:rFonts w:ascii="Arial Narrow" w:hAnsi="Arial Narrow" w:cs="Arial Narrow"/>
          <w:sz w:val="22"/>
          <w:szCs w:val="24"/>
        </w:rPr>
        <w:t xml:space="preserve">V rámci návrhu rozpočtu verejnej správy na roky 2010 až 2012 sa rozpočtujú výdavky štátneho rozpočtu vo výške 16 276 747 tis. eur na rok 2010, 16 154 081 tis. eur na rok 2011 a 16 047 043 tis. eur na rok 2012. </w:t>
      </w:r>
    </w:p>
    <w:p w:rsidR="008128F4" w:rsidRPr="00C31BF6" w:rsidP="008128F4">
      <w:pPr>
        <w:jc w:val="both"/>
        <w:rPr>
          <w:rFonts w:ascii="Arial Narrow" w:hAnsi="Arial Narrow" w:cs="Arial Narrow"/>
          <w:sz w:val="22"/>
          <w:szCs w:val="24"/>
        </w:rPr>
      </w:pPr>
    </w:p>
    <w:tbl>
      <w:tblPr>
        <w:tblStyle w:val="TableNormal"/>
        <w:tblpPr w:leftFromText="141" w:rightFromText="141" w:vertAnchor="text" w:horzAnchor="margin" w:tblpXSpec="center" w:tblpY="2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418"/>
        <w:gridCol w:w="1302"/>
        <w:gridCol w:w="1080"/>
        <w:gridCol w:w="118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52"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128F4" w:rsidP="003E39F7">
            <w:pPr>
              <w:rPr>
                <w:rFonts w:ascii="Arial Narrow" w:hAnsi="Arial Narrow" w:cs="Arial Narrow"/>
                <w:sz w:val="20"/>
                <w:szCs w:val="24"/>
              </w:rPr>
            </w:pPr>
            <w:r>
              <w:rPr>
                <w:rFonts w:ascii="Arial Narrow" w:hAnsi="Arial Narrow" w:cs="Arial Narrow"/>
                <w:sz w:val="20"/>
                <w:szCs w:val="24"/>
              </w:rPr>
              <w:t>(v tis. eur)</w:t>
            </w:r>
          </w:p>
        </w:tc>
        <w:tc>
          <w:tcPr>
            <w:tcW w:w="1418"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128F4" w:rsidP="003E39F7">
            <w:pPr>
              <w:jc w:val="center"/>
              <w:rPr>
                <w:rFonts w:ascii="Arial Narrow" w:hAnsi="Arial Narrow" w:cs="Arial Narrow"/>
                <w:b/>
                <w:sz w:val="20"/>
                <w:szCs w:val="24"/>
              </w:rPr>
            </w:pPr>
            <w:r>
              <w:rPr>
                <w:rFonts w:ascii="Arial Narrow" w:hAnsi="Arial Narrow" w:cs="Arial Narrow"/>
                <w:b/>
                <w:sz w:val="20"/>
                <w:szCs w:val="24"/>
              </w:rPr>
              <w:t>2009</w:t>
            </w:r>
          </w:p>
        </w:tc>
        <w:tc>
          <w:tcPr>
            <w:tcW w:w="1302"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128F4" w:rsidP="003E39F7">
            <w:pPr>
              <w:jc w:val="center"/>
              <w:rPr>
                <w:rFonts w:ascii="Arial Narrow" w:hAnsi="Arial Narrow" w:cs="Arial Narrow"/>
                <w:b/>
                <w:sz w:val="20"/>
                <w:szCs w:val="24"/>
              </w:rPr>
            </w:pPr>
            <w:r>
              <w:rPr>
                <w:rFonts w:ascii="Arial Narrow" w:hAnsi="Arial Narrow" w:cs="Arial Narrow"/>
                <w:b/>
                <w:sz w:val="20"/>
                <w:szCs w:val="24"/>
              </w:rPr>
              <w:t>2010</w:t>
            </w:r>
          </w:p>
        </w:tc>
        <w:tc>
          <w:tcPr>
            <w:tcW w:w="1080"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128F4" w:rsidP="003E39F7">
            <w:pPr>
              <w:jc w:val="center"/>
              <w:rPr>
                <w:rFonts w:ascii="Arial Narrow" w:hAnsi="Arial Narrow" w:cs="Arial Narrow"/>
                <w:b/>
                <w:sz w:val="20"/>
                <w:szCs w:val="24"/>
              </w:rPr>
            </w:pPr>
            <w:r>
              <w:rPr>
                <w:rFonts w:ascii="Arial Narrow" w:hAnsi="Arial Narrow" w:cs="Arial Narrow"/>
                <w:b/>
                <w:sz w:val="20"/>
                <w:szCs w:val="24"/>
              </w:rPr>
              <w:t>2011</w:t>
            </w:r>
          </w:p>
        </w:tc>
        <w:tc>
          <w:tcPr>
            <w:tcW w:w="1182" w:type="dxa"/>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8128F4" w:rsidP="003E39F7">
            <w:pPr>
              <w:jc w:val="center"/>
              <w:rPr>
                <w:rFonts w:ascii="Arial Narrow" w:hAnsi="Arial Narrow" w:cs="Arial Narrow"/>
                <w:b/>
                <w:sz w:val="20"/>
                <w:szCs w:val="24"/>
              </w:rPr>
            </w:pPr>
            <w:r>
              <w:rPr>
                <w:rFonts w:ascii="Arial Narrow" w:hAnsi="Arial Narrow" w:cs="Arial Narrow"/>
                <w:b/>
                <w:sz w:val="20"/>
                <w:szCs w:val="24"/>
              </w:rPr>
              <w:t>2012</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Výdavky štátneho rozpočtu</w:t>
            </w:r>
          </w:p>
        </w:tc>
        <w:tc>
          <w:tcPr>
            <w:tcW w:w="1418" w:type="dxa"/>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8128F4" w:rsidP="003E39F7">
            <w:pPr>
              <w:jc w:val="right"/>
              <w:rPr>
                <w:rFonts w:ascii="Arial Narrow" w:hAnsi="Arial Narrow" w:cs="Arial Narrow"/>
                <w:sz w:val="20"/>
                <w:szCs w:val="24"/>
              </w:rPr>
            </w:pPr>
            <w:r>
              <w:rPr>
                <w:rFonts w:ascii="Arial Narrow" w:hAnsi="Arial Narrow" w:cs="Arial Narrow"/>
                <w:sz w:val="20"/>
                <w:szCs w:val="24"/>
              </w:rPr>
              <w:t>14 125 291</w:t>
            </w:r>
          </w:p>
        </w:tc>
        <w:tc>
          <w:tcPr>
            <w:tcW w:w="1302" w:type="dxa"/>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8128F4" w:rsidP="003E39F7">
            <w:pPr>
              <w:jc w:val="right"/>
              <w:rPr>
                <w:rFonts w:ascii="Arial Narrow" w:hAnsi="Arial Narrow" w:cs="Arial Narrow"/>
                <w:sz w:val="20"/>
                <w:szCs w:val="24"/>
              </w:rPr>
            </w:pPr>
            <w:r>
              <w:rPr>
                <w:rFonts w:ascii="Arial Narrow" w:hAnsi="Arial Narrow" w:cs="Arial Narrow"/>
                <w:sz w:val="20"/>
                <w:szCs w:val="24"/>
              </w:rPr>
              <w:t>16 276 747</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8128F4" w:rsidP="003E39F7">
            <w:pPr>
              <w:jc w:val="right"/>
              <w:rPr>
                <w:rFonts w:ascii="Arial Narrow" w:hAnsi="Arial Narrow" w:cs="Arial Narrow"/>
                <w:sz w:val="20"/>
                <w:szCs w:val="24"/>
              </w:rPr>
            </w:pPr>
            <w:r>
              <w:rPr>
                <w:rFonts w:ascii="Arial Narrow" w:hAnsi="Arial Narrow" w:cs="Arial Narrow"/>
                <w:sz w:val="20"/>
                <w:szCs w:val="24"/>
              </w:rPr>
              <w:t>16 154 081</w:t>
            </w:r>
          </w:p>
        </w:tc>
        <w:tc>
          <w:tcPr>
            <w:tcW w:w="1182" w:type="dxa"/>
            <w:tcBorders>
              <w:top w:val="single" w:sz="4" w:space="0" w:color="auto"/>
              <w:left w:val="single" w:sz="4" w:space="0" w:color="auto"/>
              <w:bottom w:val="single" w:sz="4" w:space="0" w:color="auto"/>
              <w:right w:val="single" w:sz="4" w:space="0" w:color="auto"/>
            </w:tcBorders>
            <w:shd w:val="clear" w:color="auto" w:fill="CCCCCC"/>
            <w:textDirection w:val="lrTb"/>
            <w:vAlign w:val="center"/>
          </w:tcPr>
          <w:p w:rsidR="008128F4" w:rsidP="003E39F7">
            <w:pPr>
              <w:jc w:val="right"/>
              <w:rPr>
                <w:rFonts w:ascii="Arial Narrow" w:hAnsi="Arial Narrow" w:cs="Arial Narrow"/>
                <w:sz w:val="20"/>
                <w:szCs w:val="24"/>
              </w:rPr>
            </w:pPr>
            <w:r>
              <w:rPr>
                <w:rFonts w:ascii="Arial Narrow" w:hAnsi="Arial Narrow" w:cs="Arial Narrow"/>
                <w:sz w:val="20"/>
                <w:szCs w:val="24"/>
              </w:rPr>
              <w:t>16 047 043</w:t>
            </w:r>
          </w:p>
        </w:tc>
      </w:tr>
      <w:tr>
        <w:tblPrEx>
          <w:tblW w:w="0" w:type="auto"/>
          <w:tblInd w:w="0" w:type="dxa"/>
          <w:tblLook w:val="01E0"/>
        </w:tblPrEx>
        <w:tc>
          <w:tcPr>
            <w:tcW w:w="8634" w:type="dxa"/>
            <w:gridSpan w:val="5"/>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z toho:</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 xml:space="preserve">          výdavky štátneho dlhu</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998 454</w:t>
            </w: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1 144 250</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1 105 745</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1 386 423</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Výdavky štátneho rozpočtu bez štátneho dlhu</w:t>
            </w:r>
          </w:p>
        </w:tc>
        <w:tc>
          <w:tcPr>
            <w:tcW w:w="1418"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13 126 837</w:t>
            </w:r>
          </w:p>
        </w:tc>
        <w:tc>
          <w:tcPr>
            <w:tcW w:w="1302"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15 132 497</w:t>
            </w:r>
          </w:p>
        </w:tc>
        <w:tc>
          <w:tcPr>
            <w:tcW w:w="1080"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15 048 336</w:t>
            </w:r>
          </w:p>
        </w:tc>
        <w:tc>
          <w:tcPr>
            <w:tcW w:w="1182" w:type="dxa"/>
            <w:tcBorders>
              <w:top w:val="single" w:sz="4" w:space="0" w:color="auto"/>
              <w:left w:val="single" w:sz="4" w:space="0" w:color="auto"/>
              <w:bottom w:val="single" w:sz="4" w:space="0" w:color="auto"/>
              <w:right w:val="single" w:sz="4" w:space="0" w:color="auto"/>
            </w:tcBorders>
            <w:shd w:val="clear" w:color="auto" w:fill="CCCCCC"/>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14 660 620</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both"/>
              <w:rPr>
                <w:rFonts w:ascii="Arial Narrow" w:hAnsi="Arial Narrow" w:cs="Arial Narrow"/>
                <w:sz w:val="20"/>
                <w:szCs w:val="24"/>
                <w:highlight w:val="yellow"/>
              </w:rPr>
            </w:pPr>
            <w:r w:rsidRPr="00ED6379">
              <w:rPr>
                <w:rFonts w:ascii="Arial Narrow" w:hAnsi="Arial Narrow" w:cs="Arial Narrow"/>
                <w:sz w:val="20"/>
                <w:szCs w:val="24"/>
              </w:rPr>
              <w:t>z toho:</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both"/>
              <w:rPr>
                <w:rFonts w:ascii="Arial Narrow" w:hAnsi="Arial Narrow" w:cs="Arial Narrow"/>
                <w:sz w:val="20"/>
                <w:szCs w:val="24"/>
                <w:highlight w:val="yellow"/>
              </w:rPr>
            </w:pPr>
            <w:r w:rsidRPr="00B272EA">
              <w:rPr>
                <w:rFonts w:ascii="Arial Narrow" w:hAnsi="Arial Narrow" w:cs="Arial Narrow"/>
                <w:sz w:val="20"/>
                <w:szCs w:val="24"/>
              </w:rPr>
              <w:t xml:space="preserve">          </w:t>
            </w:r>
            <w:r>
              <w:rPr>
                <w:rFonts w:ascii="Arial Narrow" w:hAnsi="Arial Narrow" w:cs="Arial Narrow"/>
                <w:sz w:val="20"/>
                <w:szCs w:val="24"/>
              </w:rPr>
              <w:t>p</w:t>
            </w:r>
            <w:r w:rsidRPr="00B272EA">
              <w:rPr>
                <w:rFonts w:ascii="Arial Narrow" w:hAnsi="Arial Narrow" w:cs="Arial Narrow"/>
                <w:sz w:val="20"/>
                <w:szCs w:val="24"/>
              </w:rPr>
              <w:t>rostriedky štátneho rozpočtu</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10 736 511</w:t>
            </w: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11 563 456</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11 456 594</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11 619 701</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both"/>
              <w:rPr>
                <w:rFonts w:ascii="Arial Narrow" w:hAnsi="Arial Narrow" w:cs="Arial Narrow"/>
                <w:sz w:val="20"/>
                <w:szCs w:val="24"/>
              </w:rPr>
            </w:pPr>
            <w:r>
              <w:rPr>
                <w:rFonts w:ascii="Arial Narrow" w:hAnsi="Arial Narrow" w:cs="Arial Narrow"/>
                <w:sz w:val="20"/>
                <w:szCs w:val="24"/>
              </w:rPr>
              <w:t xml:space="preserve">                                   medziročná zmena</w:t>
            </w:r>
            <w:r w:rsidR="00951CC4">
              <w:rPr>
                <w:rFonts w:ascii="Arial Narrow" w:hAnsi="Arial Narrow" w:cs="Arial Narrow"/>
                <w:sz w:val="20"/>
                <w:szCs w:val="24"/>
              </w:rPr>
              <w:t xml:space="preserv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Pr>
                <w:rFonts w:ascii="Arial Narrow" w:hAnsi="Arial Narrow" w:cs="Arial Narrow"/>
                <w:sz w:val="20"/>
                <w:szCs w:val="24"/>
              </w:rPr>
              <w:t>7,7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Pr>
                <w:rFonts w:ascii="Arial Narrow" w:hAnsi="Arial Narrow" w:cs="Arial Narrow"/>
                <w:sz w:val="20"/>
                <w:szCs w:val="24"/>
              </w:rPr>
              <w:t>-0,9</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Pr>
                <w:rFonts w:ascii="Arial Narrow" w:hAnsi="Arial Narrow" w:cs="Arial Narrow"/>
                <w:sz w:val="20"/>
                <w:szCs w:val="24"/>
              </w:rPr>
              <w:t>1,4</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both"/>
              <w:rPr>
                <w:rFonts w:ascii="Arial Narrow" w:hAnsi="Arial Narrow" w:cs="Arial Narrow"/>
                <w:sz w:val="20"/>
                <w:szCs w:val="24"/>
                <w:highlight w:val="yellow"/>
              </w:rPr>
            </w:pPr>
            <w:r w:rsidRPr="00B272EA">
              <w:rPr>
                <w:rFonts w:ascii="Arial Narrow" w:hAnsi="Arial Narrow" w:cs="Arial Narrow"/>
                <w:sz w:val="20"/>
                <w:szCs w:val="24"/>
              </w:rPr>
              <w:t xml:space="preserve">          </w:t>
            </w:r>
            <w:r>
              <w:rPr>
                <w:rFonts w:ascii="Arial Narrow" w:hAnsi="Arial Narrow" w:cs="Arial Narrow"/>
                <w:sz w:val="20"/>
                <w:szCs w:val="24"/>
              </w:rPr>
              <w:t>p</w:t>
            </w:r>
            <w:r w:rsidRPr="00B272EA">
              <w:rPr>
                <w:rFonts w:ascii="Arial Narrow" w:hAnsi="Arial Narrow" w:cs="Arial Narrow"/>
                <w:sz w:val="20"/>
                <w:szCs w:val="24"/>
              </w:rPr>
              <w:t xml:space="preserve">rostriedky EÚ a spolufinancovanie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r w:rsidRPr="00B272EA">
              <w:rPr>
                <w:rFonts w:ascii="Arial Narrow" w:hAnsi="Arial Narrow" w:cs="Arial Narrow"/>
                <w:sz w:val="20"/>
                <w:szCs w:val="24"/>
              </w:rPr>
              <w:t>2 390</w:t>
            </w:r>
            <w:r>
              <w:rPr>
                <w:rFonts w:ascii="Arial Narrow" w:hAnsi="Arial Narrow" w:cs="Arial Narrow"/>
                <w:sz w:val="20"/>
                <w:szCs w:val="24"/>
              </w:rPr>
              <w:t> </w:t>
            </w:r>
            <w:r w:rsidRPr="00B272EA">
              <w:rPr>
                <w:rFonts w:ascii="Arial Narrow" w:hAnsi="Arial Narrow" w:cs="Arial Narrow"/>
                <w:sz w:val="20"/>
                <w:szCs w:val="24"/>
              </w:rPr>
              <w:t>326</w:t>
            </w: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RPr="00ED6379" w:rsidP="006144DC">
            <w:pPr>
              <w:jc w:val="right"/>
              <w:rPr>
                <w:rFonts w:ascii="Arial Narrow" w:hAnsi="Arial Narrow" w:cs="Arial Narrow"/>
                <w:sz w:val="20"/>
                <w:szCs w:val="24"/>
                <w:highlight w:val="yellow"/>
              </w:rPr>
            </w:pPr>
            <w:r w:rsidRPr="00B272EA">
              <w:rPr>
                <w:rFonts w:ascii="Arial Narrow" w:hAnsi="Arial Narrow" w:cs="Arial Narrow"/>
                <w:sz w:val="20"/>
                <w:szCs w:val="24"/>
              </w:rPr>
              <w:t>3 569 041</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3 591 742</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RPr="00B272EA" w:rsidP="006144DC">
            <w:pPr>
              <w:jc w:val="right"/>
              <w:rPr>
                <w:rFonts w:ascii="Arial Narrow" w:hAnsi="Arial Narrow" w:cs="Arial Narrow"/>
                <w:sz w:val="20"/>
                <w:szCs w:val="24"/>
              </w:rPr>
            </w:pPr>
            <w:r w:rsidRPr="00B272EA">
              <w:rPr>
                <w:rFonts w:ascii="Arial Narrow" w:hAnsi="Arial Narrow" w:cs="Arial Narrow"/>
                <w:sz w:val="20"/>
                <w:szCs w:val="24"/>
              </w:rPr>
              <w:t>3 040 919</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 xml:space="preserve">                                   medziročná zmena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w:t>
            </w: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49</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0,6</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w:t>
            </w:r>
            <w:r w:rsidR="00875385">
              <w:rPr>
                <w:rFonts w:ascii="Arial Narrow" w:hAnsi="Arial Narrow" w:cs="Arial Narrow"/>
                <w:sz w:val="20"/>
                <w:szCs w:val="24"/>
              </w:rPr>
              <w:t>14,8</w:t>
            </w:r>
          </w:p>
        </w:tc>
      </w:tr>
      <w:tr>
        <w:tblPrEx>
          <w:tblW w:w="0" w:type="auto"/>
          <w:tblInd w:w="0" w:type="dxa"/>
          <w:tblLook w:val="01E0"/>
        </w:tblPrEx>
        <w:tc>
          <w:tcPr>
            <w:tcW w:w="365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both"/>
              <w:rPr>
                <w:rFonts w:ascii="Arial Narrow" w:hAnsi="Arial Narrow" w:cs="Arial Narrow"/>
                <w:sz w:val="20"/>
                <w:szCs w:val="24"/>
              </w:rPr>
            </w:pPr>
            <w:r>
              <w:rPr>
                <w:rFonts w:ascii="Arial Narrow" w:hAnsi="Arial Narrow" w:cs="Arial Narrow"/>
                <w:sz w:val="20"/>
                <w:szCs w:val="24"/>
              </w:rPr>
              <w:t>Inflácia (%)</w:t>
            </w:r>
          </w:p>
        </w:tc>
        <w:tc>
          <w:tcPr>
            <w:tcW w:w="1418"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sidRPr="00B272EA">
              <w:rPr>
                <w:rFonts w:ascii="Arial Narrow" w:hAnsi="Arial Narrow" w:cs="Arial Narrow"/>
                <w:sz w:val="20"/>
                <w:szCs w:val="24"/>
              </w:rPr>
              <w:t>4,0</w:t>
            </w:r>
          </w:p>
        </w:tc>
        <w:tc>
          <w:tcPr>
            <w:tcW w:w="130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3,2</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4,1</w:t>
            </w:r>
          </w:p>
        </w:tc>
        <w:tc>
          <w:tcPr>
            <w:tcW w:w="1182" w:type="dxa"/>
            <w:tcBorders>
              <w:top w:val="single" w:sz="4" w:space="0" w:color="auto"/>
              <w:left w:val="single" w:sz="4" w:space="0" w:color="auto"/>
              <w:bottom w:val="single" w:sz="4" w:space="0" w:color="auto"/>
              <w:right w:val="single" w:sz="4" w:space="0" w:color="auto"/>
            </w:tcBorders>
            <w:textDirection w:val="lrTb"/>
            <w:vAlign w:val="top"/>
          </w:tcPr>
          <w:p w:rsidR="008128F4" w:rsidP="006144DC">
            <w:pPr>
              <w:jc w:val="right"/>
              <w:rPr>
                <w:rFonts w:ascii="Arial Narrow" w:hAnsi="Arial Narrow" w:cs="Arial Narrow"/>
                <w:sz w:val="20"/>
                <w:szCs w:val="24"/>
              </w:rPr>
            </w:pPr>
            <w:r>
              <w:rPr>
                <w:rFonts w:ascii="Arial Narrow" w:hAnsi="Arial Narrow" w:cs="Arial Narrow"/>
                <w:sz w:val="20"/>
                <w:szCs w:val="24"/>
              </w:rPr>
              <w:t>4,2</w:t>
            </w:r>
          </w:p>
        </w:tc>
      </w:tr>
    </w:tbl>
    <w:p w:rsidR="008128F4" w:rsidP="008128F4">
      <w:pPr>
        <w:ind w:firstLine="709"/>
        <w:jc w:val="both"/>
        <w:rPr>
          <w:rFonts w:ascii="Arial Narrow" w:hAnsi="Arial Narrow" w:cs="Arial Narrow"/>
          <w:szCs w:val="24"/>
        </w:rPr>
      </w:pPr>
    </w:p>
    <w:p w:rsidR="008128F4" w:rsidP="008128F4">
      <w:pPr>
        <w:ind w:firstLine="708"/>
        <w:jc w:val="both"/>
        <w:rPr>
          <w:rFonts w:ascii="Arial Narrow" w:hAnsi="Arial Narrow" w:cs="Arial Narrow"/>
          <w:sz w:val="22"/>
          <w:szCs w:val="24"/>
        </w:rPr>
      </w:pPr>
      <w:r w:rsidRPr="00C31BF6">
        <w:rPr>
          <w:rFonts w:ascii="Arial Narrow" w:hAnsi="Arial Narrow" w:cs="Arial Narrow"/>
          <w:sz w:val="22"/>
          <w:szCs w:val="24"/>
        </w:rPr>
        <w:t>Podrobné informácie o vývoj</w:t>
      </w:r>
      <w:r w:rsidR="00377C2F">
        <w:rPr>
          <w:rFonts w:ascii="Arial Narrow" w:hAnsi="Arial Narrow" w:cs="Arial Narrow"/>
          <w:sz w:val="22"/>
          <w:szCs w:val="24"/>
        </w:rPr>
        <w:t>i</w:t>
      </w:r>
      <w:r w:rsidRPr="00C31BF6">
        <w:rPr>
          <w:rFonts w:ascii="Arial Narrow" w:hAnsi="Arial Narrow" w:cs="Arial Narrow"/>
          <w:sz w:val="22"/>
          <w:szCs w:val="24"/>
        </w:rPr>
        <w:t xml:space="preserve"> výdavkov štátneho rozpočtu v rokoch 2010 až 2012 sú uvedené v rámci popisu jednotlivých výdavkových kategórií ekonomickej klasifikácie.</w:t>
      </w:r>
    </w:p>
    <w:tbl>
      <w:tblPr>
        <w:tblStyle w:val="TableNormal"/>
        <w:tblW w:w="9929" w:type="dxa"/>
        <w:tblInd w:w="55" w:type="dxa"/>
        <w:tblCellMar>
          <w:left w:w="70" w:type="dxa"/>
          <w:right w:w="70" w:type="dxa"/>
        </w:tblCellMar>
      </w:tblPr>
      <w:tblGrid>
        <w:gridCol w:w="9929"/>
      </w:tblGrid>
      <w:tr>
        <w:tblPrEx>
          <w:tblW w:w="9929" w:type="dxa"/>
          <w:tblInd w:w="55" w:type="dxa"/>
          <w:tblCellMar>
            <w:left w:w="70" w:type="dxa"/>
            <w:right w:w="70" w:type="dxa"/>
          </w:tblCellMar>
        </w:tblPrEx>
        <w:trPr>
          <w:trHeight w:val="175"/>
        </w:trPr>
        <w:tc>
          <w:tcPr>
            <w:tcW w:w="9929" w:type="dxa"/>
            <w:tcBorders>
              <w:top w:val="nil"/>
              <w:left w:val="nil"/>
              <w:bottom w:val="nil"/>
              <w:right w:val="nil"/>
            </w:tcBorders>
            <w:textDirection w:val="lrTb"/>
            <w:vAlign w:val="center"/>
          </w:tcPr>
          <w:p w:rsidR="008128F4" w:rsidP="006144DC">
            <w:pPr>
              <w:jc w:val="both"/>
              <w:rPr>
                <w:rFonts w:ascii="Arial Narrow" w:hAnsi="Arial Narrow" w:cs="Arial Narrow"/>
                <w:b/>
                <w:szCs w:val="24"/>
              </w:rPr>
            </w:pPr>
          </w:p>
          <w:p w:rsidR="008128F4" w:rsidP="006144DC">
            <w:pPr>
              <w:jc w:val="both"/>
              <w:rPr>
                <w:rFonts w:ascii="Arial Narrow" w:hAnsi="Arial Narrow" w:cs="Arial Narrow"/>
                <w:b/>
                <w:szCs w:val="24"/>
              </w:rPr>
            </w:pPr>
          </w:p>
          <w:p w:rsidR="008128F4"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F315AD" w:rsidP="006144DC">
            <w:pPr>
              <w:jc w:val="both"/>
              <w:rPr>
                <w:rFonts w:ascii="Arial Narrow" w:hAnsi="Arial Narrow" w:cs="Arial Narrow"/>
                <w:b/>
                <w:szCs w:val="24"/>
              </w:rPr>
            </w:pPr>
          </w:p>
          <w:p w:rsidR="008128F4" w:rsidRPr="00B272EA" w:rsidP="008128F4">
            <w:pPr>
              <w:jc w:val="center"/>
              <w:rPr>
                <w:rFonts w:ascii="Arial Narrow" w:hAnsi="Arial Narrow" w:cs="Arial Narrow"/>
                <w:b/>
                <w:szCs w:val="24"/>
              </w:rPr>
            </w:pPr>
            <w:r w:rsidRPr="00B272EA">
              <w:rPr>
                <w:rFonts w:ascii="Arial Narrow" w:hAnsi="Arial Narrow" w:cs="Arial Narrow"/>
                <w:b/>
                <w:szCs w:val="24"/>
              </w:rPr>
              <w:t>Výdavky štátneho rozpočtu na roky 2010 až 2012</w:t>
            </w:r>
          </w:p>
        </w:tc>
      </w:tr>
      <w:tr>
        <w:tblPrEx>
          <w:tblW w:w="9929" w:type="dxa"/>
          <w:tblInd w:w="55" w:type="dxa"/>
          <w:tblCellMar>
            <w:left w:w="70" w:type="dxa"/>
            <w:right w:w="70" w:type="dxa"/>
          </w:tblCellMar>
        </w:tblPrEx>
        <w:trPr>
          <w:trHeight w:val="11696"/>
        </w:trPr>
        <w:tc>
          <w:tcPr>
            <w:tcW w:w="9929" w:type="dxa"/>
            <w:tcBorders>
              <w:top w:val="nil"/>
              <w:left w:val="nil"/>
              <w:bottom w:val="nil"/>
              <w:right w:val="nil"/>
            </w:tcBorders>
            <w:textDirection w:val="lrTb"/>
            <w:vAlign w:val="center"/>
          </w:tcPr>
          <w:p w:rsidR="008128F4" w:rsidP="008128F4">
            <w:pPr>
              <w:jc w:val="center"/>
              <w:rPr>
                <w:rFonts w:ascii="Arial" w:hAnsi="Arial" w:cs="Arial"/>
                <w:color w:val="000000"/>
                <w:sz w:val="16"/>
                <w:szCs w:val="24"/>
                <w:lang w:eastAsia="sk-SK"/>
              </w:rPr>
            </w:pPr>
            <w:r w:rsidRPr="00CF7377">
              <w:rPr>
                <w:rFonts w:ascii="Arial" w:hAnsi="Arial" w:cs="Arial"/>
                <w:color w:val="000000"/>
                <w:sz w:val="16"/>
                <w:szCs w:val="24"/>
                <w:lang w:eastAsia="sk-SK"/>
              </w:rPr>
              <w:t xml:space="preserve">(v tis. </w:t>
            </w:r>
            <w:r>
              <w:rPr>
                <w:rFonts w:ascii="Arial" w:hAnsi="Arial" w:cs="Arial"/>
                <w:color w:val="000000"/>
                <w:sz w:val="16"/>
                <w:szCs w:val="24"/>
                <w:lang w:eastAsia="sk-SK"/>
              </w:rPr>
              <w:t>eur</w:t>
            </w:r>
            <w:r w:rsidRPr="00CF7377">
              <w:rPr>
                <w:rFonts w:ascii="Arial" w:hAnsi="Arial" w:cs="Arial"/>
                <w:color w:val="000000"/>
                <w:sz w:val="16"/>
                <w:szCs w:val="24"/>
                <w:lang w:eastAsia="sk-SK"/>
              </w:rPr>
              <w:t>)</w:t>
            </w:r>
          </w:p>
          <w:p w:rsidR="008128F4" w:rsidP="006144DC">
            <w:pPr>
              <w:rPr>
                <w:rFonts w:ascii="Arial" w:hAnsi="Arial" w:cs="Arial"/>
                <w:color w:val="000000"/>
                <w:sz w:val="16"/>
                <w:szCs w:val="24"/>
                <w:lang w:eastAsia="sk-SK"/>
              </w:rPr>
            </w:pPr>
          </w:p>
          <w:tbl>
            <w:tblPr>
              <w:tblStyle w:val="TableNormal"/>
              <w:tblW w:w="9773" w:type="dxa"/>
              <w:tblInd w:w="2" w:type="dxa"/>
              <w:tblCellMar>
                <w:left w:w="70" w:type="dxa"/>
                <w:right w:w="70" w:type="dxa"/>
              </w:tblCellMar>
              <w:tblLook w:val="00A0"/>
            </w:tblPr>
            <w:tblGrid>
              <w:gridCol w:w="368"/>
              <w:gridCol w:w="4089"/>
              <w:gridCol w:w="1329"/>
              <w:gridCol w:w="1329"/>
              <w:gridCol w:w="1329"/>
              <w:gridCol w:w="1329"/>
            </w:tblGrid>
            <w:tr>
              <w:tblPrEx>
                <w:tblW w:w="9773" w:type="dxa"/>
                <w:tblInd w:w="2" w:type="dxa"/>
                <w:tblCellMar>
                  <w:left w:w="70" w:type="dxa"/>
                  <w:right w:w="70" w:type="dxa"/>
                </w:tblCellMar>
                <w:tblLook w:val="00A0"/>
              </w:tblPrEx>
              <w:trPr>
                <w:trHeight w:val="290"/>
              </w:trPr>
              <w:tc>
                <w:tcPr>
                  <w:tcW w:w="368" w:type="dxa"/>
                  <w:tcBorders>
                    <w:top w:val="single" w:sz="4" w:space="0" w:color="808080"/>
                    <w:left w:val="single" w:sz="4" w:space="0" w:color="808080"/>
                    <w:bottom w:val="nil"/>
                    <w:right w:val="single" w:sz="4" w:space="0" w:color="808080"/>
                  </w:tcBorders>
                  <w:shd w:val="clear" w:color="000000" w:fill="C0C0C0"/>
                  <w:textDirection w:val="lrTb"/>
                  <w:vAlign w:val="top"/>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 </w:t>
                  </w:r>
                </w:p>
              </w:tc>
              <w:tc>
                <w:tcPr>
                  <w:tcW w:w="4089" w:type="dxa"/>
                  <w:tcBorders>
                    <w:top w:val="single" w:sz="4" w:space="0" w:color="808080"/>
                    <w:left w:val="nil"/>
                    <w:bottom w:val="nil"/>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 </w:t>
                  </w:r>
                </w:p>
              </w:tc>
              <w:tc>
                <w:tcPr>
                  <w:tcW w:w="1329" w:type="dxa"/>
                  <w:tcBorders>
                    <w:top w:val="single" w:sz="4" w:space="0" w:color="808080"/>
                    <w:left w:val="nil"/>
                    <w:bottom w:val="nil"/>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2009</w:t>
                  </w:r>
                </w:p>
              </w:tc>
              <w:tc>
                <w:tcPr>
                  <w:tcW w:w="1329" w:type="dxa"/>
                  <w:tcBorders>
                    <w:top w:val="single" w:sz="4" w:space="0" w:color="808080"/>
                    <w:left w:val="nil"/>
                    <w:bottom w:val="nil"/>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2010</w:t>
                  </w:r>
                </w:p>
              </w:tc>
              <w:tc>
                <w:tcPr>
                  <w:tcW w:w="1329" w:type="dxa"/>
                  <w:tcBorders>
                    <w:top w:val="single" w:sz="4" w:space="0" w:color="808080"/>
                    <w:left w:val="nil"/>
                    <w:bottom w:val="nil"/>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2011</w:t>
                  </w:r>
                </w:p>
              </w:tc>
              <w:tc>
                <w:tcPr>
                  <w:tcW w:w="1329" w:type="dxa"/>
                  <w:tcBorders>
                    <w:top w:val="single" w:sz="4" w:space="0" w:color="808080"/>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2012</w:t>
                  </w:r>
                </w:p>
              </w:tc>
            </w:tr>
            <w:tr>
              <w:tblPrEx>
                <w:tblW w:w="9773" w:type="dxa"/>
                <w:tblInd w:w="2" w:type="dxa"/>
                <w:tblCellMar>
                  <w:left w:w="70" w:type="dxa"/>
                  <w:right w:w="70" w:type="dxa"/>
                </w:tblCellMar>
                <w:tblLook w:val="00A0"/>
              </w:tblPrEx>
              <w:trPr>
                <w:trHeight w:val="1031"/>
              </w:trPr>
              <w:tc>
                <w:tcPr>
                  <w:tcW w:w="368" w:type="dxa"/>
                  <w:tcBorders>
                    <w:top w:val="nil"/>
                    <w:left w:val="single" w:sz="4" w:space="0" w:color="808080"/>
                    <w:bottom w:val="nil"/>
                    <w:right w:val="single" w:sz="4" w:space="0" w:color="808080"/>
                  </w:tcBorders>
                  <w:shd w:val="clear" w:color="000000" w:fill="C0C0C0"/>
                  <w:textDirection w:val="lrTb"/>
                  <w:vAlign w:val="top"/>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 </w:t>
                  </w:r>
                </w:p>
              </w:tc>
              <w:tc>
                <w:tcPr>
                  <w:tcW w:w="4089" w:type="dxa"/>
                  <w:tcBorders>
                    <w:top w:val="nil"/>
                    <w:left w:val="nil"/>
                    <w:bottom w:val="nil"/>
                    <w:right w:val="single" w:sz="4" w:space="0" w:color="808080"/>
                  </w:tcBorders>
                  <w:shd w:val="clear" w:color="000000" w:fill="C0C0C0"/>
                  <w:textDirection w:val="lrTb"/>
                  <w:vAlign w:val="top"/>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Kapitola</w:t>
                  </w:r>
                </w:p>
              </w:tc>
              <w:tc>
                <w:tcPr>
                  <w:tcW w:w="1329" w:type="dxa"/>
                  <w:tcBorders>
                    <w:top w:val="single" w:sz="4" w:space="0" w:color="808080"/>
                    <w:left w:val="nil"/>
                    <w:bottom w:val="nil"/>
                    <w:right w:val="single" w:sz="4" w:space="0" w:color="808080"/>
                  </w:tcBorders>
                  <w:shd w:val="clear" w:color="000000" w:fill="C0C0C0"/>
                  <w:textDirection w:val="lrTb"/>
                  <w:vAlign w:val="top"/>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Výdavky spolu</w:t>
                  </w:r>
                </w:p>
              </w:tc>
              <w:tc>
                <w:tcPr>
                  <w:tcW w:w="1329" w:type="dxa"/>
                  <w:tcBorders>
                    <w:top w:val="single" w:sz="4" w:space="0" w:color="808080"/>
                    <w:left w:val="nil"/>
                    <w:bottom w:val="nil"/>
                    <w:right w:val="single" w:sz="4" w:space="0" w:color="808080"/>
                  </w:tcBorders>
                  <w:shd w:val="clear" w:color="000000" w:fill="C0C0C0"/>
                  <w:textDirection w:val="lrTb"/>
                  <w:vAlign w:val="top"/>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Výdavky spolu</w:t>
                  </w:r>
                </w:p>
              </w:tc>
              <w:tc>
                <w:tcPr>
                  <w:tcW w:w="1329" w:type="dxa"/>
                  <w:tcBorders>
                    <w:top w:val="single" w:sz="4" w:space="0" w:color="808080"/>
                    <w:left w:val="nil"/>
                    <w:bottom w:val="nil"/>
                    <w:right w:val="single" w:sz="4" w:space="0" w:color="808080"/>
                  </w:tcBorders>
                  <w:shd w:val="clear" w:color="000000" w:fill="C0C0C0"/>
                  <w:textDirection w:val="lrTb"/>
                  <w:vAlign w:val="top"/>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Výdavky spolu</w:t>
                  </w:r>
                </w:p>
              </w:tc>
              <w:tc>
                <w:tcPr>
                  <w:tcW w:w="1329" w:type="dxa"/>
                  <w:tcBorders>
                    <w:top w:val="nil"/>
                    <w:left w:val="nil"/>
                    <w:bottom w:val="single" w:sz="4" w:space="0" w:color="808080"/>
                    <w:right w:val="single" w:sz="4" w:space="0" w:color="808080"/>
                  </w:tcBorders>
                  <w:shd w:val="clear" w:color="000000" w:fill="C0C0C0"/>
                  <w:textDirection w:val="lrTb"/>
                  <w:vAlign w:val="top"/>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Výdavky spolu</w:t>
                  </w:r>
                </w:p>
              </w:tc>
            </w:tr>
            <w:tr>
              <w:tblPrEx>
                <w:tblW w:w="9773" w:type="dxa"/>
                <w:tblInd w:w="2" w:type="dxa"/>
                <w:tblCellMar>
                  <w:left w:w="70" w:type="dxa"/>
                  <w:right w:w="70" w:type="dxa"/>
                </w:tblCellMar>
                <w:tblLook w:val="00A0"/>
              </w:tblPrEx>
              <w:trPr>
                <w:trHeight w:val="290"/>
              </w:trPr>
              <w:tc>
                <w:tcPr>
                  <w:tcW w:w="368" w:type="dxa"/>
                  <w:tcBorders>
                    <w:top w:val="single" w:sz="4" w:space="0" w:color="808080"/>
                    <w:left w:val="single" w:sz="4" w:space="0" w:color="808080"/>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a</w:t>
                  </w:r>
                </w:p>
              </w:tc>
              <w:tc>
                <w:tcPr>
                  <w:tcW w:w="4089" w:type="dxa"/>
                  <w:tcBorders>
                    <w:top w:val="single" w:sz="4" w:space="0" w:color="808080"/>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b</w:t>
                  </w:r>
                </w:p>
              </w:tc>
              <w:tc>
                <w:tcPr>
                  <w:tcW w:w="1329" w:type="dxa"/>
                  <w:tcBorders>
                    <w:top w:val="single" w:sz="4" w:space="0" w:color="808080"/>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1</w:t>
                  </w:r>
                </w:p>
              </w:tc>
              <w:tc>
                <w:tcPr>
                  <w:tcW w:w="1329" w:type="dxa"/>
                  <w:tcBorders>
                    <w:top w:val="single" w:sz="4" w:space="0" w:color="808080"/>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2</w:t>
                  </w:r>
                </w:p>
              </w:tc>
              <w:tc>
                <w:tcPr>
                  <w:tcW w:w="1329" w:type="dxa"/>
                  <w:tcBorders>
                    <w:top w:val="single" w:sz="4" w:space="0" w:color="808080"/>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3</w:t>
                  </w:r>
                </w:p>
              </w:tc>
              <w:tc>
                <w:tcPr>
                  <w:tcW w:w="132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4"/>
                      <w:szCs w:val="24"/>
                      <w:lang w:eastAsia="sk-SK"/>
                    </w:rPr>
                  </w:pPr>
                  <w:r w:rsidRPr="001B6B83">
                    <w:rPr>
                      <w:rFonts w:ascii="Arial" w:hAnsi="Arial" w:cs="Arial"/>
                      <w:b/>
                      <w:color w:val="000000"/>
                      <w:sz w:val="14"/>
                      <w:szCs w:val="24"/>
                      <w:lang w:eastAsia="sk-SK"/>
                    </w:rPr>
                    <w:t>4</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Kancelária Národnej rady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42 370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41 456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22 578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22 585</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02</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Kancelária prezidenta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3 895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4 040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3 526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3 527</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03</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vlády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33 731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26 993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21 765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21 766</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05</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Kancelária Ústavného súdu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5 669</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2 853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2 904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2 847</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06</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Najvyšší súd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7 522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8 522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8 671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8 842</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07</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Generálna prokuratúra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59 018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62 503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58 816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60 163</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08</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Najvyšší kontrolný úrad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8 172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8 196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8 233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8 251</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09</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Slovenská informačná služba</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42 386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43 300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41 888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41 888</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10</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zahraničných vecí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131 754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107 954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106 995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106 995</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obrany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1 045 712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822 944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817 643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823 165</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12</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vnútra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928 813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838 575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813 503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813 166</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13</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spravodlivosti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286 018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270 033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264 539</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266 530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15</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financií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468 936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491 319</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535 828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530 123</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18</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životného prostredia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323 091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329 601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365 428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365 833</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20</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školstva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2 170 268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2 348 232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2 381 136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2 401 470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zdravotníctva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1 305 409</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1 439 532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1 535 617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1 575 901</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22</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práce, sociálnych vecí a rodiny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1 889 590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1 967 688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2 033 516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2 009 465</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24</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kultúry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188 302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169 773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143 945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147 108</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26</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hospodárstva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268 831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319 167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251 160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185 281</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27</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pôdohospodárstva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976 067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1 158 603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888 118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762 691</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28</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výstavby a regionálneho rozvoja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382 195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494 350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586 393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570 580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29</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Ministerstvo dopravy, pôšt a telekomunikácií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1 377 590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1 424 996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1 531 213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1 327 428</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geodézie, kartografie a katastra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41 814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39 604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39 510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37 990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32</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Štatistický úrad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25 831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29 547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22 808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20 460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33</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pre verejné obstarávanie</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3 537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2 948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2 982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2 996</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36</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jadrového dozoru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5 202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4 465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4 606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4 332</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37</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priemyselného vlastníctva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3 439</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2 885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2 886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2 893</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38</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Úrad pre normalizáciu, metrológiu a skúšobníctvo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7 680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7 255</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7 430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7 138</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40</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Protimonopolný úrad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2 494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2 368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2 307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2 307</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41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Národný bezpečnostný úrad</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9 511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8 800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8 894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8 896</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42</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Správa štátnych hmotných rezerv SR</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21 703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28 102</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27 034</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19 062</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48</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Všeobecná pokladničná správa</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1 995 108</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3 714 817</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w:t>
                  </w:r>
                  <w:r>
                    <w:rPr>
                      <w:rFonts w:ascii="Arial" w:hAnsi="Arial" w:cs="Arial"/>
                      <w:color w:val="000000"/>
                      <w:sz w:val="16"/>
                      <w:szCs w:val="24"/>
                      <w:lang w:eastAsia="sk-SK"/>
                    </w:rPr>
                    <w:t> </w:t>
                  </w:r>
                  <w:r w:rsidRPr="001B6B83">
                    <w:rPr>
                      <w:rFonts w:ascii="Arial" w:hAnsi="Arial" w:cs="Arial"/>
                      <w:color w:val="000000"/>
                      <w:sz w:val="16"/>
                      <w:szCs w:val="24"/>
                      <w:lang w:eastAsia="sk-SK"/>
                    </w:rPr>
                    <w:t>5</w:t>
                  </w:r>
                  <w:r>
                    <w:rPr>
                      <w:rFonts w:ascii="Arial" w:hAnsi="Arial" w:cs="Arial"/>
                      <w:color w:val="000000"/>
                      <w:sz w:val="16"/>
                      <w:szCs w:val="24"/>
                      <w:lang w:eastAsia="sk-SK"/>
                    </w:rPr>
                    <w:t>55 041</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3</w:t>
                  </w:r>
                  <w:r>
                    <w:rPr>
                      <w:rFonts w:ascii="Arial" w:hAnsi="Arial" w:cs="Arial"/>
                      <w:color w:val="000000"/>
                      <w:sz w:val="16"/>
                      <w:szCs w:val="24"/>
                      <w:lang w:eastAsia="sk-SK"/>
                    </w:rPr>
                    <w:t> 828 124</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51</w:t>
                  </w:r>
                </w:p>
              </w:tc>
              <w:tc>
                <w:tcPr>
                  <w:tcW w:w="4089" w:type="dxa"/>
                  <w:tcBorders>
                    <w:top w:val="nil"/>
                    <w:left w:val="nil"/>
                    <w:bottom w:val="single" w:sz="4" w:space="0" w:color="808080"/>
                    <w:right w:val="single" w:sz="4" w:space="0" w:color="808080"/>
                  </w:tcBorders>
                  <w:textDirection w:val="lrTb"/>
                  <w:vAlign w:val="center"/>
                </w:tcPr>
                <w:p w:rsidR="008128F4" w:rsidRPr="001B6B83" w:rsidP="006144DC">
                  <w:pPr>
                    <w:rPr>
                      <w:rFonts w:ascii="Arial" w:hAnsi="Arial" w:cs="Arial"/>
                      <w:color w:val="000000"/>
                      <w:sz w:val="16"/>
                      <w:szCs w:val="24"/>
                      <w:lang w:eastAsia="sk-SK"/>
                    </w:rPr>
                  </w:pPr>
                  <w:r w:rsidRPr="001B6B83">
                    <w:rPr>
                      <w:rFonts w:ascii="Arial" w:hAnsi="Arial" w:cs="Arial"/>
                      <w:color w:val="000000"/>
                      <w:sz w:val="16"/>
                      <w:szCs w:val="24"/>
                      <w:lang w:eastAsia="sk-SK"/>
                    </w:rPr>
                    <w:t>Slovenská akadémia vied</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63 633</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55 326</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57 170</w:t>
                  </w:r>
                </w:p>
              </w:tc>
              <w:tc>
                <w:tcPr>
                  <w:tcW w:w="1329" w:type="dxa"/>
                  <w:tcBorders>
                    <w:top w:val="nil"/>
                    <w:left w:val="nil"/>
                    <w:bottom w:val="single" w:sz="4" w:space="0" w:color="808080"/>
                    <w:right w:val="single" w:sz="4" w:space="0" w:color="808080"/>
                  </w:tcBorders>
                  <w:textDirection w:val="lrTb"/>
                  <w:vAlign w:val="center"/>
                </w:tcPr>
                <w:p w:rsidR="008128F4" w:rsidRPr="001B6B83" w:rsidP="006144DC">
                  <w:pPr>
                    <w:jc w:val="right"/>
                    <w:rPr>
                      <w:rFonts w:ascii="Arial" w:hAnsi="Arial" w:cs="Arial"/>
                      <w:color w:val="000000"/>
                      <w:sz w:val="16"/>
                      <w:szCs w:val="24"/>
                      <w:lang w:eastAsia="sk-SK"/>
                    </w:rPr>
                  </w:pPr>
                  <w:r w:rsidRPr="001B6B83">
                    <w:rPr>
                      <w:rFonts w:ascii="Arial" w:hAnsi="Arial" w:cs="Arial"/>
                      <w:color w:val="000000"/>
                      <w:sz w:val="16"/>
                      <w:szCs w:val="24"/>
                      <w:lang w:eastAsia="sk-SK"/>
                    </w:rPr>
                    <w:t>57 240</w:t>
                  </w:r>
                </w:p>
              </w:tc>
            </w:tr>
            <w:tr>
              <w:tblPrEx>
                <w:tblW w:w="9773" w:type="dxa"/>
                <w:tblInd w:w="2" w:type="dxa"/>
                <w:tblCellMar>
                  <w:left w:w="70" w:type="dxa"/>
                  <w:right w:w="70" w:type="dxa"/>
                </w:tblCellMar>
                <w:tblLook w:val="00A0"/>
              </w:tblPrEx>
              <w:trPr>
                <w:trHeight w:val="247"/>
              </w:trPr>
              <w:tc>
                <w:tcPr>
                  <w:tcW w:w="368" w:type="dxa"/>
                  <w:tcBorders>
                    <w:top w:val="nil"/>
                    <w:left w:val="single" w:sz="4" w:space="0" w:color="808080"/>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 </w:t>
                  </w:r>
                </w:p>
              </w:tc>
              <w:tc>
                <w:tcPr>
                  <w:tcW w:w="408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rPr>
                      <w:rFonts w:ascii="Arial" w:hAnsi="Arial" w:cs="Arial"/>
                      <w:b/>
                      <w:color w:val="000000"/>
                      <w:sz w:val="16"/>
                      <w:szCs w:val="24"/>
                      <w:lang w:eastAsia="sk-SK"/>
                    </w:rPr>
                  </w:pPr>
                  <w:r w:rsidRPr="001B6B83">
                    <w:rPr>
                      <w:rFonts w:ascii="Arial" w:hAnsi="Arial" w:cs="Arial"/>
                      <w:b/>
                      <w:color w:val="000000"/>
                      <w:sz w:val="16"/>
                      <w:szCs w:val="24"/>
                      <w:lang w:eastAsia="sk-SK"/>
                    </w:rPr>
                    <w:t>Spolu</w:t>
                  </w:r>
                </w:p>
              </w:tc>
              <w:tc>
                <w:tcPr>
                  <w:tcW w:w="132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jc w:val="right"/>
                    <w:rPr>
                      <w:rFonts w:ascii="Arial" w:hAnsi="Arial" w:cs="Arial"/>
                      <w:b/>
                      <w:color w:val="000000"/>
                      <w:sz w:val="16"/>
                      <w:szCs w:val="24"/>
                      <w:lang w:eastAsia="sk-SK"/>
                    </w:rPr>
                  </w:pPr>
                  <w:r w:rsidRPr="001B6B83">
                    <w:rPr>
                      <w:rFonts w:ascii="Arial" w:hAnsi="Arial" w:cs="Arial"/>
                      <w:b/>
                      <w:color w:val="000000"/>
                      <w:sz w:val="16"/>
                      <w:szCs w:val="24"/>
                      <w:lang w:eastAsia="sk-SK"/>
                    </w:rPr>
                    <w:t>14 125 291</w:t>
                  </w:r>
                </w:p>
              </w:tc>
              <w:tc>
                <w:tcPr>
                  <w:tcW w:w="132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jc w:val="right"/>
                    <w:rPr>
                      <w:rFonts w:ascii="Arial" w:hAnsi="Arial" w:cs="Arial"/>
                      <w:b/>
                      <w:color w:val="000000"/>
                      <w:sz w:val="16"/>
                      <w:szCs w:val="24"/>
                      <w:lang w:eastAsia="sk-SK"/>
                    </w:rPr>
                  </w:pPr>
                  <w:r w:rsidRPr="001B6B83">
                    <w:rPr>
                      <w:rFonts w:ascii="Arial" w:hAnsi="Arial" w:cs="Arial"/>
                      <w:b/>
                      <w:color w:val="000000"/>
                      <w:sz w:val="16"/>
                      <w:szCs w:val="24"/>
                      <w:lang w:eastAsia="sk-SK"/>
                    </w:rPr>
                    <w:t>16 276 747</w:t>
                  </w:r>
                </w:p>
              </w:tc>
              <w:tc>
                <w:tcPr>
                  <w:tcW w:w="132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jc w:val="right"/>
                    <w:rPr>
                      <w:rFonts w:ascii="Arial" w:hAnsi="Arial" w:cs="Arial"/>
                      <w:b/>
                      <w:color w:val="000000"/>
                      <w:sz w:val="16"/>
                      <w:szCs w:val="24"/>
                      <w:lang w:eastAsia="sk-SK"/>
                    </w:rPr>
                  </w:pPr>
                  <w:r w:rsidRPr="001B6B83">
                    <w:rPr>
                      <w:rFonts w:ascii="Arial" w:hAnsi="Arial" w:cs="Arial"/>
                      <w:b/>
                      <w:color w:val="000000"/>
                      <w:sz w:val="16"/>
                      <w:szCs w:val="24"/>
                      <w:lang w:eastAsia="sk-SK"/>
                    </w:rPr>
                    <w:t>16</w:t>
                  </w:r>
                  <w:r>
                    <w:rPr>
                      <w:rFonts w:ascii="Arial" w:hAnsi="Arial" w:cs="Arial"/>
                      <w:b/>
                      <w:color w:val="000000"/>
                      <w:sz w:val="16"/>
                      <w:szCs w:val="24"/>
                      <w:lang w:eastAsia="sk-SK"/>
                    </w:rPr>
                    <w:t> 154 081</w:t>
                  </w:r>
                </w:p>
              </w:tc>
              <w:tc>
                <w:tcPr>
                  <w:tcW w:w="1329" w:type="dxa"/>
                  <w:tcBorders>
                    <w:top w:val="nil"/>
                    <w:left w:val="nil"/>
                    <w:bottom w:val="single" w:sz="4" w:space="0" w:color="808080"/>
                    <w:right w:val="single" w:sz="4" w:space="0" w:color="808080"/>
                  </w:tcBorders>
                  <w:shd w:val="clear" w:color="000000" w:fill="C0C0C0"/>
                  <w:textDirection w:val="lrTb"/>
                  <w:vAlign w:val="center"/>
                </w:tcPr>
                <w:p w:rsidR="008128F4" w:rsidRPr="001B6B83" w:rsidP="006144DC">
                  <w:pPr>
                    <w:jc w:val="right"/>
                    <w:rPr>
                      <w:rFonts w:ascii="Arial" w:hAnsi="Arial" w:cs="Arial"/>
                      <w:b/>
                      <w:color w:val="000000"/>
                      <w:sz w:val="16"/>
                      <w:szCs w:val="24"/>
                      <w:lang w:eastAsia="sk-SK"/>
                    </w:rPr>
                  </w:pPr>
                  <w:r w:rsidRPr="001B6B83">
                    <w:rPr>
                      <w:rFonts w:ascii="Arial" w:hAnsi="Arial" w:cs="Arial"/>
                      <w:b/>
                      <w:color w:val="000000"/>
                      <w:sz w:val="16"/>
                      <w:szCs w:val="24"/>
                      <w:lang w:eastAsia="sk-SK"/>
                    </w:rPr>
                    <w:t>16</w:t>
                  </w:r>
                  <w:r>
                    <w:rPr>
                      <w:rFonts w:ascii="Arial" w:hAnsi="Arial" w:cs="Arial"/>
                      <w:b/>
                      <w:color w:val="000000"/>
                      <w:sz w:val="16"/>
                      <w:szCs w:val="24"/>
                      <w:lang w:eastAsia="sk-SK"/>
                    </w:rPr>
                    <w:t> 047 043</w:t>
                  </w:r>
                </w:p>
              </w:tc>
            </w:tr>
          </w:tbl>
          <w:p w:rsidR="008128F4" w:rsidP="006144DC">
            <w:pPr>
              <w:jc w:val="both"/>
              <w:rPr>
                <w:rFonts w:ascii="Arial" w:hAnsi="Arial" w:cs="Arial"/>
                <w:sz w:val="16"/>
                <w:szCs w:val="24"/>
                <w:lang w:eastAsia="sk-SK"/>
              </w:rPr>
            </w:pPr>
          </w:p>
          <w:p w:rsidR="00F315AD" w:rsidP="006144DC">
            <w:pPr>
              <w:jc w:val="both"/>
              <w:rPr>
                <w:rFonts w:ascii="Arial" w:hAnsi="Arial" w:cs="Arial"/>
                <w:sz w:val="16"/>
                <w:szCs w:val="24"/>
                <w:lang w:eastAsia="sk-SK"/>
              </w:rPr>
            </w:pPr>
          </w:p>
          <w:p w:rsidR="00ED680D" w:rsidRPr="00DE4AA5" w:rsidP="006144DC">
            <w:pPr>
              <w:jc w:val="both"/>
              <w:rPr>
                <w:rFonts w:ascii="Arial" w:hAnsi="Arial" w:cs="Arial"/>
                <w:sz w:val="16"/>
                <w:szCs w:val="24"/>
                <w:lang w:eastAsia="sk-SK"/>
              </w:rPr>
            </w:pPr>
          </w:p>
        </w:tc>
      </w:tr>
    </w:tbl>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ED680D" w:rsidP="008128F4">
      <w:pPr>
        <w:jc w:val="both"/>
        <w:rPr>
          <w:rFonts w:ascii="Arial Narrow" w:hAnsi="Arial Narrow" w:cs="Arial Narrow"/>
          <w:b/>
          <w:szCs w:val="24"/>
        </w:rPr>
      </w:pPr>
    </w:p>
    <w:p w:rsidR="008128F4" w:rsidP="008128F4">
      <w:pPr>
        <w:jc w:val="both"/>
        <w:rPr>
          <w:rFonts w:ascii="Arial Narrow" w:hAnsi="Arial Narrow" w:cs="Arial Narrow"/>
          <w:b/>
          <w:szCs w:val="24"/>
        </w:rPr>
      </w:pPr>
      <w:r>
        <w:rPr>
          <w:rFonts w:ascii="Arial Narrow" w:hAnsi="Arial Narrow" w:cs="Arial Narrow"/>
          <w:b/>
          <w:szCs w:val="24"/>
        </w:rPr>
        <w:t>A. Bežné výdavky</w:t>
      </w:r>
    </w:p>
    <w:p w:rsidR="008128F4" w:rsidP="008128F4">
      <w:pPr>
        <w:jc w:val="both"/>
        <w:rPr>
          <w:rFonts w:ascii="Arial Narrow" w:hAnsi="Arial Narrow" w:cs="Arial Narrow"/>
          <w:szCs w:val="24"/>
        </w:rPr>
      </w:pPr>
    </w:p>
    <w:p w:rsidR="00F315AD" w:rsidP="00F315AD">
      <w:pPr>
        <w:spacing w:after="120"/>
        <w:ind w:firstLine="709"/>
        <w:jc w:val="both"/>
        <w:rPr>
          <w:rFonts w:ascii="Arial Narrow" w:hAnsi="Arial Narrow" w:cs="Arial Narrow"/>
          <w:sz w:val="22"/>
          <w:szCs w:val="24"/>
        </w:rPr>
      </w:pPr>
      <w:r w:rsidR="008128F4">
        <w:rPr>
          <w:rFonts w:ascii="Arial Narrow" w:hAnsi="Arial Narrow" w:cs="Arial Narrow"/>
          <w:sz w:val="22"/>
          <w:szCs w:val="24"/>
        </w:rPr>
        <w:t xml:space="preserve">Bežné výdavky v rokoch 2010 až 2012 vykazujú mierne rastúci trend. V porovnaní s rokom 2009 je v týchto výdavkoch v roku 2010 nárast o 1 953 219 tis. eur. V rokoch 2011 a 2012 dochádza k medziročnému rastu bežných výdavkov o 157 367 tis. eur a o 387 760 tis. eur. </w:t>
      </w:r>
      <w:r w:rsidR="008128F4">
        <w:rPr>
          <w:rFonts w:ascii="Arial Narrow" w:hAnsi="Arial Narrow" w:cs="Arial Narrow"/>
          <w:color w:val="000000"/>
          <w:sz w:val="22"/>
          <w:szCs w:val="24"/>
          <w:lang w:eastAsia="sk-SK"/>
        </w:rPr>
        <w:t xml:space="preserve">Uvedené zvýšenie súvisí so zvýšenými príjmami z rozpočtu Európskej únie a výdavkami na krytie výpadku príjmov Sociálnej poisťovne z titulu zavedenia druhého piliera dôchodkového sporenia, ako aj </w:t>
      </w:r>
      <w:r w:rsidR="008128F4">
        <w:rPr>
          <w:rFonts w:ascii="Arial Narrow" w:hAnsi="Arial Narrow" w:cs="Arial Narrow"/>
          <w:sz w:val="22"/>
          <w:szCs w:val="24"/>
        </w:rPr>
        <w:t>na štátom platené poistné za zákonom určené skupiny osôb v kapitole Ministerstva zdravotníctva SR.</w:t>
      </w:r>
    </w:p>
    <w:p w:rsidR="00ED680D" w:rsidP="00F315AD">
      <w:pPr>
        <w:spacing w:after="120"/>
        <w:ind w:firstLine="709"/>
        <w:jc w:val="both"/>
        <w:rPr>
          <w:rFonts w:ascii="Arial Narrow" w:hAnsi="Arial Narrow" w:cs="Arial Narrow"/>
          <w:sz w:val="22"/>
          <w:szCs w:val="24"/>
        </w:rPr>
      </w:pPr>
    </w:p>
    <w:p w:rsidR="008128F4" w:rsidP="008128F4">
      <w:pPr>
        <w:ind w:firstLine="709"/>
        <w:jc w:val="both"/>
        <w:rPr>
          <w:szCs w:val="24"/>
        </w:rPr>
      </w:pPr>
      <w:r>
        <w:rPr>
          <w:noProof/>
          <w:szCs w:val="24"/>
          <w:lang w:eastAsia="sk-SK"/>
        </w:rPr>
        <w:pict>
          <v:shape id="Graf 2" o:spid="_x0000_i1026" type="#_x0000_t75" style="width:297.15pt;height:212.2pt;visibility:visible" o:bordertopcolor="this" o:borderleftcolor="this" o:borderbottomcolor="this" o:borderrightcolor="this" stroked="f">
            <v:imagedata r:id="rId7" o:title=""/>
            <o:lock v:ext="edit" aspectratio="f"/>
            <w10:bordertop type="single" width="4"/>
            <w10:borderleft type="single" width="4"/>
            <w10:borderbottom type="single" width="4"/>
            <w10:borderright type="single" width="4"/>
          </v:shape>
        </w:pict>
      </w:r>
    </w:p>
    <w:p w:rsidR="008128F4" w:rsidP="008128F4">
      <w:pPr>
        <w:ind w:firstLine="709"/>
        <w:jc w:val="both"/>
        <w:rPr>
          <w:szCs w:val="24"/>
        </w:rPr>
      </w:pPr>
    </w:p>
    <w:p w:rsidR="00ED680D" w:rsidP="00F97501">
      <w:pPr>
        <w:tabs>
          <w:tab w:val="left" w:pos="720"/>
        </w:tabs>
        <w:jc w:val="both"/>
        <w:rPr>
          <w:rFonts w:ascii="Arial Narrow" w:hAnsi="Arial Narrow" w:cs="Arial Narrow"/>
          <w:b/>
          <w:szCs w:val="24"/>
        </w:rPr>
      </w:pPr>
    </w:p>
    <w:p w:rsidR="00F97501" w:rsidRPr="00B0152A" w:rsidP="00F97501">
      <w:pPr>
        <w:tabs>
          <w:tab w:val="left" w:pos="720"/>
        </w:tabs>
        <w:jc w:val="both"/>
        <w:rPr>
          <w:rFonts w:ascii="Arial Narrow" w:hAnsi="Arial Narrow" w:cs="Arial Narrow"/>
          <w:b/>
          <w:szCs w:val="24"/>
        </w:rPr>
      </w:pPr>
      <w:r w:rsidRPr="00B0152A">
        <w:rPr>
          <w:rFonts w:ascii="Arial Narrow" w:hAnsi="Arial Narrow" w:cs="Arial Narrow"/>
          <w:b/>
          <w:szCs w:val="24"/>
        </w:rPr>
        <w:t>A.1. Mzdy, platy, služobné príjmy a ostatné osobné vyrovnania</w:t>
      </w:r>
    </w:p>
    <w:p w:rsidR="00F97501" w:rsidRPr="00B0152A" w:rsidP="00F97501">
      <w:pPr>
        <w:tabs>
          <w:tab w:val="left" w:pos="720"/>
        </w:tabs>
        <w:spacing w:before="240"/>
        <w:rPr>
          <w:rFonts w:ascii="Arial Narrow" w:hAnsi="Arial Narrow" w:cs="Arial Narrow"/>
          <w:b/>
          <w:szCs w:val="24"/>
        </w:rPr>
      </w:pPr>
      <w:r w:rsidRPr="00B0152A">
        <w:rPr>
          <w:rFonts w:ascii="Arial Narrow" w:hAnsi="Arial Narrow" w:cs="Arial Narrow"/>
          <w:b/>
          <w:szCs w:val="24"/>
        </w:rPr>
        <w:t>A.1.1. Zamestnanosť v sektore verejnej správy</w:t>
      </w:r>
    </w:p>
    <w:p w:rsidR="00F97501" w:rsidRPr="00A427BC" w:rsidP="00F97501">
      <w:pPr>
        <w:tabs>
          <w:tab w:val="left" w:pos="720"/>
        </w:tabs>
        <w:rPr>
          <w:rFonts w:ascii="Arial Narrow" w:hAnsi="Arial Narrow" w:cs="Arial Narrow"/>
          <w:b/>
          <w:szCs w:val="24"/>
        </w:rPr>
      </w:pPr>
    </w:p>
    <w:p w:rsidR="00F97501" w:rsidP="00F97501">
      <w:pPr>
        <w:spacing w:after="120"/>
        <w:ind w:firstLine="709"/>
        <w:jc w:val="both"/>
        <w:rPr>
          <w:rFonts w:ascii="Arial Narrow" w:hAnsi="Arial Narrow" w:cs="Arial Narrow"/>
          <w:sz w:val="22"/>
          <w:szCs w:val="24"/>
        </w:rPr>
      </w:pPr>
      <w:r w:rsidRPr="00A427BC">
        <w:rPr>
          <w:rFonts w:ascii="Arial Narrow" w:hAnsi="Arial Narrow" w:cs="Arial Narrow"/>
          <w:sz w:val="22"/>
          <w:szCs w:val="24"/>
        </w:rPr>
        <w:t xml:space="preserve">Pri zostavovaní rozpočtu verejnej správy na roky 2010 až 2012 zostáva stabilita verejných financií a racionalizácia výdavkov vo verejnej správe hlavným </w:t>
      </w:r>
      <w:r>
        <w:rPr>
          <w:rFonts w:ascii="Arial Narrow" w:hAnsi="Arial Narrow" w:cs="Arial Narrow"/>
          <w:sz w:val="22"/>
          <w:szCs w:val="24"/>
        </w:rPr>
        <w:t>cieľom</w:t>
      </w:r>
      <w:r w:rsidRPr="00A427BC">
        <w:rPr>
          <w:rFonts w:ascii="Arial Narrow" w:hAnsi="Arial Narrow" w:cs="Arial Narrow"/>
          <w:sz w:val="22"/>
          <w:szCs w:val="24"/>
        </w:rPr>
        <w:t xml:space="preserve"> vlády SR aj v oblasti z</w:t>
      </w:r>
      <w:r>
        <w:rPr>
          <w:rFonts w:ascii="Arial Narrow" w:hAnsi="Arial Narrow" w:cs="Arial Narrow"/>
          <w:sz w:val="22"/>
          <w:szCs w:val="24"/>
        </w:rPr>
        <w:t>amestnanosti verejného sektora. P</w:t>
      </w:r>
      <w:r w:rsidRPr="00A427BC">
        <w:rPr>
          <w:rFonts w:ascii="Arial Narrow" w:hAnsi="Arial Narrow" w:cs="Arial Narrow"/>
          <w:sz w:val="22"/>
          <w:szCs w:val="24"/>
        </w:rPr>
        <w:t xml:space="preserve">rehľad o vývoji počtu zamestnancov v rozpočtoch subjektov </w:t>
      </w:r>
      <w:r>
        <w:rPr>
          <w:rFonts w:ascii="Arial Narrow" w:hAnsi="Arial Narrow" w:cs="Arial Narrow"/>
          <w:sz w:val="22"/>
          <w:szCs w:val="24"/>
        </w:rPr>
        <w:t>verejného sektora je dôkazom stabilizácie úrovne zamestnanosti.</w:t>
      </w:r>
    </w:p>
    <w:tbl>
      <w:tblPr>
        <w:tblStyle w:val="TableNormal"/>
        <w:tblW w:w="0" w:type="auto"/>
        <w:jc w:val="center"/>
        <w:tblInd w:w="0" w:type="dxa"/>
        <w:tblCellMar>
          <w:left w:w="70" w:type="dxa"/>
          <w:right w:w="70" w:type="dxa"/>
        </w:tblCellMar>
        <w:tblLook w:val="00A0"/>
      </w:tblPr>
      <w:tblGrid>
        <w:gridCol w:w="286"/>
        <w:gridCol w:w="15"/>
        <w:gridCol w:w="2719"/>
        <w:gridCol w:w="669"/>
        <w:gridCol w:w="669"/>
        <w:gridCol w:w="669"/>
        <w:gridCol w:w="669"/>
        <w:gridCol w:w="669"/>
        <w:gridCol w:w="669"/>
        <w:gridCol w:w="669"/>
        <w:gridCol w:w="754"/>
        <w:gridCol w:w="755"/>
      </w:tblGrid>
      <w:tr>
        <w:tblPrEx>
          <w:tblW w:w="0" w:type="auto"/>
          <w:jc w:val="center"/>
          <w:tblInd w:w="0" w:type="dxa"/>
          <w:tblCellMar>
            <w:left w:w="70" w:type="dxa"/>
            <w:right w:w="70" w:type="dxa"/>
          </w:tblCellMar>
          <w:tblLook w:val="00A0"/>
        </w:tblPrEx>
        <w:trPr>
          <w:trHeight w:val="255"/>
          <w:jc w:val="center"/>
        </w:trPr>
        <w:tc>
          <w:tcPr>
            <w:tcW w:w="0" w:type="auto"/>
            <w:gridSpan w:val="12"/>
            <w:tcBorders>
              <w:top w:val="nil"/>
              <w:left w:val="nil"/>
              <w:bottom w:val="nil"/>
              <w:right w:val="nil"/>
            </w:tcBorders>
            <w:noWrap/>
            <w:textDirection w:val="lrTb"/>
            <w:vAlign w:val="bottom"/>
          </w:tcPr>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ED680D" w:rsidP="00C84EFE">
            <w:pPr>
              <w:jc w:val="center"/>
              <w:rPr>
                <w:rFonts w:ascii="Arial Narrow" w:hAnsi="Arial Narrow" w:cs="Arial Narrow"/>
                <w:b/>
                <w:sz w:val="22"/>
                <w:szCs w:val="24"/>
                <w:lang w:eastAsia="sk-SK"/>
              </w:rPr>
            </w:pPr>
          </w:p>
          <w:p w:rsidR="00F97501" w:rsidRPr="00167B4F" w:rsidP="00C84EFE">
            <w:pPr>
              <w:jc w:val="center"/>
              <w:rPr>
                <w:rFonts w:ascii="Arial Narrow" w:hAnsi="Arial Narrow" w:cs="Arial Narrow"/>
                <w:b/>
                <w:sz w:val="22"/>
                <w:szCs w:val="24"/>
                <w:lang w:eastAsia="sk-SK"/>
              </w:rPr>
            </w:pPr>
            <w:r w:rsidRPr="00167B4F">
              <w:rPr>
                <w:rFonts w:ascii="Arial Narrow" w:hAnsi="Arial Narrow" w:cs="Arial Narrow"/>
                <w:b/>
                <w:sz w:val="22"/>
                <w:szCs w:val="24"/>
                <w:lang w:eastAsia="sk-SK"/>
              </w:rPr>
              <w:t>Vývoj a štruktúra počtu zamestnancov v sektore verejnej správy</w:t>
            </w:r>
          </w:p>
        </w:tc>
      </w:tr>
      <w:tr>
        <w:tblPrEx>
          <w:tblW w:w="0" w:type="auto"/>
          <w:jc w:val="center"/>
          <w:tblInd w:w="0" w:type="dxa"/>
          <w:tblCellMar>
            <w:left w:w="70" w:type="dxa"/>
            <w:right w:w="70" w:type="dxa"/>
          </w:tblCellMar>
          <w:tblLook w:val="00A0"/>
        </w:tblPrEx>
        <w:trPr>
          <w:trHeight w:val="180"/>
          <w:jc w:val="center"/>
        </w:trPr>
        <w:tc>
          <w:tcPr>
            <w:tcW w:w="0" w:type="auto"/>
            <w:gridSpan w:val="2"/>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w:hAnsi="Arial" w:cs="Arial"/>
                <w:sz w:val="20"/>
                <w:szCs w:val="24"/>
                <w:lang w:eastAsia="sk-SK"/>
              </w:rPr>
            </w:pPr>
          </w:p>
        </w:tc>
      </w:tr>
      <w:tr>
        <w:tblPrEx>
          <w:tblW w:w="0" w:type="auto"/>
          <w:jc w:val="center"/>
          <w:tblInd w:w="0" w:type="dxa"/>
          <w:tblCellMar>
            <w:left w:w="70" w:type="dxa"/>
            <w:right w:w="70" w:type="dxa"/>
          </w:tblCellMar>
          <w:tblLook w:val="00A0"/>
        </w:tblPrEx>
        <w:trPr>
          <w:trHeight w:val="27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F97501" w:rsidRPr="00167B4F" w:rsidP="00C84EFE">
            <w:pPr>
              <w:rPr>
                <w:rFonts w:ascii="Arial Narrow" w:hAnsi="Arial Narrow" w:cs="Arial Narrow"/>
                <w:color w:val="FFFFFF"/>
                <w:sz w:val="20"/>
                <w:szCs w:val="24"/>
                <w:lang w:eastAsia="sk-SK"/>
              </w:rPr>
            </w:pPr>
            <w:r w:rsidRPr="00167B4F">
              <w:rPr>
                <w:rFonts w:ascii="Arial Narrow" w:hAnsi="Arial Narrow" w:cs="Arial Narrow"/>
                <w:color w:val="FFFFFF"/>
                <w:sz w:val="20"/>
                <w:szCs w:val="24"/>
                <w:lang w:eastAsia="sk-SK"/>
              </w:rPr>
              <w:t> </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2001</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2002</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2003</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2004</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2005</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2006</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2007</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2008</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2009</w:t>
            </w:r>
          </w:p>
        </w:tc>
      </w:tr>
      <w:tr>
        <w:tblPrEx>
          <w:tblW w:w="0" w:type="auto"/>
          <w:jc w:val="center"/>
          <w:tblInd w:w="0" w:type="dxa"/>
          <w:tblCellMar>
            <w:left w:w="70" w:type="dxa"/>
            <w:right w:w="70" w:type="dxa"/>
          </w:tblCellMar>
          <w:tblLook w:val="00A0"/>
        </w:tblPrEx>
        <w:trPr>
          <w:trHeight w:val="315"/>
          <w:jc w:val="center"/>
        </w:trPr>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center"/>
              <w:rPr>
                <w:rFonts w:ascii="Arial Narrow" w:hAnsi="Arial Narrow" w:cs="Arial Narrow"/>
                <w:sz w:val="20"/>
                <w:szCs w:val="24"/>
                <w:lang w:eastAsia="sk-SK"/>
              </w:rPr>
            </w:pPr>
            <w:r w:rsidRPr="00167B4F">
              <w:rPr>
                <w:rFonts w:ascii="Arial Narrow" w:hAnsi="Arial Narrow" w:cs="Arial Narrow"/>
                <w:sz w:val="20"/>
                <w:szCs w:val="24"/>
                <w:lang w:eastAsia="sk-SK"/>
              </w:rPr>
              <w:t>1)</w:t>
            </w:r>
          </w:p>
        </w:tc>
        <w:tc>
          <w:tcPr>
            <w:tcW w:w="0" w:type="auto"/>
            <w:gridSpan w:val="2"/>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Ústredná správa spolu  </w:t>
            </w:r>
            <w:r w:rsidRPr="00167B4F">
              <w:rPr>
                <w:rFonts w:ascii="Arial Narrow" w:hAnsi="Arial Narrow" w:cs="Arial Narrow"/>
                <w:b/>
                <w:sz w:val="18"/>
                <w:szCs w:val="24"/>
                <w:vertAlign w:val="superscript"/>
                <w:lang w:eastAsia="sk-SK"/>
              </w:rPr>
              <w:t>*)</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274 712</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276 661</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307 651</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312 048</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263 738</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259 902</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259 290</w:t>
            </w:r>
          </w:p>
        </w:tc>
        <w:tc>
          <w:tcPr>
            <w:tcW w:w="0" w:type="auto"/>
            <w:vMerge w:val="restart"/>
            <w:tcBorders>
              <w:top w:val="nil"/>
              <w:left w:val="single" w:sz="4" w:space="0" w:color="auto"/>
              <w:bottom w:val="single" w:sz="4" w:space="0" w:color="auto"/>
              <w:right w:val="single" w:sz="4" w:space="0" w:color="auto"/>
            </w:tcBorders>
            <w:shd w:val="clear" w:color="000000" w:fill="C0C0C0"/>
            <w:noWrap/>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252 174</w:t>
            </w:r>
          </w:p>
        </w:tc>
        <w:tc>
          <w:tcPr>
            <w:tcW w:w="0" w:type="auto"/>
            <w:vMerge w:val="restart"/>
            <w:tcBorders>
              <w:top w:val="nil"/>
              <w:left w:val="single" w:sz="4" w:space="0" w:color="auto"/>
              <w:bottom w:val="single" w:sz="4" w:space="0" w:color="auto"/>
              <w:right w:val="single" w:sz="4" w:space="0" w:color="auto"/>
            </w:tcBorders>
            <w:shd w:val="clear" w:color="000000" w:fill="C0C0C0"/>
            <w:noWrap/>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252 807</w:t>
            </w:r>
          </w:p>
        </w:tc>
      </w:tr>
      <w:tr>
        <w:tblPrEx>
          <w:tblW w:w="0" w:type="auto"/>
          <w:jc w:val="center"/>
          <w:tblInd w:w="0" w:type="dxa"/>
          <w:tblCellMar>
            <w:left w:w="70" w:type="dxa"/>
            <w:right w:w="70" w:type="dxa"/>
          </w:tblCellMar>
          <w:tblLook w:val="00A0"/>
        </w:tblPrEx>
        <w:trPr>
          <w:trHeight w:val="450"/>
          <w:jc w:val="center"/>
        </w:trPr>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20"/>
                <w:szCs w:val="24"/>
                <w:lang w:eastAsia="sk-SK"/>
              </w:rPr>
            </w:pPr>
          </w:p>
        </w:tc>
        <w:tc>
          <w:tcPr>
            <w:tcW w:w="0" w:type="auto"/>
            <w:gridSpan w:val="2"/>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rPr>
                <w:rFonts w:ascii="Arial Narrow" w:hAnsi="Arial Narrow" w:cs="Arial Narrow"/>
                <w:sz w:val="14"/>
                <w:szCs w:val="24"/>
                <w:lang w:eastAsia="sk-SK"/>
              </w:rPr>
            </w:pPr>
            <w:r w:rsidRPr="00167B4F">
              <w:rPr>
                <w:rFonts w:ascii="Arial Narrow" w:hAnsi="Arial Narrow" w:cs="Arial Narrow"/>
                <w:sz w:val="14"/>
                <w:szCs w:val="24"/>
                <w:lang w:eastAsia="sk-SK"/>
              </w:rPr>
              <w:t>(bez SIS, vrátane preneseného výkonu štátnej správy na obce a VÚC)</w:t>
            </w: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20"/>
                <w:szCs w:val="24"/>
                <w:lang w:eastAsia="sk-SK"/>
              </w:rPr>
            </w:pPr>
            <w:r w:rsidRPr="00167B4F">
              <w:rPr>
                <w:rFonts w:ascii="Arial Narrow" w:hAnsi="Arial Narrow" w:cs="Arial Narrow"/>
                <w:sz w:val="20"/>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i/>
                <w:sz w:val="16"/>
                <w:szCs w:val="24"/>
                <w:lang w:eastAsia="sk-SK"/>
              </w:rPr>
            </w:pPr>
            <w:r w:rsidRPr="00167B4F">
              <w:rPr>
                <w:rFonts w:ascii="Arial Narrow" w:hAnsi="Arial Narrow" w:cs="Arial Narrow"/>
                <w:i/>
                <w:sz w:val="16"/>
                <w:szCs w:val="24"/>
                <w:lang w:eastAsia="sk-SK"/>
              </w:rPr>
              <w:t>z toho:</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noWrap/>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noWrap/>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w:t>
            </w: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Rozpočtové organizácie</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227 775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229 616</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124 371</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117 819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139 472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139 115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139 311</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133 609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134 428</w:t>
            </w: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Príspevkové organizácie</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46 307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46 436</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14 876</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14 057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13 916</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13 655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13 490</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11 939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11 678</w:t>
            </w: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Verejné vysoké školy</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21 327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21 353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21 413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21 529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21 529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21 529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21 529</w:t>
            </w:r>
          </w:p>
        </w:tc>
      </w:tr>
      <w:tr>
        <w:tblPrEx>
          <w:tblW w:w="0" w:type="auto"/>
          <w:jc w:val="center"/>
          <w:tblInd w:w="0" w:type="dxa"/>
          <w:tblCellMar>
            <w:left w:w="70" w:type="dxa"/>
            <w:right w:w="70" w:type="dxa"/>
          </w:tblCellMar>
          <w:tblLook w:val="00A0"/>
        </w:tblPrEx>
        <w:trPr>
          <w:trHeight w:val="270"/>
          <w:jc w:val="center"/>
        </w:trPr>
        <w:tc>
          <w:tcPr>
            <w:tcW w:w="0" w:type="auto"/>
            <w:vMerge w:val="restart"/>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Prenesený výkon štátnej správy</w:t>
            </w:r>
          </w:p>
        </w:tc>
        <w:tc>
          <w:tcPr>
            <w:tcW w:w="0" w:type="auto"/>
            <w:vMerge w:val="restart"/>
            <w:tcBorders>
              <w:top w:val="nil"/>
              <w:left w:val="single" w:sz="4" w:space="0" w:color="auto"/>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vMerge w:val="restart"/>
            <w:tcBorders>
              <w:top w:val="nil"/>
              <w:left w:val="single" w:sz="4" w:space="0" w:color="auto"/>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vMerge w:val="restart"/>
            <w:tcBorders>
              <w:top w:val="nil"/>
              <w:left w:val="single" w:sz="4" w:space="0" w:color="auto"/>
              <w:bottom w:val="single" w:sz="4" w:space="0" w:color="000000"/>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146 479</w:t>
            </w:r>
          </w:p>
        </w:tc>
        <w:tc>
          <w:tcPr>
            <w:tcW w:w="0" w:type="auto"/>
            <w:vMerge w:val="restart"/>
            <w:tcBorders>
              <w:top w:val="nil"/>
              <w:left w:val="single" w:sz="4" w:space="0" w:color="auto"/>
              <w:bottom w:val="single" w:sz="4" w:space="0" w:color="000000"/>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158 195</w:t>
            </w:r>
          </w:p>
        </w:tc>
        <w:tc>
          <w:tcPr>
            <w:tcW w:w="0" w:type="auto"/>
            <w:vMerge w:val="restart"/>
            <w:tcBorders>
              <w:top w:val="nil"/>
              <w:left w:val="single" w:sz="4" w:space="0" w:color="auto"/>
              <w:bottom w:val="single" w:sz="4" w:space="0" w:color="000000"/>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87 708</w:t>
            </w:r>
          </w:p>
        </w:tc>
        <w:tc>
          <w:tcPr>
            <w:tcW w:w="0" w:type="auto"/>
            <w:vMerge w:val="restart"/>
            <w:tcBorders>
              <w:top w:val="nil"/>
              <w:left w:val="single" w:sz="4" w:space="0" w:color="auto"/>
              <w:bottom w:val="single" w:sz="4" w:space="0" w:color="000000"/>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84 359</w:t>
            </w:r>
          </w:p>
        </w:tc>
        <w:tc>
          <w:tcPr>
            <w:tcW w:w="0" w:type="auto"/>
            <w:vMerge w:val="restart"/>
            <w:tcBorders>
              <w:top w:val="nil"/>
              <w:left w:val="single" w:sz="4" w:space="0" w:color="auto"/>
              <w:bottom w:val="single" w:sz="4" w:space="0" w:color="000000"/>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83 862</w:t>
            </w:r>
          </w:p>
        </w:tc>
        <w:tc>
          <w:tcPr>
            <w:tcW w:w="0" w:type="auto"/>
            <w:vMerge w:val="restart"/>
            <w:tcBorders>
              <w:top w:val="nil"/>
              <w:left w:val="single" w:sz="4" w:space="0" w:color="auto"/>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82 241</w:t>
            </w:r>
          </w:p>
        </w:tc>
        <w:tc>
          <w:tcPr>
            <w:tcW w:w="0" w:type="auto"/>
            <w:vMerge w:val="restart"/>
            <w:tcBorders>
              <w:top w:val="nil"/>
              <w:left w:val="single" w:sz="4" w:space="0" w:color="auto"/>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82 241</w:t>
            </w:r>
          </w:p>
        </w:tc>
      </w:tr>
      <w:tr>
        <w:tblPrEx>
          <w:tblW w:w="0" w:type="auto"/>
          <w:jc w:val="center"/>
          <w:tblInd w:w="0" w:type="dxa"/>
          <w:tblCellMar>
            <w:left w:w="70" w:type="dxa"/>
            <w:right w:w="70" w:type="dxa"/>
          </w:tblCellMar>
          <w:tblLook w:val="00A0"/>
        </w:tblPrEx>
        <w:trPr>
          <w:trHeight w:val="270"/>
          <w:jc w:val="center"/>
        </w:trPr>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xml:space="preserve"> (obce, VÚC -  financ. zo ŠR)</w:t>
            </w: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Fondy</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577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465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469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466</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491</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477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477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494</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457</w:t>
            </w:r>
          </w:p>
        </w:tc>
      </w:tr>
      <w:tr>
        <w:tblPrEx>
          <w:tblW w:w="0" w:type="auto"/>
          <w:jc w:val="center"/>
          <w:tblInd w:w="0" w:type="dxa"/>
          <w:tblCellMar>
            <w:left w:w="70" w:type="dxa"/>
            <w:right w:w="70" w:type="dxa"/>
          </w:tblCellMar>
          <w:tblLook w:val="00A0"/>
        </w:tblPrEx>
        <w:trPr>
          <w:trHeight w:val="270"/>
          <w:jc w:val="center"/>
        </w:trPr>
        <w:tc>
          <w:tcPr>
            <w:tcW w:w="0" w:type="auto"/>
            <w:tcBorders>
              <w:top w:val="nil"/>
              <w:left w:val="single" w:sz="4" w:space="0" w:color="auto"/>
              <w:bottom w:val="single" w:sz="4" w:space="0" w:color="auto"/>
              <w:right w:val="single" w:sz="4" w:space="0" w:color="auto"/>
            </w:tcBorders>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 </w:t>
            </w:r>
          </w:p>
        </w:tc>
        <w:tc>
          <w:tcPr>
            <w:tcW w:w="0" w:type="auto"/>
            <w:gridSpan w:val="2"/>
            <w:tcBorders>
              <w:top w:val="nil"/>
              <w:left w:val="nil"/>
              <w:bottom w:val="single" w:sz="4" w:space="0" w:color="auto"/>
              <w:right w:val="single" w:sz="4" w:space="0" w:color="auto"/>
            </w:tcBorders>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Ďalšie subjekty verejnej správy</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144</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129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158</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738</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767</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621</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2 362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2 474</w:t>
            </w:r>
          </w:p>
        </w:tc>
      </w:tr>
      <w:tr>
        <w:tblPrEx>
          <w:tblW w:w="0" w:type="auto"/>
          <w:jc w:val="center"/>
          <w:tblInd w:w="0" w:type="dxa"/>
          <w:tblCellMar>
            <w:left w:w="70" w:type="dxa"/>
            <w:right w:w="70" w:type="dxa"/>
          </w:tblCellMar>
          <w:tblLook w:val="00A0"/>
        </w:tblPrEx>
        <w:trPr>
          <w:trHeight w:val="270"/>
          <w:jc w:val="center"/>
        </w:trPr>
        <w:tc>
          <w:tcPr>
            <w:tcW w:w="0" w:type="auto"/>
            <w:vMerge w:val="restart"/>
            <w:tcBorders>
              <w:top w:val="nil"/>
              <w:left w:val="single" w:sz="4" w:space="0" w:color="auto"/>
              <w:bottom w:val="single" w:sz="4" w:space="0" w:color="auto"/>
              <w:right w:val="single" w:sz="4" w:space="0" w:color="auto"/>
            </w:tcBorders>
            <w:shd w:val="clear" w:color="000000" w:fill="C0C0C0"/>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2)</w:t>
            </w:r>
          </w:p>
        </w:tc>
        <w:tc>
          <w:tcPr>
            <w:tcW w:w="0" w:type="auto"/>
            <w:gridSpan w:val="2"/>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Územná samospráva  </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60 065</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100 554</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187 391</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206 260</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194 987</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185 660</w:t>
            </w:r>
          </w:p>
        </w:tc>
        <w:tc>
          <w:tcPr>
            <w:tcW w:w="0" w:type="auto"/>
            <w:vMerge w:val="restart"/>
            <w:tcBorders>
              <w:top w:val="nil"/>
              <w:left w:val="single" w:sz="4" w:space="0" w:color="auto"/>
              <w:bottom w:val="single" w:sz="4" w:space="0" w:color="000000"/>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182 676</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179 539</w:t>
            </w:r>
          </w:p>
        </w:tc>
        <w:tc>
          <w:tcPr>
            <w:tcW w:w="0" w:type="auto"/>
            <w:vMerge w:val="restart"/>
            <w:tcBorders>
              <w:top w:val="nil"/>
              <w:left w:val="single" w:sz="4" w:space="0" w:color="auto"/>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179 539</w:t>
            </w:r>
          </w:p>
        </w:tc>
      </w:tr>
      <w:tr>
        <w:tblPrEx>
          <w:tblW w:w="0" w:type="auto"/>
          <w:jc w:val="center"/>
          <w:tblInd w:w="0" w:type="dxa"/>
          <w:tblCellMar>
            <w:left w:w="70" w:type="dxa"/>
            <w:right w:w="70" w:type="dxa"/>
          </w:tblCellMar>
          <w:tblLook w:val="00A0"/>
        </w:tblPrEx>
        <w:trPr>
          <w:trHeight w:val="270"/>
          <w:jc w:val="center"/>
        </w:trPr>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sz w:val="18"/>
                <w:szCs w:val="24"/>
                <w:lang w:eastAsia="sk-SK"/>
              </w:rPr>
            </w:pPr>
          </w:p>
        </w:tc>
        <w:tc>
          <w:tcPr>
            <w:tcW w:w="0" w:type="auto"/>
            <w:gridSpan w:val="2"/>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(vrátane preneseného výkonu št. správy)</w:t>
            </w: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000000"/>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c>
          <w:tcPr>
            <w:tcW w:w="0" w:type="auto"/>
            <w:vMerge/>
            <w:tcBorders>
              <w:top w:val="nil"/>
              <w:left w:val="single" w:sz="4" w:space="0" w:color="auto"/>
              <w:bottom w:val="single" w:sz="4" w:space="0" w:color="auto"/>
              <w:right w:val="single" w:sz="4" w:space="0" w:color="auto"/>
            </w:tcBorders>
            <w:textDirection w:val="lrTb"/>
            <w:vAlign w:val="center"/>
          </w:tcPr>
          <w:p w:rsidR="00F97501" w:rsidRPr="00167B4F" w:rsidP="00C84EFE">
            <w:pPr>
              <w:rPr>
                <w:rFonts w:ascii="Arial Narrow" w:hAnsi="Arial Narrow" w:cs="Arial Narrow"/>
                <w:b/>
                <w:sz w:val="18"/>
                <w:szCs w:val="24"/>
                <w:lang w:eastAsia="sk-SK"/>
              </w:rPr>
            </w:pPr>
          </w:p>
        </w:tc>
      </w:tr>
      <w:tr>
        <w:tblPrEx>
          <w:tblW w:w="0" w:type="auto"/>
          <w:jc w:val="center"/>
          <w:tblInd w:w="0" w:type="dxa"/>
          <w:tblCellMar>
            <w:left w:w="70" w:type="dxa"/>
            <w:right w:w="70" w:type="dxa"/>
          </w:tblCellMar>
          <w:tblLook w:val="00A0"/>
        </w:tblPrEx>
        <w:trPr>
          <w:trHeight w:val="540"/>
          <w:jc w:val="center"/>
        </w:trPr>
        <w:tc>
          <w:tcPr>
            <w:tcW w:w="0" w:type="auto"/>
            <w:tcBorders>
              <w:top w:val="nil"/>
              <w:left w:val="single" w:sz="4" w:space="0" w:color="auto"/>
              <w:bottom w:val="single" w:sz="4" w:space="0" w:color="auto"/>
              <w:right w:val="single" w:sz="4" w:space="0" w:color="auto"/>
            </w:tcBorders>
            <w:shd w:val="clear" w:color="000000" w:fill="C0C0C0"/>
            <w:noWrap/>
            <w:textDirection w:val="lrTb"/>
            <w:vAlign w:val="bottom"/>
          </w:tcPr>
          <w:p w:rsidR="00F97501" w:rsidRPr="00167B4F" w:rsidP="00C84EFE">
            <w:pPr>
              <w:jc w:val="center"/>
              <w:rPr>
                <w:rFonts w:ascii="Arial Narrow" w:hAnsi="Arial Narrow" w:cs="Arial Narrow"/>
                <w:sz w:val="18"/>
                <w:szCs w:val="24"/>
                <w:lang w:eastAsia="sk-SK"/>
              </w:rPr>
            </w:pPr>
            <w:r w:rsidRPr="00167B4F">
              <w:rPr>
                <w:rFonts w:ascii="Arial Narrow" w:hAnsi="Arial Narrow" w:cs="Arial Narrow"/>
                <w:sz w:val="18"/>
                <w:szCs w:val="24"/>
                <w:lang w:eastAsia="sk-SK"/>
              </w:rPr>
              <w:t>3)</w:t>
            </w:r>
          </w:p>
        </w:tc>
        <w:tc>
          <w:tcPr>
            <w:tcW w:w="0" w:type="auto"/>
            <w:gridSpan w:val="2"/>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Fondy sociálneho poistenia a zdravotného poistenia</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12 707</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12 868</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13 100</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8 900</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9 080</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9 366</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9 420</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9 484</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9 434</w:t>
            </w:r>
          </w:p>
        </w:tc>
      </w:tr>
      <w:tr>
        <w:tblPrEx>
          <w:tblW w:w="0" w:type="auto"/>
          <w:jc w:val="center"/>
          <w:tblInd w:w="0" w:type="dxa"/>
          <w:tblCellMar>
            <w:left w:w="70" w:type="dxa"/>
            <w:right w:w="70" w:type="dxa"/>
          </w:tblCellMar>
          <w:tblLook w:val="00A0"/>
        </w:tblPrEx>
        <w:trPr>
          <w:trHeight w:val="315"/>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lang w:eastAsia="sk-SK"/>
              </w:rPr>
              <w:t xml:space="preserve"> Verejná správa spolu  </w:t>
            </w:r>
            <w:r w:rsidRPr="00167B4F">
              <w:rPr>
                <w:rFonts w:ascii="Arial Narrow" w:hAnsi="Arial Narrow" w:cs="Arial Narrow"/>
                <w:b/>
                <w:sz w:val="18"/>
                <w:szCs w:val="24"/>
                <w:vertAlign w:val="superscript"/>
                <w:lang w:eastAsia="sk-SK"/>
              </w:rPr>
              <w:t>**)</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412 505</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414 770</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410 483</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397 007</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381 587</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372 059</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367 536</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360 434</w:t>
            </w:r>
          </w:p>
        </w:tc>
        <w:tc>
          <w:tcPr>
            <w:tcW w:w="0" w:type="auto"/>
            <w:tcBorders>
              <w:top w:val="nil"/>
              <w:left w:val="nil"/>
              <w:bottom w:val="single" w:sz="4" w:space="0" w:color="auto"/>
              <w:right w:val="single" w:sz="4" w:space="0" w:color="auto"/>
            </w:tcBorders>
            <w:shd w:val="clear" w:color="000000" w:fill="C0C0C0"/>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361 017</w:t>
            </w:r>
          </w:p>
        </w:tc>
      </w:tr>
      <w:tr>
        <w:tblPrEx>
          <w:tblW w:w="0" w:type="auto"/>
          <w:jc w:val="center"/>
          <w:tblInd w:w="0" w:type="dxa"/>
          <w:tblCellMar>
            <w:left w:w="70" w:type="dxa"/>
            <w:right w:w="70" w:type="dxa"/>
          </w:tblCellMar>
          <w:tblLook w:val="00A0"/>
        </w:tblPrEx>
        <w:trPr>
          <w:trHeight w:val="270"/>
          <w:jc w:val="center"/>
        </w:trPr>
        <w:tc>
          <w:tcPr>
            <w:tcW w:w="0" w:type="auto"/>
            <w:gridSpan w:val="3"/>
            <w:tcBorders>
              <w:top w:val="single" w:sz="4" w:space="0" w:color="auto"/>
              <w:left w:val="single" w:sz="4" w:space="0" w:color="auto"/>
              <w:bottom w:val="single" w:sz="4" w:space="0" w:color="auto"/>
              <w:right w:val="single" w:sz="4" w:space="0" w:color="auto"/>
            </w:tcBorders>
            <w:noWrap/>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xml:space="preserve"> % medziročná zmena</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0,55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-3,28</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-3,88</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-2,5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-1,22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-1,92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0,16</w:t>
            </w:r>
          </w:p>
        </w:tc>
      </w:tr>
      <w:tr>
        <w:tblPrEx>
          <w:tblW w:w="0" w:type="auto"/>
          <w:jc w:val="center"/>
          <w:tblInd w:w="0" w:type="dxa"/>
          <w:tblCellMar>
            <w:left w:w="70" w:type="dxa"/>
            <w:right w:w="70" w:type="dxa"/>
          </w:tblCellMar>
          <w:tblLook w:val="00A0"/>
        </w:tblPrEx>
        <w:trPr>
          <w:trHeight w:val="270"/>
          <w:jc w:val="center"/>
        </w:trPr>
        <w:tc>
          <w:tcPr>
            <w:tcW w:w="0" w:type="auto"/>
            <w:gridSpan w:val="3"/>
            <w:tcBorders>
              <w:top w:val="nil"/>
              <w:left w:val="nil"/>
              <w:bottom w:val="nil"/>
              <w:right w:val="nil"/>
            </w:tcBorders>
            <w:noWrap/>
            <w:textDirection w:val="lrTb"/>
            <w:vAlign w:val="bottom"/>
          </w:tcPr>
          <w:p w:rsidR="00F97501" w:rsidRPr="00167B4F" w:rsidP="00C84EFE">
            <w:pPr>
              <w:rPr>
                <w:rFonts w:ascii="Arial Narrow" w:hAnsi="Arial Narrow" w:cs="Arial Narrow"/>
                <w:b/>
                <w:i/>
                <w:sz w:val="18"/>
                <w:szCs w:val="24"/>
                <w:lang w:eastAsia="sk-SK"/>
              </w:rPr>
            </w:pPr>
            <w:r w:rsidRPr="00167B4F">
              <w:rPr>
                <w:rFonts w:ascii="Arial Narrow" w:hAnsi="Arial Narrow" w:cs="Arial Narrow"/>
                <w:b/>
                <w:i/>
                <w:sz w:val="18"/>
                <w:szCs w:val="24"/>
                <w:lang w:eastAsia="sk-SK"/>
              </w:rPr>
              <w:t>Poznámka:</w:t>
            </w: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20"/>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w:hAnsi="Arial" w:cs="Arial"/>
                <w:sz w:val="20"/>
                <w:szCs w:val="24"/>
                <w:lang w:eastAsia="sk-SK"/>
              </w:rPr>
            </w:pPr>
          </w:p>
        </w:tc>
      </w:tr>
      <w:tr>
        <w:tblPrEx>
          <w:tblW w:w="0" w:type="auto"/>
          <w:jc w:val="center"/>
          <w:tblInd w:w="0" w:type="dxa"/>
          <w:tblCellMar>
            <w:left w:w="70" w:type="dxa"/>
            <w:right w:w="70" w:type="dxa"/>
          </w:tblCellMar>
          <w:tblLook w:val="00A0"/>
        </w:tblPrEx>
        <w:trPr>
          <w:trHeight w:val="585"/>
          <w:jc w:val="center"/>
        </w:trPr>
        <w:tc>
          <w:tcPr>
            <w:tcW w:w="0" w:type="auto"/>
            <w:gridSpan w:val="2"/>
            <w:tcBorders>
              <w:top w:val="nil"/>
              <w:left w:val="nil"/>
              <w:bottom w:val="nil"/>
              <w:right w:val="nil"/>
            </w:tcBorders>
            <w:noWrap/>
            <w:textDirection w:val="lrTb"/>
            <w:vAlign w:val="top"/>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vertAlign w:val="superscript"/>
                <w:lang w:eastAsia="sk-SK"/>
              </w:rPr>
              <w:t xml:space="preserve">*)  </w:t>
            </w:r>
          </w:p>
        </w:tc>
        <w:tc>
          <w:tcPr>
            <w:tcW w:w="0" w:type="auto"/>
            <w:gridSpan w:val="10"/>
            <w:tcBorders>
              <w:top w:val="nil"/>
              <w:left w:val="nil"/>
              <w:bottom w:val="nil"/>
              <w:right w:val="nil"/>
            </w:tcBorders>
            <w:textDirection w:val="lrTb"/>
            <w:vAlign w:val="top"/>
          </w:tcPr>
          <w:p w:rsidR="00F97501" w:rsidRPr="00167B4F" w:rsidP="00C84EFE">
            <w:pPr>
              <w:jc w:val="both"/>
              <w:rPr>
                <w:rFonts w:ascii="Arial Narrow" w:hAnsi="Arial Narrow" w:cs="Arial Narrow"/>
                <w:sz w:val="16"/>
                <w:szCs w:val="24"/>
                <w:lang w:eastAsia="sk-SK"/>
              </w:rPr>
            </w:pPr>
            <w:r w:rsidRPr="00167B4F">
              <w:rPr>
                <w:rFonts w:ascii="Arial Narrow" w:hAnsi="Arial Narrow" w:cs="Arial Narrow"/>
                <w:sz w:val="16"/>
                <w:szCs w:val="24"/>
                <w:lang w:eastAsia="sk-SK"/>
              </w:rPr>
              <w:t>v rozpočtových a v príspevkových organizáciách v r. 2001 a 2002 bez vojenských a bezpečnostných zložiek (zaradenie bezpečnostných zložiek od r. 2003 predstavuje cca 34 tis. zamestnancov), v r. 2003 a 2004 bez MO SR a NBÚ</w:t>
            </w:r>
          </w:p>
        </w:tc>
      </w:tr>
      <w:tr>
        <w:tblPrEx>
          <w:tblW w:w="0" w:type="auto"/>
          <w:jc w:val="center"/>
          <w:tblInd w:w="0" w:type="dxa"/>
          <w:tblCellMar>
            <w:left w:w="70" w:type="dxa"/>
            <w:right w:w="70" w:type="dxa"/>
          </w:tblCellMar>
          <w:tblLook w:val="00A0"/>
        </w:tblPrEx>
        <w:trPr>
          <w:trHeight w:val="622"/>
          <w:jc w:val="center"/>
        </w:trPr>
        <w:tc>
          <w:tcPr>
            <w:tcW w:w="0" w:type="auto"/>
            <w:gridSpan w:val="2"/>
            <w:tcBorders>
              <w:top w:val="nil"/>
              <w:left w:val="nil"/>
              <w:bottom w:val="nil"/>
              <w:right w:val="nil"/>
            </w:tcBorders>
            <w:noWrap/>
            <w:textDirection w:val="lrTb"/>
            <w:vAlign w:val="top"/>
          </w:tcPr>
          <w:p w:rsidR="00F97501" w:rsidRPr="00167B4F" w:rsidP="00C84EFE">
            <w:pPr>
              <w:rPr>
                <w:rFonts w:ascii="Arial Narrow" w:hAnsi="Arial Narrow" w:cs="Arial Narrow"/>
                <w:b/>
                <w:sz w:val="18"/>
                <w:szCs w:val="24"/>
                <w:lang w:eastAsia="sk-SK"/>
              </w:rPr>
            </w:pPr>
            <w:r w:rsidRPr="00167B4F">
              <w:rPr>
                <w:rFonts w:ascii="Arial Narrow" w:hAnsi="Arial Narrow" w:cs="Arial Narrow"/>
                <w:b/>
                <w:sz w:val="18"/>
                <w:szCs w:val="24"/>
                <w:vertAlign w:val="superscript"/>
                <w:lang w:eastAsia="sk-SK"/>
              </w:rPr>
              <w:t xml:space="preserve">**)  </w:t>
            </w:r>
          </w:p>
        </w:tc>
        <w:tc>
          <w:tcPr>
            <w:tcW w:w="0" w:type="auto"/>
            <w:gridSpan w:val="10"/>
            <w:tcBorders>
              <w:top w:val="nil"/>
              <w:left w:val="nil"/>
              <w:bottom w:val="none" w:sz="0" w:space="0" w:color="auto"/>
              <w:right w:val="nil"/>
            </w:tcBorders>
            <w:textDirection w:val="lrTb"/>
            <w:vAlign w:val="top"/>
          </w:tcPr>
          <w:p w:rsidR="00F97501" w:rsidRPr="00167B4F" w:rsidP="00C84EFE">
            <w:pPr>
              <w:jc w:val="both"/>
              <w:rPr>
                <w:rFonts w:ascii="Arial Narrow" w:hAnsi="Arial Narrow" w:cs="Arial Narrow"/>
                <w:sz w:val="16"/>
                <w:szCs w:val="24"/>
                <w:lang w:eastAsia="sk-SK"/>
              </w:rPr>
            </w:pPr>
            <w:r w:rsidRPr="00167B4F">
              <w:rPr>
                <w:rFonts w:ascii="Arial Narrow" w:hAnsi="Arial Narrow" w:cs="Arial Narrow"/>
                <w:sz w:val="16"/>
                <w:szCs w:val="24"/>
                <w:lang w:eastAsia="sk-SK"/>
              </w:rPr>
              <w:t xml:space="preserve">Kvantifikácia obsahuje rozpočtované ukazovatele v rokoch 2001 – 2009, okrem ukazovateľov územnej samosprávy, v ktorej je vykázaná skutočnosť </w:t>
            </w:r>
            <w:r>
              <w:rPr>
                <w:rFonts w:ascii="Arial Narrow" w:hAnsi="Arial Narrow" w:cs="Arial Narrow"/>
                <w:sz w:val="16"/>
                <w:szCs w:val="24"/>
                <w:lang w:eastAsia="sk-SK"/>
              </w:rPr>
              <w:br/>
            </w:r>
            <w:r w:rsidRPr="00167B4F">
              <w:rPr>
                <w:rFonts w:ascii="Arial Narrow" w:hAnsi="Arial Narrow" w:cs="Arial Narrow"/>
                <w:sz w:val="16"/>
                <w:szCs w:val="24"/>
                <w:lang w:eastAsia="sk-SK"/>
              </w:rPr>
              <w:t>v rokoch 2001 – 2008 podľa Štatistického úradu SR a predpoklad roku 2009 podľa Ministerstva financií SR, vrátane vojenských a bezpečnostných zložiek.</w:t>
            </w:r>
          </w:p>
        </w:tc>
      </w:tr>
    </w:tbl>
    <w:p w:rsidR="00F97501" w:rsidRPr="00A427BC" w:rsidP="00F97501">
      <w:pPr>
        <w:tabs>
          <w:tab w:val="left" w:pos="720"/>
        </w:tabs>
        <w:rPr>
          <w:rFonts w:ascii="Arial Narrow" w:hAnsi="Arial Narrow" w:cs="Arial Narrow"/>
          <w:sz w:val="22"/>
          <w:szCs w:val="24"/>
        </w:rPr>
      </w:pPr>
    </w:p>
    <w:p w:rsidR="00F97501" w:rsidRPr="00BD7B6D" w:rsidP="00F97501">
      <w:pPr>
        <w:tabs>
          <w:tab w:val="left" w:pos="720"/>
        </w:tabs>
        <w:jc w:val="both"/>
        <w:rPr>
          <w:rFonts w:ascii="Arial Narrow" w:hAnsi="Arial Narrow" w:cs="Arial Narrow"/>
          <w:color w:val="C0504D"/>
          <w:sz w:val="22"/>
          <w:szCs w:val="24"/>
        </w:rPr>
      </w:pPr>
      <w:r w:rsidRPr="00A427BC">
        <w:rPr>
          <w:rFonts w:ascii="Arial Narrow" w:hAnsi="Arial Narrow" w:cs="Arial Narrow"/>
          <w:sz w:val="22"/>
          <w:szCs w:val="24"/>
        </w:rPr>
        <w:tab/>
        <w:t xml:space="preserve">V porovnaní s obdobím do roku 2008 je rast prognózovaného priemerného mzdového výdavku zamestnancov v sektore verejnej správy v roku 2009 mierne vyšší </w:t>
      </w:r>
      <w:r>
        <w:rPr>
          <w:rFonts w:ascii="Arial Narrow" w:hAnsi="Arial Narrow" w:cs="Arial Narrow"/>
          <w:sz w:val="22"/>
          <w:szCs w:val="24"/>
        </w:rPr>
        <w:t xml:space="preserve">predovšetkým </w:t>
      </w:r>
      <w:r w:rsidRPr="00A427BC">
        <w:rPr>
          <w:rFonts w:ascii="Arial Narrow" w:hAnsi="Arial Narrow" w:cs="Arial Narrow"/>
          <w:sz w:val="22"/>
          <w:szCs w:val="24"/>
        </w:rPr>
        <w:t xml:space="preserve">z dôvodu </w:t>
      </w:r>
      <w:r>
        <w:rPr>
          <w:rFonts w:ascii="Arial Narrow" w:hAnsi="Arial Narrow" w:cs="Arial Narrow"/>
          <w:sz w:val="22"/>
          <w:szCs w:val="24"/>
        </w:rPr>
        <w:t xml:space="preserve">zmeny odmeňovania policajtov, príslušníkov Hasičského a záchranného zboru vrátane príslušníkov Horskej záchrannej služby a colníkov. V nemalej miere vyšší rast platov je ovplyvnený aj úrovňou rastu priemernej mzdy zamestnanca hospodárstva SR, od ktorej sa odvíjajú platy ústavných činiteľov a niektorých zamestnancov verejného sektora (napr. pedagogických zamestnancov regionálneho školstva). </w:t>
      </w:r>
    </w:p>
    <w:p w:rsidR="00F97501" w:rsidP="00F97501">
      <w:pPr>
        <w:jc w:val="both"/>
        <w:rPr>
          <w:rFonts w:ascii="Arial Narrow" w:hAnsi="Arial Narrow" w:cs="Arial Narrow"/>
          <w:szCs w:val="24"/>
        </w:rPr>
      </w:pPr>
    </w:p>
    <w:tbl>
      <w:tblPr>
        <w:tblStyle w:val="TableNormal"/>
        <w:tblW w:w="9589" w:type="dxa"/>
        <w:jc w:val="center"/>
        <w:tblInd w:w="0" w:type="dxa"/>
        <w:tblCellMar>
          <w:left w:w="70" w:type="dxa"/>
          <w:right w:w="70" w:type="dxa"/>
        </w:tblCellMar>
        <w:tblLook w:val="00A0"/>
      </w:tblPr>
      <w:tblGrid>
        <w:gridCol w:w="4261"/>
        <w:gridCol w:w="592"/>
        <w:gridCol w:w="592"/>
        <w:gridCol w:w="592"/>
        <w:gridCol w:w="592"/>
        <w:gridCol w:w="592"/>
        <w:gridCol w:w="592"/>
        <w:gridCol w:w="592"/>
        <w:gridCol w:w="592"/>
        <w:gridCol w:w="592"/>
      </w:tblGrid>
      <w:tr>
        <w:tblPrEx>
          <w:tblW w:w="9589" w:type="dxa"/>
          <w:jc w:val="center"/>
          <w:tblInd w:w="0" w:type="dxa"/>
          <w:tblCellMar>
            <w:left w:w="70" w:type="dxa"/>
            <w:right w:w="70" w:type="dxa"/>
          </w:tblCellMar>
          <w:tblLook w:val="00A0"/>
        </w:tblPrEx>
        <w:trPr>
          <w:trHeight w:val="255"/>
          <w:jc w:val="center"/>
        </w:trPr>
        <w:tc>
          <w:tcPr>
            <w:tcW w:w="9589" w:type="dxa"/>
            <w:gridSpan w:val="10"/>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r w:rsidRPr="00167B4F">
              <w:rPr>
                <w:rFonts w:ascii="Arial Narrow" w:hAnsi="Arial Narrow" w:cs="Arial Narrow"/>
                <w:b/>
                <w:sz w:val="22"/>
                <w:szCs w:val="24"/>
                <w:lang w:eastAsia="sk-SK"/>
              </w:rPr>
              <w:t>Vývoj priemernej mzdy v sektore verejnej správy</w:t>
            </w:r>
          </w:p>
        </w:tc>
      </w:tr>
      <w:tr>
        <w:tblPrEx>
          <w:tblW w:w="9589" w:type="dxa"/>
          <w:jc w:val="center"/>
          <w:tblInd w:w="0" w:type="dxa"/>
          <w:tblCellMar>
            <w:left w:w="70" w:type="dxa"/>
            <w:right w:w="70" w:type="dxa"/>
          </w:tblCellMar>
          <w:tblLook w:val="00A0"/>
        </w:tblPrEx>
        <w:trPr>
          <w:trHeight w:val="180"/>
          <w:jc w:val="center"/>
        </w:trPr>
        <w:tc>
          <w:tcPr>
            <w:tcW w:w="4261" w:type="dxa"/>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jc w:val="center"/>
              <w:rPr>
                <w:rFonts w:ascii="Arial Narrow" w:hAnsi="Arial Narrow" w:cs="Arial Narrow"/>
                <w:b/>
                <w:sz w:val="22"/>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w:hAnsi="Arial" w:cs="Arial"/>
                <w:sz w:val="20"/>
                <w:szCs w:val="24"/>
                <w:lang w:eastAsia="sk-SK"/>
              </w:rPr>
            </w:pPr>
          </w:p>
        </w:tc>
      </w:tr>
      <w:tr>
        <w:tblPrEx>
          <w:tblW w:w="9589" w:type="dxa"/>
          <w:jc w:val="center"/>
          <w:tblInd w:w="0" w:type="dxa"/>
          <w:tblCellMar>
            <w:left w:w="70" w:type="dxa"/>
            <w:right w:w="70" w:type="dxa"/>
          </w:tblCellMar>
          <w:tblLook w:val="00A0"/>
        </w:tblPrEx>
        <w:trPr>
          <w:trHeight w:val="270"/>
          <w:jc w:val="center"/>
        </w:trPr>
        <w:tc>
          <w:tcPr>
            <w:tcW w:w="4261" w:type="dxa"/>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20"/>
                <w:szCs w:val="24"/>
                <w:lang w:eastAsia="sk-SK"/>
              </w:rPr>
            </w:pPr>
            <w:r w:rsidRPr="00167B4F">
              <w:rPr>
                <w:rFonts w:ascii="Arial Narrow" w:hAnsi="Arial Narrow" w:cs="Arial Narrow"/>
                <w:b/>
                <w:color w:val="FFFFFF"/>
                <w:sz w:val="20"/>
                <w:szCs w:val="24"/>
                <w:lang w:eastAsia="sk-SK"/>
              </w:rPr>
              <w:t>Ukazovateľ</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2001</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2002</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2003</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2004</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2005</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2006</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2007</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2008</w:t>
            </w:r>
          </w:p>
        </w:tc>
        <w:tc>
          <w:tcPr>
            <w:tcW w:w="0" w:type="auto"/>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2009</w:t>
            </w:r>
          </w:p>
        </w:tc>
      </w:tr>
      <w:tr>
        <w:tblPrEx>
          <w:tblW w:w="9589" w:type="dxa"/>
          <w:jc w:val="center"/>
          <w:tblInd w:w="0" w:type="dxa"/>
          <w:tblCellMar>
            <w:left w:w="70" w:type="dxa"/>
            <w:right w:w="70" w:type="dxa"/>
          </w:tblCellMar>
          <w:tblLook w:val="00A0"/>
        </w:tblPrEx>
        <w:trPr>
          <w:trHeight w:val="585"/>
          <w:jc w:val="center"/>
        </w:trPr>
        <w:tc>
          <w:tcPr>
            <w:tcW w:w="4261" w:type="dxa"/>
            <w:tcBorders>
              <w:top w:val="nil"/>
              <w:left w:val="single" w:sz="4" w:space="0" w:color="auto"/>
              <w:bottom w:val="single" w:sz="4" w:space="0" w:color="auto"/>
              <w:right w:val="single" w:sz="4" w:space="0" w:color="auto"/>
            </w:tcBorders>
            <w:shd w:val="clear" w:color="000000" w:fill="CCCCCC"/>
            <w:textDirection w:val="lrTb"/>
            <w:vAlign w:val="bottom"/>
          </w:tcPr>
          <w:p w:rsidR="00F97501" w:rsidRPr="00167B4F" w:rsidP="00C84EFE">
            <w:pPr>
              <w:rPr>
                <w:rFonts w:ascii="Arial Narrow" w:hAnsi="Arial Narrow" w:cs="Arial Narrow"/>
                <w:sz w:val="18"/>
                <w:szCs w:val="24"/>
                <w:lang w:eastAsia="sk-SK"/>
              </w:rPr>
            </w:pPr>
            <w:r>
              <w:rPr>
                <w:rFonts w:ascii="Arial Narrow" w:hAnsi="Arial Narrow" w:cs="Arial Narrow"/>
                <w:sz w:val="18"/>
                <w:szCs w:val="24"/>
                <w:lang w:eastAsia="sk-SK"/>
              </w:rPr>
              <w:t>Prognózovaný p</w:t>
            </w:r>
            <w:r w:rsidRPr="00167B4F">
              <w:rPr>
                <w:rFonts w:ascii="Arial Narrow" w:hAnsi="Arial Narrow" w:cs="Arial Narrow"/>
                <w:sz w:val="18"/>
                <w:szCs w:val="24"/>
                <w:lang w:eastAsia="sk-SK"/>
              </w:rPr>
              <w:t>riemern</w:t>
            </w:r>
            <w:r>
              <w:rPr>
                <w:rFonts w:ascii="Arial Narrow" w:hAnsi="Arial Narrow" w:cs="Arial Narrow"/>
                <w:sz w:val="18"/>
                <w:szCs w:val="24"/>
                <w:lang w:eastAsia="sk-SK"/>
              </w:rPr>
              <w:t>ý</w:t>
            </w:r>
            <w:r w:rsidRPr="00167B4F">
              <w:rPr>
                <w:rFonts w:ascii="Arial Narrow" w:hAnsi="Arial Narrow" w:cs="Arial Narrow"/>
                <w:sz w:val="18"/>
                <w:szCs w:val="24"/>
                <w:lang w:eastAsia="sk-SK"/>
              </w:rPr>
              <w:t xml:space="preserve"> mzd</w:t>
            </w:r>
            <w:r>
              <w:rPr>
                <w:rFonts w:ascii="Arial Narrow" w:hAnsi="Arial Narrow" w:cs="Arial Narrow"/>
                <w:sz w:val="18"/>
                <w:szCs w:val="24"/>
                <w:lang w:eastAsia="sk-SK"/>
              </w:rPr>
              <w:t xml:space="preserve">ový výdavok </w:t>
            </w:r>
            <w:r w:rsidRPr="00167B4F">
              <w:rPr>
                <w:rFonts w:ascii="Arial Narrow" w:hAnsi="Arial Narrow" w:cs="Arial Narrow"/>
                <w:sz w:val="18"/>
                <w:szCs w:val="24"/>
                <w:lang w:eastAsia="sk-SK"/>
              </w:rPr>
              <w:t xml:space="preserve"> zamestnancov verejnej správy (v eurách)   </w:t>
            </w:r>
            <w:r w:rsidRPr="00167B4F">
              <w:rPr>
                <w:rFonts w:ascii="Arial Narrow" w:hAnsi="Arial Narrow" w:cs="Arial Narrow"/>
                <w:sz w:val="18"/>
                <w:szCs w:val="24"/>
                <w:vertAlign w:val="superscript"/>
                <w:lang w:eastAsia="sk-SK"/>
              </w:rPr>
              <w:t>1)</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384,99</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438,00</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483,22</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531,08</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580,82</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631,88</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676,35</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739,16</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807,51</w:t>
            </w:r>
          </w:p>
        </w:tc>
      </w:tr>
      <w:tr>
        <w:tblPrEx>
          <w:tblW w:w="9589" w:type="dxa"/>
          <w:jc w:val="center"/>
          <w:tblInd w:w="0" w:type="dxa"/>
          <w:tblCellMar>
            <w:left w:w="70" w:type="dxa"/>
            <w:right w:w="70" w:type="dxa"/>
          </w:tblCellMar>
          <w:tblLook w:val="00A0"/>
        </w:tblPrEx>
        <w:trPr>
          <w:trHeight w:val="585"/>
          <w:jc w:val="center"/>
        </w:trPr>
        <w:tc>
          <w:tcPr>
            <w:tcW w:w="4261" w:type="dxa"/>
            <w:tcBorders>
              <w:top w:val="nil"/>
              <w:left w:val="single" w:sz="4" w:space="0" w:color="auto"/>
              <w:bottom w:val="single" w:sz="4" w:space="0" w:color="auto"/>
              <w:right w:val="single" w:sz="4" w:space="0" w:color="auto"/>
            </w:tcBorders>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xml:space="preserve">Skutočná priemerná mzda zamestnancov v hospodárstve SR  (v eurách)   </w:t>
            </w:r>
            <w:r w:rsidRPr="00167B4F">
              <w:rPr>
                <w:rFonts w:ascii="Arial Narrow" w:hAnsi="Arial Narrow" w:cs="Arial Narrow"/>
                <w:sz w:val="18"/>
                <w:szCs w:val="24"/>
                <w:vertAlign w:val="superscript"/>
                <w:lang w:eastAsia="sk-SK"/>
              </w:rPr>
              <w:t>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410,44</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448,48</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476,83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525,29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573,39</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622,75</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668,72</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723,03</w:t>
            </w:r>
          </w:p>
        </w:tc>
        <w:tc>
          <w:tcPr>
            <w:tcW w:w="0" w:type="auto"/>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74</w:t>
            </w:r>
            <w:r>
              <w:rPr>
                <w:rFonts w:ascii="Arial Narrow" w:hAnsi="Arial Narrow" w:cs="Arial Narrow"/>
                <w:sz w:val="18"/>
                <w:szCs w:val="24"/>
                <w:lang w:eastAsia="sk-SK"/>
              </w:rPr>
              <w:t>2</w:t>
            </w:r>
            <w:r w:rsidRPr="00167B4F">
              <w:rPr>
                <w:rFonts w:ascii="Arial Narrow" w:hAnsi="Arial Narrow" w:cs="Arial Narrow"/>
                <w:sz w:val="18"/>
                <w:szCs w:val="24"/>
                <w:lang w:eastAsia="sk-SK"/>
              </w:rPr>
              <w:t>,</w:t>
            </w:r>
            <w:r>
              <w:rPr>
                <w:rFonts w:ascii="Arial Narrow" w:hAnsi="Arial Narrow" w:cs="Arial Narrow"/>
                <w:sz w:val="18"/>
                <w:szCs w:val="24"/>
                <w:lang w:eastAsia="sk-SK"/>
              </w:rPr>
              <w:t>00</w:t>
            </w:r>
          </w:p>
        </w:tc>
      </w:tr>
      <w:tr>
        <w:tblPrEx>
          <w:tblW w:w="9589" w:type="dxa"/>
          <w:jc w:val="center"/>
          <w:tblInd w:w="0" w:type="dxa"/>
          <w:tblCellMar>
            <w:left w:w="70" w:type="dxa"/>
            <w:right w:w="70" w:type="dxa"/>
          </w:tblCellMar>
          <w:tblLook w:val="00A0"/>
        </w:tblPrEx>
        <w:trPr>
          <w:trHeight w:val="270"/>
          <w:jc w:val="center"/>
        </w:trPr>
        <w:tc>
          <w:tcPr>
            <w:tcW w:w="4261" w:type="dxa"/>
            <w:tcBorders>
              <w:top w:val="nil"/>
              <w:left w:val="single" w:sz="4" w:space="0" w:color="auto"/>
              <w:bottom w:val="single" w:sz="4" w:space="0" w:color="auto"/>
              <w:right w:val="single" w:sz="4" w:space="0" w:color="auto"/>
            </w:tcBorders>
            <w:shd w:val="clear" w:color="000000" w:fill="CCCCCC"/>
            <w:textDirection w:val="lrTb"/>
            <w:vAlign w:val="bottom"/>
          </w:tcPr>
          <w:p w:rsidR="00F97501" w:rsidRPr="00167B4F" w:rsidP="00C84EFE">
            <w:pPr>
              <w:jc w:val="both"/>
              <w:rPr>
                <w:rFonts w:ascii="Arial Narrow" w:hAnsi="Arial Narrow" w:cs="Arial Narrow"/>
                <w:sz w:val="18"/>
                <w:szCs w:val="24"/>
                <w:lang w:eastAsia="sk-SK"/>
              </w:rPr>
            </w:pPr>
            <w:r w:rsidRPr="00167B4F">
              <w:rPr>
                <w:rFonts w:ascii="Arial Narrow" w:hAnsi="Arial Narrow" w:cs="Arial Narrow"/>
                <w:sz w:val="18"/>
                <w:szCs w:val="24"/>
                <w:lang w:eastAsia="sk-SK"/>
              </w:rPr>
              <w:t>Index</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93,8</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97,7</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101,3</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101,1</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101,3</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101,5</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101,1</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102,2</w:t>
            </w:r>
          </w:p>
        </w:tc>
        <w:tc>
          <w:tcPr>
            <w:tcW w:w="0" w:type="auto"/>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sz w:val="18"/>
                <w:szCs w:val="24"/>
                <w:lang w:eastAsia="sk-SK"/>
              </w:rPr>
            </w:pPr>
            <w:r w:rsidRPr="00167B4F">
              <w:rPr>
                <w:rFonts w:ascii="Arial Narrow" w:hAnsi="Arial Narrow" w:cs="Arial Narrow"/>
                <w:sz w:val="18"/>
                <w:szCs w:val="24"/>
                <w:lang w:eastAsia="sk-SK"/>
              </w:rPr>
              <w:t>10</w:t>
            </w:r>
            <w:r>
              <w:rPr>
                <w:rFonts w:ascii="Arial Narrow" w:hAnsi="Arial Narrow" w:cs="Arial Narrow"/>
                <w:sz w:val="18"/>
                <w:szCs w:val="24"/>
                <w:lang w:eastAsia="sk-SK"/>
              </w:rPr>
              <w:t>8</w:t>
            </w:r>
            <w:r w:rsidRPr="00167B4F">
              <w:rPr>
                <w:rFonts w:ascii="Arial Narrow" w:hAnsi="Arial Narrow" w:cs="Arial Narrow"/>
                <w:sz w:val="18"/>
                <w:szCs w:val="24"/>
                <w:lang w:eastAsia="sk-SK"/>
              </w:rPr>
              <w:t>,</w:t>
            </w:r>
            <w:r>
              <w:rPr>
                <w:rFonts w:ascii="Arial Narrow" w:hAnsi="Arial Narrow" w:cs="Arial Narrow"/>
                <w:sz w:val="18"/>
                <w:szCs w:val="24"/>
                <w:lang w:eastAsia="sk-SK"/>
              </w:rPr>
              <w:t>8</w:t>
            </w:r>
          </w:p>
        </w:tc>
      </w:tr>
      <w:tr>
        <w:tblPrEx>
          <w:tblW w:w="9589" w:type="dxa"/>
          <w:jc w:val="center"/>
          <w:tblInd w:w="0" w:type="dxa"/>
          <w:tblCellMar>
            <w:left w:w="70" w:type="dxa"/>
            <w:right w:w="70" w:type="dxa"/>
          </w:tblCellMar>
          <w:tblLook w:val="00A0"/>
        </w:tblPrEx>
        <w:trPr>
          <w:trHeight w:val="270"/>
          <w:jc w:val="center"/>
        </w:trPr>
        <w:tc>
          <w:tcPr>
            <w:tcW w:w="9589" w:type="dxa"/>
            <w:gridSpan w:val="10"/>
            <w:tcBorders>
              <w:top w:val="nil"/>
              <w:left w:val="nil"/>
              <w:bottom w:val="nil"/>
              <w:right w:val="nil"/>
            </w:tcBorders>
            <w:noWrap/>
            <w:textDirection w:val="lrTb"/>
            <w:vAlign w:val="bottom"/>
          </w:tcPr>
          <w:p w:rsidR="00F97501" w:rsidP="00C84EFE">
            <w:pPr>
              <w:rPr>
                <w:rFonts w:ascii="Arial Narrow" w:hAnsi="Arial Narrow" w:cs="Arial Narrow"/>
                <w:sz w:val="14"/>
                <w:szCs w:val="24"/>
                <w:lang w:eastAsia="sk-SK"/>
              </w:rPr>
            </w:pPr>
            <w:r w:rsidRPr="00167B4F">
              <w:rPr>
                <w:rFonts w:ascii="Arial Narrow" w:hAnsi="Arial Narrow" w:cs="Arial Narrow"/>
                <w:sz w:val="14"/>
                <w:szCs w:val="24"/>
                <w:lang w:eastAsia="sk-SK"/>
              </w:rPr>
              <w:t>1)   vrátane</w:t>
            </w:r>
            <w:r>
              <w:rPr>
                <w:rFonts w:ascii="Arial Narrow" w:hAnsi="Arial Narrow" w:cs="Arial Narrow"/>
                <w:sz w:val="14"/>
                <w:szCs w:val="24"/>
                <w:lang w:eastAsia="sk-SK"/>
              </w:rPr>
              <w:t xml:space="preserve"> náhrad za pohotovosť, paušálnych náhrad a zahraničného príspevku;</w:t>
            </w:r>
          </w:p>
          <w:p w:rsidR="00F97501" w:rsidRPr="00167B4F" w:rsidP="00C84EFE">
            <w:pPr>
              <w:rPr>
                <w:rFonts w:ascii="Arial" w:hAnsi="Arial" w:cs="Arial"/>
                <w:sz w:val="20"/>
                <w:szCs w:val="24"/>
                <w:lang w:eastAsia="sk-SK"/>
              </w:rPr>
            </w:pPr>
            <w:r>
              <w:rPr>
                <w:rFonts w:ascii="Arial Narrow" w:hAnsi="Arial Narrow" w:cs="Arial Narrow"/>
                <w:sz w:val="14"/>
                <w:szCs w:val="24"/>
                <w:lang w:eastAsia="sk-SK"/>
              </w:rPr>
              <w:t xml:space="preserve">      vrátane </w:t>
            </w:r>
            <w:r w:rsidRPr="00167B4F">
              <w:rPr>
                <w:rFonts w:ascii="Arial Narrow" w:hAnsi="Arial Narrow" w:cs="Arial Narrow"/>
                <w:sz w:val="14"/>
                <w:szCs w:val="24"/>
                <w:lang w:eastAsia="sk-SK"/>
              </w:rPr>
              <w:t>územnej samosprávy a fondov sociálneho poistenia a zdravotného poistenia a ďalších subjektov verejnej správy</w:t>
            </w:r>
          </w:p>
        </w:tc>
      </w:tr>
      <w:tr>
        <w:tblPrEx>
          <w:tblW w:w="9589" w:type="dxa"/>
          <w:jc w:val="center"/>
          <w:tblInd w:w="0" w:type="dxa"/>
          <w:tblCellMar>
            <w:left w:w="70" w:type="dxa"/>
            <w:right w:w="70" w:type="dxa"/>
          </w:tblCellMar>
          <w:tblLook w:val="00A0"/>
        </w:tblPrEx>
        <w:trPr>
          <w:trHeight w:val="270"/>
          <w:jc w:val="center"/>
        </w:trPr>
        <w:tc>
          <w:tcPr>
            <w:tcW w:w="4261" w:type="dxa"/>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r w:rsidRPr="00167B4F">
              <w:rPr>
                <w:rFonts w:ascii="Arial Narrow" w:hAnsi="Arial Narrow" w:cs="Arial Narrow"/>
                <w:sz w:val="14"/>
                <w:szCs w:val="24"/>
                <w:lang w:eastAsia="sk-SK"/>
              </w:rPr>
              <w:t>2)   v roku 2009 očakávaná skutočnosť</w:t>
            </w: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Narrow" w:hAnsi="Arial Narrow" w:cs="Arial Narrow"/>
                <w:sz w:val="14"/>
                <w:szCs w:val="24"/>
                <w:lang w:eastAsia="sk-SK"/>
              </w:rPr>
            </w:pPr>
          </w:p>
        </w:tc>
        <w:tc>
          <w:tcPr>
            <w:tcW w:w="0" w:type="auto"/>
            <w:tcBorders>
              <w:top w:val="nil"/>
              <w:left w:val="nil"/>
              <w:bottom w:val="nil"/>
              <w:right w:val="nil"/>
            </w:tcBorders>
            <w:noWrap/>
            <w:textDirection w:val="lrTb"/>
            <w:vAlign w:val="bottom"/>
          </w:tcPr>
          <w:p w:rsidR="00F97501" w:rsidRPr="00167B4F" w:rsidP="00C84EFE">
            <w:pPr>
              <w:rPr>
                <w:rFonts w:ascii="Arial" w:hAnsi="Arial" w:cs="Arial"/>
                <w:sz w:val="20"/>
                <w:szCs w:val="24"/>
                <w:lang w:eastAsia="sk-SK"/>
              </w:rPr>
            </w:pPr>
          </w:p>
        </w:tc>
      </w:tr>
    </w:tbl>
    <w:p w:rsidR="00F97501" w:rsidRPr="00B0152A" w:rsidP="00F97501">
      <w:pPr>
        <w:tabs>
          <w:tab w:val="left" w:pos="720"/>
        </w:tabs>
        <w:spacing w:before="360"/>
        <w:jc w:val="both"/>
        <w:rPr>
          <w:rFonts w:ascii="Arial Narrow" w:hAnsi="Arial Narrow" w:cs="Arial Narrow"/>
          <w:b/>
          <w:szCs w:val="24"/>
        </w:rPr>
      </w:pPr>
      <w:r w:rsidRPr="00B0152A">
        <w:rPr>
          <w:rFonts w:ascii="Arial Narrow" w:hAnsi="Arial Narrow" w:cs="Arial Narrow"/>
          <w:b/>
          <w:szCs w:val="24"/>
        </w:rPr>
        <w:t>A.1.2. Zamestnanosť financovaná z kapitol štátneho rozpočtu</w:t>
      </w:r>
    </w:p>
    <w:p w:rsidR="00F97501" w:rsidRPr="00D62634" w:rsidP="00F97501">
      <w:pPr>
        <w:tabs>
          <w:tab w:val="left" w:pos="0"/>
        </w:tabs>
        <w:spacing w:before="360"/>
        <w:jc w:val="both"/>
        <w:rPr>
          <w:rFonts w:ascii="Arial Narrow" w:hAnsi="Arial Narrow" w:cs="Arial Narrow"/>
          <w:sz w:val="22"/>
          <w:szCs w:val="24"/>
        </w:rPr>
      </w:pPr>
      <w:r>
        <w:rPr>
          <w:rFonts w:ascii="Arial Narrow" w:hAnsi="Arial Narrow" w:cs="Arial Narrow"/>
          <w:szCs w:val="24"/>
        </w:rPr>
        <w:tab/>
      </w:r>
      <w:r w:rsidRPr="00D62634">
        <w:rPr>
          <w:rFonts w:ascii="Arial Narrow" w:hAnsi="Arial Narrow" w:cs="Arial Narrow"/>
          <w:sz w:val="22"/>
          <w:szCs w:val="24"/>
        </w:rPr>
        <w:t>Prostredníc</w:t>
      </w:r>
      <w:r>
        <w:rPr>
          <w:rFonts w:ascii="Arial Narrow" w:hAnsi="Arial Narrow" w:cs="Arial Narrow"/>
          <w:sz w:val="22"/>
          <w:szCs w:val="24"/>
        </w:rPr>
        <w:t>tvom kapitol štátneho rozpočtu</w:t>
      </w:r>
      <w:r w:rsidRPr="00D62634">
        <w:rPr>
          <w:rFonts w:ascii="Arial Narrow" w:hAnsi="Arial Narrow" w:cs="Arial Narrow"/>
          <w:sz w:val="22"/>
          <w:szCs w:val="24"/>
        </w:rPr>
        <w:t xml:space="preserve"> sa v roku 2010 rozpočtujú osobné výdavky pre 245 184 zamestnancov. V uvedenom počte zamestnancov kapitol štátneho rozpočtu sú zahrnutí najmä zamestnanci rozpočtových organizácií v počte 132</w:t>
      </w:r>
      <w:r>
        <w:rPr>
          <w:rFonts w:ascii="Arial Narrow" w:hAnsi="Arial Narrow" w:cs="Arial Narrow"/>
          <w:sz w:val="22"/>
          <w:szCs w:val="24"/>
        </w:rPr>
        <w:t xml:space="preserve"> </w:t>
      </w:r>
      <w:r w:rsidRPr="00D62634">
        <w:rPr>
          <w:rFonts w:ascii="Arial Narrow" w:hAnsi="Arial Narrow" w:cs="Arial Narrow"/>
          <w:sz w:val="22"/>
          <w:szCs w:val="24"/>
        </w:rPr>
        <w:t xml:space="preserve">365 osôb, z ktorých policajti </w:t>
      </w:r>
      <w:r>
        <w:rPr>
          <w:rFonts w:ascii="Arial Narrow" w:hAnsi="Arial Narrow" w:cs="Arial Narrow"/>
          <w:sz w:val="22"/>
          <w:szCs w:val="24"/>
        </w:rPr>
        <w:t xml:space="preserve">predstavujú </w:t>
      </w:r>
      <w:r w:rsidRPr="00D62634">
        <w:rPr>
          <w:rFonts w:ascii="Arial Narrow" w:hAnsi="Arial Narrow" w:cs="Arial Narrow"/>
          <w:sz w:val="22"/>
          <w:szCs w:val="24"/>
        </w:rPr>
        <w:t>28 344 osôb, príslušníci Hasičského a záchranného zboru a Horskej záchrannej služby 4 414 osôb a colníci 3 877 osôb. Okrem uvedených kategórií zamestnancov sa v kapitolách štátneho rozpočtu rozpočtujú osobné výdavky pre 11 398 zamestnancov príspevkových organizácií,</w:t>
      </w:r>
      <w:r>
        <w:rPr>
          <w:rFonts w:ascii="Arial Narrow" w:hAnsi="Arial Narrow" w:cs="Arial Narrow"/>
          <w:sz w:val="22"/>
          <w:szCs w:val="24"/>
        </w:rPr>
        <w:t xml:space="preserve"> pre </w:t>
      </w:r>
      <w:r w:rsidRPr="00D62634">
        <w:rPr>
          <w:rFonts w:ascii="Arial Narrow" w:hAnsi="Arial Narrow" w:cs="Arial Narrow"/>
          <w:sz w:val="22"/>
          <w:szCs w:val="24"/>
        </w:rPr>
        <w:t>21 529 zamestnancov verejných vysokých škôl a pre 79 892 zamestnancov zabezpečujúcich prenesený výkon štátnej správy v obciach a vyšších územných celkoch.</w:t>
      </w:r>
    </w:p>
    <w:p w:rsidR="00F97501" w:rsidRPr="00D62634" w:rsidP="00F97501">
      <w:pPr>
        <w:tabs>
          <w:tab w:val="left" w:pos="0"/>
        </w:tabs>
        <w:spacing w:before="360"/>
        <w:jc w:val="both"/>
        <w:rPr>
          <w:rFonts w:ascii="Arial Narrow" w:hAnsi="Arial Narrow" w:cs="Arial Narrow"/>
          <w:sz w:val="22"/>
          <w:szCs w:val="24"/>
        </w:rPr>
      </w:pPr>
      <w:r w:rsidRPr="00D62634">
        <w:rPr>
          <w:rFonts w:ascii="Arial Narrow" w:hAnsi="Arial Narrow" w:cs="Arial Narrow"/>
          <w:sz w:val="22"/>
          <w:szCs w:val="24"/>
        </w:rPr>
        <w:tab/>
        <w:t xml:space="preserve">Osobné výdavky pre zamestnancov financovaných z kapitol štátneho rozpočtu sa pre rok 2010 rozpočtujú  v sume 3 399 156 tis. </w:t>
      </w:r>
      <w:r>
        <w:rPr>
          <w:rFonts w:ascii="Arial Narrow" w:hAnsi="Arial Narrow" w:cs="Arial Narrow"/>
          <w:sz w:val="22"/>
          <w:szCs w:val="24"/>
        </w:rPr>
        <w:t>eur</w:t>
      </w:r>
      <w:r w:rsidRPr="00D62634">
        <w:rPr>
          <w:rFonts w:ascii="Arial Narrow" w:hAnsi="Arial Narrow" w:cs="Arial Narrow"/>
          <w:sz w:val="22"/>
          <w:szCs w:val="24"/>
        </w:rPr>
        <w:t xml:space="preserve">, z toho mzdové výdavky v sume 2 539 960 tis. </w:t>
      </w:r>
      <w:r>
        <w:rPr>
          <w:rFonts w:ascii="Arial Narrow" w:hAnsi="Arial Narrow" w:cs="Arial Narrow"/>
          <w:sz w:val="22"/>
          <w:szCs w:val="24"/>
        </w:rPr>
        <w:t>eur</w:t>
      </w:r>
      <w:r w:rsidRPr="00D62634">
        <w:rPr>
          <w:rFonts w:ascii="Arial Narrow" w:hAnsi="Arial Narrow" w:cs="Arial Narrow"/>
          <w:sz w:val="22"/>
          <w:szCs w:val="24"/>
        </w:rPr>
        <w:t xml:space="preserve">. Priemerný mzdový výdavok sa rozpočtuje na úrovni 863,28 </w:t>
      </w:r>
      <w:r>
        <w:rPr>
          <w:rFonts w:ascii="Arial Narrow" w:hAnsi="Arial Narrow" w:cs="Arial Narrow"/>
          <w:sz w:val="22"/>
          <w:szCs w:val="24"/>
        </w:rPr>
        <w:t>eur</w:t>
      </w:r>
      <w:r w:rsidRPr="00D62634">
        <w:rPr>
          <w:rFonts w:ascii="Arial Narrow" w:hAnsi="Arial Narrow" w:cs="Arial Narrow"/>
          <w:sz w:val="22"/>
          <w:szCs w:val="24"/>
        </w:rPr>
        <w:t xml:space="preserve">. Pre rok 2011 sa navrhujú osobné výdavky v sume 3 419 484 tis. </w:t>
      </w:r>
      <w:r>
        <w:rPr>
          <w:rFonts w:ascii="Arial Narrow" w:hAnsi="Arial Narrow" w:cs="Arial Narrow"/>
          <w:sz w:val="22"/>
          <w:szCs w:val="24"/>
        </w:rPr>
        <w:t>eur</w:t>
      </w:r>
      <w:r w:rsidRPr="00D62634">
        <w:rPr>
          <w:rFonts w:ascii="Arial Narrow" w:hAnsi="Arial Narrow" w:cs="Arial Narrow"/>
          <w:sz w:val="22"/>
          <w:szCs w:val="24"/>
        </w:rPr>
        <w:t xml:space="preserve">, z toho mzdové výdavky v sume 2 555 789 tis. </w:t>
      </w:r>
      <w:r>
        <w:rPr>
          <w:rFonts w:ascii="Arial Narrow" w:hAnsi="Arial Narrow" w:cs="Arial Narrow"/>
          <w:sz w:val="22"/>
          <w:szCs w:val="24"/>
        </w:rPr>
        <w:t>eur</w:t>
      </w:r>
      <w:r w:rsidRPr="00D62634">
        <w:rPr>
          <w:rFonts w:ascii="Arial Narrow" w:hAnsi="Arial Narrow" w:cs="Arial Narrow"/>
          <w:sz w:val="22"/>
          <w:szCs w:val="24"/>
        </w:rPr>
        <w:t xml:space="preserve">. Pre rok 2012 sa navrhujú osobné výdavky v sume 3 459 042 tis. </w:t>
      </w:r>
      <w:r>
        <w:rPr>
          <w:rFonts w:ascii="Arial Narrow" w:hAnsi="Arial Narrow" w:cs="Arial Narrow"/>
          <w:sz w:val="22"/>
          <w:szCs w:val="24"/>
        </w:rPr>
        <w:t>eur</w:t>
      </w:r>
      <w:r w:rsidRPr="00D62634">
        <w:rPr>
          <w:rFonts w:ascii="Arial Narrow" w:hAnsi="Arial Narrow" w:cs="Arial Narrow"/>
          <w:sz w:val="22"/>
          <w:szCs w:val="24"/>
        </w:rPr>
        <w:t xml:space="preserve">, z ktorých mzdové výdavky predstavujú sumu 2 592 142 tis. </w:t>
      </w:r>
      <w:r>
        <w:rPr>
          <w:rFonts w:ascii="Arial Narrow" w:hAnsi="Arial Narrow" w:cs="Arial Narrow"/>
          <w:sz w:val="22"/>
          <w:szCs w:val="24"/>
        </w:rPr>
        <w:t>eur</w:t>
      </w:r>
      <w:r w:rsidRPr="00D62634">
        <w:rPr>
          <w:rFonts w:ascii="Arial Narrow" w:hAnsi="Arial Narrow" w:cs="Arial Narrow"/>
          <w:sz w:val="22"/>
          <w:szCs w:val="24"/>
        </w:rPr>
        <w:t>.</w:t>
      </w:r>
    </w:p>
    <w:p w:rsidR="00F97501" w:rsidRPr="00B0152A" w:rsidP="00F97501">
      <w:pPr>
        <w:tabs>
          <w:tab w:val="left" w:pos="720"/>
        </w:tabs>
        <w:jc w:val="both"/>
        <w:rPr>
          <w:rFonts w:ascii="Arial Narrow" w:hAnsi="Arial Narrow" w:cs="Arial Narrow"/>
          <w:b/>
          <w:szCs w:val="24"/>
        </w:rPr>
      </w:pPr>
    </w:p>
    <w:p w:rsidR="00F97501" w:rsidRPr="00B0152A" w:rsidP="00F97501">
      <w:pPr>
        <w:tabs>
          <w:tab w:val="left" w:pos="720"/>
        </w:tabs>
        <w:ind w:left="720" w:hanging="720"/>
        <w:jc w:val="both"/>
        <w:rPr>
          <w:rFonts w:ascii="Arial Narrow" w:hAnsi="Arial Narrow" w:cs="Arial Narrow"/>
          <w:b/>
          <w:szCs w:val="24"/>
        </w:rPr>
      </w:pPr>
      <w:r w:rsidRPr="00B0152A">
        <w:rPr>
          <w:rFonts w:ascii="Arial Narrow" w:hAnsi="Arial Narrow" w:cs="Arial Narrow"/>
          <w:b/>
          <w:szCs w:val="24"/>
        </w:rPr>
        <w:t>A.1.3. Zamestnanosť v organizáciách v zriaďovateľskej pôsobnosti kapitol štátneho rozpočtu bez regionálneho školstva</w:t>
      </w:r>
    </w:p>
    <w:p w:rsidR="00F97501" w:rsidRPr="00B0152A" w:rsidP="00F97501">
      <w:pPr>
        <w:jc w:val="both"/>
        <w:rPr>
          <w:rFonts w:ascii="Arial Narrow" w:hAnsi="Arial Narrow" w:cs="Arial Narrow"/>
          <w:sz w:val="22"/>
          <w:szCs w:val="24"/>
        </w:rPr>
      </w:pPr>
    </w:p>
    <w:p w:rsidR="00DB03E8" w:rsidP="00F97501">
      <w:pPr>
        <w:ind w:firstLine="708"/>
        <w:jc w:val="both"/>
        <w:rPr>
          <w:rFonts w:ascii="Arial Narrow" w:hAnsi="Arial Narrow" w:cs="Arial Narrow"/>
          <w:sz w:val="22"/>
          <w:szCs w:val="24"/>
          <w:highlight w:val="yellow"/>
        </w:rPr>
      </w:pPr>
      <w:bookmarkStart w:id="46" w:name="OLE_LINK1"/>
      <w:r>
        <w:rPr>
          <w:rFonts w:ascii="Arial Narrow" w:hAnsi="Arial Narrow" w:cs="Arial Narrow"/>
          <w:color w:val="000000"/>
          <w:sz w:val="22"/>
          <w:szCs w:val="24"/>
          <w:lang w:eastAsia="sk-SK"/>
        </w:rPr>
        <w:t xml:space="preserve">V návrhu rozpočtu verejnej správy na roky 2010 až 2012 sa pre rok 2010,  v súlade so zákonom o štátnom rozpočte na rok 2010, </w:t>
      </w:r>
      <w:r>
        <w:rPr>
          <w:rFonts w:ascii="Arial Narrow" w:hAnsi="Arial Narrow" w:cs="Arial Narrow"/>
          <w:b/>
          <w:color w:val="000000"/>
          <w:sz w:val="22"/>
          <w:szCs w:val="24"/>
          <w:lang w:eastAsia="sk-SK"/>
        </w:rPr>
        <w:t xml:space="preserve">rozpočtuje rast platov zamestnancov </w:t>
      </w:r>
      <w:r>
        <w:rPr>
          <w:rFonts w:ascii="Arial Narrow" w:hAnsi="Arial Narrow" w:cs="Arial Narrow"/>
          <w:color w:val="000000"/>
          <w:sz w:val="22"/>
          <w:szCs w:val="24"/>
          <w:lang w:eastAsia="sk-SK"/>
        </w:rPr>
        <w:t>vo výške 1 %. Súčasne sa zachováva úroveň roku 2009 pre tých ústavných činiteľov a predstavených v politickej funkcii, ktorých platy na rok 2009 boli určené osobitným ustanovením zákona č. 120/1993 Z. z.. Pre tých ústavných činiteľov a zamestnancov, u ktorých plat pre rok 2009 nebol pozastavený, návrh rozpočtu verejnej správy na roky 2010 až 2012 zohľadňuje rast zodpovedajúci prognózovanému rastu priemernej mzdy zamestnanca v hospodárstve SR určeného Ministerstvom financií SR (v roku 2010 rast platov na úrovni  2,6 % v roku 2011- 3,4 % a v roku 2012 – 6,5 %).</w:t>
      </w:r>
    </w:p>
    <w:p w:rsidR="00F97501" w:rsidRPr="0045463B" w:rsidP="00F97501">
      <w:pPr>
        <w:ind w:firstLine="708"/>
        <w:jc w:val="both"/>
        <w:rPr>
          <w:rFonts w:ascii="Arial Narrow" w:hAnsi="Arial Narrow" w:cs="Arial Narrow"/>
          <w:sz w:val="22"/>
          <w:szCs w:val="24"/>
        </w:rPr>
      </w:pPr>
      <w:bookmarkEnd w:id="46"/>
    </w:p>
    <w:p w:rsidR="00F97501" w:rsidP="00F97501">
      <w:pPr>
        <w:ind w:firstLine="708"/>
        <w:jc w:val="both"/>
        <w:rPr>
          <w:rFonts w:ascii="Arial Narrow" w:hAnsi="Arial Narrow" w:cs="Arial Narrow"/>
          <w:sz w:val="22"/>
          <w:szCs w:val="24"/>
        </w:rPr>
      </w:pPr>
      <w:r>
        <w:rPr>
          <w:rFonts w:ascii="Arial Narrow" w:hAnsi="Arial Narrow" w:cs="Arial Narrow"/>
          <w:sz w:val="22"/>
          <w:szCs w:val="24"/>
        </w:rPr>
        <w:t>Jedným z faktorov o</w:t>
      </w:r>
      <w:r w:rsidRPr="0045463B">
        <w:rPr>
          <w:rFonts w:ascii="Arial Narrow" w:hAnsi="Arial Narrow" w:cs="Arial Narrow"/>
          <w:sz w:val="22"/>
          <w:szCs w:val="24"/>
        </w:rPr>
        <w:t>vplyvňujúci</w:t>
      </w:r>
      <w:r>
        <w:rPr>
          <w:rFonts w:ascii="Arial Narrow" w:hAnsi="Arial Narrow" w:cs="Arial Narrow"/>
          <w:sz w:val="22"/>
          <w:szCs w:val="24"/>
        </w:rPr>
        <w:t xml:space="preserve">ch </w:t>
      </w:r>
      <w:r w:rsidRPr="0045463B">
        <w:rPr>
          <w:rFonts w:ascii="Arial Narrow" w:hAnsi="Arial Narrow" w:cs="Arial Narrow"/>
          <w:sz w:val="22"/>
          <w:szCs w:val="24"/>
        </w:rPr>
        <w:t>sumu osobných výdavkov</w:t>
      </w:r>
      <w:r>
        <w:rPr>
          <w:rFonts w:ascii="Arial Narrow" w:hAnsi="Arial Narrow" w:cs="Arial Narrow"/>
          <w:sz w:val="22"/>
          <w:szCs w:val="24"/>
        </w:rPr>
        <w:t xml:space="preserve"> v rokoch 2010 až 2012 </w:t>
      </w:r>
      <w:r w:rsidRPr="0045463B">
        <w:rPr>
          <w:rFonts w:ascii="Arial Narrow" w:hAnsi="Arial Narrow" w:cs="Arial Narrow"/>
          <w:sz w:val="22"/>
          <w:szCs w:val="24"/>
        </w:rPr>
        <w:t xml:space="preserve"> </w:t>
      </w:r>
      <w:r w:rsidRPr="00DE5023">
        <w:rPr>
          <w:rFonts w:ascii="Arial Narrow" w:hAnsi="Arial Narrow" w:cs="Arial Narrow"/>
          <w:b/>
          <w:sz w:val="22"/>
          <w:szCs w:val="24"/>
        </w:rPr>
        <w:t xml:space="preserve">bolo zníženie počtu zamestnancov oproti roku 2009 </w:t>
      </w:r>
      <w:r>
        <w:rPr>
          <w:rFonts w:ascii="Arial Narrow" w:hAnsi="Arial Narrow" w:cs="Arial Narrow"/>
          <w:b/>
          <w:sz w:val="22"/>
          <w:szCs w:val="24"/>
        </w:rPr>
        <w:t>o 2</w:t>
      </w:r>
      <w:r w:rsidR="008743FF">
        <w:rPr>
          <w:rFonts w:ascii="Arial Narrow" w:hAnsi="Arial Narrow" w:cs="Arial Narrow"/>
          <w:b/>
          <w:sz w:val="22"/>
          <w:szCs w:val="24"/>
        </w:rPr>
        <w:t> </w:t>
      </w:r>
      <w:r>
        <w:rPr>
          <w:rFonts w:ascii="Arial Narrow" w:hAnsi="Arial Narrow" w:cs="Arial Narrow"/>
          <w:b/>
          <w:sz w:val="22"/>
          <w:szCs w:val="24"/>
        </w:rPr>
        <w:t>33</w:t>
      </w:r>
      <w:r w:rsidR="008743FF">
        <w:rPr>
          <w:rFonts w:ascii="Arial Narrow" w:hAnsi="Arial Narrow" w:cs="Arial Narrow"/>
          <w:b/>
          <w:sz w:val="22"/>
          <w:szCs w:val="24"/>
        </w:rPr>
        <w:t xml:space="preserve">4 </w:t>
      </w:r>
      <w:r>
        <w:rPr>
          <w:rFonts w:ascii="Arial Narrow" w:hAnsi="Arial Narrow" w:cs="Arial Narrow"/>
          <w:b/>
          <w:sz w:val="22"/>
          <w:szCs w:val="24"/>
        </w:rPr>
        <w:t>osôb</w:t>
      </w:r>
      <w:r w:rsidRPr="0045463B">
        <w:rPr>
          <w:rFonts w:ascii="Arial Narrow" w:hAnsi="Arial Narrow" w:cs="Arial Narrow"/>
          <w:sz w:val="22"/>
          <w:szCs w:val="24"/>
        </w:rPr>
        <w:t xml:space="preserve">. Na znížení </w:t>
      </w:r>
      <w:r>
        <w:rPr>
          <w:rFonts w:ascii="Arial Narrow" w:hAnsi="Arial Narrow" w:cs="Arial Narrow"/>
          <w:sz w:val="22"/>
          <w:szCs w:val="24"/>
        </w:rPr>
        <w:t xml:space="preserve">počtu zamestnancov </w:t>
      </w:r>
      <w:r w:rsidRPr="0045463B">
        <w:rPr>
          <w:rFonts w:ascii="Arial Narrow" w:hAnsi="Arial Narrow" w:cs="Arial Narrow"/>
          <w:sz w:val="22"/>
          <w:szCs w:val="24"/>
        </w:rPr>
        <w:t xml:space="preserve"> </w:t>
      </w:r>
      <w:r>
        <w:rPr>
          <w:rFonts w:ascii="Arial Narrow" w:hAnsi="Arial Narrow" w:cs="Arial Narrow"/>
          <w:sz w:val="22"/>
          <w:szCs w:val="24"/>
        </w:rPr>
        <w:t xml:space="preserve">rozpočtových organizácií sa </w:t>
      </w:r>
      <w:r w:rsidRPr="0045463B">
        <w:rPr>
          <w:rFonts w:ascii="Arial Narrow" w:hAnsi="Arial Narrow" w:cs="Arial Narrow"/>
          <w:sz w:val="22"/>
          <w:szCs w:val="24"/>
        </w:rPr>
        <w:t>podieľalo zníženie</w:t>
      </w:r>
      <w:r>
        <w:rPr>
          <w:rFonts w:ascii="Arial Narrow" w:hAnsi="Arial Narrow" w:cs="Arial Narrow"/>
          <w:sz w:val="22"/>
          <w:szCs w:val="24"/>
        </w:rPr>
        <w:t xml:space="preserve"> o</w:t>
      </w:r>
      <w:r w:rsidRPr="00A664B2">
        <w:rPr>
          <w:rFonts w:ascii="Arial Narrow" w:hAnsi="Arial Narrow" w:cs="Arial Narrow"/>
          <w:sz w:val="22"/>
          <w:szCs w:val="24"/>
        </w:rPr>
        <w:t> 485</w:t>
      </w:r>
      <w:r>
        <w:rPr>
          <w:rFonts w:ascii="Arial Narrow" w:hAnsi="Arial Narrow" w:cs="Arial Narrow"/>
          <w:sz w:val="22"/>
          <w:szCs w:val="24"/>
        </w:rPr>
        <w:t xml:space="preserve"> osôb, ktoré súviselo </w:t>
      </w:r>
      <w:r w:rsidRPr="0045463B">
        <w:rPr>
          <w:rFonts w:ascii="Arial Narrow" w:hAnsi="Arial Narrow" w:cs="Arial Narrow"/>
          <w:sz w:val="22"/>
          <w:szCs w:val="24"/>
        </w:rPr>
        <w:t>s neplnením limitu počtu zamestnancov rozpočtových organizáci</w:t>
      </w:r>
      <w:r>
        <w:rPr>
          <w:rFonts w:ascii="Arial Narrow" w:hAnsi="Arial Narrow" w:cs="Arial Narrow"/>
          <w:sz w:val="22"/>
          <w:szCs w:val="24"/>
        </w:rPr>
        <w:t>í</w:t>
      </w:r>
      <w:r w:rsidRPr="0045463B">
        <w:rPr>
          <w:rFonts w:ascii="Arial Narrow" w:hAnsi="Arial Narrow" w:cs="Arial Narrow"/>
          <w:sz w:val="22"/>
          <w:szCs w:val="24"/>
        </w:rPr>
        <w:t xml:space="preserve"> </w:t>
      </w:r>
      <w:r>
        <w:rPr>
          <w:rFonts w:ascii="Arial Narrow" w:hAnsi="Arial Narrow" w:cs="Arial Narrow"/>
          <w:sz w:val="22"/>
          <w:szCs w:val="24"/>
        </w:rPr>
        <w:t xml:space="preserve">nad úroveň 3 % pri </w:t>
      </w:r>
      <w:r w:rsidRPr="0045463B">
        <w:rPr>
          <w:rFonts w:ascii="Arial Narrow" w:hAnsi="Arial Narrow" w:cs="Arial Narrow"/>
          <w:sz w:val="22"/>
          <w:szCs w:val="24"/>
        </w:rPr>
        <w:t>súčasnom zohľadnení plnenia administratívnych kapacít a osobitostí vybraných skupín zamestnancov</w:t>
      </w:r>
      <w:r>
        <w:rPr>
          <w:rFonts w:ascii="Arial Narrow" w:hAnsi="Arial Narrow" w:cs="Arial Narrow"/>
          <w:sz w:val="22"/>
          <w:szCs w:val="24"/>
        </w:rPr>
        <w:t>.</w:t>
      </w:r>
    </w:p>
    <w:p w:rsidR="00F97501" w:rsidRPr="0045463B" w:rsidP="00F97501">
      <w:pPr>
        <w:ind w:firstLine="708"/>
        <w:jc w:val="both"/>
        <w:rPr>
          <w:rFonts w:ascii="Arial Narrow" w:hAnsi="Arial Narrow" w:cs="Arial Narrow"/>
          <w:sz w:val="22"/>
          <w:szCs w:val="24"/>
        </w:rPr>
      </w:pPr>
    </w:p>
    <w:p w:rsidR="00F97501" w:rsidP="00F97501">
      <w:pPr>
        <w:ind w:firstLine="708"/>
        <w:jc w:val="both"/>
        <w:rPr>
          <w:rFonts w:ascii="Arial Narrow" w:hAnsi="Arial Narrow" w:cs="Arial Narrow"/>
          <w:sz w:val="22"/>
          <w:szCs w:val="24"/>
        </w:rPr>
      </w:pPr>
      <w:r>
        <w:rPr>
          <w:rFonts w:ascii="Arial Narrow" w:hAnsi="Arial Narrow" w:cs="Arial Narrow"/>
          <w:sz w:val="22"/>
          <w:szCs w:val="24"/>
        </w:rPr>
        <w:t>Výraznejším faktorom ovplyvňujúcim výšku osobných výdavkov</w:t>
      </w:r>
      <w:r w:rsidRPr="0045463B">
        <w:rPr>
          <w:rFonts w:ascii="Arial Narrow" w:hAnsi="Arial Narrow" w:cs="Arial Narrow"/>
          <w:sz w:val="22"/>
          <w:szCs w:val="24"/>
        </w:rPr>
        <w:t xml:space="preserve"> a po</w:t>
      </w:r>
      <w:r>
        <w:rPr>
          <w:rFonts w:ascii="Arial Narrow" w:hAnsi="Arial Narrow" w:cs="Arial Narrow"/>
          <w:sz w:val="22"/>
          <w:szCs w:val="24"/>
        </w:rPr>
        <w:t xml:space="preserve">čet zamestnancov v rokoch 2010 </w:t>
        <w:br/>
      </w:r>
      <w:r w:rsidRPr="0045463B">
        <w:rPr>
          <w:rFonts w:ascii="Arial Narrow" w:hAnsi="Arial Narrow" w:cs="Arial Narrow"/>
          <w:sz w:val="22"/>
          <w:szCs w:val="24"/>
        </w:rPr>
        <w:t xml:space="preserve">až 2012 </w:t>
      </w:r>
      <w:r>
        <w:rPr>
          <w:rFonts w:ascii="Arial Narrow" w:hAnsi="Arial Narrow" w:cs="Arial Narrow"/>
          <w:sz w:val="22"/>
          <w:szCs w:val="24"/>
        </w:rPr>
        <w:t>boli z</w:t>
      </w:r>
      <w:r w:rsidRPr="0045463B">
        <w:rPr>
          <w:rFonts w:ascii="Arial Narrow" w:hAnsi="Arial Narrow" w:cs="Arial Narrow"/>
          <w:sz w:val="22"/>
          <w:szCs w:val="24"/>
        </w:rPr>
        <w:t xml:space="preserve">meny súvisiace </w:t>
      </w:r>
      <w:r>
        <w:rPr>
          <w:rFonts w:ascii="Arial Narrow" w:hAnsi="Arial Narrow" w:cs="Arial Narrow"/>
          <w:sz w:val="22"/>
          <w:szCs w:val="24"/>
        </w:rPr>
        <w:t xml:space="preserve">so </w:t>
      </w:r>
      <w:r w:rsidRPr="0045463B">
        <w:rPr>
          <w:rFonts w:ascii="Arial Narrow" w:hAnsi="Arial Narrow" w:cs="Arial Narrow"/>
          <w:sz w:val="22"/>
          <w:szCs w:val="24"/>
        </w:rPr>
        <w:t xml:space="preserve">znížením počtu zamestnancov </w:t>
      </w:r>
      <w:r>
        <w:rPr>
          <w:rFonts w:ascii="Arial Narrow" w:hAnsi="Arial Narrow" w:cs="Arial Narrow"/>
          <w:sz w:val="22"/>
          <w:szCs w:val="24"/>
        </w:rPr>
        <w:t xml:space="preserve">v kapitole </w:t>
      </w:r>
      <w:r w:rsidRPr="0045463B">
        <w:rPr>
          <w:rFonts w:ascii="Arial Narrow" w:hAnsi="Arial Narrow" w:cs="Arial Narrow"/>
          <w:sz w:val="22"/>
          <w:szCs w:val="24"/>
        </w:rPr>
        <w:t>M</w:t>
      </w:r>
      <w:r>
        <w:rPr>
          <w:rFonts w:ascii="Arial Narrow" w:hAnsi="Arial Narrow" w:cs="Arial Narrow"/>
          <w:sz w:val="22"/>
          <w:szCs w:val="24"/>
        </w:rPr>
        <w:t xml:space="preserve">inisterstva obrany </w:t>
      </w:r>
      <w:r w:rsidRPr="0045463B">
        <w:rPr>
          <w:rFonts w:ascii="Arial Narrow" w:hAnsi="Arial Narrow" w:cs="Arial Narrow"/>
          <w:sz w:val="22"/>
          <w:szCs w:val="24"/>
        </w:rPr>
        <w:t>SR v počte 2 </w:t>
      </w:r>
      <w:r>
        <w:rPr>
          <w:rFonts w:ascii="Arial Narrow" w:hAnsi="Arial Narrow" w:cs="Arial Narrow"/>
          <w:sz w:val="22"/>
          <w:szCs w:val="24"/>
        </w:rPr>
        <w:t>595</w:t>
      </w:r>
      <w:r w:rsidRPr="0045463B">
        <w:rPr>
          <w:rFonts w:ascii="Arial Narrow" w:hAnsi="Arial Narrow" w:cs="Arial Narrow"/>
          <w:sz w:val="22"/>
          <w:szCs w:val="24"/>
        </w:rPr>
        <w:t xml:space="preserve"> osôb</w:t>
      </w:r>
      <w:r>
        <w:rPr>
          <w:rFonts w:ascii="Arial Narrow" w:hAnsi="Arial Narrow" w:cs="Arial Narrow"/>
          <w:sz w:val="22"/>
          <w:szCs w:val="24"/>
        </w:rPr>
        <w:t xml:space="preserve"> z dôvodu reorganizácie ozbrojených síl.</w:t>
      </w:r>
    </w:p>
    <w:p w:rsidR="00F97501" w:rsidP="00F97501">
      <w:pPr>
        <w:ind w:firstLine="708"/>
        <w:jc w:val="both"/>
        <w:rPr>
          <w:rFonts w:ascii="Arial Narrow" w:hAnsi="Arial Narrow" w:cs="Arial Narrow"/>
          <w:sz w:val="22"/>
          <w:szCs w:val="24"/>
        </w:rPr>
      </w:pPr>
    </w:p>
    <w:p w:rsidR="00F97501" w:rsidRPr="0045463B" w:rsidP="00F97501">
      <w:pPr>
        <w:ind w:firstLine="708"/>
        <w:jc w:val="both"/>
        <w:rPr>
          <w:rFonts w:ascii="Arial Narrow" w:hAnsi="Arial Narrow" w:cs="Arial Narrow"/>
          <w:sz w:val="22"/>
          <w:szCs w:val="24"/>
        </w:rPr>
      </w:pPr>
      <w:r>
        <w:rPr>
          <w:rFonts w:ascii="Arial Narrow" w:hAnsi="Arial Narrow" w:cs="Arial Narrow"/>
          <w:sz w:val="22"/>
          <w:szCs w:val="24"/>
        </w:rPr>
        <w:t xml:space="preserve">V oblasti zamestnanosti sa </w:t>
      </w:r>
      <w:r w:rsidRPr="0045463B">
        <w:rPr>
          <w:rFonts w:ascii="Arial Narrow" w:hAnsi="Arial Narrow" w:cs="Arial Narrow"/>
          <w:sz w:val="22"/>
          <w:szCs w:val="24"/>
        </w:rPr>
        <w:t>z dôvodu transformácie Nemocnice s poliklinikou na akciovú spoločnosť a zmeny formy hospodá</w:t>
      </w:r>
      <w:r>
        <w:rPr>
          <w:rFonts w:ascii="Arial Narrow" w:hAnsi="Arial Narrow" w:cs="Arial Narrow"/>
          <w:sz w:val="22"/>
          <w:szCs w:val="24"/>
        </w:rPr>
        <w:t xml:space="preserve">renia Automobilových opravovní </w:t>
      </w:r>
      <w:r w:rsidRPr="0045463B">
        <w:rPr>
          <w:rFonts w:ascii="Arial Narrow" w:hAnsi="Arial Narrow" w:cs="Arial Narrow"/>
          <w:sz w:val="22"/>
          <w:szCs w:val="24"/>
        </w:rPr>
        <w:t>znížil počet zamestnancov Ministerstva vnútra SR o 302 osôb</w:t>
      </w:r>
      <w:r>
        <w:rPr>
          <w:rFonts w:ascii="Arial Narrow" w:hAnsi="Arial Narrow" w:cs="Arial Narrow"/>
          <w:sz w:val="22"/>
          <w:szCs w:val="24"/>
        </w:rPr>
        <w:t>.</w:t>
      </w:r>
      <w:r w:rsidRPr="0045463B">
        <w:rPr>
          <w:rFonts w:ascii="Arial Narrow" w:hAnsi="Arial Narrow" w:cs="Arial Narrow"/>
          <w:sz w:val="22"/>
          <w:szCs w:val="24"/>
        </w:rPr>
        <w:t xml:space="preserve"> Na zvýšení osobných výdavkov sa podieľalo </w:t>
      </w:r>
      <w:r>
        <w:rPr>
          <w:rFonts w:ascii="Arial Narrow" w:hAnsi="Arial Narrow" w:cs="Arial Narrow"/>
          <w:sz w:val="22"/>
          <w:szCs w:val="24"/>
        </w:rPr>
        <w:t xml:space="preserve">rozhodnutie vlády SR (UV č. 458/2009) týkajúce sa </w:t>
      </w:r>
      <w:r w:rsidRPr="0045463B">
        <w:rPr>
          <w:rFonts w:ascii="Arial Narrow" w:hAnsi="Arial Narrow" w:cs="Arial Narrow"/>
          <w:sz w:val="22"/>
          <w:szCs w:val="24"/>
        </w:rPr>
        <w:t>zvýšeni</w:t>
      </w:r>
      <w:r>
        <w:rPr>
          <w:rFonts w:ascii="Arial Narrow" w:hAnsi="Arial Narrow" w:cs="Arial Narrow"/>
          <w:sz w:val="22"/>
          <w:szCs w:val="24"/>
        </w:rPr>
        <w:t xml:space="preserve">a limitu </w:t>
      </w:r>
      <w:r w:rsidRPr="0045463B">
        <w:rPr>
          <w:rFonts w:ascii="Arial Narrow" w:hAnsi="Arial Narrow" w:cs="Arial Narrow"/>
          <w:sz w:val="22"/>
          <w:szCs w:val="24"/>
        </w:rPr>
        <w:t>počtu zamestnancov</w:t>
      </w:r>
      <w:r>
        <w:rPr>
          <w:rFonts w:ascii="Arial Narrow" w:hAnsi="Arial Narrow" w:cs="Arial Narrow"/>
          <w:sz w:val="22"/>
          <w:szCs w:val="24"/>
        </w:rPr>
        <w:t xml:space="preserve"> pre rok 2010 </w:t>
      </w:r>
      <w:r w:rsidRPr="0045463B">
        <w:rPr>
          <w:rFonts w:ascii="Arial Narrow" w:hAnsi="Arial Narrow" w:cs="Arial Narrow"/>
          <w:sz w:val="22"/>
          <w:szCs w:val="24"/>
        </w:rPr>
        <w:t>o 350 osôb v kapitole Ministerstva prá</w:t>
      </w:r>
      <w:r>
        <w:rPr>
          <w:rFonts w:ascii="Arial Narrow" w:hAnsi="Arial Narrow" w:cs="Arial Narrow"/>
          <w:sz w:val="22"/>
          <w:szCs w:val="24"/>
        </w:rPr>
        <w:t>ce, sociálnych vecí a rodiny SR</w:t>
      </w:r>
      <w:r w:rsidRPr="0045463B">
        <w:rPr>
          <w:rFonts w:ascii="Arial Narrow" w:hAnsi="Arial Narrow" w:cs="Arial Narrow"/>
          <w:sz w:val="22"/>
          <w:szCs w:val="24"/>
        </w:rPr>
        <w:t>, zvýšenie počtu zamestnancov v kapitole Ministerstva výstavby a regionálneho rozvoja SR o</w:t>
      </w:r>
      <w:r>
        <w:rPr>
          <w:rFonts w:ascii="Arial Narrow" w:hAnsi="Arial Narrow" w:cs="Arial Narrow"/>
          <w:sz w:val="22"/>
          <w:szCs w:val="24"/>
        </w:rPr>
        <w:t xml:space="preserve"> 74 osôb, v tom o </w:t>
      </w:r>
      <w:r w:rsidRPr="0045463B">
        <w:rPr>
          <w:rFonts w:ascii="Arial Narrow" w:hAnsi="Arial Narrow" w:cs="Arial Narrow"/>
          <w:sz w:val="22"/>
          <w:szCs w:val="24"/>
        </w:rPr>
        <w:t>41 osôb</w:t>
      </w:r>
      <w:r>
        <w:rPr>
          <w:rFonts w:ascii="Arial Narrow" w:hAnsi="Arial Narrow" w:cs="Arial Narrow"/>
          <w:sz w:val="22"/>
          <w:szCs w:val="24"/>
        </w:rPr>
        <w:t xml:space="preserve"> v súvislosti s prijatím mimoriadnych</w:t>
      </w:r>
      <w:r w:rsidRPr="0045463B">
        <w:rPr>
          <w:rFonts w:ascii="Arial Narrow" w:hAnsi="Arial Narrow" w:cs="Arial Narrow"/>
          <w:sz w:val="22"/>
          <w:szCs w:val="24"/>
        </w:rPr>
        <w:t xml:space="preserve"> opatren</w:t>
      </w:r>
      <w:r>
        <w:rPr>
          <w:rFonts w:ascii="Arial Narrow" w:hAnsi="Arial Narrow" w:cs="Arial Narrow"/>
          <w:sz w:val="22"/>
          <w:szCs w:val="24"/>
        </w:rPr>
        <w:t>í</w:t>
      </w:r>
      <w:r w:rsidRPr="0045463B">
        <w:rPr>
          <w:rFonts w:ascii="Arial Narrow" w:hAnsi="Arial Narrow" w:cs="Arial Narrow"/>
          <w:sz w:val="22"/>
          <w:szCs w:val="24"/>
        </w:rPr>
        <w:t xml:space="preserve"> pri výstavbe diaľnic a ciest </w:t>
      </w:r>
      <w:r>
        <w:rPr>
          <w:rFonts w:ascii="Arial Narrow" w:hAnsi="Arial Narrow" w:cs="Arial Narrow"/>
          <w:sz w:val="22"/>
          <w:szCs w:val="24"/>
        </w:rPr>
        <w:t>(U</w:t>
      </w:r>
      <w:r w:rsidRPr="0045463B">
        <w:rPr>
          <w:rFonts w:ascii="Arial Narrow" w:hAnsi="Arial Narrow" w:cs="Arial Narrow"/>
          <w:sz w:val="22"/>
          <w:szCs w:val="24"/>
        </w:rPr>
        <w:t>V SR č.</w:t>
      </w:r>
      <w:r>
        <w:rPr>
          <w:rFonts w:ascii="Arial Narrow" w:hAnsi="Arial Narrow" w:cs="Arial Narrow"/>
          <w:sz w:val="22"/>
          <w:szCs w:val="24"/>
        </w:rPr>
        <w:t xml:space="preserve"> </w:t>
      </w:r>
      <w:r w:rsidRPr="0045463B">
        <w:rPr>
          <w:rFonts w:ascii="Arial Narrow" w:hAnsi="Arial Narrow" w:cs="Arial Narrow"/>
          <w:sz w:val="22"/>
          <w:szCs w:val="24"/>
        </w:rPr>
        <w:t xml:space="preserve">460 zo 17. 6. 2009) </w:t>
      </w:r>
      <w:r>
        <w:rPr>
          <w:rFonts w:ascii="Arial Narrow" w:hAnsi="Arial Narrow" w:cs="Arial Narrow"/>
          <w:sz w:val="22"/>
          <w:szCs w:val="24"/>
        </w:rPr>
        <w:br/>
      </w:r>
      <w:r w:rsidRPr="0045463B">
        <w:rPr>
          <w:rFonts w:ascii="Arial Narrow" w:hAnsi="Arial Narrow" w:cs="Arial Narrow"/>
          <w:sz w:val="22"/>
          <w:szCs w:val="24"/>
        </w:rPr>
        <w:t>a  o 33 osôb z dôvodu rastúcich nárokov na administratívne kapacity súvisiace s rozvojom implementácie operačných programov.</w:t>
      </w:r>
      <w:r>
        <w:rPr>
          <w:rFonts w:ascii="Arial Narrow" w:hAnsi="Arial Narrow" w:cs="Arial Narrow"/>
          <w:sz w:val="22"/>
          <w:szCs w:val="24"/>
        </w:rPr>
        <w:t xml:space="preserve"> Súčasne sa pre kapitolu Ministerstva vnútra SR rozhodnutím vlády SR (UV SR </w:t>
        <w:br/>
        <w:t>č. 534/2009) zvýšil počet policajtov o 300 osôb a hasičov o 200 osôb.</w:t>
      </w:r>
    </w:p>
    <w:p w:rsidR="00F97501" w:rsidRPr="0045463B" w:rsidP="00F97501">
      <w:pPr>
        <w:jc w:val="both"/>
        <w:rPr>
          <w:rFonts w:ascii="Arial Narrow" w:hAnsi="Arial Narrow" w:cs="Arial Narrow"/>
          <w:sz w:val="22"/>
          <w:szCs w:val="24"/>
        </w:rPr>
      </w:pPr>
    </w:p>
    <w:p w:rsidR="00F97501" w:rsidRPr="0045463B" w:rsidP="00F97501">
      <w:pPr>
        <w:ind w:firstLine="708"/>
        <w:jc w:val="both"/>
        <w:rPr>
          <w:rFonts w:ascii="Arial Narrow" w:hAnsi="Arial Narrow" w:cs="Arial Narrow"/>
          <w:sz w:val="22"/>
          <w:szCs w:val="24"/>
        </w:rPr>
      </w:pPr>
      <w:r w:rsidRPr="0045463B">
        <w:rPr>
          <w:rFonts w:ascii="Arial Narrow" w:hAnsi="Arial Narrow" w:cs="Arial Narrow"/>
          <w:sz w:val="22"/>
          <w:szCs w:val="24"/>
        </w:rPr>
        <w:t xml:space="preserve"> V kapitolách štátneho rozpočtu sa pre rok 2010 pre zamestnancov rozpočtových organizácií navrhujú osobné výdavky v sume </w:t>
      </w:r>
      <w:r>
        <w:rPr>
          <w:rFonts w:ascii="Arial Narrow" w:hAnsi="Arial Narrow" w:cs="Arial Narrow"/>
          <w:sz w:val="22"/>
          <w:szCs w:val="24"/>
        </w:rPr>
        <w:t>2 068 151</w:t>
      </w:r>
      <w:r w:rsidRPr="0045463B">
        <w:rPr>
          <w:rFonts w:ascii="Arial Narrow" w:hAnsi="Arial Narrow" w:cs="Arial Narrow"/>
          <w:sz w:val="22"/>
          <w:szCs w:val="24"/>
        </w:rPr>
        <w:t xml:space="preserve"> tis. </w:t>
      </w:r>
      <w:r>
        <w:rPr>
          <w:rFonts w:ascii="Arial Narrow" w:hAnsi="Arial Narrow" w:cs="Arial Narrow"/>
          <w:sz w:val="22"/>
          <w:szCs w:val="24"/>
        </w:rPr>
        <w:t>eur</w:t>
      </w:r>
      <w:r w:rsidRPr="0045463B">
        <w:rPr>
          <w:rFonts w:ascii="Arial Narrow" w:hAnsi="Arial Narrow" w:cs="Arial Narrow"/>
          <w:sz w:val="22"/>
          <w:szCs w:val="24"/>
        </w:rPr>
        <w:t>, v tom mzdové výdavky v sume 1</w:t>
      </w:r>
      <w:r>
        <w:rPr>
          <w:rFonts w:ascii="Arial Narrow" w:hAnsi="Arial Narrow" w:cs="Arial Narrow"/>
          <w:sz w:val="22"/>
          <w:szCs w:val="24"/>
        </w:rPr>
        <w:t> 555 176</w:t>
      </w:r>
      <w:r w:rsidRPr="0045463B">
        <w:rPr>
          <w:rFonts w:ascii="Arial Narrow" w:hAnsi="Arial Narrow" w:cs="Arial Narrow"/>
          <w:sz w:val="22"/>
          <w:szCs w:val="24"/>
        </w:rPr>
        <w:t xml:space="preserve"> tis. </w:t>
      </w:r>
      <w:r>
        <w:rPr>
          <w:rFonts w:ascii="Arial Narrow" w:hAnsi="Arial Narrow" w:cs="Arial Narrow"/>
          <w:sz w:val="22"/>
          <w:szCs w:val="24"/>
        </w:rPr>
        <w:t>eur</w:t>
      </w:r>
      <w:r w:rsidRPr="0045463B">
        <w:rPr>
          <w:rFonts w:ascii="Arial Narrow" w:hAnsi="Arial Narrow" w:cs="Arial Narrow"/>
          <w:sz w:val="22"/>
          <w:szCs w:val="24"/>
        </w:rPr>
        <w:t xml:space="preserve">, pre rok 2011 v sume </w:t>
      </w:r>
      <w:r>
        <w:rPr>
          <w:rFonts w:ascii="Arial Narrow" w:hAnsi="Arial Narrow" w:cs="Arial Narrow"/>
          <w:sz w:val="22"/>
          <w:szCs w:val="24"/>
        </w:rPr>
        <w:t>2 052 147</w:t>
      </w:r>
      <w:r w:rsidRPr="0045463B">
        <w:rPr>
          <w:rFonts w:ascii="Arial Narrow" w:hAnsi="Arial Narrow" w:cs="Arial Narrow"/>
          <w:sz w:val="22"/>
          <w:szCs w:val="24"/>
        </w:rPr>
        <w:t xml:space="preserve"> tis. </w:t>
      </w:r>
      <w:r>
        <w:rPr>
          <w:rFonts w:ascii="Arial Narrow" w:hAnsi="Arial Narrow" w:cs="Arial Narrow"/>
          <w:sz w:val="22"/>
          <w:szCs w:val="24"/>
        </w:rPr>
        <w:t>eur</w:t>
      </w:r>
      <w:r w:rsidRPr="0045463B">
        <w:rPr>
          <w:rFonts w:ascii="Arial Narrow" w:hAnsi="Arial Narrow" w:cs="Arial Narrow"/>
          <w:sz w:val="22"/>
          <w:szCs w:val="24"/>
        </w:rPr>
        <w:t xml:space="preserve">, v tom mzdové  výdavky v sume </w:t>
      </w:r>
      <w:r>
        <w:rPr>
          <w:rFonts w:ascii="Arial Narrow" w:hAnsi="Arial Narrow" w:cs="Arial Narrow"/>
          <w:sz w:val="22"/>
          <w:szCs w:val="24"/>
        </w:rPr>
        <w:t>1 544 132</w:t>
      </w:r>
      <w:r w:rsidRPr="0045463B">
        <w:rPr>
          <w:rFonts w:ascii="Arial Narrow" w:hAnsi="Arial Narrow" w:cs="Arial Narrow"/>
          <w:sz w:val="22"/>
          <w:szCs w:val="24"/>
        </w:rPr>
        <w:t xml:space="preserve"> tis.</w:t>
      </w:r>
      <w:r>
        <w:rPr>
          <w:rFonts w:ascii="Arial Narrow" w:hAnsi="Arial Narrow" w:cs="Arial Narrow"/>
          <w:sz w:val="22"/>
          <w:szCs w:val="24"/>
        </w:rPr>
        <w:t xml:space="preserve"> eur</w:t>
      </w:r>
      <w:r w:rsidRPr="0045463B">
        <w:rPr>
          <w:rFonts w:ascii="Arial Narrow" w:hAnsi="Arial Narrow" w:cs="Arial Narrow"/>
          <w:sz w:val="22"/>
          <w:szCs w:val="24"/>
        </w:rPr>
        <w:t xml:space="preserve"> a pre rok 2012 v sume </w:t>
      </w:r>
      <w:r>
        <w:rPr>
          <w:rFonts w:ascii="Arial Narrow" w:hAnsi="Arial Narrow" w:cs="Arial Narrow"/>
          <w:sz w:val="22"/>
          <w:szCs w:val="24"/>
        </w:rPr>
        <w:t>2 063 395</w:t>
      </w:r>
      <w:r w:rsidRPr="0045463B">
        <w:rPr>
          <w:rFonts w:ascii="Arial Narrow" w:hAnsi="Arial Narrow" w:cs="Arial Narrow"/>
          <w:sz w:val="22"/>
          <w:szCs w:val="24"/>
        </w:rPr>
        <w:t xml:space="preserve"> tis. </w:t>
      </w:r>
      <w:r>
        <w:rPr>
          <w:rFonts w:ascii="Arial Narrow" w:hAnsi="Arial Narrow" w:cs="Arial Narrow"/>
          <w:sz w:val="22"/>
          <w:szCs w:val="24"/>
        </w:rPr>
        <w:t>eur</w:t>
      </w:r>
      <w:r w:rsidRPr="0045463B">
        <w:rPr>
          <w:rFonts w:ascii="Arial Narrow" w:hAnsi="Arial Narrow" w:cs="Arial Narrow"/>
          <w:sz w:val="22"/>
          <w:szCs w:val="24"/>
        </w:rPr>
        <w:t xml:space="preserve">, v tom mzdové výdavky v sume </w:t>
      </w:r>
      <w:r>
        <w:rPr>
          <w:rFonts w:ascii="Arial Narrow" w:hAnsi="Arial Narrow" w:cs="Arial Narrow"/>
          <w:sz w:val="22"/>
          <w:szCs w:val="24"/>
        </w:rPr>
        <w:t>1 552 175 168</w:t>
      </w:r>
      <w:r w:rsidRPr="0045463B">
        <w:rPr>
          <w:rFonts w:ascii="Arial Narrow" w:hAnsi="Arial Narrow" w:cs="Arial Narrow"/>
          <w:sz w:val="22"/>
          <w:szCs w:val="24"/>
        </w:rPr>
        <w:t xml:space="preserve"> tis. </w:t>
      </w:r>
      <w:r>
        <w:rPr>
          <w:rFonts w:ascii="Arial Narrow" w:hAnsi="Arial Narrow" w:cs="Arial Narrow"/>
          <w:sz w:val="22"/>
          <w:szCs w:val="24"/>
        </w:rPr>
        <w:t>eur</w:t>
      </w:r>
      <w:r w:rsidRPr="0045463B">
        <w:rPr>
          <w:rFonts w:ascii="Arial Narrow" w:hAnsi="Arial Narrow" w:cs="Arial Narrow"/>
          <w:sz w:val="22"/>
          <w:szCs w:val="24"/>
        </w:rPr>
        <w:t>.</w:t>
      </w:r>
    </w:p>
    <w:p w:rsidR="00F97501" w:rsidP="00F97501">
      <w:pPr>
        <w:spacing w:before="240" w:after="240"/>
        <w:ind w:firstLine="709"/>
        <w:jc w:val="both"/>
        <w:rPr>
          <w:rFonts w:ascii="Arial Narrow" w:hAnsi="Arial Narrow" w:cs="Arial Narrow"/>
          <w:sz w:val="22"/>
          <w:szCs w:val="24"/>
        </w:rPr>
      </w:pPr>
      <w:r w:rsidRPr="0045463B">
        <w:rPr>
          <w:rFonts w:ascii="Arial Narrow" w:hAnsi="Arial Narrow" w:cs="Arial Narrow"/>
          <w:sz w:val="22"/>
          <w:szCs w:val="24"/>
        </w:rPr>
        <w:t>V rozpočte verejnej správy na roky 2010 až 2012 sa ako záväzný ukazovateľ pre rok 2010 určuje aj počet zamestnancov rozpočtových organizácií. Tabuľka poskytuje prehľad o počte zamestnancov rozpočtových organizácií kapitol štátneho rozpočtu a objeme výdavkov na  ich mzdy, platy, služobné príjmy a ostatné osobné vyrovnania v kategórii 610.</w:t>
      </w:r>
    </w:p>
    <w:p w:rsidR="00ED680D" w:rsidP="00F97501">
      <w:pPr>
        <w:spacing w:before="240" w:after="240"/>
        <w:ind w:firstLine="709"/>
        <w:jc w:val="both"/>
        <w:rPr>
          <w:rFonts w:ascii="Arial Narrow" w:hAnsi="Arial Narrow" w:cs="Arial Narrow"/>
          <w:sz w:val="22"/>
          <w:szCs w:val="24"/>
        </w:rPr>
      </w:pPr>
    </w:p>
    <w:tbl>
      <w:tblPr>
        <w:tblStyle w:val="TableNormal"/>
        <w:tblW w:w="5000" w:type="pct"/>
        <w:jc w:val="center"/>
        <w:tblInd w:w="0" w:type="dxa"/>
        <w:tblCellMar>
          <w:left w:w="70" w:type="dxa"/>
          <w:right w:w="70" w:type="dxa"/>
        </w:tblCellMar>
        <w:tblLook w:val="00A0"/>
      </w:tblPr>
      <w:tblGrid>
        <w:gridCol w:w="5099"/>
        <w:gridCol w:w="1371"/>
        <w:gridCol w:w="1371"/>
        <w:gridCol w:w="1371"/>
      </w:tblGrid>
      <w:tr>
        <w:tblPrEx>
          <w:tblW w:w="5000" w:type="pct"/>
          <w:jc w:val="center"/>
          <w:tblInd w:w="0" w:type="dxa"/>
          <w:tblCellMar>
            <w:left w:w="70" w:type="dxa"/>
            <w:right w:w="70" w:type="dxa"/>
          </w:tblCellMar>
          <w:tblLook w:val="00A0"/>
        </w:tblPrEx>
        <w:trPr>
          <w:trHeight w:val="330"/>
          <w:jc w:val="center"/>
        </w:trPr>
        <w:tc>
          <w:tcPr>
            <w:tcW w:w="2768"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U k a z o v a t e ľ</w:t>
            </w:r>
          </w:p>
        </w:tc>
        <w:tc>
          <w:tcPr>
            <w:tcW w:w="744"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2010</w:t>
            </w:r>
          </w:p>
        </w:tc>
        <w:tc>
          <w:tcPr>
            <w:tcW w:w="744"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2011</w:t>
            </w:r>
          </w:p>
        </w:tc>
        <w:tc>
          <w:tcPr>
            <w:tcW w:w="744"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167B4F" w:rsidP="00C84EFE">
            <w:pPr>
              <w:jc w:val="center"/>
              <w:rPr>
                <w:rFonts w:ascii="Arial Narrow" w:hAnsi="Arial Narrow" w:cs="Arial Narrow"/>
                <w:b/>
                <w:color w:val="FFFFFF"/>
                <w:sz w:val="18"/>
                <w:szCs w:val="24"/>
                <w:lang w:eastAsia="sk-SK"/>
              </w:rPr>
            </w:pPr>
            <w:r w:rsidRPr="00167B4F">
              <w:rPr>
                <w:rFonts w:ascii="Arial Narrow" w:hAnsi="Arial Narrow" w:cs="Arial Narrow"/>
                <w:b/>
                <w:color w:val="FFFFFF"/>
                <w:sz w:val="18"/>
                <w:szCs w:val="24"/>
                <w:lang w:eastAsia="sk-SK"/>
              </w:rPr>
              <w:t>2012</w:t>
            </w:r>
          </w:p>
        </w:tc>
      </w:tr>
      <w:tr>
        <w:tblPrEx>
          <w:tblW w:w="5000" w:type="pct"/>
          <w:jc w:val="center"/>
          <w:tblInd w:w="0" w:type="dxa"/>
          <w:tblCellMar>
            <w:left w:w="70" w:type="dxa"/>
            <w:right w:w="70" w:type="dxa"/>
          </w:tblCellMar>
          <w:tblLook w:val="00A0"/>
        </w:tblPrEx>
        <w:trPr>
          <w:trHeight w:val="555"/>
          <w:jc w:val="center"/>
        </w:trPr>
        <w:tc>
          <w:tcPr>
            <w:tcW w:w="2768" w:type="pct"/>
            <w:tcBorders>
              <w:top w:val="nil"/>
              <w:left w:val="single" w:sz="4" w:space="0" w:color="auto"/>
              <w:bottom w:val="single" w:sz="4" w:space="0" w:color="auto"/>
              <w:right w:val="single" w:sz="4" w:space="0" w:color="auto"/>
            </w:tcBorders>
            <w:shd w:val="clear" w:color="000000" w:fill="CCCCCC"/>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Kategória 610 – Mzdy, platy, služobné príjmy a OOV (tis. eur)</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w:t>
            </w:r>
            <w:r>
              <w:rPr>
                <w:rFonts w:ascii="Arial Narrow" w:hAnsi="Arial Narrow" w:cs="Arial Narrow"/>
                <w:b/>
                <w:sz w:val="18"/>
                <w:szCs w:val="24"/>
                <w:lang w:eastAsia="sk-SK"/>
              </w:rPr>
              <w:t> 555 176</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w:t>
            </w:r>
            <w:r>
              <w:rPr>
                <w:rFonts w:ascii="Arial Narrow" w:hAnsi="Arial Narrow" w:cs="Arial Narrow"/>
                <w:b/>
                <w:sz w:val="18"/>
                <w:szCs w:val="24"/>
                <w:lang w:eastAsia="sk-SK"/>
              </w:rPr>
              <w:t> 544 132</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sidRPr="00167B4F">
              <w:rPr>
                <w:rFonts w:ascii="Arial Narrow" w:hAnsi="Arial Narrow" w:cs="Arial Narrow"/>
                <w:b/>
                <w:sz w:val="18"/>
                <w:szCs w:val="24"/>
                <w:lang w:eastAsia="sk-SK"/>
              </w:rPr>
              <w:t>1</w:t>
            </w:r>
            <w:r>
              <w:rPr>
                <w:rFonts w:ascii="Arial Narrow" w:hAnsi="Arial Narrow" w:cs="Arial Narrow"/>
                <w:b/>
                <w:sz w:val="18"/>
                <w:szCs w:val="24"/>
                <w:lang w:eastAsia="sk-SK"/>
              </w:rPr>
              <w:t> 552 175</w:t>
            </w:r>
          </w:p>
        </w:tc>
      </w:tr>
      <w:tr>
        <w:tblPrEx>
          <w:tblW w:w="5000" w:type="pct"/>
          <w:jc w:val="center"/>
          <w:tblInd w:w="0" w:type="dxa"/>
          <w:tblCellMar>
            <w:left w:w="70" w:type="dxa"/>
            <w:right w:w="70" w:type="dxa"/>
          </w:tblCellMar>
          <w:tblLook w:val="00A0"/>
        </w:tblPrEx>
        <w:trPr>
          <w:trHeight w:val="330"/>
          <w:jc w:val="center"/>
        </w:trPr>
        <w:tc>
          <w:tcPr>
            <w:tcW w:w="2768" w:type="pct"/>
            <w:tcBorders>
              <w:top w:val="nil"/>
              <w:left w:val="single" w:sz="4" w:space="0" w:color="auto"/>
              <w:bottom w:val="single" w:sz="4" w:space="0" w:color="auto"/>
              <w:right w:val="single" w:sz="4" w:space="0" w:color="auto"/>
            </w:tcBorders>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 xml:space="preserve">Počet zamestnancov (osoby)       </w:t>
            </w:r>
          </w:p>
        </w:tc>
        <w:tc>
          <w:tcPr>
            <w:tcW w:w="744" w:type="pct"/>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132 365</w:t>
            </w:r>
          </w:p>
        </w:tc>
        <w:tc>
          <w:tcPr>
            <w:tcW w:w="744" w:type="pct"/>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131 932</w:t>
            </w:r>
          </w:p>
        </w:tc>
        <w:tc>
          <w:tcPr>
            <w:tcW w:w="744" w:type="pct"/>
            <w:tcBorders>
              <w:top w:val="nil"/>
              <w:left w:val="nil"/>
              <w:bottom w:val="single" w:sz="4" w:space="0" w:color="auto"/>
              <w:right w:val="single" w:sz="4" w:space="0" w:color="auto"/>
            </w:tcBorders>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131 723</w:t>
            </w:r>
          </w:p>
        </w:tc>
      </w:tr>
      <w:tr>
        <w:tblPrEx>
          <w:tblW w:w="5000" w:type="pct"/>
          <w:jc w:val="center"/>
          <w:tblInd w:w="0" w:type="dxa"/>
          <w:tblCellMar>
            <w:left w:w="70" w:type="dxa"/>
            <w:right w:w="70" w:type="dxa"/>
          </w:tblCellMar>
          <w:tblLook w:val="00A0"/>
        </w:tblPrEx>
        <w:trPr>
          <w:trHeight w:val="270"/>
          <w:jc w:val="center"/>
        </w:trPr>
        <w:tc>
          <w:tcPr>
            <w:tcW w:w="2768" w:type="pct"/>
            <w:tcBorders>
              <w:top w:val="nil"/>
              <w:left w:val="single" w:sz="4" w:space="0" w:color="auto"/>
              <w:bottom w:val="single" w:sz="4" w:space="0" w:color="auto"/>
              <w:right w:val="single" w:sz="4" w:space="0" w:color="auto"/>
            </w:tcBorders>
            <w:shd w:val="clear" w:color="000000" w:fill="CCCCCC"/>
            <w:textDirection w:val="lrTb"/>
            <w:vAlign w:val="bottom"/>
          </w:tcPr>
          <w:p w:rsidR="00F97501" w:rsidRPr="00167B4F" w:rsidP="00C84EFE">
            <w:pPr>
              <w:rPr>
                <w:rFonts w:ascii="Arial Narrow" w:hAnsi="Arial Narrow" w:cs="Arial Narrow"/>
                <w:sz w:val="18"/>
                <w:szCs w:val="24"/>
                <w:lang w:eastAsia="sk-SK"/>
              </w:rPr>
            </w:pPr>
            <w:r w:rsidRPr="00167B4F">
              <w:rPr>
                <w:rFonts w:ascii="Arial Narrow" w:hAnsi="Arial Narrow" w:cs="Arial Narrow"/>
                <w:sz w:val="18"/>
                <w:szCs w:val="24"/>
                <w:lang w:eastAsia="sk-SK"/>
              </w:rPr>
              <w:t>Priemerný mzdový výdavok (eur)</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979,10</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975,33</w:t>
            </w:r>
          </w:p>
        </w:tc>
        <w:tc>
          <w:tcPr>
            <w:tcW w:w="744" w:type="pct"/>
            <w:tcBorders>
              <w:top w:val="nil"/>
              <w:left w:val="nil"/>
              <w:bottom w:val="single" w:sz="4" w:space="0" w:color="auto"/>
              <w:right w:val="single" w:sz="4" w:space="0" w:color="auto"/>
            </w:tcBorders>
            <w:shd w:val="clear" w:color="000000" w:fill="CCCCCC"/>
            <w:textDirection w:val="lrTb"/>
            <w:vAlign w:val="bottom"/>
          </w:tcPr>
          <w:p w:rsidR="00F97501" w:rsidRPr="00167B4F"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981,97</w:t>
            </w:r>
          </w:p>
        </w:tc>
      </w:tr>
    </w:tbl>
    <w:p w:rsidR="00F97501" w:rsidP="00F97501">
      <w:pPr>
        <w:ind w:left="690"/>
        <w:jc w:val="both"/>
        <w:rPr>
          <w:rFonts w:ascii="Arial Narrow" w:hAnsi="Arial Narrow" w:cs="Arial Narrow"/>
          <w:sz w:val="22"/>
          <w:szCs w:val="24"/>
        </w:rPr>
      </w:pPr>
    </w:p>
    <w:p w:rsidR="00F97501" w:rsidRPr="0045463B" w:rsidP="00F97501">
      <w:pPr>
        <w:ind w:firstLine="708"/>
        <w:jc w:val="both"/>
        <w:rPr>
          <w:rFonts w:ascii="Arial Narrow" w:hAnsi="Arial Narrow" w:cs="Arial Narrow"/>
          <w:sz w:val="22"/>
          <w:szCs w:val="24"/>
        </w:rPr>
      </w:pPr>
      <w:r>
        <w:rPr>
          <w:rFonts w:ascii="Arial Narrow" w:hAnsi="Arial Narrow" w:cs="Arial Narrow"/>
          <w:sz w:val="22"/>
          <w:szCs w:val="24"/>
        </w:rPr>
        <w:t>Výšku priemerného mzdového výdavku v jednotlivých rokoch vo výraznej miere ovplyvňujú platy zamestnancov vykonávajúcich činnosti v cudzine, ako aj tých zamestnancov, ktorých platy sa odvíjajú od priemernej mzdy v hospodárstve SR. V nemalej miere sa na výške priemerného mzdového výdavku podieľajú vyššie platy administratívnych kapacít a platy pedagogických zamestnancov štátneho špeciálneho regionálneho školstva.</w:t>
      </w:r>
    </w:p>
    <w:p w:rsidR="00F97501" w:rsidP="00F97501">
      <w:pPr>
        <w:tabs>
          <w:tab w:val="left" w:pos="720"/>
        </w:tabs>
        <w:spacing w:before="360"/>
        <w:jc w:val="both"/>
        <w:rPr>
          <w:rFonts w:ascii="Arial Narrow" w:hAnsi="Arial Narrow" w:cs="Arial Narrow"/>
          <w:b/>
          <w:szCs w:val="24"/>
        </w:rPr>
      </w:pPr>
      <w:r w:rsidRPr="00B0152A">
        <w:rPr>
          <w:rFonts w:ascii="Arial Narrow" w:hAnsi="Arial Narrow" w:cs="Arial Narrow"/>
          <w:b/>
          <w:szCs w:val="24"/>
        </w:rPr>
        <w:t>A.1.4. Zamestnanosť v regionálnom školstve financovaná zo štátneho rozpočtu</w:t>
      </w:r>
    </w:p>
    <w:p w:rsidR="00F97501" w:rsidRPr="00392235" w:rsidP="00F97501">
      <w:pPr>
        <w:spacing w:before="120"/>
        <w:ind w:firstLine="708"/>
        <w:jc w:val="both"/>
        <w:rPr>
          <w:rFonts w:ascii="Arial Narrow" w:hAnsi="Arial Narrow" w:cs="Arial Narrow"/>
          <w:sz w:val="22"/>
          <w:szCs w:val="24"/>
        </w:rPr>
      </w:pPr>
      <w:r w:rsidRPr="00392235">
        <w:rPr>
          <w:rFonts w:ascii="Arial Narrow" w:hAnsi="Arial Narrow" w:cs="Arial Narrow"/>
          <w:sz w:val="22"/>
          <w:szCs w:val="24"/>
        </w:rPr>
        <w:t>Financovanie zamestnancov regionálneho školstva upravuje zákon  č. 597/2003 Z. z. o financovaní základných škôl, stredných škôl a školských zariadení v znení neskorších predpisov.</w:t>
      </w:r>
    </w:p>
    <w:p w:rsidR="00F97501" w:rsidRPr="00392235" w:rsidP="00F97501">
      <w:pPr>
        <w:spacing w:before="120"/>
        <w:ind w:firstLine="720"/>
        <w:jc w:val="both"/>
        <w:rPr>
          <w:rFonts w:ascii="Arial Narrow" w:hAnsi="Arial Narrow" w:cs="Arial Narrow"/>
          <w:sz w:val="22"/>
          <w:szCs w:val="24"/>
        </w:rPr>
      </w:pPr>
      <w:r w:rsidRPr="00392235">
        <w:rPr>
          <w:rFonts w:ascii="Arial Narrow" w:hAnsi="Arial Narrow" w:cs="Arial Narrow"/>
          <w:sz w:val="22"/>
          <w:szCs w:val="24"/>
        </w:rPr>
        <w:t>V návrhu rozpočtu verejnej správy na roky 2010 až 2012 sa rozpočtujú výdavky na 86 549 zamestnancov regionálneho školstva</w:t>
      </w:r>
      <w:r>
        <w:rPr>
          <w:rFonts w:ascii="Arial Narrow" w:hAnsi="Arial Narrow" w:cs="Arial Narrow"/>
          <w:sz w:val="22"/>
          <w:szCs w:val="24"/>
        </w:rPr>
        <w:t>.</w:t>
      </w:r>
      <w:r w:rsidRPr="00392235">
        <w:rPr>
          <w:rFonts w:ascii="Arial Narrow" w:hAnsi="Arial Narrow" w:cs="Arial Narrow"/>
          <w:sz w:val="22"/>
          <w:szCs w:val="24"/>
        </w:rPr>
        <w:t xml:space="preserve"> U pedagogických zamestnancov návrh rozpočtu </w:t>
      </w:r>
      <w:r>
        <w:rPr>
          <w:rFonts w:ascii="Arial Narrow" w:hAnsi="Arial Narrow" w:cs="Arial Narrow"/>
          <w:sz w:val="22"/>
          <w:szCs w:val="24"/>
        </w:rPr>
        <w:t xml:space="preserve">na základe rozpisu Ministerstva školstva SR </w:t>
      </w:r>
      <w:r w:rsidRPr="00392235">
        <w:rPr>
          <w:rFonts w:ascii="Arial Narrow" w:hAnsi="Arial Narrow" w:cs="Arial Narrow"/>
          <w:sz w:val="22"/>
          <w:szCs w:val="24"/>
        </w:rPr>
        <w:t>zohľadňuje priemernú mzdu zamestnanca v hospodárstve SR prognózovanú pre rok 2010 Inštitútom finančnej politiky MF SR z</w:t>
      </w:r>
      <w:r>
        <w:rPr>
          <w:rFonts w:ascii="Arial Narrow" w:hAnsi="Arial Narrow" w:cs="Arial Narrow"/>
          <w:sz w:val="22"/>
          <w:szCs w:val="24"/>
        </w:rPr>
        <w:t xml:space="preserve">o septembra </w:t>
      </w:r>
      <w:r w:rsidRPr="00392235">
        <w:rPr>
          <w:rFonts w:ascii="Arial Narrow" w:hAnsi="Arial Narrow" w:cs="Arial Narrow"/>
          <w:sz w:val="22"/>
          <w:szCs w:val="24"/>
        </w:rPr>
        <w:t>2009 v sume 76</w:t>
      </w:r>
      <w:r>
        <w:rPr>
          <w:rFonts w:ascii="Arial Narrow" w:hAnsi="Arial Narrow" w:cs="Arial Narrow"/>
          <w:sz w:val="22"/>
          <w:szCs w:val="24"/>
        </w:rPr>
        <w:t>7,00</w:t>
      </w:r>
      <w:r w:rsidRPr="00392235">
        <w:rPr>
          <w:rFonts w:ascii="Arial Narrow" w:hAnsi="Arial Narrow" w:cs="Arial Narrow"/>
          <w:sz w:val="22"/>
          <w:szCs w:val="24"/>
        </w:rPr>
        <w:t xml:space="preserve"> </w:t>
      </w:r>
      <w:r>
        <w:rPr>
          <w:rFonts w:ascii="Arial Narrow" w:hAnsi="Arial Narrow" w:cs="Arial Narrow"/>
          <w:sz w:val="22"/>
          <w:szCs w:val="24"/>
        </w:rPr>
        <w:t>eur</w:t>
      </w:r>
      <w:r w:rsidRPr="00392235">
        <w:rPr>
          <w:rFonts w:ascii="Arial Narrow" w:hAnsi="Arial Narrow" w:cs="Arial Narrow"/>
          <w:sz w:val="22"/>
          <w:szCs w:val="24"/>
        </w:rPr>
        <w:t xml:space="preserve"> upravenú na sumu 8</w:t>
      </w:r>
      <w:r>
        <w:rPr>
          <w:rFonts w:ascii="Arial Narrow" w:hAnsi="Arial Narrow" w:cs="Arial Narrow"/>
          <w:sz w:val="22"/>
          <w:szCs w:val="24"/>
        </w:rPr>
        <w:t xml:space="preserve">06,62 eur </w:t>
        <w:br/>
        <w:t xml:space="preserve">za účelom </w:t>
      </w:r>
      <w:r w:rsidRPr="001A79ED">
        <w:rPr>
          <w:rFonts w:ascii="Arial Narrow" w:hAnsi="Arial Narrow" w:cs="Arial Narrow"/>
          <w:sz w:val="22"/>
          <w:szCs w:val="24"/>
        </w:rPr>
        <w:t>finančného krytia</w:t>
      </w:r>
      <w:r w:rsidRPr="00392235">
        <w:rPr>
          <w:rFonts w:ascii="Arial Narrow" w:hAnsi="Arial Narrow" w:cs="Arial Narrow"/>
          <w:sz w:val="22"/>
          <w:szCs w:val="24"/>
        </w:rPr>
        <w:t xml:space="preserve"> zákona o pedagogických zamestnancoch. </w:t>
      </w:r>
      <w:r>
        <w:rPr>
          <w:rFonts w:ascii="Arial Narrow" w:hAnsi="Arial Narrow" w:cs="Arial Narrow"/>
          <w:sz w:val="22"/>
          <w:szCs w:val="24"/>
        </w:rPr>
        <w:t>Priemerný mzdový výdavok pedagogických zamestnancov regionálneho školstva medziročne rastie o 2,2 %. V porovnaní s prognózovanou priemernou mzdou zamestnanca hospodárstva SR na rok 2010 až 2012 je priemerný mzdový výdavok pedagogických zamestnancov regionálneho školstva v roku 2010 vyšší o 5,2 % a v rokoch 2011 a 2012 o 4,8 %.</w:t>
      </w:r>
    </w:p>
    <w:p w:rsidR="00F97501" w:rsidRPr="00392235" w:rsidP="00F97501">
      <w:pPr>
        <w:spacing w:before="120"/>
        <w:ind w:firstLine="709"/>
        <w:jc w:val="both"/>
        <w:rPr>
          <w:rFonts w:ascii="Arial Narrow" w:hAnsi="Arial Narrow" w:cs="Arial Narrow"/>
          <w:sz w:val="22"/>
          <w:szCs w:val="24"/>
        </w:rPr>
      </w:pPr>
      <w:r w:rsidRPr="00392235">
        <w:rPr>
          <w:rFonts w:ascii="Arial Narrow" w:hAnsi="Arial Narrow" w:cs="Arial Narrow"/>
          <w:sz w:val="22"/>
          <w:szCs w:val="24"/>
        </w:rPr>
        <w:t xml:space="preserve">V súlade so zákonom č. 597/2003 Z. z. o financovaní základných škôl, stredných škôl a školských zariadení v znení neskorších predpisov sa na základe rozpisu výdavkov Ministerstvom školstva SR rozpočtujú osobné výdavky pre pedagogických a nepedagogických zamestnancov  regionálneho školstva </w:t>
      </w:r>
      <w:r>
        <w:rPr>
          <w:rFonts w:ascii="Arial Narrow" w:hAnsi="Arial Narrow" w:cs="Arial Narrow"/>
          <w:sz w:val="22"/>
          <w:szCs w:val="24"/>
        </w:rPr>
        <w:t>nasledovne</w:t>
      </w:r>
      <w:r w:rsidRPr="00392235">
        <w:rPr>
          <w:rFonts w:ascii="Arial Narrow" w:hAnsi="Arial Narrow" w:cs="Arial Narrow"/>
          <w:sz w:val="22"/>
          <w:szCs w:val="24"/>
        </w:rPr>
        <w:t>:</w:t>
      </w:r>
    </w:p>
    <w:p w:rsidR="00F97501" w:rsidP="00F97501">
      <w:pPr>
        <w:spacing w:before="120"/>
        <w:ind w:firstLine="709"/>
        <w:jc w:val="both"/>
        <w:rPr>
          <w:szCs w:val="24"/>
        </w:rPr>
      </w:pPr>
    </w:p>
    <w:tbl>
      <w:tblPr>
        <w:tblStyle w:val="TableNormal"/>
        <w:tblW w:w="5000" w:type="pct"/>
        <w:jc w:val="center"/>
        <w:tblInd w:w="0" w:type="dxa"/>
        <w:tblCellMar>
          <w:left w:w="70" w:type="dxa"/>
          <w:right w:w="70" w:type="dxa"/>
        </w:tblCellMar>
        <w:tblLook w:val="00A0"/>
      </w:tblPr>
      <w:tblGrid>
        <w:gridCol w:w="3198"/>
        <w:gridCol w:w="861"/>
        <w:gridCol w:w="860"/>
        <w:gridCol w:w="860"/>
        <w:gridCol w:w="860"/>
        <w:gridCol w:w="860"/>
        <w:gridCol w:w="860"/>
        <w:gridCol w:w="853"/>
      </w:tblGrid>
      <w:tr>
        <w:tblPrEx>
          <w:tblW w:w="5000" w:type="pct"/>
          <w:jc w:val="center"/>
          <w:tblInd w:w="0" w:type="dxa"/>
          <w:tblCellMar>
            <w:left w:w="70" w:type="dxa"/>
            <w:right w:w="70" w:type="dxa"/>
          </w:tblCellMar>
          <w:tblLook w:val="00A0"/>
        </w:tblPrEx>
        <w:trPr>
          <w:trHeight w:val="540"/>
          <w:jc w:val="center"/>
        </w:trPr>
        <w:tc>
          <w:tcPr>
            <w:tcW w:w="1735" w:type="pct"/>
            <w:tcBorders>
              <w:top w:val="single" w:sz="4" w:space="0" w:color="auto"/>
              <w:left w:val="single" w:sz="4" w:space="0" w:color="auto"/>
              <w:bottom w:val="single" w:sz="4" w:space="0" w:color="auto"/>
              <w:right w:val="single" w:sz="4" w:space="0" w:color="auto"/>
            </w:tcBorders>
            <w:shd w:val="clear" w:color="000000" w:fill="000000"/>
            <w:textDirection w:val="lrTb"/>
            <w:vAlign w:val="bottom"/>
          </w:tcPr>
          <w:p w:rsidR="00F97501" w:rsidRPr="00E36682" w:rsidP="00C84EFE">
            <w:pPr>
              <w:rPr>
                <w:rFonts w:ascii="Arial Narrow" w:hAnsi="Arial Narrow" w:cs="Arial Narrow"/>
                <w:b/>
                <w:color w:val="FFFFFF"/>
                <w:sz w:val="18"/>
                <w:szCs w:val="24"/>
                <w:lang w:eastAsia="sk-SK"/>
              </w:rPr>
            </w:pPr>
            <w:r w:rsidRPr="00E36682">
              <w:rPr>
                <w:rFonts w:ascii="Arial Narrow" w:hAnsi="Arial Narrow" w:cs="Arial Narrow"/>
                <w:b/>
                <w:color w:val="FFFFFF"/>
                <w:sz w:val="18"/>
                <w:szCs w:val="24"/>
                <w:lang w:eastAsia="sk-SK"/>
              </w:rPr>
              <w:t> </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2009</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2010</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top"/>
          </w:tcPr>
          <w:p w:rsidR="00F97501" w:rsidRPr="00E36682" w:rsidP="00C84EFE">
            <w:pPr>
              <w:jc w:val="center"/>
              <w:rPr>
                <w:rFonts w:ascii="Arial Narrow" w:hAnsi="Arial Narrow" w:cs="Arial Narrow"/>
                <w:color w:val="FFFFFF"/>
                <w:sz w:val="18"/>
                <w:szCs w:val="24"/>
                <w:lang w:eastAsia="sk-SK"/>
              </w:rPr>
            </w:pPr>
            <w:r w:rsidRPr="00E36682">
              <w:rPr>
                <w:rFonts w:ascii="Arial Narrow" w:hAnsi="Arial Narrow" w:cs="Arial Narrow"/>
                <w:color w:val="FFFFFF"/>
                <w:sz w:val="18"/>
                <w:szCs w:val="24"/>
                <w:lang w:eastAsia="sk-SK"/>
              </w:rPr>
              <w:t>%               2010/2009</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2011</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top"/>
          </w:tcPr>
          <w:p w:rsidR="00F97501" w:rsidRPr="00E36682" w:rsidP="00C84EFE">
            <w:pPr>
              <w:jc w:val="center"/>
              <w:rPr>
                <w:rFonts w:ascii="Arial Narrow" w:hAnsi="Arial Narrow" w:cs="Arial Narrow"/>
                <w:color w:val="FFFFFF"/>
                <w:sz w:val="18"/>
                <w:szCs w:val="24"/>
                <w:lang w:eastAsia="sk-SK"/>
              </w:rPr>
            </w:pPr>
            <w:r w:rsidRPr="00E36682">
              <w:rPr>
                <w:rFonts w:ascii="Arial Narrow" w:hAnsi="Arial Narrow" w:cs="Arial Narrow"/>
                <w:color w:val="FFFFFF"/>
                <w:sz w:val="18"/>
                <w:szCs w:val="24"/>
                <w:lang w:eastAsia="sk-SK"/>
              </w:rPr>
              <w:t>%               2011/2010</w:t>
            </w:r>
          </w:p>
        </w:tc>
        <w:tc>
          <w:tcPr>
            <w:tcW w:w="467" w:type="pct"/>
            <w:tcBorders>
              <w:top w:val="single" w:sz="4" w:space="0" w:color="auto"/>
              <w:left w:val="nil"/>
              <w:bottom w:val="single" w:sz="4" w:space="0" w:color="auto"/>
              <w:right w:val="single" w:sz="4" w:space="0" w:color="auto"/>
            </w:tcBorders>
            <w:shd w:val="clear" w:color="000000" w:fill="000000"/>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2012</w:t>
            </w:r>
          </w:p>
        </w:tc>
        <w:tc>
          <w:tcPr>
            <w:tcW w:w="464" w:type="pct"/>
            <w:tcBorders>
              <w:top w:val="single" w:sz="4" w:space="0" w:color="auto"/>
              <w:left w:val="nil"/>
              <w:bottom w:val="single" w:sz="4" w:space="0" w:color="auto"/>
              <w:right w:val="single" w:sz="4" w:space="0" w:color="auto"/>
            </w:tcBorders>
            <w:shd w:val="clear" w:color="000000" w:fill="000000"/>
            <w:textDirection w:val="lrTb"/>
            <w:vAlign w:val="top"/>
          </w:tcPr>
          <w:p w:rsidR="00F97501" w:rsidRPr="00E36682" w:rsidP="00C84EFE">
            <w:pPr>
              <w:jc w:val="center"/>
              <w:rPr>
                <w:rFonts w:ascii="Arial Narrow" w:hAnsi="Arial Narrow" w:cs="Arial Narrow"/>
                <w:color w:val="FFFFFF"/>
                <w:sz w:val="18"/>
                <w:szCs w:val="24"/>
                <w:lang w:eastAsia="sk-SK"/>
              </w:rPr>
            </w:pPr>
            <w:r w:rsidRPr="00E36682">
              <w:rPr>
                <w:rFonts w:ascii="Arial Narrow" w:hAnsi="Arial Narrow" w:cs="Arial Narrow"/>
                <w:color w:val="FFFFFF"/>
                <w:sz w:val="18"/>
                <w:szCs w:val="24"/>
                <w:lang w:eastAsia="sk-SK"/>
              </w:rPr>
              <w:t>%               2012/2011</w:t>
            </w:r>
          </w:p>
        </w:tc>
      </w:tr>
      <w:tr>
        <w:tblPrEx>
          <w:tblW w:w="5000" w:type="pct"/>
          <w:jc w:val="center"/>
          <w:tblInd w:w="0" w:type="dxa"/>
          <w:tblCellMar>
            <w:left w:w="70" w:type="dxa"/>
            <w:right w:w="70" w:type="dxa"/>
          </w:tblCellMar>
          <w:tblLook w:val="00A0"/>
        </w:tblPrEx>
        <w:trPr>
          <w:trHeight w:val="270"/>
          <w:jc w:val="center"/>
        </w:trPr>
        <w:tc>
          <w:tcPr>
            <w:tcW w:w="1735" w:type="pct"/>
            <w:tcBorders>
              <w:top w:val="nil"/>
              <w:left w:val="single" w:sz="4" w:space="0" w:color="auto"/>
              <w:bottom w:val="single" w:sz="4" w:space="0" w:color="auto"/>
              <w:right w:val="single" w:sz="4" w:space="0" w:color="auto"/>
            </w:tcBorders>
            <w:shd w:val="clear" w:color="000000" w:fill="CCCCCC"/>
            <w:textDirection w:val="lrTb"/>
            <w:vAlign w:val="bottom"/>
          </w:tcPr>
          <w:p w:rsidR="00F97501" w:rsidRPr="00E36682" w:rsidP="00C84EFE">
            <w:pPr>
              <w:rPr>
                <w:rFonts w:ascii="Arial Narrow" w:hAnsi="Arial Narrow" w:cs="Arial Narrow"/>
                <w:b/>
                <w:sz w:val="18"/>
                <w:szCs w:val="24"/>
                <w:lang w:eastAsia="sk-SK"/>
              </w:rPr>
            </w:pPr>
            <w:r w:rsidRPr="00E36682">
              <w:rPr>
                <w:rFonts w:ascii="Arial Narrow" w:hAnsi="Arial Narrow" w:cs="Arial Narrow"/>
                <w:b/>
                <w:sz w:val="18"/>
                <w:szCs w:val="24"/>
                <w:lang w:eastAsia="sk-SK"/>
              </w:rPr>
              <w:t xml:space="preserve">Osobné výdavky  </w:t>
            </w:r>
            <w:r w:rsidRPr="00E36682">
              <w:rPr>
                <w:rFonts w:ascii="Arial Narrow" w:hAnsi="Arial Narrow" w:cs="Arial Narrow"/>
                <w:sz w:val="18"/>
                <w:szCs w:val="24"/>
                <w:lang w:eastAsia="sk-SK"/>
              </w:rPr>
              <w:t>(tis. eur)</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1 018 255</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1 009 571</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Pr>
                <w:rFonts w:ascii="Arial Narrow" w:hAnsi="Arial Narrow" w:cs="Arial Narrow"/>
                <w:sz w:val="18"/>
                <w:szCs w:val="24"/>
                <w:lang w:eastAsia="sk-SK"/>
              </w:rPr>
              <w:t>99,2</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1 050 229</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104,0</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1 093 214</w:t>
            </w:r>
          </w:p>
        </w:tc>
        <w:tc>
          <w:tcPr>
            <w:tcW w:w="464"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w:t>
            </w:r>
            <w:r>
              <w:rPr>
                <w:rFonts w:ascii="Arial Narrow" w:hAnsi="Arial Narrow" w:cs="Arial Narrow"/>
                <w:sz w:val="18"/>
                <w:szCs w:val="24"/>
                <w:lang w:eastAsia="sk-SK"/>
              </w:rPr>
              <w:t>1</w:t>
            </w:r>
          </w:p>
        </w:tc>
      </w:tr>
      <w:tr>
        <w:tblPrEx>
          <w:tblW w:w="5000" w:type="pct"/>
          <w:jc w:val="center"/>
          <w:tblInd w:w="0" w:type="dxa"/>
          <w:tblCellMar>
            <w:left w:w="70" w:type="dxa"/>
            <w:right w:w="70" w:type="dxa"/>
          </w:tblCellMar>
          <w:tblLook w:val="00A0"/>
        </w:tblPrEx>
        <w:trPr>
          <w:trHeight w:val="270"/>
          <w:jc w:val="center"/>
        </w:trPr>
        <w:tc>
          <w:tcPr>
            <w:tcW w:w="1735" w:type="pct"/>
            <w:tcBorders>
              <w:top w:val="nil"/>
              <w:left w:val="single" w:sz="4" w:space="0" w:color="auto"/>
              <w:bottom w:val="single" w:sz="4" w:space="0" w:color="auto"/>
              <w:right w:val="single" w:sz="4" w:space="0" w:color="auto"/>
            </w:tcBorders>
            <w:textDirection w:val="lrTb"/>
            <w:vAlign w:val="bottom"/>
          </w:tcPr>
          <w:p w:rsidR="00F97501" w:rsidRPr="00E36682" w:rsidP="00C84EFE">
            <w:pPr>
              <w:rPr>
                <w:rFonts w:ascii="Arial Narrow" w:hAnsi="Arial Narrow" w:cs="Arial Narrow"/>
                <w:i/>
                <w:sz w:val="18"/>
                <w:szCs w:val="24"/>
                <w:lang w:eastAsia="sk-SK"/>
              </w:rPr>
            </w:pPr>
            <w:r w:rsidRPr="00E36682">
              <w:rPr>
                <w:rFonts w:ascii="Arial Narrow" w:hAnsi="Arial Narrow" w:cs="Arial Narrow"/>
                <w:i/>
                <w:sz w:val="18"/>
                <w:szCs w:val="24"/>
                <w:lang w:eastAsia="sk-SK"/>
              </w:rPr>
              <w:t>z toho:</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 </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c>
          <w:tcPr>
            <w:tcW w:w="464"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 </w:t>
            </w:r>
          </w:p>
        </w:tc>
      </w:tr>
      <w:tr>
        <w:tblPrEx>
          <w:tblW w:w="5000" w:type="pct"/>
          <w:jc w:val="center"/>
          <w:tblInd w:w="0" w:type="dxa"/>
          <w:tblCellMar>
            <w:left w:w="70" w:type="dxa"/>
            <w:right w:w="70" w:type="dxa"/>
          </w:tblCellMar>
          <w:tblLook w:val="00A0"/>
        </w:tblPrEx>
        <w:trPr>
          <w:trHeight w:val="270"/>
          <w:jc w:val="center"/>
        </w:trPr>
        <w:tc>
          <w:tcPr>
            <w:tcW w:w="1735" w:type="pct"/>
            <w:tcBorders>
              <w:top w:val="nil"/>
              <w:left w:val="single" w:sz="4" w:space="0" w:color="auto"/>
              <w:bottom w:val="single" w:sz="4" w:space="0" w:color="auto"/>
              <w:right w:val="single" w:sz="4" w:space="0" w:color="auto"/>
            </w:tcBorders>
            <w:textDirection w:val="lrTb"/>
            <w:vAlign w:val="bottom"/>
          </w:tcPr>
          <w:p w:rsidR="00F97501" w:rsidRPr="00E36682" w:rsidP="00C84EFE">
            <w:pPr>
              <w:rPr>
                <w:rFonts w:ascii="Arial Narrow" w:hAnsi="Arial Narrow" w:cs="Arial Narrow"/>
                <w:b/>
                <w:sz w:val="18"/>
                <w:szCs w:val="24"/>
                <w:lang w:eastAsia="sk-SK"/>
              </w:rPr>
            </w:pPr>
            <w:r w:rsidRPr="00E36682">
              <w:rPr>
                <w:rFonts w:ascii="Arial Narrow" w:hAnsi="Arial Narrow" w:cs="Arial Narrow"/>
                <w:b/>
                <w:sz w:val="18"/>
                <w:szCs w:val="24"/>
                <w:lang w:eastAsia="sk-SK"/>
              </w:rPr>
              <w:t xml:space="preserve">mzdové výdavky </w:t>
            </w:r>
            <w:r w:rsidRPr="00E36682">
              <w:rPr>
                <w:rFonts w:ascii="Arial Narrow" w:hAnsi="Arial Narrow" w:cs="Arial Narrow"/>
                <w:sz w:val="18"/>
                <w:szCs w:val="24"/>
                <w:lang w:eastAsia="sk-SK"/>
              </w:rPr>
              <w:t>(tis. eur)</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753 147</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746 724</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99,</w:t>
            </w:r>
            <w:r>
              <w:rPr>
                <w:rFonts w:ascii="Arial Narrow" w:hAnsi="Arial Narrow" w:cs="Arial Narrow"/>
                <w:sz w:val="18"/>
                <w:szCs w:val="24"/>
                <w:lang w:eastAsia="sk-SK"/>
              </w:rPr>
              <w:t>2</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776 796</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104,0</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808 590</w:t>
            </w:r>
          </w:p>
        </w:tc>
        <w:tc>
          <w:tcPr>
            <w:tcW w:w="464"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w:t>
            </w:r>
            <w:r>
              <w:rPr>
                <w:rFonts w:ascii="Arial Narrow" w:hAnsi="Arial Narrow" w:cs="Arial Narrow"/>
                <w:sz w:val="18"/>
                <w:szCs w:val="24"/>
                <w:lang w:eastAsia="sk-SK"/>
              </w:rPr>
              <w:t>1</w:t>
            </w:r>
          </w:p>
        </w:tc>
      </w:tr>
      <w:tr>
        <w:tblPrEx>
          <w:tblW w:w="5000" w:type="pct"/>
          <w:jc w:val="center"/>
          <w:tblInd w:w="0" w:type="dxa"/>
          <w:tblCellMar>
            <w:left w:w="70" w:type="dxa"/>
            <w:right w:w="70" w:type="dxa"/>
          </w:tblCellMar>
          <w:tblLook w:val="00A0"/>
        </w:tblPrEx>
        <w:trPr>
          <w:trHeight w:val="270"/>
          <w:jc w:val="center"/>
        </w:trPr>
        <w:tc>
          <w:tcPr>
            <w:tcW w:w="1735" w:type="pct"/>
            <w:tcBorders>
              <w:top w:val="nil"/>
              <w:left w:val="single" w:sz="4" w:space="0" w:color="auto"/>
              <w:bottom w:val="single" w:sz="4" w:space="0" w:color="auto"/>
              <w:right w:val="single" w:sz="4" w:space="0" w:color="auto"/>
            </w:tcBorders>
            <w:shd w:val="clear" w:color="000000" w:fill="CCCCCC"/>
            <w:textDirection w:val="lrTb"/>
            <w:vAlign w:val="bottom"/>
          </w:tcPr>
          <w:p w:rsidR="00F97501" w:rsidRPr="00E36682" w:rsidP="00C84EFE">
            <w:pPr>
              <w:rPr>
                <w:rFonts w:ascii="Arial Narrow" w:hAnsi="Arial Narrow" w:cs="Arial Narrow"/>
                <w:b/>
                <w:sz w:val="16"/>
                <w:szCs w:val="24"/>
                <w:lang w:eastAsia="sk-SK"/>
              </w:rPr>
            </w:pPr>
            <w:r w:rsidRPr="00E36682">
              <w:rPr>
                <w:rFonts w:ascii="Arial Narrow" w:hAnsi="Arial Narrow" w:cs="Arial Narrow"/>
                <w:b/>
                <w:sz w:val="16"/>
                <w:szCs w:val="24"/>
                <w:lang w:eastAsia="sk-SK"/>
              </w:rPr>
              <w:t xml:space="preserve">Priemerný mzdový výdavok </w:t>
            </w:r>
            <w:r w:rsidRPr="00E36682">
              <w:rPr>
                <w:rFonts w:ascii="Arial Narrow" w:hAnsi="Arial Narrow" w:cs="Arial Narrow"/>
                <w:sz w:val="16"/>
                <w:szCs w:val="24"/>
                <w:lang w:eastAsia="sk-SK"/>
              </w:rPr>
              <w:t>(eur)</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705,80</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718,98</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Pr>
                <w:rFonts w:ascii="Arial Narrow" w:hAnsi="Arial Narrow" w:cs="Arial Narrow"/>
                <w:sz w:val="18"/>
                <w:szCs w:val="24"/>
                <w:lang w:eastAsia="sk-SK"/>
              </w:rPr>
              <w:t>101,9</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747,94</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104,0</w:t>
            </w:r>
          </w:p>
        </w:tc>
        <w:tc>
          <w:tcPr>
            <w:tcW w:w="467"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b/>
                <w:sz w:val="18"/>
                <w:szCs w:val="24"/>
                <w:lang w:eastAsia="sk-SK"/>
              </w:rPr>
            </w:pPr>
            <w:r>
              <w:rPr>
                <w:rFonts w:ascii="Arial Narrow" w:hAnsi="Arial Narrow" w:cs="Arial Narrow"/>
                <w:b/>
                <w:sz w:val="18"/>
                <w:szCs w:val="24"/>
                <w:lang w:eastAsia="sk-SK"/>
              </w:rPr>
              <w:t>778,55</w:t>
            </w:r>
          </w:p>
        </w:tc>
        <w:tc>
          <w:tcPr>
            <w:tcW w:w="464" w:type="pct"/>
            <w:tcBorders>
              <w:top w:val="nil"/>
              <w:left w:val="nil"/>
              <w:bottom w:val="single" w:sz="4" w:space="0" w:color="auto"/>
              <w:right w:val="single" w:sz="4" w:space="0" w:color="auto"/>
            </w:tcBorders>
            <w:shd w:val="clear" w:color="000000" w:fill="CCCCCC"/>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104,</w:t>
            </w:r>
            <w:r>
              <w:rPr>
                <w:rFonts w:ascii="Arial Narrow" w:hAnsi="Arial Narrow" w:cs="Arial Narrow"/>
                <w:sz w:val="18"/>
                <w:szCs w:val="24"/>
                <w:lang w:eastAsia="sk-SK"/>
              </w:rPr>
              <w:t>1</w:t>
            </w:r>
          </w:p>
        </w:tc>
      </w:tr>
      <w:tr>
        <w:tblPrEx>
          <w:tblW w:w="5000" w:type="pct"/>
          <w:jc w:val="center"/>
          <w:tblInd w:w="0" w:type="dxa"/>
          <w:tblCellMar>
            <w:left w:w="70" w:type="dxa"/>
            <w:right w:w="70" w:type="dxa"/>
          </w:tblCellMar>
          <w:tblLook w:val="00A0"/>
        </w:tblPrEx>
        <w:trPr>
          <w:trHeight w:val="270"/>
          <w:jc w:val="center"/>
        </w:trPr>
        <w:tc>
          <w:tcPr>
            <w:tcW w:w="1735" w:type="pct"/>
            <w:tcBorders>
              <w:top w:val="nil"/>
              <w:left w:val="single" w:sz="4" w:space="0" w:color="auto"/>
              <w:bottom w:val="single" w:sz="4" w:space="0" w:color="auto"/>
              <w:right w:val="single" w:sz="4" w:space="0" w:color="auto"/>
            </w:tcBorders>
            <w:textDirection w:val="lrTb"/>
            <w:vAlign w:val="bottom"/>
          </w:tcPr>
          <w:p w:rsidR="00F97501" w:rsidRPr="00E36682" w:rsidP="00C84EFE">
            <w:pPr>
              <w:rPr>
                <w:rFonts w:ascii="Arial Narrow" w:hAnsi="Arial Narrow" w:cs="Arial Narrow"/>
                <w:b/>
                <w:sz w:val="18"/>
                <w:szCs w:val="24"/>
                <w:lang w:eastAsia="sk-SK"/>
              </w:rPr>
            </w:pPr>
            <w:r w:rsidRPr="00E36682">
              <w:rPr>
                <w:rFonts w:ascii="Arial Narrow" w:hAnsi="Arial Narrow" w:cs="Arial Narrow"/>
                <w:b/>
                <w:sz w:val="18"/>
                <w:szCs w:val="24"/>
                <w:lang w:eastAsia="sk-SK"/>
              </w:rPr>
              <w:t>Zamestnanci</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88 923</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86 549</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97,3</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86 549</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100,0</w:t>
            </w:r>
          </w:p>
        </w:tc>
        <w:tc>
          <w:tcPr>
            <w:tcW w:w="467"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b/>
                <w:sz w:val="18"/>
                <w:szCs w:val="24"/>
                <w:lang w:eastAsia="sk-SK"/>
              </w:rPr>
            </w:pPr>
            <w:r w:rsidRPr="00E36682">
              <w:rPr>
                <w:rFonts w:ascii="Arial Narrow" w:hAnsi="Arial Narrow" w:cs="Arial Narrow"/>
                <w:b/>
                <w:sz w:val="18"/>
                <w:szCs w:val="24"/>
                <w:lang w:eastAsia="sk-SK"/>
              </w:rPr>
              <w:t>86 549</w:t>
            </w:r>
          </w:p>
        </w:tc>
        <w:tc>
          <w:tcPr>
            <w:tcW w:w="464" w:type="pct"/>
            <w:tcBorders>
              <w:top w:val="nil"/>
              <w:left w:val="nil"/>
              <w:bottom w:val="single" w:sz="4" w:space="0" w:color="auto"/>
              <w:right w:val="single" w:sz="4" w:space="0" w:color="auto"/>
            </w:tcBorders>
            <w:textDirection w:val="lrTb"/>
            <w:vAlign w:val="bottom"/>
          </w:tcPr>
          <w:p w:rsidR="00F97501" w:rsidRPr="00E36682" w:rsidP="00C84EFE">
            <w:pPr>
              <w:jc w:val="right"/>
              <w:rPr>
                <w:rFonts w:ascii="Arial Narrow" w:hAnsi="Arial Narrow" w:cs="Arial Narrow"/>
                <w:sz w:val="18"/>
                <w:szCs w:val="24"/>
                <w:lang w:eastAsia="sk-SK"/>
              </w:rPr>
            </w:pPr>
            <w:r w:rsidRPr="00E36682">
              <w:rPr>
                <w:rFonts w:ascii="Arial Narrow" w:hAnsi="Arial Narrow" w:cs="Arial Narrow"/>
                <w:sz w:val="18"/>
                <w:szCs w:val="24"/>
                <w:lang w:eastAsia="sk-SK"/>
              </w:rPr>
              <w:t>100,0</w:t>
            </w:r>
          </w:p>
        </w:tc>
      </w:tr>
    </w:tbl>
    <w:p w:rsidR="00F97501" w:rsidRPr="00B0152A" w:rsidP="00F97501">
      <w:pPr>
        <w:tabs>
          <w:tab w:val="left" w:pos="720"/>
        </w:tabs>
        <w:spacing w:before="360"/>
        <w:rPr>
          <w:rFonts w:ascii="Arial Narrow" w:hAnsi="Arial Narrow" w:cs="Arial Narrow"/>
          <w:b/>
          <w:szCs w:val="24"/>
        </w:rPr>
      </w:pPr>
      <w:r w:rsidRPr="00B0152A">
        <w:rPr>
          <w:rFonts w:ascii="Arial Narrow" w:hAnsi="Arial Narrow" w:cs="Arial Narrow"/>
          <w:b/>
          <w:szCs w:val="24"/>
        </w:rPr>
        <w:t>A.2. Poistné a príspevok zamestnávateľa do poisťovní</w:t>
      </w:r>
    </w:p>
    <w:p w:rsidR="00F97501" w:rsidP="00F97501">
      <w:pPr>
        <w:spacing w:before="240" w:after="240"/>
        <w:ind w:firstLine="720"/>
        <w:jc w:val="both"/>
        <w:rPr>
          <w:rFonts w:ascii="Arial Narrow" w:hAnsi="Arial Narrow" w:cs="Arial Narrow"/>
          <w:sz w:val="22"/>
          <w:szCs w:val="24"/>
        </w:rPr>
      </w:pPr>
      <w:r w:rsidRPr="00B0152A">
        <w:rPr>
          <w:rFonts w:ascii="Arial Narrow" w:hAnsi="Arial Narrow" w:cs="Arial Narrow"/>
          <w:sz w:val="22"/>
          <w:szCs w:val="24"/>
        </w:rPr>
        <w:t>P</w:t>
      </w:r>
      <w:r>
        <w:rPr>
          <w:rFonts w:ascii="Arial Narrow" w:hAnsi="Arial Narrow" w:cs="Arial Narrow"/>
          <w:sz w:val="22"/>
          <w:szCs w:val="24"/>
        </w:rPr>
        <w:t xml:space="preserve">oistné </w:t>
      </w:r>
      <w:r w:rsidRPr="00B0152A">
        <w:rPr>
          <w:rFonts w:ascii="Arial Narrow" w:hAnsi="Arial Narrow" w:cs="Arial Narrow"/>
          <w:sz w:val="22"/>
          <w:szCs w:val="24"/>
        </w:rPr>
        <w:t>a príspevok zamestnávateľa do poisťovní</w:t>
      </w:r>
      <w:r>
        <w:rPr>
          <w:rFonts w:ascii="Arial Narrow" w:hAnsi="Arial Narrow" w:cs="Arial Narrow"/>
          <w:sz w:val="22"/>
          <w:szCs w:val="24"/>
        </w:rPr>
        <w:t xml:space="preserve"> sa v roku 2010 rozpočtuje v sume 512 975 tis. eur, </w:t>
        <w:br/>
        <w:t>v roku 2011 v sume 508 015 eur a v roku 2012 v sume 511 220 tis. eur. Pri</w:t>
      </w:r>
      <w:r w:rsidRPr="00B0152A">
        <w:rPr>
          <w:rFonts w:ascii="Arial Narrow" w:hAnsi="Arial Narrow" w:cs="Arial Narrow"/>
          <w:sz w:val="22"/>
          <w:szCs w:val="24"/>
        </w:rPr>
        <w:t xml:space="preserve"> kvantifikácii výdavkov sa vychádzalo </w:t>
      </w:r>
      <w:r>
        <w:rPr>
          <w:rFonts w:ascii="Arial Narrow" w:hAnsi="Arial Narrow" w:cs="Arial Narrow"/>
          <w:sz w:val="22"/>
          <w:szCs w:val="24"/>
        </w:rPr>
        <w:br/>
      </w:r>
      <w:r w:rsidRPr="00B0152A">
        <w:rPr>
          <w:rFonts w:ascii="Arial Narrow" w:hAnsi="Arial Narrow" w:cs="Arial Narrow"/>
          <w:sz w:val="22"/>
          <w:szCs w:val="24"/>
        </w:rPr>
        <w:t>zo základnej úpravy vo výške 34,95 % z</w:t>
      </w:r>
      <w:r>
        <w:rPr>
          <w:rFonts w:ascii="Arial Narrow" w:hAnsi="Arial Narrow" w:cs="Arial Narrow"/>
          <w:sz w:val="22"/>
          <w:szCs w:val="24"/>
        </w:rPr>
        <w:t> objemu</w:t>
      </w:r>
      <w:r w:rsidRPr="00B0152A">
        <w:rPr>
          <w:rFonts w:ascii="Arial Narrow" w:hAnsi="Arial Narrow" w:cs="Arial Narrow"/>
          <w:sz w:val="22"/>
          <w:szCs w:val="24"/>
        </w:rPr>
        <w:t xml:space="preserve"> mzdových výdavkov, </w:t>
      </w:r>
      <w:r>
        <w:rPr>
          <w:rFonts w:ascii="Arial Narrow" w:hAnsi="Arial Narrow" w:cs="Arial Narrow"/>
          <w:sz w:val="22"/>
          <w:szCs w:val="24"/>
        </w:rPr>
        <w:t xml:space="preserve">pri </w:t>
      </w:r>
      <w:r w:rsidRPr="00B0152A">
        <w:rPr>
          <w:rFonts w:ascii="Arial Narrow" w:hAnsi="Arial Narrow" w:cs="Arial Narrow"/>
          <w:sz w:val="22"/>
          <w:szCs w:val="24"/>
        </w:rPr>
        <w:t xml:space="preserve"> zohľad</w:t>
      </w:r>
      <w:r>
        <w:rPr>
          <w:rFonts w:ascii="Arial Narrow" w:hAnsi="Arial Narrow" w:cs="Arial Narrow"/>
          <w:sz w:val="22"/>
          <w:szCs w:val="24"/>
        </w:rPr>
        <w:t xml:space="preserve">není </w:t>
      </w:r>
      <w:r w:rsidRPr="00B0152A">
        <w:rPr>
          <w:rFonts w:ascii="Arial Narrow" w:hAnsi="Arial Narrow" w:cs="Arial Narrow"/>
          <w:sz w:val="22"/>
          <w:szCs w:val="24"/>
        </w:rPr>
        <w:t>ďalš</w:t>
      </w:r>
      <w:r>
        <w:rPr>
          <w:rFonts w:ascii="Arial Narrow" w:hAnsi="Arial Narrow" w:cs="Arial Narrow"/>
          <w:sz w:val="22"/>
          <w:szCs w:val="24"/>
        </w:rPr>
        <w:t xml:space="preserve">ích </w:t>
      </w:r>
      <w:r w:rsidRPr="00B0152A">
        <w:rPr>
          <w:rFonts w:ascii="Arial Narrow" w:hAnsi="Arial Narrow" w:cs="Arial Narrow"/>
          <w:sz w:val="22"/>
          <w:szCs w:val="24"/>
        </w:rPr>
        <w:t>špecif</w:t>
      </w:r>
      <w:r>
        <w:rPr>
          <w:rFonts w:ascii="Arial Narrow" w:hAnsi="Arial Narrow" w:cs="Arial Narrow"/>
          <w:sz w:val="22"/>
          <w:szCs w:val="24"/>
        </w:rPr>
        <w:t>ík</w:t>
      </w:r>
      <w:r w:rsidRPr="00B0152A">
        <w:rPr>
          <w:rFonts w:ascii="Arial Narrow" w:hAnsi="Arial Narrow" w:cs="Arial Narrow"/>
          <w:sz w:val="22"/>
          <w:szCs w:val="24"/>
        </w:rPr>
        <w:t xml:space="preserve"> vo vzťahu k ozbrojeným zložkám, </w:t>
      </w:r>
      <w:r>
        <w:rPr>
          <w:rFonts w:ascii="Arial Narrow" w:hAnsi="Arial Narrow" w:cs="Arial Narrow"/>
          <w:sz w:val="22"/>
          <w:szCs w:val="24"/>
        </w:rPr>
        <w:t xml:space="preserve">ústavným činiteľom, </w:t>
      </w:r>
      <w:r w:rsidRPr="00B0152A">
        <w:rPr>
          <w:rFonts w:ascii="Arial Narrow" w:hAnsi="Arial Narrow" w:cs="Arial Narrow"/>
          <w:sz w:val="22"/>
          <w:szCs w:val="24"/>
        </w:rPr>
        <w:t xml:space="preserve">sudcom, prokurátorom, zahraničnej službe, verejným vysokých školám a k preneseným kompetenciám. </w:t>
      </w:r>
    </w:p>
    <w:tbl>
      <w:tblPr>
        <w:tblStyle w:val="TableNormal"/>
        <w:tblW w:w="5000" w:type="pct"/>
        <w:tblInd w:w="0" w:type="dxa"/>
        <w:tblCellMar>
          <w:left w:w="70" w:type="dxa"/>
          <w:right w:w="70" w:type="dxa"/>
        </w:tblCellMar>
        <w:tblLook w:val="00A0"/>
      </w:tblPr>
      <w:tblGrid>
        <w:gridCol w:w="5099"/>
        <w:gridCol w:w="1371"/>
        <w:gridCol w:w="1371"/>
        <w:gridCol w:w="1371"/>
      </w:tblGrid>
      <w:tr>
        <w:tblPrEx>
          <w:tblW w:w="5000" w:type="pct"/>
          <w:tblInd w:w="0" w:type="dxa"/>
          <w:tblCellMar>
            <w:left w:w="70" w:type="dxa"/>
            <w:right w:w="70" w:type="dxa"/>
          </w:tblCellMar>
          <w:tblLook w:val="00A0"/>
        </w:tblPrEx>
        <w:trPr>
          <w:trHeight w:val="255"/>
        </w:trPr>
        <w:tc>
          <w:tcPr>
            <w:tcW w:w="2767" w:type="pct"/>
            <w:tcBorders>
              <w:top w:val="single" w:sz="4" w:space="0" w:color="auto"/>
              <w:left w:val="single" w:sz="4" w:space="0" w:color="auto"/>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U k a z o v a t e ľ</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2010</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2011</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2012</w:t>
            </w:r>
          </w:p>
        </w:tc>
      </w:tr>
      <w:tr>
        <w:tblPrEx>
          <w:tblW w:w="5000" w:type="pct"/>
          <w:tblInd w:w="0" w:type="dxa"/>
          <w:tblCellMar>
            <w:left w:w="70" w:type="dxa"/>
            <w:right w:w="70" w:type="dxa"/>
          </w:tblCellMar>
          <w:tblLook w:val="00A0"/>
        </w:tblPrEx>
        <w:trPr>
          <w:trHeight w:val="270"/>
        </w:trPr>
        <w:tc>
          <w:tcPr>
            <w:tcW w:w="2767" w:type="pct"/>
            <w:tcBorders>
              <w:top w:val="single" w:sz="4" w:space="0" w:color="auto"/>
              <w:left w:val="single" w:sz="4" w:space="0" w:color="auto"/>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color w:val="FFFFFF"/>
                <w:sz w:val="18"/>
                <w:szCs w:val="24"/>
                <w:lang w:eastAsia="sk-SK"/>
              </w:rPr>
            </w:pPr>
            <w:r w:rsidRPr="00E36682">
              <w:rPr>
                <w:rFonts w:ascii="Arial Narrow" w:hAnsi="Arial Narrow" w:cs="Arial Narrow"/>
                <w:color w:val="FFFFFF"/>
                <w:sz w:val="18"/>
                <w:szCs w:val="24"/>
                <w:lang w:eastAsia="sk-SK"/>
              </w:rPr>
              <w:t>(tis. eur)</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 </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 </w:t>
            </w:r>
          </w:p>
        </w:tc>
        <w:tc>
          <w:tcPr>
            <w:tcW w:w="744" w:type="pct"/>
            <w:tcBorders>
              <w:top w:val="single" w:sz="4" w:space="0" w:color="auto"/>
              <w:left w:val="nil"/>
              <w:bottom w:val="single" w:sz="4" w:space="0" w:color="auto"/>
              <w:right w:val="single" w:sz="4" w:space="0" w:color="auto"/>
            </w:tcBorders>
            <w:shd w:val="solid" w:color="000000" w:fill="auto"/>
            <w:textDirection w:val="lrTb"/>
            <w:vAlign w:val="bottom"/>
          </w:tcPr>
          <w:p w:rsidR="00F97501" w:rsidRPr="00E36682" w:rsidP="00C84EFE">
            <w:pPr>
              <w:jc w:val="center"/>
              <w:rPr>
                <w:rFonts w:ascii="Arial Narrow" w:hAnsi="Arial Narrow" w:cs="Arial Narrow"/>
                <w:b/>
                <w:color w:val="FFFFFF"/>
                <w:sz w:val="20"/>
                <w:szCs w:val="24"/>
                <w:lang w:eastAsia="sk-SK"/>
              </w:rPr>
            </w:pPr>
            <w:r w:rsidRPr="00E36682">
              <w:rPr>
                <w:rFonts w:ascii="Arial Narrow" w:hAnsi="Arial Narrow" w:cs="Arial Narrow"/>
                <w:b/>
                <w:color w:val="FFFFFF"/>
                <w:sz w:val="20"/>
                <w:szCs w:val="24"/>
                <w:lang w:eastAsia="sk-SK"/>
              </w:rPr>
              <w:t> </w:t>
            </w:r>
          </w:p>
        </w:tc>
      </w:tr>
      <w:tr>
        <w:tblPrEx>
          <w:tblW w:w="5000" w:type="pct"/>
          <w:tblInd w:w="0" w:type="dxa"/>
          <w:tblCellMar>
            <w:left w:w="70" w:type="dxa"/>
            <w:right w:w="70" w:type="dxa"/>
          </w:tblCellMar>
          <w:tblLook w:val="00A0"/>
        </w:tblPrEx>
        <w:trPr>
          <w:trHeight w:val="330"/>
        </w:trPr>
        <w:tc>
          <w:tcPr>
            <w:tcW w:w="2767" w:type="pct"/>
            <w:tcBorders>
              <w:top w:val="nil"/>
              <w:left w:val="single" w:sz="4" w:space="0" w:color="auto"/>
              <w:bottom w:val="single" w:sz="4" w:space="0" w:color="auto"/>
              <w:right w:val="single" w:sz="4" w:space="0" w:color="auto"/>
            </w:tcBorders>
            <w:textDirection w:val="lrTb"/>
            <w:vAlign w:val="bottom"/>
          </w:tcPr>
          <w:p w:rsidR="00F97501" w:rsidRPr="00E36682" w:rsidP="00C84EFE">
            <w:pPr>
              <w:rPr>
                <w:rFonts w:ascii="Arial Narrow" w:hAnsi="Arial Narrow" w:cs="Arial Narrow"/>
                <w:sz w:val="18"/>
                <w:szCs w:val="24"/>
                <w:lang w:eastAsia="sk-SK"/>
              </w:rPr>
            </w:pPr>
            <w:r w:rsidRPr="00E36682">
              <w:rPr>
                <w:rFonts w:ascii="Arial Narrow" w:hAnsi="Arial Narrow" w:cs="Arial Narrow"/>
                <w:sz w:val="18"/>
                <w:szCs w:val="24"/>
                <w:lang w:eastAsia="sk-SK"/>
              </w:rPr>
              <w:t>Poistné a príspevok zamestnávateľa do poisťovní</w:t>
            </w:r>
          </w:p>
        </w:tc>
        <w:tc>
          <w:tcPr>
            <w:tcW w:w="744" w:type="pct"/>
            <w:tcBorders>
              <w:top w:val="nil"/>
              <w:left w:val="nil"/>
              <w:bottom w:val="single" w:sz="4" w:space="0" w:color="auto"/>
              <w:right w:val="single" w:sz="4" w:space="0" w:color="auto"/>
            </w:tcBorders>
            <w:textDirection w:val="lrTb"/>
            <w:vAlign w:val="bottom"/>
          </w:tcPr>
          <w:p w:rsidR="00F97501" w:rsidRPr="00E36682" w:rsidP="00C84EFE">
            <w:pPr>
              <w:jc w:val="center"/>
              <w:rPr>
                <w:rFonts w:ascii="Arial Narrow" w:hAnsi="Arial Narrow" w:cs="Arial Narrow"/>
                <w:b/>
                <w:sz w:val="20"/>
                <w:szCs w:val="24"/>
                <w:lang w:eastAsia="sk-SK"/>
              </w:rPr>
            </w:pPr>
            <w:r>
              <w:rPr>
                <w:rFonts w:ascii="Arial Narrow" w:hAnsi="Arial Narrow" w:cs="Arial Narrow"/>
                <w:b/>
                <w:sz w:val="20"/>
                <w:szCs w:val="24"/>
                <w:lang w:eastAsia="sk-SK"/>
              </w:rPr>
              <w:t>512 975</w:t>
            </w:r>
          </w:p>
        </w:tc>
        <w:tc>
          <w:tcPr>
            <w:tcW w:w="744" w:type="pct"/>
            <w:tcBorders>
              <w:top w:val="nil"/>
              <w:left w:val="nil"/>
              <w:bottom w:val="single" w:sz="4" w:space="0" w:color="auto"/>
              <w:right w:val="single" w:sz="4" w:space="0" w:color="auto"/>
            </w:tcBorders>
            <w:textDirection w:val="lrTb"/>
            <w:vAlign w:val="bottom"/>
          </w:tcPr>
          <w:p w:rsidR="00F97501" w:rsidRPr="00E36682" w:rsidP="00C84EFE">
            <w:pPr>
              <w:jc w:val="center"/>
              <w:rPr>
                <w:rFonts w:ascii="Arial Narrow" w:hAnsi="Arial Narrow" w:cs="Arial Narrow"/>
                <w:b/>
                <w:sz w:val="20"/>
                <w:szCs w:val="24"/>
                <w:lang w:eastAsia="sk-SK"/>
              </w:rPr>
            </w:pPr>
            <w:r>
              <w:rPr>
                <w:rFonts w:ascii="Arial Narrow" w:hAnsi="Arial Narrow" w:cs="Arial Narrow"/>
                <w:b/>
                <w:sz w:val="20"/>
                <w:szCs w:val="24"/>
                <w:lang w:eastAsia="sk-SK"/>
              </w:rPr>
              <w:t>508 015</w:t>
            </w:r>
          </w:p>
        </w:tc>
        <w:tc>
          <w:tcPr>
            <w:tcW w:w="744" w:type="pct"/>
            <w:tcBorders>
              <w:top w:val="nil"/>
              <w:left w:val="nil"/>
              <w:bottom w:val="single" w:sz="4" w:space="0" w:color="auto"/>
              <w:right w:val="single" w:sz="4" w:space="0" w:color="auto"/>
            </w:tcBorders>
            <w:textDirection w:val="lrTb"/>
            <w:vAlign w:val="bottom"/>
          </w:tcPr>
          <w:p w:rsidR="00F97501" w:rsidRPr="00E36682" w:rsidP="00C84EFE">
            <w:pPr>
              <w:jc w:val="center"/>
              <w:rPr>
                <w:rFonts w:ascii="Arial Narrow" w:hAnsi="Arial Narrow" w:cs="Arial Narrow"/>
                <w:b/>
                <w:sz w:val="20"/>
                <w:szCs w:val="24"/>
                <w:lang w:eastAsia="sk-SK"/>
              </w:rPr>
            </w:pPr>
            <w:r>
              <w:rPr>
                <w:rFonts w:ascii="Arial Narrow" w:hAnsi="Arial Narrow" w:cs="Arial Narrow"/>
                <w:b/>
                <w:sz w:val="20"/>
                <w:szCs w:val="24"/>
                <w:lang w:eastAsia="sk-SK"/>
              </w:rPr>
              <w:t>511 220</w:t>
            </w:r>
          </w:p>
        </w:tc>
      </w:tr>
    </w:tbl>
    <w:p w:rsidR="00F97501" w:rsidP="00F97501">
      <w:pPr>
        <w:rPr>
          <w:szCs w:val="24"/>
        </w:rPr>
      </w:pPr>
    </w:p>
    <w:p w:rsidR="00F97501" w:rsidP="004430CB">
      <w:pPr>
        <w:jc w:val="both"/>
        <w:rPr>
          <w:rFonts w:ascii="Arial Narrow" w:hAnsi="Arial Narrow" w:cs="Arial Narrow"/>
          <w:b/>
          <w:szCs w:val="24"/>
        </w:rPr>
      </w:pPr>
    </w:p>
    <w:p w:rsidR="00F97501" w:rsidP="004430CB">
      <w:pPr>
        <w:jc w:val="both"/>
        <w:rPr>
          <w:rFonts w:ascii="Arial Narrow" w:hAnsi="Arial Narrow" w:cs="Arial Narrow"/>
          <w:b/>
          <w:szCs w:val="24"/>
        </w:rPr>
      </w:pPr>
    </w:p>
    <w:p w:rsidR="004430CB" w:rsidP="004430CB">
      <w:pPr>
        <w:jc w:val="both"/>
        <w:rPr>
          <w:rFonts w:ascii="Arial Narrow" w:hAnsi="Arial Narrow" w:cs="Arial Narrow"/>
          <w:b/>
          <w:szCs w:val="24"/>
        </w:rPr>
      </w:pPr>
      <w:r>
        <w:rPr>
          <w:rFonts w:ascii="Arial Narrow" w:hAnsi="Arial Narrow" w:cs="Arial Narrow"/>
          <w:b/>
          <w:szCs w:val="24"/>
        </w:rPr>
        <w:t>A.3. Tovary a služby</w:t>
      </w:r>
    </w:p>
    <w:p w:rsidR="004430CB" w:rsidP="004430CB">
      <w:pPr>
        <w:jc w:val="both"/>
        <w:rPr>
          <w:rFonts w:ascii="Arial Narrow" w:hAnsi="Arial Narrow" w:cs="Arial Narrow"/>
          <w:szCs w:val="24"/>
        </w:rPr>
      </w:pPr>
    </w:p>
    <w:p w:rsidR="004430CB" w:rsidP="004430CB">
      <w:pPr>
        <w:ind w:firstLine="709"/>
        <w:jc w:val="both"/>
        <w:rPr>
          <w:rFonts w:ascii="Arial Narrow" w:hAnsi="Arial Narrow" w:cs="Arial Narrow"/>
          <w:sz w:val="22"/>
          <w:szCs w:val="24"/>
        </w:rPr>
      </w:pPr>
      <w:r>
        <w:rPr>
          <w:rFonts w:ascii="Arial Narrow" w:hAnsi="Arial Narrow" w:cs="Arial Narrow"/>
          <w:sz w:val="22"/>
          <w:szCs w:val="24"/>
        </w:rPr>
        <w:t xml:space="preserve">Na základe limitov jednotlivých kapitol štátneho rozpočtu na roky 2010 až 2012 predstavujú výdavky na tovary a služby 1 745 529 tis. eur, 1 883 300 tis. eur a 1 770 914 tis. eur.  V porovnaní s rokom 2009 klesajú v roku 2010 výdavky na tovary a služby o 97 714 tis. eur, t.j. o 5,3 %. Výdavky štátneho </w:t>
      </w:r>
      <w:r w:rsidR="00F97501">
        <w:rPr>
          <w:rFonts w:ascii="Arial Narrow" w:hAnsi="Arial Narrow" w:cs="Arial Narrow"/>
          <w:sz w:val="22"/>
          <w:szCs w:val="24"/>
        </w:rPr>
        <w:t>r</w:t>
      </w:r>
      <w:r>
        <w:rPr>
          <w:rFonts w:ascii="Arial Narrow" w:hAnsi="Arial Narrow" w:cs="Arial Narrow"/>
          <w:sz w:val="22"/>
          <w:szCs w:val="24"/>
        </w:rPr>
        <w:t xml:space="preserve">ozpočtu </w:t>
      </w:r>
      <w:r w:rsidR="00F97501">
        <w:rPr>
          <w:rFonts w:ascii="Arial Narrow" w:hAnsi="Arial Narrow" w:cs="Arial Narrow"/>
          <w:sz w:val="22"/>
          <w:szCs w:val="24"/>
        </w:rPr>
        <w:t xml:space="preserve">na tovary a služby </w:t>
      </w:r>
      <w:r>
        <w:rPr>
          <w:rFonts w:ascii="Arial Narrow" w:hAnsi="Arial Narrow" w:cs="Arial Narrow"/>
          <w:sz w:val="22"/>
          <w:szCs w:val="24"/>
        </w:rPr>
        <w:t>bez zdrojov z EÚ a spolufinancovania medziročne klesajú o 23,4 %. Uvedený pokles prezentuje cieľ vlády racionalizovať a zvýšiť efektivitu využívania rozpočtových prostriedkov pridelených jednotlivým kapitolám štátneho rozpočtu na prevádzku.</w:t>
      </w:r>
    </w:p>
    <w:p w:rsidR="004430CB" w:rsidP="004430CB">
      <w:pPr>
        <w:jc w:val="both"/>
        <w:rPr>
          <w:rFonts w:ascii="Arial Narrow" w:hAnsi="Arial Narrow" w:cs="Arial Narrow"/>
          <w:szCs w:val="24"/>
        </w:rPr>
      </w:pPr>
    </w:p>
    <w:p w:rsidR="004430CB" w:rsidRPr="00E37867" w:rsidP="004430CB">
      <w:pPr>
        <w:jc w:val="both"/>
        <w:rPr>
          <w:rFonts w:ascii="Arial Narrow" w:hAnsi="Arial Narrow" w:cs="Arial Narrow"/>
          <w:b/>
          <w:szCs w:val="24"/>
        </w:rPr>
      </w:pPr>
      <w:r w:rsidRPr="00E37867">
        <w:rPr>
          <w:rFonts w:ascii="Arial Narrow" w:hAnsi="Arial Narrow" w:cs="Arial Narrow"/>
          <w:b/>
          <w:szCs w:val="24"/>
        </w:rPr>
        <w:t>A.4. Bežné transfery</w:t>
      </w:r>
    </w:p>
    <w:p w:rsidR="004430CB" w:rsidP="004430CB">
      <w:pPr>
        <w:jc w:val="both"/>
        <w:rPr>
          <w:rFonts w:ascii="Arial Narrow" w:hAnsi="Arial Narrow" w:cs="Arial Narrow"/>
          <w:szCs w:val="24"/>
        </w:rPr>
      </w:pPr>
    </w:p>
    <w:p w:rsidR="004430CB" w:rsidP="004430CB">
      <w:pPr>
        <w:ind w:firstLine="709"/>
        <w:jc w:val="both"/>
        <w:rPr>
          <w:rFonts w:ascii="Arial Narrow" w:hAnsi="Arial Narrow" w:cs="Arial Narrow"/>
          <w:sz w:val="22"/>
          <w:szCs w:val="24"/>
        </w:rPr>
      </w:pPr>
      <w:r>
        <w:rPr>
          <w:rFonts w:ascii="Arial Narrow" w:hAnsi="Arial Narrow" w:cs="Arial Narrow"/>
          <w:sz w:val="22"/>
          <w:szCs w:val="24"/>
        </w:rPr>
        <w:t>V rokoch 2010 až 2012 sú rozpočtované vo výške 8 893 425 tis. eur, 8 967 530 tis. eur a 9 175 750 tis. eur. Oproti roku 2009 dochádza k medziročnému rastu o 28,1 %, a to najmä z dôvodu rozpočtovania transferu na vykrytie výpadku príjmov Sociálnej poisťovne z titulu zavedenia druhého piliera dôchodkového zabezpečenia. Druhým najvýznamnejším faktorom medziročného rastu je rozpočtovanie zvýšených zdrojov z EÚ a spolufinancovania v Ministerstve výstavby a regionálneho rozvoja SR.  Zároveň v roku 2010 dochádza k nárastu finančných prostriedkov v Ministerstve zdravotníctva SR určených na štátom platené poistné za zákonom určené skupiny osôb.</w:t>
      </w:r>
    </w:p>
    <w:p w:rsidR="004430CB" w:rsidP="004430CB">
      <w:pPr>
        <w:ind w:firstLine="709"/>
        <w:jc w:val="both"/>
        <w:rPr>
          <w:rFonts w:ascii="Arial Narrow" w:hAnsi="Arial Narrow" w:cs="Arial Narrow"/>
          <w:sz w:val="22"/>
          <w:szCs w:val="24"/>
        </w:rPr>
      </w:pPr>
    </w:p>
    <w:p w:rsidR="004430CB" w:rsidP="004430CB">
      <w:pPr>
        <w:ind w:firstLine="709"/>
        <w:jc w:val="both"/>
        <w:rPr>
          <w:rFonts w:ascii="Arial Narrow" w:hAnsi="Arial Narrow" w:cs="Arial Narrow"/>
          <w:sz w:val="22"/>
          <w:szCs w:val="24"/>
        </w:rPr>
      </w:pPr>
      <w:r>
        <w:rPr>
          <w:rFonts w:ascii="Arial Narrow" w:hAnsi="Arial Narrow" w:cs="Arial Narrow"/>
          <w:sz w:val="22"/>
          <w:szCs w:val="24"/>
        </w:rPr>
        <w:t>V bežných transferoch sa rozpočtujú transfery v rámci sektora verejnej správy, transfery jednotlivcom a neziskovým právnickým osobám, dotácie nefinančným subjektom – právnickým a fyzickým osobám – podnikateľom, transfery zahraničné a transfery do tuzemských finančných inštitúcií.</w:t>
      </w:r>
    </w:p>
    <w:p w:rsidR="004430CB" w:rsidP="004430CB">
      <w:pPr>
        <w:jc w:val="both"/>
        <w:rPr>
          <w:rFonts w:ascii="Arial Narrow" w:hAnsi="Arial Narrow" w:cs="Arial Narrow"/>
          <w:sz w:val="22"/>
          <w:szCs w:val="24"/>
        </w:rPr>
      </w:pPr>
    </w:p>
    <w:p w:rsidR="004430CB" w:rsidP="004430CB">
      <w:pPr>
        <w:ind w:firstLine="709"/>
        <w:jc w:val="both"/>
        <w:rPr>
          <w:rFonts w:ascii="Arial Narrow" w:hAnsi="Arial Narrow" w:cs="Arial Narrow"/>
          <w:sz w:val="22"/>
          <w:szCs w:val="24"/>
        </w:rPr>
      </w:pPr>
      <w:r>
        <w:rPr>
          <w:rFonts w:ascii="Arial Narrow" w:hAnsi="Arial Narrow" w:cs="Arial Narrow"/>
          <w:b/>
          <w:sz w:val="22"/>
          <w:szCs w:val="24"/>
        </w:rPr>
        <w:t>Transfery v rámci sektora verejnej správy</w:t>
      </w:r>
      <w:r>
        <w:rPr>
          <w:rFonts w:ascii="Arial Narrow" w:hAnsi="Arial Narrow" w:cs="Arial Narrow"/>
          <w:sz w:val="22"/>
          <w:szCs w:val="24"/>
        </w:rPr>
        <w:t xml:space="preserve"> sú v roku 2010 rozpočtované vo výške 3 553 941 tis. eur. Z uvedenej sumy predstavuje transfer Sociálnej poisťovni </w:t>
      </w:r>
      <w:bookmarkStart w:id="47" w:name="OLE_LINK2"/>
      <w:r>
        <w:rPr>
          <w:rFonts w:ascii="Arial Narrow" w:hAnsi="Arial Narrow" w:cs="Arial Narrow"/>
          <w:sz w:val="22"/>
          <w:szCs w:val="24"/>
        </w:rPr>
        <w:t xml:space="preserve">1 441 709 </w:t>
      </w:r>
      <w:bookmarkEnd w:id="47"/>
      <w:r>
        <w:rPr>
          <w:rFonts w:ascii="Arial Narrow" w:hAnsi="Arial Narrow" w:cs="Arial Narrow"/>
          <w:sz w:val="22"/>
          <w:szCs w:val="24"/>
        </w:rPr>
        <w:t xml:space="preserve">tis. eur, transfer Štátnemu fondu rozvoja bývania 54 904 tis. eur, verejným vysokým školám 420 696 tis. eur, obciam 1 025 929 tis. eur a vyšším územným celkom 434 288 tis. eur. Ostatné transfery v rámci sektora verejnej správy, vrátane transferov príspevkovým organizáciám, sa v roku 2010 rozpočtujú vo výške 176 385 tis. eur. </w:t>
      </w:r>
    </w:p>
    <w:p w:rsidR="004430CB" w:rsidP="004430CB">
      <w:pPr>
        <w:jc w:val="both"/>
        <w:rPr>
          <w:rFonts w:ascii="Arial Narrow" w:hAnsi="Arial Narrow" w:cs="Arial Narrow"/>
          <w:sz w:val="22"/>
          <w:szCs w:val="24"/>
        </w:rPr>
      </w:pPr>
    </w:p>
    <w:p w:rsidR="004430CB" w:rsidRPr="00944406" w:rsidP="004430CB">
      <w:pPr>
        <w:ind w:firstLine="709"/>
        <w:jc w:val="both"/>
        <w:rPr>
          <w:rFonts w:ascii="Arial Narrow" w:hAnsi="Arial Narrow" w:cs="Arial Narrow"/>
          <w:sz w:val="22"/>
          <w:szCs w:val="24"/>
        </w:rPr>
      </w:pPr>
      <w:r>
        <w:rPr>
          <w:rFonts w:ascii="Arial Narrow" w:hAnsi="Arial Narrow" w:cs="Arial Narrow"/>
          <w:b/>
          <w:sz w:val="22"/>
          <w:szCs w:val="24"/>
        </w:rPr>
        <w:t>Transfery  jednotlivcom  a  neziskovým  právnickým  osobám</w:t>
      </w:r>
      <w:r>
        <w:rPr>
          <w:rFonts w:ascii="Arial Narrow" w:hAnsi="Arial Narrow" w:cs="Arial Narrow"/>
          <w:sz w:val="22"/>
          <w:szCs w:val="24"/>
        </w:rPr>
        <w:t xml:space="preserve"> sa v roku 2010  rozpočtujú vo  výške 3 542 954 tis. eur. Najväčší objem z uvedenej sumy predstavuje platené poistné za zákonom určené skupiny osôb a štátne sociálne dávky. V roku 2010 sa štátom platené poistné za zákonom určené skupiny osôb rozpočtuje vo výške 1 528 062 tis. eur. Sk, čo predstavuje medziročný nárast oproti roku 2009 o 135 845 tis. eur., resp. 9,8 %. </w:t>
      </w:r>
      <w:r w:rsidRPr="00944406">
        <w:rPr>
          <w:rFonts w:ascii="Arial Narrow" w:hAnsi="Arial Narrow" w:cs="Arial Narrow"/>
          <w:sz w:val="22"/>
          <w:szCs w:val="24"/>
        </w:rPr>
        <w:t>Štátom platené poistné na zdravotné poistenie sa v roku 20</w:t>
      </w:r>
      <w:r>
        <w:rPr>
          <w:rFonts w:ascii="Arial Narrow" w:hAnsi="Arial Narrow" w:cs="Arial Narrow"/>
          <w:sz w:val="22"/>
          <w:szCs w:val="24"/>
        </w:rPr>
        <w:t>10</w:t>
      </w:r>
      <w:r w:rsidRPr="00944406">
        <w:rPr>
          <w:rFonts w:ascii="Arial Narrow" w:hAnsi="Arial Narrow" w:cs="Arial Narrow"/>
          <w:sz w:val="22"/>
          <w:szCs w:val="24"/>
        </w:rPr>
        <w:t xml:space="preserve"> rozpočtuje vo výške</w:t>
      </w:r>
      <w:r>
        <w:rPr>
          <w:rFonts w:ascii="Arial Narrow" w:hAnsi="Arial Narrow" w:cs="Arial Narrow"/>
          <w:sz w:val="22"/>
          <w:szCs w:val="24"/>
        </w:rPr>
        <w:t xml:space="preserve"> 1 282 678 tis. eur</w:t>
      </w:r>
      <w:r w:rsidRPr="00944406">
        <w:rPr>
          <w:rFonts w:ascii="Arial Narrow" w:hAnsi="Arial Narrow" w:cs="Arial Narrow"/>
          <w:sz w:val="22"/>
          <w:szCs w:val="24"/>
        </w:rPr>
        <w:t>, čo v porovnaní s rokom 200</w:t>
      </w:r>
      <w:r>
        <w:rPr>
          <w:rFonts w:ascii="Arial Narrow" w:hAnsi="Arial Narrow" w:cs="Arial Narrow"/>
          <w:sz w:val="22"/>
          <w:szCs w:val="24"/>
        </w:rPr>
        <w:t>9</w:t>
      </w:r>
      <w:r w:rsidRPr="00944406">
        <w:rPr>
          <w:rFonts w:ascii="Arial Narrow" w:hAnsi="Arial Narrow" w:cs="Arial Narrow"/>
          <w:sz w:val="22"/>
          <w:szCs w:val="24"/>
        </w:rPr>
        <w:t xml:space="preserve"> predstavuje nárast o</w:t>
      </w:r>
      <w:r>
        <w:rPr>
          <w:rFonts w:ascii="Arial Narrow" w:hAnsi="Arial Narrow" w:cs="Arial Narrow"/>
          <w:sz w:val="22"/>
          <w:szCs w:val="24"/>
        </w:rPr>
        <w:t> 121 672 tis. eur</w:t>
      </w:r>
      <w:r w:rsidRPr="00944406">
        <w:rPr>
          <w:rFonts w:ascii="Arial Narrow" w:hAnsi="Arial Narrow" w:cs="Arial Narrow"/>
          <w:sz w:val="22"/>
          <w:szCs w:val="24"/>
        </w:rPr>
        <w:t xml:space="preserve">, resp. </w:t>
      </w:r>
      <w:r>
        <w:rPr>
          <w:rFonts w:ascii="Arial Narrow" w:hAnsi="Arial Narrow" w:cs="Arial Narrow"/>
          <w:sz w:val="22"/>
          <w:szCs w:val="24"/>
        </w:rPr>
        <w:t xml:space="preserve">10,5 </w:t>
      </w:r>
      <w:r w:rsidRPr="00944406">
        <w:rPr>
          <w:rFonts w:ascii="Arial Narrow" w:hAnsi="Arial Narrow" w:cs="Arial Narrow"/>
          <w:sz w:val="22"/>
          <w:szCs w:val="24"/>
        </w:rPr>
        <w:t>%. V roku 20</w:t>
      </w:r>
      <w:r>
        <w:rPr>
          <w:rFonts w:ascii="Arial Narrow" w:hAnsi="Arial Narrow" w:cs="Arial Narrow"/>
          <w:sz w:val="22"/>
          <w:szCs w:val="24"/>
        </w:rPr>
        <w:t>10</w:t>
      </w:r>
      <w:r w:rsidRPr="00944406">
        <w:rPr>
          <w:rFonts w:ascii="Arial Narrow" w:hAnsi="Arial Narrow" w:cs="Arial Narrow"/>
          <w:sz w:val="22"/>
          <w:szCs w:val="24"/>
        </w:rPr>
        <w:t xml:space="preserve"> sa v oblasti sociálnych dávok a príspevkov rozpočtujú finančné prostriedky vo výške</w:t>
      </w:r>
      <w:r>
        <w:rPr>
          <w:rFonts w:ascii="Arial Narrow" w:hAnsi="Arial Narrow" w:cs="Arial Narrow"/>
          <w:sz w:val="22"/>
          <w:szCs w:val="24"/>
        </w:rPr>
        <w:t xml:space="preserve"> 993 525 tis. eur</w:t>
      </w:r>
      <w:r w:rsidRPr="00944406">
        <w:rPr>
          <w:rFonts w:ascii="Arial Narrow" w:hAnsi="Arial Narrow" w:cs="Arial Narrow"/>
          <w:sz w:val="22"/>
          <w:szCs w:val="24"/>
        </w:rPr>
        <w:t xml:space="preserve">. </w:t>
      </w:r>
    </w:p>
    <w:p w:rsidR="004430CB" w:rsidP="004430CB">
      <w:pPr>
        <w:jc w:val="both"/>
        <w:rPr>
          <w:rFonts w:ascii="Arial Narrow" w:hAnsi="Arial Narrow" w:cs="Arial Narrow"/>
          <w:sz w:val="22"/>
          <w:szCs w:val="24"/>
        </w:rPr>
      </w:pPr>
    </w:p>
    <w:p w:rsidR="004430CB" w:rsidP="004430CB">
      <w:pPr>
        <w:ind w:firstLine="709"/>
        <w:jc w:val="both"/>
        <w:rPr>
          <w:rFonts w:ascii="Arial Narrow" w:hAnsi="Arial Narrow" w:cs="Arial Narrow"/>
          <w:sz w:val="22"/>
          <w:szCs w:val="24"/>
        </w:rPr>
      </w:pPr>
      <w:r>
        <w:rPr>
          <w:rFonts w:ascii="Arial Narrow" w:hAnsi="Arial Narrow" w:cs="Arial Narrow"/>
          <w:b/>
          <w:sz w:val="22"/>
          <w:szCs w:val="24"/>
        </w:rPr>
        <w:t>Dotácie nefinančným subjektom – právnickým osobám a fyzickým osobám – podnikateľom</w:t>
      </w:r>
      <w:r>
        <w:rPr>
          <w:rFonts w:ascii="Arial Narrow" w:hAnsi="Arial Narrow" w:cs="Arial Narrow"/>
          <w:sz w:val="22"/>
          <w:szCs w:val="24"/>
        </w:rPr>
        <w:t xml:space="preserve"> sa rozpočtujú v roku 2010 vo výške 911 001 tis. eur, v roku 2011 vo výške 933 951 tis. eur a v roku 2012 vo výške 1 009 355 tis. eur. Najvyšší objem dotácií sa uvoľňuje prostredníctvom kapitoly Ministerstva pôdohospodárstva SR a Ministerstva dopravy, pôšt a telekomunikácií SR.</w:t>
      </w:r>
    </w:p>
    <w:p w:rsidR="004430CB" w:rsidP="004430CB">
      <w:pPr>
        <w:jc w:val="both"/>
        <w:rPr>
          <w:rFonts w:ascii="Arial Narrow" w:hAnsi="Arial Narrow" w:cs="Arial Narrow"/>
          <w:sz w:val="22"/>
          <w:szCs w:val="24"/>
        </w:rPr>
      </w:pPr>
    </w:p>
    <w:p w:rsidR="004430CB" w:rsidP="004430CB">
      <w:pPr>
        <w:ind w:firstLine="709"/>
        <w:jc w:val="both"/>
        <w:rPr>
          <w:rFonts w:ascii="Arial Narrow" w:hAnsi="Arial Narrow" w:cs="Arial Narrow"/>
          <w:b/>
          <w:sz w:val="22"/>
          <w:szCs w:val="24"/>
        </w:rPr>
      </w:pPr>
      <w:r>
        <w:rPr>
          <w:rFonts w:ascii="Arial Narrow" w:hAnsi="Arial Narrow" w:cs="Arial Narrow"/>
          <w:b/>
          <w:sz w:val="22"/>
          <w:szCs w:val="24"/>
        </w:rPr>
        <w:t>Zahraničné transfery</w:t>
      </w:r>
      <w:r>
        <w:rPr>
          <w:rFonts w:ascii="Arial Narrow" w:hAnsi="Arial Narrow" w:cs="Arial Narrow"/>
          <w:sz w:val="22"/>
          <w:szCs w:val="24"/>
        </w:rPr>
        <w:t xml:space="preserve"> sa rozpočtujú v roku 2010 vo výške 878 134 tis. eur, v roku 2011 vo výške 702 424 tis. eur a v roku 2012 vo výške 742 361 tis. eur. Najväčší objem z uvedených súm predstavujú odvody a príspevky do rozpočtu EÚ, v roku 2010 vo výške 813 954 tis. eur.  </w:t>
      </w:r>
    </w:p>
    <w:p w:rsidR="004430CB" w:rsidP="004430CB">
      <w:pPr>
        <w:jc w:val="both"/>
        <w:rPr>
          <w:rFonts w:ascii="Arial Narrow" w:hAnsi="Arial Narrow" w:cs="Arial Narrow"/>
          <w:sz w:val="22"/>
          <w:szCs w:val="24"/>
        </w:rPr>
      </w:pPr>
    </w:p>
    <w:p w:rsidR="004430CB" w:rsidP="004430CB">
      <w:pPr>
        <w:ind w:firstLine="708"/>
        <w:jc w:val="both"/>
        <w:rPr>
          <w:b/>
          <w:szCs w:val="24"/>
        </w:rPr>
      </w:pPr>
      <w:r w:rsidRPr="00E37867">
        <w:rPr>
          <w:rFonts w:ascii="Arial Narrow" w:hAnsi="Arial Narrow" w:cs="Arial Narrow"/>
          <w:b/>
          <w:sz w:val="22"/>
          <w:szCs w:val="24"/>
        </w:rPr>
        <w:t>Transfery do tuzemských finančných inštitúcií</w:t>
      </w:r>
      <w:r w:rsidRPr="00E37867">
        <w:rPr>
          <w:rFonts w:ascii="Arial Narrow" w:hAnsi="Arial Narrow" w:cs="Arial Narrow"/>
          <w:sz w:val="22"/>
          <w:szCs w:val="24"/>
        </w:rPr>
        <w:t xml:space="preserve"> sa rozpočtujú v roku 20</w:t>
      </w:r>
      <w:r>
        <w:rPr>
          <w:rFonts w:ascii="Arial Narrow" w:hAnsi="Arial Narrow" w:cs="Arial Narrow"/>
          <w:sz w:val="22"/>
          <w:szCs w:val="24"/>
        </w:rPr>
        <w:t>10</w:t>
      </w:r>
      <w:r w:rsidRPr="00E37867">
        <w:rPr>
          <w:rFonts w:ascii="Arial Narrow" w:hAnsi="Arial Narrow" w:cs="Arial Narrow"/>
          <w:sz w:val="22"/>
          <w:szCs w:val="24"/>
        </w:rPr>
        <w:t xml:space="preserve"> vo výške </w:t>
      </w:r>
      <w:r>
        <w:rPr>
          <w:rFonts w:ascii="Arial Narrow" w:hAnsi="Arial Narrow" w:cs="Arial Narrow"/>
          <w:sz w:val="22"/>
          <w:szCs w:val="24"/>
        </w:rPr>
        <w:t>7 395</w:t>
      </w:r>
      <w:r w:rsidRPr="00E37867">
        <w:rPr>
          <w:rFonts w:ascii="Arial Narrow" w:hAnsi="Arial Narrow" w:cs="Arial Narrow"/>
          <w:sz w:val="22"/>
          <w:szCs w:val="24"/>
        </w:rPr>
        <w:t xml:space="preserve"> tis. eur, v roku 201</w:t>
      </w:r>
      <w:r>
        <w:rPr>
          <w:rFonts w:ascii="Arial Narrow" w:hAnsi="Arial Narrow" w:cs="Arial Narrow"/>
          <w:sz w:val="22"/>
          <w:szCs w:val="24"/>
        </w:rPr>
        <w:t>1</w:t>
      </w:r>
      <w:r w:rsidRPr="00E37867">
        <w:rPr>
          <w:rFonts w:ascii="Arial Narrow" w:hAnsi="Arial Narrow" w:cs="Arial Narrow"/>
          <w:sz w:val="22"/>
          <w:szCs w:val="24"/>
        </w:rPr>
        <w:t xml:space="preserve"> vo výške 7 </w:t>
      </w:r>
      <w:r>
        <w:rPr>
          <w:rFonts w:ascii="Arial Narrow" w:hAnsi="Arial Narrow" w:cs="Arial Narrow"/>
          <w:sz w:val="22"/>
          <w:szCs w:val="24"/>
        </w:rPr>
        <w:t>062</w:t>
      </w:r>
      <w:r w:rsidRPr="00E37867">
        <w:rPr>
          <w:rFonts w:ascii="Arial Narrow" w:hAnsi="Arial Narrow" w:cs="Arial Narrow"/>
          <w:sz w:val="22"/>
          <w:szCs w:val="24"/>
        </w:rPr>
        <w:t xml:space="preserve"> tis. eur a v roku 201</w:t>
      </w:r>
      <w:r>
        <w:rPr>
          <w:rFonts w:ascii="Arial Narrow" w:hAnsi="Arial Narrow" w:cs="Arial Narrow"/>
          <w:sz w:val="22"/>
          <w:szCs w:val="24"/>
        </w:rPr>
        <w:t>2</w:t>
      </w:r>
      <w:r w:rsidRPr="00E37867">
        <w:rPr>
          <w:rFonts w:ascii="Arial Narrow" w:hAnsi="Arial Narrow" w:cs="Arial Narrow"/>
          <w:sz w:val="22"/>
          <w:szCs w:val="24"/>
        </w:rPr>
        <w:t xml:space="preserve"> vo výške </w:t>
      </w:r>
      <w:r>
        <w:rPr>
          <w:rFonts w:ascii="Arial Narrow" w:hAnsi="Arial Narrow" w:cs="Arial Narrow"/>
          <w:sz w:val="22"/>
          <w:szCs w:val="24"/>
        </w:rPr>
        <w:t>6 475</w:t>
      </w:r>
      <w:r w:rsidRPr="00E37867">
        <w:rPr>
          <w:rFonts w:ascii="Arial Narrow" w:hAnsi="Arial Narrow" w:cs="Arial Narrow"/>
          <w:sz w:val="22"/>
          <w:szCs w:val="24"/>
        </w:rPr>
        <w:t xml:space="preserve"> tis. eur.</w:t>
      </w:r>
      <w:r>
        <w:rPr>
          <w:b/>
          <w:szCs w:val="24"/>
        </w:rPr>
        <w:t xml:space="preserve"> </w:t>
      </w:r>
    </w:p>
    <w:p w:rsidR="004430CB" w:rsidP="004430CB">
      <w:pPr>
        <w:rPr>
          <w:szCs w:val="24"/>
        </w:rPr>
      </w:pPr>
    </w:p>
    <w:p w:rsidR="004430CB" w:rsidP="004430CB">
      <w:pPr>
        <w:jc w:val="both"/>
        <w:rPr>
          <w:szCs w:val="24"/>
        </w:rPr>
      </w:pPr>
      <w:r w:rsidRPr="00E37867">
        <w:rPr>
          <w:rFonts w:ascii="Arial Narrow" w:hAnsi="Arial Narrow" w:cs="Arial Narrow"/>
          <w:b/>
          <w:szCs w:val="24"/>
        </w:rPr>
        <w:t>A.5. Splácanie úrokov a ostatné platby súvisiace s úvermi</w:t>
      </w:r>
      <w:r>
        <w:rPr>
          <w:szCs w:val="24"/>
        </w:rPr>
        <w:tab/>
      </w:r>
    </w:p>
    <w:p w:rsidR="004430CB" w:rsidP="004430CB">
      <w:pPr>
        <w:tabs>
          <w:tab w:val="left" w:pos="5927"/>
        </w:tabs>
        <w:jc w:val="both"/>
        <w:rPr>
          <w:rFonts w:ascii="Arial Narrow" w:hAnsi="Arial Narrow" w:cs="Arial Narrow"/>
          <w:b/>
          <w:szCs w:val="24"/>
        </w:rPr>
      </w:pPr>
    </w:p>
    <w:p w:rsidR="004430CB" w:rsidP="004430CB">
      <w:pPr>
        <w:tabs>
          <w:tab w:val="left" w:pos="5927"/>
        </w:tabs>
        <w:jc w:val="both"/>
        <w:rPr>
          <w:rFonts w:ascii="Arial Narrow" w:hAnsi="Arial Narrow" w:cs="Arial Narrow"/>
          <w:sz w:val="22"/>
          <w:szCs w:val="24"/>
        </w:rPr>
      </w:pPr>
      <w:r>
        <w:rPr>
          <w:rFonts w:ascii="Arial Narrow" w:hAnsi="Arial Narrow" w:cs="Arial Narrow"/>
          <w:sz w:val="22"/>
          <w:szCs w:val="24"/>
        </w:rPr>
        <w:t xml:space="preserve">           Úroky a ostatné platby súvisiace s úvermi sú rozpočtované v roku 2010 vo výške 1 144 250 tis. eur, v roku 2011 vo výške 1 105 745 tis. eur a v roku 2012 vo výške 1 386 423 tis. eur. Pri rozpočtovaní nákladov na financovanie štátneho dlhu boli zohľadnené najmä faktory</w:t>
      </w:r>
      <w:r w:rsidR="00F97501">
        <w:rPr>
          <w:rFonts w:ascii="Arial Narrow" w:hAnsi="Arial Narrow" w:cs="Arial Narrow"/>
          <w:sz w:val="22"/>
          <w:szCs w:val="24"/>
        </w:rPr>
        <w:t xml:space="preserve"> ako</w:t>
      </w:r>
      <w:r>
        <w:rPr>
          <w:rFonts w:ascii="Arial Narrow" w:hAnsi="Arial Narrow" w:cs="Arial Narrow"/>
          <w:sz w:val="22"/>
          <w:szCs w:val="24"/>
        </w:rPr>
        <w:t xml:space="preserve"> úrokové sadzby, predpokladaný deficit štátneho rozpočtu, riadenie likvidity finančného trhu a menové riadenie ECB, vplyv krízy vo finančnom sektore a v reálnej ekonomike. Zmena každého z týchto predpokladov sa úmerne prejaví v adekvátnej zmene nákladov na obsluhu štátneho dlhu.</w:t>
      </w:r>
    </w:p>
    <w:p w:rsidR="004430CB" w:rsidP="004430CB">
      <w:pPr>
        <w:tabs>
          <w:tab w:val="left" w:pos="5927"/>
        </w:tabs>
        <w:jc w:val="both"/>
        <w:rPr>
          <w:rFonts w:ascii="Arial Narrow" w:hAnsi="Arial Narrow" w:cs="Arial Narrow"/>
          <w:sz w:val="22"/>
          <w:szCs w:val="24"/>
        </w:rPr>
      </w:pPr>
    </w:p>
    <w:p w:rsidR="004430CB" w:rsidRPr="00E37867" w:rsidP="004430CB">
      <w:pPr>
        <w:jc w:val="both"/>
        <w:rPr>
          <w:rFonts w:ascii="Arial Narrow" w:hAnsi="Arial Narrow" w:cs="Arial Narrow"/>
          <w:b/>
          <w:szCs w:val="24"/>
        </w:rPr>
      </w:pPr>
      <w:bookmarkStart w:id="48" w:name="_Toc109024030"/>
      <w:bookmarkStart w:id="49" w:name="_Toc109024823"/>
      <w:bookmarkStart w:id="50" w:name="_Toc109787128"/>
      <w:bookmarkStart w:id="51" w:name="_Toc109798660"/>
      <w:bookmarkStart w:id="52" w:name="_Toc110224525"/>
      <w:bookmarkStart w:id="53" w:name="_Toc116476496"/>
      <w:r>
        <w:rPr>
          <w:rFonts w:ascii="Arial Narrow" w:hAnsi="Arial Narrow" w:cs="Arial Narrow"/>
          <w:b/>
          <w:szCs w:val="24"/>
        </w:rPr>
        <w:t xml:space="preserve">B. </w:t>
      </w:r>
      <w:r w:rsidRPr="00E37867">
        <w:rPr>
          <w:rFonts w:ascii="Arial Narrow" w:hAnsi="Arial Narrow" w:cs="Arial Narrow"/>
          <w:b/>
          <w:szCs w:val="24"/>
        </w:rPr>
        <w:t>Kapitálové výdavky</w:t>
      </w:r>
      <w:bookmarkEnd w:id="48"/>
      <w:bookmarkEnd w:id="49"/>
      <w:bookmarkEnd w:id="50"/>
      <w:bookmarkEnd w:id="51"/>
      <w:bookmarkEnd w:id="52"/>
      <w:bookmarkEnd w:id="53"/>
    </w:p>
    <w:p w:rsidR="004430CB" w:rsidP="004430CB">
      <w:pPr>
        <w:jc w:val="both"/>
        <w:rPr>
          <w:rFonts w:ascii="Arial Narrow" w:hAnsi="Arial Narrow" w:cs="Arial Narrow"/>
          <w:szCs w:val="24"/>
        </w:rPr>
      </w:pPr>
    </w:p>
    <w:p w:rsidR="004430CB" w:rsidP="004430CB">
      <w:pPr>
        <w:ind w:firstLine="708"/>
        <w:jc w:val="both"/>
        <w:rPr>
          <w:rFonts w:ascii="Arial Narrow" w:hAnsi="Arial Narrow" w:cs="Arial Narrow"/>
          <w:sz w:val="22"/>
          <w:szCs w:val="24"/>
        </w:rPr>
      </w:pPr>
      <w:r>
        <w:rPr>
          <w:rFonts w:ascii="Arial Narrow" w:hAnsi="Arial Narrow" w:cs="Arial Narrow"/>
          <w:sz w:val="22"/>
          <w:szCs w:val="24"/>
        </w:rPr>
        <w:t xml:space="preserve">Kapitálové výdavky na rok 2010 sa rozpočtujú vo výške 2 425 392 tis. eur, v roku 2011 v objeme     2 145 359 tis. eur a v roku 2012 vo výške 1 650 562 tis. eur. V roku 2010 oproti schválenému rozpočtu 2009 dochádza k rastu kapitálových výdavkov na úrovni 8,9 %, čo je spôsobené predovšetkým rastom zdrojov z EÚ a spolufinancovania. </w:t>
      </w:r>
    </w:p>
    <w:p w:rsidR="00434F7A" w:rsidP="004430CB">
      <w:pPr>
        <w:ind w:firstLine="708"/>
        <w:jc w:val="both"/>
        <w:rPr>
          <w:rFonts w:ascii="Arial Narrow" w:hAnsi="Arial Narrow" w:cs="Arial Narrow"/>
          <w:sz w:val="22"/>
          <w:szCs w:val="24"/>
        </w:rPr>
      </w:pPr>
    </w:p>
    <w:p w:rsidR="004430CB" w:rsidP="004430CB">
      <w:pPr>
        <w:jc w:val="both"/>
        <w:rPr>
          <w:rFonts w:ascii="Arial Narrow" w:hAnsi="Arial Narrow" w:cs="Arial Narrow"/>
          <w:sz w:val="22"/>
          <w:szCs w:val="24"/>
        </w:rPr>
      </w:pPr>
      <w:r>
        <w:rPr>
          <w:rFonts w:ascii="Arial Narrow" w:hAnsi="Arial Narrow" w:cs="Arial Narrow"/>
          <w:sz w:val="22"/>
          <w:szCs w:val="24"/>
        </w:rPr>
        <w:tab/>
        <w:t xml:space="preserve">V rámci navrhovaného objemu kapitálových výdavkov v roku 2010 predstavujú výdavky na </w:t>
      </w:r>
      <w:r>
        <w:rPr>
          <w:rFonts w:ascii="Arial Narrow" w:hAnsi="Arial Narrow" w:cs="Arial Narrow"/>
          <w:b/>
          <w:sz w:val="22"/>
          <w:szCs w:val="24"/>
        </w:rPr>
        <w:t>obstarávanie kapitálových aktív 398 968 tis. eur</w:t>
      </w:r>
      <w:r>
        <w:rPr>
          <w:rFonts w:ascii="Arial Narrow" w:hAnsi="Arial Narrow" w:cs="Arial Narrow"/>
          <w:sz w:val="22"/>
          <w:szCs w:val="24"/>
        </w:rPr>
        <w:t xml:space="preserve"> a </w:t>
      </w:r>
      <w:r>
        <w:rPr>
          <w:rFonts w:ascii="Arial Narrow" w:hAnsi="Arial Narrow" w:cs="Arial Narrow"/>
          <w:b/>
          <w:sz w:val="22"/>
          <w:szCs w:val="24"/>
        </w:rPr>
        <w:t>kapitálové transfery 2 026 423 tis. eur</w:t>
      </w:r>
      <w:r>
        <w:rPr>
          <w:rFonts w:ascii="Arial Narrow" w:hAnsi="Arial Narrow" w:cs="Arial Narrow"/>
          <w:sz w:val="22"/>
          <w:szCs w:val="24"/>
        </w:rPr>
        <w:t xml:space="preserve">. </w:t>
      </w:r>
    </w:p>
    <w:p w:rsidR="004430CB" w:rsidP="004430CB">
      <w:pPr>
        <w:jc w:val="both"/>
        <w:rPr>
          <w:rFonts w:ascii="Arial Narrow" w:hAnsi="Arial Narrow" w:cs="Arial Narrow"/>
          <w:sz w:val="22"/>
          <w:szCs w:val="24"/>
        </w:rPr>
      </w:pPr>
    </w:p>
    <w:p w:rsidR="004430CB" w:rsidP="004430CB">
      <w:pPr>
        <w:ind w:firstLine="708"/>
        <w:jc w:val="both"/>
        <w:rPr>
          <w:rFonts w:ascii="Arial Narrow" w:hAnsi="Arial Narrow" w:cs="Arial Narrow"/>
          <w:sz w:val="22"/>
          <w:szCs w:val="24"/>
        </w:rPr>
      </w:pPr>
      <w:r>
        <w:rPr>
          <w:rFonts w:ascii="Arial Narrow" w:hAnsi="Arial Narrow" w:cs="Arial Narrow"/>
          <w:sz w:val="22"/>
          <w:szCs w:val="24"/>
        </w:rPr>
        <w:t xml:space="preserve">Z finančných prostriedkov na </w:t>
      </w:r>
      <w:r>
        <w:rPr>
          <w:rFonts w:ascii="Arial Narrow" w:hAnsi="Arial Narrow" w:cs="Arial Narrow"/>
          <w:b/>
          <w:sz w:val="22"/>
          <w:szCs w:val="24"/>
        </w:rPr>
        <w:t>obstarávanie kapitálových aktív</w:t>
      </w:r>
      <w:r>
        <w:rPr>
          <w:rFonts w:ascii="Arial Narrow" w:hAnsi="Arial Narrow" w:cs="Arial Narrow"/>
          <w:sz w:val="22"/>
          <w:szCs w:val="24"/>
        </w:rPr>
        <w:t xml:space="preserve"> predstavujú najväčší objem výdavky na nákup strojov, prístrojov a zariadení v sume  185 889 tis. eur a výdavky na realizáciu stavieb a ich technického zhodnotenia v sume 151 814 tis. eur. </w:t>
      </w:r>
    </w:p>
    <w:p w:rsidR="004430CB" w:rsidP="004430CB">
      <w:pPr>
        <w:ind w:firstLine="708"/>
        <w:jc w:val="both"/>
        <w:rPr>
          <w:rFonts w:ascii="Arial Narrow" w:hAnsi="Arial Narrow" w:cs="Arial Narrow"/>
          <w:sz w:val="22"/>
          <w:szCs w:val="24"/>
        </w:rPr>
      </w:pPr>
    </w:p>
    <w:p w:rsidR="004430CB" w:rsidP="004430CB">
      <w:pPr>
        <w:ind w:firstLine="708"/>
        <w:jc w:val="both"/>
        <w:rPr>
          <w:rFonts w:ascii="Arial Narrow" w:hAnsi="Arial Narrow" w:cs="Arial Narrow"/>
          <w:sz w:val="22"/>
          <w:szCs w:val="24"/>
        </w:rPr>
      </w:pPr>
      <w:r>
        <w:rPr>
          <w:rFonts w:ascii="Arial Narrow" w:hAnsi="Arial Narrow" w:cs="Arial Narrow"/>
          <w:b/>
          <w:sz w:val="22"/>
          <w:szCs w:val="24"/>
        </w:rPr>
        <w:t>Kapitálové transfery</w:t>
      </w:r>
      <w:r>
        <w:rPr>
          <w:rFonts w:ascii="Arial Narrow" w:hAnsi="Arial Narrow" w:cs="Arial Narrow"/>
          <w:sz w:val="22"/>
          <w:szCs w:val="24"/>
        </w:rPr>
        <w:t xml:space="preserve"> sa rozpočtujú v roku 2010 vo výške 2 026 423 tis. eur. V rámci nich sa rozpočtujú transfery v rámci sektora verejnej správy vo výške 182 815 tis. eur, transfery jednotlivcom a neziskovým právnickým osobám v sume 15 0990 tis. Eur a transfery nefinančným právnickým osobám a fyzickým osobám podnikateľom vo výške 1 827 618 tis. eur. </w:t>
      </w:r>
    </w:p>
    <w:p w:rsidR="004430CB" w:rsidP="004430CB">
      <w:pPr>
        <w:ind w:firstLine="708"/>
        <w:jc w:val="both"/>
        <w:rPr>
          <w:rFonts w:ascii="Arial Narrow" w:hAnsi="Arial Narrow" w:cs="Arial Narrow"/>
          <w:sz w:val="22"/>
          <w:szCs w:val="24"/>
        </w:rPr>
      </w:pPr>
    </w:p>
    <w:p w:rsidR="004430CB" w:rsidP="004430CB">
      <w:pPr>
        <w:ind w:firstLine="709"/>
        <w:jc w:val="both"/>
        <w:rPr>
          <w:rFonts w:ascii="Arial Narrow" w:hAnsi="Arial Narrow" w:cs="Arial Narrow"/>
          <w:sz w:val="22"/>
          <w:szCs w:val="24"/>
        </w:rPr>
      </w:pPr>
      <w:r>
        <w:rPr>
          <w:rFonts w:ascii="Arial Narrow" w:hAnsi="Arial Narrow" w:cs="Arial Narrow"/>
          <w:sz w:val="22"/>
          <w:szCs w:val="24"/>
        </w:rPr>
        <w:t xml:space="preserve">Transfery v rámci sektora verejnej správy predstavujú výdavky príspevkovým organizáciám, verejným vysokým školám, obciam, vyšším územným celkom. </w:t>
      </w:r>
    </w:p>
    <w:p w:rsidR="004430CB" w:rsidRPr="00B0152A" w:rsidP="00A2729F">
      <w:pPr>
        <w:rPr>
          <w:szCs w:val="24"/>
        </w:rPr>
      </w:pPr>
    </w:p>
    <w:p w:rsidR="00F930C1" w:rsidRPr="00F930C1" w:rsidP="00F930C1">
      <w:pPr>
        <w:pStyle w:val="Heading2"/>
        <w:rPr>
          <w:rFonts w:ascii="Arial Narrow" w:hAnsi="Arial Narrow" w:cs="Arial Narrow"/>
          <w:i w:val="0"/>
          <w:sz w:val="24"/>
          <w:szCs w:val="24"/>
        </w:rPr>
      </w:pPr>
      <w:bookmarkStart w:id="54" w:name="_Toc241846648"/>
      <w:r w:rsidRPr="00F930C1">
        <w:rPr>
          <w:rFonts w:ascii="Arial Narrow" w:hAnsi="Arial Narrow" w:cs="Arial Narrow"/>
          <w:i w:val="0"/>
          <w:sz w:val="24"/>
          <w:szCs w:val="24"/>
        </w:rPr>
        <w:t>4.2. Rozpočtovanie výdavkov podľa vybraných oblastí</w:t>
      </w:r>
      <w:bookmarkEnd w:id="54"/>
    </w:p>
    <w:p w:rsidR="00F930C1" w:rsidP="00F930C1">
      <w:pPr>
        <w:pBdr>
          <w:bottom w:val="single" w:sz="6" w:space="1" w:color="auto"/>
        </w:pBdr>
        <w:rPr>
          <w:rFonts w:ascii="Arial Narrow" w:hAnsi="Arial Narrow" w:cs="Arial Narrow"/>
          <w:b/>
          <w:sz w:val="22"/>
          <w:szCs w:val="24"/>
        </w:rPr>
      </w:pPr>
      <w:bookmarkStart w:id="55" w:name="_Toc148255259"/>
      <w:bookmarkStart w:id="56" w:name="_Toc174871976"/>
      <w:bookmarkStart w:id="57" w:name="_Toc206478411"/>
    </w:p>
    <w:p w:rsidR="00312541" w:rsidRPr="007835F8" w:rsidP="00312541">
      <w:pPr>
        <w:pBdr>
          <w:bottom w:val="single" w:sz="6" w:space="1" w:color="auto"/>
        </w:pBdr>
        <w:rPr>
          <w:rFonts w:ascii="Arial Narrow" w:hAnsi="Arial Narrow" w:cs="Arial Narrow"/>
          <w:b/>
          <w:sz w:val="22"/>
          <w:szCs w:val="24"/>
        </w:rPr>
      </w:pPr>
      <w:r w:rsidRPr="007835F8">
        <w:rPr>
          <w:rFonts w:ascii="Arial Narrow" w:hAnsi="Arial Narrow" w:cs="Arial Narrow"/>
          <w:b/>
          <w:sz w:val="22"/>
          <w:szCs w:val="24"/>
        </w:rPr>
        <w:t>Zdravotníctvo</w:t>
      </w:r>
    </w:p>
    <w:p w:rsidR="00312541" w:rsidRPr="005D53B0" w:rsidP="00312541">
      <w:pPr>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Objem verejných zdrojov sa pre rok 2010 predpokladá na úrovni 3,76 mld. eur a objem celkových zdrojov do oblasti zdravotníctva na úrovni 4,87 mld. eur. Zdroje v zdravotníctve sú tvorené v prevažnej miere zdrojmi z príjmov zdravotných poisťovní za poistné na verejné zdravotné poistenie, ktoré sú v roku 2009 a 2010</w:t>
      </w:r>
      <w:r w:rsidRPr="00EC3A72">
        <w:rPr>
          <w:rFonts w:ascii="Arial Narrow" w:hAnsi="Arial Narrow" w:cs="Arial Narrow"/>
          <w:sz w:val="22"/>
          <w:szCs w:val="24"/>
        </w:rPr>
        <w:t xml:space="preserve"> </w:t>
      </w:r>
      <w:r>
        <w:rPr>
          <w:rFonts w:ascii="Arial Narrow" w:hAnsi="Arial Narrow" w:cs="Arial Narrow"/>
          <w:sz w:val="22"/>
          <w:szCs w:val="24"/>
        </w:rPr>
        <w:t xml:space="preserve">ovplyvnené hospodárskou krízou. Pre rok 2011 sa predpokladá medziročný nárast celkových zdrojov v zdravotníctve na úrovni 6,11 % a pre rok 2012 na úrovni 6,04 %. </w:t>
      </w:r>
    </w:p>
    <w:p w:rsidR="00312541" w:rsidP="00312541">
      <w:pPr>
        <w:jc w:val="both"/>
        <w:rPr>
          <w:rFonts w:ascii="Arial Narrow" w:hAnsi="Arial Narrow" w:cs="Arial Narrow"/>
          <w:sz w:val="22"/>
          <w:szCs w:val="24"/>
        </w:rPr>
      </w:pPr>
    </w:p>
    <w:tbl>
      <w:tblPr>
        <w:tblStyle w:val="TableNormal"/>
        <w:tblW w:w="9180" w:type="dxa"/>
        <w:tblInd w:w="70" w:type="dxa"/>
        <w:tblLayout w:type="fixed"/>
        <w:tblCellMar>
          <w:left w:w="70" w:type="dxa"/>
          <w:right w:w="70" w:type="dxa"/>
        </w:tblCellMar>
      </w:tblPr>
      <w:tblGrid>
        <w:gridCol w:w="4680"/>
        <w:gridCol w:w="1125"/>
        <w:gridCol w:w="1125"/>
        <w:gridCol w:w="1125"/>
        <w:gridCol w:w="1125"/>
      </w:tblGrid>
      <w:tr>
        <w:tblPrEx>
          <w:tblW w:w="9180" w:type="dxa"/>
          <w:tblInd w:w="70" w:type="dxa"/>
          <w:tblLayout w:type="fixed"/>
          <w:tblCellMar>
            <w:left w:w="70" w:type="dxa"/>
            <w:right w:w="70" w:type="dxa"/>
          </w:tblCellMar>
        </w:tblPrEx>
        <w:trPr>
          <w:trHeight w:val="227"/>
        </w:trPr>
        <w:tc>
          <w:tcPr>
            <w:tcW w:w="468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8F77E6" w:rsidP="00A70AF6">
            <w:pPr>
              <w:rPr>
                <w:rFonts w:ascii="Arial Narrow" w:hAnsi="Arial Narrow" w:cs="Arial Narrow"/>
                <w:b/>
                <w:color w:val="FFFFFF"/>
                <w:sz w:val="20"/>
                <w:szCs w:val="24"/>
              </w:rPr>
            </w:pPr>
            <w:r w:rsidRPr="008F77E6">
              <w:rPr>
                <w:rFonts w:ascii="Arial Narrow" w:hAnsi="Arial Narrow" w:cs="Arial Narrow"/>
                <w:b/>
                <w:color w:val="FFFFFF"/>
                <w:sz w:val="20"/>
                <w:szCs w:val="24"/>
              </w:rPr>
              <w:t> (v tis. eur)</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8F77E6" w:rsidP="00A70AF6">
            <w:pPr>
              <w:jc w:val="center"/>
              <w:rPr>
                <w:rFonts w:ascii="Arial Narrow" w:hAnsi="Arial Narrow" w:cs="Arial Narrow"/>
                <w:b/>
                <w:color w:val="FFFFFF"/>
                <w:sz w:val="20"/>
                <w:szCs w:val="24"/>
              </w:rPr>
            </w:pPr>
            <w:r w:rsidRPr="008F77E6">
              <w:rPr>
                <w:rFonts w:ascii="Arial Narrow" w:hAnsi="Arial Narrow" w:cs="Arial Narrow"/>
                <w:b/>
                <w:color w:val="FFFFFF"/>
                <w:sz w:val="20"/>
                <w:szCs w:val="24"/>
              </w:rPr>
              <w:t>2009</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8F77E6" w:rsidP="00A70AF6">
            <w:pPr>
              <w:jc w:val="center"/>
              <w:rPr>
                <w:rFonts w:ascii="Arial Narrow" w:hAnsi="Arial Narrow" w:cs="Arial Narrow"/>
                <w:b/>
                <w:color w:val="FFFFFF"/>
                <w:sz w:val="20"/>
                <w:szCs w:val="24"/>
              </w:rPr>
            </w:pPr>
            <w:r w:rsidRPr="008F77E6">
              <w:rPr>
                <w:rFonts w:ascii="Arial Narrow" w:hAnsi="Arial Narrow" w:cs="Arial Narrow"/>
                <w:b/>
                <w:color w:val="FFFFFF"/>
                <w:sz w:val="20"/>
                <w:szCs w:val="24"/>
              </w:rPr>
              <w:t>2010</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8F77E6" w:rsidP="00A70AF6">
            <w:pPr>
              <w:jc w:val="center"/>
              <w:rPr>
                <w:rFonts w:ascii="Arial Narrow" w:hAnsi="Arial Narrow" w:cs="Arial Narrow"/>
                <w:b/>
                <w:color w:val="FFFFFF"/>
                <w:sz w:val="20"/>
                <w:szCs w:val="24"/>
              </w:rPr>
            </w:pPr>
            <w:r w:rsidRPr="008F77E6">
              <w:rPr>
                <w:rFonts w:ascii="Arial Narrow" w:hAnsi="Arial Narrow" w:cs="Arial Narrow"/>
                <w:b/>
                <w:color w:val="FFFFFF"/>
                <w:sz w:val="20"/>
                <w:szCs w:val="24"/>
              </w:rPr>
              <w:t>2011</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8F77E6" w:rsidP="00A70AF6">
            <w:pPr>
              <w:jc w:val="center"/>
              <w:rPr>
                <w:rFonts w:ascii="Arial Narrow" w:hAnsi="Arial Narrow" w:cs="Arial Narrow"/>
                <w:b/>
                <w:color w:val="FFFFFF"/>
                <w:sz w:val="20"/>
                <w:szCs w:val="24"/>
              </w:rPr>
            </w:pPr>
            <w:r w:rsidRPr="008F77E6">
              <w:rPr>
                <w:rFonts w:ascii="Arial Narrow" w:hAnsi="Arial Narrow" w:cs="Arial Narrow"/>
                <w:b/>
                <w:color w:val="FFFFFF"/>
                <w:sz w:val="20"/>
                <w:szCs w:val="24"/>
              </w:rPr>
              <w:t>2012</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Disponibilné zdroje zdravotných poisťovní</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3 627 534</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3 575 770</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3 805 884</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4 128 738</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 xml:space="preserve">MZ SR (bez </w:t>
            </w:r>
            <w:r>
              <w:rPr>
                <w:rFonts w:ascii="Arial Narrow" w:hAnsi="Arial Narrow" w:cs="Arial Narrow"/>
                <w:sz w:val="20"/>
                <w:szCs w:val="24"/>
              </w:rPr>
              <w:t>transferov na zdravotné poisťovne</w:t>
            </w:r>
            <w:r w:rsidRPr="0012379F">
              <w:rPr>
                <w:rFonts w:ascii="Arial Narrow" w:hAnsi="Arial Narrow" w:cs="Arial Narrow"/>
                <w:sz w:val="20"/>
                <w:szCs w:val="24"/>
              </w:rPr>
              <w:t>)</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134 630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145 032</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164 182</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103 360</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Iné rozpočtové kapitoly</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17 934</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18 491</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17 969</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18 008</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6"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VÚC, obce</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19 983</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20 248</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23 236</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24 631</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12379F" w:rsidP="00A70AF6">
            <w:pPr>
              <w:rPr>
                <w:rFonts w:ascii="Arial Narrow" w:hAnsi="Arial Narrow" w:cs="Arial Narrow"/>
                <w:b/>
                <w:sz w:val="20"/>
                <w:szCs w:val="24"/>
              </w:rPr>
            </w:pPr>
            <w:r w:rsidRPr="0012379F">
              <w:rPr>
                <w:rFonts w:ascii="Arial Narrow" w:hAnsi="Arial Narrow" w:cs="Arial Narrow"/>
                <w:b/>
                <w:sz w:val="20"/>
                <w:szCs w:val="24"/>
              </w:rPr>
              <w:t xml:space="preserve">Disponibilné verejné zdroje v zdravotníctve spolu </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3 800 081</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3 759 541</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4 011 271</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4 274 737</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2A4DD2" w:rsidP="00A70AF6">
            <w:pPr>
              <w:rPr>
                <w:rFonts w:ascii="Arial Narrow" w:hAnsi="Arial Narrow" w:cs="Arial Narrow"/>
                <w:b/>
                <w:sz w:val="20"/>
                <w:szCs w:val="24"/>
              </w:rPr>
            </w:pPr>
            <w:r w:rsidRPr="002A4DD2">
              <w:rPr>
                <w:rFonts w:ascii="Arial Narrow" w:hAnsi="Arial Narrow" w:cs="Arial Narrow"/>
                <w:b/>
                <w:sz w:val="20"/>
                <w:szCs w:val="24"/>
              </w:rPr>
              <w:t>medziročná zmena (v %)</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13,9</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-1,1</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6,7</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6,6</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Priame platby obyvateľstva</w:t>
            </w:r>
          </w:p>
        </w:tc>
        <w:tc>
          <w:tcPr>
            <w:tcW w:w="1125" w:type="dxa"/>
            <w:tcBorders>
              <w:top w:val="single" w:sz="6" w:space="0" w:color="auto"/>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1 165 106</w:t>
            </w:r>
          </w:p>
        </w:tc>
        <w:tc>
          <w:tcPr>
            <w:tcW w:w="1125" w:type="dxa"/>
            <w:tcBorders>
              <w:top w:val="single" w:sz="6" w:space="0" w:color="auto"/>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1 107 464</w:t>
            </w:r>
          </w:p>
        </w:tc>
        <w:tc>
          <w:tcPr>
            <w:tcW w:w="1125" w:type="dxa"/>
            <w:tcBorders>
              <w:top w:val="single" w:sz="6" w:space="0" w:color="auto"/>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1 152 870</w:t>
            </w:r>
          </w:p>
        </w:tc>
        <w:tc>
          <w:tcPr>
            <w:tcW w:w="1125" w:type="dxa"/>
            <w:tcBorders>
              <w:top w:val="single" w:sz="6" w:space="0" w:color="auto"/>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1 201 291</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12379F" w:rsidP="00A70AF6">
            <w:pPr>
              <w:rPr>
                <w:rFonts w:ascii="Arial Narrow" w:hAnsi="Arial Narrow" w:cs="Arial Narrow"/>
                <w:b/>
                <w:sz w:val="20"/>
                <w:szCs w:val="24"/>
              </w:rPr>
            </w:pPr>
            <w:r w:rsidRPr="0012379F">
              <w:rPr>
                <w:rFonts w:ascii="Arial Narrow" w:hAnsi="Arial Narrow" w:cs="Arial Narrow"/>
                <w:b/>
                <w:sz w:val="20"/>
                <w:szCs w:val="24"/>
              </w:rPr>
              <w:t>Celkové zdroje v zdravotníctve spolu</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4 965 187</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4 867 005</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5 164 141</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5 476 028</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2A4DD2" w:rsidP="00A70AF6">
            <w:pPr>
              <w:rPr>
                <w:rFonts w:ascii="Arial Narrow" w:hAnsi="Arial Narrow" w:cs="Arial Narrow"/>
                <w:b/>
                <w:sz w:val="20"/>
                <w:szCs w:val="24"/>
              </w:rPr>
            </w:pPr>
            <w:r w:rsidRPr="002A4DD2">
              <w:rPr>
                <w:rFonts w:ascii="Arial Narrow" w:hAnsi="Arial Narrow" w:cs="Arial Narrow"/>
                <w:b/>
                <w:sz w:val="20"/>
                <w:szCs w:val="24"/>
              </w:rPr>
              <w:t>medziročná zmena (v %)</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14,7</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-2,0</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6,1</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i/>
                <w:sz w:val="20"/>
                <w:szCs w:val="24"/>
              </w:rPr>
            </w:pPr>
            <w:r>
              <w:rPr>
                <w:rFonts w:ascii="Arial Narrow" w:hAnsi="Arial Narrow" w:cs="Arial Narrow"/>
                <w:i/>
                <w:sz w:val="20"/>
                <w:szCs w:val="24"/>
              </w:rPr>
              <w:t>6,0</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4" w:space="0" w:color="auto"/>
              <w:right w:val="single" w:sz="4"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Podiel celkových zdrojov na HDP v b.c. (v</w:t>
            </w:r>
            <w:r>
              <w:rPr>
                <w:rFonts w:ascii="Arial Narrow" w:hAnsi="Arial Narrow" w:cs="Arial Narrow"/>
                <w:sz w:val="20"/>
                <w:szCs w:val="24"/>
              </w:rPr>
              <w:t xml:space="preserve"> </w:t>
            </w:r>
            <w:r w:rsidRPr="0012379F">
              <w:rPr>
                <w:rFonts w:ascii="Arial Narrow" w:hAnsi="Arial Narrow" w:cs="Arial Narrow"/>
                <w:sz w:val="20"/>
                <w:szCs w:val="24"/>
              </w:rPr>
              <w:t>%)</w:t>
            </w:r>
          </w:p>
        </w:tc>
        <w:tc>
          <w:tcPr>
            <w:tcW w:w="1125" w:type="dxa"/>
            <w:tcBorders>
              <w:top w:val="single" w:sz="6" w:space="0" w:color="auto"/>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7,47</w:t>
            </w:r>
          </w:p>
        </w:tc>
        <w:tc>
          <w:tcPr>
            <w:tcW w:w="1125" w:type="dxa"/>
            <w:tcBorders>
              <w:top w:val="single" w:sz="6" w:space="0" w:color="auto"/>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7,22</w:t>
            </w:r>
          </w:p>
        </w:tc>
        <w:tc>
          <w:tcPr>
            <w:tcW w:w="1125" w:type="dxa"/>
            <w:tcBorders>
              <w:top w:val="single" w:sz="6" w:space="0" w:color="auto"/>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7,13</w:t>
            </w:r>
          </w:p>
        </w:tc>
        <w:tc>
          <w:tcPr>
            <w:tcW w:w="1125" w:type="dxa"/>
            <w:tcBorders>
              <w:top w:val="single" w:sz="6" w:space="0" w:color="auto"/>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6,94</w:t>
            </w:r>
          </w:p>
        </w:tc>
      </w:tr>
    </w:tbl>
    <w:p w:rsidR="00312541" w:rsidP="00312541">
      <w:pPr>
        <w:jc w:val="both"/>
        <w:rPr>
          <w:rFonts w:ascii="Arial Narrow" w:hAnsi="Arial Narrow" w:cs="Arial Narrow"/>
          <w:sz w:val="22"/>
          <w:szCs w:val="24"/>
        </w:rPr>
      </w:pPr>
    </w:p>
    <w:p w:rsidR="00312541" w:rsidRPr="00C5171C" w:rsidP="00312541">
      <w:pPr>
        <w:jc w:val="both"/>
        <w:rPr>
          <w:rFonts w:ascii="Arial Narrow" w:hAnsi="Arial Narrow" w:cs="Arial Narrow"/>
          <w:b/>
          <w:sz w:val="22"/>
          <w:szCs w:val="24"/>
        </w:rPr>
      </w:pPr>
      <w:r w:rsidRPr="00C5171C">
        <w:rPr>
          <w:rFonts w:ascii="Arial Narrow" w:hAnsi="Arial Narrow" w:cs="Arial Narrow"/>
          <w:b/>
          <w:sz w:val="22"/>
          <w:szCs w:val="24"/>
        </w:rPr>
        <w:tab/>
      </w:r>
      <w:r w:rsidRPr="00D935C5">
        <w:rPr>
          <w:rFonts w:ascii="Arial Narrow" w:hAnsi="Arial Narrow" w:cs="Arial Narrow"/>
          <w:b/>
          <w:sz w:val="22"/>
          <w:szCs w:val="24"/>
        </w:rPr>
        <w:t xml:space="preserve">Celkové zdroje v zdravotníctve rastú v roku 2010 oproti </w:t>
      </w:r>
      <w:r>
        <w:rPr>
          <w:rFonts w:ascii="Arial Narrow" w:hAnsi="Arial Narrow" w:cs="Arial Narrow"/>
          <w:b/>
          <w:sz w:val="22"/>
          <w:szCs w:val="24"/>
        </w:rPr>
        <w:t>predpokladanej</w:t>
      </w:r>
      <w:r w:rsidRPr="00D935C5">
        <w:rPr>
          <w:rFonts w:ascii="Arial Narrow" w:hAnsi="Arial Narrow" w:cs="Arial Narrow"/>
          <w:b/>
          <w:sz w:val="22"/>
          <w:szCs w:val="24"/>
        </w:rPr>
        <w:t xml:space="preserve"> skutočnosti roku 2009 o 5,88</w:t>
      </w:r>
      <w:r>
        <w:rPr>
          <w:rFonts w:ascii="Arial Narrow" w:hAnsi="Arial Narrow" w:cs="Arial Narrow"/>
          <w:b/>
          <w:sz w:val="22"/>
          <w:szCs w:val="24"/>
        </w:rPr>
        <w:t xml:space="preserve"> </w:t>
      </w:r>
      <w:r w:rsidRPr="00D935C5">
        <w:rPr>
          <w:rFonts w:ascii="Arial Narrow" w:hAnsi="Arial Narrow" w:cs="Arial Narrow"/>
          <w:b/>
          <w:sz w:val="22"/>
          <w:szCs w:val="24"/>
        </w:rPr>
        <w:t>%.</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C5171C">
        <w:rPr>
          <w:rFonts w:ascii="Arial Narrow" w:hAnsi="Arial Narrow" w:cs="Arial Narrow"/>
          <w:b/>
          <w:sz w:val="22"/>
          <w:szCs w:val="24"/>
        </w:rPr>
        <w:t>Celkové rozpočtované výdavky Ministerstva zdravotníctva SR</w:t>
      </w:r>
      <w:r w:rsidRPr="005D53B0">
        <w:rPr>
          <w:rFonts w:ascii="Arial Narrow" w:hAnsi="Arial Narrow" w:cs="Arial Narrow"/>
          <w:sz w:val="22"/>
          <w:szCs w:val="24"/>
        </w:rPr>
        <w:t xml:space="preserve"> vrátane poistného plateného štátom</w:t>
      </w:r>
      <w:r>
        <w:rPr>
          <w:rFonts w:ascii="Arial Narrow" w:hAnsi="Arial Narrow" w:cs="Arial Narrow"/>
          <w:sz w:val="22"/>
          <w:szCs w:val="24"/>
        </w:rPr>
        <w:t xml:space="preserve"> a zahraničných grantov</w:t>
      </w:r>
      <w:r w:rsidRPr="005D53B0">
        <w:rPr>
          <w:rFonts w:ascii="Arial Narrow" w:hAnsi="Arial Narrow" w:cs="Arial Narrow"/>
          <w:sz w:val="22"/>
          <w:szCs w:val="24"/>
        </w:rPr>
        <w:t xml:space="preserve"> </w:t>
      </w:r>
      <w:r w:rsidRPr="00C5171C">
        <w:rPr>
          <w:rFonts w:ascii="Arial Narrow" w:hAnsi="Arial Narrow" w:cs="Arial Narrow"/>
          <w:b/>
          <w:sz w:val="22"/>
          <w:szCs w:val="24"/>
        </w:rPr>
        <w:t>vzrástli</w:t>
      </w:r>
      <w:r w:rsidRPr="00D87144">
        <w:rPr>
          <w:rFonts w:ascii="Arial Narrow" w:hAnsi="Arial Narrow" w:cs="Arial Narrow"/>
          <w:sz w:val="22"/>
          <w:szCs w:val="24"/>
        </w:rPr>
        <w:t xml:space="preserve"> v roku 2010 </w:t>
      </w:r>
      <w:r w:rsidRPr="00C5171C">
        <w:rPr>
          <w:rFonts w:ascii="Arial Narrow" w:hAnsi="Arial Narrow" w:cs="Arial Narrow"/>
          <w:b/>
          <w:sz w:val="22"/>
          <w:szCs w:val="24"/>
        </w:rPr>
        <w:t>o 10,3 %</w:t>
      </w:r>
      <w:r w:rsidRPr="00D87144">
        <w:rPr>
          <w:rFonts w:ascii="Arial Narrow" w:hAnsi="Arial Narrow" w:cs="Arial Narrow"/>
          <w:sz w:val="22"/>
          <w:szCs w:val="24"/>
        </w:rPr>
        <w:t xml:space="preserve"> oproti roku 2009. </w:t>
      </w:r>
      <w:r>
        <w:rPr>
          <w:rFonts w:ascii="Arial Narrow" w:hAnsi="Arial Narrow" w:cs="Arial Narrow"/>
          <w:sz w:val="22"/>
          <w:szCs w:val="24"/>
        </w:rPr>
        <w:t xml:space="preserve">K nárastu výdavkov kapitoly v roku 2010, ako aj v nasledovných rokoch, prispieva okrem nárastu poistného plateného štátom aj objem EÚ prostriedkov z Operačného programu Zdravotníctvo a Operačného programu Vzdelávanie vrátane spolufinancovania. </w:t>
      </w:r>
    </w:p>
    <w:p w:rsidR="00312541" w:rsidP="00312541">
      <w:pPr>
        <w:jc w:val="both"/>
        <w:rPr>
          <w:rFonts w:ascii="Arial Narrow" w:hAnsi="Arial Narrow" w:cs="Arial Narrow"/>
          <w:sz w:val="22"/>
          <w:szCs w:val="24"/>
        </w:rPr>
      </w:pPr>
    </w:p>
    <w:tbl>
      <w:tblPr>
        <w:tblStyle w:val="TableNormal"/>
        <w:tblW w:w="9180" w:type="dxa"/>
        <w:tblInd w:w="70" w:type="dxa"/>
        <w:tblLayout w:type="fixed"/>
        <w:tblCellMar>
          <w:left w:w="70" w:type="dxa"/>
          <w:right w:w="70" w:type="dxa"/>
        </w:tblCellMar>
      </w:tblPr>
      <w:tblGrid>
        <w:gridCol w:w="4680"/>
        <w:gridCol w:w="1125"/>
        <w:gridCol w:w="1125"/>
        <w:gridCol w:w="1125"/>
        <w:gridCol w:w="1125"/>
      </w:tblGrid>
      <w:tr>
        <w:tblPrEx>
          <w:tblW w:w="9180" w:type="dxa"/>
          <w:tblInd w:w="70" w:type="dxa"/>
          <w:tblLayout w:type="fixed"/>
          <w:tblCellMar>
            <w:left w:w="70" w:type="dxa"/>
            <w:right w:w="70" w:type="dxa"/>
          </w:tblCellMar>
        </w:tblPrEx>
        <w:trPr>
          <w:trHeight w:val="227"/>
        </w:trPr>
        <w:tc>
          <w:tcPr>
            <w:tcW w:w="468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Bežné výdavky, z toho:</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1 240 216</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1 353 920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1 431 088</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1 532 098</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jc w:val="both"/>
              <w:rPr>
                <w:rFonts w:ascii="Arial Narrow" w:hAnsi="Arial Narrow" w:cs="Arial Narrow"/>
                <w:sz w:val="20"/>
                <w:szCs w:val="24"/>
              </w:rPr>
            </w:pPr>
            <w:r w:rsidRPr="0012379F">
              <w:rPr>
                <w:rFonts w:ascii="Arial Narrow" w:hAnsi="Arial Narrow" w:cs="Arial Narrow"/>
                <w:sz w:val="20"/>
                <w:szCs w:val="24"/>
              </w:rPr>
              <w:t>poistné platené štátom</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1 161 006</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1 282 678</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1 358 944</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1 459 119</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jc w:val="both"/>
              <w:rPr>
                <w:rFonts w:ascii="Arial Narrow" w:hAnsi="Arial Narrow" w:cs="Arial Narrow"/>
                <w:sz w:val="20"/>
                <w:szCs w:val="24"/>
              </w:rPr>
            </w:pPr>
            <w:r w:rsidRPr="0012379F">
              <w:rPr>
                <w:rFonts w:ascii="Arial Narrow" w:hAnsi="Arial Narrow" w:cs="Arial Narrow"/>
                <w:sz w:val="20"/>
                <w:szCs w:val="24"/>
              </w:rPr>
              <w:t>ostatné bežné výdavky</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79 210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71 242</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72 144</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72 979</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noWrap/>
            <w:textDirection w:val="lrTb"/>
            <w:vAlign w:val="bottom"/>
          </w:tcPr>
          <w:p w:rsidR="00312541" w:rsidRPr="0012379F" w:rsidP="00A70AF6">
            <w:pPr>
              <w:jc w:val="both"/>
              <w:rPr>
                <w:rFonts w:ascii="Arial Narrow" w:hAnsi="Arial Narrow" w:cs="Arial Narrow"/>
                <w:b/>
                <w:sz w:val="20"/>
                <w:szCs w:val="24"/>
              </w:rPr>
            </w:pPr>
            <w:r>
              <w:rPr>
                <w:rFonts w:ascii="Arial Narrow" w:hAnsi="Arial Narrow" w:cs="Arial Narrow"/>
                <w:b/>
                <w:sz w:val="20"/>
                <w:szCs w:val="24"/>
              </w:rPr>
              <w:t>Kapitálové výdavky</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26 555</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3 447</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3 810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3 810</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4" w:space="0" w:color="auto"/>
              <w:right w:val="single" w:sz="4" w:space="0" w:color="auto"/>
            </w:tcBorders>
            <w:textDirection w:val="lrTb"/>
            <w:vAlign w:val="bottom"/>
          </w:tcPr>
          <w:p w:rsidR="00312541" w:rsidRPr="0012379F" w:rsidP="00A70AF6">
            <w:pPr>
              <w:rPr>
                <w:rFonts w:ascii="Arial Narrow" w:hAnsi="Arial Narrow" w:cs="Arial Narrow"/>
                <w:b/>
                <w:sz w:val="20"/>
                <w:szCs w:val="24"/>
              </w:rPr>
            </w:pPr>
            <w:r w:rsidRPr="0012379F">
              <w:rPr>
                <w:rFonts w:ascii="Arial Narrow" w:hAnsi="Arial Narrow" w:cs="Arial Narrow"/>
                <w:b/>
                <w:sz w:val="20"/>
                <w:szCs w:val="24"/>
              </w:rPr>
              <w:t xml:space="preserve">Prostriedky EU, spolufinancovanie </w:t>
            </w:r>
          </w:p>
        </w:tc>
        <w:tc>
          <w:tcPr>
            <w:tcW w:w="1125" w:type="dxa"/>
            <w:tcBorders>
              <w:top w:val="nil"/>
              <w:left w:val="nil"/>
              <w:bottom w:val="single" w:sz="4" w:space="0" w:color="auto"/>
              <w:right w:val="single" w:sz="4" w:space="0" w:color="auto"/>
            </w:tcBorders>
            <w:noWrap/>
            <w:textDirection w:val="lrTb"/>
            <w:vAlign w:val="bottom"/>
          </w:tcPr>
          <w:p w:rsidR="00312541" w:rsidRPr="00D77EAB" w:rsidP="00A70AF6">
            <w:pPr>
              <w:jc w:val="right"/>
              <w:rPr>
                <w:rFonts w:ascii="Arial Narrow" w:hAnsi="Arial Narrow" w:cs="Arial Narrow"/>
                <w:b/>
                <w:sz w:val="20"/>
                <w:szCs w:val="24"/>
              </w:rPr>
            </w:pPr>
            <w:r w:rsidRPr="00D77EAB">
              <w:rPr>
                <w:rFonts w:ascii="Arial Narrow" w:hAnsi="Arial Narrow" w:cs="Arial Narrow"/>
                <w:b/>
                <w:sz w:val="20"/>
                <w:szCs w:val="24"/>
              </w:rPr>
              <w:t>38 638</w:t>
            </w:r>
          </w:p>
        </w:tc>
        <w:tc>
          <w:tcPr>
            <w:tcW w:w="1125" w:type="dxa"/>
            <w:tcBorders>
              <w:top w:val="nil"/>
              <w:left w:val="nil"/>
              <w:bottom w:val="single" w:sz="4" w:space="0" w:color="auto"/>
              <w:right w:val="single" w:sz="4" w:space="0" w:color="auto"/>
            </w:tcBorders>
            <w:noWrap/>
            <w:textDirection w:val="lrTb"/>
            <w:vAlign w:val="bottom"/>
          </w:tcPr>
          <w:p w:rsidR="00312541" w:rsidRPr="00D77EAB" w:rsidP="00A70AF6">
            <w:pPr>
              <w:jc w:val="right"/>
              <w:rPr>
                <w:rFonts w:ascii="Arial Narrow" w:hAnsi="Arial Narrow" w:cs="Arial Narrow"/>
                <w:b/>
                <w:sz w:val="20"/>
                <w:szCs w:val="24"/>
              </w:rPr>
            </w:pPr>
            <w:r w:rsidRPr="00D77EAB">
              <w:rPr>
                <w:rFonts w:ascii="Arial Narrow" w:hAnsi="Arial Narrow" w:cs="Arial Narrow"/>
                <w:b/>
                <w:sz w:val="20"/>
                <w:szCs w:val="24"/>
              </w:rPr>
              <w:t>82 165</w:t>
            </w:r>
          </w:p>
        </w:tc>
        <w:tc>
          <w:tcPr>
            <w:tcW w:w="1125" w:type="dxa"/>
            <w:tcBorders>
              <w:top w:val="nil"/>
              <w:left w:val="nil"/>
              <w:bottom w:val="single" w:sz="4" w:space="0" w:color="auto"/>
              <w:right w:val="single" w:sz="4" w:space="0" w:color="auto"/>
            </w:tcBorders>
            <w:noWrap/>
            <w:textDirection w:val="lrTb"/>
            <w:vAlign w:val="bottom"/>
          </w:tcPr>
          <w:p w:rsidR="00312541" w:rsidRPr="00D77EAB" w:rsidP="00A70AF6">
            <w:pPr>
              <w:jc w:val="right"/>
              <w:rPr>
                <w:rFonts w:ascii="Arial Narrow" w:hAnsi="Arial Narrow" w:cs="Arial Narrow"/>
                <w:b/>
                <w:sz w:val="20"/>
                <w:szCs w:val="24"/>
              </w:rPr>
            </w:pPr>
            <w:r w:rsidRPr="00D77EAB">
              <w:rPr>
                <w:rFonts w:ascii="Arial Narrow" w:hAnsi="Arial Narrow" w:cs="Arial Narrow"/>
                <w:b/>
                <w:sz w:val="20"/>
                <w:szCs w:val="24"/>
              </w:rPr>
              <w:t>100 719</w:t>
            </w:r>
          </w:p>
        </w:tc>
        <w:tc>
          <w:tcPr>
            <w:tcW w:w="1125" w:type="dxa"/>
            <w:tcBorders>
              <w:top w:val="nil"/>
              <w:left w:val="nil"/>
              <w:bottom w:val="single" w:sz="4" w:space="0" w:color="auto"/>
              <w:right w:val="single" w:sz="4" w:space="0" w:color="auto"/>
            </w:tcBorders>
            <w:noWrap/>
            <w:textDirection w:val="lrTb"/>
            <w:vAlign w:val="bottom"/>
          </w:tcPr>
          <w:p w:rsidR="00312541" w:rsidRPr="00D77EAB" w:rsidP="00A70AF6">
            <w:pPr>
              <w:jc w:val="right"/>
              <w:rPr>
                <w:rFonts w:ascii="Arial Narrow" w:hAnsi="Arial Narrow" w:cs="Arial Narrow"/>
                <w:b/>
                <w:sz w:val="20"/>
                <w:szCs w:val="24"/>
              </w:rPr>
            </w:pPr>
            <w:r w:rsidRPr="00D77EAB">
              <w:rPr>
                <w:rFonts w:ascii="Arial Narrow" w:hAnsi="Arial Narrow" w:cs="Arial Narrow"/>
                <w:b/>
                <w:sz w:val="20"/>
                <w:szCs w:val="24"/>
              </w:rPr>
              <w:t>39 993</w:t>
            </w:r>
          </w:p>
        </w:tc>
      </w:tr>
      <w:tr>
        <w:tblPrEx>
          <w:tblW w:w="9180" w:type="dxa"/>
          <w:tblInd w:w="70" w:type="dxa"/>
          <w:tblLayout w:type="fixed"/>
          <w:tblCellMar>
            <w:left w:w="70" w:type="dxa"/>
            <w:right w:w="70" w:type="dxa"/>
          </w:tblCellMar>
        </w:tblPrEx>
        <w:trPr>
          <w:trHeight w:val="227"/>
        </w:trPr>
        <w:tc>
          <w:tcPr>
            <w:tcW w:w="4680" w:type="dxa"/>
            <w:tcBorders>
              <w:top w:val="nil"/>
              <w:left w:val="single" w:sz="4" w:space="0" w:color="auto"/>
              <w:bottom w:val="single" w:sz="6" w:space="0" w:color="auto"/>
              <w:right w:val="single" w:sz="4" w:space="0" w:color="auto"/>
            </w:tcBorders>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Zahraničné granty*</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258</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188</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95</w:t>
            </w:r>
          </w:p>
        </w:tc>
        <w:tc>
          <w:tcPr>
            <w:tcW w:w="1125" w:type="dxa"/>
            <w:tcBorders>
              <w:top w:val="nil"/>
              <w:left w:val="nil"/>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0</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Výdavky Ministerstva zdravotníctva SR celkom</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1 305 667</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1 439 720</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1 535 712</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1 575 901</w:t>
            </w:r>
          </w:p>
        </w:tc>
      </w:tr>
    </w:tbl>
    <w:p w:rsidR="00312541" w:rsidRPr="00C318D6" w:rsidP="00312541">
      <w:pPr>
        <w:jc w:val="both"/>
        <w:rPr>
          <w:rFonts w:ascii="Arial Narrow" w:hAnsi="Arial Narrow" w:cs="Arial Narrow"/>
          <w:sz w:val="16"/>
          <w:szCs w:val="24"/>
        </w:rPr>
      </w:pPr>
      <w:r>
        <w:rPr>
          <w:rFonts w:ascii="Arial Narrow" w:hAnsi="Arial Narrow" w:cs="Arial Narrow"/>
          <w:sz w:val="16"/>
          <w:szCs w:val="24"/>
        </w:rPr>
        <w:t>*</w:t>
      </w:r>
      <w:r w:rsidRPr="00C318D6">
        <w:rPr>
          <w:rFonts w:ascii="Arial Narrow" w:hAnsi="Arial Narrow" w:cs="Arial Narrow"/>
          <w:sz w:val="16"/>
          <w:szCs w:val="24"/>
        </w:rPr>
        <w:t>Prechodný fond, Nórsky finančný mechanizmus, Finančný mechanizmus EHP vrátane spolufinancovania</w:t>
      </w: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5D53B0">
        <w:rPr>
          <w:rFonts w:ascii="Arial Narrow" w:hAnsi="Arial Narrow" w:cs="Arial Narrow"/>
          <w:sz w:val="22"/>
          <w:szCs w:val="24"/>
        </w:rPr>
        <w:t>Poistné platené štátom je určené pre zákonom vymedzené kategórie</w:t>
      </w:r>
      <w:r>
        <w:rPr>
          <w:rFonts w:ascii="Arial Narrow" w:hAnsi="Arial Narrow" w:cs="Arial Narrow"/>
          <w:sz w:val="22"/>
          <w:szCs w:val="24"/>
        </w:rPr>
        <w:t xml:space="preserve"> obyvateľov.</w:t>
      </w:r>
      <w:r w:rsidRPr="005D53B0">
        <w:rPr>
          <w:rFonts w:ascii="Arial Narrow" w:hAnsi="Arial Narrow" w:cs="Arial Narrow"/>
          <w:sz w:val="22"/>
          <w:szCs w:val="24"/>
        </w:rPr>
        <w:t xml:space="preserve"> </w:t>
      </w:r>
      <w:r w:rsidRPr="003F5E5F">
        <w:rPr>
          <w:rFonts w:ascii="Arial Narrow" w:hAnsi="Arial Narrow" w:cs="Arial Narrow"/>
          <w:b/>
          <w:sz w:val="22"/>
          <w:szCs w:val="24"/>
        </w:rPr>
        <w:t>Objem poistného</w:t>
      </w:r>
      <w:r w:rsidRPr="00E92826">
        <w:rPr>
          <w:rFonts w:ascii="Arial Narrow" w:hAnsi="Arial Narrow" w:cs="Arial Narrow"/>
          <w:sz w:val="22"/>
          <w:szCs w:val="24"/>
        </w:rPr>
        <w:t xml:space="preserve"> na úrovni 1</w:t>
      </w:r>
      <w:r>
        <w:rPr>
          <w:rFonts w:ascii="Arial Narrow" w:hAnsi="Arial Narrow" w:cs="Arial Narrow"/>
          <w:sz w:val="22"/>
          <w:szCs w:val="24"/>
        </w:rPr>
        <w:t>,</w:t>
      </w:r>
      <w:r w:rsidRPr="00E92826">
        <w:rPr>
          <w:rFonts w:ascii="Arial Narrow" w:hAnsi="Arial Narrow" w:cs="Arial Narrow"/>
          <w:sz w:val="22"/>
          <w:szCs w:val="24"/>
        </w:rPr>
        <w:t>28 m</w:t>
      </w:r>
      <w:r>
        <w:rPr>
          <w:rFonts w:ascii="Arial Narrow" w:hAnsi="Arial Narrow" w:cs="Arial Narrow"/>
          <w:sz w:val="22"/>
          <w:szCs w:val="24"/>
        </w:rPr>
        <w:t>ld</w:t>
      </w:r>
      <w:r w:rsidRPr="00E92826">
        <w:rPr>
          <w:rFonts w:ascii="Arial Narrow" w:hAnsi="Arial Narrow" w:cs="Arial Narrow"/>
          <w:sz w:val="22"/>
          <w:szCs w:val="24"/>
        </w:rPr>
        <w:t xml:space="preserve">. </w:t>
      </w:r>
      <w:r>
        <w:rPr>
          <w:rFonts w:ascii="Arial Narrow" w:hAnsi="Arial Narrow" w:cs="Arial Narrow"/>
          <w:sz w:val="22"/>
          <w:szCs w:val="24"/>
        </w:rPr>
        <w:t xml:space="preserve">eur pre rok 2010 </w:t>
      </w:r>
      <w:r w:rsidRPr="003F5E5F">
        <w:rPr>
          <w:rFonts w:ascii="Arial Narrow" w:hAnsi="Arial Narrow" w:cs="Arial Narrow"/>
          <w:b/>
          <w:sz w:val="22"/>
          <w:szCs w:val="24"/>
        </w:rPr>
        <w:t>vzrástol o 10,5 %</w:t>
      </w:r>
      <w:r w:rsidRPr="00E92826">
        <w:rPr>
          <w:rFonts w:ascii="Arial Narrow" w:hAnsi="Arial Narrow" w:cs="Arial Narrow"/>
          <w:sz w:val="22"/>
          <w:szCs w:val="24"/>
        </w:rPr>
        <w:t xml:space="preserve"> oproti roku 2009 a predstavuje nárast</w:t>
      </w:r>
      <w:r>
        <w:rPr>
          <w:rFonts w:ascii="Arial Narrow" w:hAnsi="Arial Narrow" w:cs="Arial Narrow"/>
          <w:sz w:val="22"/>
          <w:szCs w:val="24"/>
        </w:rPr>
        <w:t xml:space="preserve"> </w:t>
      </w:r>
      <w:r w:rsidRPr="00E92826">
        <w:rPr>
          <w:rFonts w:ascii="Arial Narrow" w:hAnsi="Arial Narrow" w:cs="Arial Narrow"/>
          <w:sz w:val="22"/>
          <w:szCs w:val="24"/>
        </w:rPr>
        <w:t>oproti roku 2006 o 65,</w:t>
      </w:r>
      <w:r>
        <w:rPr>
          <w:rFonts w:ascii="Arial Narrow" w:hAnsi="Arial Narrow" w:cs="Arial Narrow"/>
          <w:sz w:val="22"/>
          <w:szCs w:val="24"/>
        </w:rPr>
        <w:t xml:space="preserve">1 </w:t>
      </w:r>
      <w:r w:rsidRPr="00E92826">
        <w:rPr>
          <w:rFonts w:ascii="Arial Narrow" w:hAnsi="Arial Narrow" w:cs="Arial Narrow"/>
          <w:sz w:val="22"/>
          <w:szCs w:val="24"/>
        </w:rPr>
        <w:t>%.</w:t>
      </w:r>
      <w:r>
        <w:rPr>
          <w:rFonts w:ascii="Arial Narrow" w:hAnsi="Arial Narrow" w:cs="Arial Narrow"/>
          <w:sz w:val="22"/>
          <w:szCs w:val="24"/>
        </w:rPr>
        <w:t xml:space="preserve"> </w:t>
      </w:r>
    </w:p>
    <w:p w:rsidR="00312541" w:rsidP="00312541">
      <w:pPr>
        <w:ind w:firstLine="708"/>
        <w:jc w:val="both"/>
        <w:rPr>
          <w:rFonts w:ascii="Arial Narrow" w:hAnsi="Arial Narrow" w:cs="Arial Narrow"/>
          <w:sz w:val="22"/>
          <w:szCs w:val="24"/>
        </w:rPr>
      </w:pPr>
    </w:p>
    <w:p w:rsidR="00312541" w:rsidRPr="00CB7D3E" w:rsidP="00312541">
      <w:pPr>
        <w:ind w:firstLine="708"/>
        <w:jc w:val="both"/>
        <w:rPr>
          <w:rFonts w:ascii="Arial Narrow" w:hAnsi="Arial Narrow" w:cs="Arial Narrow"/>
          <w:sz w:val="22"/>
          <w:szCs w:val="24"/>
        </w:rPr>
      </w:pPr>
      <w:r>
        <w:rPr>
          <w:rFonts w:ascii="Arial Narrow" w:hAnsi="Arial Narrow" w:cs="Arial Narrow"/>
          <w:sz w:val="22"/>
          <w:szCs w:val="24"/>
        </w:rPr>
        <w:t xml:space="preserve">Prostredníctvom </w:t>
      </w:r>
      <w:r w:rsidRPr="005D53B0">
        <w:rPr>
          <w:rFonts w:ascii="Arial Narrow" w:hAnsi="Arial Narrow" w:cs="Arial Narrow"/>
          <w:sz w:val="22"/>
          <w:szCs w:val="24"/>
        </w:rPr>
        <w:t>Ministerstva zdravotníctva SR sa zabezpečuje financovanie činností v pôsobnosti úradu a financovanie rozpočtových a príspevkových organizácií. Najvýraznejší podiel na</w:t>
      </w:r>
      <w:r>
        <w:rPr>
          <w:rFonts w:ascii="Arial Narrow" w:hAnsi="Arial Narrow" w:cs="Arial Narrow"/>
          <w:sz w:val="22"/>
          <w:szCs w:val="24"/>
        </w:rPr>
        <w:t xml:space="preserve"> bežných</w:t>
      </w:r>
      <w:r w:rsidRPr="005D53B0">
        <w:rPr>
          <w:rFonts w:ascii="Arial Narrow" w:hAnsi="Arial Narrow" w:cs="Arial Narrow"/>
          <w:sz w:val="22"/>
          <w:szCs w:val="24"/>
        </w:rPr>
        <w:t xml:space="preserve"> výdavkoch</w:t>
      </w:r>
      <w:r>
        <w:rPr>
          <w:rFonts w:ascii="Arial Narrow" w:hAnsi="Arial Narrow" w:cs="Arial Narrow"/>
          <w:sz w:val="22"/>
          <w:szCs w:val="24"/>
        </w:rPr>
        <w:t xml:space="preserve"> kapitoly tvoria výdavky Úradu verejného zdravotníctva SR a regionálnych ú</w:t>
      </w:r>
      <w:r w:rsidRPr="005D53B0">
        <w:rPr>
          <w:rFonts w:ascii="Arial Narrow" w:hAnsi="Arial Narrow" w:cs="Arial Narrow"/>
          <w:sz w:val="22"/>
          <w:szCs w:val="24"/>
        </w:rPr>
        <w:t>rad</w:t>
      </w:r>
      <w:r>
        <w:rPr>
          <w:rFonts w:ascii="Arial Narrow" w:hAnsi="Arial Narrow" w:cs="Arial Narrow"/>
          <w:sz w:val="22"/>
          <w:szCs w:val="24"/>
        </w:rPr>
        <w:t>ov</w:t>
      </w:r>
      <w:r w:rsidRPr="005D53B0">
        <w:rPr>
          <w:rFonts w:ascii="Arial Narrow" w:hAnsi="Arial Narrow" w:cs="Arial Narrow"/>
          <w:sz w:val="22"/>
          <w:szCs w:val="24"/>
        </w:rPr>
        <w:t xml:space="preserve"> verejného zdravot</w:t>
      </w:r>
      <w:r>
        <w:rPr>
          <w:rFonts w:ascii="Arial Narrow" w:hAnsi="Arial Narrow" w:cs="Arial Narrow"/>
          <w:sz w:val="22"/>
          <w:szCs w:val="24"/>
        </w:rPr>
        <w:t xml:space="preserve">níctva, ktoré pôsobia </w:t>
      </w:r>
      <w:r w:rsidRPr="00CB7D3E">
        <w:rPr>
          <w:rFonts w:ascii="Arial Narrow" w:hAnsi="Arial Narrow" w:cs="Arial Narrow"/>
          <w:sz w:val="22"/>
          <w:szCs w:val="24"/>
        </w:rPr>
        <w:t>na úseku ochrany, podpory a rozvoja verejného zdravia</w:t>
      </w:r>
      <w:r>
        <w:rPr>
          <w:rFonts w:ascii="Arial Narrow" w:hAnsi="Arial Narrow" w:cs="Arial Narrow"/>
          <w:sz w:val="22"/>
          <w:szCs w:val="24"/>
        </w:rPr>
        <w:t xml:space="preserve"> na regionálnej úrovni. Na ich financovanie sa v roku 2010 predpokladajú prostriedky vo výške 33,4 mil. eur.</w:t>
      </w:r>
    </w:p>
    <w:p w:rsidR="00312541" w:rsidRPr="005D53B0" w:rsidP="00312541">
      <w:pPr>
        <w:jc w:val="both"/>
        <w:rPr>
          <w:rFonts w:ascii="Arial Narrow" w:hAnsi="Arial Narrow" w:cs="Arial Narrow"/>
          <w:sz w:val="22"/>
          <w:szCs w:val="24"/>
        </w:rPr>
      </w:pPr>
    </w:p>
    <w:p w:rsidR="00312541" w:rsidRPr="005D53B0" w:rsidP="00312541">
      <w:pPr>
        <w:ind w:firstLine="708"/>
        <w:jc w:val="both"/>
        <w:rPr>
          <w:rFonts w:ascii="Arial Narrow" w:hAnsi="Arial Narrow" w:cs="Arial Narrow"/>
          <w:sz w:val="22"/>
          <w:szCs w:val="24"/>
        </w:rPr>
      </w:pPr>
      <w:r w:rsidRPr="005D53B0">
        <w:rPr>
          <w:rFonts w:ascii="Arial Narrow" w:hAnsi="Arial Narrow" w:cs="Arial Narrow"/>
          <w:sz w:val="22"/>
          <w:szCs w:val="24"/>
        </w:rPr>
        <w:t xml:space="preserve">Kapitálové výdavky Ministerstva zdravotníctva SR </w:t>
      </w:r>
      <w:r>
        <w:rPr>
          <w:rFonts w:ascii="Arial Narrow" w:hAnsi="Arial Narrow" w:cs="Arial Narrow"/>
          <w:sz w:val="22"/>
          <w:szCs w:val="24"/>
        </w:rPr>
        <w:t xml:space="preserve">predstavujú zo zdrojov rozpočtových prostriedkov kapitoly na rok 2010 výšku </w:t>
      </w:r>
      <w:r w:rsidRPr="00DE11B8">
        <w:rPr>
          <w:rFonts w:ascii="Arial Narrow" w:hAnsi="Arial Narrow" w:cs="Arial Narrow"/>
          <w:sz w:val="22"/>
          <w:szCs w:val="24"/>
        </w:rPr>
        <w:t>3,4</w:t>
      </w:r>
      <w:r>
        <w:rPr>
          <w:rFonts w:ascii="Arial Narrow" w:hAnsi="Arial Narrow" w:cs="Arial Narrow"/>
          <w:sz w:val="22"/>
          <w:szCs w:val="24"/>
        </w:rPr>
        <w:t>5</w:t>
      </w:r>
      <w:r w:rsidRPr="00DE11B8">
        <w:rPr>
          <w:rFonts w:ascii="Arial Narrow" w:hAnsi="Arial Narrow" w:cs="Arial Narrow"/>
          <w:sz w:val="22"/>
          <w:szCs w:val="24"/>
        </w:rPr>
        <w:t xml:space="preserve"> mil</w:t>
      </w:r>
      <w:r>
        <w:rPr>
          <w:rFonts w:ascii="Arial Narrow" w:hAnsi="Arial Narrow" w:cs="Arial Narrow"/>
          <w:sz w:val="22"/>
          <w:szCs w:val="24"/>
        </w:rPr>
        <w:t xml:space="preserve">. eur a na roky 2011 až 2012 </w:t>
      </w:r>
      <w:r w:rsidRPr="00DE11B8">
        <w:rPr>
          <w:rFonts w:ascii="Arial Narrow" w:hAnsi="Arial Narrow" w:cs="Arial Narrow"/>
          <w:sz w:val="22"/>
          <w:szCs w:val="24"/>
        </w:rPr>
        <w:t>úroveň 3,8</w:t>
      </w:r>
      <w:r>
        <w:rPr>
          <w:rFonts w:ascii="Arial Narrow" w:hAnsi="Arial Narrow" w:cs="Arial Narrow"/>
          <w:sz w:val="22"/>
          <w:szCs w:val="24"/>
        </w:rPr>
        <w:t xml:space="preserve">1 mil. eur. </w:t>
      </w:r>
      <w:r w:rsidRPr="005D53B0">
        <w:rPr>
          <w:rFonts w:ascii="Arial Narrow" w:hAnsi="Arial Narrow" w:cs="Arial Narrow"/>
          <w:sz w:val="22"/>
          <w:szCs w:val="24"/>
        </w:rPr>
        <w:t xml:space="preserve">Prostriedky sú určené pre financovanie investičných akcií rozpočtových a príspevkových organizácií v pôsobnosti Ministerstva zdravotníctva SR. </w:t>
      </w:r>
      <w:r>
        <w:rPr>
          <w:rFonts w:ascii="Arial Narrow" w:hAnsi="Arial Narrow" w:cs="Arial Narrow"/>
          <w:sz w:val="22"/>
          <w:szCs w:val="24"/>
        </w:rPr>
        <w:t>Na modernizáciu zdravotníctva sú určené aj EÚ prostriedky prostredníctvom Operačného</w:t>
      </w:r>
      <w:r w:rsidRPr="005D53B0">
        <w:rPr>
          <w:rFonts w:ascii="Arial Narrow" w:hAnsi="Arial Narrow" w:cs="Arial Narrow"/>
          <w:sz w:val="22"/>
          <w:szCs w:val="24"/>
        </w:rPr>
        <w:t xml:space="preserve"> program</w:t>
      </w:r>
      <w:r>
        <w:rPr>
          <w:rFonts w:ascii="Arial Narrow" w:hAnsi="Arial Narrow" w:cs="Arial Narrow"/>
          <w:sz w:val="22"/>
          <w:szCs w:val="24"/>
        </w:rPr>
        <w:t>u</w:t>
      </w:r>
      <w:r w:rsidRPr="005D53B0">
        <w:rPr>
          <w:rFonts w:ascii="Arial Narrow" w:hAnsi="Arial Narrow" w:cs="Arial Narrow"/>
          <w:sz w:val="22"/>
          <w:szCs w:val="24"/>
        </w:rPr>
        <w:t xml:space="preserve"> Zdravotníctvo</w:t>
      </w:r>
      <w:r>
        <w:rPr>
          <w:rFonts w:ascii="Arial Narrow" w:hAnsi="Arial Narrow" w:cs="Arial Narrow"/>
          <w:sz w:val="22"/>
          <w:szCs w:val="24"/>
        </w:rPr>
        <w:t>.</w:t>
      </w:r>
    </w:p>
    <w:p w:rsidR="00312541" w:rsidRPr="005D53B0"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5D53B0">
        <w:rPr>
          <w:rFonts w:ascii="Arial Narrow" w:hAnsi="Arial Narrow" w:cs="Arial Narrow"/>
          <w:sz w:val="22"/>
          <w:szCs w:val="24"/>
        </w:rPr>
        <w:t>Od roku 2008 sú pre rezort zdravotníctva</w:t>
      </w:r>
      <w:r>
        <w:rPr>
          <w:rFonts w:ascii="Arial Narrow" w:hAnsi="Arial Narrow" w:cs="Arial Narrow"/>
          <w:sz w:val="22"/>
          <w:szCs w:val="24"/>
        </w:rPr>
        <w:t xml:space="preserve"> rozpočtované</w:t>
      </w:r>
      <w:r w:rsidRPr="005D53B0">
        <w:rPr>
          <w:rFonts w:ascii="Arial Narrow" w:hAnsi="Arial Narrow" w:cs="Arial Narrow"/>
          <w:sz w:val="22"/>
          <w:szCs w:val="24"/>
        </w:rPr>
        <w:t xml:space="preserve"> EÚ prostriedky 2. programov</w:t>
      </w:r>
      <w:r>
        <w:rPr>
          <w:rFonts w:ascii="Arial Narrow" w:hAnsi="Arial Narrow" w:cs="Arial Narrow"/>
          <w:sz w:val="22"/>
          <w:szCs w:val="24"/>
        </w:rPr>
        <w:t>ého</w:t>
      </w:r>
      <w:r w:rsidRPr="005D53B0">
        <w:rPr>
          <w:rFonts w:ascii="Arial Narrow" w:hAnsi="Arial Narrow" w:cs="Arial Narrow"/>
          <w:sz w:val="22"/>
          <w:szCs w:val="24"/>
        </w:rPr>
        <w:t xml:space="preserve"> obdobia </w:t>
      </w:r>
      <w:r>
        <w:rPr>
          <w:rFonts w:ascii="Arial Narrow" w:hAnsi="Arial Narrow" w:cs="Arial Narrow"/>
          <w:sz w:val="22"/>
          <w:szCs w:val="24"/>
        </w:rPr>
        <w:t>prostredníctvom</w:t>
      </w:r>
      <w:r w:rsidRPr="005D53B0">
        <w:rPr>
          <w:rFonts w:ascii="Arial Narrow" w:hAnsi="Arial Narrow" w:cs="Arial Narrow"/>
          <w:sz w:val="22"/>
          <w:szCs w:val="24"/>
        </w:rPr>
        <w:t xml:space="preserve"> Operačn</w:t>
      </w:r>
      <w:r>
        <w:rPr>
          <w:rFonts w:ascii="Arial Narrow" w:hAnsi="Arial Narrow" w:cs="Arial Narrow"/>
          <w:sz w:val="22"/>
          <w:szCs w:val="24"/>
        </w:rPr>
        <w:t>ého</w:t>
      </w:r>
      <w:r w:rsidRPr="005D53B0">
        <w:rPr>
          <w:rFonts w:ascii="Arial Narrow" w:hAnsi="Arial Narrow" w:cs="Arial Narrow"/>
          <w:sz w:val="22"/>
          <w:szCs w:val="24"/>
        </w:rPr>
        <w:t xml:space="preserve"> program</w:t>
      </w:r>
      <w:r>
        <w:rPr>
          <w:rFonts w:ascii="Arial Narrow" w:hAnsi="Arial Narrow" w:cs="Arial Narrow"/>
          <w:sz w:val="22"/>
          <w:szCs w:val="24"/>
        </w:rPr>
        <w:t>u</w:t>
      </w:r>
      <w:r w:rsidRPr="005D53B0">
        <w:rPr>
          <w:rFonts w:ascii="Arial Narrow" w:hAnsi="Arial Narrow" w:cs="Arial Narrow"/>
          <w:sz w:val="22"/>
          <w:szCs w:val="24"/>
        </w:rPr>
        <w:t xml:space="preserve"> Zdravotníctvo, ktorý je zameraný na výstavbu, rekonštrukciu a modernizáciu všeobecných, špecializovaných nemocníc, ambulantnej zdravotnej starostlivosti a obnovu a modernizáciu zdr</w:t>
      </w:r>
      <w:r>
        <w:rPr>
          <w:rFonts w:ascii="Arial Narrow" w:hAnsi="Arial Narrow" w:cs="Arial Narrow"/>
          <w:sz w:val="22"/>
          <w:szCs w:val="24"/>
        </w:rPr>
        <w:t>avotníckej techniky a prostredníctvom Operačného</w:t>
      </w:r>
      <w:r w:rsidRPr="005D53B0">
        <w:rPr>
          <w:rFonts w:ascii="Arial Narrow" w:hAnsi="Arial Narrow" w:cs="Arial Narrow"/>
          <w:sz w:val="22"/>
          <w:szCs w:val="24"/>
        </w:rPr>
        <w:t xml:space="preserve"> program</w:t>
      </w:r>
      <w:r>
        <w:rPr>
          <w:rFonts w:ascii="Arial Narrow" w:hAnsi="Arial Narrow" w:cs="Arial Narrow"/>
          <w:sz w:val="22"/>
          <w:szCs w:val="24"/>
        </w:rPr>
        <w:t>u</w:t>
      </w:r>
      <w:r w:rsidRPr="005D53B0">
        <w:rPr>
          <w:rFonts w:ascii="Arial Narrow" w:hAnsi="Arial Narrow" w:cs="Arial Narrow"/>
          <w:sz w:val="22"/>
          <w:szCs w:val="24"/>
        </w:rPr>
        <w:t xml:space="preserve"> Vzdelávanie so zameraním najmä na podporu ďalšieho vzdelávania </w:t>
      </w:r>
      <w:r>
        <w:rPr>
          <w:rFonts w:ascii="Arial Narrow" w:hAnsi="Arial Narrow" w:cs="Arial Narrow"/>
          <w:sz w:val="22"/>
          <w:szCs w:val="24"/>
        </w:rPr>
        <w:t>zdravotníckych pracovníkov</w:t>
      </w:r>
      <w:r w:rsidRPr="005D53B0">
        <w:rPr>
          <w:rFonts w:ascii="Arial Narrow" w:hAnsi="Arial Narrow" w:cs="Arial Narrow"/>
          <w:sz w:val="22"/>
          <w:szCs w:val="24"/>
        </w:rPr>
        <w:t xml:space="preserve">. </w:t>
      </w:r>
    </w:p>
    <w:p w:rsidR="00312541" w:rsidP="00312541">
      <w:pPr>
        <w:jc w:val="both"/>
        <w:rPr>
          <w:rFonts w:ascii="Arial Narrow" w:hAnsi="Arial Narrow" w:cs="Arial Narrow"/>
          <w:sz w:val="22"/>
          <w:szCs w:val="24"/>
        </w:rPr>
      </w:pPr>
    </w:p>
    <w:tbl>
      <w:tblPr>
        <w:tblStyle w:val="TableNormal"/>
        <w:tblW w:w="9180" w:type="dxa"/>
        <w:tblInd w:w="70" w:type="dxa"/>
        <w:tblLayout w:type="fixed"/>
        <w:tblCellMar>
          <w:left w:w="70" w:type="dxa"/>
          <w:right w:w="70" w:type="dxa"/>
        </w:tblCellMar>
      </w:tblPr>
      <w:tblGrid>
        <w:gridCol w:w="4680"/>
        <w:gridCol w:w="1125"/>
        <w:gridCol w:w="1125"/>
        <w:gridCol w:w="1125"/>
        <w:gridCol w:w="1125"/>
      </w:tblGrid>
      <w:tr>
        <w:tblPrEx>
          <w:tblW w:w="9180" w:type="dxa"/>
          <w:tblInd w:w="70" w:type="dxa"/>
          <w:tblLayout w:type="fixed"/>
          <w:tblCellMar>
            <w:left w:w="70" w:type="dxa"/>
            <w:right w:w="70" w:type="dxa"/>
          </w:tblCellMar>
        </w:tblPrEx>
        <w:trPr>
          <w:trHeight w:val="227"/>
        </w:trPr>
        <w:tc>
          <w:tcPr>
            <w:tcW w:w="4680" w:type="dxa"/>
            <w:tcBorders>
              <w:top w:val="single" w:sz="4" w:space="0" w:color="auto"/>
              <w:left w:val="single" w:sz="4" w:space="0" w:color="auto"/>
              <w:bottom w:val="single" w:sz="6" w:space="0" w:color="auto"/>
              <w:right w:val="single" w:sz="6"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6" w:space="0" w:color="auto"/>
              <w:bottom w:val="single" w:sz="6" w:space="0" w:color="auto"/>
              <w:right w:val="single" w:sz="6"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6" w:space="0" w:color="auto"/>
              <w:bottom w:val="single" w:sz="6" w:space="0" w:color="auto"/>
              <w:right w:val="single" w:sz="6"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6" w:space="0" w:color="auto"/>
              <w:bottom w:val="single" w:sz="6" w:space="0" w:color="auto"/>
              <w:right w:val="single" w:sz="6"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6" w:space="0" w:color="auto"/>
              <w:bottom w:val="single" w:sz="6"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shd w:val="clear" w:color="auto" w:fill="A6A6A6"/>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2. programové obdobie</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38 638</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82 165</w:t>
            </w:r>
          </w:p>
        </w:tc>
        <w:tc>
          <w:tcPr>
            <w:tcW w:w="1125" w:type="dxa"/>
            <w:tcBorders>
              <w:top w:val="single" w:sz="6" w:space="0" w:color="auto"/>
              <w:left w:val="single" w:sz="6" w:space="0" w:color="auto"/>
              <w:bottom w:val="single" w:sz="6" w:space="0" w:color="auto"/>
              <w:right w:val="single" w:sz="6"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100 719</w:t>
            </w:r>
          </w:p>
        </w:tc>
        <w:tc>
          <w:tcPr>
            <w:tcW w:w="1125" w:type="dxa"/>
            <w:tcBorders>
              <w:top w:val="single" w:sz="6" w:space="0" w:color="auto"/>
              <w:left w:val="single" w:sz="6" w:space="0" w:color="auto"/>
              <w:bottom w:val="single" w:sz="6" w:space="0" w:color="auto"/>
              <w:right w:val="single" w:sz="4" w:space="0" w:color="auto"/>
            </w:tcBorders>
            <w:shd w:val="clear" w:color="auto" w:fill="A6A6A6"/>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39 993</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Operačný program Zdravotníctvo</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35 020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73 193</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90 876</w:t>
            </w:r>
          </w:p>
        </w:tc>
        <w:tc>
          <w:tcPr>
            <w:tcW w:w="1125" w:type="dxa"/>
            <w:tcBorders>
              <w:top w:val="single" w:sz="6" w:space="0" w:color="auto"/>
              <w:left w:val="single" w:sz="6" w:space="0" w:color="auto"/>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30 285</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 xml:space="preserve">     EÚ prostriedky</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29 767</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62 214</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77 245</w:t>
            </w:r>
          </w:p>
        </w:tc>
        <w:tc>
          <w:tcPr>
            <w:tcW w:w="1125" w:type="dxa"/>
            <w:tcBorders>
              <w:top w:val="single" w:sz="6" w:space="0" w:color="auto"/>
              <w:left w:val="single" w:sz="6" w:space="0" w:color="auto"/>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25 742</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 xml:space="preserve">     spolufinancovanie</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5 253</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10 979</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13 631</w:t>
            </w:r>
          </w:p>
        </w:tc>
        <w:tc>
          <w:tcPr>
            <w:tcW w:w="1125" w:type="dxa"/>
            <w:tcBorders>
              <w:top w:val="single" w:sz="6" w:space="0" w:color="auto"/>
              <w:left w:val="single" w:sz="6" w:space="0" w:color="auto"/>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4 543</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noWrap/>
            <w:textDirection w:val="lrTb"/>
            <w:vAlign w:val="bottom"/>
          </w:tcPr>
          <w:p w:rsidR="00312541" w:rsidRPr="0012379F" w:rsidP="00A70AF6">
            <w:pPr>
              <w:jc w:val="both"/>
              <w:rPr>
                <w:rFonts w:ascii="Arial Narrow" w:hAnsi="Arial Narrow" w:cs="Arial Narrow"/>
                <w:b/>
                <w:sz w:val="20"/>
                <w:szCs w:val="24"/>
              </w:rPr>
            </w:pPr>
            <w:r w:rsidRPr="0012379F">
              <w:rPr>
                <w:rFonts w:ascii="Arial Narrow" w:hAnsi="Arial Narrow" w:cs="Arial Narrow"/>
                <w:b/>
                <w:sz w:val="20"/>
                <w:szCs w:val="24"/>
              </w:rPr>
              <w:t>Operačný program Vzdelávanie</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3 618</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8 972</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9 843</w:t>
            </w:r>
          </w:p>
        </w:tc>
        <w:tc>
          <w:tcPr>
            <w:tcW w:w="1125" w:type="dxa"/>
            <w:tcBorders>
              <w:top w:val="single" w:sz="6" w:space="0" w:color="auto"/>
              <w:left w:val="single" w:sz="6" w:space="0" w:color="auto"/>
              <w:bottom w:val="single" w:sz="6" w:space="0" w:color="auto"/>
              <w:right w:val="single" w:sz="4" w:space="0" w:color="auto"/>
            </w:tcBorders>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9 708</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6" w:space="0" w:color="auto"/>
              <w:right w:val="single" w:sz="6"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 xml:space="preserve">     EÚ prostriedky</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3 075</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7 626</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8 367</w:t>
            </w:r>
          </w:p>
        </w:tc>
        <w:tc>
          <w:tcPr>
            <w:tcW w:w="1125" w:type="dxa"/>
            <w:tcBorders>
              <w:top w:val="single" w:sz="6" w:space="0" w:color="auto"/>
              <w:left w:val="single" w:sz="6" w:space="0" w:color="auto"/>
              <w:bottom w:val="single" w:sz="6"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8 252</w:t>
            </w:r>
          </w:p>
        </w:tc>
      </w:tr>
      <w:tr>
        <w:tblPrEx>
          <w:tblW w:w="9180" w:type="dxa"/>
          <w:tblInd w:w="70" w:type="dxa"/>
          <w:tblLayout w:type="fixed"/>
          <w:tblCellMar>
            <w:left w:w="70" w:type="dxa"/>
            <w:right w:w="70" w:type="dxa"/>
          </w:tblCellMar>
        </w:tblPrEx>
        <w:trPr>
          <w:trHeight w:val="227"/>
        </w:trPr>
        <w:tc>
          <w:tcPr>
            <w:tcW w:w="4680" w:type="dxa"/>
            <w:tcBorders>
              <w:top w:val="single" w:sz="6" w:space="0" w:color="auto"/>
              <w:left w:val="single" w:sz="4" w:space="0" w:color="auto"/>
              <w:bottom w:val="single" w:sz="4" w:space="0" w:color="auto"/>
              <w:right w:val="single" w:sz="6" w:space="0" w:color="auto"/>
            </w:tcBorders>
            <w:noWrap/>
            <w:textDirection w:val="lrTb"/>
            <w:vAlign w:val="bottom"/>
          </w:tcPr>
          <w:p w:rsidR="00312541" w:rsidRPr="0012379F" w:rsidP="00A70AF6">
            <w:pPr>
              <w:rPr>
                <w:rFonts w:ascii="Arial Narrow" w:hAnsi="Arial Narrow" w:cs="Arial Narrow"/>
                <w:sz w:val="20"/>
                <w:szCs w:val="24"/>
              </w:rPr>
            </w:pPr>
            <w:r w:rsidRPr="0012379F">
              <w:rPr>
                <w:rFonts w:ascii="Arial Narrow" w:hAnsi="Arial Narrow" w:cs="Arial Narrow"/>
                <w:sz w:val="20"/>
                <w:szCs w:val="24"/>
              </w:rPr>
              <w:t xml:space="preserve">     spolufinancovanie</w:t>
            </w:r>
          </w:p>
        </w:tc>
        <w:tc>
          <w:tcPr>
            <w:tcW w:w="1125" w:type="dxa"/>
            <w:tcBorders>
              <w:top w:val="single" w:sz="6" w:space="0" w:color="auto"/>
              <w:left w:val="single" w:sz="6" w:space="0" w:color="auto"/>
              <w:bottom w:val="single" w:sz="4"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543</w:t>
            </w:r>
          </w:p>
        </w:tc>
        <w:tc>
          <w:tcPr>
            <w:tcW w:w="1125" w:type="dxa"/>
            <w:tcBorders>
              <w:top w:val="single" w:sz="6" w:space="0" w:color="auto"/>
              <w:left w:val="single" w:sz="6" w:space="0" w:color="auto"/>
              <w:bottom w:val="single" w:sz="4"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1 346</w:t>
            </w:r>
          </w:p>
        </w:tc>
        <w:tc>
          <w:tcPr>
            <w:tcW w:w="1125" w:type="dxa"/>
            <w:tcBorders>
              <w:top w:val="single" w:sz="6" w:space="0" w:color="auto"/>
              <w:left w:val="single" w:sz="6" w:space="0" w:color="auto"/>
              <w:bottom w:val="single" w:sz="4" w:space="0" w:color="auto"/>
              <w:right w:val="single" w:sz="6"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1 476</w:t>
            </w:r>
          </w:p>
        </w:tc>
        <w:tc>
          <w:tcPr>
            <w:tcW w:w="1125" w:type="dxa"/>
            <w:tcBorders>
              <w:top w:val="single" w:sz="6" w:space="0" w:color="auto"/>
              <w:left w:val="single" w:sz="6"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1 456</w:t>
            </w:r>
          </w:p>
        </w:tc>
      </w:tr>
    </w:tbl>
    <w:p w:rsidR="00312541" w:rsidRPr="005D53B0"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5D53B0">
        <w:rPr>
          <w:rFonts w:ascii="Arial Narrow" w:hAnsi="Arial Narrow" w:cs="Arial Narrow"/>
          <w:sz w:val="22"/>
          <w:szCs w:val="24"/>
        </w:rPr>
        <w:t>Pre rez</w:t>
      </w:r>
      <w:r>
        <w:rPr>
          <w:rFonts w:ascii="Arial Narrow" w:hAnsi="Arial Narrow" w:cs="Arial Narrow"/>
          <w:sz w:val="22"/>
          <w:szCs w:val="24"/>
        </w:rPr>
        <w:t>ort zdravotníctva sa v roku 2010</w:t>
      </w:r>
      <w:r w:rsidRPr="005D53B0">
        <w:rPr>
          <w:rFonts w:ascii="Arial Narrow" w:hAnsi="Arial Narrow" w:cs="Arial Narrow"/>
          <w:sz w:val="22"/>
          <w:szCs w:val="24"/>
        </w:rPr>
        <w:t xml:space="preserve"> predpokladá aj čerpanie grantov v rámci programu Nórsky finančný mechanizmus</w:t>
      </w:r>
      <w:r>
        <w:rPr>
          <w:rFonts w:ascii="Arial Narrow" w:hAnsi="Arial Narrow" w:cs="Arial Narrow"/>
          <w:sz w:val="22"/>
          <w:szCs w:val="24"/>
        </w:rPr>
        <w:t xml:space="preserve"> </w:t>
      </w:r>
      <w:r w:rsidRPr="005D53B0">
        <w:rPr>
          <w:rFonts w:ascii="Arial Narrow" w:hAnsi="Arial Narrow" w:cs="Arial Narrow"/>
          <w:sz w:val="22"/>
          <w:szCs w:val="24"/>
        </w:rPr>
        <w:t>a</w:t>
      </w:r>
      <w:r>
        <w:rPr>
          <w:rFonts w:ascii="Arial Narrow" w:hAnsi="Arial Narrow" w:cs="Arial Narrow"/>
          <w:sz w:val="22"/>
          <w:szCs w:val="24"/>
        </w:rPr>
        <w:t xml:space="preserve"> programu</w:t>
      </w:r>
      <w:r w:rsidRPr="005D53B0">
        <w:rPr>
          <w:rFonts w:ascii="Arial Narrow" w:hAnsi="Arial Narrow" w:cs="Arial Narrow"/>
          <w:sz w:val="22"/>
          <w:szCs w:val="24"/>
        </w:rPr>
        <w:t> Finančný mechanizmus EHP vrátane spolufinancovani</w:t>
      </w:r>
      <w:r>
        <w:rPr>
          <w:rFonts w:ascii="Arial Narrow" w:hAnsi="Arial Narrow" w:cs="Arial Narrow"/>
          <w:sz w:val="22"/>
          <w:szCs w:val="24"/>
        </w:rPr>
        <w:t>a pre oblasť výskumu a vývoja v zdravotníctve vo výške 188 tis. eur.</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Na financovanie zdravotníckych služieb, zdravotníckych zariadení a záchrannej zdravotnej služby v pôsobnosti obcí sa uvažuje s výdavkami vo výške 9,95 mil. eur. Zo zdrojov vyšších územných celkov sa predpokladá vyčleniť prostriedky pre kapitálové výdavky vo výške 10,3 mil. eur na rekonštrukcie zdravotníckych zariadení, ako aj na prístrojové vybavenie. </w:t>
      </w: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RPr="005C7EBC" w:rsidP="00312541">
      <w:pPr>
        <w:pBdr>
          <w:bottom w:val="single" w:sz="6" w:space="1" w:color="auto"/>
        </w:pBd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r w:rsidRPr="005C7EBC">
        <w:rPr>
          <w:rFonts w:ascii="Arial Narrow" w:hAnsi="Arial Narrow" w:cs="Arial Narrow"/>
          <w:b/>
          <w:color w:val="000000"/>
          <w:sz w:val="22"/>
          <w:szCs w:val="24"/>
        </w:rPr>
        <w:t xml:space="preserve">Zamestnanosť a sociálne veci </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sidRPr="005C7EBC">
        <w:rPr>
          <w:rFonts w:ascii="Arial Narrow" w:hAnsi="Arial Narrow" w:cs="Arial Narrow"/>
          <w:color w:val="000000"/>
          <w:sz w:val="22"/>
          <w:szCs w:val="24"/>
        </w:rPr>
        <w:tab/>
        <w:t xml:space="preserve">Rozpočet </w:t>
      </w:r>
      <w:r>
        <w:rPr>
          <w:rFonts w:ascii="Arial Narrow" w:hAnsi="Arial Narrow" w:cs="Arial Narrow"/>
          <w:color w:val="000000"/>
          <w:sz w:val="22"/>
          <w:szCs w:val="24"/>
        </w:rPr>
        <w:t xml:space="preserve">na rok 2010 zohľadňuje legislatívne zmeny prijaté v rokoch 2008 a 2009 v rámci sociálnych balíkov vlády Slovenskej republiky, ktorých cieľom bolo vytvoriť podmienky na splnenie cieľov a úloh </w:t>
      </w:r>
      <w:r w:rsidRPr="005C7EBC">
        <w:rPr>
          <w:rFonts w:ascii="Arial Narrow" w:hAnsi="Arial Narrow" w:cs="Arial Narrow"/>
          <w:color w:val="000000"/>
          <w:sz w:val="22"/>
          <w:szCs w:val="24"/>
        </w:rPr>
        <w:t xml:space="preserve"> Programového vyhlásenia vlády SR.</w:t>
      </w:r>
      <w:r>
        <w:rPr>
          <w:rFonts w:ascii="Arial Narrow" w:hAnsi="Arial Narrow" w:cs="Arial Narrow"/>
          <w:color w:val="000000"/>
          <w:sz w:val="22"/>
          <w:szCs w:val="24"/>
        </w:rPr>
        <w:t xml:space="preserve"> Rozpočet zároveň zohľadňuje ďalšie prijaté opatrenia vlády na zmiernenie vplyvov hospodárskej krízy a udržanie hospodárskeho rastu a zamestnanosti SR.</w:t>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tbl>
      <w:tblPr>
        <w:tblStyle w:val="TableNormal"/>
        <w:tblW w:w="9072" w:type="dxa"/>
        <w:tblInd w:w="55" w:type="dxa"/>
        <w:tblLayout w:type="fixed"/>
        <w:tblCellMar>
          <w:left w:w="70" w:type="dxa"/>
          <w:right w:w="70" w:type="dxa"/>
        </w:tblCellMar>
        <w:tblLook w:val="00A0"/>
      </w:tblPr>
      <w:tblGrid>
        <w:gridCol w:w="4636"/>
        <w:gridCol w:w="1109"/>
        <w:gridCol w:w="1109"/>
        <w:gridCol w:w="1109"/>
        <w:gridCol w:w="1109"/>
      </w:tblGrid>
      <w:tr>
        <w:tblPrEx>
          <w:tblW w:w="9072" w:type="dxa"/>
          <w:tblInd w:w="55" w:type="dxa"/>
          <w:tblLayout w:type="fixed"/>
          <w:tblCellMar>
            <w:left w:w="70" w:type="dxa"/>
            <w:right w:w="70" w:type="dxa"/>
          </w:tblCellMar>
          <w:tblLook w:val="00A0"/>
        </w:tblPrEx>
        <w:trPr>
          <w:trHeight w:val="260"/>
        </w:trPr>
        <w:tc>
          <w:tcPr>
            <w:tcW w:w="2550" w:type="pct"/>
            <w:tcBorders>
              <w:top w:val="single" w:sz="4" w:space="0" w:color="auto"/>
              <w:left w:val="single" w:sz="4" w:space="0" w:color="auto"/>
              <w:bottom w:val="single" w:sz="4" w:space="0" w:color="auto"/>
              <w:right w:val="single" w:sz="4" w:space="0" w:color="auto"/>
            </w:tcBorders>
            <w:shd w:val="clear" w:color="000000" w:fill="000000"/>
            <w:noWrap/>
            <w:textDirection w:val="lrTb"/>
            <w:vAlign w:val="bottom"/>
          </w:tcPr>
          <w:p w:rsidR="00312541" w:rsidRPr="007E72A2" w:rsidP="00A70AF6">
            <w:pPr>
              <w:rPr>
                <w:rFonts w:ascii="Arial Narrow" w:hAnsi="Arial Narrow" w:cs="Arial Narrow"/>
                <w:b/>
                <w:color w:val="FFFFFF"/>
                <w:sz w:val="20"/>
                <w:szCs w:val="24"/>
                <w:lang w:eastAsia="sk-SK"/>
              </w:rPr>
            </w:pPr>
            <w:r w:rsidRPr="00BB7A78">
              <w:rPr>
                <w:rFonts w:ascii="Arial Narrow" w:hAnsi="Arial Narrow" w:cs="Arial Narrow"/>
                <w:color w:val="FFFFFF"/>
                <w:sz w:val="20"/>
                <w:szCs w:val="24"/>
                <w:lang w:eastAsia="sk-SK"/>
              </w:rPr>
              <w:t> </w:t>
            </w:r>
            <w:r w:rsidRPr="007E72A2">
              <w:rPr>
                <w:rFonts w:ascii="Arial Narrow" w:hAnsi="Arial Narrow" w:cs="Arial Narrow"/>
                <w:b/>
                <w:color w:val="FFFFFF"/>
                <w:sz w:val="20"/>
                <w:szCs w:val="24"/>
                <w:lang w:eastAsia="sk-SK"/>
              </w:rPr>
              <w:t>(v tis. eur)</w:t>
            </w:r>
          </w:p>
        </w:tc>
        <w:tc>
          <w:tcPr>
            <w:tcW w:w="610" w:type="pct"/>
            <w:tcBorders>
              <w:top w:val="single" w:sz="4" w:space="0" w:color="auto"/>
              <w:left w:val="nil"/>
              <w:bottom w:val="single" w:sz="4" w:space="0" w:color="auto"/>
              <w:right w:val="single" w:sz="4" w:space="0" w:color="auto"/>
            </w:tcBorders>
            <w:shd w:val="clear" w:color="000000" w:fill="000000"/>
            <w:noWrap/>
            <w:textDirection w:val="lrTb"/>
            <w:vAlign w:val="bottom"/>
          </w:tcPr>
          <w:p w:rsidR="00312541" w:rsidRPr="00BB7A78" w:rsidP="00A70AF6">
            <w:pPr>
              <w:rPr>
                <w:rFonts w:ascii="Arial Narrow" w:hAnsi="Arial Narrow" w:cs="Arial Narrow"/>
                <w:b/>
                <w:color w:val="FFFFFF"/>
                <w:sz w:val="20"/>
                <w:szCs w:val="24"/>
                <w:lang w:eastAsia="sk-SK"/>
              </w:rPr>
            </w:pPr>
            <w:r w:rsidRPr="00DD136C">
              <w:rPr>
                <w:rFonts w:ascii="Arial Narrow" w:hAnsi="Arial Narrow" w:cs="Arial Narrow"/>
                <w:b/>
                <w:color w:val="FFFFFF"/>
                <w:sz w:val="20"/>
                <w:szCs w:val="24"/>
                <w:lang w:eastAsia="sk-SK"/>
              </w:rPr>
              <w:t xml:space="preserve">       </w:t>
            </w:r>
            <w:r w:rsidRPr="00BB7A78">
              <w:rPr>
                <w:rFonts w:ascii="Arial Narrow" w:hAnsi="Arial Narrow" w:cs="Arial Narrow"/>
                <w:b/>
                <w:color w:val="FFFFFF"/>
                <w:sz w:val="20"/>
                <w:szCs w:val="24"/>
                <w:lang w:eastAsia="sk-SK"/>
              </w:rPr>
              <w:t>2009</w:t>
            </w:r>
          </w:p>
        </w:tc>
        <w:tc>
          <w:tcPr>
            <w:tcW w:w="610" w:type="pct"/>
            <w:tcBorders>
              <w:top w:val="single" w:sz="4" w:space="0" w:color="auto"/>
              <w:left w:val="nil"/>
              <w:bottom w:val="single" w:sz="4" w:space="0" w:color="auto"/>
              <w:right w:val="single" w:sz="4" w:space="0" w:color="auto"/>
            </w:tcBorders>
            <w:shd w:val="clear" w:color="000000" w:fill="000000"/>
            <w:noWrap/>
            <w:textDirection w:val="lrTb"/>
            <w:vAlign w:val="bottom"/>
          </w:tcPr>
          <w:p w:rsidR="00312541" w:rsidRPr="00BB7A78" w:rsidP="00A70AF6">
            <w:pPr>
              <w:rPr>
                <w:rFonts w:ascii="Arial Narrow" w:hAnsi="Arial Narrow" w:cs="Arial Narrow"/>
                <w:b/>
                <w:color w:val="FFFFFF"/>
                <w:sz w:val="20"/>
                <w:szCs w:val="24"/>
                <w:lang w:eastAsia="sk-SK"/>
              </w:rPr>
            </w:pPr>
            <w:r>
              <w:rPr>
                <w:rFonts w:ascii="Arial Narrow" w:hAnsi="Arial Narrow" w:cs="Arial Narrow"/>
                <w:b/>
                <w:color w:val="FFFFFF"/>
                <w:sz w:val="20"/>
                <w:szCs w:val="24"/>
                <w:lang w:eastAsia="sk-SK"/>
              </w:rPr>
              <w:t xml:space="preserve">      </w:t>
            </w:r>
            <w:r w:rsidRPr="00BB7A78">
              <w:rPr>
                <w:rFonts w:ascii="Arial Narrow" w:hAnsi="Arial Narrow" w:cs="Arial Narrow"/>
                <w:b/>
                <w:color w:val="FFFFFF"/>
                <w:sz w:val="20"/>
                <w:szCs w:val="24"/>
                <w:lang w:eastAsia="sk-SK"/>
              </w:rPr>
              <w:t>2010</w:t>
            </w:r>
          </w:p>
        </w:tc>
        <w:tc>
          <w:tcPr>
            <w:tcW w:w="610" w:type="pct"/>
            <w:tcBorders>
              <w:top w:val="single" w:sz="4" w:space="0" w:color="auto"/>
              <w:left w:val="nil"/>
              <w:bottom w:val="single" w:sz="4" w:space="0" w:color="auto"/>
              <w:right w:val="single" w:sz="4" w:space="0" w:color="auto"/>
            </w:tcBorders>
            <w:shd w:val="clear" w:color="000000" w:fill="000000"/>
            <w:noWrap/>
            <w:textDirection w:val="lrTb"/>
            <w:vAlign w:val="bottom"/>
          </w:tcPr>
          <w:p w:rsidR="00312541" w:rsidRPr="00BB7A78" w:rsidP="00A70AF6">
            <w:pPr>
              <w:rPr>
                <w:rFonts w:ascii="Arial Narrow" w:hAnsi="Arial Narrow" w:cs="Arial Narrow"/>
                <w:b/>
                <w:color w:val="FFFFFF"/>
                <w:sz w:val="20"/>
                <w:szCs w:val="24"/>
                <w:lang w:eastAsia="sk-SK"/>
              </w:rPr>
            </w:pPr>
            <w:r w:rsidRPr="00DD136C">
              <w:rPr>
                <w:rFonts w:ascii="Arial Narrow" w:hAnsi="Arial Narrow" w:cs="Arial Narrow"/>
                <w:b/>
                <w:color w:val="FFFFFF"/>
                <w:sz w:val="20"/>
                <w:szCs w:val="24"/>
                <w:lang w:eastAsia="sk-SK"/>
              </w:rPr>
              <w:t xml:space="preserve">      </w:t>
            </w:r>
            <w:r>
              <w:rPr>
                <w:rFonts w:ascii="Arial Narrow" w:hAnsi="Arial Narrow" w:cs="Arial Narrow"/>
                <w:b/>
                <w:color w:val="FFFFFF"/>
                <w:sz w:val="20"/>
                <w:szCs w:val="24"/>
                <w:lang w:eastAsia="sk-SK"/>
              </w:rPr>
              <w:t xml:space="preserve"> </w:t>
            </w:r>
            <w:r w:rsidRPr="00DD136C">
              <w:rPr>
                <w:rFonts w:ascii="Arial Narrow" w:hAnsi="Arial Narrow" w:cs="Arial Narrow"/>
                <w:b/>
                <w:color w:val="FFFFFF"/>
                <w:sz w:val="20"/>
                <w:szCs w:val="24"/>
                <w:lang w:eastAsia="sk-SK"/>
              </w:rPr>
              <w:t xml:space="preserve"> </w:t>
            </w:r>
            <w:r w:rsidRPr="00BB7A78">
              <w:rPr>
                <w:rFonts w:ascii="Arial Narrow" w:hAnsi="Arial Narrow" w:cs="Arial Narrow"/>
                <w:b/>
                <w:color w:val="FFFFFF"/>
                <w:sz w:val="20"/>
                <w:szCs w:val="24"/>
                <w:lang w:eastAsia="sk-SK"/>
              </w:rPr>
              <w:t>2011</w:t>
            </w:r>
          </w:p>
        </w:tc>
        <w:tc>
          <w:tcPr>
            <w:tcW w:w="610" w:type="pct"/>
            <w:tcBorders>
              <w:top w:val="single" w:sz="4" w:space="0" w:color="auto"/>
              <w:left w:val="nil"/>
              <w:bottom w:val="single" w:sz="4" w:space="0" w:color="auto"/>
              <w:right w:val="single" w:sz="4" w:space="0" w:color="auto"/>
            </w:tcBorders>
            <w:shd w:val="clear" w:color="000000" w:fill="000000"/>
            <w:noWrap/>
            <w:textDirection w:val="lrTb"/>
            <w:vAlign w:val="bottom"/>
          </w:tcPr>
          <w:p w:rsidR="00312541" w:rsidRPr="00BB7A78" w:rsidP="00A70AF6">
            <w:pPr>
              <w:rPr>
                <w:rFonts w:ascii="Arial Narrow" w:hAnsi="Arial Narrow" w:cs="Arial Narrow"/>
                <w:b/>
                <w:color w:val="FFFFFF"/>
                <w:sz w:val="20"/>
                <w:szCs w:val="24"/>
                <w:lang w:eastAsia="sk-SK"/>
              </w:rPr>
            </w:pPr>
            <w:r>
              <w:rPr>
                <w:rFonts w:ascii="Arial Narrow" w:hAnsi="Arial Narrow" w:cs="Arial Narrow"/>
                <w:b/>
                <w:color w:val="FFFFFF"/>
                <w:sz w:val="20"/>
                <w:szCs w:val="24"/>
                <w:lang w:eastAsia="sk-SK"/>
              </w:rPr>
              <w:t xml:space="preserve">       </w:t>
            </w:r>
            <w:r w:rsidRPr="00BB7A78">
              <w:rPr>
                <w:rFonts w:ascii="Arial Narrow" w:hAnsi="Arial Narrow" w:cs="Arial Narrow"/>
                <w:b/>
                <w:color w:val="FFFFFF"/>
                <w:sz w:val="20"/>
                <w:szCs w:val="24"/>
                <w:lang w:eastAsia="sk-SK"/>
              </w:rPr>
              <w:t>2012</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shd w:val="clear" w:color="000000" w:fill="C0C0C0"/>
            <w:noWrap/>
            <w:textDirection w:val="lrTb"/>
            <w:vAlign w:val="bottom"/>
          </w:tcPr>
          <w:p w:rsidR="00312541" w:rsidRPr="00BB7A78" w:rsidP="00A70AF6">
            <w:pPr>
              <w:rPr>
                <w:rFonts w:ascii="Arial Narrow" w:hAnsi="Arial Narrow" w:cs="Arial Narrow"/>
                <w:b/>
                <w:sz w:val="20"/>
                <w:szCs w:val="24"/>
                <w:lang w:eastAsia="sk-SK"/>
              </w:rPr>
            </w:pPr>
            <w:r w:rsidRPr="00BB7A78">
              <w:rPr>
                <w:rFonts w:ascii="Arial Narrow" w:hAnsi="Arial Narrow" w:cs="Arial Narrow"/>
                <w:b/>
                <w:sz w:val="20"/>
                <w:szCs w:val="24"/>
                <w:lang w:eastAsia="sk-SK"/>
              </w:rPr>
              <w:t>Zdroje príslušnej kapitoly</w:t>
            </w:r>
            <w:r>
              <w:rPr>
                <w:rFonts w:ascii="Arial Narrow" w:hAnsi="Arial Narrow" w:cs="Arial Narrow"/>
                <w:b/>
                <w:sz w:val="20"/>
                <w:szCs w:val="24"/>
                <w:lang w:eastAsia="sk-SK"/>
              </w:rPr>
              <w:t>, z toho:</w:t>
            </w:r>
          </w:p>
        </w:tc>
        <w:tc>
          <w:tcPr>
            <w:tcW w:w="610" w:type="pct"/>
            <w:tcBorders>
              <w:top w:val="nil"/>
              <w:left w:val="nil"/>
              <w:bottom w:val="single" w:sz="4" w:space="0" w:color="auto"/>
              <w:right w:val="single" w:sz="4" w:space="0" w:color="auto"/>
            </w:tcBorders>
            <w:shd w:val="clear" w:color="000000" w:fill="C0C0C0"/>
            <w:textDirection w:val="lrTb"/>
            <w:vAlign w:val="bottom"/>
          </w:tcPr>
          <w:p w:rsidR="00312541" w:rsidRPr="00BB7A78" w:rsidP="00A70AF6">
            <w:pPr>
              <w:jc w:val="right"/>
              <w:rPr>
                <w:rFonts w:ascii="Arial Narrow" w:hAnsi="Arial Narrow" w:cs="Arial Narrow"/>
                <w:b/>
                <w:sz w:val="20"/>
                <w:szCs w:val="24"/>
                <w:lang w:eastAsia="sk-SK"/>
              </w:rPr>
            </w:pPr>
            <w:r w:rsidRPr="00BB7A78">
              <w:rPr>
                <w:rFonts w:ascii="Arial Narrow" w:hAnsi="Arial Narrow" w:cs="Arial Narrow"/>
                <w:b/>
                <w:sz w:val="20"/>
                <w:szCs w:val="24"/>
                <w:lang w:eastAsia="sk-SK"/>
              </w:rPr>
              <w:t>1 889 790</w:t>
            </w:r>
          </w:p>
        </w:tc>
        <w:tc>
          <w:tcPr>
            <w:tcW w:w="610" w:type="pct"/>
            <w:tcBorders>
              <w:top w:val="nil"/>
              <w:left w:val="nil"/>
              <w:bottom w:val="single" w:sz="4" w:space="0" w:color="auto"/>
              <w:right w:val="single" w:sz="4" w:space="0" w:color="auto"/>
            </w:tcBorders>
            <w:shd w:val="clear" w:color="000000" w:fill="C0C0C0"/>
            <w:textDirection w:val="lrTb"/>
            <w:vAlign w:val="bottom"/>
          </w:tcPr>
          <w:p w:rsidR="00312541" w:rsidRPr="00BB7A78" w:rsidP="00A70AF6">
            <w:pPr>
              <w:jc w:val="right"/>
              <w:rPr>
                <w:rFonts w:ascii="Arial Narrow" w:hAnsi="Arial Narrow" w:cs="Arial Narrow"/>
                <w:b/>
                <w:sz w:val="20"/>
                <w:szCs w:val="24"/>
                <w:lang w:eastAsia="sk-SK"/>
              </w:rPr>
            </w:pPr>
            <w:r w:rsidRPr="00BB7A78">
              <w:rPr>
                <w:rFonts w:ascii="Arial Narrow" w:hAnsi="Arial Narrow" w:cs="Arial Narrow"/>
                <w:b/>
                <w:sz w:val="20"/>
                <w:szCs w:val="24"/>
                <w:lang w:eastAsia="sk-SK"/>
              </w:rPr>
              <w:t xml:space="preserve">1 967 688 </w:t>
            </w:r>
          </w:p>
        </w:tc>
        <w:tc>
          <w:tcPr>
            <w:tcW w:w="610" w:type="pct"/>
            <w:tcBorders>
              <w:top w:val="nil"/>
              <w:left w:val="nil"/>
              <w:bottom w:val="single" w:sz="4" w:space="0" w:color="auto"/>
              <w:right w:val="single" w:sz="4" w:space="0" w:color="auto"/>
            </w:tcBorders>
            <w:shd w:val="clear" w:color="000000" w:fill="C0C0C0"/>
            <w:textDirection w:val="lrTb"/>
            <w:vAlign w:val="bottom"/>
          </w:tcPr>
          <w:p w:rsidR="00312541" w:rsidRPr="00BB7A78" w:rsidP="00A70AF6">
            <w:pPr>
              <w:jc w:val="right"/>
              <w:rPr>
                <w:rFonts w:ascii="Arial Narrow" w:hAnsi="Arial Narrow" w:cs="Arial Narrow"/>
                <w:b/>
                <w:sz w:val="20"/>
                <w:szCs w:val="24"/>
                <w:lang w:eastAsia="sk-SK"/>
              </w:rPr>
            </w:pPr>
            <w:r w:rsidRPr="00BB7A78">
              <w:rPr>
                <w:rFonts w:ascii="Arial Narrow" w:hAnsi="Arial Narrow" w:cs="Arial Narrow"/>
                <w:b/>
                <w:sz w:val="20"/>
                <w:szCs w:val="24"/>
                <w:lang w:eastAsia="sk-SK"/>
              </w:rPr>
              <w:t>2 033 51</w:t>
            </w:r>
            <w:r>
              <w:rPr>
                <w:rFonts w:ascii="Arial Narrow" w:hAnsi="Arial Narrow" w:cs="Arial Narrow"/>
                <w:b/>
                <w:sz w:val="20"/>
                <w:szCs w:val="24"/>
                <w:lang w:eastAsia="sk-SK"/>
              </w:rPr>
              <w:t>6</w:t>
            </w:r>
          </w:p>
        </w:tc>
        <w:tc>
          <w:tcPr>
            <w:tcW w:w="610" w:type="pct"/>
            <w:tcBorders>
              <w:top w:val="nil"/>
              <w:left w:val="nil"/>
              <w:bottom w:val="single" w:sz="4" w:space="0" w:color="auto"/>
              <w:right w:val="single" w:sz="4" w:space="0" w:color="auto"/>
            </w:tcBorders>
            <w:shd w:val="clear" w:color="000000" w:fill="C0C0C0"/>
            <w:textDirection w:val="lrTb"/>
            <w:vAlign w:val="bottom"/>
          </w:tcPr>
          <w:p w:rsidR="00312541" w:rsidRPr="00BB7A78" w:rsidP="00A70AF6">
            <w:pPr>
              <w:jc w:val="right"/>
              <w:rPr>
                <w:rFonts w:ascii="Arial Narrow" w:hAnsi="Arial Narrow" w:cs="Arial Narrow"/>
                <w:b/>
                <w:sz w:val="20"/>
                <w:szCs w:val="24"/>
                <w:lang w:eastAsia="sk-SK"/>
              </w:rPr>
            </w:pPr>
            <w:r w:rsidRPr="00BB7A78">
              <w:rPr>
                <w:rFonts w:ascii="Arial Narrow" w:hAnsi="Arial Narrow" w:cs="Arial Narrow"/>
                <w:b/>
                <w:sz w:val="20"/>
                <w:szCs w:val="24"/>
                <w:lang w:eastAsia="sk-SK"/>
              </w:rPr>
              <w:t>2 009 46</w:t>
            </w:r>
            <w:r>
              <w:rPr>
                <w:rFonts w:ascii="Arial Narrow" w:hAnsi="Arial Narrow" w:cs="Arial Narrow"/>
                <w:b/>
                <w:sz w:val="20"/>
                <w:szCs w:val="24"/>
                <w:lang w:eastAsia="sk-SK"/>
              </w:rPr>
              <w:t>5</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rozpočtové zdroje kapitoly </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1 747 646</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1 815 752</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1 870 9</w:t>
            </w:r>
            <w:r>
              <w:rPr>
                <w:rFonts w:ascii="Arial Narrow" w:hAnsi="Arial Narrow" w:cs="Arial Narrow"/>
                <w:sz w:val="20"/>
                <w:szCs w:val="24"/>
                <w:lang w:eastAsia="sk-SK"/>
              </w:rPr>
              <w:t>70</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1 846 91</w:t>
            </w:r>
            <w:r w:rsidR="00AD7E50">
              <w:rPr>
                <w:rFonts w:ascii="Arial Narrow" w:hAnsi="Arial Narrow" w:cs="Arial Narrow"/>
                <w:sz w:val="20"/>
                <w:szCs w:val="24"/>
                <w:lang w:eastAsia="sk-SK"/>
              </w:rPr>
              <w:t>9</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        v tom: bežné výdavky</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1 735 39</w:t>
            </w:r>
            <w:r>
              <w:rPr>
                <w:rFonts w:ascii="Arial Narrow" w:hAnsi="Arial Narrow" w:cs="Arial Narrow"/>
                <w:sz w:val="20"/>
                <w:szCs w:val="24"/>
                <w:lang w:eastAsia="sk-SK"/>
              </w:rPr>
              <w:t>6</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1 812 77</w:t>
            </w:r>
            <w:r>
              <w:rPr>
                <w:rFonts w:ascii="Arial Narrow" w:hAnsi="Arial Narrow" w:cs="Arial Narrow"/>
                <w:sz w:val="20"/>
                <w:szCs w:val="24"/>
                <w:lang w:eastAsia="sk-SK"/>
              </w:rPr>
              <w:t>8</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1 867 88</w:t>
            </w:r>
            <w:r w:rsidR="00AD7E50">
              <w:rPr>
                <w:rFonts w:ascii="Arial Narrow" w:hAnsi="Arial Narrow" w:cs="Arial Narrow"/>
                <w:sz w:val="20"/>
                <w:szCs w:val="24"/>
                <w:lang w:eastAsia="sk-SK"/>
              </w:rPr>
              <w:t>2</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 xml:space="preserve">1 843 </w:t>
            </w:r>
            <w:r>
              <w:rPr>
                <w:rFonts w:ascii="Arial Narrow" w:hAnsi="Arial Narrow" w:cs="Arial Narrow"/>
                <w:sz w:val="20"/>
                <w:szCs w:val="24"/>
                <w:lang w:eastAsia="sk-SK"/>
              </w:rPr>
              <w:t>9</w:t>
            </w:r>
            <w:r w:rsidRPr="00BB7A78">
              <w:rPr>
                <w:rFonts w:ascii="Arial Narrow" w:hAnsi="Arial Narrow" w:cs="Arial Narrow"/>
                <w:sz w:val="20"/>
                <w:szCs w:val="24"/>
                <w:lang w:eastAsia="sk-SK"/>
              </w:rPr>
              <w:t>2</w:t>
            </w:r>
            <w:r>
              <w:rPr>
                <w:rFonts w:ascii="Arial Narrow" w:hAnsi="Arial Narrow" w:cs="Arial Narrow"/>
                <w:sz w:val="20"/>
                <w:szCs w:val="24"/>
                <w:lang w:eastAsia="sk-SK"/>
              </w:rPr>
              <w:t>5</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                   kapitálové výdavky</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12 250</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2 974</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3 088</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00AD7E50">
              <w:rPr>
                <w:rFonts w:ascii="Arial Narrow" w:hAnsi="Arial Narrow" w:cs="Arial Narrow"/>
                <w:sz w:val="20"/>
                <w:szCs w:val="24"/>
                <w:lang w:eastAsia="sk-SK"/>
              </w:rPr>
              <w:t>2 994</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zdroje EÚ vrátane spolufinancovania: </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141 632</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151 936</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162 546</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162 546</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        v tom: 1. programovacie obdobie</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xml:space="preserve">                   2. programovacie obdobie</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141 632</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151 936</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162 546</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162 546</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Pr>
                <w:rFonts w:ascii="Arial Narrow" w:hAnsi="Arial Narrow" w:cs="Arial Narrow"/>
                <w:sz w:val="20"/>
                <w:szCs w:val="24"/>
                <w:lang w:eastAsia="sk-SK"/>
              </w:rPr>
              <w:t>presun z predchádzajúcich rokov</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Pr>
                <w:rFonts w:ascii="Arial Narrow" w:hAnsi="Arial Narrow" w:cs="Arial Narrow"/>
                <w:sz w:val="20"/>
                <w:szCs w:val="24"/>
                <w:lang w:eastAsia="sk-SK"/>
              </w:rPr>
              <w:t>iné zdroje: Prechodný fond</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Pr>
                <w:rFonts w:ascii="Arial Narrow" w:hAnsi="Arial Narrow" w:cs="Arial Narrow"/>
                <w:sz w:val="20"/>
                <w:szCs w:val="24"/>
                <w:lang w:eastAsia="sk-SK"/>
              </w:rPr>
              <w:t>200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r>
      <w:tr>
        <w:tblPrEx>
          <w:tblW w:w="9072" w:type="dxa"/>
          <w:tblInd w:w="55" w:type="dxa"/>
          <w:tblLayout w:type="fixed"/>
          <w:tblCellMar>
            <w:left w:w="70" w:type="dxa"/>
            <w:right w:w="70" w:type="dxa"/>
          </w:tblCellMar>
          <w:tblLook w:val="00A0"/>
        </w:tblPrEx>
        <w:trPr>
          <w:trHeight w:val="260"/>
        </w:trPr>
        <w:tc>
          <w:tcPr>
            <w:tcW w:w="2550" w:type="pct"/>
            <w:tcBorders>
              <w:top w:val="nil"/>
              <w:left w:val="single" w:sz="4" w:space="0" w:color="auto"/>
              <w:bottom w:val="single" w:sz="4" w:space="0" w:color="auto"/>
              <w:right w:val="single" w:sz="4" w:space="0" w:color="auto"/>
            </w:tcBorders>
            <w:noWrap/>
            <w:textDirection w:val="lrTb"/>
            <w:vAlign w:val="bottom"/>
          </w:tcPr>
          <w:p w:rsidR="00312541" w:rsidRPr="00BB7A78" w:rsidP="00A70AF6">
            <w:pPr>
              <w:rPr>
                <w:rFonts w:ascii="Arial Narrow" w:hAnsi="Arial Narrow" w:cs="Arial Narrow"/>
                <w:sz w:val="20"/>
                <w:szCs w:val="24"/>
                <w:lang w:eastAsia="sk-SK"/>
              </w:rPr>
            </w:pPr>
            <w:r w:rsidRPr="00BB7A78">
              <w:rPr>
                <w:rFonts w:ascii="Arial Narrow" w:hAnsi="Arial Narrow" w:cs="Arial Narrow"/>
                <w:sz w:val="20"/>
                <w:szCs w:val="24"/>
                <w:lang w:eastAsia="sk-SK"/>
              </w:rPr>
              <w:t> </w:t>
            </w:r>
            <w:r>
              <w:rPr>
                <w:rFonts w:ascii="Arial Narrow" w:hAnsi="Arial Narrow" w:cs="Arial Narrow"/>
                <w:sz w:val="20"/>
                <w:szCs w:val="24"/>
                <w:lang w:eastAsia="sk-SK"/>
              </w:rPr>
              <w:t xml:space="preserve">                 úver Svetovej banky</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312</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noWrap/>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c>
          <w:tcPr>
            <w:tcW w:w="610" w:type="pct"/>
            <w:tcBorders>
              <w:top w:val="nil"/>
              <w:left w:val="nil"/>
              <w:bottom w:val="single" w:sz="4" w:space="0" w:color="auto"/>
              <w:right w:val="single" w:sz="4" w:space="0" w:color="auto"/>
            </w:tcBorders>
            <w:textDirection w:val="lrTb"/>
            <w:vAlign w:val="bottom"/>
          </w:tcPr>
          <w:p w:rsidR="00312541" w:rsidRPr="00BB7A78" w:rsidP="00A70AF6">
            <w:pPr>
              <w:jc w:val="right"/>
              <w:rPr>
                <w:rFonts w:ascii="Arial Narrow" w:hAnsi="Arial Narrow" w:cs="Arial Narrow"/>
                <w:sz w:val="20"/>
                <w:szCs w:val="24"/>
                <w:lang w:eastAsia="sk-SK"/>
              </w:rPr>
            </w:pPr>
            <w:r w:rsidRPr="00BB7A78">
              <w:rPr>
                <w:rFonts w:ascii="Arial Narrow" w:hAnsi="Arial Narrow" w:cs="Arial Narrow"/>
                <w:sz w:val="20"/>
                <w:szCs w:val="24"/>
                <w:lang w:eastAsia="sk-SK"/>
              </w:rPr>
              <w:t>0</w:t>
            </w:r>
          </w:p>
        </w:tc>
      </w:tr>
    </w:tbl>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RPr="0039307E"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r>
      <w:r w:rsidRPr="003F5E5F">
        <w:rPr>
          <w:rFonts w:ascii="Arial Narrow" w:hAnsi="Arial Narrow" w:cs="Arial Narrow"/>
          <w:b/>
          <w:color w:val="000000"/>
          <w:sz w:val="22"/>
          <w:szCs w:val="24"/>
        </w:rPr>
        <w:t>Celkové disponibilné zdroje Ministerstva práce, sociálnych vecí a rodiny SR</w:t>
      </w:r>
      <w:r>
        <w:rPr>
          <w:rFonts w:ascii="Arial Narrow" w:hAnsi="Arial Narrow" w:cs="Arial Narrow"/>
          <w:color w:val="000000"/>
          <w:sz w:val="22"/>
          <w:szCs w:val="24"/>
        </w:rPr>
        <w:t xml:space="preserve"> na rok 2010 sú rozpočtované vo výške 1,97</w:t>
      </w:r>
      <w:r w:rsidRPr="005C7EBC">
        <w:rPr>
          <w:rFonts w:ascii="Arial Narrow" w:hAnsi="Arial Narrow" w:cs="Arial Narrow"/>
          <w:color w:val="000000"/>
          <w:sz w:val="22"/>
          <w:szCs w:val="24"/>
        </w:rPr>
        <w:t xml:space="preserve"> mld. </w:t>
      </w:r>
      <w:r>
        <w:rPr>
          <w:rFonts w:ascii="Arial Narrow" w:hAnsi="Arial Narrow" w:cs="Arial Narrow"/>
          <w:color w:val="000000"/>
          <w:sz w:val="22"/>
          <w:szCs w:val="24"/>
        </w:rPr>
        <w:t>eur, čo v porovnaní s rokom 2009</w:t>
      </w:r>
      <w:r w:rsidRPr="005C7EBC">
        <w:rPr>
          <w:rFonts w:ascii="Arial Narrow" w:hAnsi="Arial Narrow" w:cs="Arial Narrow"/>
          <w:color w:val="000000"/>
          <w:sz w:val="22"/>
          <w:szCs w:val="24"/>
        </w:rPr>
        <w:t xml:space="preserve"> predstavuje </w:t>
      </w:r>
      <w:r w:rsidRPr="003F5E5F">
        <w:rPr>
          <w:rFonts w:ascii="Arial Narrow" w:hAnsi="Arial Narrow" w:cs="Arial Narrow"/>
          <w:b/>
          <w:color w:val="000000"/>
          <w:sz w:val="22"/>
          <w:szCs w:val="24"/>
        </w:rPr>
        <w:t>nárast o 4,12 %</w:t>
      </w:r>
      <w:r>
        <w:rPr>
          <w:rFonts w:ascii="Arial Narrow" w:hAnsi="Arial Narrow" w:cs="Arial Narrow"/>
          <w:color w:val="000000"/>
          <w:sz w:val="22"/>
          <w:szCs w:val="24"/>
        </w:rPr>
        <w:t>. V porovnaní s rokom 2009</w:t>
      </w:r>
      <w:r w:rsidRPr="005C7EBC">
        <w:rPr>
          <w:rFonts w:ascii="Arial Narrow" w:hAnsi="Arial Narrow" w:cs="Arial Narrow"/>
          <w:color w:val="000000"/>
          <w:sz w:val="22"/>
          <w:szCs w:val="24"/>
        </w:rPr>
        <w:t xml:space="preserve"> dochádza k</w:t>
      </w:r>
      <w:r>
        <w:rPr>
          <w:rFonts w:ascii="Arial Narrow" w:hAnsi="Arial Narrow" w:cs="Arial Narrow"/>
          <w:color w:val="000000"/>
          <w:sz w:val="22"/>
          <w:szCs w:val="24"/>
        </w:rPr>
        <w:t xml:space="preserve"> zvýšeniu domácich rozpočtových zdrojov </w:t>
      </w:r>
      <w:r w:rsidRPr="00355CD9">
        <w:rPr>
          <w:rFonts w:ascii="Arial Narrow" w:hAnsi="Arial Narrow" w:cs="Arial Narrow"/>
          <w:color w:val="000000"/>
          <w:sz w:val="22"/>
          <w:szCs w:val="24"/>
        </w:rPr>
        <w:t>(3,9</w:t>
      </w:r>
      <w:r>
        <w:rPr>
          <w:rFonts w:ascii="Arial Narrow" w:hAnsi="Arial Narrow" w:cs="Arial Narrow"/>
          <w:color w:val="000000"/>
          <w:sz w:val="22"/>
          <w:szCs w:val="24"/>
        </w:rPr>
        <w:t xml:space="preserve">0 </w:t>
      </w:r>
      <w:r w:rsidRPr="00355CD9">
        <w:rPr>
          <w:rFonts w:ascii="Arial Narrow" w:hAnsi="Arial Narrow" w:cs="Arial Narrow"/>
          <w:color w:val="000000"/>
          <w:sz w:val="22"/>
          <w:szCs w:val="24"/>
        </w:rPr>
        <w:t>% )</w:t>
      </w:r>
      <w:r>
        <w:rPr>
          <w:rFonts w:ascii="Arial Narrow" w:hAnsi="Arial Narrow" w:cs="Arial Narrow"/>
          <w:color w:val="000000"/>
          <w:sz w:val="22"/>
          <w:szCs w:val="24"/>
        </w:rPr>
        <w:t xml:space="preserve"> a súčasne k </w:t>
      </w:r>
      <w:r w:rsidRPr="005C7EBC">
        <w:rPr>
          <w:rFonts w:ascii="Arial Narrow" w:hAnsi="Arial Narrow" w:cs="Arial Narrow"/>
          <w:color w:val="000000"/>
          <w:sz w:val="22"/>
          <w:szCs w:val="24"/>
        </w:rPr>
        <w:t>zvýšeniu rozpočtových zdrojov Európskeho sociálneho fondu vrátane spolufinancovania zo štátneho rozpočtu</w:t>
      </w:r>
      <w:r>
        <w:rPr>
          <w:rFonts w:ascii="Arial Narrow" w:hAnsi="Arial Narrow" w:cs="Arial Narrow"/>
          <w:color w:val="000000"/>
          <w:sz w:val="22"/>
          <w:szCs w:val="24"/>
        </w:rPr>
        <w:t xml:space="preserve"> (</w:t>
      </w:r>
      <w:r w:rsidRPr="00355CD9">
        <w:rPr>
          <w:rFonts w:ascii="Arial Narrow" w:hAnsi="Arial Narrow" w:cs="Arial Narrow"/>
          <w:color w:val="000000"/>
          <w:sz w:val="22"/>
          <w:szCs w:val="24"/>
        </w:rPr>
        <w:t>7,28</w:t>
      </w:r>
      <w:r>
        <w:rPr>
          <w:rFonts w:ascii="Arial Narrow" w:hAnsi="Arial Narrow" w:cs="Arial Narrow"/>
          <w:color w:val="000000"/>
          <w:sz w:val="22"/>
          <w:szCs w:val="24"/>
        </w:rPr>
        <w:t xml:space="preserve"> </w:t>
      </w:r>
      <w:r w:rsidRPr="00355CD9">
        <w:rPr>
          <w:rFonts w:ascii="Arial Narrow" w:hAnsi="Arial Narrow" w:cs="Arial Narrow"/>
          <w:color w:val="000000"/>
          <w:sz w:val="22"/>
          <w:szCs w:val="24"/>
        </w:rPr>
        <w:t>%)</w:t>
      </w:r>
      <w:r>
        <w:rPr>
          <w:rFonts w:ascii="Arial Narrow" w:hAnsi="Arial Narrow" w:cs="Arial Narrow"/>
          <w:color w:val="000000"/>
          <w:sz w:val="22"/>
          <w:szCs w:val="24"/>
        </w:rPr>
        <w:t>.</w:t>
      </w:r>
    </w:p>
    <w:p w:rsidR="00312541" w:rsidRPr="0039307E"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r w:rsidRPr="005C7EBC">
        <w:rPr>
          <w:rFonts w:ascii="Arial Narrow" w:hAnsi="Arial Narrow" w:cs="Arial Narrow"/>
          <w:b/>
          <w:color w:val="000000"/>
          <w:sz w:val="22"/>
          <w:szCs w:val="24"/>
        </w:rPr>
        <w:t>Sociálna inklúzia</w:t>
      </w:r>
      <w:r>
        <w:rPr>
          <w:rFonts w:ascii="Arial Narrow" w:hAnsi="Arial Narrow" w:cs="Arial Narrow"/>
          <w:b/>
          <w:color w:val="000000"/>
          <w:sz w:val="22"/>
          <w:szCs w:val="24"/>
        </w:rPr>
        <w:t xml:space="preserve"> </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p>
    <w:tbl>
      <w:tblPr>
        <w:tblStyle w:val="TableNormal"/>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1124"/>
        <w:gridCol w:w="1125"/>
        <w:gridCol w:w="1125"/>
        <w:gridCol w:w="1124"/>
      </w:tblGrid>
      <w:tr>
        <w:tblPrEx>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4"/>
        </w:trPr>
        <w:tc>
          <w:tcPr>
            <w:tcW w:w="2550"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54655" w:rsidP="00A70AF6">
            <w:pPr>
              <w:jc w:val="both"/>
              <w:rPr>
                <w:rFonts w:ascii="Arial Narrow" w:hAnsi="Arial Narrow" w:cs="Arial Narrow"/>
                <w:color w:val="FFFFFF"/>
                <w:sz w:val="20"/>
                <w:szCs w:val="24"/>
                <w:highlight w:val="black"/>
                <w:lang w:val="cs-CZ"/>
              </w:rPr>
            </w:pPr>
            <w:r w:rsidRPr="00554655">
              <w:rPr>
                <w:rFonts w:ascii="Arial Narrow" w:hAnsi="Arial Narrow" w:cs="Arial Narrow"/>
                <w:color w:val="FFFFFF"/>
                <w:sz w:val="20"/>
                <w:szCs w:val="24"/>
                <w:highlight w:val="black"/>
                <w:lang w:val="cs-CZ"/>
              </w:rPr>
              <w:t> </w:t>
            </w:r>
            <w:r w:rsidRPr="00554655">
              <w:rPr>
                <w:rFonts w:ascii="Arial Narrow" w:hAnsi="Arial Narrow" w:cs="Arial Narrow"/>
                <w:b/>
                <w:color w:val="FFFFFF"/>
                <w:sz w:val="20"/>
                <w:szCs w:val="24"/>
                <w:highlight w:val="black"/>
                <w:lang w:val="cs-CZ"/>
              </w:rPr>
              <w:t>(v tis. eur)</w:t>
            </w:r>
          </w:p>
        </w:tc>
        <w:tc>
          <w:tcPr>
            <w:tcW w:w="612"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54655" w:rsidP="00A70AF6">
            <w:pPr>
              <w:jc w:val="center"/>
              <w:rPr>
                <w:rFonts w:ascii="Arial Narrow" w:hAnsi="Arial Narrow" w:cs="Arial Narrow"/>
                <w:b/>
                <w:color w:val="FFFFFF"/>
                <w:sz w:val="20"/>
                <w:szCs w:val="24"/>
                <w:highlight w:val="black"/>
                <w:lang w:val="cs-CZ"/>
              </w:rPr>
            </w:pPr>
            <w:r>
              <w:rPr>
                <w:rFonts w:ascii="Arial Narrow" w:hAnsi="Arial Narrow" w:cs="Arial Narrow"/>
                <w:b/>
                <w:color w:val="FFFFFF"/>
                <w:sz w:val="20"/>
                <w:szCs w:val="24"/>
                <w:highlight w:val="black"/>
                <w:lang w:val="cs-CZ"/>
              </w:rPr>
              <w:t>2009</w:t>
            </w:r>
          </w:p>
        </w:tc>
        <w:tc>
          <w:tcPr>
            <w:tcW w:w="613"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54655" w:rsidP="00A70AF6">
            <w:pPr>
              <w:jc w:val="center"/>
              <w:rPr>
                <w:rFonts w:ascii="Arial Narrow" w:hAnsi="Arial Narrow" w:cs="Arial Narrow"/>
                <w:b/>
                <w:color w:val="FFFFFF"/>
                <w:sz w:val="20"/>
                <w:szCs w:val="24"/>
                <w:highlight w:val="black"/>
                <w:lang w:val="cs-CZ"/>
              </w:rPr>
            </w:pPr>
            <w:r>
              <w:rPr>
                <w:rFonts w:ascii="Arial Narrow" w:hAnsi="Arial Narrow" w:cs="Arial Narrow"/>
                <w:b/>
                <w:color w:val="FFFFFF"/>
                <w:sz w:val="20"/>
                <w:szCs w:val="24"/>
                <w:highlight w:val="black"/>
                <w:lang w:val="cs-CZ"/>
              </w:rPr>
              <w:t>2010</w:t>
            </w:r>
          </w:p>
        </w:tc>
        <w:tc>
          <w:tcPr>
            <w:tcW w:w="613"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54655" w:rsidP="00A70AF6">
            <w:pPr>
              <w:jc w:val="center"/>
              <w:rPr>
                <w:rFonts w:ascii="Arial Narrow" w:hAnsi="Arial Narrow" w:cs="Arial Narrow"/>
                <w:b/>
                <w:color w:val="FFFFFF"/>
                <w:sz w:val="20"/>
                <w:szCs w:val="24"/>
                <w:highlight w:val="black"/>
                <w:lang w:val="cs-CZ"/>
              </w:rPr>
            </w:pPr>
            <w:r>
              <w:rPr>
                <w:rFonts w:ascii="Arial Narrow" w:hAnsi="Arial Narrow" w:cs="Arial Narrow"/>
                <w:b/>
                <w:color w:val="FFFFFF"/>
                <w:sz w:val="20"/>
                <w:szCs w:val="24"/>
                <w:highlight w:val="black"/>
                <w:lang w:val="cs-CZ"/>
              </w:rPr>
              <w:t>2011</w:t>
            </w:r>
          </w:p>
        </w:tc>
        <w:tc>
          <w:tcPr>
            <w:tcW w:w="612" w:type="pct"/>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54655" w:rsidP="00A70AF6">
            <w:pPr>
              <w:jc w:val="center"/>
              <w:rPr>
                <w:rFonts w:ascii="Arial Narrow" w:hAnsi="Arial Narrow" w:cs="Arial Narrow"/>
                <w:b/>
                <w:color w:val="FFFFFF"/>
                <w:sz w:val="20"/>
                <w:szCs w:val="24"/>
                <w:highlight w:val="black"/>
                <w:lang w:val="cs-CZ"/>
              </w:rPr>
            </w:pPr>
            <w:r>
              <w:rPr>
                <w:rFonts w:ascii="Arial Narrow" w:hAnsi="Arial Narrow" w:cs="Arial Narrow"/>
                <w:b/>
                <w:color w:val="FFFFFF"/>
                <w:sz w:val="20"/>
                <w:szCs w:val="24"/>
                <w:highlight w:val="black"/>
                <w:lang w:val="cs-CZ"/>
              </w:rPr>
              <w:t>2012</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A81E1E" w:rsidP="00A70AF6">
            <w:pPr>
              <w:rPr>
                <w:rFonts w:ascii="Arial Narrow" w:hAnsi="Arial Narrow" w:cs="Arial Narrow"/>
                <w:b/>
                <w:sz w:val="20"/>
                <w:szCs w:val="24"/>
                <w:lang w:val="cs-CZ"/>
              </w:rPr>
            </w:pPr>
            <w:r w:rsidRPr="00A81E1E">
              <w:rPr>
                <w:rFonts w:ascii="Arial Narrow" w:hAnsi="Arial Narrow" w:cs="Arial Narrow"/>
                <w:b/>
                <w:sz w:val="20"/>
                <w:szCs w:val="24"/>
                <w:lang w:val="cs-CZ"/>
              </w:rPr>
              <w:t xml:space="preserve">Sociálna inklúzia celkom, </w:t>
            </w:r>
            <w:r>
              <w:rPr>
                <w:rFonts w:ascii="Arial Narrow" w:hAnsi="Arial Narrow" w:cs="Arial Narrow"/>
                <w:b/>
                <w:sz w:val="20"/>
                <w:szCs w:val="24"/>
                <w:lang w:val="cs-CZ"/>
              </w:rPr>
              <w:t>z toho:</w:t>
            </w:r>
          </w:p>
        </w:tc>
        <w:tc>
          <w:tcPr>
            <w:tcW w:w="612"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A81E1E" w:rsidP="00A70AF6">
            <w:pPr>
              <w:jc w:val="right"/>
              <w:rPr>
                <w:rFonts w:ascii="Arial Narrow" w:hAnsi="Arial Narrow" w:cs="Arial Narrow"/>
                <w:b/>
                <w:sz w:val="20"/>
                <w:szCs w:val="24"/>
                <w:lang w:val="cs-CZ"/>
              </w:rPr>
            </w:pPr>
            <w:r w:rsidRPr="00A81E1E">
              <w:rPr>
                <w:rFonts w:ascii="Arial Narrow" w:hAnsi="Arial Narrow" w:cs="Arial Narrow"/>
                <w:b/>
                <w:sz w:val="20"/>
                <w:szCs w:val="24"/>
                <w:lang w:val="cs-CZ"/>
              </w:rPr>
              <w:t>1 597 015</w:t>
            </w:r>
          </w:p>
        </w:tc>
        <w:tc>
          <w:tcPr>
            <w:tcW w:w="613"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A81E1E" w:rsidP="00A70AF6">
            <w:pPr>
              <w:jc w:val="right"/>
              <w:rPr>
                <w:rFonts w:ascii="Arial Narrow" w:hAnsi="Arial Narrow" w:cs="Arial Narrow"/>
                <w:b/>
                <w:sz w:val="20"/>
                <w:szCs w:val="24"/>
                <w:lang w:val="cs-CZ"/>
              </w:rPr>
            </w:pPr>
            <w:r w:rsidRPr="00A81E1E">
              <w:rPr>
                <w:rFonts w:ascii="Arial Narrow" w:hAnsi="Arial Narrow" w:cs="Arial Narrow"/>
                <w:b/>
                <w:sz w:val="20"/>
                <w:szCs w:val="24"/>
                <w:lang w:val="cs-CZ"/>
              </w:rPr>
              <w:t>1</w:t>
            </w:r>
            <w:r>
              <w:rPr>
                <w:rFonts w:ascii="Arial Narrow" w:hAnsi="Arial Narrow" w:cs="Arial Narrow"/>
                <w:b/>
                <w:sz w:val="20"/>
                <w:szCs w:val="24"/>
                <w:lang w:val="cs-CZ"/>
              </w:rPr>
              <w:t> 575 360</w:t>
            </w:r>
          </w:p>
        </w:tc>
        <w:tc>
          <w:tcPr>
            <w:tcW w:w="613"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A81E1E" w:rsidP="00A70AF6">
            <w:pPr>
              <w:jc w:val="right"/>
              <w:rPr>
                <w:rFonts w:ascii="Arial Narrow" w:hAnsi="Arial Narrow" w:cs="Arial Narrow"/>
                <w:b/>
                <w:sz w:val="20"/>
                <w:szCs w:val="24"/>
                <w:lang w:val="cs-CZ"/>
              </w:rPr>
            </w:pPr>
            <w:r w:rsidRPr="00A81E1E">
              <w:rPr>
                <w:rFonts w:ascii="Arial Narrow" w:hAnsi="Arial Narrow" w:cs="Arial Narrow"/>
                <w:b/>
                <w:sz w:val="20"/>
                <w:szCs w:val="24"/>
                <w:lang w:val="cs-CZ"/>
              </w:rPr>
              <w:t>1</w:t>
            </w:r>
            <w:r>
              <w:rPr>
                <w:rFonts w:ascii="Arial Narrow" w:hAnsi="Arial Narrow" w:cs="Arial Narrow"/>
                <w:b/>
                <w:sz w:val="20"/>
                <w:szCs w:val="24"/>
                <w:lang w:val="cs-CZ"/>
              </w:rPr>
              <w:t> </w:t>
            </w:r>
            <w:r w:rsidRPr="00A81E1E">
              <w:rPr>
                <w:rFonts w:ascii="Arial Narrow" w:hAnsi="Arial Narrow" w:cs="Arial Narrow"/>
                <w:b/>
                <w:sz w:val="20"/>
                <w:szCs w:val="24"/>
                <w:lang w:val="cs-CZ"/>
              </w:rPr>
              <w:t>6</w:t>
            </w:r>
            <w:r>
              <w:rPr>
                <w:rFonts w:ascii="Arial Narrow" w:hAnsi="Arial Narrow" w:cs="Arial Narrow"/>
                <w:b/>
                <w:sz w:val="20"/>
                <w:szCs w:val="24"/>
                <w:lang w:val="cs-CZ"/>
              </w:rPr>
              <w:t>47 215</w:t>
            </w:r>
          </w:p>
        </w:tc>
        <w:tc>
          <w:tcPr>
            <w:tcW w:w="612"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A81E1E" w:rsidP="00A70AF6">
            <w:pPr>
              <w:jc w:val="right"/>
              <w:rPr>
                <w:rFonts w:ascii="Arial Narrow" w:hAnsi="Arial Narrow" w:cs="Arial Narrow"/>
                <w:b/>
                <w:sz w:val="20"/>
                <w:szCs w:val="24"/>
                <w:lang w:val="cs-CZ"/>
              </w:rPr>
            </w:pPr>
            <w:r w:rsidRPr="00A81E1E">
              <w:rPr>
                <w:rFonts w:ascii="Arial Narrow" w:hAnsi="Arial Narrow" w:cs="Arial Narrow"/>
                <w:b/>
                <w:sz w:val="20"/>
                <w:szCs w:val="24"/>
                <w:lang w:val="cs-CZ"/>
              </w:rPr>
              <w:t>1</w:t>
            </w:r>
            <w:r>
              <w:rPr>
                <w:rFonts w:ascii="Arial Narrow" w:hAnsi="Arial Narrow" w:cs="Arial Narrow"/>
                <w:b/>
                <w:sz w:val="20"/>
                <w:szCs w:val="24"/>
                <w:lang w:val="cs-CZ"/>
              </w:rPr>
              <w:t> </w:t>
            </w:r>
            <w:r w:rsidRPr="00A81E1E">
              <w:rPr>
                <w:rFonts w:ascii="Arial Narrow" w:hAnsi="Arial Narrow" w:cs="Arial Narrow"/>
                <w:b/>
                <w:sz w:val="20"/>
                <w:szCs w:val="24"/>
                <w:lang w:val="cs-CZ"/>
              </w:rPr>
              <w:t>6</w:t>
            </w:r>
            <w:r>
              <w:rPr>
                <w:rFonts w:ascii="Arial Narrow" w:hAnsi="Arial Narrow" w:cs="Arial Narrow"/>
                <w:b/>
                <w:sz w:val="20"/>
                <w:szCs w:val="24"/>
                <w:lang w:val="cs-CZ"/>
              </w:rPr>
              <w:t>24 338</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rPr>
                <w:rFonts w:ascii="Arial Narrow" w:hAnsi="Arial Narrow" w:cs="Arial Narrow"/>
                <w:sz w:val="20"/>
                <w:szCs w:val="24"/>
                <w:lang w:val="cs-CZ"/>
              </w:rPr>
            </w:pPr>
            <w:r w:rsidRPr="00A81E1E">
              <w:rPr>
                <w:rFonts w:ascii="Arial Narrow" w:hAnsi="Arial Narrow" w:cs="Arial Narrow"/>
                <w:sz w:val="20"/>
                <w:szCs w:val="24"/>
                <w:lang w:val="cs-CZ"/>
              </w:rPr>
              <w:t>1. pomoc v hmotnej núdzi</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295 645</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Pr>
                <w:rFonts w:ascii="Arial Narrow" w:hAnsi="Arial Narrow" w:cs="Arial Narrow"/>
                <w:sz w:val="20"/>
                <w:szCs w:val="24"/>
                <w:lang w:val="cs-CZ"/>
              </w:rPr>
              <w:t>287 634</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30</w:t>
            </w:r>
            <w:r>
              <w:rPr>
                <w:rFonts w:ascii="Arial Narrow" w:hAnsi="Arial Narrow" w:cs="Arial Narrow"/>
                <w:sz w:val="20"/>
                <w:szCs w:val="24"/>
                <w:lang w:val="cs-CZ"/>
              </w:rPr>
              <w:t>0 148</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3</w:t>
            </w:r>
            <w:r>
              <w:rPr>
                <w:rFonts w:ascii="Arial Narrow" w:hAnsi="Arial Narrow" w:cs="Arial Narrow"/>
                <w:sz w:val="20"/>
                <w:szCs w:val="24"/>
                <w:lang w:val="cs-CZ"/>
              </w:rPr>
              <w:t>02 927</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rPr>
                <w:rFonts w:ascii="Arial Narrow" w:hAnsi="Arial Narrow" w:cs="Arial Narrow"/>
                <w:sz w:val="20"/>
                <w:szCs w:val="24"/>
                <w:lang w:val="cs-CZ"/>
              </w:rPr>
            </w:pPr>
            <w:r>
              <w:rPr>
                <w:rFonts w:ascii="Arial Narrow" w:hAnsi="Arial Narrow" w:cs="Arial Narrow"/>
                <w:sz w:val="20"/>
                <w:szCs w:val="24"/>
                <w:lang w:val="cs-CZ"/>
              </w:rPr>
              <w:t>2</w:t>
            </w:r>
            <w:r w:rsidRPr="00A81E1E">
              <w:rPr>
                <w:rFonts w:ascii="Arial Narrow" w:hAnsi="Arial Narrow" w:cs="Arial Narrow"/>
                <w:sz w:val="20"/>
                <w:szCs w:val="24"/>
                <w:lang w:val="cs-CZ"/>
              </w:rPr>
              <w:t xml:space="preserve">. podpora rodiny   v tom: </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865 353</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8</w:t>
            </w:r>
            <w:r>
              <w:rPr>
                <w:rFonts w:ascii="Arial Narrow" w:hAnsi="Arial Narrow" w:cs="Arial Narrow"/>
                <w:sz w:val="20"/>
                <w:szCs w:val="24"/>
                <w:lang w:val="cs-CZ"/>
              </w:rPr>
              <w:t>89 354</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9</w:t>
            </w:r>
            <w:r>
              <w:rPr>
                <w:rFonts w:ascii="Arial Narrow" w:hAnsi="Arial Narrow" w:cs="Arial Narrow"/>
                <w:sz w:val="20"/>
                <w:szCs w:val="24"/>
                <w:lang w:val="cs-CZ"/>
              </w:rPr>
              <w:t>34 246</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9</w:t>
            </w:r>
            <w:r>
              <w:rPr>
                <w:rFonts w:ascii="Arial Narrow" w:hAnsi="Arial Narrow" w:cs="Arial Narrow"/>
                <w:sz w:val="20"/>
                <w:szCs w:val="24"/>
                <w:lang w:val="cs-CZ"/>
              </w:rPr>
              <w:t>72 275</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center"/>
              <w:rPr>
                <w:rFonts w:ascii="Arial Narrow" w:hAnsi="Arial Narrow" w:cs="Arial Narrow"/>
                <w:i/>
                <w:sz w:val="20"/>
                <w:szCs w:val="24"/>
                <w:lang w:val="cs-CZ"/>
              </w:rPr>
            </w:pPr>
            <w:r w:rsidRPr="00A81E1E">
              <w:rPr>
                <w:rFonts w:ascii="Arial Narrow" w:hAnsi="Arial Narrow" w:cs="Arial Narrow"/>
                <w:i/>
                <w:sz w:val="20"/>
                <w:szCs w:val="24"/>
                <w:lang w:val="cs-CZ"/>
              </w:rPr>
              <w:t>platba štátu</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i/>
                <w:sz w:val="20"/>
                <w:szCs w:val="24"/>
                <w:lang w:val="cs-CZ"/>
              </w:rPr>
            </w:pPr>
            <w:r w:rsidRPr="00A81E1E">
              <w:rPr>
                <w:rFonts w:ascii="Arial Narrow" w:hAnsi="Arial Narrow" w:cs="Arial Narrow"/>
                <w:i/>
                <w:sz w:val="20"/>
                <w:szCs w:val="24"/>
                <w:lang w:val="cs-CZ"/>
              </w:rPr>
              <w:t>231 212</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i/>
                <w:sz w:val="20"/>
                <w:szCs w:val="24"/>
                <w:lang w:val="cs-CZ"/>
              </w:rPr>
            </w:pPr>
            <w:r w:rsidRPr="00A81E1E">
              <w:rPr>
                <w:rFonts w:ascii="Arial Narrow" w:hAnsi="Arial Narrow" w:cs="Arial Narrow"/>
                <w:i/>
                <w:sz w:val="20"/>
                <w:szCs w:val="24"/>
                <w:lang w:val="cs-CZ"/>
              </w:rPr>
              <w:t>2</w:t>
            </w:r>
            <w:r>
              <w:rPr>
                <w:rFonts w:ascii="Arial Narrow" w:hAnsi="Arial Narrow" w:cs="Arial Narrow"/>
                <w:i/>
                <w:sz w:val="20"/>
                <w:szCs w:val="24"/>
                <w:lang w:val="cs-CZ"/>
              </w:rPr>
              <w:t>45 384</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i/>
                <w:sz w:val="20"/>
                <w:szCs w:val="24"/>
                <w:lang w:val="cs-CZ"/>
              </w:rPr>
            </w:pPr>
            <w:r w:rsidRPr="00A81E1E">
              <w:rPr>
                <w:rFonts w:ascii="Arial Narrow" w:hAnsi="Arial Narrow" w:cs="Arial Narrow"/>
                <w:i/>
                <w:sz w:val="20"/>
                <w:szCs w:val="24"/>
                <w:lang w:val="cs-CZ"/>
              </w:rPr>
              <w:t>2</w:t>
            </w:r>
            <w:r>
              <w:rPr>
                <w:rFonts w:ascii="Arial Narrow" w:hAnsi="Arial Narrow" w:cs="Arial Narrow"/>
                <w:i/>
                <w:sz w:val="20"/>
                <w:szCs w:val="24"/>
                <w:lang w:val="cs-CZ"/>
              </w:rPr>
              <w:t>55 672</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i/>
                <w:sz w:val="20"/>
                <w:szCs w:val="24"/>
                <w:lang w:val="cs-CZ"/>
              </w:rPr>
            </w:pPr>
            <w:r w:rsidRPr="00A81E1E">
              <w:rPr>
                <w:rFonts w:ascii="Arial Narrow" w:hAnsi="Arial Narrow" w:cs="Arial Narrow"/>
                <w:i/>
                <w:sz w:val="20"/>
                <w:szCs w:val="24"/>
                <w:lang w:val="cs-CZ"/>
              </w:rPr>
              <w:t>2</w:t>
            </w:r>
            <w:r>
              <w:rPr>
                <w:rFonts w:ascii="Arial Narrow" w:hAnsi="Arial Narrow" w:cs="Arial Narrow"/>
                <w:i/>
                <w:sz w:val="20"/>
                <w:szCs w:val="24"/>
                <w:lang w:val="cs-CZ"/>
              </w:rPr>
              <w:t>75 315</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rPr>
                <w:rFonts w:ascii="Arial Narrow" w:hAnsi="Arial Narrow" w:cs="Arial Narrow"/>
                <w:sz w:val="20"/>
                <w:szCs w:val="24"/>
                <w:lang w:val="cs-CZ"/>
              </w:rPr>
            </w:pPr>
            <w:r w:rsidRPr="00A81E1E">
              <w:rPr>
                <w:rFonts w:ascii="Arial Narrow" w:hAnsi="Arial Narrow" w:cs="Arial Narrow"/>
                <w:sz w:val="20"/>
                <w:szCs w:val="24"/>
                <w:lang w:val="cs-CZ"/>
              </w:rPr>
              <w:t xml:space="preserve"> </w:t>
            </w:r>
            <w:r>
              <w:rPr>
                <w:rFonts w:ascii="Arial Narrow" w:hAnsi="Arial Narrow" w:cs="Arial Narrow"/>
                <w:sz w:val="20"/>
                <w:szCs w:val="24"/>
                <w:lang w:val="cs-CZ"/>
              </w:rPr>
              <w:t>3</w:t>
            </w:r>
            <w:r w:rsidRPr="00A81E1E">
              <w:rPr>
                <w:rFonts w:ascii="Arial Narrow" w:hAnsi="Arial Narrow" w:cs="Arial Narrow"/>
                <w:sz w:val="20"/>
                <w:szCs w:val="24"/>
                <w:lang w:val="cs-CZ"/>
              </w:rPr>
              <w:t>. kompenzácie ŤZP</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224 806</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2</w:t>
            </w:r>
            <w:r>
              <w:rPr>
                <w:rFonts w:ascii="Arial Narrow" w:hAnsi="Arial Narrow" w:cs="Arial Narrow"/>
                <w:sz w:val="20"/>
                <w:szCs w:val="24"/>
                <w:lang w:val="cs-CZ"/>
              </w:rPr>
              <w:t>14 808</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2</w:t>
            </w:r>
            <w:r>
              <w:rPr>
                <w:rFonts w:ascii="Arial Narrow" w:hAnsi="Arial Narrow" w:cs="Arial Narrow"/>
                <w:sz w:val="20"/>
                <w:szCs w:val="24"/>
                <w:lang w:val="cs-CZ"/>
              </w:rPr>
              <w:t>23 217</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2</w:t>
            </w:r>
            <w:r>
              <w:rPr>
                <w:rFonts w:ascii="Arial Narrow" w:hAnsi="Arial Narrow" w:cs="Arial Narrow"/>
                <w:sz w:val="20"/>
                <w:szCs w:val="24"/>
                <w:lang w:val="cs-CZ"/>
              </w:rPr>
              <w:t>24 110</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rPr>
                <w:rFonts w:ascii="Arial Narrow" w:hAnsi="Arial Narrow" w:cs="Arial Narrow"/>
                <w:sz w:val="20"/>
                <w:szCs w:val="24"/>
                <w:lang w:val="cs-CZ"/>
              </w:rPr>
            </w:pPr>
            <w:r w:rsidRPr="00A81E1E">
              <w:rPr>
                <w:rFonts w:ascii="Arial Narrow" w:hAnsi="Arial Narrow" w:cs="Arial Narrow"/>
                <w:sz w:val="20"/>
                <w:szCs w:val="24"/>
                <w:lang w:val="cs-CZ"/>
              </w:rPr>
              <w:t xml:space="preserve"> </w:t>
            </w:r>
            <w:r>
              <w:rPr>
                <w:rFonts w:ascii="Arial Narrow" w:hAnsi="Arial Narrow" w:cs="Arial Narrow"/>
                <w:sz w:val="20"/>
                <w:szCs w:val="24"/>
                <w:lang w:val="cs-CZ"/>
              </w:rPr>
              <w:t>4</w:t>
            </w:r>
            <w:r w:rsidRPr="00A81E1E">
              <w:rPr>
                <w:rFonts w:ascii="Arial Narrow" w:hAnsi="Arial Narrow" w:cs="Arial Narrow"/>
                <w:sz w:val="20"/>
                <w:szCs w:val="24"/>
                <w:lang w:val="cs-CZ"/>
              </w:rPr>
              <w:t>. starostlivosť o ohrozené deti</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73 819</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7</w:t>
            </w:r>
            <w:r>
              <w:rPr>
                <w:rFonts w:ascii="Arial Narrow" w:hAnsi="Arial Narrow" w:cs="Arial Narrow"/>
                <w:sz w:val="20"/>
                <w:szCs w:val="24"/>
                <w:lang w:val="cs-CZ"/>
              </w:rPr>
              <w:t>3 009</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7</w:t>
            </w:r>
            <w:r>
              <w:rPr>
                <w:rFonts w:ascii="Arial Narrow" w:hAnsi="Arial Narrow" w:cs="Arial Narrow"/>
                <w:sz w:val="20"/>
                <w:szCs w:val="24"/>
                <w:lang w:val="cs-CZ"/>
              </w:rPr>
              <w:t>5 568</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Pr>
                <w:rFonts w:ascii="Arial Narrow" w:hAnsi="Arial Narrow" w:cs="Arial Narrow"/>
                <w:sz w:val="20"/>
                <w:szCs w:val="24"/>
                <w:lang w:val="cs-CZ"/>
              </w:rPr>
              <w:t>76 970</w:t>
            </w:r>
          </w:p>
        </w:tc>
      </w:tr>
      <w:tr>
        <w:tblPrEx>
          <w:tblW w:w="4942" w:type="pct"/>
          <w:tblInd w:w="108" w:type="dxa"/>
          <w:tblLook w:val="01E0"/>
        </w:tblPrEx>
        <w:trPr>
          <w:trHeight w:val="284"/>
        </w:trPr>
        <w:tc>
          <w:tcPr>
            <w:tcW w:w="2550"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rPr>
                <w:rFonts w:ascii="Arial Narrow" w:hAnsi="Arial Narrow" w:cs="Arial Narrow"/>
                <w:sz w:val="20"/>
                <w:szCs w:val="24"/>
                <w:lang w:val="cs-CZ"/>
              </w:rPr>
            </w:pPr>
            <w:r w:rsidRPr="00A81E1E">
              <w:rPr>
                <w:rFonts w:ascii="Arial Narrow" w:hAnsi="Arial Narrow" w:cs="Arial Narrow"/>
                <w:sz w:val="20"/>
                <w:szCs w:val="24"/>
                <w:lang w:val="cs-CZ"/>
              </w:rPr>
              <w:t xml:space="preserve"> </w:t>
            </w:r>
            <w:r>
              <w:rPr>
                <w:rFonts w:ascii="Arial Narrow" w:hAnsi="Arial Narrow" w:cs="Arial Narrow"/>
                <w:sz w:val="20"/>
                <w:szCs w:val="24"/>
                <w:lang w:val="cs-CZ"/>
              </w:rPr>
              <w:t>5</w:t>
            </w:r>
            <w:r w:rsidRPr="00A81E1E">
              <w:rPr>
                <w:rFonts w:ascii="Arial Narrow" w:hAnsi="Arial Narrow" w:cs="Arial Narrow"/>
                <w:sz w:val="20"/>
                <w:szCs w:val="24"/>
                <w:lang w:val="cs-CZ"/>
              </w:rPr>
              <w:t>. nesystémové dávky</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36 215</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39 188</w:t>
            </w:r>
          </w:p>
        </w:tc>
        <w:tc>
          <w:tcPr>
            <w:tcW w:w="613"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 xml:space="preserve">40 762 </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312541" w:rsidRPr="00A81E1E" w:rsidP="00A70AF6">
            <w:pPr>
              <w:tabs>
                <w:tab w:val="left" w:pos="0"/>
                <w:tab w:val="left" w:pos="720"/>
                <w:tab w:val="left" w:pos="1440"/>
                <w:tab w:val="left" w:pos="2160"/>
                <w:tab w:val="left" w:pos="2880"/>
                <w:tab w:val="left" w:pos="3600"/>
                <w:tab w:val="left" w:pos="4320"/>
              </w:tabs>
              <w:adjustRightInd w:val="0"/>
              <w:spacing w:line="240" w:lineRule="atLeast"/>
              <w:jc w:val="right"/>
              <w:rPr>
                <w:rFonts w:ascii="Arial Narrow" w:hAnsi="Arial Narrow" w:cs="Arial Narrow"/>
                <w:sz w:val="20"/>
                <w:szCs w:val="24"/>
                <w:lang w:val="cs-CZ"/>
              </w:rPr>
            </w:pPr>
            <w:r w:rsidRPr="00A81E1E">
              <w:rPr>
                <w:rFonts w:ascii="Arial Narrow" w:hAnsi="Arial Narrow" w:cs="Arial Narrow"/>
                <w:sz w:val="20"/>
                <w:szCs w:val="24"/>
                <w:lang w:val="cs-CZ"/>
              </w:rPr>
              <w:t>43 185</w:t>
            </w:r>
          </w:p>
        </w:tc>
      </w:tr>
    </w:tbl>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u w:val="single"/>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t>V roku 2010</w:t>
      </w:r>
      <w:r w:rsidRPr="005C7EBC">
        <w:rPr>
          <w:rFonts w:ascii="Arial Narrow" w:hAnsi="Arial Narrow" w:cs="Arial Narrow"/>
          <w:color w:val="000000"/>
          <w:sz w:val="22"/>
          <w:szCs w:val="24"/>
        </w:rPr>
        <w:t xml:space="preserve"> sa rozpočtuje </w:t>
      </w:r>
      <w:r w:rsidRPr="00554655">
        <w:rPr>
          <w:rFonts w:ascii="Arial Narrow" w:hAnsi="Arial Narrow" w:cs="Arial Narrow"/>
          <w:b/>
          <w:color w:val="000000"/>
          <w:sz w:val="22"/>
          <w:szCs w:val="24"/>
        </w:rPr>
        <w:t>na pomoc</w:t>
      </w:r>
      <w:r>
        <w:rPr>
          <w:rFonts w:ascii="Arial Narrow" w:hAnsi="Arial Narrow" w:cs="Arial Narrow"/>
          <w:color w:val="000000"/>
          <w:sz w:val="22"/>
          <w:szCs w:val="24"/>
        </w:rPr>
        <w:t xml:space="preserve"> </w:t>
      </w:r>
      <w:r w:rsidRPr="005C7EBC">
        <w:rPr>
          <w:rFonts w:ascii="Arial Narrow" w:hAnsi="Arial Narrow" w:cs="Arial Narrow"/>
          <w:b/>
          <w:color w:val="000000"/>
          <w:sz w:val="22"/>
          <w:szCs w:val="24"/>
        </w:rPr>
        <w:t>v hmotnej núdzi</w:t>
      </w:r>
      <w:r>
        <w:rPr>
          <w:rFonts w:ascii="Arial Narrow" w:hAnsi="Arial Narrow" w:cs="Arial Narrow"/>
          <w:color w:val="000000"/>
          <w:sz w:val="22"/>
          <w:szCs w:val="24"/>
        </w:rPr>
        <w:t xml:space="preserve"> suma 288</w:t>
      </w:r>
      <w:r w:rsidRPr="005C7EBC">
        <w:rPr>
          <w:rFonts w:ascii="Arial Narrow" w:hAnsi="Arial Narrow" w:cs="Arial Narrow"/>
          <w:color w:val="000000"/>
          <w:sz w:val="22"/>
          <w:szCs w:val="24"/>
        </w:rPr>
        <w:t xml:space="preserve"> mil. eur</w:t>
      </w:r>
      <w:r>
        <w:rPr>
          <w:rFonts w:ascii="Arial Narrow" w:hAnsi="Arial Narrow" w:cs="Arial Narrow"/>
          <w:color w:val="000000"/>
          <w:sz w:val="22"/>
          <w:szCs w:val="24"/>
        </w:rPr>
        <w:t xml:space="preserve">. </w:t>
      </w:r>
      <w:r w:rsidRPr="005C7EBC">
        <w:rPr>
          <w:rFonts w:ascii="Arial Narrow" w:hAnsi="Arial Narrow" w:cs="Arial Narrow"/>
          <w:color w:val="000000"/>
          <w:sz w:val="22"/>
          <w:szCs w:val="24"/>
        </w:rPr>
        <w:t>V roku 20</w:t>
      </w:r>
      <w:r>
        <w:rPr>
          <w:rFonts w:ascii="Arial Narrow" w:hAnsi="Arial Narrow" w:cs="Arial Narrow"/>
          <w:color w:val="000000"/>
          <w:sz w:val="22"/>
          <w:szCs w:val="24"/>
        </w:rPr>
        <w:t>10</w:t>
      </w:r>
      <w:r w:rsidRPr="005C7EBC">
        <w:rPr>
          <w:rFonts w:ascii="Arial Narrow" w:hAnsi="Arial Narrow" w:cs="Arial Narrow"/>
          <w:color w:val="000000"/>
          <w:sz w:val="22"/>
          <w:szCs w:val="24"/>
        </w:rPr>
        <w:t xml:space="preserve"> sa budú financovať </w:t>
      </w:r>
      <w:r>
        <w:rPr>
          <w:rFonts w:ascii="Arial Narrow" w:hAnsi="Arial Narrow" w:cs="Arial Narrow"/>
          <w:color w:val="000000"/>
          <w:sz w:val="22"/>
          <w:szCs w:val="24"/>
        </w:rPr>
        <w:t xml:space="preserve">všetky </w:t>
      </w:r>
      <w:r w:rsidRPr="005C7EBC">
        <w:rPr>
          <w:rFonts w:ascii="Arial Narrow" w:hAnsi="Arial Narrow" w:cs="Arial Narrow"/>
          <w:color w:val="000000"/>
          <w:sz w:val="22"/>
          <w:szCs w:val="24"/>
        </w:rPr>
        <w:t>doposi</w:t>
      </w:r>
      <w:r>
        <w:rPr>
          <w:rFonts w:ascii="Arial Narrow" w:hAnsi="Arial Narrow" w:cs="Arial Narrow"/>
          <w:color w:val="000000"/>
          <w:sz w:val="22"/>
          <w:szCs w:val="24"/>
        </w:rPr>
        <w:t xml:space="preserve">aľ uplatňované dávky, príspevky </w:t>
      </w:r>
      <w:r w:rsidRPr="005C7EBC">
        <w:rPr>
          <w:rFonts w:ascii="Arial Narrow" w:hAnsi="Arial Narrow" w:cs="Arial Narrow"/>
          <w:color w:val="000000"/>
          <w:sz w:val="22"/>
          <w:szCs w:val="24"/>
        </w:rPr>
        <w:t>v hmotn</w:t>
      </w:r>
      <w:r>
        <w:rPr>
          <w:rFonts w:ascii="Arial Narrow" w:hAnsi="Arial Narrow" w:cs="Arial Narrow"/>
          <w:color w:val="000000"/>
          <w:sz w:val="22"/>
          <w:szCs w:val="24"/>
        </w:rPr>
        <w:t xml:space="preserve">ej núdzi a dotačné programy pre </w:t>
      </w:r>
      <w:r w:rsidRPr="005C7EBC">
        <w:rPr>
          <w:rFonts w:ascii="Arial Narrow" w:hAnsi="Arial Narrow" w:cs="Arial Narrow"/>
          <w:color w:val="000000"/>
          <w:sz w:val="22"/>
          <w:szCs w:val="24"/>
        </w:rPr>
        <w:t xml:space="preserve">deti z nízkopríjmových skupín. Rozpočtovaný objem výdavkov umožňuje celoplošnú valorizáciu vo výške inflácie. Funkciu preventívneho prvku na predchádzanie stavu hmotnej núdze detí </w:t>
      </w:r>
      <w:r w:rsidRPr="006263EE">
        <w:rPr>
          <w:rFonts w:ascii="Arial Narrow" w:hAnsi="Arial Narrow" w:cs="Arial Narrow"/>
          <w:color w:val="000000"/>
          <w:sz w:val="22"/>
          <w:szCs w:val="24"/>
        </w:rPr>
        <w:t>plní náhradné výživné,</w:t>
      </w:r>
      <w:r w:rsidRPr="005C7EBC">
        <w:rPr>
          <w:rFonts w:ascii="Arial Narrow" w:hAnsi="Arial Narrow" w:cs="Arial Narrow"/>
          <w:color w:val="000000"/>
          <w:sz w:val="22"/>
          <w:szCs w:val="24"/>
        </w:rPr>
        <w:t xml:space="preserve"> ktoré je súčasťou štátnych sociálnych dávok</w:t>
      </w:r>
      <w:r>
        <w:rPr>
          <w:rFonts w:ascii="Arial Narrow" w:hAnsi="Arial Narrow" w:cs="Arial Narrow"/>
          <w:color w:val="000000"/>
          <w:sz w:val="22"/>
          <w:szCs w:val="24"/>
        </w:rPr>
        <w:t>. Rozpočtovaná suma na rok 2010</w:t>
      </w:r>
      <w:r w:rsidRPr="005C7EBC">
        <w:rPr>
          <w:rFonts w:ascii="Arial Narrow" w:hAnsi="Arial Narrow" w:cs="Arial Narrow"/>
          <w:color w:val="000000"/>
          <w:sz w:val="22"/>
          <w:szCs w:val="24"/>
        </w:rPr>
        <w:t xml:space="preserve"> v objeme </w:t>
      </w:r>
      <w:r>
        <w:rPr>
          <w:rFonts w:ascii="Arial Narrow" w:hAnsi="Arial Narrow" w:cs="Arial Narrow"/>
          <w:color w:val="000000"/>
          <w:sz w:val="22"/>
          <w:szCs w:val="24"/>
        </w:rPr>
        <w:t xml:space="preserve">4,22 </w:t>
      </w:r>
      <w:r w:rsidRPr="005C7EBC">
        <w:rPr>
          <w:rFonts w:ascii="Arial Narrow" w:hAnsi="Arial Narrow" w:cs="Arial Narrow"/>
          <w:color w:val="000000"/>
          <w:sz w:val="22"/>
          <w:szCs w:val="24"/>
        </w:rPr>
        <w:t xml:space="preserve">mil. eur je určená na zabezpečenie výživy nezaopatreného dieťaťa. </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r>
      <w:r w:rsidRPr="00674EF9">
        <w:rPr>
          <w:rFonts w:ascii="Arial Narrow" w:hAnsi="Arial Narrow" w:cs="Arial Narrow"/>
          <w:color w:val="000000"/>
          <w:sz w:val="22"/>
          <w:szCs w:val="24"/>
        </w:rPr>
        <w:t xml:space="preserve">Obdobne ako v roku 2009 sa na zmiernenie nepriaznivej sociálnej situácie poberateľov dôchodkových dávok rozpočtuje v roku 2010 </w:t>
      </w:r>
      <w:r w:rsidRPr="00674EF9">
        <w:rPr>
          <w:rFonts w:ascii="Arial Narrow" w:hAnsi="Arial Narrow" w:cs="Arial Narrow"/>
          <w:b/>
          <w:color w:val="000000"/>
          <w:sz w:val="22"/>
          <w:szCs w:val="24"/>
        </w:rPr>
        <w:t xml:space="preserve">vianočný príspevok dôchodcom </w:t>
      </w:r>
      <w:r w:rsidRPr="00674EF9">
        <w:rPr>
          <w:rFonts w:ascii="Arial Narrow" w:hAnsi="Arial Narrow" w:cs="Arial Narrow"/>
          <w:color w:val="000000"/>
          <w:sz w:val="22"/>
          <w:szCs w:val="24"/>
        </w:rPr>
        <w:t xml:space="preserve">vo výške 66,8 mil. eur, čo predstavuje v porovnaní s rokom 2009 </w:t>
      </w:r>
      <w:r w:rsidRPr="00674EF9">
        <w:rPr>
          <w:rFonts w:ascii="Arial Narrow" w:hAnsi="Arial Narrow" w:cs="Arial Narrow"/>
          <w:b/>
          <w:color w:val="000000"/>
          <w:sz w:val="22"/>
          <w:szCs w:val="24"/>
        </w:rPr>
        <w:t>zvýšenie o 8,88 %</w:t>
      </w:r>
      <w:r w:rsidRPr="00674EF9">
        <w:rPr>
          <w:rFonts w:ascii="Arial Narrow" w:hAnsi="Arial Narrow" w:cs="Arial Narrow"/>
          <w:color w:val="000000"/>
          <w:sz w:val="22"/>
          <w:szCs w:val="24"/>
        </w:rPr>
        <w:t>.</w:t>
      </w:r>
      <w:r w:rsidRPr="005C7EBC">
        <w:rPr>
          <w:rFonts w:ascii="Arial Narrow" w:hAnsi="Arial Narrow" w:cs="Arial Narrow"/>
          <w:color w:val="000000"/>
          <w:sz w:val="22"/>
          <w:szCs w:val="24"/>
        </w:rPr>
        <w:t xml:space="preserve"> </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sidRPr="005C7EBC">
        <w:rPr>
          <w:rFonts w:ascii="Arial Narrow" w:hAnsi="Arial Narrow" w:cs="Arial Narrow"/>
          <w:b/>
          <w:color w:val="000000"/>
          <w:sz w:val="22"/>
          <w:szCs w:val="24"/>
        </w:rPr>
        <w:tab/>
        <w:t>Na podporu rodiny</w:t>
      </w:r>
      <w:r>
        <w:rPr>
          <w:rFonts w:ascii="Arial Narrow" w:hAnsi="Arial Narrow" w:cs="Arial Narrow"/>
          <w:color w:val="000000"/>
          <w:sz w:val="22"/>
          <w:szCs w:val="24"/>
        </w:rPr>
        <w:t xml:space="preserve"> sa v roku 2010</w:t>
      </w:r>
      <w:r w:rsidRPr="005C7EBC">
        <w:rPr>
          <w:rFonts w:ascii="Arial Narrow" w:hAnsi="Arial Narrow" w:cs="Arial Narrow"/>
          <w:color w:val="000000"/>
          <w:sz w:val="22"/>
          <w:szCs w:val="24"/>
        </w:rPr>
        <w:t xml:space="preserve"> rozpočtuje</w:t>
      </w:r>
      <w:r w:rsidRPr="005C7EBC">
        <w:rPr>
          <w:rFonts w:ascii="Arial Narrow" w:hAnsi="Arial Narrow" w:cs="Arial Narrow"/>
          <w:b/>
          <w:color w:val="000000"/>
          <w:sz w:val="22"/>
          <w:szCs w:val="24"/>
        </w:rPr>
        <w:t xml:space="preserve"> </w:t>
      </w:r>
      <w:r w:rsidRPr="00213A52">
        <w:rPr>
          <w:rFonts w:ascii="Arial Narrow" w:hAnsi="Arial Narrow" w:cs="Arial Narrow"/>
          <w:color w:val="000000"/>
          <w:sz w:val="22"/>
          <w:szCs w:val="24"/>
        </w:rPr>
        <w:t>8</w:t>
      </w:r>
      <w:r>
        <w:rPr>
          <w:rFonts w:ascii="Arial Narrow" w:hAnsi="Arial Narrow" w:cs="Arial Narrow"/>
          <w:color w:val="000000"/>
          <w:sz w:val="22"/>
          <w:szCs w:val="24"/>
        </w:rPr>
        <w:t>89</w:t>
      </w:r>
      <w:r w:rsidRPr="00213A52">
        <w:rPr>
          <w:rFonts w:ascii="Arial Narrow" w:hAnsi="Arial Narrow" w:cs="Arial Narrow"/>
          <w:color w:val="000000"/>
          <w:sz w:val="22"/>
          <w:szCs w:val="24"/>
        </w:rPr>
        <w:t xml:space="preserve"> mil. eu</w:t>
      </w:r>
      <w:r w:rsidRPr="00C244A4">
        <w:rPr>
          <w:rFonts w:ascii="Arial Narrow" w:hAnsi="Arial Narrow" w:cs="Arial Narrow"/>
          <w:color w:val="000000"/>
          <w:sz w:val="22"/>
          <w:szCs w:val="24"/>
        </w:rPr>
        <w:t>r,</w:t>
      </w:r>
      <w:r>
        <w:rPr>
          <w:rFonts w:ascii="Arial Narrow" w:hAnsi="Arial Narrow" w:cs="Arial Narrow"/>
          <w:color w:val="000000"/>
          <w:sz w:val="22"/>
          <w:szCs w:val="24"/>
        </w:rPr>
        <w:t xml:space="preserve"> čo v porovnaní s rokom 2009</w:t>
      </w:r>
      <w:r w:rsidRPr="005C7EBC">
        <w:rPr>
          <w:rFonts w:ascii="Arial Narrow" w:hAnsi="Arial Narrow" w:cs="Arial Narrow"/>
          <w:color w:val="000000"/>
          <w:sz w:val="22"/>
          <w:szCs w:val="24"/>
        </w:rPr>
        <w:t xml:space="preserve"> predstavuje </w:t>
      </w:r>
      <w:r>
        <w:rPr>
          <w:rFonts w:ascii="Arial Narrow" w:hAnsi="Arial Narrow" w:cs="Arial Narrow"/>
          <w:b/>
          <w:color w:val="000000"/>
          <w:sz w:val="22"/>
          <w:szCs w:val="24"/>
        </w:rPr>
        <w:t>nárast o 2,77</w:t>
      </w:r>
      <w:r>
        <w:rPr>
          <w:rFonts w:ascii="Arial Narrow" w:hAnsi="Arial Narrow" w:cs="Arial Narrow"/>
          <w:color w:val="000000"/>
          <w:sz w:val="22"/>
          <w:szCs w:val="24"/>
        </w:rPr>
        <w:t xml:space="preserve"> </w:t>
      </w:r>
      <w:r w:rsidRPr="00F176F5">
        <w:rPr>
          <w:rFonts w:ascii="Arial Narrow" w:hAnsi="Arial Narrow" w:cs="Arial Narrow"/>
          <w:color w:val="000000"/>
          <w:sz w:val="22"/>
          <w:szCs w:val="24"/>
        </w:rPr>
        <w:t>%.</w:t>
      </w:r>
      <w:r w:rsidRPr="005C7EBC">
        <w:rPr>
          <w:rFonts w:ascii="Arial Narrow" w:hAnsi="Arial Narrow" w:cs="Arial Narrow"/>
          <w:color w:val="000000"/>
          <w:sz w:val="22"/>
          <w:szCs w:val="24"/>
        </w:rPr>
        <w:t xml:space="preserve"> Návrh rozpočtu </w:t>
      </w:r>
      <w:r>
        <w:rPr>
          <w:rFonts w:ascii="Arial Narrow" w:hAnsi="Arial Narrow" w:cs="Arial Narrow"/>
          <w:color w:val="000000"/>
          <w:sz w:val="22"/>
          <w:szCs w:val="24"/>
        </w:rPr>
        <w:t xml:space="preserve">umožňuje </w:t>
      </w:r>
      <w:r w:rsidRPr="005C7EBC">
        <w:rPr>
          <w:rFonts w:ascii="Arial Narrow" w:hAnsi="Arial Narrow" w:cs="Arial Narrow"/>
          <w:color w:val="000000"/>
          <w:sz w:val="22"/>
          <w:szCs w:val="24"/>
        </w:rPr>
        <w:t>celoplošnú valorizáciu vo výške prognózovanej inflácie</w:t>
      </w:r>
      <w:r>
        <w:rPr>
          <w:rFonts w:ascii="Arial Narrow" w:hAnsi="Arial Narrow" w:cs="Arial Narrow"/>
          <w:color w:val="000000"/>
          <w:sz w:val="22"/>
          <w:szCs w:val="24"/>
        </w:rPr>
        <w:t xml:space="preserve"> pri zohľadnení skutočného vývoja v roku 2009 a  predpokladaných zmien v jednotlivých kategóriách poberateľov štátnych sociálnych dávok.</w:t>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r>
      <w:r w:rsidRPr="005C7EBC">
        <w:rPr>
          <w:rFonts w:ascii="Arial Narrow" w:hAnsi="Arial Narrow" w:cs="Arial Narrow"/>
          <w:color w:val="000000"/>
          <w:sz w:val="22"/>
          <w:szCs w:val="24"/>
        </w:rPr>
        <w:t xml:space="preserve">V rozpočte sú zachované všetky doteraz uplatňované jednorazové a opakované štátne sociálne dávky a ďalšie nástroje na aktívnu podporu rodiny. </w:t>
      </w:r>
      <w:r w:rsidRPr="00C244A4">
        <w:rPr>
          <w:rFonts w:ascii="Arial Narrow" w:hAnsi="Arial Narrow" w:cs="Arial Narrow"/>
          <w:color w:val="000000"/>
          <w:sz w:val="22"/>
          <w:szCs w:val="24"/>
        </w:rPr>
        <w:t>Objemo</w:t>
      </w:r>
      <w:r>
        <w:rPr>
          <w:rFonts w:ascii="Arial Narrow" w:hAnsi="Arial Narrow" w:cs="Arial Narrow"/>
          <w:color w:val="000000"/>
          <w:sz w:val="22"/>
          <w:szCs w:val="24"/>
        </w:rPr>
        <w:t xml:space="preserve">vo významnú položku predstavuje </w:t>
      </w:r>
      <w:r w:rsidRPr="00C244A4">
        <w:rPr>
          <w:rFonts w:ascii="Arial Narrow" w:hAnsi="Arial Narrow" w:cs="Arial Narrow"/>
          <w:color w:val="000000"/>
          <w:sz w:val="22"/>
          <w:szCs w:val="24"/>
        </w:rPr>
        <w:t>prídavok na dieťa</w:t>
      </w:r>
      <w:r>
        <w:rPr>
          <w:rFonts w:ascii="Arial Narrow" w:hAnsi="Arial Narrow" w:cs="Arial Narrow"/>
          <w:color w:val="000000"/>
          <w:sz w:val="22"/>
          <w:szCs w:val="24"/>
        </w:rPr>
        <w:t>. V</w:t>
      </w:r>
      <w:r w:rsidRPr="00C244A4">
        <w:rPr>
          <w:rFonts w:ascii="Arial Narrow" w:hAnsi="Arial Narrow" w:cs="Arial Narrow"/>
          <w:color w:val="000000"/>
          <w:sz w:val="22"/>
          <w:szCs w:val="24"/>
        </w:rPr>
        <w:t> roku 2010 sú rozpočtovo zabezpečené zdroje</w:t>
      </w:r>
      <w:r>
        <w:rPr>
          <w:rFonts w:ascii="Arial Narrow" w:hAnsi="Arial Narrow" w:cs="Arial Narrow"/>
          <w:b/>
          <w:color w:val="000000"/>
          <w:sz w:val="22"/>
          <w:szCs w:val="24"/>
        </w:rPr>
        <w:t xml:space="preserve"> </w:t>
      </w:r>
      <w:r w:rsidRPr="005C7EBC">
        <w:rPr>
          <w:rFonts w:ascii="Arial Narrow" w:hAnsi="Arial Narrow" w:cs="Arial Narrow"/>
          <w:color w:val="000000"/>
          <w:sz w:val="22"/>
          <w:szCs w:val="24"/>
        </w:rPr>
        <w:t>v sume</w:t>
      </w:r>
      <w:r w:rsidRPr="005C7EBC">
        <w:rPr>
          <w:rFonts w:ascii="Arial Narrow" w:hAnsi="Arial Narrow" w:cs="Arial Narrow"/>
          <w:b/>
          <w:color w:val="000000"/>
          <w:sz w:val="22"/>
          <w:szCs w:val="24"/>
        </w:rPr>
        <w:t xml:space="preserve"> </w:t>
      </w:r>
      <w:r>
        <w:rPr>
          <w:rFonts w:ascii="Arial Narrow" w:hAnsi="Arial Narrow" w:cs="Arial Narrow"/>
          <w:color w:val="000000"/>
          <w:sz w:val="22"/>
          <w:szCs w:val="24"/>
        </w:rPr>
        <w:t>322</w:t>
      </w:r>
      <w:r w:rsidRPr="005C7EBC">
        <w:rPr>
          <w:rFonts w:ascii="Arial Narrow" w:hAnsi="Arial Narrow" w:cs="Arial Narrow"/>
          <w:color w:val="000000"/>
          <w:sz w:val="22"/>
          <w:szCs w:val="24"/>
        </w:rPr>
        <w:t xml:space="preserve"> mil. eur pri predpokladanom počte cca </w:t>
      </w:r>
      <w:r w:rsidRPr="00496D91">
        <w:rPr>
          <w:rFonts w:ascii="Arial Narrow" w:hAnsi="Arial Narrow" w:cs="Arial Narrow"/>
          <w:color w:val="000000"/>
          <w:sz w:val="22"/>
          <w:szCs w:val="24"/>
        </w:rPr>
        <w:t>1 2</w:t>
      </w:r>
      <w:r>
        <w:rPr>
          <w:rFonts w:ascii="Arial Narrow" w:hAnsi="Arial Narrow" w:cs="Arial Narrow"/>
          <w:color w:val="000000"/>
          <w:sz w:val="22"/>
          <w:szCs w:val="24"/>
        </w:rPr>
        <w:t>25</w:t>
      </w:r>
      <w:r w:rsidRPr="00496D91">
        <w:rPr>
          <w:rFonts w:ascii="Arial Narrow" w:hAnsi="Arial Narrow" w:cs="Arial Narrow"/>
          <w:color w:val="000000"/>
          <w:sz w:val="22"/>
          <w:szCs w:val="24"/>
        </w:rPr>
        <w:t xml:space="preserve"> 000</w:t>
      </w:r>
      <w:r w:rsidRPr="005C7EBC">
        <w:rPr>
          <w:rFonts w:ascii="Arial Narrow" w:hAnsi="Arial Narrow" w:cs="Arial Narrow"/>
          <w:color w:val="000000"/>
          <w:sz w:val="22"/>
          <w:szCs w:val="24"/>
        </w:rPr>
        <w:t xml:space="preserve"> nezaopatrených detí</w:t>
      </w:r>
      <w:r>
        <w:rPr>
          <w:rFonts w:ascii="Arial Narrow" w:hAnsi="Arial Narrow" w:cs="Arial Narrow"/>
          <w:color w:val="000000"/>
          <w:sz w:val="22"/>
          <w:szCs w:val="24"/>
        </w:rPr>
        <w:t xml:space="preserve">. Ďalším nástrojom štátnej podpory rodiny je rodičovský príspevok, ktorý sa rozpočtuje vo výške 272 mil. eur pre cca </w:t>
      </w:r>
      <w:r w:rsidRPr="00496D91">
        <w:rPr>
          <w:rFonts w:ascii="Arial Narrow" w:hAnsi="Arial Narrow" w:cs="Arial Narrow"/>
          <w:color w:val="000000"/>
          <w:sz w:val="22"/>
          <w:szCs w:val="24"/>
        </w:rPr>
        <w:t>136 tisíc poberateľov.</w:t>
      </w:r>
      <w:r>
        <w:rPr>
          <w:rFonts w:ascii="Arial Narrow" w:hAnsi="Arial Narrow" w:cs="Arial Narrow"/>
          <w:color w:val="000000"/>
          <w:sz w:val="22"/>
          <w:szCs w:val="24"/>
        </w:rPr>
        <w:t xml:space="preserve"> V rámci podpory rodiny sú alokované aj zdroje na štátom platené poistné za zákonom vymedzený okruh osôb. Na rok 2010 pri zachovaní legislatívnych podmienok roku 2009 a zohľadnení prognózy vývoja vymeriavacieho základu sú v kapitole Ministerstva práce, sociálnych vecí a rodiny SR rozpočtované prostriedky v celkovej výške 245 mil. eur. </w:t>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sidRPr="005C7EBC">
        <w:rPr>
          <w:rFonts w:ascii="Arial Narrow" w:hAnsi="Arial Narrow" w:cs="Arial Narrow"/>
          <w:color w:val="000000"/>
          <w:sz w:val="22"/>
          <w:szCs w:val="24"/>
        </w:rPr>
        <w:tab/>
      </w:r>
      <w:r>
        <w:rPr>
          <w:rFonts w:ascii="Arial Narrow" w:hAnsi="Arial Narrow" w:cs="Arial Narrow"/>
          <w:color w:val="000000"/>
          <w:sz w:val="22"/>
          <w:szCs w:val="24"/>
        </w:rPr>
        <w:t xml:space="preserve">Rok 2010 je druhým rokom účinností novely zákona </w:t>
      </w:r>
      <w:r w:rsidRPr="00475175">
        <w:rPr>
          <w:rFonts w:ascii="Arial Narrow" w:hAnsi="Arial Narrow" w:cs="Arial Narrow"/>
          <w:b/>
          <w:color w:val="000000"/>
          <w:sz w:val="22"/>
          <w:szCs w:val="24"/>
        </w:rPr>
        <w:t>o peňažných príspevkoch</w:t>
      </w:r>
      <w:r>
        <w:rPr>
          <w:rFonts w:ascii="Arial Narrow" w:hAnsi="Arial Narrow" w:cs="Arial Narrow"/>
          <w:b/>
          <w:color w:val="000000"/>
          <w:sz w:val="22"/>
          <w:szCs w:val="24"/>
        </w:rPr>
        <w:t xml:space="preserve"> na kompenzáciu </w:t>
      </w:r>
      <w:r w:rsidRPr="00475175">
        <w:rPr>
          <w:rFonts w:ascii="Arial Narrow" w:hAnsi="Arial Narrow" w:cs="Arial Narrow"/>
          <w:b/>
          <w:color w:val="000000"/>
          <w:sz w:val="22"/>
          <w:szCs w:val="24"/>
        </w:rPr>
        <w:t>ťažk</w:t>
      </w:r>
      <w:r>
        <w:rPr>
          <w:rFonts w:ascii="Arial Narrow" w:hAnsi="Arial Narrow" w:cs="Arial Narrow"/>
          <w:b/>
          <w:color w:val="000000"/>
          <w:sz w:val="22"/>
          <w:szCs w:val="24"/>
        </w:rPr>
        <w:t>ého</w:t>
      </w:r>
      <w:r>
        <w:rPr>
          <w:rFonts w:ascii="Arial Narrow" w:hAnsi="Arial Narrow" w:cs="Arial Narrow"/>
          <w:color w:val="000000"/>
          <w:sz w:val="22"/>
          <w:szCs w:val="24"/>
        </w:rPr>
        <w:t xml:space="preserve"> </w:t>
      </w:r>
      <w:r w:rsidRPr="005C7EBC">
        <w:rPr>
          <w:rFonts w:ascii="Arial Narrow" w:hAnsi="Arial Narrow" w:cs="Arial Narrow"/>
          <w:b/>
          <w:color w:val="000000"/>
          <w:sz w:val="22"/>
          <w:szCs w:val="24"/>
        </w:rPr>
        <w:t>zdravotn</w:t>
      </w:r>
      <w:r>
        <w:rPr>
          <w:rFonts w:ascii="Arial Narrow" w:hAnsi="Arial Narrow" w:cs="Arial Narrow"/>
          <w:b/>
          <w:color w:val="000000"/>
          <w:sz w:val="22"/>
          <w:szCs w:val="24"/>
        </w:rPr>
        <w:t>ého</w:t>
      </w:r>
      <w:r w:rsidRPr="005C7EBC">
        <w:rPr>
          <w:rFonts w:ascii="Arial Narrow" w:hAnsi="Arial Narrow" w:cs="Arial Narrow"/>
          <w:b/>
          <w:color w:val="000000"/>
          <w:sz w:val="22"/>
          <w:szCs w:val="24"/>
        </w:rPr>
        <w:t xml:space="preserve"> postihnut</w:t>
      </w:r>
      <w:r>
        <w:rPr>
          <w:rFonts w:ascii="Arial Narrow" w:hAnsi="Arial Narrow" w:cs="Arial Narrow"/>
          <w:b/>
          <w:color w:val="000000"/>
          <w:sz w:val="22"/>
          <w:szCs w:val="24"/>
        </w:rPr>
        <w:t>ia</w:t>
      </w:r>
      <w:r w:rsidRPr="005C7EBC">
        <w:rPr>
          <w:rFonts w:ascii="Arial Narrow" w:hAnsi="Arial Narrow" w:cs="Arial Narrow"/>
          <w:b/>
          <w:color w:val="000000"/>
          <w:sz w:val="22"/>
          <w:szCs w:val="24"/>
        </w:rPr>
        <w:t>.</w:t>
      </w:r>
      <w:r w:rsidRPr="005C7EBC">
        <w:rPr>
          <w:rFonts w:ascii="Arial Narrow" w:hAnsi="Arial Narrow" w:cs="Arial Narrow"/>
          <w:color w:val="000000"/>
          <w:sz w:val="22"/>
          <w:szCs w:val="24"/>
        </w:rPr>
        <w:t xml:space="preserve"> Na rok </w:t>
      </w:r>
      <w:r>
        <w:rPr>
          <w:rFonts w:ascii="Arial Narrow" w:hAnsi="Arial Narrow" w:cs="Arial Narrow"/>
          <w:color w:val="000000"/>
          <w:sz w:val="22"/>
          <w:szCs w:val="24"/>
        </w:rPr>
        <w:t>2010</w:t>
      </w:r>
      <w:r w:rsidRPr="005C7EBC">
        <w:rPr>
          <w:rFonts w:ascii="Arial Narrow" w:hAnsi="Arial Narrow" w:cs="Arial Narrow"/>
          <w:color w:val="000000"/>
          <w:sz w:val="22"/>
          <w:szCs w:val="24"/>
        </w:rPr>
        <w:t xml:space="preserve"> sú rozpočtované zdroje vo výške </w:t>
      </w:r>
      <w:r>
        <w:rPr>
          <w:rFonts w:ascii="Arial Narrow" w:hAnsi="Arial Narrow" w:cs="Arial Narrow"/>
          <w:color w:val="000000"/>
          <w:sz w:val="22"/>
          <w:szCs w:val="24"/>
        </w:rPr>
        <w:t>215 mil. eur pre cca 211 tisíc poberateľov.</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r w:rsidRPr="005C7EBC">
        <w:rPr>
          <w:rFonts w:ascii="Arial Narrow" w:hAnsi="Arial Narrow" w:cs="Arial Narrow"/>
          <w:color w:val="000000"/>
          <w:sz w:val="22"/>
          <w:szCs w:val="24"/>
        </w:rPr>
        <w:tab/>
        <w:t xml:space="preserve">V rámci </w:t>
      </w:r>
      <w:r w:rsidRPr="005C7EBC">
        <w:rPr>
          <w:rFonts w:ascii="Arial Narrow" w:hAnsi="Arial Narrow" w:cs="Arial Narrow"/>
          <w:b/>
          <w:color w:val="000000"/>
          <w:sz w:val="22"/>
          <w:szCs w:val="24"/>
        </w:rPr>
        <w:t>starostlivosti o ohrozené deti</w:t>
      </w:r>
      <w:r w:rsidRPr="005C7EBC">
        <w:rPr>
          <w:rFonts w:ascii="Arial Narrow" w:hAnsi="Arial Narrow" w:cs="Arial Narrow"/>
          <w:color w:val="000000"/>
          <w:sz w:val="22"/>
          <w:szCs w:val="24"/>
        </w:rPr>
        <w:t xml:space="preserve"> sa rozpočtujú zdroje na financovanie ústavnej starostlivosti v štátnych a neštátnych detských domovoch a výdavky na opatrenia sociálnoprávnej ochrany detí s cieľom obmedziť alebo odstrániť negatívne vplyvy v problémových rodinách</w:t>
      </w:r>
      <w:r>
        <w:rPr>
          <w:rFonts w:ascii="Arial Narrow" w:hAnsi="Arial Narrow" w:cs="Arial Narrow"/>
          <w:color w:val="000000"/>
          <w:sz w:val="22"/>
          <w:szCs w:val="24"/>
        </w:rPr>
        <w:t xml:space="preserve"> v celkovej výške 73,0 mil. eur.</w:t>
      </w:r>
      <w:r w:rsidRPr="005C7EBC">
        <w:rPr>
          <w:rFonts w:ascii="Arial Narrow" w:hAnsi="Arial Narrow" w:cs="Arial Narrow"/>
          <w:color w:val="000000"/>
          <w:sz w:val="22"/>
          <w:szCs w:val="24"/>
        </w:rPr>
        <w:t xml:space="preserve"> </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sidRPr="005C7EBC">
        <w:rPr>
          <w:rFonts w:ascii="Arial Narrow" w:hAnsi="Arial Narrow" w:cs="Arial Narrow"/>
          <w:b/>
          <w:color w:val="000000"/>
          <w:sz w:val="22"/>
          <w:szCs w:val="24"/>
        </w:rPr>
        <w:tab/>
        <w:t xml:space="preserve">Nesystémové dávky </w:t>
      </w:r>
      <w:r w:rsidRPr="005C7EBC">
        <w:rPr>
          <w:rFonts w:ascii="Arial Narrow" w:hAnsi="Arial Narrow" w:cs="Arial Narrow"/>
          <w:color w:val="000000"/>
          <w:sz w:val="22"/>
          <w:szCs w:val="24"/>
        </w:rPr>
        <w:t>soc</w:t>
      </w:r>
      <w:r>
        <w:rPr>
          <w:rFonts w:ascii="Arial Narrow" w:hAnsi="Arial Narrow" w:cs="Arial Narrow"/>
          <w:color w:val="000000"/>
          <w:sz w:val="22"/>
          <w:szCs w:val="24"/>
        </w:rPr>
        <w:t>iálneho poistenia sú na rok 2010</w:t>
      </w:r>
      <w:r w:rsidRPr="005C7EBC">
        <w:rPr>
          <w:rFonts w:ascii="Arial Narrow" w:hAnsi="Arial Narrow" w:cs="Arial Narrow"/>
          <w:color w:val="000000"/>
          <w:sz w:val="22"/>
          <w:szCs w:val="24"/>
        </w:rPr>
        <w:t xml:space="preserve"> rozpočtované v objeme </w:t>
      </w:r>
      <w:r w:rsidRPr="00213A52">
        <w:rPr>
          <w:rFonts w:ascii="Arial Narrow" w:hAnsi="Arial Narrow" w:cs="Arial Narrow"/>
          <w:color w:val="000000"/>
          <w:sz w:val="22"/>
          <w:szCs w:val="24"/>
        </w:rPr>
        <w:t>39,2 mil. eur</w:t>
      </w:r>
      <w:r w:rsidRPr="005C7EBC">
        <w:rPr>
          <w:rFonts w:ascii="Arial Narrow" w:hAnsi="Arial Narrow" w:cs="Arial Narrow"/>
          <w:color w:val="000000"/>
          <w:sz w:val="22"/>
          <w:szCs w:val="24"/>
        </w:rPr>
        <w:t xml:space="preserve"> a zohľadňujú </w:t>
      </w:r>
      <w:r>
        <w:rPr>
          <w:rFonts w:ascii="Arial Narrow" w:hAnsi="Arial Narrow" w:cs="Arial Narrow"/>
          <w:color w:val="000000"/>
          <w:sz w:val="22"/>
          <w:szCs w:val="24"/>
        </w:rPr>
        <w:t xml:space="preserve">prognózu jednotlivých kategórií </w:t>
      </w:r>
      <w:r w:rsidRPr="005C7EBC">
        <w:rPr>
          <w:rFonts w:ascii="Arial Narrow" w:hAnsi="Arial Narrow" w:cs="Arial Narrow"/>
          <w:color w:val="000000"/>
          <w:sz w:val="22"/>
          <w:szCs w:val="24"/>
        </w:rPr>
        <w:t>poberateľov a valorizáciu vybraných dávok v súlade so súčasne platným mechanizmom.</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b/>
          <w:color w:val="000000"/>
          <w:sz w:val="22"/>
          <w:szCs w:val="24"/>
        </w:rPr>
      </w:pPr>
      <w:r w:rsidRPr="005C7EBC">
        <w:rPr>
          <w:rFonts w:ascii="Arial Narrow" w:hAnsi="Arial Narrow" w:cs="Arial Narrow"/>
          <w:b/>
          <w:color w:val="000000"/>
          <w:sz w:val="22"/>
          <w:szCs w:val="24"/>
        </w:rPr>
        <w:t>Politika zamestnanosti</w:t>
      </w:r>
    </w:p>
    <w:p w:rsidR="00312541" w:rsidRPr="005C7EBC"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t xml:space="preserve">V rozpočte na rok 2010 </w:t>
      </w:r>
      <w:r w:rsidRPr="005C7EBC">
        <w:rPr>
          <w:rFonts w:ascii="Arial Narrow" w:hAnsi="Arial Narrow" w:cs="Arial Narrow"/>
          <w:color w:val="000000"/>
          <w:sz w:val="22"/>
          <w:szCs w:val="24"/>
        </w:rPr>
        <w:t>je na</w:t>
      </w:r>
      <w:r w:rsidRPr="005C7EBC">
        <w:rPr>
          <w:rFonts w:ascii="Arial Narrow" w:hAnsi="Arial Narrow" w:cs="Arial Narrow"/>
          <w:b/>
          <w:color w:val="000000"/>
          <w:sz w:val="22"/>
          <w:szCs w:val="24"/>
        </w:rPr>
        <w:t xml:space="preserve"> </w:t>
      </w:r>
      <w:r>
        <w:rPr>
          <w:rFonts w:ascii="Arial Narrow" w:hAnsi="Arial Narrow" w:cs="Arial Narrow"/>
          <w:b/>
          <w:color w:val="000000"/>
          <w:sz w:val="22"/>
          <w:szCs w:val="24"/>
        </w:rPr>
        <w:t xml:space="preserve">politiku zamestnanosti </w:t>
      </w:r>
      <w:r>
        <w:rPr>
          <w:rFonts w:ascii="Arial Narrow" w:hAnsi="Arial Narrow" w:cs="Arial Narrow"/>
          <w:color w:val="000000"/>
          <w:sz w:val="22"/>
          <w:szCs w:val="24"/>
        </w:rPr>
        <w:t xml:space="preserve">(medzirezortný program Ľudské </w:t>
      </w:r>
      <w:r w:rsidRPr="00D73C03">
        <w:rPr>
          <w:rFonts w:ascii="Arial Narrow" w:hAnsi="Arial Narrow" w:cs="Arial Narrow"/>
          <w:color w:val="000000"/>
          <w:sz w:val="22"/>
          <w:szCs w:val="24"/>
        </w:rPr>
        <w:t>zdroje)</w:t>
      </w:r>
      <w:r>
        <w:rPr>
          <w:rFonts w:ascii="Arial Narrow" w:hAnsi="Arial Narrow" w:cs="Arial Narrow"/>
          <w:b/>
          <w:color w:val="000000"/>
          <w:sz w:val="22"/>
          <w:szCs w:val="24"/>
        </w:rPr>
        <w:t xml:space="preserve"> </w:t>
      </w:r>
      <w:r w:rsidRPr="005C7EBC">
        <w:rPr>
          <w:rFonts w:ascii="Arial Narrow" w:hAnsi="Arial Narrow" w:cs="Arial Narrow"/>
          <w:color w:val="000000"/>
          <w:sz w:val="22"/>
          <w:szCs w:val="24"/>
        </w:rPr>
        <w:t xml:space="preserve">rozpočtovaná suma </w:t>
      </w:r>
      <w:r>
        <w:rPr>
          <w:rFonts w:ascii="Arial Narrow" w:hAnsi="Arial Narrow" w:cs="Arial Narrow"/>
          <w:color w:val="000000"/>
          <w:sz w:val="22"/>
          <w:szCs w:val="24"/>
        </w:rPr>
        <w:t xml:space="preserve">210 </w:t>
      </w:r>
      <w:r w:rsidRPr="00213A52">
        <w:rPr>
          <w:rFonts w:ascii="Arial Narrow" w:hAnsi="Arial Narrow" w:cs="Arial Narrow"/>
          <w:color w:val="000000"/>
          <w:sz w:val="22"/>
          <w:szCs w:val="24"/>
        </w:rPr>
        <w:t>mil. eur</w:t>
      </w:r>
      <w:r>
        <w:rPr>
          <w:rFonts w:ascii="Arial Narrow" w:hAnsi="Arial Narrow" w:cs="Arial Narrow"/>
          <w:color w:val="000000"/>
          <w:sz w:val="22"/>
          <w:szCs w:val="24"/>
        </w:rPr>
        <w:t xml:space="preserve">, čo predstavuje v porovnaní s rokom 2009 </w:t>
      </w:r>
      <w:r w:rsidRPr="003F5E5F">
        <w:rPr>
          <w:rFonts w:ascii="Arial Narrow" w:hAnsi="Arial Narrow" w:cs="Arial Narrow"/>
          <w:b/>
          <w:color w:val="000000"/>
          <w:sz w:val="22"/>
          <w:szCs w:val="24"/>
        </w:rPr>
        <w:t>zvýšenie o 48,7 %</w:t>
      </w:r>
      <w:r>
        <w:rPr>
          <w:rFonts w:ascii="Arial Narrow" w:hAnsi="Arial Narrow" w:cs="Arial Narrow"/>
          <w:color w:val="000000"/>
          <w:sz w:val="22"/>
          <w:szCs w:val="24"/>
        </w:rPr>
        <w:t xml:space="preserve">. V uvedenej sume sú rozpočtované aj zdroje operačného programu Zamestnanosť a sociálna inklúzia. </w:t>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sidRPr="005C7EBC">
        <w:rPr>
          <w:rFonts w:ascii="Arial Narrow" w:hAnsi="Arial Narrow" w:cs="Arial Narrow"/>
          <w:color w:val="000000"/>
          <w:sz w:val="22"/>
          <w:szCs w:val="24"/>
        </w:rPr>
        <w:t xml:space="preserve"> </w:t>
      </w:r>
      <w:r>
        <w:rPr>
          <w:rFonts w:ascii="Arial Narrow" w:hAnsi="Arial Narrow" w:cs="Arial Narrow"/>
          <w:color w:val="000000"/>
          <w:sz w:val="22"/>
          <w:szCs w:val="24"/>
        </w:rPr>
        <w:tab/>
        <w:t>V roku 2010</w:t>
      </w:r>
      <w:r w:rsidRPr="005C7EBC">
        <w:rPr>
          <w:rFonts w:ascii="Arial Narrow" w:hAnsi="Arial Narrow" w:cs="Arial Narrow"/>
          <w:color w:val="000000"/>
          <w:sz w:val="22"/>
          <w:szCs w:val="24"/>
        </w:rPr>
        <w:t xml:space="preserve"> </w:t>
      </w:r>
      <w:r>
        <w:rPr>
          <w:rFonts w:ascii="Arial Narrow" w:hAnsi="Arial Narrow" w:cs="Arial Narrow"/>
          <w:color w:val="000000"/>
          <w:sz w:val="22"/>
          <w:szCs w:val="24"/>
        </w:rPr>
        <w:t>je výrazne posilnená oblasť aktívnej politiky trhu práce</w:t>
      </w:r>
      <w:r w:rsidRPr="005C7EBC">
        <w:rPr>
          <w:rFonts w:ascii="Arial Narrow" w:hAnsi="Arial Narrow" w:cs="Arial Narrow"/>
          <w:color w:val="000000"/>
          <w:sz w:val="22"/>
          <w:szCs w:val="24"/>
        </w:rPr>
        <w:t xml:space="preserve"> </w:t>
      </w:r>
      <w:r>
        <w:rPr>
          <w:rFonts w:ascii="Arial Narrow" w:hAnsi="Arial Narrow" w:cs="Arial Narrow"/>
          <w:color w:val="000000"/>
          <w:sz w:val="22"/>
          <w:szCs w:val="24"/>
        </w:rPr>
        <w:t xml:space="preserve">v nadväznosti na vládou prijaté protikrízové opatrenia na riešenie dopadov hospodárskej krízy. V rámci </w:t>
      </w:r>
      <w:r w:rsidRPr="004B0D35">
        <w:rPr>
          <w:rFonts w:ascii="Arial Narrow" w:hAnsi="Arial Narrow" w:cs="Arial Narrow"/>
          <w:b/>
          <w:color w:val="000000"/>
          <w:sz w:val="22"/>
          <w:szCs w:val="24"/>
        </w:rPr>
        <w:t>Národných programov rozvoja aktívnej politiky trhu práce</w:t>
      </w:r>
      <w:r>
        <w:rPr>
          <w:rFonts w:ascii="Arial Narrow" w:hAnsi="Arial Narrow" w:cs="Arial Narrow"/>
          <w:color w:val="000000"/>
          <w:sz w:val="22"/>
          <w:szCs w:val="24"/>
        </w:rPr>
        <w:t xml:space="preserve"> sú rozpočtovo zabezpečené zdroje na nové nástroje služieb zamestnanosti, ktoré majú dočasnú účinnosť a budú </w:t>
      </w:r>
      <w:r w:rsidRPr="005C7EBC">
        <w:rPr>
          <w:rFonts w:ascii="Arial Narrow" w:hAnsi="Arial Narrow" w:cs="Arial Narrow"/>
          <w:color w:val="000000"/>
          <w:sz w:val="22"/>
          <w:szCs w:val="24"/>
        </w:rPr>
        <w:t>prioritne</w:t>
      </w:r>
      <w:r w:rsidRPr="005C7EBC">
        <w:rPr>
          <w:rFonts w:ascii="Arial Narrow" w:hAnsi="Arial Narrow" w:cs="Arial Narrow"/>
          <w:b/>
          <w:color w:val="000000"/>
          <w:sz w:val="22"/>
          <w:szCs w:val="24"/>
        </w:rPr>
        <w:t xml:space="preserve"> </w:t>
      </w:r>
      <w:r w:rsidRPr="005C7EBC">
        <w:rPr>
          <w:rFonts w:ascii="Arial Narrow" w:hAnsi="Arial Narrow" w:cs="Arial Narrow"/>
          <w:color w:val="000000"/>
          <w:sz w:val="22"/>
          <w:szCs w:val="24"/>
        </w:rPr>
        <w:t xml:space="preserve">orientované na znevýhodnené skupiny trhu práce. </w:t>
      </w:r>
      <w:r>
        <w:rPr>
          <w:rFonts w:ascii="Arial Narrow" w:hAnsi="Arial Narrow" w:cs="Arial Narrow"/>
          <w:color w:val="000000"/>
          <w:sz w:val="22"/>
          <w:szCs w:val="24"/>
        </w:rPr>
        <w:t xml:space="preserve">Rozpočtované zdroje na rok 2010 v objeme 67,6 mil. eur </w:t>
      </w:r>
      <w:r w:rsidRPr="003F5E5F">
        <w:rPr>
          <w:rFonts w:ascii="Arial Narrow" w:hAnsi="Arial Narrow" w:cs="Arial Narrow"/>
          <w:b/>
          <w:color w:val="000000"/>
          <w:sz w:val="22"/>
          <w:szCs w:val="24"/>
        </w:rPr>
        <w:t>presiahli štvornásobok rozpočtovanej sumy v roku 2009</w:t>
      </w:r>
      <w:r>
        <w:rPr>
          <w:rFonts w:ascii="Arial Narrow" w:hAnsi="Arial Narrow" w:cs="Arial Narrow"/>
          <w:color w:val="000000"/>
          <w:sz w:val="22"/>
          <w:szCs w:val="24"/>
        </w:rPr>
        <w:t>.</w:t>
      </w: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p>
    <w:p w:rsidR="00312541" w:rsidP="00312541">
      <w:pPr>
        <w:tabs>
          <w:tab w:val="left" w:pos="0"/>
          <w:tab w:val="left" w:pos="720"/>
          <w:tab w:val="left" w:pos="1440"/>
          <w:tab w:val="left" w:pos="2160"/>
          <w:tab w:val="left" w:pos="2880"/>
          <w:tab w:val="left" w:pos="3600"/>
          <w:tab w:val="left" w:pos="4320"/>
        </w:tabs>
        <w:adjustRightInd w:val="0"/>
        <w:spacing w:line="240" w:lineRule="atLeast"/>
        <w:jc w:val="both"/>
        <w:rPr>
          <w:rFonts w:ascii="Arial Narrow" w:hAnsi="Arial Narrow" w:cs="Arial Narrow"/>
          <w:color w:val="000000"/>
          <w:sz w:val="22"/>
          <w:szCs w:val="24"/>
        </w:rPr>
      </w:pPr>
      <w:r>
        <w:rPr>
          <w:rFonts w:ascii="Arial Narrow" w:hAnsi="Arial Narrow" w:cs="Arial Narrow"/>
          <w:color w:val="000000"/>
          <w:sz w:val="22"/>
          <w:szCs w:val="24"/>
        </w:rPr>
        <w:tab/>
      </w:r>
      <w:r w:rsidRPr="005C7EBC">
        <w:rPr>
          <w:rFonts w:ascii="Arial Narrow" w:hAnsi="Arial Narrow" w:cs="Arial Narrow"/>
          <w:color w:val="000000"/>
          <w:sz w:val="22"/>
          <w:szCs w:val="24"/>
        </w:rPr>
        <w:t>V rámci</w:t>
      </w:r>
      <w:r>
        <w:rPr>
          <w:rFonts w:ascii="Arial Narrow" w:hAnsi="Arial Narrow" w:cs="Arial Narrow"/>
          <w:color w:val="000000"/>
          <w:sz w:val="22"/>
          <w:szCs w:val="24"/>
        </w:rPr>
        <w:t xml:space="preserve"> aktívnej politiky trhu práce </w:t>
      </w:r>
      <w:r w:rsidRPr="005C7EBC">
        <w:rPr>
          <w:rFonts w:ascii="Arial Narrow" w:hAnsi="Arial Narrow" w:cs="Arial Narrow"/>
          <w:color w:val="000000"/>
          <w:sz w:val="22"/>
          <w:szCs w:val="24"/>
        </w:rPr>
        <w:t xml:space="preserve">v súlade so zákonom o investičnej pomoci </w:t>
      </w:r>
      <w:r>
        <w:rPr>
          <w:rFonts w:ascii="Arial Narrow" w:hAnsi="Arial Narrow" w:cs="Arial Narrow"/>
          <w:color w:val="000000"/>
          <w:sz w:val="22"/>
          <w:szCs w:val="24"/>
        </w:rPr>
        <w:t xml:space="preserve">sa z rozpočtu kapitoly Ministerstva práce, sociálnych vecí a rodiny SR </w:t>
      </w:r>
      <w:r w:rsidRPr="005C7EBC">
        <w:rPr>
          <w:rFonts w:ascii="Arial Narrow" w:hAnsi="Arial Narrow" w:cs="Arial Narrow"/>
          <w:color w:val="000000"/>
          <w:sz w:val="22"/>
          <w:szCs w:val="24"/>
        </w:rPr>
        <w:t xml:space="preserve">poskytujú </w:t>
      </w:r>
      <w:r w:rsidRPr="005C7EBC">
        <w:rPr>
          <w:rFonts w:ascii="Arial Narrow" w:hAnsi="Arial Narrow" w:cs="Arial Narrow"/>
          <w:b/>
          <w:color w:val="000000"/>
          <w:sz w:val="22"/>
          <w:szCs w:val="24"/>
        </w:rPr>
        <w:t>príspevky na tvorbu nových pracovných miest</w:t>
      </w:r>
      <w:r>
        <w:rPr>
          <w:rFonts w:ascii="Arial Narrow" w:hAnsi="Arial Narrow" w:cs="Arial Narrow"/>
          <w:color w:val="000000"/>
          <w:sz w:val="22"/>
          <w:szCs w:val="24"/>
        </w:rPr>
        <w:t>. V rozpočte na rok 2010</w:t>
      </w:r>
      <w:r w:rsidRPr="005C7EBC">
        <w:rPr>
          <w:rFonts w:ascii="Arial Narrow" w:hAnsi="Arial Narrow" w:cs="Arial Narrow"/>
          <w:color w:val="000000"/>
          <w:sz w:val="22"/>
          <w:szCs w:val="24"/>
        </w:rPr>
        <w:t xml:space="preserve"> sú alokované </w:t>
      </w:r>
      <w:r>
        <w:rPr>
          <w:rFonts w:ascii="Arial Narrow" w:hAnsi="Arial Narrow" w:cs="Arial Narrow"/>
          <w:color w:val="000000"/>
          <w:sz w:val="22"/>
          <w:szCs w:val="24"/>
        </w:rPr>
        <w:t>prostriedky v celkovej výške 22,8</w:t>
      </w:r>
      <w:r w:rsidRPr="00D73C03">
        <w:rPr>
          <w:rFonts w:ascii="Arial Narrow" w:hAnsi="Arial Narrow" w:cs="Arial Narrow"/>
          <w:color w:val="000000"/>
          <w:sz w:val="22"/>
          <w:szCs w:val="24"/>
        </w:rPr>
        <w:t xml:space="preserve"> mil. eur</w:t>
      </w:r>
      <w:r>
        <w:rPr>
          <w:rFonts w:ascii="Arial Narrow" w:hAnsi="Arial Narrow" w:cs="Arial Narrow"/>
          <w:color w:val="000000"/>
          <w:sz w:val="22"/>
          <w:szCs w:val="24"/>
        </w:rPr>
        <w:t xml:space="preserve">. Zdroje sú určené na realizáciu vládou schválených </w:t>
      </w:r>
      <w:r w:rsidRPr="004B0D35">
        <w:rPr>
          <w:rFonts w:ascii="Arial Narrow" w:hAnsi="Arial Narrow" w:cs="Arial Narrow"/>
          <w:b/>
          <w:color w:val="000000"/>
          <w:sz w:val="22"/>
          <w:szCs w:val="24"/>
        </w:rPr>
        <w:t>investičných projektov</w:t>
      </w:r>
      <w:r>
        <w:rPr>
          <w:rFonts w:ascii="Arial Narrow" w:hAnsi="Arial Narrow" w:cs="Arial Narrow"/>
          <w:color w:val="000000"/>
          <w:sz w:val="22"/>
          <w:szCs w:val="24"/>
        </w:rPr>
        <w:t xml:space="preserve"> v rokoch 2006 až 200</w:t>
      </w:r>
      <w:r w:rsidR="00AD7E50">
        <w:rPr>
          <w:rFonts w:ascii="Arial Narrow" w:hAnsi="Arial Narrow" w:cs="Arial Narrow"/>
          <w:color w:val="000000"/>
          <w:sz w:val="22"/>
          <w:szCs w:val="24"/>
        </w:rPr>
        <w:t>9</w:t>
      </w:r>
      <w:r>
        <w:rPr>
          <w:rFonts w:ascii="Arial Narrow" w:hAnsi="Arial Narrow" w:cs="Arial Narrow"/>
          <w:color w:val="000000"/>
          <w:sz w:val="22"/>
          <w:szCs w:val="24"/>
        </w:rPr>
        <w:t>.</w:t>
      </w:r>
    </w:p>
    <w:p w:rsidR="00312541" w:rsidP="00312541">
      <w:pPr>
        <w:rPr>
          <w:szCs w:val="24"/>
        </w:rPr>
      </w:pPr>
      <w:r>
        <w:rPr>
          <w:szCs w:val="24"/>
        </w:rPr>
        <w:t xml:space="preserve">    </w:t>
      </w:r>
    </w:p>
    <w:tbl>
      <w:tblPr>
        <w:tblStyle w:val="TableNormal"/>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2"/>
        <w:gridCol w:w="1121"/>
        <w:gridCol w:w="1127"/>
        <w:gridCol w:w="1127"/>
        <w:gridCol w:w="1127"/>
      </w:tblGrid>
      <w:tr>
        <w:tblPrEx>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25" w:type="pct"/>
            <w:tcBorders>
              <w:top w:val="single" w:sz="4" w:space="0" w:color="auto"/>
              <w:left w:val="single" w:sz="4" w:space="0" w:color="auto"/>
              <w:bottom w:val="single" w:sz="4" w:space="0" w:color="auto"/>
              <w:right w:val="single" w:sz="4" w:space="0" w:color="auto"/>
            </w:tcBorders>
            <w:shd w:val="clear" w:color="auto" w:fill="0C0C0C"/>
            <w:textDirection w:val="lrTb"/>
            <w:vAlign w:val="top"/>
          </w:tcPr>
          <w:p w:rsidR="00312541" w:rsidRPr="003C0DEA" w:rsidP="00A70AF6">
            <w:pPr>
              <w:jc w:val="both"/>
              <w:rPr>
                <w:rFonts w:ascii="Arial Narrow" w:hAnsi="Arial Narrow" w:cs="Arial Narrow"/>
                <w:b/>
                <w:sz w:val="20"/>
                <w:szCs w:val="24"/>
                <w:lang w:val="cs-CZ"/>
              </w:rPr>
            </w:pPr>
            <w:r w:rsidRPr="003C0DEA">
              <w:rPr>
                <w:rFonts w:ascii="Arial Narrow" w:hAnsi="Arial Narrow" w:cs="Arial Narrow"/>
                <w:b/>
                <w:sz w:val="20"/>
                <w:szCs w:val="24"/>
                <w:lang w:val="cs-CZ"/>
              </w:rPr>
              <w:t>( v tis. eur)</w:t>
            </w:r>
          </w:p>
        </w:tc>
        <w:tc>
          <w:tcPr>
            <w:tcW w:w="615" w:type="pc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312541" w:rsidRPr="003C0DEA" w:rsidP="00AD7E50">
            <w:pPr>
              <w:jc w:val="center"/>
              <w:rPr>
                <w:rFonts w:ascii="Arial Narrow" w:hAnsi="Arial Narrow" w:cs="Arial Narrow"/>
                <w:b/>
                <w:sz w:val="20"/>
                <w:szCs w:val="24"/>
                <w:lang w:val="cs-CZ"/>
              </w:rPr>
            </w:pPr>
            <w:r w:rsidRPr="003C0DEA">
              <w:rPr>
                <w:rFonts w:ascii="Arial Narrow" w:hAnsi="Arial Narrow" w:cs="Arial Narrow"/>
                <w:b/>
                <w:sz w:val="20"/>
                <w:szCs w:val="24"/>
                <w:lang w:val="cs-CZ"/>
              </w:rPr>
              <w:t>2009</w:t>
            </w:r>
          </w:p>
        </w:tc>
        <w:tc>
          <w:tcPr>
            <w:tcW w:w="618" w:type="pc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312541" w:rsidRPr="003C0DEA" w:rsidP="00AD7E50">
            <w:pPr>
              <w:jc w:val="center"/>
              <w:rPr>
                <w:rFonts w:ascii="Arial Narrow" w:hAnsi="Arial Narrow" w:cs="Arial Narrow"/>
                <w:b/>
                <w:sz w:val="20"/>
                <w:szCs w:val="24"/>
                <w:lang w:val="cs-CZ"/>
              </w:rPr>
            </w:pPr>
            <w:r w:rsidRPr="003C0DEA">
              <w:rPr>
                <w:rFonts w:ascii="Arial Narrow" w:hAnsi="Arial Narrow" w:cs="Arial Narrow"/>
                <w:b/>
                <w:sz w:val="20"/>
                <w:szCs w:val="24"/>
                <w:lang w:val="cs-CZ"/>
              </w:rPr>
              <w:t>2010</w:t>
            </w:r>
          </w:p>
        </w:tc>
        <w:tc>
          <w:tcPr>
            <w:tcW w:w="618" w:type="pc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312541" w:rsidRPr="003C0DEA" w:rsidP="00AD7E50">
            <w:pPr>
              <w:jc w:val="center"/>
              <w:rPr>
                <w:rFonts w:ascii="Arial Narrow" w:hAnsi="Arial Narrow" w:cs="Arial Narrow"/>
                <w:b/>
                <w:sz w:val="20"/>
                <w:szCs w:val="24"/>
                <w:lang w:val="cs-CZ"/>
              </w:rPr>
            </w:pPr>
            <w:r w:rsidRPr="003C0DEA">
              <w:rPr>
                <w:rFonts w:ascii="Arial Narrow" w:hAnsi="Arial Narrow" w:cs="Arial Narrow"/>
                <w:b/>
                <w:sz w:val="20"/>
                <w:szCs w:val="24"/>
                <w:lang w:val="cs-CZ"/>
              </w:rPr>
              <w:t>2011</w:t>
            </w:r>
          </w:p>
        </w:tc>
        <w:tc>
          <w:tcPr>
            <w:tcW w:w="618" w:type="pct"/>
            <w:tcBorders>
              <w:top w:val="single" w:sz="4" w:space="0" w:color="auto"/>
              <w:left w:val="single" w:sz="4" w:space="0" w:color="auto"/>
              <w:bottom w:val="single" w:sz="4" w:space="0" w:color="auto"/>
              <w:right w:val="single" w:sz="4" w:space="0" w:color="auto"/>
            </w:tcBorders>
            <w:shd w:val="clear" w:color="auto" w:fill="0C0C0C"/>
            <w:textDirection w:val="lrTb"/>
            <w:vAlign w:val="center"/>
          </w:tcPr>
          <w:p w:rsidR="00312541" w:rsidRPr="003C0DEA" w:rsidP="00AD7E50">
            <w:pPr>
              <w:jc w:val="center"/>
              <w:rPr>
                <w:rFonts w:ascii="Arial Narrow" w:hAnsi="Arial Narrow" w:cs="Arial Narrow"/>
                <w:b/>
                <w:sz w:val="20"/>
                <w:szCs w:val="24"/>
                <w:lang w:val="cs-CZ"/>
              </w:rPr>
            </w:pPr>
            <w:r w:rsidRPr="003C0DEA">
              <w:rPr>
                <w:rFonts w:ascii="Arial Narrow" w:hAnsi="Arial Narrow" w:cs="Arial Narrow"/>
                <w:b/>
                <w:sz w:val="20"/>
                <w:szCs w:val="24"/>
                <w:lang w:val="cs-CZ"/>
              </w:rPr>
              <w:t>2012</w:t>
            </w:r>
          </w:p>
        </w:tc>
      </w:tr>
      <w:tr>
        <w:tblPrEx>
          <w:tblW w:w="4901" w:type="pct"/>
          <w:tblInd w:w="108" w:type="dxa"/>
          <w:tblLook w:val="01E0"/>
        </w:tblPrEx>
        <w:tc>
          <w:tcPr>
            <w:tcW w:w="2525" w:type="pct"/>
            <w:tcBorders>
              <w:top w:val="single" w:sz="4" w:space="0" w:color="auto"/>
              <w:left w:val="single" w:sz="4" w:space="0" w:color="auto"/>
              <w:bottom w:val="single" w:sz="4" w:space="0" w:color="auto"/>
              <w:right w:val="single" w:sz="4" w:space="0" w:color="auto"/>
            </w:tcBorders>
            <w:textDirection w:val="lrTb"/>
            <w:vAlign w:val="top"/>
          </w:tcPr>
          <w:p w:rsidR="00312541" w:rsidRPr="009F3467" w:rsidP="00A70AF6">
            <w:pPr>
              <w:jc w:val="both"/>
              <w:rPr>
                <w:rFonts w:ascii="Arial Narrow" w:hAnsi="Arial Narrow" w:cs="Arial Narrow"/>
                <w:b/>
                <w:sz w:val="20"/>
                <w:szCs w:val="24"/>
                <w:lang w:val="cs-CZ"/>
              </w:rPr>
            </w:pPr>
            <w:r w:rsidRPr="009F3467">
              <w:rPr>
                <w:rFonts w:ascii="Arial Narrow" w:hAnsi="Arial Narrow" w:cs="Arial Narrow"/>
                <w:b/>
                <w:sz w:val="20"/>
                <w:szCs w:val="24"/>
                <w:lang w:val="cs-CZ"/>
              </w:rPr>
              <w:t xml:space="preserve">Ľudské zdroje, v tom: </w:t>
            </w:r>
          </w:p>
        </w:tc>
        <w:tc>
          <w:tcPr>
            <w:tcW w:w="615" w:type="pct"/>
            <w:tcBorders>
              <w:top w:val="single" w:sz="4" w:space="0" w:color="auto"/>
              <w:left w:val="single" w:sz="4" w:space="0" w:color="auto"/>
              <w:bottom w:val="single" w:sz="4" w:space="0" w:color="auto"/>
              <w:right w:val="single" w:sz="4" w:space="0" w:color="auto"/>
            </w:tcBorders>
            <w:textDirection w:val="lrTb"/>
            <w:vAlign w:val="top"/>
          </w:tcPr>
          <w:p w:rsidR="00312541" w:rsidRPr="009F3467" w:rsidP="00A70AF6">
            <w:pPr>
              <w:jc w:val="center"/>
              <w:rPr>
                <w:rFonts w:ascii="Arial Narrow" w:hAnsi="Arial Narrow" w:cs="Arial Narrow"/>
                <w:b/>
                <w:sz w:val="20"/>
                <w:szCs w:val="24"/>
                <w:lang w:val="cs-CZ"/>
              </w:rPr>
            </w:pPr>
            <w:r w:rsidRPr="009F3467">
              <w:rPr>
                <w:rFonts w:ascii="Arial Narrow" w:hAnsi="Arial Narrow" w:cs="Arial Narrow"/>
                <w:b/>
                <w:sz w:val="20"/>
                <w:szCs w:val="24"/>
                <w:lang w:val="cs-CZ"/>
              </w:rPr>
              <w:t xml:space="preserve"> 141 363</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9F3467" w:rsidP="00A70AF6">
            <w:pPr>
              <w:jc w:val="center"/>
              <w:rPr>
                <w:rFonts w:ascii="Arial Narrow" w:hAnsi="Arial Narrow" w:cs="Arial Narrow"/>
                <w:b/>
                <w:sz w:val="20"/>
                <w:szCs w:val="24"/>
                <w:lang w:val="cs-CZ"/>
              </w:rPr>
            </w:pPr>
            <w:r w:rsidRPr="009F3467">
              <w:rPr>
                <w:rFonts w:ascii="Arial Narrow" w:hAnsi="Arial Narrow" w:cs="Arial Narrow"/>
                <w:b/>
                <w:sz w:val="20"/>
                <w:szCs w:val="24"/>
                <w:lang w:val="cs-CZ"/>
              </w:rPr>
              <w:t xml:space="preserve">210 </w:t>
            </w:r>
            <w:r>
              <w:rPr>
                <w:rFonts w:ascii="Arial Narrow" w:hAnsi="Arial Narrow" w:cs="Arial Narrow"/>
                <w:b/>
                <w:sz w:val="20"/>
                <w:szCs w:val="24"/>
                <w:lang w:val="cs-CZ"/>
              </w:rPr>
              <w:t>266</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9F3467" w:rsidP="00A70AF6">
            <w:pPr>
              <w:jc w:val="center"/>
              <w:rPr>
                <w:rFonts w:ascii="Arial Narrow" w:hAnsi="Arial Narrow" w:cs="Arial Narrow"/>
                <w:b/>
                <w:sz w:val="20"/>
                <w:szCs w:val="24"/>
                <w:lang w:val="cs-CZ"/>
              </w:rPr>
            </w:pPr>
            <w:r w:rsidRPr="009F3467">
              <w:rPr>
                <w:rFonts w:ascii="Arial Narrow" w:hAnsi="Arial Narrow" w:cs="Arial Narrow"/>
                <w:b/>
                <w:sz w:val="20"/>
                <w:szCs w:val="24"/>
                <w:lang w:val="cs-CZ"/>
              </w:rPr>
              <w:t xml:space="preserve">206 </w:t>
            </w:r>
            <w:r>
              <w:rPr>
                <w:rFonts w:ascii="Arial Narrow" w:hAnsi="Arial Narrow" w:cs="Arial Narrow"/>
                <w:b/>
                <w:sz w:val="20"/>
                <w:szCs w:val="24"/>
                <w:lang w:val="cs-CZ"/>
              </w:rPr>
              <w:t>152</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9F3467" w:rsidP="00A70AF6">
            <w:pPr>
              <w:jc w:val="center"/>
              <w:rPr>
                <w:rFonts w:ascii="Arial Narrow" w:hAnsi="Arial Narrow" w:cs="Arial Narrow"/>
                <w:b/>
                <w:sz w:val="20"/>
                <w:szCs w:val="24"/>
                <w:lang w:val="cs-CZ"/>
              </w:rPr>
            </w:pPr>
            <w:r w:rsidRPr="009F3467">
              <w:rPr>
                <w:rFonts w:ascii="Arial Narrow" w:hAnsi="Arial Narrow" w:cs="Arial Narrow"/>
                <w:b/>
                <w:sz w:val="20"/>
                <w:szCs w:val="24"/>
                <w:lang w:val="cs-CZ"/>
              </w:rPr>
              <w:t xml:space="preserve">205 </w:t>
            </w:r>
            <w:r>
              <w:rPr>
                <w:rFonts w:ascii="Arial Narrow" w:hAnsi="Arial Narrow" w:cs="Arial Narrow"/>
                <w:b/>
                <w:sz w:val="20"/>
                <w:szCs w:val="24"/>
                <w:lang w:val="cs-CZ"/>
              </w:rPr>
              <w:t>199</w:t>
            </w:r>
          </w:p>
        </w:tc>
      </w:tr>
      <w:tr>
        <w:tblPrEx>
          <w:tblW w:w="4901" w:type="pct"/>
          <w:tblInd w:w="108" w:type="dxa"/>
          <w:tblLook w:val="01E0"/>
        </w:tblPrEx>
        <w:tc>
          <w:tcPr>
            <w:tcW w:w="2525"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both"/>
              <w:rPr>
                <w:rFonts w:ascii="Arial Narrow" w:hAnsi="Arial Narrow" w:cs="Arial Narrow"/>
                <w:sz w:val="20"/>
                <w:szCs w:val="24"/>
                <w:lang w:val="cs-CZ"/>
              </w:rPr>
            </w:pPr>
            <w:r w:rsidRPr="003C0DEA">
              <w:rPr>
                <w:rFonts w:ascii="Arial Narrow" w:hAnsi="Arial Narrow" w:cs="Arial Narrow"/>
                <w:sz w:val="20"/>
                <w:szCs w:val="24"/>
                <w:lang w:val="cs-CZ"/>
              </w:rPr>
              <w:t xml:space="preserve">                   </w:t>
            </w:r>
            <w:r>
              <w:rPr>
                <w:rFonts w:ascii="Arial Narrow" w:hAnsi="Arial Narrow" w:cs="Arial Narrow"/>
                <w:sz w:val="20"/>
                <w:szCs w:val="24"/>
                <w:lang w:val="cs-CZ"/>
              </w:rPr>
              <w:t>n</w:t>
            </w:r>
            <w:r w:rsidRPr="003C0DEA">
              <w:rPr>
                <w:rFonts w:ascii="Arial Narrow" w:hAnsi="Arial Narrow" w:cs="Arial Narrow"/>
                <w:sz w:val="20"/>
                <w:szCs w:val="24"/>
                <w:lang w:val="cs-CZ"/>
              </w:rPr>
              <w:t>á</w:t>
            </w:r>
            <w:r>
              <w:rPr>
                <w:rFonts w:ascii="Arial Narrow" w:hAnsi="Arial Narrow" w:cs="Arial Narrow"/>
                <w:sz w:val="20"/>
                <w:szCs w:val="24"/>
                <w:lang w:val="cs-CZ"/>
              </w:rPr>
              <w:t>rodné p</w:t>
            </w:r>
            <w:r w:rsidRPr="003C0DEA">
              <w:rPr>
                <w:rFonts w:ascii="Arial Narrow" w:hAnsi="Arial Narrow" w:cs="Arial Narrow"/>
                <w:sz w:val="20"/>
                <w:szCs w:val="24"/>
                <w:lang w:val="cs-CZ"/>
              </w:rPr>
              <w:t>rogramy</w:t>
            </w:r>
            <w:r>
              <w:rPr>
                <w:rFonts w:ascii="Arial Narrow" w:hAnsi="Arial Narrow" w:cs="Arial Narrow"/>
                <w:sz w:val="20"/>
                <w:szCs w:val="24"/>
                <w:lang w:val="cs-CZ"/>
              </w:rPr>
              <w:t xml:space="preserve"> </w:t>
            </w:r>
          </w:p>
        </w:tc>
        <w:tc>
          <w:tcPr>
            <w:tcW w:w="615"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15</w:t>
            </w:r>
            <w:r>
              <w:rPr>
                <w:rFonts w:ascii="Arial Narrow" w:hAnsi="Arial Narrow" w:cs="Arial Narrow"/>
                <w:sz w:val="20"/>
                <w:szCs w:val="24"/>
                <w:lang w:val="cs-CZ"/>
              </w:rPr>
              <w:t xml:space="preserve"> </w:t>
            </w:r>
            <w:r w:rsidRPr="003C0DEA">
              <w:rPr>
                <w:rFonts w:ascii="Arial Narrow" w:hAnsi="Arial Narrow" w:cs="Arial Narrow"/>
                <w:sz w:val="20"/>
                <w:szCs w:val="24"/>
                <w:lang w:val="cs-CZ"/>
              </w:rPr>
              <w:t xml:space="preserve"> 616</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67 599</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72 230</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74 682</w:t>
            </w:r>
          </w:p>
        </w:tc>
      </w:tr>
      <w:tr>
        <w:tblPrEx>
          <w:tblW w:w="4901" w:type="pct"/>
          <w:tblInd w:w="108" w:type="dxa"/>
          <w:tblLook w:val="01E0"/>
        </w:tblPrEx>
        <w:tc>
          <w:tcPr>
            <w:tcW w:w="2525"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both"/>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 xml:space="preserve">investičné stimuly </w:t>
            </w:r>
          </w:p>
        </w:tc>
        <w:tc>
          <w:tcPr>
            <w:tcW w:w="615"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16  970</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22 799</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5 700</w:t>
            </w:r>
          </w:p>
        </w:tc>
        <w:tc>
          <w:tcPr>
            <w:tcW w:w="618" w:type="pct"/>
            <w:tcBorders>
              <w:top w:val="single" w:sz="4" w:space="0" w:color="auto"/>
              <w:left w:val="single" w:sz="4" w:space="0" w:color="auto"/>
              <w:bottom w:val="single" w:sz="4" w:space="0" w:color="auto"/>
              <w:right w:val="single" w:sz="4" w:space="0" w:color="auto"/>
            </w:tcBorders>
            <w:textDirection w:val="lrTb"/>
            <w:vAlign w:val="top"/>
          </w:tcPr>
          <w:p w:rsidR="00312541" w:rsidRPr="003C0DEA" w:rsidP="00A70AF6">
            <w:pPr>
              <w:jc w:val="center"/>
              <w:rPr>
                <w:rFonts w:ascii="Arial Narrow" w:hAnsi="Arial Narrow" w:cs="Arial Narrow"/>
                <w:sz w:val="20"/>
                <w:szCs w:val="24"/>
                <w:lang w:val="cs-CZ"/>
              </w:rPr>
            </w:pPr>
            <w:r>
              <w:rPr>
                <w:rFonts w:ascii="Arial Narrow" w:hAnsi="Arial Narrow" w:cs="Arial Narrow"/>
                <w:sz w:val="20"/>
                <w:szCs w:val="24"/>
                <w:lang w:val="cs-CZ"/>
              </w:rPr>
              <w:t xml:space="preserve">   </w:t>
            </w:r>
            <w:r w:rsidRPr="003C0DEA">
              <w:rPr>
                <w:rFonts w:ascii="Arial Narrow" w:hAnsi="Arial Narrow" w:cs="Arial Narrow"/>
                <w:sz w:val="20"/>
                <w:szCs w:val="24"/>
                <w:lang w:val="cs-CZ"/>
              </w:rPr>
              <w:t>1 988</w:t>
            </w:r>
          </w:p>
        </w:tc>
      </w:tr>
    </w:tbl>
    <w:p w:rsidR="00312541" w:rsidP="00312541">
      <w:pPr>
        <w:pBdr>
          <w:bottom w:val="single" w:sz="6" w:space="1" w:color="auto"/>
        </w:pBdr>
        <w:rPr>
          <w:rFonts w:ascii="Arial Narrow" w:hAnsi="Arial Narrow" w:cs="Arial Narrow"/>
          <w:b/>
          <w:sz w:val="22"/>
          <w:szCs w:val="24"/>
        </w:rPr>
      </w:pPr>
    </w:p>
    <w:p w:rsidR="00312541" w:rsidP="00312541">
      <w:pPr>
        <w:pBdr>
          <w:bottom w:val="single" w:sz="6" w:space="1" w:color="auto"/>
        </w:pBdr>
        <w:rPr>
          <w:rFonts w:ascii="Arial Narrow" w:hAnsi="Arial Narrow" w:cs="Arial Narrow"/>
          <w:b/>
          <w:sz w:val="22"/>
          <w:szCs w:val="24"/>
        </w:rPr>
      </w:pPr>
    </w:p>
    <w:p w:rsidR="00F5568D" w:rsidP="00312541">
      <w:pPr>
        <w:pBdr>
          <w:bottom w:val="single" w:sz="6" w:space="1" w:color="auto"/>
        </w:pBdr>
        <w:rPr>
          <w:rFonts w:ascii="Arial Narrow" w:hAnsi="Arial Narrow" w:cs="Arial Narrow"/>
          <w:b/>
          <w:sz w:val="22"/>
          <w:szCs w:val="24"/>
        </w:rPr>
      </w:pPr>
    </w:p>
    <w:p w:rsidR="00312541" w:rsidRPr="005D365D" w:rsidP="00312541">
      <w:pPr>
        <w:pBdr>
          <w:bottom w:val="single" w:sz="6" w:space="1" w:color="auto"/>
        </w:pBdr>
        <w:rPr>
          <w:rFonts w:ascii="Arial Narrow" w:hAnsi="Arial Narrow" w:cs="Arial Narrow"/>
          <w:b/>
          <w:sz w:val="22"/>
          <w:szCs w:val="24"/>
        </w:rPr>
      </w:pPr>
      <w:r w:rsidRPr="005D365D">
        <w:rPr>
          <w:rFonts w:ascii="Arial Narrow" w:hAnsi="Arial Narrow" w:cs="Arial Narrow"/>
          <w:b/>
          <w:sz w:val="22"/>
          <w:szCs w:val="24"/>
        </w:rPr>
        <w:t>Školstvo, veda a </w:t>
      </w:r>
      <w:r>
        <w:rPr>
          <w:rFonts w:ascii="Arial Narrow" w:hAnsi="Arial Narrow" w:cs="Arial Narrow"/>
          <w:b/>
          <w:sz w:val="22"/>
          <w:szCs w:val="24"/>
        </w:rPr>
        <w:t>technika</w:t>
      </w:r>
      <w:r w:rsidRPr="005D365D">
        <w:rPr>
          <w:rFonts w:ascii="Arial Narrow" w:hAnsi="Arial Narrow" w:cs="Arial Narrow"/>
          <w:b/>
          <w:sz w:val="22"/>
          <w:szCs w:val="24"/>
        </w:rPr>
        <w:t>, kultúra</w:t>
      </w:r>
    </w:p>
    <w:p w:rsidR="00312541" w:rsidRPr="005D365D" w:rsidP="00312541">
      <w:pPr>
        <w:rPr>
          <w:rFonts w:ascii="Arial Narrow" w:hAnsi="Arial Narrow" w:cs="Arial Narrow"/>
          <w:sz w:val="22"/>
          <w:szCs w:val="24"/>
        </w:rPr>
      </w:pPr>
      <w:r w:rsidRPr="005D365D">
        <w:rPr>
          <w:rFonts w:ascii="Arial Narrow" w:hAnsi="Arial Narrow" w:cs="Arial Narrow"/>
          <w:sz w:val="22"/>
          <w:szCs w:val="24"/>
        </w:rPr>
        <w:t xml:space="preserve"> </w:t>
      </w:r>
    </w:p>
    <w:p w:rsidR="00312541" w:rsidP="00312541">
      <w:pPr>
        <w:ind w:firstLine="708"/>
        <w:jc w:val="both"/>
        <w:rPr>
          <w:rFonts w:ascii="Arial Narrow" w:hAnsi="Arial Narrow" w:cs="Arial Narrow"/>
          <w:sz w:val="22"/>
          <w:szCs w:val="24"/>
        </w:rPr>
      </w:pPr>
      <w:r w:rsidRPr="005D365D">
        <w:rPr>
          <w:rFonts w:ascii="Arial Narrow" w:hAnsi="Arial Narrow" w:cs="Arial Narrow"/>
          <w:sz w:val="22"/>
          <w:szCs w:val="24"/>
        </w:rPr>
        <w:t xml:space="preserve">Formovanie vedomostnej spoločnosti je prioritou vlády SR, pretože len vzdelaní ľudia spoločnosti sú predpokladom demokratického rozvoja, vedecko-technologického pokroku, hospodárskeho rastu a sociálneho zabezpečenia, zamestnanosti a rastu. Trvalo udržateľný rozvoj je jedným zo základných pilierov vedomostnej spoločnosti, preto oblasť vzdelávania vláda SR ako jednu zo svojich priorít podporuje. </w:t>
      </w: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p>
    <w:tbl>
      <w:tblPr>
        <w:tblStyle w:val="TableNormal"/>
        <w:tblW w:w="9087" w:type="dxa"/>
        <w:tblInd w:w="55" w:type="dxa"/>
        <w:tblLayout w:type="fixed"/>
        <w:tblCellMar>
          <w:left w:w="70" w:type="dxa"/>
          <w:right w:w="70" w:type="dxa"/>
        </w:tblCellMar>
        <w:tblLook w:val="00A0"/>
      </w:tblPr>
      <w:tblGrid>
        <w:gridCol w:w="4000"/>
        <w:gridCol w:w="1271"/>
        <w:gridCol w:w="1272"/>
        <w:gridCol w:w="1272"/>
        <w:gridCol w:w="1272"/>
      </w:tblGrid>
      <w:tr>
        <w:tblPrEx>
          <w:tblW w:w="9087" w:type="dxa"/>
          <w:tblInd w:w="55" w:type="dxa"/>
          <w:tblLayout w:type="fixed"/>
          <w:tblCellMar>
            <w:left w:w="70" w:type="dxa"/>
            <w:right w:w="70" w:type="dxa"/>
          </w:tblCellMar>
          <w:tblLook w:val="00A0"/>
        </w:tblPrEx>
        <w:trPr>
          <w:trHeight w:val="255"/>
        </w:trPr>
        <w:tc>
          <w:tcPr>
            <w:tcW w:w="4000" w:type="dxa"/>
            <w:tcBorders>
              <w:top w:val="nil"/>
              <w:left w:val="nil"/>
              <w:bottom w:val="nil"/>
              <w:right w:val="nil"/>
            </w:tcBorders>
            <w:shd w:val="clear" w:color="000000" w:fill="000000"/>
            <w:noWrap/>
            <w:textDirection w:val="lrTb"/>
            <w:vAlign w:val="bottom"/>
          </w:tcPr>
          <w:p w:rsidR="00312541" w:rsidRPr="00EB712C" w:rsidP="00A70AF6">
            <w:pPr>
              <w:rPr>
                <w:rFonts w:ascii="Arial Narrow" w:hAnsi="Arial Narrow" w:cs="Arial Narrow"/>
                <w:b/>
                <w:color w:val="FFFFFF"/>
                <w:sz w:val="20"/>
                <w:szCs w:val="24"/>
                <w:lang w:eastAsia="sk-SK"/>
              </w:rPr>
            </w:pPr>
            <w:r w:rsidRPr="00EB712C">
              <w:rPr>
                <w:rFonts w:ascii="Arial Narrow" w:hAnsi="Arial Narrow" w:cs="Arial Narrow"/>
                <w:b/>
                <w:color w:val="FFFFFF"/>
                <w:sz w:val="20"/>
                <w:szCs w:val="24"/>
                <w:lang w:eastAsia="sk-SK"/>
              </w:rPr>
              <w:t>(v tis. eur)</w:t>
            </w:r>
          </w:p>
        </w:tc>
        <w:tc>
          <w:tcPr>
            <w:tcW w:w="1271"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EB712C" w:rsidP="00A70AF6">
            <w:pPr>
              <w:jc w:val="center"/>
              <w:rPr>
                <w:rFonts w:ascii="Arial Narrow" w:hAnsi="Arial Narrow" w:cs="Arial Narrow"/>
                <w:b/>
                <w:color w:val="FFFFFF"/>
                <w:sz w:val="20"/>
                <w:szCs w:val="24"/>
                <w:lang w:eastAsia="sk-SK"/>
              </w:rPr>
            </w:pPr>
            <w:r w:rsidRPr="00EB712C">
              <w:rPr>
                <w:rFonts w:ascii="Arial Narrow" w:hAnsi="Arial Narrow" w:cs="Arial Narrow"/>
                <w:b/>
                <w:color w:val="FFFFFF"/>
                <w:sz w:val="20"/>
                <w:szCs w:val="24"/>
                <w:lang w:eastAsia="sk-SK"/>
              </w:rPr>
              <w:t>2009</w:t>
            </w:r>
          </w:p>
        </w:tc>
        <w:tc>
          <w:tcPr>
            <w:tcW w:w="1272"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EB712C" w:rsidP="00A70AF6">
            <w:pPr>
              <w:jc w:val="center"/>
              <w:rPr>
                <w:rFonts w:ascii="Arial Narrow" w:hAnsi="Arial Narrow" w:cs="Arial Narrow"/>
                <w:b/>
                <w:color w:val="FFFFFF"/>
                <w:sz w:val="20"/>
                <w:szCs w:val="24"/>
                <w:lang w:eastAsia="sk-SK"/>
              </w:rPr>
            </w:pPr>
            <w:r w:rsidRPr="00EB712C">
              <w:rPr>
                <w:rFonts w:ascii="Arial Narrow" w:hAnsi="Arial Narrow" w:cs="Arial Narrow"/>
                <w:b/>
                <w:color w:val="FFFFFF"/>
                <w:sz w:val="20"/>
                <w:szCs w:val="24"/>
                <w:lang w:eastAsia="sk-SK"/>
              </w:rPr>
              <w:t>2010</w:t>
            </w:r>
          </w:p>
        </w:tc>
        <w:tc>
          <w:tcPr>
            <w:tcW w:w="1272" w:type="dxa"/>
            <w:tcBorders>
              <w:top w:val="single" w:sz="8" w:space="0" w:color="auto"/>
              <w:left w:val="nil"/>
              <w:bottom w:val="single" w:sz="4" w:space="0" w:color="auto"/>
              <w:right w:val="nil"/>
            </w:tcBorders>
            <w:shd w:val="clear" w:color="000000" w:fill="000000"/>
            <w:noWrap/>
            <w:textDirection w:val="lrTb"/>
            <w:vAlign w:val="bottom"/>
          </w:tcPr>
          <w:p w:rsidR="00312541" w:rsidRPr="00EB712C" w:rsidP="00A70AF6">
            <w:pPr>
              <w:jc w:val="center"/>
              <w:rPr>
                <w:rFonts w:ascii="Arial Narrow" w:hAnsi="Arial Narrow" w:cs="Arial Narrow"/>
                <w:b/>
                <w:color w:val="FFFFFF"/>
                <w:sz w:val="20"/>
                <w:szCs w:val="24"/>
                <w:lang w:eastAsia="sk-SK"/>
              </w:rPr>
            </w:pPr>
            <w:r w:rsidRPr="00EB712C">
              <w:rPr>
                <w:rFonts w:ascii="Arial Narrow" w:hAnsi="Arial Narrow" w:cs="Arial Narrow"/>
                <w:b/>
                <w:color w:val="FFFFFF"/>
                <w:sz w:val="20"/>
                <w:szCs w:val="24"/>
                <w:lang w:eastAsia="sk-SK"/>
              </w:rPr>
              <w:t>2011</w:t>
            </w:r>
          </w:p>
        </w:tc>
        <w:tc>
          <w:tcPr>
            <w:tcW w:w="1272" w:type="dxa"/>
            <w:tcBorders>
              <w:top w:val="single" w:sz="8" w:space="0" w:color="auto"/>
              <w:left w:val="single" w:sz="4" w:space="0" w:color="auto"/>
              <w:bottom w:val="single" w:sz="4" w:space="0" w:color="auto"/>
              <w:right w:val="single" w:sz="8" w:space="0" w:color="auto"/>
            </w:tcBorders>
            <w:shd w:val="clear" w:color="000000" w:fill="000000"/>
            <w:noWrap/>
            <w:textDirection w:val="lrTb"/>
            <w:vAlign w:val="bottom"/>
          </w:tcPr>
          <w:p w:rsidR="00312541" w:rsidRPr="00EB712C" w:rsidP="00A70AF6">
            <w:pPr>
              <w:jc w:val="center"/>
              <w:rPr>
                <w:rFonts w:ascii="Arial Narrow" w:hAnsi="Arial Narrow" w:cs="Arial Narrow"/>
                <w:b/>
                <w:color w:val="FFFFFF"/>
                <w:sz w:val="20"/>
                <w:szCs w:val="24"/>
                <w:lang w:eastAsia="sk-SK"/>
              </w:rPr>
            </w:pPr>
            <w:r w:rsidRPr="00EB712C">
              <w:rPr>
                <w:rFonts w:ascii="Arial Narrow" w:hAnsi="Arial Narrow" w:cs="Arial Narrow"/>
                <w:b/>
                <w:color w:val="FFFFFF"/>
                <w:sz w:val="20"/>
                <w:szCs w:val="24"/>
                <w:lang w:eastAsia="sk-SK"/>
              </w:rPr>
              <w:t>2 012</w:t>
            </w:r>
          </w:p>
        </w:tc>
      </w:tr>
      <w:tr>
        <w:tblPrEx>
          <w:tblW w:w="9087" w:type="dxa"/>
          <w:tblInd w:w="55" w:type="dxa"/>
          <w:tblLayout w:type="fixed"/>
          <w:tblCellMar>
            <w:left w:w="70" w:type="dxa"/>
            <w:right w:w="70" w:type="dxa"/>
          </w:tblCellMar>
          <w:tblLook w:val="00A0"/>
        </w:tblPrEx>
        <w:trPr>
          <w:trHeight w:val="255"/>
        </w:trPr>
        <w:tc>
          <w:tcPr>
            <w:tcW w:w="4000" w:type="dxa"/>
            <w:tcBorders>
              <w:top w:val="single" w:sz="4" w:space="0" w:color="auto"/>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color w:val="FFFFFF"/>
                <w:sz w:val="20"/>
                <w:szCs w:val="24"/>
                <w:lang w:eastAsia="sk-SK"/>
              </w:rPr>
            </w:pPr>
            <w:r w:rsidRPr="00EB712C">
              <w:rPr>
                <w:rFonts w:ascii="Arial Narrow" w:hAnsi="Arial Narrow" w:cs="Arial Narrow"/>
                <w:color w:val="FFFFFF"/>
                <w:sz w:val="20"/>
                <w:szCs w:val="24"/>
                <w:lang w:eastAsia="sk-SK"/>
              </w:rPr>
              <w:t> </w:t>
            </w:r>
          </w:p>
        </w:tc>
        <w:tc>
          <w:tcPr>
            <w:tcW w:w="1271" w:type="dxa"/>
            <w:tcBorders>
              <w:top w:val="nil"/>
              <w:left w:val="nil"/>
              <w:bottom w:val="single" w:sz="4" w:space="0" w:color="auto"/>
              <w:right w:val="single" w:sz="4" w:space="0" w:color="auto"/>
            </w:tcBorders>
            <w:noWrap/>
            <w:textDirection w:val="lrTb"/>
            <w:vAlign w:val="bottom"/>
          </w:tcPr>
          <w:p w:rsidR="00312541" w:rsidRPr="00EB712C" w:rsidP="00A70AF6">
            <w:pPr>
              <w:rPr>
                <w:rFonts w:ascii="Arial Narrow" w:hAnsi="Arial Narrow" w:cs="Arial Narrow"/>
                <w:color w:val="FFFFFF"/>
                <w:sz w:val="20"/>
                <w:szCs w:val="24"/>
                <w:lang w:eastAsia="sk-SK"/>
              </w:rPr>
            </w:pPr>
            <w:r w:rsidRPr="00EB712C">
              <w:rPr>
                <w:rFonts w:ascii="Arial Narrow" w:hAnsi="Arial Narrow" w:cs="Arial Narrow"/>
                <w:color w:val="FFFFFF"/>
                <w:sz w:val="20"/>
                <w:szCs w:val="24"/>
                <w:lang w:eastAsia="sk-SK"/>
              </w:rPr>
              <w:t> </w:t>
            </w:r>
          </w:p>
        </w:tc>
        <w:tc>
          <w:tcPr>
            <w:tcW w:w="1272" w:type="dxa"/>
            <w:tcBorders>
              <w:top w:val="nil"/>
              <w:left w:val="nil"/>
              <w:bottom w:val="single" w:sz="4" w:space="0" w:color="auto"/>
              <w:right w:val="single" w:sz="4" w:space="0" w:color="auto"/>
            </w:tcBorders>
            <w:noWrap/>
            <w:textDirection w:val="lrTb"/>
            <w:vAlign w:val="bottom"/>
          </w:tcPr>
          <w:p w:rsidR="00312541" w:rsidRPr="00EB712C" w:rsidP="00A70AF6">
            <w:pPr>
              <w:rPr>
                <w:rFonts w:ascii="Arial Narrow" w:hAnsi="Arial Narrow" w:cs="Arial Narrow"/>
                <w:color w:val="FFFFFF"/>
                <w:sz w:val="20"/>
                <w:szCs w:val="24"/>
                <w:lang w:eastAsia="sk-SK"/>
              </w:rPr>
            </w:pPr>
            <w:r w:rsidRPr="00EB712C">
              <w:rPr>
                <w:rFonts w:ascii="Arial Narrow" w:hAnsi="Arial Narrow" w:cs="Arial Narrow"/>
                <w:color w:val="FFFFFF"/>
                <w:sz w:val="20"/>
                <w:szCs w:val="24"/>
                <w:lang w:eastAsia="sk-SK"/>
              </w:rPr>
              <w:t> </w:t>
            </w:r>
          </w:p>
        </w:tc>
        <w:tc>
          <w:tcPr>
            <w:tcW w:w="1272" w:type="dxa"/>
            <w:tcBorders>
              <w:top w:val="nil"/>
              <w:left w:val="nil"/>
              <w:bottom w:val="single" w:sz="4" w:space="0" w:color="auto"/>
              <w:right w:val="nil"/>
            </w:tcBorders>
            <w:noWrap/>
            <w:textDirection w:val="lrTb"/>
            <w:vAlign w:val="bottom"/>
          </w:tcPr>
          <w:p w:rsidR="00312541" w:rsidRPr="00EB712C" w:rsidP="00A70AF6">
            <w:pPr>
              <w:rPr>
                <w:rFonts w:ascii="Arial Narrow" w:hAnsi="Arial Narrow" w:cs="Arial Narrow"/>
                <w:color w:val="FFFFFF"/>
                <w:sz w:val="20"/>
                <w:szCs w:val="24"/>
                <w:lang w:eastAsia="sk-SK"/>
              </w:rPr>
            </w:pPr>
            <w:r w:rsidRPr="00EB712C">
              <w:rPr>
                <w:rFonts w:ascii="Arial Narrow" w:hAnsi="Arial Narrow" w:cs="Arial Narrow"/>
                <w:color w:val="FFFFFF"/>
                <w:sz w:val="20"/>
                <w:szCs w:val="24"/>
                <w:lang w:eastAsia="sk-SK"/>
              </w:rPr>
              <w:t> </w:t>
            </w:r>
          </w:p>
        </w:tc>
        <w:tc>
          <w:tcPr>
            <w:tcW w:w="1272" w:type="dxa"/>
            <w:tcBorders>
              <w:top w:val="nil"/>
              <w:left w:val="single" w:sz="4" w:space="0" w:color="auto"/>
              <w:bottom w:val="single" w:sz="4" w:space="0" w:color="auto"/>
              <w:right w:val="single" w:sz="8" w:space="0" w:color="auto"/>
            </w:tcBorders>
            <w:noWrap/>
            <w:textDirection w:val="lrTb"/>
            <w:vAlign w:val="bottom"/>
          </w:tcPr>
          <w:p w:rsidR="00312541" w:rsidRPr="00EB712C" w:rsidP="00A70AF6">
            <w:pPr>
              <w:rPr>
                <w:rFonts w:ascii="Arial Narrow" w:hAnsi="Arial Narrow" w:cs="Arial Narrow"/>
                <w:color w:val="FFFFFF"/>
                <w:sz w:val="20"/>
                <w:szCs w:val="24"/>
                <w:lang w:eastAsia="sk-SK"/>
              </w:rPr>
            </w:pPr>
            <w:r w:rsidRPr="00EB712C">
              <w:rPr>
                <w:rFonts w:ascii="Arial Narrow" w:hAnsi="Arial Narrow" w:cs="Arial Narrow"/>
                <w:color w:val="FFFFFF"/>
                <w:sz w:val="20"/>
                <w:szCs w:val="24"/>
                <w:lang w:eastAsia="sk-SK"/>
              </w:rPr>
              <w:t> </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EB712C" w:rsidP="00A70AF6">
            <w:pPr>
              <w:rPr>
                <w:rFonts w:ascii="Arial Narrow" w:hAnsi="Arial Narrow" w:cs="Arial Narrow"/>
                <w:b/>
                <w:sz w:val="20"/>
                <w:szCs w:val="24"/>
                <w:lang w:eastAsia="sk-SK"/>
              </w:rPr>
            </w:pPr>
            <w:r w:rsidRPr="00EB712C">
              <w:rPr>
                <w:rFonts w:ascii="Arial Narrow" w:hAnsi="Arial Narrow" w:cs="Arial Narrow"/>
                <w:b/>
                <w:sz w:val="20"/>
                <w:szCs w:val="24"/>
                <w:lang w:eastAsia="sk-SK"/>
              </w:rPr>
              <w:t>Zdroje kapitoly na vzdelávanie</w:t>
            </w:r>
          </w:p>
        </w:tc>
        <w:tc>
          <w:tcPr>
            <w:tcW w:w="1271"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2 170 268</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2 348 232</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2 381 136</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2 401 470</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z toho:</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 </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 </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 </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 </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 xml:space="preserve">rozpočtové zdroje kapitoly (domáce) </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1 915 829</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1 925 196</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1 915 430</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1 939 802</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 xml:space="preserve">zdroje EÚ vrátane spolufinancovania: </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254 439</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423 036</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465 706</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461 668</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v tom: 1. programovacie obdobie</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 xml:space="preserve">           2. programovacie obdobie</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254 439</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423 036</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465 706</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461 668</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iné mimorozpočtové zdroje</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b/>
                <w:sz w:val="20"/>
                <w:szCs w:val="24"/>
                <w:lang w:eastAsia="sk-SK"/>
              </w:rPr>
            </w:pPr>
            <w:r w:rsidRPr="00EB712C">
              <w:rPr>
                <w:rFonts w:ascii="Arial Narrow" w:hAnsi="Arial Narrow" w:cs="Arial Narrow"/>
                <w:b/>
                <w:sz w:val="20"/>
                <w:szCs w:val="24"/>
                <w:lang w:eastAsia="sk-SK"/>
              </w:rPr>
              <w:t>Ďalšie verejné zdroje</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rezortné vzdelávanie*</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45 936</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42 844</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41 772</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41 772</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MVRR SR - ŠF na školskú infraštruktúru</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34 600</w:t>
            </w:r>
          </w:p>
        </w:tc>
        <w:tc>
          <w:tcPr>
            <w:tcW w:w="127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62 896</w:t>
            </w:r>
          </w:p>
        </w:tc>
        <w:tc>
          <w:tcPr>
            <w:tcW w:w="1272" w:type="dxa"/>
            <w:tcBorders>
              <w:top w:val="nil"/>
              <w:left w:val="nil"/>
              <w:bottom w:val="single" w:sz="4" w:space="0" w:color="auto"/>
              <w:right w:val="nil"/>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83 594</w:t>
            </w:r>
          </w:p>
        </w:tc>
        <w:tc>
          <w:tcPr>
            <w:tcW w:w="1272" w:type="dxa"/>
            <w:tcBorders>
              <w:top w:val="nil"/>
              <w:left w:val="single" w:sz="4" w:space="0" w:color="auto"/>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83 594</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zdroje územnej samosprávy</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585 282</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578 770</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670 996</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721 759</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zdroje verejných vysokých škôl</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62 641</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70 338</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70 013</w:t>
            </w:r>
          </w:p>
        </w:tc>
        <w:tc>
          <w:tcPr>
            <w:tcW w:w="1272" w:type="dxa"/>
            <w:tcBorders>
              <w:top w:val="nil"/>
              <w:left w:val="single" w:sz="4" w:space="0" w:color="auto"/>
              <w:bottom w:val="single" w:sz="4" w:space="0" w:color="auto"/>
              <w:right w:val="single" w:sz="8"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69 530</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EB712C" w:rsidP="00A70AF6">
            <w:pPr>
              <w:rPr>
                <w:rFonts w:ascii="Arial Narrow" w:hAnsi="Arial Narrow" w:cs="Arial Narrow"/>
                <w:b/>
                <w:sz w:val="20"/>
                <w:szCs w:val="24"/>
                <w:lang w:eastAsia="sk-SK"/>
              </w:rPr>
            </w:pPr>
            <w:r w:rsidRPr="00EB712C">
              <w:rPr>
                <w:rFonts w:ascii="Arial Narrow" w:hAnsi="Arial Narrow" w:cs="Arial Narrow"/>
                <w:b/>
                <w:sz w:val="20"/>
                <w:szCs w:val="24"/>
                <w:lang w:eastAsia="sk-SK"/>
              </w:rPr>
              <w:t xml:space="preserve">Verejné zdroje spolu </w:t>
            </w:r>
          </w:p>
        </w:tc>
        <w:tc>
          <w:tcPr>
            <w:tcW w:w="1271"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2 898 726</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3 103 080</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3 247 511</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3 318 125</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medziročná zmena v %</w:t>
            </w:r>
          </w:p>
        </w:tc>
        <w:tc>
          <w:tcPr>
            <w:tcW w:w="127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15,05</w:t>
            </w:r>
          </w:p>
        </w:tc>
        <w:tc>
          <w:tcPr>
            <w:tcW w:w="127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7,05</w:t>
            </w:r>
          </w:p>
        </w:tc>
        <w:tc>
          <w:tcPr>
            <w:tcW w:w="1272" w:type="dxa"/>
            <w:tcBorders>
              <w:top w:val="nil"/>
              <w:left w:val="nil"/>
              <w:bottom w:val="single" w:sz="4" w:space="0" w:color="auto"/>
              <w:right w:val="nil"/>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4,65</w:t>
            </w:r>
          </w:p>
        </w:tc>
        <w:tc>
          <w:tcPr>
            <w:tcW w:w="1272" w:type="dxa"/>
            <w:tcBorders>
              <w:top w:val="nil"/>
              <w:left w:val="single" w:sz="4" w:space="0" w:color="auto"/>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2,17</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 xml:space="preserve">súkromné zdroje regionálneho školstva </w:t>
            </w:r>
          </w:p>
        </w:tc>
        <w:tc>
          <w:tcPr>
            <w:tcW w:w="1271"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72" w:type="dxa"/>
            <w:tcBorders>
              <w:top w:val="nil"/>
              <w:left w:val="nil"/>
              <w:bottom w:val="single" w:sz="4" w:space="0" w:color="auto"/>
              <w:right w:val="single" w:sz="4" w:space="0" w:color="auto"/>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72" w:type="dxa"/>
            <w:tcBorders>
              <w:top w:val="nil"/>
              <w:left w:val="nil"/>
              <w:bottom w:val="single" w:sz="4" w:space="0" w:color="auto"/>
              <w:right w:val="nil"/>
            </w:tcBorders>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72" w:type="dxa"/>
            <w:tcBorders>
              <w:top w:val="nil"/>
              <w:left w:val="single" w:sz="4" w:space="0" w:color="auto"/>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granty zo zahraničia VVŠ</w:t>
            </w:r>
          </w:p>
        </w:tc>
        <w:tc>
          <w:tcPr>
            <w:tcW w:w="127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1 374</w:t>
            </w:r>
          </w:p>
        </w:tc>
        <w:tc>
          <w:tcPr>
            <w:tcW w:w="127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3 895</w:t>
            </w:r>
          </w:p>
        </w:tc>
        <w:tc>
          <w:tcPr>
            <w:tcW w:w="1272" w:type="dxa"/>
            <w:tcBorders>
              <w:top w:val="nil"/>
              <w:left w:val="nil"/>
              <w:bottom w:val="single" w:sz="4" w:space="0" w:color="auto"/>
              <w:right w:val="nil"/>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3 895</w:t>
            </w:r>
          </w:p>
        </w:tc>
        <w:tc>
          <w:tcPr>
            <w:tcW w:w="1272" w:type="dxa"/>
            <w:tcBorders>
              <w:top w:val="nil"/>
              <w:left w:val="single" w:sz="4" w:space="0" w:color="auto"/>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3 895</w:t>
            </w:r>
          </w:p>
        </w:tc>
      </w:tr>
      <w:tr>
        <w:tblPrEx>
          <w:tblW w:w="9087" w:type="dxa"/>
          <w:tblInd w:w="55" w:type="dxa"/>
          <w:tblLayout w:type="fixed"/>
          <w:tblCellMar>
            <w:left w:w="70" w:type="dxa"/>
            <w:right w:w="70" w:type="dxa"/>
          </w:tblCellMar>
          <w:tblLook w:val="00A0"/>
        </w:tblPrEx>
        <w:trPr>
          <w:trHeight w:val="255"/>
        </w:trPr>
        <w:tc>
          <w:tcPr>
            <w:tcW w:w="400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EB712C" w:rsidP="00A70AF6">
            <w:pPr>
              <w:rPr>
                <w:rFonts w:ascii="Arial Narrow" w:hAnsi="Arial Narrow" w:cs="Arial Narrow"/>
                <w:b/>
                <w:sz w:val="20"/>
                <w:szCs w:val="24"/>
                <w:lang w:eastAsia="sk-SK"/>
              </w:rPr>
            </w:pPr>
            <w:r w:rsidRPr="00EB712C">
              <w:rPr>
                <w:rFonts w:ascii="Arial Narrow" w:hAnsi="Arial Narrow" w:cs="Arial Narrow"/>
                <w:b/>
                <w:sz w:val="20"/>
                <w:szCs w:val="24"/>
                <w:lang w:eastAsia="sk-SK"/>
              </w:rPr>
              <w:t xml:space="preserve">Celkové zdroje na vzdelávanie** </w:t>
            </w:r>
          </w:p>
        </w:tc>
        <w:tc>
          <w:tcPr>
            <w:tcW w:w="1271"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2 979 766</w:t>
            </w:r>
          </w:p>
        </w:tc>
        <w:tc>
          <w:tcPr>
            <w:tcW w:w="1272" w:type="dxa"/>
            <w:tcBorders>
              <w:top w:val="nil"/>
              <w:left w:val="nil"/>
              <w:bottom w:val="single" w:sz="4" w:space="0" w:color="auto"/>
              <w:right w:val="single" w:sz="4"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3 186 640</w:t>
            </w:r>
          </w:p>
        </w:tc>
        <w:tc>
          <w:tcPr>
            <w:tcW w:w="1272" w:type="dxa"/>
            <w:tcBorders>
              <w:top w:val="nil"/>
              <w:left w:val="nil"/>
              <w:bottom w:val="single" w:sz="4" w:space="0" w:color="auto"/>
              <w:right w:val="nil"/>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3 331 071</w:t>
            </w:r>
          </w:p>
        </w:tc>
        <w:tc>
          <w:tcPr>
            <w:tcW w:w="1272" w:type="dxa"/>
            <w:tcBorders>
              <w:top w:val="nil"/>
              <w:left w:val="single" w:sz="4" w:space="0" w:color="auto"/>
              <w:bottom w:val="single" w:sz="4" w:space="0" w:color="auto"/>
              <w:right w:val="single" w:sz="8" w:space="0" w:color="auto"/>
            </w:tcBorders>
            <w:shd w:val="clear" w:color="000000"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3 401 685</w:t>
            </w:r>
          </w:p>
        </w:tc>
      </w:tr>
      <w:tr>
        <w:tblPrEx>
          <w:tblW w:w="9087" w:type="dxa"/>
          <w:tblInd w:w="55" w:type="dxa"/>
          <w:tblLayout w:type="fixed"/>
          <w:tblCellMar>
            <w:left w:w="70" w:type="dxa"/>
            <w:right w:w="70" w:type="dxa"/>
          </w:tblCellMar>
          <w:tblLook w:val="00A0"/>
        </w:tblPrEx>
        <w:trPr>
          <w:trHeight w:val="270"/>
        </w:trPr>
        <w:tc>
          <w:tcPr>
            <w:tcW w:w="4000" w:type="dxa"/>
            <w:tcBorders>
              <w:top w:val="nil"/>
              <w:left w:val="single" w:sz="8" w:space="0" w:color="auto"/>
              <w:bottom w:val="single" w:sz="8" w:space="0" w:color="auto"/>
              <w:right w:val="single" w:sz="4" w:space="0" w:color="auto"/>
            </w:tcBorders>
            <w:noWrap/>
            <w:textDirection w:val="lrTb"/>
            <w:vAlign w:val="bottom"/>
          </w:tcPr>
          <w:p w:rsidR="00312541" w:rsidRPr="00EB712C" w:rsidP="00A70AF6">
            <w:pPr>
              <w:rPr>
                <w:rFonts w:ascii="Arial Narrow" w:hAnsi="Arial Narrow" w:cs="Arial Narrow"/>
                <w:sz w:val="20"/>
                <w:szCs w:val="24"/>
                <w:lang w:eastAsia="sk-SK"/>
              </w:rPr>
            </w:pPr>
            <w:r w:rsidRPr="00EB712C">
              <w:rPr>
                <w:rFonts w:ascii="Arial Narrow" w:hAnsi="Arial Narrow" w:cs="Arial Narrow"/>
                <w:sz w:val="20"/>
                <w:szCs w:val="24"/>
                <w:lang w:eastAsia="sk-SK"/>
              </w:rPr>
              <w:t>medziročná zmena v %</w:t>
            </w:r>
          </w:p>
        </w:tc>
        <w:tc>
          <w:tcPr>
            <w:tcW w:w="1271"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14,50</w:t>
            </w:r>
          </w:p>
        </w:tc>
        <w:tc>
          <w:tcPr>
            <w:tcW w:w="1272"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6,94</w:t>
            </w:r>
          </w:p>
        </w:tc>
        <w:tc>
          <w:tcPr>
            <w:tcW w:w="1272" w:type="dxa"/>
            <w:tcBorders>
              <w:top w:val="nil"/>
              <w:left w:val="nil"/>
              <w:bottom w:val="single" w:sz="8" w:space="0" w:color="auto"/>
              <w:right w:val="nil"/>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4,53</w:t>
            </w:r>
          </w:p>
        </w:tc>
        <w:tc>
          <w:tcPr>
            <w:tcW w:w="1272" w:type="dxa"/>
            <w:tcBorders>
              <w:top w:val="nil"/>
              <w:left w:val="single" w:sz="4" w:space="0" w:color="auto"/>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2,12</w:t>
            </w:r>
          </w:p>
        </w:tc>
      </w:tr>
    </w:tbl>
    <w:p w:rsidR="00312541" w:rsidRPr="005D365D" w:rsidP="00312541">
      <w:pPr>
        <w:rPr>
          <w:rFonts w:ascii="Arial Narrow" w:hAnsi="Arial Narrow" w:cs="Arial Narrow"/>
          <w:sz w:val="16"/>
          <w:szCs w:val="24"/>
        </w:rPr>
      </w:pPr>
      <w:r w:rsidRPr="005D365D">
        <w:rPr>
          <w:rFonts w:ascii="Arial Narrow" w:hAnsi="Arial Narrow" w:cs="Arial Narrow"/>
          <w:sz w:val="16"/>
          <w:szCs w:val="24"/>
        </w:rPr>
        <w:t>* rezortné vzdelávanie (štátne vysoké školy MO SR, MV SR a MZ SR a stredné školy  MV SR</w:t>
      </w:r>
      <w:r>
        <w:rPr>
          <w:rFonts w:ascii="Arial Narrow" w:hAnsi="Arial Narrow" w:cs="Arial Narrow"/>
          <w:sz w:val="16"/>
          <w:szCs w:val="24"/>
        </w:rPr>
        <w:t>, MK SR</w:t>
      </w:r>
      <w:r w:rsidRPr="005D365D">
        <w:rPr>
          <w:rFonts w:ascii="Arial Narrow" w:hAnsi="Arial Narrow" w:cs="Arial Narrow"/>
          <w:sz w:val="16"/>
          <w:szCs w:val="24"/>
        </w:rPr>
        <w:t>)</w:t>
      </w:r>
    </w:p>
    <w:p w:rsidR="00312541" w:rsidRPr="00335AD8" w:rsidP="00312541">
      <w:pPr>
        <w:jc w:val="both"/>
        <w:rPr>
          <w:rFonts w:ascii="Arial Narrow" w:hAnsi="Arial Narrow" w:cs="Arial Narrow"/>
          <w:sz w:val="16"/>
          <w:szCs w:val="24"/>
        </w:rPr>
      </w:pPr>
      <w:r w:rsidRPr="00335AD8">
        <w:rPr>
          <w:rFonts w:ascii="Arial Narrow" w:hAnsi="Arial Narrow" w:cs="Arial Narrow"/>
          <w:sz w:val="16"/>
          <w:szCs w:val="24"/>
        </w:rPr>
        <w:t>** bez</w:t>
      </w:r>
      <w:r>
        <w:rPr>
          <w:rFonts w:ascii="Arial Narrow" w:hAnsi="Arial Narrow" w:cs="Arial Narrow"/>
          <w:sz w:val="16"/>
          <w:szCs w:val="24"/>
        </w:rPr>
        <w:t xml:space="preserve"> zdrojov</w:t>
      </w:r>
      <w:r w:rsidRPr="00335AD8">
        <w:rPr>
          <w:rFonts w:ascii="Arial Narrow" w:hAnsi="Arial Narrow" w:cs="Arial Narrow"/>
          <w:sz w:val="16"/>
          <w:szCs w:val="24"/>
        </w:rPr>
        <w:t xml:space="preserve"> súkromných vysokých škôl</w:t>
      </w:r>
    </w:p>
    <w:p w:rsidR="00312541" w:rsidRPr="003F5E5F" w:rsidP="00312541">
      <w:pPr>
        <w:jc w:val="both"/>
        <w:rPr>
          <w:rFonts w:ascii="Arial Narrow" w:hAnsi="Arial Narrow" w:cs="Arial Narrow"/>
          <w:sz w:val="22"/>
          <w:szCs w:val="24"/>
        </w:rPr>
      </w:pPr>
    </w:p>
    <w:p w:rsidR="00312541" w:rsidRPr="003F5E5F" w:rsidP="00312541">
      <w:pPr>
        <w:jc w:val="both"/>
        <w:rPr>
          <w:rFonts w:ascii="Arial Narrow" w:hAnsi="Arial Narrow" w:cs="Arial Narrow"/>
          <w:sz w:val="22"/>
          <w:szCs w:val="24"/>
        </w:rPr>
      </w:pPr>
      <w:r w:rsidRPr="003F5E5F">
        <w:rPr>
          <w:rFonts w:ascii="Arial Narrow" w:hAnsi="Arial Narrow" w:cs="Arial Narrow"/>
          <w:sz w:val="22"/>
          <w:szCs w:val="24"/>
        </w:rPr>
        <w:tab/>
      </w:r>
      <w:r w:rsidRPr="003F5E5F">
        <w:rPr>
          <w:rFonts w:ascii="Arial Narrow" w:hAnsi="Arial Narrow" w:cs="Arial Narrow"/>
          <w:b/>
          <w:sz w:val="22"/>
          <w:szCs w:val="24"/>
        </w:rPr>
        <w:t>Verejné zdroje</w:t>
      </w:r>
      <w:r w:rsidRPr="003F5E5F">
        <w:rPr>
          <w:rFonts w:ascii="Arial Narrow" w:hAnsi="Arial Narrow" w:cs="Arial Narrow"/>
          <w:sz w:val="22"/>
          <w:szCs w:val="24"/>
        </w:rPr>
        <w:t xml:space="preserve"> </w:t>
      </w:r>
      <w:r w:rsidR="00542EC0">
        <w:rPr>
          <w:rFonts w:ascii="Arial Narrow" w:hAnsi="Arial Narrow" w:cs="Arial Narrow"/>
          <w:sz w:val="22"/>
          <w:szCs w:val="24"/>
        </w:rPr>
        <w:t xml:space="preserve">na vzdelávanie </w:t>
      </w:r>
      <w:r>
        <w:rPr>
          <w:rFonts w:ascii="Arial Narrow" w:hAnsi="Arial Narrow" w:cs="Arial Narrow"/>
          <w:sz w:val="22"/>
          <w:szCs w:val="24"/>
        </w:rPr>
        <w:t xml:space="preserve">spolu </w:t>
      </w:r>
      <w:r w:rsidRPr="003F5E5F">
        <w:rPr>
          <w:rFonts w:ascii="Arial Narrow" w:hAnsi="Arial Narrow" w:cs="Arial Narrow"/>
          <w:b/>
          <w:sz w:val="22"/>
          <w:szCs w:val="24"/>
        </w:rPr>
        <w:t>rastú</w:t>
      </w:r>
      <w:r>
        <w:rPr>
          <w:rFonts w:ascii="Arial Narrow" w:hAnsi="Arial Narrow" w:cs="Arial Narrow"/>
          <w:sz w:val="22"/>
          <w:szCs w:val="24"/>
        </w:rPr>
        <w:t xml:space="preserve"> v roku 2010 oproti predchádzajúcemu roku </w:t>
      </w:r>
      <w:r w:rsidRPr="003F5E5F">
        <w:rPr>
          <w:rFonts w:ascii="Arial Narrow" w:hAnsi="Arial Narrow" w:cs="Arial Narrow"/>
          <w:b/>
          <w:sz w:val="22"/>
          <w:szCs w:val="24"/>
        </w:rPr>
        <w:t>o 7,05</w:t>
      </w:r>
      <w:r>
        <w:rPr>
          <w:rFonts w:ascii="Arial Narrow" w:hAnsi="Arial Narrow" w:cs="Arial Narrow"/>
          <w:b/>
          <w:sz w:val="22"/>
          <w:szCs w:val="24"/>
        </w:rPr>
        <w:t xml:space="preserve"> </w:t>
      </w:r>
      <w:r w:rsidRPr="003F5E5F">
        <w:rPr>
          <w:rFonts w:ascii="Arial Narrow" w:hAnsi="Arial Narrow" w:cs="Arial Narrow"/>
          <w:b/>
          <w:sz w:val="22"/>
          <w:szCs w:val="24"/>
        </w:rPr>
        <w:t>%</w:t>
      </w:r>
      <w:r>
        <w:rPr>
          <w:rFonts w:ascii="Arial Narrow" w:hAnsi="Arial Narrow" w:cs="Arial Narrow"/>
          <w:sz w:val="22"/>
          <w:szCs w:val="24"/>
        </w:rPr>
        <w:t xml:space="preserve"> a </w:t>
      </w:r>
      <w:r w:rsidRPr="003F5E5F">
        <w:rPr>
          <w:rFonts w:ascii="Arial Narrow" w:hAnsi="Arial Narrow" w:cs="Arial Narrow"/>
          <w:b/>
          <w:sz w:val="22"/>
          <w:szCs w:val="24"/>
        </w:rPr>
        <w:t>celkové zdroje</w:t>
      </w:r>
      <w:r>
        <w:rPr>
          <w:rFonts w:ascii="Arial Narrow" w:hAnsi="Arial Narrow" w:cs="Arial Narrow"/>
          <w:sz w:val="22"/>
          <w:szCs w:val="24"/>
        </w:rPr>
        <w:t xml:space="preserve"> </w:t>
      </w:r>
      <w:r w:rsidRPr="003F5E5F">
        <w:rPr>
          <w:rFonts w:ascii="Arial Narrow" w:hAnsi="Arial Narrow" w:cs="Arial Narrow"/>
          <w:b/>
          <w:sz w:val="22"/>
          <w:szCs w:val="24"/>
        </w:rPr>
        <w:t>rastú o 6,94</w:t>
      </w:r>
      <w:r>
        <w:rPr>
          <w:rFonts w:ascii="Arial Narrow" w:hAnsi="Arial Narrow" w:cs="Arial Narrow"/>
          <w:b/>
          <w:sz w:val="22"/>
          <w:szCs w:val="24"/>
        </w:rPr>
        <w:t xml:space="preserve"> </w:t>
      </w:r>
      <w:r w:rsidRPr="003F5E5F">
        <w:rPr>
          <w:rFonts w:ascii="Arial Narrow" w:hAnsi="Arial Narrow" w:cs="Arial Narrow"/>
          <w:b/>
          <w:sz w:val="22"/>
          <w:szCs w:val="24"/>
        </w:rPr>
        <w:t>%</w:t>
      </w:r>
      <w:r>
        <w:rPr>
          <w:rFonts w:ascii="Arial Narrow" w:hAnsi="Arial Narrow" w:cs="Arial Narrow"/>
          <w:sz w:val="22"/>
          <w:szCs w:val="24"/>
        </w:rPr>
        <w:t>.</w:t>
      </w:r>
    </w:p>
    <w:p w:rsidR="00312541" w:rsidP="00312541">
      <w:pPr>
        <w:jc w:val="both"/>
        <w:rPr>
          <w:rFonts w:ascii="Arial Narrow" w:hAnsi="Arial Narrow" w:cs="Arial Narrow"/>
          <w:sz w:val="22"/>
          <w:szCs w:val="24"/>
        </w:rPr>
      </w:pPr>
    </w:p>
    <w:p w:rsidR="00312541" w:rsidRPr="003F5E5F" w:rsidP="00312541">
      <w:pPr>
        <w:jc w:val="both"/>
        <w:rPr>
          <w:rFonts w:ascii="Arial Narrow" w:hAnsi="Arial Narrow" w:cs="Arial Narrow"/>
          <w:sz w:val="22"/>
          <w:szCs w:val="24"/>
        </w:rPr>
      </w:pPr>
    </w:p>
    <w:p w:rsidR="00312541" w:rsidP="00312541">
      <w:pPr>
        <w:jc w:val="both"/>
        <w:rPr>
          <w:rFonts w:ascii="Arial Narrow" w:hAnsi="Arial Narrow" w:cs="Arial Narrow"/>
          <w:b/>
          <w:sz w:val="22"/>
          <w:szCs w:val="24"/>
        </w:rPr>
      </w:pPr>
      <w:r w:rsidRPr="00637D84">
        <w:rPr>
          <w:rFonts w:ascii="Arial Narrow" w:hAnsi="Arial Narrow" w:cs="Arial Narrow"/>
          <w:b/>
          <w:sz w:val="22"/>
          <w:szCs w:val="24"/>
        </w:rPr>
        <w:t>Regionálne školstvo</w:t>
      </w:r>
    </w:p>
    <w:p w:rsidR="00312541" w:rsidP="00312541">
      <w:pPr>
        <w:jc w:val="both"/>
        <w:rPr>
          <w:rFonts w:ascii="Arial Narrow" w:hAnsi="Arial Narrow" w:cs="Arial Narrow"/>
          <w:b/>
          <w:sz w:val="22"/>
          <w:szCs w:val="24"/>
        </w:rPr>
      </w:pPr>
    </w:p>
    <w:tbl>
      <w:tblPr>
        <w:tblStyle w:val="TableNormal"/>
        <w:tblW w:w="9087" w:type="dxa"/>
        <w:tblInd w:w="55" w:type="dxa"/>
        <w:tblLayout w:type="fixed"/>
        <w:tblCellMar>
          <w:left w:w="70" w:type="dxa"/>
          <w:right w:w="70" w:type="dxa"/>
        </w:tblCellMar>
        <w:tblLook w:val="00A0"/>
      </w:tblPr>
      <w:tblGrid>
        <w:gridCol w:w="4080"/>
        <w:gridCol w:w="1251"/>
        <w:gridCol w:w="1252"/>
        <w:gridCol w:w="1252"/>
        <w:gridCol w:w="1252"/>
      </w:tblGrid>
      <w:tr>
        <w:tblPrEx>
          <w:tblW w:w="9087" w:type="dxa"/>
          <w:tblInd w:w="55" w:type="dxa"/>
          <w:tblLayout w:type="fixed"/>
          <w:tblCellMar>
            <w:left w:w="70" w:type="dxa"/>
            <w:right w:w="70" w:type="dxa"/>
          </w:tblCellMar>
          <w:tblLook w:val="00A0"/>
        </w:tblPrEx>
        <w:trPr>
          <w:trHeight w:val="255"/>
        </w:trPr>
        <w:tc>
          <w:tcPr>
            <w:tcW w:w="4080" w:type="dxa"/>
            <w:tcBorders>
              <w:top w:val="single" w:sz="8" w:space="0" w:color="auto"/>
              <w:left w:val="single" w:sz="8" w:space="0" w:color="auto"/>
              <w:bottom w:val="single" w:sz="4" w:space="0" w:color="auto"/>
              <w:right w:val="single" w:sz="4" w:space="0" w:color="auto"/>
            </w:tcBorders>
            <w:shd w:val="clear" w:color="000000" w:fill="000000"/>
            <w:noWrap/>
            <w:textDirection w:val="lrTb"/>
            <w:vAlign w:val="center"/>
          </w:tcPr>
          <w:p w:rsidR="00312541" w:rsidRPr="00C07A49" w:rsidP="00A70AF6">
            <w:pPr>
              <w:rPr>
                <w:rFonts w:ascii="Arial Narrow" w:hAnsi="Arial Narrow" w:cs="Arial Narrow"/>
                <w:b/>
                <w:color w:val="FFFFFF"/>
                <w:sz w:val="20"/>
                <w:szCs w:val="24"/>
                <w:lang w:eastAsia="sk-SK"/>
              </w:rPr>
            </w:pPr>
            <w:r w:rsidRPr="00C07A49">
              <w:rPr>
                <w:rFonts w:ascii="Arial Narrow" w:hAnsi="Arial Narrow" w:cs="Arial Narrow"/>
                <w:b/>
                <w:color w:val="FFFFFF"/>
                <w:sz w:val="20"/>
                <w:szCs w:val="24"/>
                <w:lang w:eastAsia="sk-SK"/>
              </w:rPr>
              <w:t>(v tis. eur)</w:t>
            </w:r>
          </w:p>
        </w:tc>
        <w:tc>
          <w:tcPr>
            <w:tcW w:w="1251" w:type="dxa"/>
            <w:tcBorders>
              <w:top w:val="single" w:sz="8" w:space="0" w:color="auto"/>
              <w:left w:val="nil"/>
              <w:bottom w:val="single" w:sz="4" w:space="0" w:color="auto"/>
              <w:right w:val="single" w:sz="4" w:space="0" w:color="auto"/>
            </w:tcBorders>
            <w:shd w:val="clear" w:color="000000" w:fill="000000"/>
            <w:textDirection w:val="lrTb"/>
            <w:vAlign w:val="center"/>
          </w:tcPr>
          <w:p w:rsidR="00312541" w:rsidRPr="00C07A49" w:rsidP="00A70AF6">
            <w:pPr>
              <w:jc w:val="center"/>
              <w:rPr>
                <w:rFonts w:ascii="Arial Narrow" w:hAnsi="Arial Narrow" w:cs="Arial Narrow"/>
                <w:b/>
                <w:color w:val="FFFFFF"/>
                <w:sz w:val="20"/>
                <w:szCs w:val="24"/>
                <w:lang w:eastAsia="sk-SK"/>
              </w:rPr>
            </w:pPr>
            <w:r w:rsidRPr="00C07A49">
              <w:rPr>
                <w:rFonts w:ascii="Arial Narrow" w:hAnsi="Arial Narrow" w:cs="Arial Narrow"/>
                <w:b/>
                <w:color w:val="FFFFFF"/>
                <w:sz w:val="20"/>
                <w:szCs w:val="24"/>
                <w:lang w:eastAsia="sk-SK"/>
              </w:rPr>
              <w:t>2009</w:t>
            </w:r>
          </w:p>
        </w:tc>
        <w:tc>
          <w:tcPr>
            <w:tcW w:w="1252" w:type="dxa"/>
            <w:tcBorders>
              <w:top w:val="single" w:sz="8" w:space="0" w:color="auto"/>
              <w:left w:val="nil"/>
              <w:bottom w:val="single" w:sz="4" w:space="0" w:color="auto"/>
              <w:right w:val="single" w:sz="4" w:space="0" w:color="auto"/>
            </w:tcBorders>
            <w:shd w:val="clear" w:color="000000" w:fill="000000"/>
            <w:textDirection w:val="lrTb"/>
            <w:vAlign w:val="center"/>
          </w:tcPr>
          <w:p w:rsidR="00312541" w:rsidRPr="00C07A49" w:rsidP="00A70AF6">
            <w:pPr>
              <w:jc w:val="center"/>
              <w:rPr>
                <w:rFonts w:ascii="Arial Narrow" w:hAnsi="Arial Narrow" w:cs="Arial Narrow"/>
                <w:b/>
                <w:color w:val="FFFFFF"/>
                <w:sz w:val="20"/>
                <w:szCs w:val="24"/>
                <w:lang w:eastAsia="sk-SK"/>
              </w:rPr>
            </w:pPr>
            <w:r w:rsidRPr="00C07A49">
              <w:rPr>
                <w:rFonts w:ascii="Arial Narrow" w:hAnsi="Arial Narrow" w:cs="Arial Narrow"/>
                <w:b/>
                <w:color w:val="FFFFFF"/>
                <w:sz w:val="20"/>
                <w:szCs w:val="24"/>
                <w:lang w:eastAsia="sk-SK"/>
              </w:rPr>
              <w:t>2010</w:t>
            </w:r>
          </w:p>
        </w:tc>
        <w:tc>
          <w:tcPr>
            <w:tcW w:w="1252" w:type="dxa"/>
            <w:tcBorders>
              <w:top w:val="single" w:sz="8" w:space="0" w:color="auto"/>
              <w:left w:val="nil"/>
              <w:bottom w:val="single" w:sz="4" w:space="0" w:color="auto"/>
              <w:right w:val="single" w:sz="4" w:space="0" w:color="auto"/>
            </w:tcBorders>
            <w:shd w:val="clear" w:color="000000" w:fill="000000"/>
            <w:textDirection w:val="lrTb"/>
            <w:vAlign w:val="center"/>
          </w:tcPr>
          <w:p w:rsidR="00312541" w:rsidRPr="00C07A49" w:rsidP="00A70AF6">
            <w:pPr>
              <w:jc w:val="center"/>
              <w:rPr>
                <w:rFonts w:ascii="Arial Narrow" w:hAnsi="Arial Narrow" w:cs="Arial Narrow"/>
                <w:b/>
                <w:color w:val="FFFFFF"/>
                <w:sz w:val="20"/>
                <w:szCs w:val="24"/>
                <w:lang w:eastAsia="sk-SK"/>
              </w:rPr>
            </w:pPr>
            <w:r w:rsidRPr="00C07A49">
              <w:rPr>
                <w:rFonts w:ascii="Arial Narrow" w:hAnsi="Arial Narrow" w:cs="Arial Narrow"/>
                <w:b/>
                <w:color w:val="FFFFFF"/>
                <w:sz w:val="20"/>
                <w:szCs w:val="24"/>
                <w:lang w:eastAsia="sk-SK"/>
              </w:rPr>
              <w:t>2011</w:t>
            </w:r>
          </w:p>
        </w:tc>
        <w:tc>
          <w:tcPr>
            <w:tcW w:w="1252" w:type="dxa"/>
            <w:tcBorders>
              <w:top w:val="single" w:sz="8" w:space="0" w:color="auto"/>
              <w:left w:val="nil"/>
              <w:bottom w:val="single" w:sz="4" w:space="0" w:color="auto"/>
              <w:right w:val="single" w:sz="8" w:space="0" w:color="auto"/>
            </w:tcBorders>
            <w:shd w:val="clear" w:color="000000" w:fill="000000"/>
            <w:textDirection w:val="lrTb"/>
            <w:vAlign w:val="center"/>
          </w:tcPr>
          <w:p w:rsidR="00312541" w:rsidRPr="00C07A49" w:rsidP="00A70AF6">
            <w:pPr>
              <w:jc w:val="center"/>
              <w:rPr>
                <w:rFonts w:ascii="Arial Narrow" w:hAnsi="Arial Narrow" w:cs="Arial Narrow"/>
                <w:b/>
                <w:color w:val="FFFFFF"/>
                <w:sz w:val="20"/>
                <w:szCs w:val="24"/>
                <w:lang w:eastAsia="sk-SK"/>
              </w:rPr>
            </w:pPr>
            <w:r w:rsidRPr="00C07A49">
              <w:rPr>
                <w:rFonts w:ascii="Arial Narrow" w:hAnsi="Arial Narrow" w:cs="Arial Narrow"/>
                <w:b/>
                <w:color w:val="FFFFFF"/>
                <w:sz w:val="20"/>
                <w:szCs w:val="24"/>
                <w:lang w:eastAsia="sk-SK"/>
              </w:rPr>
              <w:t>2012</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Normatívne výdavky cez MŠ SR</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1 208 304</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1 204 783</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1 253 775</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1 305 612</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 xml:space="preserve">Nenormatívne  výdavky cez MŠ SR </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72 067</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68 070</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67 703</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68 390</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Administratívne výdavky MŠ SR</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29 783</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23 005</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22 818</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22 511</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Výdavky na štipendiá cez MŠ SR</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3 589</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3 589</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3 589</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3 589</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 xml:space="preserve">Ostatné kapitoly (MV SR) </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13 878</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15 445</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15 445</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15 445</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Výdavky štrukturálnych fondov (MVRR)</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34 600</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62 896</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83 594</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83 594</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Výdavky obcí a VÚC</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585 282</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578 770</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670 996</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721 759</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C07A49" w:rsidP="00A70AF6">
            <w:pPr>
              <w:rPr>
                <w:rFonts w:ascii="Arial Narrow" w:hAnsi="Arial Narrow" w:cs="Arial Narrow"/>
                <w:b/>
                <w:sz w:val="20"/>
                <w:szCs w:val="24"/>
                <w:lang w:eastAsia="sk-SK"/>
              </w:rPr>
            </w:pPr>
            <w:r w:rsidRPr="00C07A49">
              <w:rPr>
                <w:rFonts w:ascii="Arial Narrow" w:hAnsi="Arial Narrow" w:cs="Arial Narrow"/>
                <w:b/>
                <w:sz w:val="20"/>
                <w:szCs w:val="24"/>
                <w:lang w:eastAsia="sk-SK"/>
              </w:rPr>
              <w:t xml:space="preserve">Verejné výdavky spolu </w:t>
            </w:r>
          </w:p>
        </w:tc>
        <w:tc>
          <w:tcPr>
            <w:tcW w:w="1251"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1 947 505</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1 956 558</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2 117 921</w:t>
            </w:r>
          </w:p>
        </w:tc>
        <w:tc>
          <w:tcPr>
            <w:tcW w:w="1252" w:type="dxa"/>
            <w:tcBorders>
              <w:top w:val="nil"/>
              <w:left w:val="nil"/>
              <w:bottom w:val="single" w:sz="4" w:space="0" w:color="auto"/>
              <w:right w:val="single" w:sz="8"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2 220 900</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C07A49" w:rsidP="00A70AF6">
            <w:pPr>
              <w:rPr>
                <w:rFonts w:ascii="Arial Narrow" w:hAnsi="Arial Narrow" w:cs="Arial Narrow"/>
                <w:sz w:val="20"/>
                <w:szCs w:val="24"/>
                <w:lang w:eastAsia="sk-SK"/>
              </w:rPr>
            </w:pPr>
            <w:r w:rsidRPr="00C07A49">
              <w:rPr>
                <w:rFonts w:ascii="Arial Narrow" w:hAnsi="Arial Narrow" w:cs="Arial Narrow"/>
                <w:sz w:val="20"/>
                <w:szCs w:val="24"/>
                <w:lang w:eastAsia="sk-SK"/>
              </w:rPr>
              <w:t>Medziročná zmena rastu v %</w:t>
            </w:r>
          </w:p>
        </w:tc>
        <w:tc>
          <w:tcPr>
            <w:tcW w:w="1251"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8,17</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0,46</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8,25</w:t>
            </w:r>
          </w:p>
        </w:tc>
        <w:tc>
          <w:tcPr>
            <w:tcW w:w="1252" w:type="dxa"/>
            <w:tcBorders>
              <w:top w:val="nil"/>
              <w:left w:val="nil"/>
              <w:bottom w:val="single" w:sz="4" w:space="0" w:color="auto"/>
              <w:right w:val="single" w:sz="8" w:space="0" w:color="auto"/>
            </w:tcBorders>
            <w:shd w:val="clear" w:color="000000" w:fill="C0C0C0"/>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4,86</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noWrap/>
            <w:textDirection w:val="lrTb"/>
            <w:vAlign w:val="bottom"/>
          </w:tcPr>
          <w:p w:rsidR="00312541" w:rsidRPr="00C07A49" w:rsidP="00A70AF6">
            <w:pPr>
              <w:rPr>
                <w:rFonts w:ascii="Arial Narrow" w:hAnsi="Arial Narrow" w:cs="Arial Narrow"/>
                <w:sz w:val="20"/>
                <w:szCs w:val="24"/>
                <w:lang w:eastAsia="sk-SK"/>
              </w:rPr>
            </w:pPr>
            <w:r w:rsidRPr="00C07A49">
              <w:rPr>
                <w:rFonts w:ascii="Arial Narrow" w:hAnsi="Arial Narrow" w:cs="Arial Narrow"/>
                <w:sz w:val="20"/>
                <w:szCs w:val="24"/>
                <w:lang w:eastAsia="sk-SK"/>
              </w:rPr>
              <w:t xml:space="preserve">Súkromné zdroje regionálneho školstva </w:t>
            </w:r>
          </w:p>
        </w:tc>
        <w:tc>
          <w:tcPr>
            <w:tcW w:w="1251"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52"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c>
          <w:tcPr>
            <w:tcW w:w="1252"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79 665</w:t>
            </w:r>
          </w:p>
        </w:tc>
      </w:tr>
      <w:tr>
        <w:tblPrEx>
          <w:tblW w:w="9087" w:type="dxa"/>
          <w:tblInd w:w="55" w:type="dxa"/>
          <w:tblLayout w:type="fixed"/>
          <w:tblCellMar>
            <w:left w:w="70" w:type="dxa"/>
            <w:right w:w="70" w:type="dxa"/>
          </w:tblCellMar>
          <w:tblLook w:val="00A0"/>
        </w:tblPrEx>
        <w:trPr>
          <w:trHeight w:val="255"/>
        </w:trPr>
        <w:tc>
          <w:tcPr>
            <w:tcW w:w="408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C07A49" w:rsidP="00A70AF6">
            <w:pPr>
              <w:rPr>
                <w:rFonts w:ascii="Arial Narrow" w:hAnsi="Arial Narrow" w:cs="Arial Narrow"/>
                <w:b/>
                <w:sz w:val="20"/>
                <w:szCs w:val="24"/>
                <w:lang w:eastAsia="sk-SK"/>
              </w:rPr>
            </w:pPr>
            <w:r w:rsidRPr="00C07A49">
              <w:rPr>
                <w:rFonts w:ascii="Arial Narrow" w:hAnsi="Arial Narrow" w:cs="Arial Narrow"/>
                <w:b/>
                <w:sz w:val="20"/>
                <w:szCs w:val="24"/>
                <w:lang w:eastAsia="sk-SK"/>
              </w:rPr>
              <w:t>Celkové výdavky na regionálne školstvo</w:t>
            </w:r>
          </w:p>
        </w:tc>
        <w:tc>
          <w:tcPr>
            <w:tcW w:w="1251"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2 027 170</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2 036 223</w:t>
            </w:r>
          </w:p>
        </w:tc>
        <w:tc>
          <w:tcPr>
            <w:tcW w:w="1252"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2 197 586</w:t>
            </w:r>
          </w:p>
        </w:tc>
        <w:tc>
          <w:tcPr>
            <w:tcW w:w="1252" w:type="dxa"/>
            <w:tcBorders>
              <w:top w:val="nil"/>
              <w:left w:val="nil"/>
              <w:bottom w:val="single" w:sz="4" w:space="0" w:color="auto"/>
              <w:right w:val="single" w:sz="8"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2 300 565</w:t>
            </w:r>
          </w:p>
        </w:tc>
      </w:tr>
      <w:tr>
        <w:tblPrEx>
          <w:tblW w:w="9087" w:type="dxa"/>
          <w:tblInd w:w="55" w:type="dxa"/>
          <w:tblLayout w:type="fixed"/>
          <w:tblCellMar>
            <w:left w:w="70" w:type="dxa"/>
            <w:right w:w="70" w:type="dxa"/>
          </w:tblCellMar>
          <w:tblLook w:val="00A0"/>
        </w:tblPrEx>
        <w:trPr>
          <w:trHeight w:val="270"/>
        </w:trPr>
        <w:tc>
          <w:tcPr>
            <w:tcW w:w="4080" w:type="dxa"/>
            <w:tcBorders>
              <w:top w:val="nil"/>
              <w:left w:val="single" w:sz="8" w:space="0" w:color="auto"/>
              <w:bottom w:val="single" w:sz="8" w:space="0" w:color="auto"/>
              <w:right w:val="single" w:sz="4" w:space="0" w:color="auto"/>
            </w:tcBorders>
            <w:noWrap/>
            <w:textDirection w:val="lrTb"/>
            <w:vAlign w:val="bottom"/>
          </w:tcPr>
          <w:p w:rsidR="00312541" w:rsidRPr="00C07A49" w:rsidP="00A70AF6">
            <w:pPr>
              <w:rPr>
                <w:rFonts w:ascii="Arial Narrow" w:hAnsi="Arial Narrow" w:cs="Arial Narrow"/>
                <w:sz w:val="20"/>
                <w:szCs w:val="24"/>
                <w:lang w:eastAsia="sk-SK"/>
              </w:rPr>
            </w:pPr>
            <w:r w:rsidRPr="00C07A49">
              <w:rPr>
                <w:rFonts w:ascii="Arial Narrow" w:hAnsi="Arial Narrow" w:cs="Arial Narrow"/>
                <w:sz w:val="20"/>
                <w:szCs w:val="24"/>
                <w:lang w:eastAsia="sk-SK"/>
              </w:rPr>
              <w:t>Medziročná zmena rastu v %</w:t>
            </w:r>
          </w:p>
        </w:tc>
        <w:tc>
          <w:tcPr>
            <w:tcW w:w="1251"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9,75</w:t>
            </w:r>
          </w:p>
        </w:tc>
        <w:tc>
          <w:tcPr>
            <w:tcW w:w="1252"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0,45</w:t>
            </w:r>
          </w:p>
        </w:tc>
        <w:tc>
          <w:tcPr>
            <w:tcW w:w="1252"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7,92</w:t>
            </w:r>
          </w:p>
        </w:tc>
        <w:tc>
          <w:tcPr>
            <w:tcW w:w="1252"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4,69</w:t>
            </w:r>
          </w:p>
        </w:tc>
      </w:tr>
    </w:tbl>
    <w:p w:rsidR="00312541" w:rsidP="00312541">
      <w:pPr>
        <w:jc w:val="both"/>
        <w:rPr>
          <w:rFonts w:ascii="Arial Narrow" w:hAnsi="Arial Narrow" w:cs="Arial Narrow"/>
          <w:sz w:val="22"/>
          <w:szCs w:val="24"/>
        </w:rPr>
      </w:pPr>
    </w:p>
    <w:p w:rsidR="00312541" w:rsidRPr="006263EE" w:rsidP="00312541">
      <w:pPr>
        <w:ind w:firstLine="708"/>
        <w:jc w:val="both"/>
        <w:rPr>
          <w:rFonts w:ascii="Arial Narrow" w:hAnsi="Arial Narrow" w:cs="Arial Narrow"/>
          <w:sz w:val="22"/>
          <w:szCs w:val="24"/>
        </w:rPr>
      </w:pPr>
      <w:r w:rsidRPr="00D662BF">
        <w:rPr>
          <w:rFonts w:ascii="Arial Narrow" w:hAnsi="Arial Narrow" w:cs="Arial Narrow"/>
          <w:sz w:val="22"/>
          <w:szCs w:val="24"/>
        </w:rPr>
        <w:t xml:space="preserve">Celkové výdavky na regionálne školstvo pozostávajú z verejných zdrojov a súkromných zdrojov. </w:t>
      </w:r>
      <w:r w:rsidRPr="00D662BF">
        <w:rPr>
          <w:rFonts w:ascii="Arial Narrow" w:hAnsi="Arial Narrow" w:cs="Arial Narrow"/>
          <w:b/>
          <w:sz w:val="22"/>
          <w:szCs w:val="24"/>
        </w:rPr>
        <w:t xml:space="preserve">Celkové verejné zdroje </w:t>
      </w:r>
      <w:r w:rsidRPr="00AA5E00">
        <w:rPr>
          <w:rFonts w:ascii="Arial Narrow" w:hAnsi="Arial Narrow" w:cs="Arial Narrow"/>
          <w:sz w:val="22"/>
          <w:szCs w:val="24"/>
        </w:rPr>
        <w:t>v roku 2010</w:t>
      </w:r>
      <w:r w:rsidRPr="00D662BF">
        <w:rPr>
          <w:rFonts w:ascii="Arial Narrow" w:hAnsi="Arial Narrow" w:cs="Arial Narrow"/>
          <w:sz w:val="22"/>
          <w:szCs w:val="24"/>
        </w:rPr>
        <w:t xml:space="preserve"> tvoria prostriedky štátneho rozpočtu MŠ SR, iných kapitol a výdavky obcí a VÚC, </w:t>
      </w:r>
      <w:r w:rsidRPr="006263EE">
        <w:rPr>
          <w:rFonts w:ascii="Arial Narrow" w:hAnsi="Arial Narrow" w:cs="Arial Narrow"/>
          <w:sz w:val="22"/>
          <w:szCs w:val="24"/>
        </w:rPr>
        <w:t>ktoré rastú oproti roku 2009 o 0,</w:t>
      </w:r>
      <w:r>
        <w:rPr>
          <w:rFonts w:ascii="Arial Narrow" w:hAnsi="Arial Narrow" w:cs="Arial Narrow"/>
          <w:sz w:val="22"/>
          <w:szCs w:val="24"/>
        </w:rPr>
        <w:t>46</w:t>
      </w:r>
      <w:r w:rsidRPr="006263EE">
        <w:rPr>
          <w:rFonts w:ascii="Arial Narrow" w:hAnsi="Arial Narrow" w:cs="Arial Narrow"/>
          <w:sz w:val="22"/>
          <w:szCs w:val="24"/>
        </w:rPr>
        <w:t xml:space="preserve"> %.</w:t>
      </w:r>
    </w:p>
    <w:p w:rsidR="00312541" w:rsidRPr="00D662BF" w:rsidP="00312541">
      <w:pPr>
        <w:ind w:firstLine="708"/>
        <w:jc w:val="both"/>
        <w:rPr>
          <w:rFonts w:ascii="Arial Narrow" w:hAnsi="Arial Narrow" w:cs="Arial Narrow"/>
          <w:b/>
          <w:sz w:val="22"/>
          <w:szCs w:val="24"/>
        </w:rPr>
      </w:pPr>
    </w:p>
    <w:p w:rsidR="00312541" w:rsidRPr="00D662BF" w:rsidP="00312541">
      <w:pPr>
        <w:ind w:firstLine="708"/>
        <w:jc w:val="both"/>
        <w:rPr>
          <w:rFonts w:ascii="Arial Narrow" w:hAnsi="Arial Narrow" w:cs="Arial Narrow"/>
          <w:sz w:val="22"/>
          <w:szCs w:val="24"/>
        </w:rPr>
      </w:pPr>
      <w:r w:rsidRPr="00D662BF">
        <w:rPr>
          <w:rFonts w:ascii="Arial Narrow" w:hAnsi="Arial Narrow" w:cs="Arial Narrow"/>
          <w:sz w:val="22"/>
          <w:szCs w:val="24"/>
        </w:rPr>
        <w:t>Prevažný podiel výdavkov na regionálne školstvo je smerovaný prostredníctvom Ministerstva školstva SR, ktorý predstavuje až 65</w:t>
      </w:r>
      <w:r>
        <w:rPr>
          <w:rFonts w:ascii="Arial Narrow" w:hAnsi="Arial Narrow" w:cs="Arial Narrow"/>
          <w:sz w:val="22"/>
          <w:szCs w:val="24"/>
        </w:rPr>
        <w:t>,0</w:t>
      </w:r>
      <w:r w:rsidRPr="00D662BF">
        <w:rPr>
          <w:rFonts w:ascii="Arial Narrow" w:hAnsi="Arial Narrow" w:cs="Arial Narrow"/>
          <w:sz w:val="22"/>
          <w:szCs w:val="24"/>
        </w:rPr>
        <w:t xml:space="preserve"> % z celkových verejných zdrojov regionálneho školstva a</w:t>
      </w:r>
      <w:r>
        <w:rPr>
          <w:rFonts w:ascii="Arial Narrow" w:hAnsi="Arial Narrow" w:cs="Arial Narrow"/>
          <w:sz w:val="22"/>
          <w:szCs w:val="24"/>
        </w:rPr>
        <w:t> </w:t>
      </w:r>
      <w:r w:rsidRPr="00D662BF">
        <w:rPr>
          <w:rFonts w:ascii="Arial Narrow" w:hAnsi="Arial Narrow" w:cs="Arial Narrow"/>
          <w:sz w:val="22"/>
          <w:szCs w:val="24"/>
        </w:rPr>
        <w:t>6</w:t>
      </w:r>
      <w:r>
        <w:rPr>
          <w:rFonts w:ascii="Arial Narrow" w:hAnsi="Arial Narrow" w:cs="Arial Narrow"/>
          <w:sz w:val="22"/>
          <w:szCs w:val="24"/>
        </w:rPr>
        <w:t>2,5</w:t>
      </w:r>
      <w:r w:rsidRPr="00D662BF">
        <w:rPr>
          <w:rFonts w:ascii="Arial Narrow" w:hAnsi="Arial Narrow" w:cs="Arial Narrow"/>
          <w:sz w:val="22"/>
          <w:szCs w:val="24"/>
        </w:rPr>
        <w:t xml:space="preserve"> % z celkových zdrojov regionálneho školstva. </w:t>
      </w:r>
    </w:p>
    <w:p w:rsidR="00312541" w:rsidRPr="00D662BF"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D662BF">
        <w:rPr>
          <w:rFonts w:ascii="Arial Narrow" w:hAnsi="Arial Narrow" w:cs="Arial Narrow"/>
          <w:sz w:val="22"/>
          <w:szCs w:val="24"/>
        </w:rPr>
        <w:t>Výdavky štátneho rozpočtu na regionálne školstvo poskytované prostredníctvom MŠ SR každoročne rastú. Medziročný rast</w:t>
      </w:r>
      <w:r w:rsidRPr="00D662BF">
        <w:rPr>
          <w:rFonts w:ascii="Arial Narrow" w:hAnsi="Arial Narrow" w:cs="Arial Narrow"/>
          <w:b/>
          <w:sz w:val="22"/>
          <w:szCs w:val="24"/>
        </w:rPr>
        <w:t xml:space="preserve"> </w:t>
      </w:r>
      <w:r w:rsidRPr="00D662BF">
        <w:rPr>
          <w:rFonts w:ascii="Arial Narrow" w:hAnsi="Arial Narrow" w:cs="Arial Narrow"/>
          <w:sz w:val="22"/>
          <w:szCs w:val="24"/>
        </w:rPr>
        <w:t xml:space="preserve">2010/2009 predstavuje 0,99 </w:t>
      </w:r>
      <w:r w:rsidRPr="00D662BF">
        <w:rPr>
          <w:rFonts w:ascii="Arial Narrow" w:hAnsi="Arial Narrow" w:cs="Arial Narrow"/>
          <w:b/>
          <w:sz w:val="22"/>
          <w:szCs w:val="24"/>
        </w:rPr>
        <w:t>%</w:t>
      </w:r>
      <w:r w:rsidRPr="00D662BF">
        <w:rPr>
          <w:rFonts w:ascii="Arial Narrow" w:hAnsi="Arial Narrow" w:cs="Arial Narrow"/>
          <w:sz w:val="22"/>
          <w:szCs w:val="24"/>
        </w:rPr>
        <w:t xml:space="preserve">. </w:t>
      </w:r>
      <w:r w:rsidRPr="00AA5E00">
        <w:rPr>
          <w:rFonts w:ascii="Arial Narrow" w:hAnsi="Arial Narrow" w:cs="Arial Narrow"/>
          <w:b/>
          <w:sz w:val="22"/>
          <w:szCs w:val="24"/>
        </w:rPr>
        <w:t>V roku 2010 porovnaní s rokom 2006 tieto výdavky rastú o</w:t>
      </w:r>
      <w:r>
        <w:rPr>
          <w:rFonts w:ascii="Arial Narrow" w:hAnsi="Arial Narrow" w:cs="Arial Narrow"/>
          <w:b/>
          <w:sz w:val="22"/>
          <w:szCs w:val="24"/>
        </w:rPr>
        <w:t> </w:t>
      </w:r>
      <w:r w:rsidRPr="00AA5E00">
        <w:rPr>
          <w:rFonts w:ascii="Arial Narrow" w:hAnsi="Arial Narrow" w:cs="Arial Narrow"/>
          <w:b/>
          <w:sz w:val="22"/>
          <w:szCs w:val="24"/>
        </w:rPr>
        <w:t>1</w:t>
      </w:r>
      <w:r>
        <w:rPr>
          <w:rFonts w:ascii="Arial Narrow" w:hAnsi="Arial Narrow" w:cs="Arial Narrow"/>
          <w:b/>
          <w:sz w:val="22"/>
          <w:szCs w:val="24"/>
        </w:rPr>
        <w:t>4,7</w:t>
      </w:r>
      <w:r w:rsidRPr="00AA5E00">
        <w:rPr>
          <w:rFonts w:ascii="Arial Narrow" w:hAnsi="Arial Narrow" w:cs="Arial Narrow"/>
          <w:b/>
          <w:sz w:val="22"/>
          <w:szCs w:val="24"/>
        </w:rPr>
        <w:t xml:space="preserve"> %</w:t>
      </w:r>
      <w:r w:rsidRPr="00D662BF">
        <w:rPr>
          <w:rFonts w:ascii="Arial Narrow" w:hAnsi="Arial Narrow" w:cs="Arial Narrow"/>
          <w:sz w:val="22"/>
          <w:szCs w:val="24"/>
        </w:rPr>
        <w:t>. V limite výdavkov sú zabezpečené normatívne výdavky, nenormatívne výdavky, administratívne výdavky na organizácie rezortu, ktoré vykonávajú činnosť súvisiacu s regionálnym školstvom a výdavky na štipendiá. V rámci normatívnych výdavkov sú zapracované osobné výdavky zohľadňujúce prognózovanú priemernú mzdu v hospodárstve a prijatie nového zákona o pedagogických zamestnancoch vrátane prislúchajúcich vecných výdavkov.</w:t>
      </w:r>
    </w:p>
    <w:p w:rsidR="00312541" w:rsidP="00312541">
      <w:pPr>
        <w:jc w:val="both"/>
        <w:rPr>
          <w:rFonts w:ascii="Arial Narrow" w:hAnsi="Arial Narrow" w:cs="Arial Narrow"/>
          <w:sz w:val="22"/>
          <w:szCs w:val="24"/>
        </w:rPr>
      </w:pPr>
    </w:p>
    <w:p w:rsidR="00312541" w:rsidRPr="005D365D" w:rsidP="00312541">
      <w:pPr>
        <w:ind w:firstLine="708"/>
        <w:jc w:val="both"/>
        <w:rPr>
          <w:rFonts w:ascii="Arial Narrow" w:hAnsi="Arial Narrow" w:cs="Arial Narrow"/>
          <w:sz w:val="22"/>
          <w:szCs w:val="24"/>
        </w:rPr>
      </w:pPr>
      <w:r w:rsidRPr="005D365D">
        <w:rPr>
          <w:rFonts w:ascii="Arial Narrow" w:hAnsi="Arial Narrow" w:cs="Arial Narrow"/>
          <w:sz w:val="22"/>
          <w:szCs w:val="24"/>
        </w:rPr>
        <w:t xml:space="preserve">Pri financovaní regionálneho školstva sa uplatňuje financovanie prostredníctvom normatívu na žiaka. V navrhovanom objeme </w:t>
      </w:r>
      <w:r w:rsidRPr="00E5341F">
        <w:rPr>
          <w:rFonts w:ascii="Arial Narrow" w:hAnsi="Arial Narrow" w:cs="Arial Narrow"/>
          <w:sz w:val="22"/>
          <w:szCs w:val="24"/>
        </w:rPr>
        <w:t>bežných výdavkov 1,2</w:t>
      </w:r>
      <w:r>
        <w:rPr>
          <w:rFonts w:ascii="Arial Narrow" w:hAnsi="Arial Narrow" w:cs="Arial Narrow"/>
          <w:sz w:val="22"/>
          <w:szCs w:val="24"/>
        </w:rPr>
        <w:t>9</w:t>
      </w:r>
      <w:r w:rsidRPr="00E5341F">
        <w:rPr>
          <w:rFonts w:ascii="Arial Narrow" w:hAnsi="Arial Narrow" w:cs="Arial Narrow"/>
          <w:sz w:val="22"/>
          <w:szCs w:val="24"/>
        </w:rPr>
        <w:t xml:space="preserve"> mld. eur</w:t>
      </w:r>
      <w:r w:rsidRPr="005D365D">
        <w:rPr>
          <w:rFonts w:ascii="Arial Narrow" w:hAnsi="Arial Narrow" w:cs="Arial Narrow"/>
          <w:sz w:val="22"/>
          <w:szCs w:val="24"/>
        </w:rPr>
        <w:t xml:space="preserve"> sú zahrnuté okrem prevádzky všetkých typov škôl aj výdavky na učebnice a prevádzku Infoveku, okruh špecifík ako je dopravné, asistenti učiteľa, odchodné, vzdelávacie po</w:t>
      </w:r>
      <w:r>
        <w:rPr>
          <w:rFonts w:ascii="Arial Narrow" w:hAnsi="Arial Narrow" w:cs="Arial Narrow"/>
          <w:sz w:val="22"/>
          <w:szCs w:val="24"/>
        </w:rPr>
        <w:t xml:space="preserve">ukazy </w:t>
      </w:r>
      <w:r w:rsidRPr="005D365D">
        <w:rPr>
          <w:rFonts w:ascii="Arial Narrow" w:hAnsi="Arial Narrow" w:cs="Arial Narrow"/>
          <w:sz w:val="22"/>
          <w:szCs w:val="24"/>
        </w:rPr>
        <w:t xml:space="preserve">a ďalšie výdavky. Kapitálové </w:t>
      </w:r>
      <w:r>
        <w:rPr>
          <w:rFonts w:ascii="Arial Narrow" w:hAnsi="Arial Narrow" w:cs="Arial Narrow"/>
          <w:sz w:val="22"/>
          <w:szCs w:val="24"/>
        </w:rPr>
        <w:t>výdavky</w:t>
      </w:r>
      <w:r w:rsidRPr="005D365D">
        <w:rPr>
          <w:rFonts w:ascii="Arial Narrow" w:hAnsi="Arial Narrow" w:cs="Arial Narrow"/>
          <w:sz w:val="22"/>
          <w:szCs w:val="24"/>
        </w:rPr>
        <w:t xml:space="preserve"> kapitoly MŠ SR</w:t>
      </w:r>
      <w:r>
        <w:rPr>
          <w:rFonts w:ascii="Arial Narrow" w:hAnsi="Arial Narrow" w:cs="Arial Narrow"/>
          <w:sz w:val="22"/>
          <w:szCs w:val="24"/>
        </w:rPr>
        <w:t xml:space="preserve"> pre regionálne školstvo</w:t>
      </w:r>
      <w:r w:rsidRPr="005D365D">
        <w:rPr>
          <w:rFonts w:ascii="Arial Narrow" w:hAnsi="Arial Narrow" w:cs="Arial Narrow"/>
          <w:sz w:val="22"/>
          <w:szCs w:val="24"/>
        </w:rPr>
        <w:t xml:space="preserve"> sú </w:t>
      </w:r>
      <w:r w:rsidRPr="00E35E41">
        <w:rPr>
          <w:rFonts w:ascii="Arial Narrow" w:hAnsi="Arial Narrow" w:cs="Arial Narrow"/>
          <w:sz w:val="22"/>
          <w:szCs w:val="24"/>
        </w:rPr>
        <w:t xml:space="preserve">navrhované vo </w:t>
      </w:r>
      <w:r w:rsidRPr="00E5341F">
        <w:rPr>
          <w:rFonts w:ascii="Arial Narrow" w:hAnsi="Arial Narrow" w:cs="Arial Narrow"/>
          <w:sz w:val="22"/>
          <w:szCs w:val="24"/>
        </w:rPr>
        <w:t>výške 4,0</w:t>
      </w:r>
      <w:r>
        <w:rPr>
          <w:rFonts w:ascii="Arial Narrow" w:hAnsi="Arial Narrow" w:cs="Arial Narrow"/>
          <w:sz w:val="22"/>
          <w:szCs w:val="24"/>
        </w:rPr>
        <w:t>7</w:t>
      </w:r>
      <w:r w:rsidRPr="00E5341F">
        <w:rPr>
          <w:rFonts w:ascii="Arial Narrow" w:hAnsi="Arial Narrow" w:cs="Arial Narrow"/>
          <w:sz w:val="22"/>
          <w:szCs w:val="24"/>
        </w:rPr>
        <w:t xml:space="preserve"> mil. eur.</w:t>
      </w:r>
      <w:r w:rsidRPr="005D365D">
        <w:rPr>
          <w:rFonts w:ascii="Arial Narrow" w:hAnsi="Arial Narrow" w:cs="Arial Narrow"/>
          <w:sz w:val="22"/>
          <w:szCs w:val="24"/>
        </w:rPr>
        <w:t xml:space="preserve"> Tieto sú určené na havarijné stavby a</w:t>
      </w:r>
      <w:r>
        <w:rPr>
          <w:rFonts w:ascii="Arial Narrow" w:hAnsi="Arial Narrow" w:cs="Arial Narrow"/>
          <w:sz w:val="22"/>
          <w:szCs w:val="24"/>
        </w:rPr>
        <w:t> rekonštrukcie škôl a štátnych školských zariadení</w:t>
      </w:r>
      <w:r w:rsidRPr="005D365D">
        <w:rPr>
          <w:rFonts w:ascii="Arial Narrow" w:hAnsi="Arial Narrow" w:cs="Arial Narrow"/>
          <w:sz w:val="22"/>
          <w:szCs w:val="24"/>
        </w:rPr>
        <w:t xml:space="preserve">. </w:t>
      </w:r>
    </w:p>
    <w:p w:rsidR="00312541" w:rsidP="00312541">
      <w:pPr>
        <w:jc w:val="both"/>
        <w:rPr>
          <w:rFonts w:ascii="Arial Narrow" w:hAnsi="Arial Narrow" w:cs="Arial Narrow"/>
          <w:sz w:val="22"/>
          <w:szCs w:val="24"/>
        </w:rPr>
      </w:pPr>
    </w:p>
    <w:tbl>
      <w:tblPr>
        <w:tblStyle w:val="TableNormal"/>
        <w:tblW w:w="9082" w:type="dxa"/>
        <w:tblInd w:w="60" w:type="dxa"/>
        <w:tblLayout w:type="fixed"/>
        <w:tblCellMar>
          <w:left w:w="70" w:type="dxa"/>
          <w:right w:w="70" w:type="dxa"/>
        </w:tblCellMar>
        <w:tblLook w:val="00A0"/>
      </w:tblPr>
      <w:tblGrid>
        <w:gridCol w:w="1960"/>
        <w:gridCol w:w="1017"/>
        <w:gridCol w:w="1017"/>
        <w:gridCol w:w="1018"/>
        <w:gridCol w:w="1017"/>
        <w:gridCol w:w="1018"/>
        <w:gridCol w:w="1017"/>
        <w:gridCol w:w="1018"/>
      </w:tblGrid>
      <w:tr>
        <w:tblPrEx>
          <w:tblW w:w="9082" w:type="dxa"/>
          <w:tblInd w:w="60" w:type="dxa"/>
          <w:tblLayout w:type="fixed"/>
          <w:tblCellMar>
            <w:left w:w="70" w:type="dxa"/>
            <w:right w:w="70" w:type="dxa"/>
          </w:tblCellMar>
          <w:tblLook w:val="00A0"/>
        </w:tblPrEx>
        <w:trPr>
          <w:trHeight w:val="255"/>
        </w:trPr>
        <w:tc>
          <w:tcPr>
            <w:tcW w:w="1960" w:type="dxa"/>
            <w:tcBorders>
              <w:top w:val="single" w:sz="8" w:space="0" w:color="auto"/>
              <w:left w:val="single" w:sz="8" w:space="0" w:color="auto"/>
              <w:bottom w:val="single" w:sz="4" w:space="0" w:color="auto"/>
              <w:right w:val="single" w:sz="4" w:space="0" w:color="auto"/>
            </w:tcBorders>
            <w:shd w:val="clear" w:color="000000" w:fill="000000"/>
            <w:noWrap/>
            <w:textDirection w:val="lrTb"/>
            <w:vAlign w:val="bottom"/>
          </w:tcPr>
          <w:p w:rsidR="00312541" w:rsidRPr="00CF22D5" w:rsidP="00A70AF6">
            <w:pPr>
              <w:rPr>
                <w:rFonts w:ascii="Arial Narrow" w:hAnsi="Arial Narrow" w:cs="Arial Narrow"/>
                <w:color w:val="FFFFFF"/>
                <w:sz w:val="20"/>
                <w:szCs w:val="24"/>
                <w:lang w:eastAsia="sk-SK"/>
              </w:rPr>
            </w:pPr>
            <w:r w:rsidRPr="00CF22D5">
              <w:rPr>
                <w:rFonts w:ascii="Arial Narrow" w:hAnsi="Arial Narrow" w:cs="Arial Narrow"/>
                <w:color w:val="FFFFFF"/>
                <w:sz w:val="20"/>
                <w:szCs w:val="24"/>
                <w:lang w:eastAsia="sk-SK"/>
              </w:rPr>
              <w:t> </w:t>
            </w:r>
          </w:p>
        </w:tc>
        <w:tc>
          <w:tcPr>
            <w:tcW w:w="101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2005</w:t>
            </w:r>
          </w:p>
        </w:tc>
        <w:tc>
          <w:tcPr>
            <w:tcW w:w="101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2006</w:t>
            </w:r>
          </w:p>
        </w:tc>
        <w:tc>
          <w:tcPr>
            <w:tcW w:w="1018"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2007</w:t>
            </w:r>
          </w:p>
        </w:tc>
        <w:tc>
          <w:tcPr>
            <w:tcW w:w="101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2008</w:t>
            </w:r>
          </w:p>
        </w:tc>
        <w:tc>
          <w:tcPr>
            <w:tcW w:w="1018"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2009</w:t>
            </w:r>
          </w:p>
        </w:tc>
        <w:tc>
          <w:tcPr>
            <w:tcW w:w="101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2010</w:t>
            </w:r>
          </w:p>
        </w:tc>
        <w:tc>
          <w:tcPr>
            <w:tcW w:w="1018"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F22D5" w:rsidP="00A70AF6">
            <w:pPr>
              <w:jc w:val="center"/>
              <w:rPr>
                <w:rFonts w:ascii="Arial Narrow" w:hAnsi="Arial Narrow" w:cs="Arial Narrow"/>
                <w:b/>
                <w:color w:val="FFFFFF"/>
                <w:sz w:val="20"/>
                <w:szCs w:val="24"/>
                <w:lang w:eastAsia="sk-SK"/>
              </w:rPr>
            </w:pPr>
            <w:r w:rsidRPr="00CF22D5">
              <w:rPr>
                <w:rFonts w:ascii="Arial Narrow" w:hAnsi="Arial Narrow" w:cs="Arial Narrow"/>
                <w:b/>
                <w:color w:val="FFFFFF"/>
                <w:sz w:val="20"/>
                <w:szCs w:val="24"/>
                <w:lang w:eastAsia="sk-SK"/>
              </w:rPr>
              <w:t>2011</w:t>
            </w:r>
          </w:p>
        </w:tc>
      </w:tr>
      <w:tr>
        <w:tblPrEx>
          <w:tblW w:w="9082" w:type="dxa"/>
          <w:tblInd w:w="60" w:type="dxa"/>
          <w:tblLayout w:type="fixed"/>
          <w:tblCellMar>
            <w:left w:w="70" w:type="dxa"/>
            <w:right w:w="70" w:type="dxa"/>
          </w:tblCellMar>
          <w:tblLook w:val="00A0"/>
        </w:tblPrEx>
        <w:trPr>
          <w:trHeight w:val="255"/>
        </w:trPr>
        <w:tc>
          <w:tcPr>
            <w:tcW w:w="1960" w:type="dxa"/>
            <w:tcBorders>
              <w:top w:val="nil"/>
              <w:left w:val="single" w:sz="8" w:space="0" w:color="auto"/>
              <w:bottom w:val="single" w:sz="4" w:space="0" w:color="auto"/>
              <w:right w:val="single" w:sz="4" w:space="0" w:color="auto"/>
            </w:tcBorders>
            <w:noWrap/>
            <w:textDirection w:val="lrTb"/>
            <w:vAlign w:val="bottom"/>
          </w:tcPr>
          <w:p w:rsidR="00312541" w:rsidRPr="00CF22D5" w:rsidP="00A70AF6">
            <w:pPr>
              <w:rPr>
                <w:rFonts w:ascii="Arial Narrow" w:hAnsi="Arial Narrow" w:cs="Arial Narrow"/>
                <w:sz w:val="20"/>
                <w:szCs w:val="24"/>
                <w:lang w:eastAsia="sk-SK"/>
              </w:rPr>
            </w:pPr>
            <w:r w:rsidRPr="00CF22D5">
              <w:rPr>
                <w:rFonts w:ascii="Arial Narrow" w:hAnsi="Arial Narrow" w:cs="Arial Narrow"/>
                <w:sz w:val="20"/>
                <w:szCs w:val="24"/>
                <w:lang w:eastAsia="sk-SK"/>
              </w:rPr>
              <w:t>Počet žiakov v školách</w:t>
            </w:r>
          </w:p>
        </w:tc>
        <w:tc>
          <w:tcPr>
            <w:tcW w:w="1017"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917 054</w:t>
            </w:r>
          </w:p>
        </w:tc>
        <w:tc>
          <w:tcPr>
            <w:tcW w:w="1017"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887 221</w:t>
            </w:r>
          </w:p>
        </w:tc>
        <w:tc>
          <w:tcPr>
            <w:tcW w:w="1018"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858 166</w:t>
            </w:r>
          </w:p>
        </w:tc>
        <w:tc>
          <w:tcPr>
            <w:tcW w:w="1017"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837 039</w:t>
            </w:r>
          </w:p>
        </w:tc>
        <w:tc>
          <w:tcPr>
            <w:tcW w:w="1018"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806 231</w:t>
            </w:r>
          </w:p>
        </w:tc>
        <w:tc>
          <w:tcPr>
            <w:tcW w:w="1017"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782 608</w:t>
            </w:r>
          </w:p>
        </w:tc>
        <w:tc>
          <w:tcPr>
            <w:tcW w:w="1018" w:type="dxa"/>
            <w:tcBorders>
              <w:top w:val="nil"/>
              <w:left w:val="nil"/>
              <w:bottom w:val="single" w:sz="4"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769 239</w:t>
            </w:r>
          </w:p>
        </w:tc>
      </w:tr>
      <w:tr>
        <w:tblPrEx>
          <w:tblW w:w="9082" w:type="dxa"/>
          <w:tblInd w:w="60" w:type="dxa"/>
          <w:tblLayout w:type="fixed"/>
          <w:tblCellMar>
            <w:left w:w="70" w:type="dxa"/>
            <w:right w:w="70" w:type="dxa"/>
          </w:tblCellMar>
          <w:tblLook w:val="00A0"/>
        </w:tblPrEx>
        <w:trPr>
          <w:trHeight w:val="270"/>
        </w:trPr>
        <w:tc>
          <w:tcPr>
            <w:tcW w:w="1960" w:type="dxa"/>
            <w:tcBorders>
              <w:top w:val="nil"/>
              <w:left w:val="single" w:sz="8" w:space="0" w:color="auto"/>
              <w:bottom w:val="single" w:sz="8" w:space="0" w:color="auto"/>
              <w:right w:val="single" w:sz="4" w:space="0" w:color="auto"/>
            </w:tcBorders>
            <w:noWrap/>
            <w:textDirection w:val="lrTb"/>
            <w:vAlign w:val="bottom"/>
          </w:tcPr>
          <w:p w:rsidR="00312541" w:rsidRPr="00CF22D5" w:rsidP="00A70AF6">
            <w:pPr>
              <w:rPr>
                <w:rFonts w:ascii="Arial Narrow" w:hAnsi="Arial Narrow" w:cs="Arial Narrow"/>
                <w:sz w:val="20"/>
                <w:szCs w:val="24"/>
                <w:lang w:eastAsia="sk-SK"/>
              </w:rPr>
            </w:pPr>
            <w:r w:rsidRPr="00CF22D5">
              <w:rPr>
                <w:rFonts w:ascii="Arial Narrow" w:hAnsi="Arial Narrow" w:cs="Arial Narrow"/>
                <w:sz w:val="20"/>
                <w:szCs w:val="24"/>
                <w:lang w:eastAsia="sk-SK"/>
              </w:rPr>
              <w:t>medziročná zmena v %</w:t>
            </w:r>
          </w:p>
        </w:tc>
        <w:tc>
          <w:tcPr>
            <w:tcW w:w="1017"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-2,90</w:t>
            </w:r>
          </w:p>
        </w:tc>
        <w:tc>
          <w:tcPr>
            <w:tcW w:w="1017"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-3,25</w:t>
            </w:r>
          </w:p>
        </w:tc>
        <w:tc>
          <w:tcPr>
            <w:tcW w:w="1018"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-3,27</w:t>
            </w:r>
          </w:p>
        </w:tc>
        <w:tc>
          <w:tcPr>
            <w:tcW w:w="1017"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-2,46</w:t>
            </w:r>
          </w:p>
        </w:tc>
        <w:tc>
          <w:tcPr>
            <w:tcW w:w="1018"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-3,68</w:t>
            </w:r>
          </w:p>
        </w:tc>
        <w:tc>
          <w:tcPr>
            <w:tcW w:w="1017"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-2,93</w:t>
            </w:r>
          </w:p>
        </w:tc>
        <w:tc>
          <w:tcPr>
            <w:tcW w:w="1018" w:type="dxa"/>
            <w:tcBorders>
              <w:top w:val="nil"/>
              <w:left w:val="nil"/>
              <w:bottom w:val="single" w:sz="8" w:space="0" w:color="auto"/>
              <w:right w:val="single" w:sz="4" w:space="0" w:color="auto"/>
            </w:tcBorders>
            <w:noWrap/>
            <w:textDirection w:val="lrTb"/>
            <w:vAlign w:val="bottom"/>
          </w:tcPr>
          <w:p w:rsidR="00312541" w:rsidRPr="00CF22D5" w:rsidP="00A70AF6">
            <w:pPr>
              <w:jc w:val="right"/>
              <w:rPr>
                <w:rFonts w:ascii="Arial Narrow" w:hAnsi="Arial Narrow" w:cs="Arial Narrow"/>
                <w:sz w:val="20"/>
                <w:szCs w:val="24"/>
                <w:lang w:eastAsia="sk-SK"/>
              </w:rPr>
            </w:pPr>
            <w:r w:rsidRPr="00CF22D5">
              <w:rPr>
                <w:rFonts w:ascii="Arial Narrow" w:hAnsi="Arial Narrow" w:cs="Arial Narrow"/>
                <w:sz w:val="20"/>
                <w:szCs w:val="24"/>
                <w:lang w:eastAsia="sk-SK"/>
              </w:rPr>
              <w:t>-1,71</w:t>
            </w:r>
          </w:p>
        </w:tc>
      </w:tr>
    </w:tbl>
    <w:p w:rsidR="00312541" w:rsidRPr="005D365D" w:rsidP="00312541">
      <w:pPr>
        <w:jc w:val="both"/>
        <w:rPr>
          <w:rFonts w:ascii="Arial Narrow" w:hAnsi="Arial Narrow" w:cs="Arial Narrow"/>
          <w:sz w:val="22"/>
          <w:szCs w:val="24"/>
        </w:rPr>
      </w:pPr>
    </w:p>
    <w:p w:rsidR="00312541" w:rsidRPr="005D365D" w:rsidP="00312541">
      <w:pPr>
        <w:ind w:firstLine="708"/>
        <w:jc w:val="both"/>
        <w:rPr>
          <w:rFonts w:ascii="Arial Narrow" w:hAnsi="Arial Narrow" w:cs="Arial Narrow"/>
          <w:sz w:val="22"/>
          <w:szCs w:val="24"/>
        </w:rPr>
      </w:pPr>
      <w:r w:rsidRPr="005D365D">
        <w:rPr>
          <w:rFonts w:ascii="Arial Narrow" w:hAnsi="Arial Narrow" w:cs="Arial Narrow"/>
          <w:sz w:val="22"/>
          <w:szCs w:val="24"/>
        </w:rPr>
        <w:t xml:space="preserve">Do výdavkov na RŠ okrem výdavkov zo štátneho rozpočtu poskytovaných prostredníctvom MŠ SR sú zahrnuté tiež výdavky MV SR, ktoré financuje stredné odborné školy v svojej zriaďovateľskej </w:t>
      </w:r>
      <w:r w:rsidRPr="00080CEB">
        <w:rPr>
          <w:rFonts w:ascii="Arial Narrow" w:hAnsi="Arial Narrow" w:cs="Arial Narrow"/>
          <w:sz w:val="22"/>
          <w:szCs w:val="24"/>
        </w:rPr>
        <w:t xml:space="preserve">pôsobnosti v sume </w:t>
      </w:r>
      <w:r w:rsidRPr="003B069F">
        <w:rPr>
          <w:rFonts w:ascii="Arial Narrow" w:hAnsi="Arial Narrow" w:cs="Arial Narrow"/>
          <w:sz w:val="22"/>
          <w:szCs w:val="24"/>
        </w:rPr>
        <w:t>15,4 mil. eur</w:t>
      </w:r>
      <w:r w:rsidRPr="005D365D">
        <w:rPr>
          <w:rFonts w:ascii="Arial Narrow" w:hAnsi="Arial Narrow" w:cs="Arial Narrow"/>
          <w:sz w:val="22"/>
          <w:szCs w:val="24"/>
        </w:rPr>
        <w:t xml:space="preserve"> a prostriedky štrukturálnych fondov MVRR SR na financovanie infraštruktúry </w:t>
      </w:r>
      <w:r>
        <w:rPr>
          <w:rFonts w:ascii="Arial Narrow" w:hAnsi="Arial Narrow" w:cs="Arial Narrow"/>
          <w:sz w:val="22"/>
          <w:szCs w:val="24"/>
        </w:rPr>
        <w:t xml:space="preserve">vzdelávania </w:t>
      </w:r>
      <w:r w:rsidRPr="005D365D">
        <w:rPr>
          <w:rFonts w:ascii="Arial Narrow" w:hAnsi="Arial Narrow" w:cs="Arial Narrow"/>
          <w:sz w:val="22"/>
          <w:szCs w:val="24"/>
        </w:rPr>
        <w:t>v</w:t>
      </w:r>
      <w:r>
        <w:rPr>
          <w:rFonts w:ascii="Arial Narrow" w:hAnsi="Arial Narrow" w:cs="Arial Narrow"/>
          <w:sz w:val="22"/>
          <w:szCs w:val="24"/>
        </w:rPr>
        <w:t> </w:t>
      </w:r>
      <w:r w:rsidRPr="005D365D">
        <w:rPr>
          <w:rFonts w:ascii="Arial Narrow" w:hAnsi="Arial Narrow" w:cs="Arial Narrow"/>
          <w:sz w:val="22"/>
          <w:szCs w:val="24"/>
        </w:rPr>
        <w:t>sume</w:t>
      </w:r>
      <w:r>
        <w:rPr>
          <w:rFonts w:ascii="Arial Narrow" w:hAnsi="Arial Narrow" w:cs="Arial Narrow"/>
          <w:sz w:val="22"/>
          <w:szCs w:val="24"/>
        </w:rPr>
        <w:t xml:space="preserve"> 62,9</w:t>
      </w:r>
      <w:r w:rsidRPr="003B069F">
        <w:rPr>
          <w:rFonts w:ascii="Arial Narrow" w:hAnsi="Arial Narrow" w:cs="Arial Narrow"/>
          <w:sz w:val="22"/>
          <w:szCs w:val="24"/>
        </w:rPr>
        <w:t xml:space="preserve"> mil. eur</w:t>
      </w:r>
    </w:p>
    <w:p w:rsidR="00312541" w:rsidRPr="005D365D" w:rsidP="00312541">
      <w:pPr>
        <w:jc w:val="both"/>
        <w:rPr>
          <w:rFonts w:ascii="Arial Narrow" w:hAnsi="Arial Narrow" w:cs="Arial Narrow"/>
          <w:sz w:val="22"/>
          <w:szCs w:val="24"/>
        </w:rPr>
      </w:pPr>
    </w:p>
    <w:p w:rsidR="00312541" w:rsidRPr="005D365D" w:rsidP="00312541">
      <w:pPr>
        <w:ind w:firstLine="708"/>
        <w:jc w:val="both"/>
        <w:rPr>
          <w:rFonts w:ascii="Arial Narrow" w:hAnsi="Arial Narrow" w:cs="Arial Narrow"/>
          <w:sz w:val="22"/>
          <w:szCs w:val="24"/>
        </w:rPr>
      </w:pPr>
      <w:r w:rsidRPr="005D365D">
        <w:rPr>
          <w:rFonts w:ascii="Arial Narrow" w:hAnsi="Arial Narrow" w:cs="Arial Narrow"/>
          <w:sz w:val="22"/>
          <w:szCs w:val="24"/>
        </w:rPr>
        <w:t>Významný podiel výdavkov na regionálne školstvo tvoria výdavky obcí a VÚC rozpočtované na financovanie originálnych kompetencií, ktorých objem MF SR v roku 20</w:t>
      </w:r>
      <w:r>
        <w:rPr>
          <w:rFonts w:ascii="Arial Narrow" w:hAnsi="Arial Narrow" w:cs="Arial Narrow"/>
          <w:sz w:val="22"/>
          <w:szCs w:val="24"/>
        </w:rPr>
        <w:t>10</w:t>
      </w:r>
      <w:r w:rsidRPr="005D365D">
        <w:rPr>
          <w:rFonts w:ascii="Arial Narrow" w:hAnsi="Arial Narrow" w:cs="Arial Narrow"/>
          <w:sz w:val="22"/>
          <w:szCs w:val="24"/>
        </w:rPr>
        <w:t xml:space="preserve"> predpokladá v </w:t>
      </w:r>
      <w:r w:rsidRPr="00E5341F">
        <w:rPr>
          <w:rFonts w:ascii="Arial Narrow" w:hAnsi="Arial Narrow" w:cs="Arial Narrow"/>
          <w:sz w:val="22"/>
          <w:szCs w:val="24"/>
        </w:rPr>
        <w:t xml:space="preserve">sume </w:t>
      </w:r>
      <w:r>
        <w:rPr>
          <w:rFonts w:ascii="Arial Narrow" w:hAnsi="Arial Narrow" w:cs="Arial Narrow"/>
          <w:sz w:val="22"/>
          <w:szCs w:val="24"/>
        </w:rPr>
        <w:t>579</w:t>
      </w:r>
      <w:r w:rsidRPr="00E5341F">
        <w:rPr>
          <w:rFonts w:ascii="Arial Narrow" w:hAnsi="Arial Narrow" w:cs="Arial Narrow"/>
          <w:sz w:val="22"/>
          <w:szCs w:val="24"/>
        </w:rPr>
        <w:t xml:space="preserve"> mil. eur.</w:t>
      </w:r>
    </w:p>
    <w:p w:rsidR="00312541" w:rsidP="00312541">
      <w:pPr>
        <w:jc w:val="both"/>
        <w:rPr>
          <w:rFonts w:ascii="Arial Narrow" w:hAnsi="Arial Narrow" w:cs="Arial Narrow"/>
          <w:b/>
          <w:sz w:val="22"/>
          <w:szCs w:val="24"/>
        </w:rPr>
      </w:pPr>
    </w:p>
    <w:p w:rsidR="00312541" w:rsidRPr="005D365D" w:rsidP="00312541">
      <w:pPr>
        <w:jc w:val="both"/>
        <w:rPr>
          <w:rFonts w:ascii="Arial Narrow" w:hAnsi="Arial Narrow" w:cs="Arial Narrow"/>
          <w:b/>
          <w:sz w:val="22"/>
          <w:szCs w:val="24"/>
        </w:rPr>
      </w:pPr>
    </w:p>
    <w:p w:rsidR="00312541" w:rsidP="00312541">
      <w:pPr>
        <w:jc w:val="both"/>
        <w:rPr>
          <w:rFonts w:ascii="Arial Narrow" w:hAnsi="Arial Narrow" w:cs="Arial Narrow"/>
          <w:b/>
          <w:sz w:val="22"/>
          <w:szCs w:val="24"/>
        </w:rPr>
      </w:pPr>
      <w:r w:rsidRPr="00637D84">
        <w:rPr>
          <w:rFonts w:ascii="Arial Narrow" w:hAnsi="Arial Narrow" w:cs="Arial Narrow"/>
          <w:b/>
          <w:sz w:val="22"/>
          <w:szCs w:val="24"/>
        </w:rPr>
        <w:t>Vysoké školstvo</w:t>
      </w:r>
    </w:p>
    <w:p w:rsidR="00312541" w:rsidP="00312541">
      <w:pPr>
        <w:jc w:val="both"/>
        <w:rPr>
          <w:rFonts w:ascii="Arial Narrow" w:hAnsi="Arial Narrow" w:cs="Arial Narrow"/>
          <w:b/>
          <w:sz w:val="22"/>
          <w:szCs w:val="24"/>
        </w:rPr>
      </w:pPr>
    </w:p>
    <w:tbl>
      <w:tblPr>
        <w:tblStyle w:val="TableNormal"/>
        <w:tblW w:w="9087" w:type="dxa"/>
        <w:tblInd w:w="55" w:type="dxa"/>
        <w:tblLayout w:type="fixed"/>
        <w:tblCellMar>
          <w:left w:w="70" w:type="dxa"/>
          <w:right w:w="70" w:type="dxa"/>
        </w:tblCellMar>
        <w:tblLook w:val="00A0"/>
      </w:tblPr>
      <w:tblGrid>
        <w:gridCol w:w="3780"/>
        <w:gridCol w:w="1326"/>
        <w:gridCol w:w="1327"/>
        <w:gridCol w:w="1327"/>
        <w:gridCol w:w="1327"/>
      </w:tblGrid>
      <w:tr>
        <w:tblPrEx>
          <w:tblW w:w="9087" w:type="dxa"/>
          <w:tblInd w:w="55" w:type="dxa"/>
          <w:tblLayout w:type="fixed"/>
          <w:tblCellMar>
            <w:left w:w="70" w:type="dxa"/>
            <w:right w:w="70" w:type="dxa"/>
          </w:tblCellMar>
          <w:tblLook w:val="00A0"/>
        </w:tblPrEx>
        <w:trPr>
          <w:trHeight w:val="255"/>
        </w:trPr>
        <w:tc>
          <w:tcPr>
            <w:tcW w:w="3780" w:type="dxa"/>
            <w:tcBorders>
              <w:top w:val="single" w:sz="8" w:space="0" w:color="auto"/>
              <w:left w:val="single" w:sz="8" w:space="0" w:color="auto"/>
              <w:bottom w:val="single" w:sz="4" w:space="0" w:color="auto"/>
              <w:right w:val="single" w:sz="4" w:space="0" w:color="auto"/>
            </w:tcBorders>
            <w:shd w:val="clear" w:color="000000" w:fill="000000"/>
            <w:noWrap/>
            <w:textDirection w:val="lrTb"/>
            <w:vAlign w:val="bottom"/>
          </w:tcPr>
          <w:p w:rsidR="00312541" w:rsidRPr="00C3523E" w:rsidP="00A70AF6">
            <w:pPr>
              <w:rPr>
                <w:rFonts w:ascii="Arial Narrow" w:hAnsi="Arial Narrow" w:cs="Arial Narrow"/>
                <w:b/>
                <w:color w:val="FFFFFF"/>
                <w:sz w:val="20"/>
                <w:szCs w:val="24"/>
                <w:lang w:eastAsia="sk-SK"/>
              </w:rPr>
            </w:pPr>
            <w:r w:rsidRPr="00C3523E">
              <w:rPr>
                <w:rFonts w:ascii="Arial Narrow" w:hAnsi="Arial Narrow" w:cs="Arial Narrow"/>
                <w:b/>
                <w:color w:val="FFFFFF"/>
                <w:sz w:val="20"/>
                <w:szCs w:val="24"/>
                <w:lang w:eastAsia="sk-SK"/>
              </w:rPr>
              <w:t>(v tis. eur)</w:t>
            </w:r>
          </w:p>
        </w:tc>
        <w:tc>
          <w:tcPr>
            <w:tcW w:w="1326"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3523E" w:rsidP="00A70AF6">
            <w:pPr>
              <w:jc w:val="center"/>
              <w:rPr>
                <w:rFonts w:ascii="Arial Narrow" w:hAnsi="Arial Narrow" w:cs="Arial Narrow"/>
                <w:b/>
                <w:color w:val="FFFFFF"/>
                <w:sz w:val="20"/>
                <w:szCs w:val="24"/>
                <w:lang w:eastAsia="sk-SK"/>
              </w:rPr>
            </w:pPr>
            <w:r w:rsidRPr="00C3523E">
              <w:rPr>
                <w:rFonts w:ascii="Arial Narrow" w:hAnsi="Arial Narrow" w:cs="Arial Narrow"/>
                <w:b/>
                <w:color w:val="FFFFFF"/>
                <w:sz w:val="20"/>
                <w:szCs w:val="24"/>
                <w:lang w:eastAsia="sk-SK"/>
              </w:rPr>
              <w:t>2009</w:t>
            </w:r>
          </w:p>
        </w:tc>
        <w:tc>
          <w:tcPr>
            <w:tcW w:w="132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3523E" w:rsidP="00A70AF6">
            <w:pPr>
              <w:jc w:val="center"/>
              <w:rPr>
                <w:rFonts w:ascii="Arial Narrow" w:hAnsi="Arial Narrow" w:cs="Arial Narrow"/>
                <w:b/>
                <w:color w:val="FFFFFF"/>
                <w:sz w:val="20"/>
                <w:szCs w:val="24"/>
                <w:lang w:eastAsia="sk-SK"/>
              </w:rPr>
            </w:pPr>
            <w:r w:rsidRPr="00C3523E">
              <w:rPr>
                <w:rFonts w:ascii="Arial Narrow" w:hAnsi="Arial Narrow" w:cs="Arial Narrow"/>
                <w:b/>
                <w:color w:val="FFFFFF"/>
                <w:sz w:val="20"/>
                <w:szCs w:val="24"/>
                <w:lang w:eastAsia="sk-SK"/>
              </w:rPr>
              <w:t>2010</w:t>
            </w:r>
          </w:p>
        </w:tc>
        <w:tc>
          <w:tcPr>
            <w:tcW w:w="1327" w:type="dxa"/>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RPr="00C3523E" w:rsidP="00A70AF6">
            <w:pPr>
              <w:jc w:val="center"/>
              <w:rPr>
                <w:rFonts w:ascii="Arial Narrow" w:hAnsi="Arial Narrow" w:cs="Arial Narrow"/>
                <w:b/>
                <w:color w:val="FFFFFF"/>
                <w:sz w:val="20"/>
                <w:szCs w:val="24"/>
                <w:lang w:eastAsia="sk-SK"/>
              </w:rPr>
            </w:pPr>
            <w:r w:rsidRPr="00C3523E">
              <w:rPr>
                <w:rFonts w:ascii="Arial Narrow" w:hAnsi="Arial Narrow" w:cs="Arial Narrow"/>
                <w:b/>
                <w:color w:val="FFFFFF"/>
                <w:sz w:val="20"/>
                <w:szCs w:val="24"/>
                <w:lang w:eastAsia="sk-SK"/>
              </w:rPr>
              <w:t>2011</w:t>
            </w:r>
          </w:p>
        </w:tc>
        <w:tc>
          <w:tcPr>
            <w:tcW w:w="1327" w:type="dxa"/>
            <w:tcBorders>
              <w:top w:val="single" w:sz="8" w:space="0" w:color="auto"/>
              <w:left w:val="nil"/>
              <w:bottom w:val="single" w:sz="4" w:space="0" w:color="auto"/>
              <w:right w:val="single" w:sz="8" w:space="0" w:color="auto"/>
            </w:tcBorders>
            <w:shd w:val="clear" w:color="000000" w:fill="000000"/>
            <w:noWrap/>
            <w:textDirection w:val="lrTb"/>
            <w:vAlign w:val="bottom"/>
          </w:tcPr>
          <w:p w:rsidR="00312541" w:rsidRPr="00C3523E" w:rsidP="00A70AF6">
            <w:pPr>
              <w:jc w:val="center"/>
              <w:rPr>
                <w:rFonts w:ascii="Arial Narrow" w:hAnsi="Arial Narrow" w:cs="Arial Narrow"/>
                <w:b/>
                <w:color w:val="FFFFFF"/>
                <w:sz w:val="20"/>
                <w:szCs w:val="24"/>
                <w:lang w:eastAsia="sk-SK"/>
              </w:rPr>
            </w:pPr>
            <w:r w:rsidRPr="00C3523E">
              <w:rPr>
                <w:rFonts w:ascii="Arial Narrow" w:hAnsi="Arial Narrow" w:cs="Arial Narrow"/>
                <w:b/>
                <w:color w:val="FFFFFF"/>
                <w:sz w:val="20"/>
                <w:szCs w:val="24"/>
                <w:lang w:eastAsia="sk-SK"/>
              </w:rPr>
              <w:t>2012</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Verejné vysoké školy cez MŠ SR</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473 702</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456 176</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435 483</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435 486</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Štipendiá pre zahraničných študentov cez MŠ SR</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538</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Zdroje EU vrátane spolufinancovania</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76 556</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78 339</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77 735</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Oficiálna rozvojová pomoc</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1 976</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1 976</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1 976</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1 976</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Vlastné zdroje VVŠ</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62 641</w:t>
            </w:r>
          </w:p>
        </w:tc>
        <w:tc>
          <w:tcPr>
            <w:tcW w:w="1327" w:type="dxa"/>
            <w:tcBorders>
              <w:top w:val="nil"/>
              <w:left w:val="nil"/>
              <w:bottom w:val="single" w:sz="4" w:space="0" w:color="auto"/>
              <w:right w:val="single" w:sz="4" w:space="0" w:color="auto"/>
            </w:tcBorders>
            <w:shd w:val="clear" w:color="000000"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70 338</w:t>
            </w:r>
          </w:p>
        </w:tc>
        <w:tc>
          <w:tcPr>
            <w:tcW w:w="1327" w:type="dxa"/>
            <w:tcBorders>
              <w:top w:val="nil"/>
              <w:left w:val="nil"/>
              <w:bottom w:val="single" w:sz="4" w:space="0" w:color="auto"/>
              <w:right w:val="single" w:sz="4" w:space="0" w:color="auto"/>
            </w:tcBorders>
            <w:shd w:val="clear" w:color="000000"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70 013</w:t>
            </w:r>
          </w:p>
        </w:tc>
        <w:tc>
          <w:tcPr>
            <w:tcW w:w="1327" w:type="dxa"/>
            <w:tcBorders>
              <w:top w:val="nil"/>
              <w:left w:val="nil"/>
              <w:bottom w:val="single" w:sz="4" w:space="0" w:color="auto"/>
              <w:right w:val="single" w:sz="8" w:space="0" w:color="auto"/>
            </w:tcBorders>
            <w:shd w:val="clear" w:color="000000"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69 530</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Rezortné vysokoškolské vzdelávanie*</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24 032</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27 399</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26 822</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26 327</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Výdavky MK SR pre VVŠ</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890</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327"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C3523E" w:rsidP="00A70AF6">
            <w:pPr>
              <w:rPr>
                <w:rFonts w:ascii="Arial Narrow" w:hAnsi="Arial Narrow" w:cs="Arial Narrow"/>
                <w:b/>
                <w:sz w:val="20"/>
                <w:szCs w:val="24"/>
                <w:lang w:eastAsia="sk-SK"/>
              </w:rPr>
            </w:pPr>
            <w:r w:rsidRPr="00C3523E">
              <w:rPr>
                <w:rFonts w:ascii="Arial Narrow" w:hAnsi="Arial Narrow" w:cs="Arial Narrow"/>
                <w:b/>
                <w:sz w:val="20"/>
                <w:szCs w:val="24"/>
                <w:lang w:eastAsia="sk-SK"/>
              </w:rPr>
              <w:t>Výdavky z verejných zdrojov</w:t>
            </w:r>
          </w:p>
        </w:tc>
        <w:tc>
          <w:tcPr>
            <w:tcW w:w="1326"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563 778</w:t>
            </w:r>
          </w:p>
        </w:tc>
        <w:tc>
          <w:tcPr>
            <w:tcW w:w="1327"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632 445</w:t>
            </w:r>
          </w:p>
        </w:tc>
        <w:tc>
          <w:tcPr>
            <w:tcW w:w="1327"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612 633</w:t>
            </w:r>
          </w:p>
        </w:tc>
        <w:tc>
          <w:tcPr>
            <w:tcW w:w="1327" w:type="dxa"/>
            <w:tcBorders>
              <w:top w:val="nil"/>
              <w:left w:val="nil"/>
              <w:bottom w:val="single" w:sz="4" w:space="0" w:color="auto"/>
              <w:right w:val="single" w:sz="8"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611 054</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B77B8A" w:rsidP="00A70AF6">
            <w:pPr>
              <w:rPr>
                <w:rFonts w:ascii="Arial Narrow" w:hAnsi="Arial Narrow" w:cs="Arial Narrow"/>
                <w:sz w:val="20"/>
                <w:szCs w:val="24"/>
                <w:lang w:eastAsia="sk-SK"/>
              </w:rPr>
            </w:pPr>
            <w:r w:rsidRPr="00B77B8A">
              <w:rPr>
                <w:rFonts w:ascii="Arial Narrow" w:hAnsi="Arial Narrow" w:cs="Arial Narrow"/>
                <w:sz w:val="20"/>
                <w:szCs w:val="24"/>
                <w:lang w:eastAsia="sk-SK"/>
              </w:rPr>
              <w:t>Medziročná zmena v %</w:t>
            </w:r>
          </w:p>
        </w:tc>
        <w:tc>
          <w:tcPr>
            <w:tcW w:w="1326" w:type="dxa"/>
            <w:tcBorders>
              <w:top w:val="nil"/>
              <w:left w:val="nil"/>
              <w:bottom w:val="single" w:sz="4"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sidRPr="00B77B8A">
              <w:rPr>
                <w:rFonts w:ascii="Arial Narrow" w:hAnsi="Arial Narrow" w:cs="Arial Narrow"/>
                <w:sz w:val="20"/>
                <w:szCs w:val="24"/>
              </w:rPr>
              <w:t>1,49</w:t>
            </w:r>
          </w:p>
        </w:tc>
        <w:tc>
          <w:tcPr>
            <w:tcW w:w="1327" w:type="dxa"/>
            <w:tcBorders>
              <w:top w:val="nil"/>
              <w:left w:val="nil"/>
              <w:bottom w:val="single" w:sz="4"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sidRPr="00B77B8A">
              <w:rPr>
                <w:rFonts w:ascii="Arial Narrow" w:hAnsi="Arial Narrow" w:cs="Arial Narrow"/>
                <w:sz w:val="20"/>
                <w:szCs w:val="24"/>
              </w:rPr>
              <w:t>12,02</w:t>
            </w:r>
          </w:p>
        </w:tc>
        <w:tc>
          <w:tcPr>
            <w:tcW w:w="1327" w:type="dxa"/>
            <w:tcBorders>
              <w:top w:val="nil"/>
              <w:left w:val="nil"/>
              <w:bottom w:val="single" w:sz="4"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sidRPr="00B77B8A">
              <w:rPr>
                <w:rFonts w:ascii="Arial Narrow" w:hAnsi="Arial Narrow" w:cs="Arial Narrow"/>
                <w:sz w:val="20"/>
                <w:szCs w:val="24"/>
              </w:rPr>
              <w:t>-3,13</w:t>
            </w:r>
          </w:p>
        </w:tc>
        <w:tc>
          <w:tcPr>
            <w:tcW w:w="1327"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sidRPr="00B77B8A">
              <w:rPr>
                <w:rFonts w:ascii="Arial Narrow" w:hAnsi="Arial Narrow" w:cs="Arial Narrow"/>
                <w:sz w:val="20"/>
                <w:szCs w:val="24"/>
              </w:rPr>
              <w:t>-0,26</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noWrap/>
            <w:textDirection w:val="lrTb"/>
            <w:vAlign w:val="bottom"/>
          </w:tcPr>
          <w:p w:rsidR="00312541" w:rsidRPr="00C3523E" w:rsidP="00A70AF6">
            <w:pPr>
              <w:rPr>
                <w:rFonts w:ascii="Arial Narrow" w:hAnsi="Arial Narrow" w:cs="Arial Narrow"/>
                <w:sz w:val="20"/>
                <w:szCs w:val="24"/>
                <w:lang w:eastAsia="sk-SK"/>
              </w:rPr>
            </w:pPr>
            <w:r w:rsidRPr="00C3523E">
              <w:rPr>
                <w:rFonts w:ascii="Arial Narrow" w:hAnsi="Arial Narrow" w:cs="Arial Narrow"/>
                <w:sz w:val="20"/>
                <w:szCs w:val="24"/>
                <w:lang w:eastAsia="sk-SK"/>
              </w:rPr>
              <w:t>Granty zo zahraničia</w:t>
            </w:r>
          </w:p>
        </w:tc>
        <w:tc>
          <w:tcPr>
            <w:tcW w:w="1326"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1 374</w:t>
            </w:r>
          </w:p>
        </w:tc>
        <w:tc>
          <w:tcPr>
            <w:tcW w:w="1327" w:type="dxa"/>
            <w:tcBorders>
              <w:top w:val="nil"/>
              <w:left w:val="nil"/>
              <w:bottom w:val="single" w:sz="4" w:space="0" w:color="auto"/>
              <w:right w:val="single" w:sz="4" w:space="0" w:color="auto"/>
            </w:tcBorders>
            <w:noWrap/>
            <w:textDirection w:val="lrTb"/>
            <w:vAlign w:val="bottom"/>
          </w:tcPr>
          <w:p w:rsidR="00312541" w:rsidRPr="001567FF" w:rsidP="00A70AF6">
            <w:pPr>
              <w:jc w:val="right"/>
              <w:rPr>
                <w:rFonts w:ascii="Arial Narrow" w:hAnsi="Arial Narrow" w:cs="Arial Narrow"/>
                <w:sz w:val="20"/>
                <w:szCs w:val="24"/>
              </w:rPr>
            </w:pPr>
            <w:r w:rsidRPr="001567FF">
              <w:rPr>
                <w:rFonts w:ascii="Arial Narrow" w:hAnsi="Arial Narrow" w:cs="Arial Narrow"/>
                <w:sz w:val="20"/>
                <w:szCs w:val="24"/>
              </w:rPr>
              <w:t>3 895</w:t>
            </w:r>
          </w:p>
        </w:tc>
        <w:tc>
          <w:tcPr>
            <w:tcW w:w="1327" w:type="dxa"/>
            <w:tcBorders>
              <w:top w:val="nil"/>
              <w:left w:val="nil"/>
              <w:bottom w:val="single" w:sz="4" w:space="0" w:color="auto"/>
              <w:right w:val="single" w:sz="4" w:space="0" w:color="auto"/>
            </w:tcBorders>
            <w:noWrap/>
            <w:textDirection w:val="lrTb"/>
            <w:vAlign w:val="bottom"/>
          </w:tcPr>
          <w:p w:rsidR="00312541" w:rsidRPr="001567FF" w:rsidP="00A70AF6">
            <w:pPr>
              <w:jc w:val="right"/>
              <w:rPr>
                <w:rFonts w:ascii="Arial Narrow" w:hAnsi="Arial Narrow" w:cs="Arial Narrow"/>
                <w:sz w:val="20"/>
                <w:szCs w:val="24"/>
              </w:rPr>
            </w:pPr>
            <w:r w:rsidRPr="001567FF">
              <w:rPr>
                <w:rFonts w:ascii="Arial Narrow" w:hAnsi="Arial Narrow" w:cs="Arial Narrow"/>
                <w:sz w:val="20"/>
                <w:szCs w:val="24"/>
              </w:rPr>
              <w:t>3 895</w:t>
            </w:r>
          </w:p>
        </w:tc>
        <w:tc>
          <w:tcPr>
            <w:tcW w:w="1327" w:type="dxa"/>
            <w:tcBorders>
              <w:top w:val="nil"/>
              <w:left w:val="nil"/>
              <w:bottom w:val="single" w:sz="4" w:space="0" w:color="auto"/>
              <w:right w:val="single" w:sz="8" w:space="0" w:color="auto"/>
            </w:tcBorders>
            <w:noWrap/>
            <w:textDirection w:val="lrTb"/>
            <w:vAlign w:val="bottom"/>
          </w:tcPr>
          <w:p w:rsidR="00312541" w:rsidRPr="001567FF" w:rsidP="00A70AF6">
            <w:pPr>
              <w:jc w:val="right"/>
              <w:rPr>
                <w:rFonts w:ascii="Arial Narrow" w:hAnsi="Arial Narrow" w:cs="Arial Narrow"/>
                <w:sz w:val="20"/>
                <w:szCs w:val="24"/>
              </w:rPr>
            </w:pPr>
            <w:r w:rsidRPr="001567FF">
              <w:rPr>
                <w:rFonts w:ascii="Arial Narrow" w:hAnsi="Arial Narrow" w:cs="Arial Narrow"/>
                <w:sz w:val="20"/>
                <w:szCs w:val="24"/>
              </w:rPr>
              <w:t>3 895</w:t>
            </w:r>
          </w:p>
        </w:tc>
      </w:tr>
      <w:tr>
        <w:tblPrEx>
          <w:tblW w:w="9087" w:type="dxa"/>
          <w:tblInd w:w="55" w:type="dxa"/>
          <w:tblLayout w:type="fixed"/>
          <w:tblCellMar>
            <w:left w:w="70" w:type="dxa"/>
            <w:right w:w="70" w:type="dxa"/>
          </w:tblCellMar>
          <w:tblLook w:val="00A0"/>
        </w:tblPrEx>
        <w:trPr>
          <w:trHeight w:val="255"/>
        </w:trPr>
        <w:tc>
          <w:tcPr>
            <w:tcW w:w="3780" w:type="dxa"/>
            <w:tcBorders>
              <w:top w:val="nil"/>
              <w:left w:val="single" w:sz="8" w:space="0" w:color="auto"/>
              <w:bottom w:val="single" w:sz="4" w:space="0" w:color="auto"/>
              <w:right w:val="single" w:sz="4" w:space="0" w:color="auto"/>
            </w:tcBorders>
            <w:shd w:val="clear" w:color="000000" w:fill="C0C0C0"/>
            <w:noWrap/>
            <w:textDirection w:val="lrTb"/>
            <w:vAlign w:val="bottom"/>
          </w:tcPr>
          <w:p w:rsidR="00312541" w:rsidRPr="00C3523E" w:rsidP="00A70AF6">
            <w:pPr>
              <w:rPr>
                <w:rFonts w:ascii="Arial Narrow" w:hAnsi="Arial Narrow" w:cs="Arial Narrow"/>
                <w:b/>
                <w:sz w:val="20"/>
                <w:szCs w:val="24"/>
                <w:lang w:eastAsia="sk-SK"/>
              </w:rPr>
            </w:pPr>
            <w:r w:rsidRPr="00C3523E">
              <w:rPr>
                <w:rFonts w:ascii="Arial Narrow" w:hAnsi="Arial Narrow" w:cs="Arial Narrow"/>
                <w:b/>
                <w:sz w:val="20"/>
                <w:szCs w:val="24"/>
                <w:lang w:eastAsia="sk-SK"/>
              </w:rPr>
              <w:t>Celkové výdavky na vysoké školstvo**</w:t>
            </w:r>
          </w:p>
        </w:tc>
        <w:tc>
          <w:tcPr>
            <w:tcW w:w="1326"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565 152</w:t>
            </w:r>
          </w:p>
        </w:tc>
        <w:tc>
          <w:tcPr>
            <w:tcW w:w="1327"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636 341</w:t>
            </w:r>
          </w:p>
        </w:tc>
        <w:tc>
          <w:tcPr>
            <w:tcW w:w="1327" w:type="dxa"/>
            <w:tcBorders>
              <w:top w:val="nil"/>
              <w:left w:val="nil"/>
              <w:bottom w:val="single" w:sz="4" w:space="0" w:color="auto"/>
              <w:right w:val="single" w:sz="4"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616 528</w:t>
            </w:r>
          </w:p>
        </w:tc>
        <w:tc>
          <w:tcPr>
            <w:tcW w:w="1327" w:type="dxa"/>
            <w:tcBorders>
              <w:top w:val="nil"/>
              <w:left w:val="nil"/>
              <w:bottom w:val="single" w:sz="4" w:space="0" w:color="auto"/>
              <w:right w:val="single" w:sz="8" w:space="0" w:color="auto"/>
            </w:tcBorders>
            <w:shd w:val="clear" w:color="000000"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614 949</w:t>
            </w:r>
          </w:p>
        </w:tc>
      </w:tr>
      <w:tr>
        <w:tblPrEx>
          <w:tblW w:w="9087" w:type="dxa"/>
          <w:tblInd w:w="55" w:type="dxa"/>
          <w:tblLayout w:type="fixed"/>
          <w:tblCellMar>
            <w:left w:w="70" w:type="dxa"/>
            <w:right w:w="70" w:type="dxa"/>
          </w:tblCellMar>
          <w:tblLook w:val="00A0"/>
        </w:tblPrEx>
        <w:trPr>
          <w:trHeight w:val="270"/>
        </w:trPr>
        <w:tc>
          <w:tcPr>
            <w:tcW w:w="3780" w:type="dxa"/>
            <w:tcBorders>
              <w:top w:val="nil"/>
              <w:left w:val="single" w:sz="8" w:space="0" w:color="auto"/>
              <w:bottom w:val="single" w:sz="8" w:space="0" w:color="auto"/>
              <w:right w:val="single" w:sz="4" w:space="0" w:color="auto"/>
            </w:tcBorders>
            <w:noWrap/>
            <w:textDirection w:val="lrTb"/>
            <w:vAlign w:val="bottom"/>
          </w:tcPr>
          <w:p w:rsidR="00312541" w:rsidRPr="00B77B8A" w:rsidP="00A70AF6">
            <w:pPr>
              <w:rPr>
                <w:rFonts w:ascii="Arial Narrow" w:hAnsi="Arial Narrow" w:cs="Arial Narrow"/>
                <w:sz w:val="20"/>
                <w:szCs w:val="24"/>
                <w:lang w:eastAsia="sk-SK"/>
              </w:rPr>
            </w:pPr>
            <w:r w:rsidRPr="00B77B8A">
              <w:rPr>
                <w:rFonts w:ascii="Arial Narrow" w:hAnsi="Arial Narrow" w:cs="Arial Narrow"/>
                <w:sz w:val="20"/>
                <w:szCs w:val="24"/>
                <w:lang w:eastAsia="sk-SK"/>
              </w:rPr>
              <w:t>Medziročná zmena v %</w:t>
            </w:r>
          </w:p>
        </w:tc>
        <w:tc>
          <w:tcPr>
            <w:tcW w:w="1326" w:type="dxa"/>
            <w:tcBorders>
              <w:top w:val="nil"/>
              <w:left w:val="nil"/>
              <w:bottom w:val="single" w:sz="8"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Pr>
                <w:rFonts w:ascii="Arial Narrow" w:hAnsi="Arial Narrow" w:cs="Arial Narrow"/>
                <w:sz w:val="20"/>
                <w:szCs w:val="24"/>
              </w:rPr>
              <w:t>0,98</w:t>
            </w:r>
          </w:p>
        </w:tc>
        <w:tc>
          <w:tcPr>
            <w:tcW w:w="1327" w:type="dxa"/>
            <w:tcBorders>
              <w:top w:val="nil"/>
              <w:left w:val="nil"/>
              <w:bottom w:val="single" w:sz="8"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sidRPr="00B77B8A">
              <w:rPr>
                <w:rFonts w:ascii="Arial Narrow" w:hAnsi="Arial Narrow" w:cs="Arial Narrow"/>
                <w:sz w:val="20"/>
                <w:szCs w:val="24"/>
              </w:rPr>
              <w:t>12,</w:t>
            </w:r>
            <w:r>
              <w:rPr>
                <w:rFonts w:ascii="Arial Narrow" w:hAnsi="Arial Narrow" w:cs="Arial Narrow"/>
                <w:sz w:val="20"/>
                <w:szCs w:val="24"/>
              </w:rPr>
              <w:t>60</w:t>
            </w:r>
          </w:p>
        </w:tc>
        <w:tc>
          <w:tcPr>
            <w:tcW w:w="1327" w:type="dxa"/>
            <w:tcBorders>
              <w:top w:val="nil"/>
              <w:left w:val="nil"/>
              <w:bottom w:val="single" w:sz="8" w:space="0" w:color="auto"/>
              <w:right w:val="single" w:sz="4" w:space="0" w:color="auto"/>
            </w:tcBorders>
            <w:noWrap/>
            <w:textDirection w:val="lrTb"/>
            <w:vAlign w:val="bottom"/>
          </w:tcPr>
          <w:p w:rsidR="00312541" w:rsidRPr="00B77B8A" w:rsidP="00A70AF6">
            <w:pPr>
              <w:jc w:val="right"/>
              <w:rPr>
                <w:rFonts w:ascii="Arial Narrow" w:hAnsi="Arial Narrow" w:cs="Arial Narrow"/>
                <w:sz w:val="20"/>
                <w:szCs w:val="24"/>
              </w:rPr>
            </w:pPr>
            <w:r w:rsidRPr="00B77B8A">
              <w:rPr>
                <w:rFonts w:ascii="Arial Narrow" w:hAnsi="Arial Narrow" w:cs="Arial Narrow"/>
                <w:sz w:val="20"/>
                <w:szCs w:val="24"/>
              </w:rPr>
              <w:t>-3,11</w:t>
            </w:r>
          </w:p>
        </w:tc>
        <w:tc>
          <w:tcPr>
            <w:tcW w:w="1327"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sidRPr="00B77B8A">
              <w:rPr>
                <w:rFonts w:ascii="Arial Narrow" w:hAnsi="Arial Narrow" w:cs="Arial Narrow"/>
                <w:sz w:val="20"/>
                <w:szCs w:val="24"/>
              </w:rPr>
              <w:t>-0,26</w:t>
            </w:r>
          </w:p>
        </w:tc>
      </w:tr>
    </w:tbl>
    <w:p w:rsidR="00312541" w:rsidRPr="005D365D" w:rsidP="00312541">
      <w:pPr>
        <w:jc w:val="both"/>
        <w:rPr>
          <w:rFonts w:ascii="Arial Narrow" w:hAnsi="Arial Narrow" w:cs="Arial Narrow"/>
          <w:sz w:val="18"/>
          <w:szCs w:val="24"/>
        </w:rPr>
      </w:pPr>
      <w:r w:rsidRPr="005D365D">
        <w:rPr>
          <w:rFonts w:ascii="Arial Narrow" w:hAnsi="Arial Narrow" w:cs="Arial Narrow"/>
          <w:sz w:val="18"/>
          <w:szCs w:val="24"/>
        </w:rPr>
        <w:t>*rezortné vzdelávanie (MO SR, MV SR a MZ SR)</w:t>
      </w:r>
    </w:p>
    <w:p w:rsidR="00312541" w:rsidP="00312541">
      <w:pPr>
        <w:jc w:val="both"/>
        <w:rPr>
          <w:rFonts w:ascii="Arial Narrow" w:hAnsi="Arial Narrow" w:cs="Arial Narrow"/>
          <w:sz w:val="16"/>
          <w:szCs w:val="24"/>
        </w:rPr>
      </w:pPr>
      <w:r w:rsidRPr="00335AD8">
        <w:rPr>
          <w:rFonts w:ascii="Arial Narrow" w:hAnsi="Arial Narrow" w:cs="Arial Narrow"/>
          <w:sz w:val="16"/>
          <w:szCs w:val="24"/>
        </w:rPr>
        <w:t>** bez zdrojov súkromných vysokých škôl</w:t>
      </w:r>
    </w:p>
    <w:p w:rsidR="00312541" w:rsidRPr="00335AD8" w:rsidP="00312541">
      <w:pPr>
        <w:jc w:val="both"/>
        <w:rPr>
          <w:rFonts w:ascii="Arial Narrow" w:hAnsi="Arial Narrow" w:cs="Arial Narrow"/>
          <w:sz w:val="16"/>
          <w:szCs w:val="24"/>
        </w:rPr>
      </w:pPr>
    </w:p>
    <w:p w:rsidR="00312541" w:rsidP="00312541">
      <w:pPr>
        <w:ind w:firstLine="708"/>
        <w:jc w:val="both"/>
        <w:rPr>
          <w:rFonts w:ascii="Arial Narrow" w:hAnsi="Arial Narrow" w:cs="Arial Narrow"/>
          <w:sz w:val="22"/>
          <w:szCs w:val="24"/>
        </w:rPr>
      </w:pPr>
      <w:r w:rsidRPr="00E05707">
        <w:rPr>
          <w:rFonts w:ascii="Arial Narrow" w:hAnsi="Arial Narrow" w:cs="Arial Narrow"/>
          <w:b/>
          <w:sz w:val="22"/>
          <w:szCs w:val="24"/>
        </w:rPr>
        <w:t>Verejné výdavky pre vysoké školy medzi rokmi 20</w:t>
      </w:r>
      <w:r>
        <w:rPr>
          <w:rFonts w:ascii="Arial Narrow" w:hAnsi="Arial Narrow" w:cs="Arial Narrow"/>
          <w:b/>
          <w:sz w:val="22"/>
          <w:szCs w:val="24"/>
        </w:rPr>
        <w:t>10</w:t>
      </w:r>
      <w:r w:rsidRPr="00E05707">
        <w:rPr>
          <w:rFonts w:ascii="Arial Narrow" w:hAnsi="Arial Narrow" w:cs="Arial Narrow"/>
          <w:b/>
          <w:sz w:val="22"/>
          <w:szCs w:val="24"/>
        </w:rPr>
        <w:t xml:space="preserve"> a 20</w:t>
      </w:r>
      <w:r>
        <w:rPr>
          <w:rFonts w:ascii="Arial Narrow" w:hAnsi="Arial Narrow" w:cs="Arial Narrow"/>
          <w:b/>
          <w:sz w:val="22"/>
          <w:szCs w:val="24"/>
        </w:rPr>
        <w:t>09</w:t>
      </w:r>
      <w:r w:rsidRPr="00E05707">
        <w:rPr>
          <w:rFonts w:ascii="Arial Narrow" w:hAnsi="Arial Narrow" w:cs="Arial Narrow"/>
          <w:b/>
          <w:sz w:val="22"/>
          <w:szCs w:val="24"/>
        </w:rPr>
        <w:t xml:space="preserve"> </w:t>
      </w:r>
      <w:r>
        <w:rPr>
          <w:rFonts w:ascii="Arial Narrow" w:hAnsi="Arial Narrow" w:cs="Arial Narrow"/>
          <w:b/>
          <w:sz w:val="22"/>
          <w:szCs w:val="24"/>
        </w:rPr>
        <w:t>rastú</w:t>
      </w:r>
      <w:r w:rsidRPr="00E5341F">
        <w:rPr>
          <w:rFonts w:ascii="Arial Narrow" w:hAnsi="Arial Narrow" w:cs="Arial Narrow"/>
          <w:b/>
          <w:sz w:val="22"/>
          <w:szCs w:val="24"/>
        </w:rPr>
        <w:t xml:space="preserve"> o</w:t>
      </w:r>
      <w:r>
        <w:rPr>
          <w:rFonts w:ascii="Arial Narrow" w:hAnsi="Arial Narrow" w:cs="Arial Narrow"/>
          <w:b/>
          <w:sz w:val="22"/>
          <w:szCs w:val="24"/>
        </w:rPr>
        <w:t xml:space="preserve"> 12,0 </w:t>
      </w:r>
      <w:r w:rsidRPr="00E5341F">
        <w:rPr>
          <w:rFonts w:ascii="Arial Narrow" w:hAnsi="Arial Narrow" w:cs="Arial Narrow"/>
          <w:b/>
          <w:sz w:val="22"/>
          <w:szCs w:val="24"/>
        </w:rPr>
        <w:t>%.</w:t>
      </w:r>
      <w:r w:rsidRPr="00E5341F">
        <w:rPr>
          <w:rFonts w:ascii="Arial Narrow" w:hAnsi="Arial Narrow" w:cs="Arial Narrow"/>
          <w:sz w:val="22"/>
          <w:szCs w:val="24"/>
        </w:rPr>
        <w:t xml:space="preserve"> Prostriedky</w:t>
      </w:r>
      <w:r w:rsidRPr="005D365D">
        <w:rPr>
          <w:rFonts w:ascii="Arial Narrow" w:hAnsi="Arial Narrow" w:cs="Arial Narrow"/>
          <w:sz w:val="22"/>
          <w:szCs w:val="24"/>
        </w:rPr>
        <w:t xml:space="preserve"> štátneho rozpočtu MŠ SR rozpočtované pre verejné vysoké školy sú rozpočtované na prevádzku </w:t>
      </w:r>
      <w:r>
        <w:rPr>
          <w:rFonts w:ascii="Arial Narrow" w:hAnsi="Arial Narrow" w:cs="Arial Narrow"/>
          <w:sz w:val="22"/>
          <w:szCs w:val="24"/>
        </w:rPr>
        <w:t>dvadsiatich</w:t>
      </w:r>
      <w:r w:rsidRPr="005D365D">
        <w:rPr>
          <w:rFonts w:ascii="Arial Narrow" w:hAnsi="Arial Narrow" w:cs="Arial Narrow"/>
          <w:sz w:val="22"/>
          <w:szCs w:val="24"/>
        </w:rPr>
        <w:t xml:space="preserve"> VVŠ, vysokoškolskú vedu, rozvojové projekty VVŠ</w:t>
      </w:r>
      <w:r w:rsidRPr="005D365D">
        <w:rPr>
          <w:rFonts w:ascii="Arial Narrow" w:hAnsi="Arial Narrow" w:cs="Arial Narrow"/>
          <w:b/>
          <w:sz w:val="22"/>
          <w:szCs w:val="24"/>
        </w:rPr>
        <w:t xml:space="preserve"> </w:t>
      </w:r>
      <w:r w:rsidRPr="005D365D">
        <w:rPr>
          <w:rFonts w:ascii="Arial Narrow" w:hAnsi="Arial Narrow" w:cs="Arial Narrow"/>
          <w:sz w:val="22"/>
          <w:szCs w:val="24"/>
        </w:rPr>
        <w:t xml:space="preserve">a sociálnu oblasť. Ďalej VVŠ </w:t>
      </w:r>
      <w:r>
        <w:rPr>
          <w:rFonts w:ascii="Arial Narrow" w:hAnsi="Arial Narrow" w:cs="Arial Narrow"/>
          <w:sz w:val="22"/>
          <w:szCs w:val="24"/>
        </w:rPr>
        <w:t xml:space="preserve">môžu </w:t>
      </w:r>
      <w:r w:rsidRPr="003C37E9">
        <w:rPr>
          <w:rFonts w:ascii="Arial Narrow" w:hAnsi="Arial Narrow" w:cs="Arial Narrow"/>
          <w:sz w:val="22"/>
          <w:szCs w:val="24"/>
        </w:rPr>
        <w:t xml:space="preserve">získať prostriedky EU zo štrukturálnych fondov vrátane spolufinancovania z OP Vzdelávanie a Výskum a vývoj, ale majú aj vlastné zdroje VVŠ. </w:t>
      </w:r>
      <w:r w:rsidRPr="005D365D">
        <w:rPr>
          <w:rFonts w:ascii="Arial Narrow" w:hAnsi="Arial Narrow" w:cs="Arial Narrow"/>
          <w:sz w:val="22"/>
          <w:szCs w:val="24"/>
        </w:rPr>
        <w:t xml:space="preserve">Verejné vysoké školy na svoju hlavnú činnosť použijú okrem dotácie zo štátneho rozpočtu aj vlastné príjmy vo </w:t>
      </w:r>
      <w:r w:rsidRPr="00183C84">
        <w:rPr>
          <w:rFonts w:ascii="Arial Narrow" w:hAnsi="Arial Narrow" w:cs="Arial Narrow"/>
          <w:sz w:val="22"/>
          <w:szCs w:val="24"/>
        </w:rPr>
        <w:t>výške 70,3 mil. eur</w:t>
      </w:r>
      <w:r w:rsidRPr="00183C84">
        <w:rPr>
          <w:rFonts w:ascii="Arial Narrow" w:hAnsi="Arial Narrow" w:cs="Arial Narrow"/>
          <w:b/>
          <w:sz w:val="22"/>
          <w:szCs w:val="24"/>
        </w:rPr>
        <w:t xml:space="preserve"> </w:t>
      </w:r>
      <w:r w:rsidRPr="00183C84">
        <w:rPr>
          <w:rFonts w:ascii="Arial Narrow" w:hAnsi="Arial Narrow" w:cs="Arial Narrow"/>
          <w:sz w:val="22"/>
          <w:szCs w:val="24"/>
        </w:rPr>
        <w:t xml:space="preserve">a  granty zo zahraničia na financovanie projektov vo výške </w:t>
      </w:r>
      <w:r>
        <w:rPr>
          <w:rFonts w:ascii="Arial Narrow" w:hAnsi="Arial Narrow" w:cs="Arial Narrow"/>
          <w:sz w:val="22"/>
          <w:szCs w:val="24"/>
        </w:rPr>
        <w:t>3,85</w:t>
      </w:r>
      <w:r w:rsidRPr="00183C84">
        <w:rPr>
          <w:rFonts w:ascii="Arial Narrow" w:hAnsi="Arial Narrow" w:cs="Arial Narrow"/>
          <w:sz w:val="22"/>
          <w:szCs w:val="24"/>
        </w:rPr>
        <w:t xml:space="preserve"> mil. eur.</w:t>
      </w:r>
      <w:r w:rsidRPr="005D365D">
        <w:rPr>
          <w:rFonts w:ascii="Arial Narrow" w:hAnsi="Arial Narrow" w:cs="Arial Narrow"/>
          <w:sz w:val="22"/>
          <w:szCs w:val="24"/>
        </w:rPr>
        <w:t xml:space="preserve"> Vlastné príjmy VVŠ </w:t>
      </w:r>
      <w:r>
        <w:rPr>
          <w:rFonts w:ascii="Arial Narrow" w:hAnsi="Arial Narrow" w:cs="Arial Narrow"/>
          <w:sz w:val="22"/>
          <w:szCs w:val="24"/>
        </w:rPr>
        <w:t xml:space="preserve">pre rok 2010 </w:t>
      </w:r>
      <w:r w:rsidRPr="005D365D">
        <w:rPr>
          <w:rFonts w:ascii="Arial Narrow" w:hAnsi="Arial Narrow" w:cs="Arial Narrow"/>
          <w:sz w:val="22"/>
          <w:szCs w:val="24"/>
        </w:rPr>
        <w:t xml:space="preserve">sú zvýšené oproti schválenému rozpočtu </w:t>
      </w:r>
      <w:r>
        <w:rPr>
          <w:rFonts w:ascii="Arial Narrow" w:hAnsi="Arial Narrow" w:cs="Arial Narrow"/>
          <w:sz w:val="22"/>
          <w:szCs w:val="24"/>
        </w:rPr>
        <w:t>v</w:t>
      </w:r>
      <w:r w:rsidRPr="005D365D">
        <w:rPr>
          <w:rFonts w:ascii="Arial Narrow" w:hAnsi="Arial Narrow" w:cs="Arial Narrow"/>
          <w:sz w:val="22"/>
          <w:szCs w:val="24"/>
        </w:rPr>
        <w:t xml:space="preserve"> rok</w:t>
      </w:r>
      <w:r>
        <w:rPr>
          <w:rFonts w:ascii="Arial Narrow" w:hAnsi="Arial Narrow" w:cs="Arial Narrow"/>
          <w:sz w:val="22"/>
          <w:szCs w:val="24"/>
        </w:rPr>
        <w:t>u</w:t>
      </w:r>
      <w:r w:rsidRPr="005D365D">
        <w:rPr>
          <w:rFonts w:ascii="Arial Narrow" w:hAnsi="Arial Narrow" w:cs="Arial Narrow"/>
          <w:sz w:val="22"/>
          <w:szCs w:val="24"/>
        </w:rPr>
        <w:t xml:space="preserve"> </w:t>
      </w:r>
      <w:r w:rsidRPr="007E4E12">
        <w:rPr>
          <w:rFonts w:ascii="Arial Narrow" w:hAnsi="Arial Narrow" w:cs="Arial Narrow"/>
          <w:sz w:val="22"/>
          <w:szCs w:val="24"/>
        </w:rPr>
        <w:t>20</w:t>
      </w:r>
      <w:r>
        <w:rPr>
          <w:rFonts w:ascii="Arial Narrow" w:hAnsi="Arial Narrow" w:cs="Arial Narrow"/>
          <w:sz w:val="22"/>
          <w:szCs w:val="24"/>
        </w:rPr>
        <w:t>09</w:t>
      </w:r>
      <w:r w:rsidRPr="007E4E12">
        <w:rPr>
          <w:rFonts w:ascii="Arial Narrow" w:hAnsi="Arial Narrow" w:cs="Arial Narrow"/>
          <w:sz w:val="22"/>
          <w:szCs w:val="24"/>
        </w:rPr>
        <w:t xml:space="preserve"> o</w:t>
      </w:r>
      <w:r>
        <w:rPr>
          <w:rFonts w:ascii="Arial Narrow" w:hAnsi="Arial Narrow" w:cs="Arial Narrow"/>
          <w:sz w:val="22"/>
          <w:szCs w:val="24"/>
        </w:rPr>
        <w:t> 7,69</w:t>
      </w:r>
      <w:r w:rsidRPr="00995E34">
        <w:rPr>
          <w:rFonts w:ascii="Arial Narrow" w:hAnsi="Arial Narrow" w:cs="Arial Narrow"/>
          <w:sz w:val="22"/>
          <w:szCs w:val="24"/>
        </w:rPr>
        <w:t xml:space="preserve"> mil. eur</w:t>
      </w:r>
      <w:r w:rsidRPr="005D365D">
        <w:rPr>
          <w:rFonts w:ascii="Arial Narrow" w:hAnsi="Arial Narrow" w:cs="Arial Narrow"/>
          <w:sz w:val="22"/>
          <w:szCs w:val="24"/>
        </w:rPr>
        <w:t>. Zvýšenie príjmov vyplýva z prijatej novely zákona o vysokých školách, a to najmä z poplatkov získaných za externú formu štúdia. Slovenská republika sa zaviazala poskytovať oficiálnu rozvojovú pomoc a jednou z foriem je aj podpora štúdia zahraničných študentov na slovenských vysokých školách, ktorá je financovaná z medzirezortného podprogramu ODA v </w:t>
      </w:r>
      <w:r w:rsidRPr="007E4E12">
        <w:rPr>
          <w:rFonts w:ascii="Arial Narrow" w:hAnsi="Arial Narrow" w:cs="Arial Narrow"/>
          <w:sz w:val="22"/>
          <w:szCs w:val="24"/>
        </w:rPr>
        <w:t xml:space="preserve">sume </w:t>
      </w:r>
      <w:r>
        <w:rPr>
          <w:rFonts w:ascii="Arial Narrow" w:hAnsi="Arial Narrow" w:cs="Arial Narrow"/>
          <w:sz w:val="22"/>
          <w:szCs w:val="24"/>
        </w:rPr>
        <w:t>1,98</w:t>
      </w:r>
      <w:r w:rsidRPr="00995E34">
        <w:rPr>
          <w:rFonts w:ascii="Arial Narrow" w:hAnsi="Arial Narrow" w:cs="Arial Narrow"/>
          <w:sz w:val="22"/>
          <w:szCs w:val="24"/>
        </w:rPr>
        <w:t xml:space="preserve"> mil. eur.</w:t>
      </w:r>
      <w:r>
        <w:rPr>
          <w:rFonts w:ascii="Arial Narrow" w:hAnsi="Arial Narrow" w:cs="Arial Narrow"/>
          <w:sz w:val="22"/>
          <w:szCs w:val="24"/>
        </w:rPr>
        <w:t xml:space="preserve"> </w:t>
      </w:r>
      <w:r w:rsidRPr="005D365D">
        <w:rPr>
          <w:rFonts w:ascii="Arial Narrow" w:hAnsi="Arial Narrow" w:cs="Arial Narrow"/>
          <w:sz w:val="22"/>
          <w:szCs w:val="24"/>
        </w:rPr>
        <w:t xml:space="preserve">Do financovania vysokoškolského vzdelávania sú zahrnuté </w:t>
      </w:r>
      <w:r>
        <w:rPr>
          <w:rFonts w:ascii="Arial Narrow" w:hAnsi="Arial Narrow" w:cs="Arial Narrow"/>
          <w:sz w:val="22"/>
          <w:szCs w:val="24"/>
        </w:rPr>
        <w:t xml:space="preserve">aj </w:t>
      </w:r>
      <w:r w:rsidRPr="005D365D">
        <w:rPr>
          <w:rFonts w:ascii="Arial Narrow" w:hAnsi="Arial Narrow" w:cs="Arial Narrow"/>
          <w:sz w:val="22"/>
          <w:szCs w:val="24"/>
        </w:rPr>
        <w:t xml:space="preserve">prostriedky štátneho rozpočtu rozpočtované </w:t>
      </w:r>
      <w:r>
        <w:rPr>
          <w:rFonts w:ascii="Arial Narrow" w:hAnsi="Arial Narrow" w:cs="Arial Narrow"/>
          <w:sz w:val="22"/>
          <w:szCs w:val="24"/>
        </w:rPr>
        <w:t>p</w:t>
      </w:r>
      <w:r w:rsidRPr="005D365D">
        <w:rPr>
          <w:rFonts w:ascii="Arial Narrow" w:hAnsi="Arial Narrow" w:cs="Arial Narrow"/>
          <w:sz w:val="22"/>
          <w:szCs w:val="24"/>
        </w:rPr>
        <w:t xml:space="preserve">re </w:t>
      </w:r>
      <w:r>
        <w:rPr>
          <w:rFonts w:ascii="Arial Narrow" w:hAnsi="Arial Narrow" w:cs="Arial Narrow"/>
          <w:sz w:val="22"/>
          <w:szCs w:val="24"/>
        </w:rPr>
        <w:t xml:space="preserve">tri </w:t>
      </w:r>
      <w:r w:rsidRPr="005D365D">
        <w:rPr>
          <w:rFonts w:ascii="Arial Narrow" w:hAnsi="Arial Narrow" w:cs="Arial Narrow"/>
          <w:sz w:val="22"/>
          <w:szCs w:val="24"/>
        </w:rPr>
        <w:t>štátne vysoké školy v zriaďovateľskej pôsobnosti rezortov MO SR, MV SR a MZ SR</w:t>
      </w:r>
      <w:r w:rsidRPr="00D57374">
        <w:rPr>
          <w:rFonts w:ascii="Arial Narrow" w:hAnsi="Arial Narrow" w:cs="Arial Narrow"/>
          <w:sz w:val="22"/>
          <w:szCs w:val="24"/>
        </w:rPr>
        <w:t xml:space="preserve"> </w:t>
      </w:r>
      <w:r>
        <w:rPr>
          <w:rFonts w:ascii="Arial Narrow" w:hAnsi="Arial Narrow" w:cs="Arial Narrow"/>
          <w:sz w:val="22"/>
          <w:szCs w:val="24"/>
        </w:rPr>
        <w:t>vykazované v rezortnom vysokoškolskom vzdelávaní</w:t>
      </w:r>
      <w:r w:rsidRPr="005D365D">
        <w:rPr>
          <w:rFonts w:ascii="Arial Narrow" w:hAnsi="Arial Narrow" w:cs="Arial Narrow"/>
          <w:sz w:val="22"/>
          <w:szCs w:val="24"/>
        </w:rPr>
        <w:t>.</w:t>
      </w:r>
      <w:r w:rsidRPr="005D365D">
        <w:rPr>
          <w:rFonts w:ascii="Arial Narrow" w:hAnsi="Arial Narrow" w:cs="Arial Narrow"/>
          <w:b/>
          <w:sz w:val="22"/>
          <w:szCs w:val="24"/>
        </w:rPr>
        <w:t xml:space="preserve"> </w:t>
      </w:r>
      <w:r w:rsidRPr="005D365D">
        <w:rPr>
          <w:rFonts w:ascii="Arial Narrow" w:hAnsi="Arial Narrow" w:cs="Arial Narrow"/>
          <w:sz w:val="22"/>
          <w:szCs w:val="24"/>
        </w:rPr>
        <w:t xml:space="preserve"> </w:t>
      </w:r>
    </w:p>
    <w:p w:rsidR="00312541" w:rsidRPr="005D365D" w:rsidP="00312541">
      <w:pPr>
        <w:ind w:firstLine="708"/>
        <w:jc w:val="both"/>
        <w:rPr>
          <w:rFonts w:ascii="Arial Narrow" w:hAnsi="Arial Narrow" w:cs="Arial Narrow"/>
          <w:sz w:val="22"/>
          <w:szCs w:val="24"/>
        </w:rPr>
      </w:pPr>
    </w:p>
    <w:p w:rsidR="00312541" w:rsidRPr="00B10AE9" w:rsidP="00312541">
      <w:pPr>
        <w:rPr>
          <w:rFonts w:ascii="Arial Narrow" w:hAnsi="Arial Narrow" w:cs="Arial Narrow"/>
          <w:b/>
          <w:sz w:val="22"/>
          <w:szCs w:val="24"/>
        </w:rPr>
      </w:pPr>
      <w:r w:rsidRPr="00B10AE9">
        <w:rPr>
          <w:rFonts w:ascii="Arial Narrow" w:hAnsi="Arial Narrow" w:cs="Arial Narrow"/>
          <w:b/>
          <w:sz w:val="22"/>
          <w:szCs w:val="24"/>
        </w:rPr>
        <w:t>Veda a technika</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b/>
          <w:sz w:val="22"/>
          <w:szCs w:val="24"/>
        </w:rPr>
        <w:t>Celkové výdavky na vedu a techniku</w:t>
      </w:r>
      <w:r>
        <w:rPr>
          <w:rFonts w:ascii="Arial Narrow" w:hAnsi="Arial Narrow" w:cs="Arial Narrow"/>
          <w:sz w:val="22"/>
          <w:szCs w:val="24"/>
        </w:rPr>
        <w:t xml:space="preserve"> v roku 2010 z verejných zdrojov sa predpokladajú vo </w:t>
      </w:r>
      <w:r w:rsidRPr="00571936">
        <w:rPr>
          <w:rFonts w:ascii="Arial Narrow" w:hAnsi="Arial Narrow" w:cs="Arial Narrow"/>
          <w:sz w:val="22"/>
          <w:szCs w:val="24"/>
        </w:rPr>
        <w:t>výške 456 mil. eur, čo</w:t>
      </w:r>
      <w:r>
        <w:rPr>
          <w:rFonts w:ascii="Arial Narrow" w:hAnsi="Arial Narrow" w:cs="Arial Narrow"/>
          <w:sz w:val="22"/>
          <w:szCs w:val="24"/>
        </w:rPr>
        <w:t xml:space="preserve"> predstavuje </w:t>
      </w:r>
      <w:r>
        <w:rPr>
          <w:rFonts w:ascii="Arial Narrow" w:hAnsi="Arial Narrow" w:cs="Arial Narrow"/>
          <w:b/>
          <w:sz w:val="22"/>
          <w:szCs w:val="24"/>
        </w:rPr>
        <w:t xml:space="preserve">nárast </w:t>
      </w:r>
      <w:r>
        <w:rPr>
          <w:rFonts w:ascii="Arial Narrow" w:hAnsi="Arial Narrow" w:cs="Arial Narrow"/>
          <w:sz w:val="22"/>
          <w:szCs w:val="24"/>
        </w:rPr>
        <w:t xml:space="preserve">oproti roku 2009 </w:t>
      </w:r>
      <w:r w:rsidRPr="00571936">
        <w:rPr>
          <w:rFonts w:ascii="Arial Narrow" w:hAnsi="Arial Narrow" w:cs="Arial Narrow"/>
          <w:b/>
          <w:sz w:val="22"/>
          <w:szCs w:val="24"/>
        </w:rPr>
        <w:t>o 10,0 %</w:t>
      </w:r>
      <w:r>
        <w:rPr>
          <w:rFonts w:ascii="Arial Narrow" w:hAnsi="Arial Narrow" w:cs="Arial Narrow"/>
          <w:sz w:val="22"/>
          <w:szCs w:val="24"/>
        </w:rPr>
        <w:t>. Financovanie vedy a techniky v roku 2010 sa v podmienkach Slovenskej republiky realizuje z viacerých verejných zdrojov.</w:t>
      </w:r>
    </w:p>
    <w:p w:rsidR="00312541" w:rsidP="00312541">
      <w:pPr>
        <w:ind w:firstLine="708"/>
        <w:jc w:val="both"/>
        <w:rPr>
          <w:rFonts w:ascii="Arial Narrow" w:hAnsi="Arial Narrow" w:cs="Arial Narrow"/>
          <w:sz w:val="22"/>
          <w:szCs w:val="24"/>
        </w:rPr>
      </w:pPr>
    </w:p>
    <w:tbl>
      <w:tblPr>
        <w:tblStyle w:val="TableNormal"/>
        <w:tblW w:w="5000" w:type="pct"/>
        <w:tblInd w:w="0" w:type="dxa"/>
        <w:tblCellMar>
          <w:left w:w="70" w:type="dxa"/>
          <w:right w:w="70" w:type="dxa"/>
        </w:tblCellMar>
        <w:tblLook w:val="00A0"/>
      </w:tblPr>
      <w:tblGrid>
        <w:gridCol w:w="4864"/>
        <w:gridCol w:w="1109"/>
        <w:gridCol w:w="1109"/>
        <w:gridCol w:w="1065"/>
        <w:gridCol w:w="1065"/>
      </w:tblGrid>
      <w:tr>
        <w:tblPrEx>
          <w:tblW w:w="5000" w:type="pct"/>
          <w:tblInd w:w="0" w:type="dxa"/>
          <w:tblCellMar>
            <w:left w:w="70" w:type="dxa"/>
            <w:right w:w="70" w:type="dxa"/>
          </w:tblCellMar>
          <w:tblLook w:val="00A0"/>
        </w:tblPrEx>
        <w:trPr>
          <w:trHeight w:val="301"/>
        </w:trPr>
        <w:tc>
          <w:tcPr>
            <w:tcW w:w="2639" w:type="pct"/>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tcPr>
          <w:p w:rsidR="00312541" w:rsidRPr="00220276" w:rsidP="00A70AF6">
            <w:pPr>
              <w:rPr>
                <w:rFonts w:ascii="Arial Narrow" w:hAnsi="Arial Narrow" w:cs="Arial Narrow"/>
                <w:color w:val="FFFFFF"/>
                <w:sz w:val="20"/>
                <w:szCs w:val="24"/>
                <w:lang w:eastAsia="sk-SK"/>
              </w:rPr>
            </w:pPr>
            <w:r w:rsidRPr="00220276">
              <w:rPr>
                <w:rFonts w:ascii="Arial Narrow" w:hAnsi="Arial Narrow" w:cs="Arial Narrow"/>
                <w:color w:val="FFFFFF"/>
                <w:sz w:val="20"/>
                <w:szCs w:val="24"/>
                <w:lang w:eastAsia="sk-SK"/>
              </w:rPr>
              <w:t> </w:t>
            </w:r>
            <w:r w:rsidRPr="00220276">
              <w:rPr>
                <w:rFonts w:ascii="Arial Narrow" w:hAnsi="Arial Narrow" w:cs="Arial Narrow"/>
                <w:b/>
                <w:color w:val="FFFFFF"/>
                <w:sz w:val="20"/>
                <w:szCs w:val="24"/>
                <w:lang w:eastAsia="sk-SK"/>
              </w:rPr>
              <w:t>(tis. eur)</w:t>
            </w:r>
          </w:p>
        </w:tc>
        <w:tc>
          <w:tcPr>
            <w:tcW w:w="602"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220276" w:rsidP="00A70AF6">
            <w:pPr>
              <w:jc w:val="center"/>
              <w:rPr>
                <w:rFonts w:ascii="Arial Narrow" w:hAnsi="Arial Narrow" w:cs="Arial Narrow"/>
                <w:b/>
                <w:color w:val="FFFFFF"/>
                <w:sz w:val="20"/>
                <w:szCs w:val="24"/>
                <w:lang w:eastAsia="sk-SK"/>
              </w:rPr>
            </w:pPr>
            <w:r w:rsidRPr="00220276">
              <w:rPr>
                <w:rFonts w:ascii="Arial Narrow" w:hAnsi="Arial Narrow" w:cs="Arial Narrow"/>
                <w:b/>
                <w:color w:val="FFFFFF"/>
                <w:sz w:val="20"/>
                <w:szCs w:val="24"/>
                <w:lang w:eastAsia="sk-SK"/>
              </w:rPr>
              <w:t>2009</w:t>
            </w:r>
          </w:p>
        </w:tc>
        <w:tc>
          <w:tcPr>
            <w:tcW w:w="602"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220276" w:rsidP="00A70AF6">
            <w:pPr>
              <w:jc w:val="center"/>
              <w:rPr>
                <w:rFonts w:ascii="Arial Narrow" w:hAnsi="Arial Narrow" w:cs="Arial Narrow"/>
                <w:b/>
                <w:color w:val="FFFFFF"/>
                <w:sz w:val="20"/>
                <w:szCs w:val="24"/>
                <w:lang w:eastAsia="sk-SK"/>
              </w:rPr>
            </w:pPr>
            <w:r w:rsidRPr="00220276">
              <w:rPr>
                <w:rFonts w:ascii="Arial Narrow" w:hAnsi="Arial Narrow" w:cs="Arial Narrow"/>
                <w:b/>
                <w:color w:val="FFFFFF"/>
                <w:sz w:val="20"/>
                <w:szCs w:val="24"/>
                <w:lang w:eastAsia="sk-SK"/>
              </w:rPr>
              <w:t>2010</w:t>
            </w:r>
          </w:p>
        </w:tc>
        <w:tc>
          <w:tcPr>
            <w:tcW w:w="578"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220276" w:rsidP="00A70AF6">
            <w:pPr>
              <w:jc w:val="center"/>
              <w:rPr>
                <w:rFonts w:ascii="Arial Narrow" w:hAnsi="Arial Narrow" w:cs="Arial Narrow"/>
                <w:b/>
                <w:color w:val="FFFFFF"/>
                <w:sz w:val="20"/>
                <w:szCs w:val="24"/>
                <w:lang w:eastAsia="sk-SK"/>
              </w:rPr>
            </w:pPr>
            <w:r w:rsidRPr="00220276">
              <w:rPr>
                <w:rFonts w:ascii="Arial Narrow" w:hAnsi="Arial Narrow" w:cs="Arial Narrow"/>
                <w:b/>
                <w:color w:val="FFFFFF"/>
                <w:sz w:val="20"/>
                <w:szCs w:val="24"/>
                <w:lang w:eastAsia="sk-SK"/>
              </w:rPr>
              <w:t>2011</w:t>
            </w:r>
          </w:p>
        </w:tc>
        <w:tc>
          <w:tcPr>
            <w:tcW w:w="578"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220276" w:rsidP="00A70AF6">
            <w:pPr>
              <w:jc w:val="center"/>
              <w:rPr>
                <w:rFonts w:ascii="Arial Narrow" w:hAnsi="Arial Narrow" w:cs="Arial Narrow"/>
                <w:b/>
                <w:color w:val="FFFFFF"/>
                <w:sz w:val="20"/>
                <w:szCs w:val="24"/>
                <w:lang w:eastAsia="sk-SK"/>
              </w:rPr>
            </w:pPr>
            <w:r w:rsidRPr="00220276">
              <w:rPr>
                <w:rFonts w:ascii="Arial Narrow" w:hAnsi="Arial Narrow" w:cs="Arial Narrow"/>
                <w:b/>
                <w:color w:val="FFFFFF"/>
                <w:sz w:val="20"/>
                <w:szCs w:val="24"/>
                <w:lang w:eastAsia="sk-SK"/>
              </w:rPr>
              <w:t>2012</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Veda a technika v MŠ SR</w:t>
            </w:r>
          </w:p>
        </w:tc>
        <w:tc>
          <w:tcPr>
            <w:tcW w:w="602"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110 321</w:t>
            </w:r>
          </w:p>
        </w:tc>
        <w:tc>
          <w:tcPr>
            <w:tcW w:w="602"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98 167</w:t>
            </w:r>
          </w:p>
        </w:tc>
        <w:tc>
          <w:tcPr>
            <w:tcW w:w="578"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71 394</w:t>
            </w:r>
          </w:p>
        </w:tc>
        <w:tc>
          <w:tcPr>
            <w:tcW w:w="578"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71 287</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Prostriedky  EÚ a spolufinancovanie  zo ŠR v MŠ SR</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171 789</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239 828</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263 112</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262 757</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Časť miezd pedagogických pracovníkov VŠ</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33 194</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33 194</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33 194</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33 194</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Členské príspevky medzinárodným organizáciám v MŠ SR</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7 036</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7 657</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7 657</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7 657</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Slovenská akadémia vied</w:t>
            </w:r>
          </w:p>
        </w:tc>
        <w:tc>
          <w:tcPr>
            <w:tcW w:w="602"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61 624</w:t>
            </w:r>
          </w:p>
        </w:tc>
        <w:tc>
          <w:tcPr>
            <w:tcW w:w="602"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54 558</w:t>
            </w:r>
          </w:p>
        </w:tc>
        <w:tc>
          <w:tcPr>
            <w:tcW w:w="578"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56 402</w:t>
            </w:r>
          </w:p>
        </w:tc>
        <w:tc>
          <w:tcPr>
            <w:tcW w:w="578" w:type="pct"/>
            <w:tcBorders>
              <w:top w:val="nil"/>
              <w:left w:val="nil"/>
              <w:bottom w:val="single" w:sz="4" w:space="0" w:color="auto"/>
              <w:right w:val="single" w:sz="4" w:space="0" w:color="auto"/>
            </w:tcBorders>
            <w:shd w:val="clear" w:color="000000" w:fill="FFFFFF"/>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56 471</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sz w:val="20"/>
                <w:szCs w:val="24"/>
                <w:lang w:eastAsia="sk-SK"/>
              </w:rPr>
            </w:pPr>
            <w:r w:rsidRPr="00220276">
              <w:rPr>
                <w:rFonts w:ascii="Arial Narrow" w:hAnsi="Arial Narrow" w:cs="Arial Narrow"/>
                <w:sz w:val="20"/>
                <w:szCs w:val="24"/>
                <w:lang w:eastAsia="sk-SK"/>
              </w:rPr>
              <w:t xml:space="preserve">Rezortná veda </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30 870</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23 080</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27 727</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sz w:val="20"/>
                <w:szCs w:val="24"/>
                <w:lang w:eastAsia="sk-SK"/>
              </w:rPr>
            </w:pPr>
            <w:r w:rsidRPr="00220276">
              <w:rPr>
                <w:rFonts w:ascii="Arial Narrow" w:hAnsi="Arial Narrow" w:cs="Arial Narrow"/>
                <w:sz w:val="20"/>
                <w:szCs w:val="24"/>
                <w:lang w:eastAsia="sk-SK"/>
              </w:rPr>
              <w:t>28 110</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shd w:val="clear" w:color="000000" w:fill="969696"/>
            <w:noWrap/>
            <w:textDirection w:val="lrTb"/>
            <w:vAlign w:val="center"/>
          </w:tcPr>
          <w:p w:rsidR="00312541" w:rsidRPr="00220276" w:rsidP="00A70AF6">
            <w:pPr>
              <w:rPr>
                <w:rFonts w:ascii="Arial Narrow" w:hAnsi="Arial Narrow" w:cs="Arial Narrow"/>
                <w:b/>
                <w:sz w:val="20"/>
                <w:szCs w:val="24"/>
                <w:lang w:eastAsia="sk-SK"/>
              </w:rPr>
            </w:pPr>
            <w:r w:rsidRPr="00220276">
              <w:rPr>
                <w:rFonts w:ascii="Arial Narrow" w:hAnsi="Arial Narrow" w:cs="Arial Narrow"/>
                <w:b/>
                <w:sz w:val="20"/>
                <w:szCs w:val="24"/>
                <w:lang w:eastAsia="sk-SK"/>
              </w:rPr>
              <w:t>Výdavky na vedy a techniku celkom</w:t>
            </w:r>
          </w:p>
        </w:tc>
        <w:tc>
          <w:tcPr>
            <w:tcW w:w="602" w:type="pct"/>
            <w:tcBorders>
              <w:top w:val="nil"/>
              <w:left w:val="nil"/>
              <w:bottom w:val="single" w:sz="4" w:space="0" w:color="auto"/>
              <w:right w:val="single" w:sz="4" w:space="0" w:color="auto"/>
            </w:tcBorders>
            <w:shd w:val="clear" w:color="000000" w:fill="969696"/>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414 834</w:t>
            </w:r>
          </w:p>
        </w:tc>
        <w:tc>
          <w:tcPr>
            <w:tcW w:w="602" w:type="pct"/>
            <w:tcBorders>
              <w:top w:val="nil"/>
              <w:left w:val="nil"/>
              <w:bottom w:val="single" w:sz="4" w:space="0" w:color="auto"/>
              <w:right w:val="single" w:sz="4" w:space="0" w:color="auto"/>
            </w:tcBorders>
            <w:shd w:val="clear" w:color="000000" w:fill="969696"/>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456 483</w:t>
            </w:r>
          </w:p>
        </w:tc>
        <w:tc>
          <w:tcPr>
            <w:tcW w:w="578" w:type="pct"/>
            <w:tcBorders>
              <w:top w:val="nil"/>
              <w:left w:val="nil"/>
              <w:bottom w:val="single" w:sz="4" w:space="0" w:color="auto"/>
              <w:right w:val="single" w:sz="4" w:space="0" w:color="auto"/>
            </w:tcBorders>
            <w:shd w:val="clear" w:color="000000" w:fill="969696"/>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459 486</w:t>
            </w:r>
          </w:p>
        </w:tc>
        <w:tc>
          <w:tcPr>
            <w:tcW w:w="578" w:type="pct"/>
            <w:tcBorders>
              <w:top w:val="nil"/>
              <w:left w:val="nil"/>
              <w:bottom w:val="single" w:sz="4" w:space="0" w:color="auto"/>
              <w:right w:val="single" w:sz="4" w:space="0" w:color="auto"/>
            </w:tcBorders>
            <w:shd w:val="clear" w:color="000000" w:fill="969696"/>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459 476</w:t>
            </w:r>
          </w:p>
        </w:tc>
      </w:tr>
      <w:tr>
        <w:tblPrEx>
          <w:tblW w:w="5000" w:type="pct"/>
          <w:tblInd w:w="0" w:type="dxa"/>
          <w:tblCellMar>
            <w:left w:w="70" w:type="dxa"/>
            <w:right w:w="70" w:type="dxa"/>
          </w:tblCellMar>
          <w:tblLook w:val="00A0"/>
        </w:tblPrEx>
        <w:trPr>
          <w:trHeight w:val="301"/>
        </w:trPr>
        <w:tc>
          <w:tcPr>
            <w:tcW w:w="2639" w:type="pct"/>
            <w:tcBorders>
              <w:top w:val="nil"/>
              <w:left w:val="single" w:sz="4" w:space="0" w:color="auto"/>
              <w:bottom w:val="single" w:sz="4" w:space="0" w:color="auto"/>
              <w:right w:val="single" w:sz="4" w:space="0" w:color="auto"/>
            </w:tcBorders>
            <w:noWrap/>
            <w:textDirection w:val="lrTb"/>
            <w:vAlign w:val="center"/>
          </w:tcPr>
          <w:p w:rsidR="00312541" w:rsidRPr="00220276" w:rsidP="00A70AF6">
            <w:pPr>
              <w:rPr>
                <w:rFonts w:ascii="Arial Narrow" w:hAnsi="Arial Narrow" w:cs="Arial Narrow"/>
                <w:b/>
                <w:sz w:val="20"/>
                <w:szCs w:val="24"/>
                <w:lang w:eastAsia="sk-SK"/>
              </w:rPr>
            </w:pPr>
            <w:r w:rsidRPr="00220276">
              <w:rPr>
                <w:rFonts w:ascii="Arial Narrow" w:hAnsi="Arial Narrow" w:cs="Arial Narrow"/>
                <w:b/>
                <w:sz w:val="20"/>
                <w:szCs w:val="24"/>
                <w:lang w:eastAsia="sk-SK"/>
              </w:rPr>
              <w:t>Podiel na HDP</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0,65%</w:t>
            </w:r>
          </w:p>
        </w:tc>
        <w:tc>
          <w:tcPr>
            <w:tcW w:w="602"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0,68%</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0,63%</w:t>
            </w:r>
          </w:p>
        </w:tc>
        <w:tc>
          <w:tcPr>
            <w:tcW w:w="578" w:type="pct"/>
            <w:tcBorders>
              <w:top w:val="nil"/>
              <w:left w:val="nil"/>
              <w:bottom w:val="single" w:sz="4" w:space="0" w:color="auto"/>
              <w:right w:val="single" w:sz="4" w:space="0" w:color="auto"/>
            </w:tcBorders>
            <w:noWrap/>
            <w:textDirection w:val="lrTb"/>
            <w:vAlign w:val="center"/>
          </w:tcPr>
          <w:p w:rsidR="00312541" w:rsidRPr="00220276" w:rsidP="00A70AF6">
            <w:pPr>
              <w:jc w:val="right"/>
              <w:rPr>
                <w:rFonts w:ascii="Arial Narrow" w:hAnsi="Arial Narrow" w:cs="Arial Narrow"/>
                <w:b/>
                <w:sz w:val="20"/>
                <w:szCs w:val="24"/>
                <w:lang w:eastAsia="sk-SK"/>
              </w:rPr>
            </w:pPr>
            <w:r w:rsidRPr="00220276">
              <w:rPr>
                <w:rFonts w:ascii="Arial Narrow" w:hAnsi="Arial Narrow" w:cs="Arial Narrow"/>
                <w:b/>
                <w:sz w:val="20"/>
                <w:szCs w:val="24"/>
                <w:lang w:eastAsia="sk-SK"/>
              </w:rPr>
              <w:t>0,58%</w:t>
            </w:r>
          </w:p>
        </w:tc>
      </w:tr>
    </w:tbl>
    <w:p w:rsidR="00312541" w:rsidP="00312541">
      <w:pPr>
        <w:ind w:firstLine="708"/>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RPr="00E51AAD" w:rsidP="00312541">
      <w:pPr>
        <w:ind w:firstLine="708"/>
        <w:jc w:val="both"/>
        <w:rPr>
          <w:rFonts w:ascii="Arial Narrow" w:hAnsi="Arial Narrow" w:cs="Arial Narrow"/>
          <w:sz w:val="22"/>
          <w:szCs w:val="24"/>
        </w:rPr>
      </w:pPr>
      <w:r w:rsidRPr="00E51AAD">
        <w:rPr>
          <w:rFonts w:ascii="Arial Narrow" w:hAnsi="Arial Narrow" w:cs="Arial Narrow"/>
          <w:sz w:val="22"/>
          <w:szCs w:val="24"/>
        </w:rPr>
        <w:t xml:space="preserve">Výdavky Ministerstva školstva SR na vedu a techniku tvoria najvýznamnejšiu položku výdavkov na vedu. Tieto výdavky sú tvorené hlavne výdavkami na podporu </w:t>
      </w:r>
      <w:r w:rsidRPr="00E51AAD">
        <w:rPr>
          <w:rFonts w:ascii="Arial Narrow" w:hAnsi="Arial Narrow" w:cs="Arial Narrow"/>
          <w:b/>
          <w:sz w:val="22"/>
          <w:szCs w:val="24"/>
        </w:rPr>
        <w:t>vysokoškolskej vedy a techniky</w:t>
      </w:r>
      <w:r>
        <w:rPr>
          <w:rFonts w:ascii="Arial Narrow" w:hAnsi="Arial Narrow" w:cs="Arial Narrow"/>
          <w:sz w:val="22"/>
          <w:szCs w:val="24"/>
        </w:rPr>
        <w:t xml:space="preserve">, </w:t>
      </w:r>
      <w:r>
        <w:rPr>
          <w:rFonts w:ascii="Arial Narrow" w:hAnsi="Arial Narrow" w:cs="Arial Narrow"/>
          <w:b/>
          <w:sz w:val="22"/>
          <w:szCs w:val="24"/>
        </w:rPr>
        <w:t>mzdovými</w:t>
      </w:r>
      <w:r w:rsidRPr="00E51AAD">
        <w:rPr>
          <w:rFonts w:ascii="Arial Narrow" w:hAnsi="Arial Narrow" w:cs="Arial Narrow"/>
          <w:b/>
          <w:sz w:val="22"/>
          <w:szCs w:val="24"/>
        </w:rPr>
        <w:t xml:space="preserve"> výdavk</w:t>
      </w:r>
      <w:r>
        <w:rPr>
          <w:rFonts w:ascii="Arial Narrow" w:hAnsi="Arial Narrow" w:cs="Arial Narrow"/>
          <w:b/>
          <w:sz w:val="22"/>
          <w:szCs w:val="24"/>
        </w:rPr>
        <w:t>ami</w:t>
      </w:r>
      <w:r w:rsidRPr="00E51AAD">
        <w:rPr>
          <w:rFonts w:ascii="Arial Narrow" w:hAnsi="Arial Narrow" w:cs="Arial Narrow"/>
          <w:b/>
          <w:sz w:val="22"/>
          <w:szCs w:val="24"/>
        </w:rPr>
        <w:t xml:space="preserve"> na pedagogických pracovníkov vysokých škôl</w:t>
      </w:r>
      <w:r w:rsidRPr="00E51AAD">
        <w:rPr>
          <w:rFonts w:ascii="Arial Narrow" w:hAnsi="Arial Narrow" w:cs="Arial Narrow"/>
          <w:sz w:val="22"/>
          <w:szCs w:val="24"/>
        </w:rPr>
        <w:t xml:space="preserve">, ktorých pracovnou náplňou je okrem pedagogickej činnosti aj vedecká činnosť (300 – 500 hodín vedeckej činnosti ročne). To znamená, že približne jedna pätina celkových mzdových nákladov pedagogických pracovníkov vysokých škôl smeruje taktiež do oblasti vedy a techniky. </w:t>
      </w:r>
    </w:p>
    <w:p w:rsidR="00312541" w:rsidRPr="00E51AAD" w:rsidP="00312541">
      <w:pPr>
        <w:jc w:val="both"/>
        <w:rPr>
          <w:rFonts w:ascii="Arial Narrow" w:hAnsi="Arial Narrow" w:cs="Arial Narrow"/>
          <w:sz w:val="22"/>
          <w:szCs w:val="24"/>
        </w:rPr>
      </w:pPr>
    </w:p>
    <w:p w:rsidR="00312541" w:rsidRPr="00E51AAD" w:rsidP="00312541">
      <w:pPr>
        <w:ind w:firstLine="708"/>
        <w:jc w:val="both"/>
        <w:rPr>
          <w:rFonts w:ascii="Arial Narrow" w:hAnsi="Arial Narrow" w:cs="Arial Narrow"/>
          <w:sz w:val="22"/>
          <w:szCs w:val="24"/>
        </w:rPr>
      </w:pPr>
      <w:r w:rsidRPr="00E51AAD">
        <w:rPr>
          <w:rFonts w:ascii="Arial Narrow" w:hAnsi="Arial Narrow" w:cs="Arial Narrow"/>
          <w:b/>
          <w:sz w:val="22"/>
          <w:szCs w:val="24"/>
        </w:rPr>
        <w:t>Agentúra na podporu výskumu a vývoja</w:t>
      </w:r>
      <w:r w:rsidRPr="00E51AAD">
        <w:rPr>
          <w:rFonts w:ascii="Arial Narrow" w:hAnsi="Arial Narrow" w:cs="Arial Narrow"/>
          <w:sz w:val="22"/>
          <w:szCs w:val="24"/>
        </w:rPr>
        <w:t xml:space="preserve"> (APVV) predstavuje druhú najvýznamnejšiu položku výdavkov na vedu a techniku z ministerstva školstva. Úlohou agentúry je podpora projektov výskumu a vývoja.</w:t>
      </w:r>
    </w:p>
    <w:p w:rsidR="00312541" w:rsidRPr="00B6013B" w:rsidP="00312541">
      <w:pPr>
        <w:jc w:val="both"/>
        <w:rPr>
          <w:rFonts w:ascii="Arial Narrow" w:hAnsi="Arial Narrow" w:cs="Arial Narrow"/>
          <w:sz w:val="22"/>
          <w:szCs w:val="24"/>
          <w:highlight w:val="yellow"/>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Neposledným významným zdrojom financovania vedy a techniky z verejných zdrojov v kapitole MŠ SR sú aj </w:t>
      </w:r>
      <w:r>
        <w:rPr>
          <w:rFonts w:ascii="Arial Narrow" w:hAnsi="Arial Narrow" w:cs="Arial Narrow"/>
          <w:b/>
          <w:sz w:val="22"/>
          <w:szCs w:val="24"/>
        </w:rPr>
        <w:t>finančné zdroje zo štrukturálnych fondov EÚ</w:t>
      </w:r>
      <w:r>
        <w:rPr>
          <w:rFonts w:ascii="Arial Narrow" w:hAnsi="Arial Narrow" w:cs="Arial Narrow"/>
          <w:sz w:val="22"/>
          <w:szCs w:val="24"/>
        </w:rPr>
        <w:t xml:space="preserve"> z druhého programového obdobia, ktoré predstavujú sumu vo výške 240 mil. eur.</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b/>
          <w:sz w:val="22"/>
          <w:szCs w:val="24"/>
        </w:rPr>
        <w:t>Slovenská akadémia vied</w:t>
      </w:r>
      <w:r>
        <w:rPr>
          <w:rFonts w:ascii="Arial Narrow" w:hAnsi="Arial Narrow" w:cs="Arial Narrow"/>
          <w:sz w:val="22"/>
          <w:szCs w:val="24"/>
        </w:rPr>
        <w:t xml:space="preserve"> ako najvýznamnejší predstaviteľ základného výskumu v Slovenskej republike predstavuje druhú najväčšiu položku na celkovej sume výdavkov na základný výskum a to 54,6 mil. eur. Kapitola realizuje okrem základného výskumu aj tretí stupeň vzdelávania (doktorandské štúdium). </w:t>
      </w:r>
    </w:p>
    <w:p w:rsidR="00312541" w:rsidP="00312541">
      <w:pPr>
        <w:pStyle w:val="BodyText2"/>
        <w:spacing w:line="240" w:lineRule="auto"/>
        <w:ind w:left="283"/>
        <w:jc w:val="both"/>
        <w:rPr>
          <w:rFonts w:ascii="Arial Narrow" w:hAnsi="Arial Narrow" w:cs="Arial Narrow"/>
          <w:b/>
          <w:sz w:val="22"/>
          <w:szCs w:val="24"/>
        </w:rPr>
      </w:pPr>
    </w:p>
    <w:p w:rsidR="00312541" w:rsidP="00312541">
      <w:pPr>
        <w:pStyle w:val="BodyText2"/>
        <w:spacing w:line="240" w:lineRule="auto"/>
        <w:ind w:firstLine="708"/>
        <w:jc w:val="both"/>
        <w:rPr>
          <w:rFonts w:ascii="Arial Narrow" w:hAnsi="Arial Narrow" w:cs="Arial Narrow"/>
          <w:sz w:val="22"/>
          <w:szCs w:val="24"/>
        </w:rPr>
      </w:pPr>
      <w:r>
        <w:rPr>
          <w:rFonts w:ascii="Arial Narrow" w:hAnsi="Arial Narrow" w:cs="Arial Narrow"/>
          <w:b/>
          <w:sz w:val="22"/>
          <w:szCs w:val="24"/>
        </w:rPr>
        <w:t>Rezortná veda</w:t>
      </w:r>
      <w:r>
        <w:rPr>
          <w:rFonts w:ascii="Arial Narrow" w:hAnsi="Arial Narrow" w:cs="Arial Narrow"/>
          <w:sz w:val="22"/>
          <w:szCs w:val="24"/>
        </w:rPr>
        <w:t xml:space="preserve"> predstavuje ďalší priestor realizácie výskumu a vývoja v SR organizáciami kapitol štátneho rozpočtu. Do celkovej sumy výdavkov na </w:t>
      </w:r>
      <w:r w:rsidRPr="000A0F2A">
        <w:rPr>
          <w:rFonts w:ascii="Arial Narrow" w:hAnsi="Arial Narrow" w:cs="Arial Narrow"/>
          <w:sz w:val="22"/>
          <w:szCs w:val="24"/>
        </w:rPr>
        <w:t>výskum</w:t>
      </w:r>
      <w:r>
        <w:rPr>
          <w:rFonts w:ascii="Arial Narrow" w:hAnsi="Arial Narrow" w:cs="Arial Narrow"/>
          <w:sz w:val="22"/>
          <w:szCs w:val="24"/>
        </w:rPr>
        <w:t xml:space="preserve"> </w:t>
      </w:r>
      <w:r w:rsidRPr="000A0F2A">
        <w:rPr>
          <w:rFonts w:ascii="Arial Narrow" w:hAnsi="Arial Narrow" w:cs="Arial Narrow"/>
          <w:sz w:val="22"/>
          <w:szCs w:val="24"/>
        </w:rPr>
        <w:t>a</w:t>
      </w:r>
      <w:r>
        <w:rPr>
          <w:rFonts w:ascii="Arial Narrow" w:hAnsi="Arial Narrow" w:cs="Arial Narrow"/>
          <w:sz w:val="22"/>
          <w:szCs w:val="24"/>
        </w:rPr>
        <w:t> </w:t>
      </w:r>
      <w:r w:rsidRPr="000A0F2A">
        <w:rPr>
          <w:rFonts w:ascii="Arial Narrow" w:hAnsi="Arial Narrow" w:cs="Arial Narrow"/>
          <w:sz w:val="22"/>
          <w:szCs w:val="24"/>
        </w:rPr>
        <w:t>vývoj</w:t>
      </w:r>
      <w:r>
        <w:rPr>
          <w:rFonts w:ascii="Arial Narrow" w:hAnsi="Arial Narrow" w:cs="Arial Narrow"/>
          <w:sz w:val="22"/>
          <w:szCs w:val="24"/>
        </w:rPr>
        <w:t xml:space="preserve">, </w:t>
      </w:r>
      <w:r w:rsidRPr="000A0F2A">
        <w:rPr>
          <w:rFonts w:ascii="Arial Narrow" w:hAnsi="Arial Narrow" w:cs="Arial Narrow"/>
          <w:sz w:val="22"/>
          <w:szCs w:val="24"/>
        </w:rPr>
        <w:t>určených pre výskumné organizácie rezortov</w:t>
      </w:r>
      <w:r>
        <w:rPr>
          <w:rFonts w:ascii="Arial Narrow" w:hAnsi="Arial Narrow" w:cs="Arial Narrow"/>
          <w:sz w:val="22"/>
          <w:szCs w:val="24"/>
        </w:rPr>
        <w:t>,</w:t>
      </w:r>
      <w:r w:rsidRPr="000A0F2A">
        <w:rPr>
          <w:rFonts w:ascii="Arial Narrow" w:hAnsi="Arial Narrow" w:cs="Arial Narrow"/>
          <w:sz w:val="22"/>
          <w:szCs w:val="24"/>
        </w:rPr>
        <w:t xml:space="preserve"> prispievajú sumou vo výške </w:t>
      </w:r>
      <w:r>
        <w:rPr>
          <w:rFonts w:ascii="Arial Narrow" w:hAnsi="Arial Narrow" w:cs="Arial Narrow"/>
          <w:b/>
          <w:sz w:val="22"/>
          <w:szCs w:val="24"/>
        </w:rPr>
        <w:t>23,1</w:t>
      </w:r>
      <w:r w:rsidRPr="000A0F2A">
        <w:rPr>
          <w:rFonts w:ascii="Arial Narrow" w:hAnsi="Arial Narrow" w:cs="Arial Narrow"/>
          <w:b/>
          <w:sz w:val="22"/>
          <w:szCs w:val="24"/>
        </w:rPr>
        <w:t xml:space="preserve"> </w:t>
      </w:r>
      <w:r>
        <w:rPr>
          <w:rFonts w:ascii="Arial Narrow" w:hAnsi="Arial Narrow" w:cs="Arial Narrow"/>
          <w:b/>
          <w:sz w:val="22"/>
          <w:szCs w:val="24"/>
        </w:rPr>
        <w:t>mil.</w:t>
      </w:r>
      <w:r w:rsidRPr="000A0F2A">
        <w:rPr>
          <w:rFonts w:ascii="Arial Narrow" w:hAnsi="Arial Narrow" w:cs="Arial Narrow"/>
          <w:b/>
          <w:sz w:val="22"/>
          <w:szCs w:val="24"/>
        </w:rPr>
        <w:t xml:space="preserve"> eur</w:t>
      </w:r>
      <w:r w:rsidRPr="000A0F2A">
        <w:rPr>
          <w:rFonts w:ascii="Arial Narrow" w:hAnsi="Arial Narrow" w:cs="Arial Narrow"/>
          <w:sz w:val="22"/>
          <w:szCs w:val="24"/>
        </w:rPr>
        <w:t>, kde</w:t>
      </w:r>
      <w:r>
        <w:rPr>
          <w:rFonts w:ascii="Arial Narrow" w:hAnsi="Arial Narrow" w:cs="Arial Narrow"/>
          <w:sz w:val="22"/>
          <w:szCs w:val="24"/>
        </w:rPr>
        <w:t xml:space="preserve"> najväčšiu časť tvoria výdavky Ministerstva pôdohospodárstva SR a Ministerstva zdravotníctva SR.</w:t>
      </w:r>
    </w:p>
    <w:p w:rsidR="00312541" w:rsidP="00312541">
      <w:pPr>
        <w:jc w:val="both"/>
        <w:rPr>
          <w:rFonts w:ascii="Arial Narrow" w:hAnsi="Arial Narrow" w:cs="Arial Narrow"/>
          <w:sz w:val="22"/>
          <w:szCs w:val="24"/>
        </w:rPr>
      </w:pPr>
      <w:r>
        <w:rPr>
          <w:rFonts w:ascii="Arial Narrow" w:hAnsi="Arial Narrow" w:cs="Arial Narrow"/>
          <w:sz w:val="22"/>
          <w:szCs w:val="24"/>
        </w:rPr>
        <w:t xml:space="preserve"> </w:t>
      </w:r>
    </w:p>
    <w:p w:rsidR="00312541" w:rsidRPr="00F76C72" w:rsidP="00312541">
      <w:pPr>
        <w:jc w:val="both"/>
        <w:rPr>
          <w:rFonts w:ascii="Arial Narrow" w:hAnsi="Arial Narrow" w:cs="Arial Narrow"/>
          <w:b/>
          <w:sz w:val="22"/>
          <w:szCs w:val="24"/>
        </w:rPr>
      </w:pPr>
      <w:r w:rsidRPr="00F76C72">
        <w:rPr>
          <w:rFonts w:ascii="Arial Narrow" w:hAnsi="Arial Narrow" w:cs="Arial Narrow"/>
          <w:b/>
          <w:sz w:val="22"/>
          <w:szCs w:val="24"/>
        </w:rPr>
        <w:t>Šport</w:t>
      </w:r>
    </w:p>
    <w:p w:rsidR="00312541" w:rsidRPr="00F76C72" w:rsidP="00312541">
      <w:pPr>
        <w:jc w:val="both"/>
        <w:rPr>
          <w:rFonts w:ascii="Arial Narrow" w:hAnsi="Arial Narrow" w:cs="Arial Narrow"/>
          <w:sz w:val="22"/>
          <w:szCs w:val="24"/>
        </w:rPr>
      </w:pPr>
    </w:p>
    <w:p w:rsidR="00312541" w:rsidRPr="00B8666A" w:rsidP="00312541">
      <w:pPr>
        <w:ind w:firstLine="708"/>
        <w:jc w:val="both"/>
        <w:rPr>
          <w:rFonts w:ascii="Arial Narrow" w:hAnsi="Arial Narrow" w:cs="Arial Narrow"/>
          <w:sz w:val="22"/>
          <w:szCs w:val="24"/>
        </w:rPr>
      </w:pPr>
      <w:r w:rsidRPr="00571936">
        <w:rPr>
          <w:rFonts w:ascii="Arial Narrow" w:hAnsi="Arial Narrow" w:cs="Arial Narrow"/>
          <w:b/>
          <w:sz w:val="22"/>
          <w:szCs w:val="24"/>
        </w:rPr>
        <w:t>Verejné výdavky na podporu športu</w:t>
      </w:r>
      <w:r w:rsidRPr="00F76C72">
        <w:rPr>
          <w:rFonts w:ascii="Arial Narrow" w:hAnsi="Arial Narrow" w:cs="Arial Narrow"/>
          <w:sz w:val="22"/>
          <w:szCs w:val="24"/>
        </w:rPr>
        <w:t xml:space="preserve"> </w:t>
      </w:r>
      <w:r>
        <w:rPr>
          <w:rFonts w:ascii="Arial Narrow" w:hAnsi="Arial Narrow" w:cs="Arial Narrow"/>
          <w:sz w:val="22"/>
          <w:szCs w:val="24"/>
        </w:rPr>
        <w:t xml:space="preserve">v roku 2010 oproti roku 2009 </w:t>
      </w:r>
      <w:r w:rsidRPr="00571936">
        <w:rPr>
          <w:rFonts w:ascii="Arial Narrow" w:hAnsi="Arial Narrow" w:cs="Arial Narrow"/>
          <w:b/>
          <w:sz w:val="22"/>
          <w:szCs w:val="24"/>
        </w:rPr>
        <w:t>rastú</w:t>
      </w:r>
      <w:r>
        <w:rPr>
          <w:rFonts w:ascii="Arial Narrow" w:hAnsi="Arial Narrow" w:cs="Arial Narrow"/>
          <w:sz w:val="22"/>
          <w:szCs w:val="24"/>
        </w:rPr>
        <w:t xml:space="preserve">  o 54,6 mil. eur, t. j. </w:t>
      </w:r>
      <w:r w:rsidRPr="001567FF">
        <w:rPr>
          <w:rFonts w:ascii="Arial Narrow" w:hAnsi="Arial Narrow" w:cs="Arial Narrow"/>
          <w:b/>
          <w:sz w:val="22"/>
          <w:szCs w:val="24"/>
        </w:rPr>
        <w:t>106,5</w:t>
      </w:r>
      <w:r w:rsidRPr="00571936">
        <w:rPr>
          <w:rFonts w:ascii="Arial Narrow" w:hAnsi="Arial Narrow" w:cs="Arial Narrow"/>
          <w:b/>
          <w:sz w:val="22"/>
          <w:szCs w:val="24"/>
        </w:rPr>
        <w:t xml:space="preserve"> %</w:t>
      </w:r>
      <w:r w:rsidRPr="00F76C72">
        <w:rPr>
          <w:rFonts w:ascii="Arial Narrow" w:hAnsi="Arial Narrow" w:cs="Arial Narrow"/>
          <w:sz w:val="22"/>
          <w:szCs w:val="24"/>
        </w:rPr>
        <w:t>.</w:t>
      </w:r>
      <w:r>
        <w:rPr>
          <w:rFonts w:ascii="Arial Narrow" w:hAnsi="Arial Narrow" w:cs="Arial Narrow"/>
          <w:sz w:val="22"/>
          <w:szCs w:val="24"/>
        </w:rPr>
        <w:t xml:space="preserve"> Dôvodom zvýšenia objemu výdavkov na šport je najmä zabezpečenie rekonštrukcie Zimného štadióna Ondreja Nepelu v rokoch 2010 v sume 26,5 mil. eur a v roku 2011 v sume 14,0 mil. eur,</w:t>
      </w:r>
      <w:r w:rsidRPr="00555783">
        <w:rPr>
          <w:rFonts w:ascii="Arial Narrow" w:hAnsi="Arial Narrow" w:cs="Arial Narrow"/>
          <w:sz w:val="22"/>
          <w:szCs w:val="24"/>
        </w:rPr>
        <w:t xml:space="preserve"> </w:t>
      </w:r>
      <w:r>
        <w:rPr>
          <w:rFonts w:ascii="Arial Narrow" w:hAnsi="Arial Narrow" w:cs="Arial Narrow"/>
          <w:sz w:val="22"/>
          <w:szCs w:val="24"/>
        </w:rPr>
        <w:t xml:space="preserve">ktorý bude využitý pri organizovaní Majstrovstiev sveta v ľadovom hokeji v roku 2011 v Slovenskej republike. Ďalej v rokoch 2010 až 2012 bude financovaná výstavba futbalového štadióna pre potreby športovej reprezentácie SR v celkovej sume 69,1 mil. eur, z toho v rokoch 2010 a 2011 každoročne v sume 27,6 mil. eur a v roku 2012 v sume 13,8 mil. eur. </w:t>
      </w:r>
      <w:r w:rsidRPr="00B8666A">
        <w:rPr>
          <w:rFonts w:ascii="Arial Narrow" w:hAnsi="Arial Narrow" w:cs="Arial Narrow"/>
          <w:sz w:val="22"/>
          <w:szCs w:val="24"/>
        </w:rPr>
        <w:t xml:space="preserve">Po dokončení futbalového štadióna Hlavné mesto SR Bratislava zabezpečí jeho prevádzku tak, aby najmä národná futbalová reprezentácia a prvoligová mestská futbalová reprezentácia využívala štadión ako svoj domovský štadión, a aby bol celoročne využívaný aj na iné kultúrne a spoločenské podujatia v súlade s účelom štadióna. </w:t>
      </w:r>
    </w:p>
    <w:p w:rsidR="00312541" w:rsidP="00312541">
      <w:pPr>
        <w:ind w:firstLine="708"/>
        <w:jc w:val="both"/>
        <w:rPr>
          <w:rFonts w:ascii="Arial Narrow" w:hAnsi="Arial Narrow" w:cs="Arial Narrow"/>
          <w:sz w:val="22"/>
          <w:szCs w:val="24"/>
        </w:rPr>
      </w:pPr>
    </w:p>
    <w:tbl>
      <w:tblPr>
        <w:tblStyle w:val="TableNormal"/>
        <w:tblW w:w="5000" w:type="pct"/>
        <w:tblInd w:w="0" w:type="dxa"/>
        <w:tblCellMar>
          <w:left w:w="70" w:type="dxa"/>
          <w:right w:w="70" w:type="dxa"/>
        </w:tblCellMar>
        <w:tblLook w:val="00A0"/>
      </w:tblPr>
      <w:tblGrid>
        <w:gridCol w:w="2095"/>
        <w:gridCol w:w="1015"/>
        <w:gridCol w:w="1017"/>
        <w:gridCol w:w="1017"/>
        <w:gridCol w:w="1017"/>
        <w:gridCol w:w="1017"/>
        <w:gridCol w:w="1017"/>
        <w:gridCol w:w="1017"/>
      </w:tblGrid>
      <w:tr>
        <w:tblPrEx>
          <w:tblW w:w="5000" w:type="pct"/>
          <w:tblInd w:w="0" w:type="dxa"/>
          <w:tblCellMar>
            <w:left w:w="70" w:type="dxa"/>
            <w:right w:w="70" w:type="dxa"/>
          </w:tblCellMar>
          <w:tblLook w:val="00A0"/>
        </w:tblPrEx>
        <w:trPr>
          <w:trHeight w:val="255"/>
        </w:trPr>
        <w:tc>
          <w:tcPr>
            <w:tcW w:w="1137" w:type="pct"/>
            <w:tcBorders>
              <w:top w:val="single" w:sz="8" w:space="0" w:color="auto"/>
              <w:left w:val="single" w:sz="8" w:space="0" w:color="auto"/>
              <w:bottom w:val="single" w:sz="4" w:space="0" w:color="auto"/>
              <w:right w:val="single" w:sz="4" w:space="0" w:color="auto"/>
            </w:tcBorders>
            <w:shd w:val="clear" w:color="000000" w:fill="000000"/>
            <w:noWrap/>
            <w:textDirection w:val="lrTb"/>
            <w:vAlign w:val="bottom"/>
          </w:tcPr>
          <w:p w:rsidR="00312541" w:rsidP="00A70AF6">
            <w:pPr>
              <w:rPr>
                <w:rFonts w:ascii="Arial Narrow" w:hAnsi="Arial Narrow" w:cs="Arial Narrow"/>
                <w:color w:val="FFFFFF"/>
                <w:sz w:val="20"/>
                <w:szCs w:val="24"/>
              </w:rPr>
            </w:pPr>
            <w:r>
              <w:rPr>
                <w:rFonts w:ascii="Arial Narrow" w:hAnsi="Arial Narrow" w:cs="Arial Narrow"/>
                <w:color w:val="FFFFFF"/>
                <w:sz w:val="20"/>
                <w:szCs w:val="24"/>
              </w:rPr>
              <w:t>(v tis eur)</w:t>
            </w:r>
          </w:p>
        </w:tc>
        <w:tc>
          <w:tcPr>
            <w:tcW w:w="551"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2006</w:t>
            </w:r>
          </w:p>
        </w:tc>
        <w:tc>
          <w:tcPr>
            <w:tcW w:w="552"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2007</w:t>
            </w:r>
          </w:p>
        </w:tc>
        <w:tc>
          <w:tcPr>
            <w:tcW w:w="552"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2008</w:t>
            </w:r>
          </w:p>
        </w:tc>
        <w:tc>
          <w:tcPr>
            <w:tcW w:w="552"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552"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552" w:type="pct"/>
            <w:tcBorders>
              <w:top w:val="single" w:sz="8" w:space="0" w:color="auto"/>
              <w:left w:val="nil"/>
              <w:bottom w:val="single" w:sz="4" w:space="0" w:color="auto"/>
              <w:right w:val="single" w:sz="4"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552" w:type="pct"/>
            <w:tcBorders>
              <w:top w:val="single" w:sz="8" w:space="0" w:color="auto"/>
              <w:left w:val="nil"/>
              <w:bottom w:val="single" w:sz="4" w:space="0" w:color="auto"/>
              <w:right w:val="single" w:sz="8" w:space="0" w:color="auto"/>
            </w:tcBorders>
            <w:shd w:val="clear" w:color="000000"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Ministerstvo školstva SR</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33 867</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33 867</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33 559</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33 604</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84 712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70 613</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42 768</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Ministerstvo obrany SR</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3 875</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3 207</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4 624</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5 135</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4 465</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3 940</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3 946</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Ministerstvo vnútra SR</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4 231</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4 325</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2 626</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2 604</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3 962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3 900</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3 876</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 xml:space="preserve">Úrad vlády SR </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0</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199</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1 992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1 992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1 992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1 992</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1 992</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Obce</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3 319</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3 651</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4 979</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6 639</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10 800</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11 200</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12 000</w:t>
            </w:r>
          </w:p>
        </w:tc>
      </w:tr>
      <w:tr>
        <w:tblPrEx>
          <w:tblW w:w="5000" w:type="pct"/>
          <w:tblInd w:w="0" w:type="dxa"/>
          <w:tblCellMar>
            <w:left w:w="70" w:type="dxa"/>
            <w:right w:w="70" w:type="dxa"/>
          </w:tblCellMar>
          <w:tblLook w:val="00A0"/>
        </w:tblPrEx>
        <w:trPr>
          <w:trHeight w:val="255"/>
        </w:trPr>
        <w:tc>
          <w:tcPr>
            <w:tcW w:w="1137"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b/>
                <w:color w:val="000000"/>
                <w:sz w:val="20"/>
                <w:szCs w:val="24"/>
              </w:rPr>
            </w:pPr>
            <w:r>
              <w:rPr>
                <w:rFonts w:ascii="Arial Narrow" w:hAnsi="Arial Narrow" w:cs="Arial Narrow"/>
                <w:b/>
                <w:color w:val="000000"/>
                <w:sz w:val="20"/>
                <w:szCs w:val="24"/>
              </w:rPr>
              <w:t>Verejné zdroje spolu</w:t>
            </w:r>
          </w:p>
        </w:tc>
        <w:tc>
          <w:tcPr>
            <w:tcW w:w="55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41 973</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41 598</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42 801</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51 302</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105 931</w:t>
            </w:r>
          </w:p>
        </w:tc>
        <w:tc>
          <w:tcPr>
            <w:tcW w:w="55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91 645</w:t>
            </w:r>
          </w:p>
        </w:tc>
        <w:tc>
          <w:tcPr>
            <w:tcW w:w="552"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b/>
                <w:color w:val="000000"/>
                <w:sz w:val="20"/>
                <w:szCs w:val="24"/>
              </w:rPr>
            </w:pPr>
            <w:r>
              <w:rPr>
                <w:rFonts w:ascii="Arial Narrow" w:hAnsi="Arial Narrow" w:cs="Arial Narrow"/>
                <w:b/>
                <w:color w:val="000000"/>
                <w:sz w:val="20"/>
                <w:szCs w:val="24"/>
              </w:rPr>
              <w:t>64 582</w:t>
            </w:r>
          </w:p>
        </w:tc>
      </w:tr>
      <w:tr>
        <w:tblPrEx>
          <w:tblW w:w="5000" w:type="pct"/>
          <w:tblInd w:w="0" w:type="dxa"/>
          <w:tblCellMar>
            <w:left w:w="70" w:type="dxa"/>
            <w:right w:w="70" w:type="dxa"/>
          </w:tblCellMar>
          <w:tblLook w:val="00A0"/>
        </w:tblPrEx>
        <w:trPr>
          <w:trHeight w:val="270"/>
        </w:trPr>
        <w:tc>
          <w:tcPr>
            <w:tcW w:w="1137" w:type="pct"/>
            <w:tcBorders>
              <w:top w:val="nil"/>
              <w:left w:val="single" w:sz="8" w:space="0" w:color="auto"/>
              <w:bottom w:val="single" w:sz="8"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medziročná zmena v %</w:t>
            </w:r>
          </w:p>
        </w:tc>
        <w:tc>
          <w:tcPr>
            <w:tcW w:w="551" w:type="pct"/>
            <w:tcBorders>
              <w:top w:val="nil"/>
              <w:left w:val="nil"/>
              <w:bottom w:val="single" w:sz="8" w:space="0" w:color="auto"/>
              <w:right w:val="single" w:sz="4" w:space="0" w:color="auto"/>
            </w:tcBorders>
            <w:noWrap/>
            <w:textDirection w:val="lrTb"/>
            <w:vAlign w:val="bottom"/>
          </w:tcPr>
          <w:p w:rsidR="00312541" w:rsidP="00A70AF6">
            <w:pPr>
              <w:rPr>
                <w:rFonts w:ascii="Arial Narrow" w:hAnsi="Arial Narrow" w:cs="Arial Narrow"/>
                <w:color w:val="000000"/>
                <w:sz w:val="20"/>
                <w:szCs w:val="24"/>
              </w:rPr>
            </w:pPr>
            <w:r>
              <w:rPr>
                <w:rFonts w:ascii="Arial Narrow" w:hAnsi="Arial Narrow" w:cs="Arial Narrow"/>
                <w:color w:val="000000"/>
                <w:sz w:val="20"/>
                <w:szCs w:val="24"/>
              </w:rPr>
              <w:t> </w:t>
            </w:r>
          </w:p>
        </w:tc>
        <w:tc>
          <w:tcPr>
            <w:tcW w:w="552" w:type="pct"/>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-0,9</w:t>
            </w:r>
          </w:p>
        </w:tc>
        <w:tc>
          <w:tcPr>
            <w:tcW w:w="552" w:type="pct"/>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2,9</w:t>
            </w:r>
          </w:p>
        </w:tc>
        <w:tc>
          <w:tcPr>
            <w:tcW w:w="552" w:type="pct"/>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color w:val="000000"/>
                <w:sz w:val="20"/>
                <w:szCs w:val="24"/>
              </w:rPr>
            </w:pPr>
            <w:r>
              <w:rPr>
                <w:rFonts w:ascii="Arial Narrow" w:hAnsi="Arial Narrow" w:cs="Arial Narrow"/>
                <w:color w:val="000000"/>
                <w:sz w:val="20"/>
                <w:szCs w:val="24"/>
              </w:rPr>
              <w:t>19,9</w:t>
            </w:r>
          </w:p>
        </w:tc>
        <w:tc>
          <w:tcPr>
            <w:tcW w:w="552" w:type="pct"/>
            <w:tcBorders>
              <w:top w:val="nil"/>
              <w:left w:val="nil"/>
              <w:bottom w:val="single" w:sz="8" w:space="0" w:color="auto"/>
              <w:right w:val="single" w:sz="4" w:space="0" w:color="auto"/>
            </w:tcBorders>
            <w:noWrap/>
            <w:textDirection w:val="lrTb"/>
            <w:vAlign w:val="bottom"/>
          </w:tcPr>
          <w:p w:rsidR="00312541" w:rsidP="00A70AF6">
            <w:pPr>
              <w:jc w:val="right"/>
              <w:rPr>
                <w:rFonts w:ascii="Arial" w:hAnsi="Arial" w:cs="Arial"/>
                <w:sz w:val="20"/>
                <w:szCs w:val="24"/>
              </w:rPr>
            </w:pPr>
            <w:r>
              <w:rPr>
                <w:rFonts w:ascii="Arial" w:hAnsi="Arial" w:cs="Arial"/>
                <w:sz w:val="20"/>
                <w:szCs w:val="24"/>
              </w:rPr>
              <w:t>106,5</w:t>
            </w:r>
          </w:p>
        </w:tc>
        <w:tc>
          <w:tcPr>
            <w:tcW w:w="552" w:type="pct"/>
            <w:tcBorders>
              <w:top w:val="nil"/>
              <w:left w:val="nil"/>
              <w:bottom w:val="single" w:sz="8" w:space="0" w:color="auto"/>
              <w:right w:val="single" w:sz="4" w:space="0" w:color="auto"/>
            </w:tcBorders>
            <w:noWrap/>
            <w:textDirection w:val="lrTb"/>
            <w:vAlign w:val="bottom"/>
          </w:tcPr>
          <w:p w:rsidR="00312541" w:rsidP="00A70AF6">
            <w:pPr>
              <w:jc w:val="right"/>
              <w:rPr>
                <w:rFonts w:ascii="Arial" w:hAnsi="Arial" w:cs="Arial"/>
                <w:sz w:val="20"/>
                <w:szCs w:val="24"/>
              </w:rPr>
            </w:pPr>
            <w:r>
              <w:rPr>
                <w:rFonts w:ascii="Arial" w:hAnsi="Arial" w:cs="Arial"/>
                <w:sz w:val="20"/>
                <w:szCs w:val="24"/>
              </w:rPr>
              <w:t>-13,5</w:t>
            </w:r>
          </w:p>
        </w:tc>
        <w:tc>
          <w:tcPr>
            <w:tcW w:w="552" w:type="pct"/>
            <w:tcBorders>
              <w:top w:val="nil"/>
              <w:left w:val="nil"/>
              <w:bottom w:val="single" w:sz="8" w:space="0" w:color="auto"/>
              <w:right w:val="single" w:sz="8" w:space="0" w:color="auto"/>
            </w:tcBorders>
            <w:noWrap/>
            <w:textDirection w:val="lrTb"/>
            <w:vAlign w:val="bottom"/>
          </w:tcPr>
          <w:p w:rsidR="00312541" w:rsidP="00A70AF6">
            <w:pPr>
              <w:jc w:val="right"/>
              <w:rPr>
                <w:rFonts w:ascii="Arial" w:hAnsi="Arial" w:cs="Arial"/>
                <w:sz w:val="20"/>
                <w:szCs w:val="24"/>
              </w:rPr>
            </w:pPr>
            <w:r>
              <w:rPr>
                <w:rFonts w:ascii="Arial" w:hAnsi="Arial" w:cs="Arial"/>
                <w:sz w:val="20"/>
                <w:szCs w:val="24"/>
              </w:rPr>
              <w:t>-29,5</w:t>
            </w:r>
          </w:p>
        </w:tc>
      </w:tr>
    </w:tbl>
    <w:p w:rsidR="00312541" w:rsidP="00312541">
      <w:pPr>
        <w:ind w:firstLine="708"/>
        <w:jc w:val="both"/>
        <w:rPr>
          <w:rFonts w:ascii="Arial Narrow" w:hAnsi="Arial Narrow" w:cs="Arial Narrow"/>
          <w:sz w:val="22"/>
          <w:szCs w:val="24"/>
        </w:rPr>
      </w:pPr>
    </w:p>
    <w:p w:rsidR="00312541" w:rsidRPr="0035271C" w:rsidP="00312541">
      <w:pPr>
        <w:ind w:firstLine="708"/>
        <w:jc w:val="both"/>
        <w:rPr>
          <w:rFonts w:ascii="Arial Narrow" w:hAnsi="Arial Narrow" w:cs="Arial Narrow"/>
          <w:sz w:val="22"/>
          <w:szCs w:val="24"/>
        </w:rPr>
      </w:pPr>
      <w:r w:rsidRPr="00F76C72">
        <w:rPr>
          <w:rFonts w:ascii="Arial Narrow" w:hAnsi="Arial Narrow" w:cs="Arial Narrow"/>
          <w:sz w:val="22"/>
          <w:szCs w:val="24"/>
        </w:rPr>
        <w:t xml:space="preserve">Na </w:t>
      </w:r>
      <w:r w:rsidRPr="00F76C72">
        <w:rPr>
          <w:rFonts w:ascii="Arial Narrow" w:hAnsi="Arial Narrow" w:cs="Arial Narrow"/>
          <w:b/>
          <w:sz w:val="22"/>
          <w:szCs w:val="24"/>
        </w:rPr>
        <w:t>športovú reprezentáciu</w:t>
      </w:r>
      <w:r w:rsidRPr="00F76C72">
        <w:rPr>
          <w:rFonts w:ascii="Arial Narrow" w:hAnsi="Arial Narrow" w:cs="Arial Narrow"/>
          <w:sz w:val="22"/>
          <w:szCs w:val="24"/>
        </w:rPr>
        <w:t xml:space="preserve"> Slovenskej republiky sú okrem výdavkov rozpočtovaných v kapitole MŠ SR </w:t>
      </w:r>
      <w:r w:rsidRPr="000A6556">
        <w:rPr>
          <w:rFonts w:ascii="Arial Narrow" w:hAnsi="Arial Narrow" w:cs="Arial Narrow"/>
          <w:sz w:val="22"/>
          <w:szCs w:val="24"/>
        </w:rPr>
        <w:t>rozpočtované aj výdavky v kapitolách MO SR a MV SR.</w:t>
      </w:r>
    </w:p>
    <w:p w:rsidR="00312541" w:rsidRPr="00F76C72" w:rsidP="00312541">
      <w:pPr>
        <w:jc w:val="both"/>
        <w:rPr>
          <w:b/>
          <w:szCs w:val="24"/>
        </w:rPr>
      </w:pPr>
    </w:p>
    <w:p w:rsidR="00312541" w:rsidRPr="00670E9D" w:rsidP="00312541">
      <w:pPr>
        <w:rPr>
          <w:rFonts w:ascii="Arial Narrow" w:hAnsi="Arial Narrow" w:cs="Arial Narrow"/>
          <w:b/>
          <w:sz w:val="22"/>
          <w:szCs w:val="24"/>
        </w:rPr>
      </w:pPr>
      <w:r w:rsidRPr="00670E9D">
        <w:rPr>
          <w:rFonts w:ascii="Arial Narrow" w:hAnsi="Arial Narrow" w:cs="Arial Narrow"/>
          <w:b/>
          <w:sz w:val="22"/>
          <w:szCs w:val="24"/>
        </w:rPr>
        <w:t xml:space="preserve">Kultúra </w:t>
      </w:r>
    </w:p>
    <w:p w:rsidR="00312541" w:rsidP="00312541">
      <w:pPr>
        <w:rPr>
          <w:szCs w:val="24"/>
        </w:rPr>
      </w:pPr>
    </w:p>
    <w:p w:rsidR="00312541" w:rsidP="00312541">
      <w:pPr>
        <w:ind w:firstLine="708"/>
        <w:jc w:val="both"/>
        <w:rPr>
          <w:rFonts w:ascii="Arial Narrow" w:hAnsi="Arial Narrow" w:cs="Arial Narrow"/>
          <w:b/>
          <w:sz w:val="22"/>
          <w:szCs w:val="24"/>
        </w:rPr>
      </w:pPr>
      <w:r>
        <w:rPr>
          <w:rFonts w:ascii="Arial Narrow" w:hAnsi="Arial Narrow" w:cs="Arial Narrow"/>
          <w:sz w:val="22"/>
          <w:szCs w:val="24"/>
        </w:rPr>
        <w:t xml:space="preserve">Rozvoj kultúry v najširšom zmysle slova sa vníma ako nevyhnutná podmienka zvyšovania kvality života občanov Slovenskej republiky. Cieľom je postupne zvyšovať príspevok na financovanie kultúry. Kultúra, rekreácia a náboženstvo spolu vytvárajú jednu oblasť a ich financovanie je zabezpečené z viacerých zdrojov. </w:t>
      </w:r>
      <w:r>
        <w:rPr>
          <w:rFonts w:ascii="Arial Narrow" w:hAnsi="Arial Narrow" w:cs="Arial Narrow"/>
          <w:b/>
          <w:sz w:val="22"/>
          <w:szCs w:val="24"/>
        </w:rPr>
        <w:t xml:space="preserve">Celkové </w:t>
      </w:r>
      <w:r w:rsidRPr="00773BA8">
        <w:rPr>
          <w:rFonts w:ascii="Arial Narrow" w:hAnsi="Arial Narrow" w:cs="Arial Narrow"/>
          <w:b/>
          <w:sz w:val="22"/>
          <w:szCs w:val="24"/>
        </w:rPr>
        <w:t>verejné zdroje</w:t>
      </w:r>
      <w:r w:rsidRPr="00773BA8">
        <w:rPr>
          <w:rFonts w:ascii="Arial Narrow" w:hAnsi="Arial Narrow" w:cs="Arial Narrow"/>
          <w:sz w:val="22"/>
          <w:szCs w:val="24"/>
        </w:rPr>
        <w:t xml:space="preserve"> možné na použitie v oblasti kultúry sú v roku 2010 vo výške 549 mil. eur, čo predstavuje </w:t>
      </w:r>
      <w:r w:rsidRPr="00773BA8">
        <w:rPr>
          <w:rFonts w:ascii="Arial Narrow" w:hAnsi="Arial Narrow" w:cs="Arial Narrow"/>
          <w:b/>
          <w:sz w:val="22"/>
          <w:szCs w:val="24"/>
        </w:rPr>
        <w:t>rast o 11,2</w:t>
      </w:r>
      <w:r>
        <w:rPr>
          <w:rFonts w:ascii="Arial Narrow" w:hAnsi="Arial Narrow" w:cs="Arial Narrow"/>
          <w:b/>
          <w:sz w:val="22"/>
          <w:szCs w:val="24"/>
        </w:rPr>
        <w:t xml:space="preserve"> </w:t>
      </w:r>
      <w:r w:rsidRPr="00773BA8">
        <w:rPr>
          <w:rFonts w:ascii="Arial Narrow" w:hAnsi="Arial Narrow" w:cs="Arial Narrow"/>
          <w:b/>
          <w:sz w:val="22"/>
          <w:szCs w:val="24"/>
        </w:rPr>
        <w:t>%</w:t>
      </w:r>
      <w:r w:rsidRPr="00773BA8">
        <w:rPr>
          <w:rFonts w:ascii="Arial Narrow" w:hAnsi="Arial Narrow" w:cs="Arial Narrow"/>
          <w:sz w:val="22"/>
          <w:szCs w:val="24"/>
        </w:rPr>
        <w:t>.</w:t>
      </w:r>
    </w:p>
    <w:p w:rsidR="00312541" w:rsidP="00312541">
      <w:pPr>
        <w:ind w:firstLine="708"/>
        <w:jc w:val="both"/>
        <w:rPr>
          <w:rFonts w:ascii="Arial Narrow" w:hAnsi="Arial Narrow" w:cs="Arial Narrow"/>
          <w:b/>
          <w:sz w:val="22"/>
          <w:szCs w:val="24"/>
        </w:rPr>
      </w:pPr>
    </w:p>
    <w:tbl>
      <w:tblPr>
        <w:tblStyle w:val="TableNormal"/>
        <w:tblW w:w="5000" w:type="pct"/>
        <w:tblInd w:w="0" w:type="dxa"/>
        <w:tblCellMar>
          <w:left w:w="70" w:type="dxa"/>
          <w:right w:w="70" w:type="dxa"/>
        </w:tblCellMar>
        <w:tblLook w:val="00A0"/>
      </w:tblPr>
      <w:tblGrid>
        <w:gridCol w:w="4960"/>
        <w:gridCol w:w="1063"/>
        <w:gridCol w:w="1063"/>
        <w:gridCol w:w="1063"/>
        <w:gridCol w:w="1063"/>
      </w:tblGrid>
      <w:tr>
        <w:tblPrEx>
          <w:tblW w:w="5000" w:type="pct"/>
          <w:tblInd w:w="0" w:type="dxa"/>
          <w:tblCellMar>
            <w:left w:w="70" w:type="dxa"/>
            <w:right w:w="70" w:type="dxa"/>
          </w:tblCellMar>
          <w:tblLook w:val="00A0"/>
        </w:tblPrEx>
        <w:trPr>
          <w:trHeight w:val="301"/>
        </w:trPr>
        <w:tc>
          <w:tcPr>
            <w:tcW w:w="2692" w:type="pct"/>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tcPr>
          <w:p w:rsidR="00312541" w:rsidRPr="00C34F8A" w:rsidP="00A70AF6">
            <w:pPr>
              <w:rPr>
                <w:rFonts w:ascii="Arial Narrow" w:hAnsi="Arial Narrow" w:cs="Arial Narrow"/>
                <w:b/>
                <w:color w:val="FFFFFF"/>
                <w:sz w:val="20"/>
                <w:szCs w:val="24"/>
                <w:lang w:eastAsia="sk-SK"/>
              </w:rPr>
            </w:pPr>
            <w:r w:rsidRPr="00C34F8A">
              <w:rPr>
                <w:rFonts w:ascii="Arial Narrow" w:hAnsi="Arial Narrow" w:cs="Arial Narrow"/>
                <w:b/>
                <w:color w:val="FFFFFF"/>
                <w:sz w:val="20"/>
                <w:szCs w:val="24"/>
                <w:lang w:eastAsia="sk-SK"/>
              </w:rPr>
              <w:t>(v tis. eur)</w:t>
            </w:r>
          </w:p>
        </w:tc>
        <w:tc>
          <w:tcPr>
            <w:tcW w:w="577"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C34F8A" w:rsidP="00A70AF6">
            <w:pPr>
              <w:jc w:val="center"/>
              <w:rPr>
                <w:rFonts w:ascii="Arial Narrow" w:hAnsi="Arial Narrow" w:cs="Arial Narrow"/>
                <w:b/>
                <w:color w:val="FFFFFF"/>
                <w:sz w:val="20"/>
                <w:szCs w:val="24"/>
                <w:lang w:eastAsia="sk-SK"/>
              </w:rPr>
            </w:pPr>
            <w:r w:rsidRPr="00C34F8A">
              <w:rPr>
                <w:rFonts w:ascii="Arial Narrow" w:hAnsi="Arial Narrow" w:cs="Arial Narrow"/>
                <w:b/>
                <w:color w:val="FFFFFF"/>
                <w:sz w:val="20"/>
                <w:szCs w:val="24"/>
                <w:lang w:eastAsia="sk-SK"/>
              </w:rPr>
              <w:t>2009</w:t>
            </w:r>
          </w:p>
        </w:tc>
        <w:tc>
          <w:tcPr>
            <w:tcW w:w="577"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C34F8A" w:rsidP="00A70AF6">
            <w:pPr>
              <w:jc w:val="center"/>
              <w:rPr>
                <w:rFonts w:ascii="Arial Narrow" w:hAnsi="Arial Narrow" w:cs="Arial Narrow"/>
                <w:b/>
                <w:color w:val="FFFFFF"/>
                <w:sz w:val="20"/>
                <w:szCs w:val="24"/>
                <w:lang w:eastAsia="sk-SK"/>
              </w:rPr>
            </w:pPr>
            <w:r w:rsidRPr="00C34F8A">
              <w:rPr>
                <w:rFonts w:ascii="Arial Narrow" w:hAnsi="Arial Narrow" w:cs="Arial Narrow"/>
                <w:b/>
                <w:color w:val="FFFFFF"/>
                <w:sz w:val="20"/>
                <w:szCs w:val="24"/>
                <w:lang w:eastAsia="sk-SK"/>
              </w:rPr>
              <w:t>2010</w:t>
            </w:r>
          </w:p>
        </w:tc>
        <w:tc>
          <w:tcPr>
            <w:tcW w:w="577"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C34F8A" w:rsidP="00A70AF6">
            <w:pPr>
              <w:jc w:val="center"/>
              <w:rPr>
                <w:rFonts w:ascii="Arial Narrow" w:hAnsi="Arial Narrow" w:cs="Arial Narrow"/>
                <w:b/>
                <w:color w:val="FFFFFF"/>
                <w:sz w:val="20"/>
                <w:szCs w:val="24"/>
                <w:lang w:eastAsia="sk-SK"/>
              </w:rPr>
            </w:pPr>
            <w:r w:rsidRPr="00C34F8A">
              <w:rPr>
                <w:rFonts w:ascii="Arial Narrow" w:hAnsi="Arial Narrow" w:cs="Arial Narrow"/>
                <w:b/>
                <w:color w:val="FFFFFF"/>
                <w:sz w:val="20"/>
                <w:szCs w:val="24"/>
                <w:lang w:eastAsia="sk-SK"/>
              </w:rPr>
              <w:t>2011</w:t>
            </w:r>
          </w:p>
        </w:tc>
        <w:tc>
          <w:tcPr>
            <w:tcW w:w="577" w:type="pct"/>
            <w:tcBorders>
              <w:top w:val="single" w:sz="4" w:space="0" w:color="auto"/>
              <w:left w:val="nil"/>
              <w:bottom w:val="single" w:sz="4" w:space="0" w:color="auto"/>
              <w:right w:val="single" w:sz="4" w:space="0" w:color="auto"/>
            </w:tcBorders>
            <w:shd w:val="clear" w:color="000000" w:fill="000000"/>
            <w:noWrap/>
            <w:textDirection w:val="lrTb"/>
            <w:vAlign w:val="center"/>
          </w:tcPr>
          <w:p w:rsidR="00312541" w:rsidRPr="00C34F8A" w:rsidP="00A70AF6">
            <w:pPr>
              <w:jc w:val="center"/>
              <w:rPr>
                <w:rFonts w:ascii="Arial Narrow" w:hAnsi="Arial Narrow" w:cs="Arial Narrow"/>
                <w:b/>
                <w:color w:val="FFFFFF"/>
                <w:sz w:val="20"/>
                <w:szCs w:val="24"/>
                <w:lang w:eastAsia="sk-SK"/>
              </w:rPr>
            </w:pPr>
            <w:r w:rsidRPr="00C34F8A">
              <w:rPr>
                <w:rFonts w:ascii="Arial Narrow" w:hAnsi="Arial Narrow" w:cs="Arial Narrow"/>
                <w:b/>
                <w:color w:val="FFFFFF"/>
                <w:sz w:val="20"/>
                <w:szCs w:val="24"/>
                <w:lang w:eastAsia="sk-SK"/>
              </w:rPr>
              <w:t>2012</w:t>
            </w:r>
          </w:p>
        </w:tc>
      </w:tr>
      <w:tr>
        <w:tblPrEx>
          <w:tblW w:w="5000" w:type="pct"/>
          <w:tblInd w:w="0" w:type="dxa"/>
          <w:tblCellMar>
            <w:left w:w="70" w:type="dxa"/>
            <w:right w:w="70" w:type="dxa"/>
          </w:tblCellMar>
          <w:tblLook w:val="00A0"/>
        </w:tblPrEx>
        <w:trPr>
          <w:trHeight w:val="301"/>
        </w:trPr>
        <w:tc>
          <w:tcPr>
            <w:tcW w:w="2692" w:type="pct"/>
            <w:tcBorders>
              <w:top w:val="nil"/>
              <w:left w:val="single" w:sz="4" w:space="0" w:color="auto"/>
              <w:bottom w:val="single" w:sz="4" w:space="0" w:color="auto"/>
              <w:right w:val="single" w:sz="4" w:space="0" w:color="auto"/>
            </w:tcBorders>
            <w:noWrap/>
            <w:textDirection w:val="lrTb"/>
            <w:vAlign w:val="center"/>
          </w:tcPr>
          <w:p w:rsidR="00312541" w:rsidRPr="00C34F8A" w:rsidP="00A70AF6">
            <w:pPr>
              <w:rPr>
                <w:rFonts w:ascii="Arial Narrow" w:hAnsi="Arial Narrow" w:cs="Arial Narrow"/>
                <w:sz w:val="20"/>
                <w:szCs w:val="24"/>
              </w:rPr>
            </w:pPr>
            <w:r w:rsidRPr="00C34F8A">
              <w:rPr>
                <w:rFonts w:ascii="Arial Narrow" w:hAnsi="Arial Narrow" w:cs="Arial Narrow"/>
                <w:sz w:val="20"/>
                <w:szCs w:val="24"/>
              </w:rPr>
              <w:t>Zdroje MK SR</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189 015</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170 487</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144 296</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147 108</w:t>
            </w:r>
          </w:p>
        </w:tc>
      </w:tr>
      <w:tr>
        <w:tblPrEx>
          <w:tblW w:w="5000" w:type="pct"/>
          <w:tblInd w:w="0" w:type="dxa"/>
          <w:tblCellMar>
            <w:left w:w="70" w:type="dxa"/>
            <w:right w:w="70" w:type="dxa"/>
          </w:tblCellMar>
          <w:tblLook w:val="00A0"/>
        </w:tblPrEx>
        <w:trPr>
          <w:trHeight w:val="301"/>
        </w:trPr>
        <w:tc>
          <w:tcPr>
            <w:tcW w:w="2692" w:type="pct"/>
            <w:tcBorders>
              <w:top w:val="nil"/>
              <w:left w:val="single" w:sz="4" w:space="0" w:color="auto"/>
              <w:bottom w:val="single" w:sz="4" w:space="0" w:color="auto"/>
              <w:right w:val="single" w:sz="4" w:space="0" w:color="auto"/>
            </w:tcBorders>
            <w:noWrap/>
            <w:textDirection w:val="lrTb"/>
            <w:vAlign w:val="center"/>
          </w:tcPr>
          <w:p w:rsidR="00312541" w:rsidRPr="00C34F8A" w:rsidP="00A70AF6">
            <w:pPr>
              <w:rPr>
                <w:rFonts w:ascii="Arial Narrow" w:hAnsi="Arial Narrow" w:cs="Arial Narrow"/>
                <w:sz w:val="20"/>
                <w:szCs w:val="24"/>
              </w:rPr>
            </w:pPr>
            <w:r w:rsidRPr="00C34F8A">
              <w:rPr>
                <w:rFonts w:ascii="Arial Narrow" w:hAnsi="Arial Narrow" w:cs="Arial Narrow"/>
                <w:sz w:val="20"/>
                <w:szCs w:val="24"/>
              </w:rPr>
              <w:t>Zdroje iných rezortov na kultúru</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51 998</w:t>
            </w:r>
          </w:p>
        </w:tc>
        <w:tc>
          <w:tcPr>
            <w:tcW w:w="577" w:type="pct"/>
            <w:tcBorders>
              <w:top w:val="single" w:sz="4" w:space="0" w:color="auto"/>
              <w:left w:val="nil"/>
              <w:bottom w:val="single" w:sz="4" w:space="0" w:color="auto"/>
              <w:right w:val="single" w:sz="4" w:space="0" w:color="auto"/>
            </w:tcBorders>
            <w:shd w:val="clear" w:color="000000" w:fill="FFFFFF"/>
            <w:noWrap/>
            <w:textDirection w:val="lrTb"/>
            <w:vAlign w:val="center"/>
          </w:tcPr>
          <w:p w:rsidR="00312541" w:rsidRPr="00E57AF8" w:rsidP="00A70AF6">
            <w:pPr>
              <w:jc w:val="right"/>
              <w:rPr>
                <w:rFonts w:ascii="Arial Narrow" w:hAnsi="Arial Narrow" w:cs="Arial Narrow"/>
                <w:sz w:val="20"/>
                <w:szCs w:val="24"/>
              </w:rPr>
            </w:pPr>
            <w:r w:rsidRPr="00E57AF8">
              <w:rPr>
                <w:rFonts w:ascii="Arial Narrow" w:hAnsi="Arial Narrow" w:cs="Arial Narrow"/>
                <w:sz w:val="20"/>
                <w:szCs w:val="24"/>
              </w:rPr>
              <w:t>89 664</w:t>
            </w:r>
          </w:p>
        </w:tc>
        <w:tc>
          <w:tcPr>
            <w:tcW w:w="577" w:type="pct"/>
            <w:tcBorders>
              <w:top w:val="single" w:sz="4" w:space="0" w:color="auto"/>
              <w:left w:val="nil"/>
              <w:bottom w:val="single" w:sz="4" w:space="0" w:color="auto"/>
              <w:right w:val="single" w:sz="4" w:space="0" w:color="auto"/>
            </w:tcBorders>
            <w:shd w:val="clear" w:color="000000" w:fill="FFFFFF"/>
            <w:noWrap/>
            <w:textDirection w:val="lrTb"/>
            <w:vAlign w:val="center"/>
          </w:tcPr>
          <w:p w:rsidR="00312541" w:rsidRPr="00E57AF8" w:rsidP="00A70AF6">
            <w:pPr>
              <w:jc w:val="right"/>
              <w:rPr>
                <w:rFonts w:ascii="Arial Narrow" w:hAnsi="Arial Narrow" w:cs="Arial Narrow"/>
                <w:sz w:val="20"/>
                <w:szCs w:val="24"/>
              </w:rPr>
            </w:pPr>
            <w:r w:rsidRPr="00E57AF8">
              <w:rPr>
                <w:rFonts w:ascii="Arial Narrow" w:hAnsi="Arial Narrow" w:cs="Arial Narrow"/>
                <w:sz w:val="20"/>
                <w:szCs w:val="24"/>
              </w:rPr>
              <w:t>67 191</w:t>
            </w:r>
          </w:p>
        </w:tc>
        <w:tc>
          <w:tcPr>
            <w:tcW w:w="577" w:type="pct"/>
            <w:tcBorders>
              <w:top w:val="single" w:sz="4" w:space="0" w:color="auto"/>
              <w:left w:val="nil"/>
              <w:bottom w:val="single" w:sz="4" w:space="0" w:color="auto"/>
              <w:right w:val="single" w:sz="4" w:space="0" w:color="auto"/>
            </w:tcBorders>
            <w:shd w:val="clear" w:color="000000" w:fill="FFFFFF"/>
            <w:noWrap/>
            <w:textDirection w:val="lrTb"/>
            <w:vAlign w:val="center"/>
          </w:tcPr>
          <w:p w:rsidR="00312541" w:rsidRPr="00E57AF8" w:rsidP="00A70AF6">
            <w:pPr>
              <w:jc w:val="right"/>
              <w:rPr>
                <w:rFonts w:ascii="Arial Narrow" w:hAnsi="Arial Narrow" w:cs="Arial Narrow"/>
                <w:sz w:val="20"/>
                <w:szCs w:val="24"/>
              </w:rPr>
            </w:pPr>
            <w:r w:rsidRPr="00E57AF8">
              <w:rPr>
                <w:rFonts w:ascii="Arial Narrow" w:hAnsi="Arial Narrow" w:cs="Arial Narrow"/>
                <w:sz w:val="20"/>
                <w:szCs w:val="24"/>
              </w:rPr>
              <w:t>69 019</w:t>
            </w:r>
          </w:p>
        </w:tc>
      </w:tr>
      <w:tr>
        <w:tblPrEx>
          <w:tblW w:w="5000" w:type="pct"/>
          <w:tblInd w:w="0" w:type="dxa"/>
          <w:tblCellMar>
            <w:left w:w="70" w:type="dxa"/>
            <w:right w:w="70" w:type="dxa"/>
          </w:tblCellMar>
          <w:tblLook w:val="00A0"/>
        </w:tblPrEx>
        <w:trPr>
          <w:trHeight w:val="301"/>
        </w:trPr>
        <w:tc>
          <w:tcPr>
            <w:tcW w:w="2692" w:type="pct"/>
            <w:tcBorders>
              <w:top w:val="nil"/>
              <w:left w:val="single" w:sz="4" w:space="0" w:color="auto"/>
              <w:bottom w:val="single" w:sz="4" w:space="0" w:color="auto"/>
              <w:right w:val="single" w:sz="4" w:space="0" w:color="auto"/>
            </w:tcBorders>
            <w:noWrap/>
            <w:textDirection w:val="lrTb"/>
            <w:vAlign w:val="center"/>
          </w:tcPr>
          <w:p w:rsidR="00312541" w:rsidRPr="00C34F8A" w:rsidP="00A70AF6">
            <w:pPr>
              <w:rPr>
                <w:rFonts w:ascii="Arial Narrow" w:hAnsi="Arial Narrow" w:cs="Arial Narrow"/>
                <w:sz w:val="20"/>
                <w:szCs w:val="24"/>
              </w:rPr>
            </w:pPr>
            <w:r w:rsidRPr="00C34F8A">
              <w:rPr>
                <w:rFonts w:ascii="Arial Narrow" w:hAnsi="Arial Narrow" w:cs="Arial Narrow"/>
                <w:sz w:val="20"/>
                <w:szCs w:val="24"/>
              </w:rPr>
              <w:t>Zdroje obcí na kultúru</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192 525</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227 903</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235 277</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249 627</w:t>
            </w:r>
          </w:p>
        </w:tc>
      </w:tr>
      <w:tr>
        <w:tblPrEx>
          <w:tblW w:w="5000" w:type="pct"/>
          <w:tblInd w:w="0" w:type="dxa"/>
          <w:tblCellMar>
            <w:left w:w="70" w:type="dxa"/>
            <w:right w:w="70" w:type="dxa"/>
          </w:tblCellMar>
          <w:tblLook w:val="00A0"/>
        </w:tblPrEx>
        <w:trPr>
          <w:trHeight w:val="301"/>
        </w:trPr>
        <w:tc>
          <w:tcPr>
            <w:tcW w:w="2692" w:type="pct"/>
            <w:tcBorders>
              <w:top w:val="nil"/>
              <w:left w:val="single" w:sz="4" w:space="0" w:color="auto"/>
              <w:bottom w:val="single" w:sz="4" w:space="0" w:color="auto"/>
              <w:right w:val="single" w:sz="4" w:space="0" w:color="auto"/>
            </w:tcBorders>
            <w:noWrap/>
            <w:textDirection w:val="lrTb"/>
            <w:vAlign w:val="center"/>
          </w:tcPr>
          <w:p w:rsidR="00312541" w:rsidRPr="00C34F8A" w:rsidP="00A70AF6">
            <w:pPr>
              <w:rPr>
                <w:rFonts w:ascii="Arial Narrow" w:hAnsi="Arial Narrow" w:cs="Arial Narrow"/>
                <w:sz w:val="20"/>
                <w:szCs w:val="24"/>
              </w:rPr>
            </w:pPr>
            <w:r w:rsidRPr="00C34F8A">
              <w:rPr>
                <w:rFonts w:ascii="Arial Narrow" w:hAnsi="Arial Narrow" w:cs="Arial Narrow"/>
                <w:sz w:val="20"/>
                <w:szCs w:val="24"/>
              </w:rPr>
              <w:t>Zdroje VÚC na kultúru</w:t>
            </w:r>
          </w:p>
        </w:tc>
        <w:tc>
          <w:tcPr>
            <w:tcW w:w="577" w:type="pct"/>
            <w:tcBorders>
              <w:top w:val="nil"/>
              <w:left w:val="nil"/>
              <w:bottom w:val="single" w:sz="4" w:space="0" w:color="auto"/>
              <w:right w:val="single" w:sz="4" w:space="0" w:color="auto"/>
            </w:tcBorders>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60 114</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60 861</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65 533</w:t>
            </w:r>
          </w:p>
        </w:tc>
        <w:tc>
          <w:tcPr>
            <w:tcW w:w="577" w:type="pct"/>
            <w:tcBorders>
              <w:top w:val="nil"/>
              <w:left w:val="nil"/>
              <w:bottom w:val="single" w:sz="4" w:space="0" w:color="auto"/>
              <w:right w:val="single" w:sz="4" w:space="0" w:color="auto"/>
            </w:tcBorders>
            <w:shd w:val="clear" w:color="000000" w:fill="FFFFFF"/>
            <w:noWrap/>
            <w:textDirection w:val="lrTb"/>
            <w:vAlign w:val="center"/>
          </w:tcPr>
          <w:p w:rsidR="00312541" w:rsidRPr="00C34F8A" w:rsidP="00A70AF6">
            <w:pPr>
              <w:jc w:val="right"/>
              <w:rPr>
                <w:rFonts w:ascii="Arial Narrow" w:hAnsi="Arial Narrow" w:cs="Arial Narrow"/>
                <w:sz w:val="20"/>
                <w:szCs w:val="24"/>
              </w:rPr>
            </w:pPr>
            <w:r w:rsidRPr="00C34F8A">
              <w:rPr>
                <w:rFonts w:ascii="Arial Narrow" w:hAnsi="Arial Narrow" w:cs="Arial Narrow"/>
                <w:sz w:val="20"/>
                <w:szCs w:val="24"/>
              </w:rPr>
              <w:t>72 100</w:t>
            </w:r>
          </w:p>
        </w:tc>
      </w:tr>
      <w:tr>
        <w:tblPrEx>
          <w:tblW w:w="5000" w:type="pct"/>
          <w:tblInd w:w="0" w:type="dxa"/>
          <w:tblCellMar>
            <w:left w:w="70" w:type="dxa"/>
            <w:right w:w="70" w:type="dxa"/>
          </w:tblCellMar>
          <w:tblLook w:val="00A0"/>
        </w:tblPrEx>
        <w:trPr>
          <w:trHeight w:val="301"/>
        </w:trPr>
        <w:tc>
          <w:tcPr>
            <w:tcW w:w="2692" w:type="pct"/>
            <w:tcBorders>
              <w:top w:val="nil"/>
              <w:left w:val="single" w:sz="4" w:space="0" w:color="auto"/>
              <w:bottom w:val="single" w:sz="4" w:space="0" w:color="auto"/>
              <w:right w:val="single" w:sz="4" w:space="0" w:color="auto"/>
            </w:tcBorders>
            <w:shd w:val="clear" w:color="000000" w:fill="C0C0C0"/>
            <w:noWrap/>
            <w:textDirection w:val="lrTb"/>
            <w:vAlign w:val="center"/>
          </w:tcPr>
          <w:p w:rsidR="00312541" w:rsidRPr="00C34F8A" w:rsidP="00A70AF6">
            <w:pPr>
              <w:rPr>
                <w:rFonts w:ascii="Arial Narrow" w:hAnsi="Arial Narrow" w:cs="Arial Narrow"/>
                <w:b/>
                <w:sz w:val="20"/>
                <w:szCs w:val="24"/>
              </w:rPr>
            </w:pPr>
            <w:r w:rsidRPr="00C34F8A">
              <w:rPr>
                <w:rFonts w:ascii="Arial Narrow" w:hAnsi="Arial Narrow" w:cs="Arial Narrow"/>
                <w:b/>
                <w:sz w:val="20"/>
                <w:szCs w:val="24"/>
              </w:rPr>
              <w:t xml:space="preserve">Celkové verejné zdroje na kultúru </w:t>
            </w:r>
          </w:p>
        </w:tc>
        <w:tc>
          <w:tcPr>
            <w:tcW w:w="577" w:type="pct"/>
            <w:tcBorders>
              <w:top w:val="nil"/>
              <w:left w:val="nil"/>
              <w:bottom w:val="single" w:sz="4" w:space="0" w:color="auto"/>
              <w:right w:val="single" w:sz="4" w:space="0" w:color="auto"/>
            </w:tcBorders>
            <w:shd w:val="clear" w:color="000000" w:fill="C0C0C0"/>
            <w:noWrap/>
            <w:textDirection w:val="lrTb"/>
            <w:vAlign w:val="center"/>
          </w:tcPr>
          <w:p w:rsidR="00312541" w:rsidRPr="00C34F8A" w:rsidP="00A70AF6">
            <w:pPr>
              <w:jc w:val="right"/>
              <w:rPr>
                <w:rFonts w:ascii="Arial Narrow" w:hAnsi="Arial Narrow" w:cs="Arial Narrow"/>
                <w:b/>
                <w:sz w:val="20"/>
                <w:szCs w:val="24"/>
              </w:rPr>
            </w:pPr>
            <w:r w:rsidRPr="00C34F8A">
              <w:rPr>
                <w:rFonts w:ascii="Arial Narrow" w:hAnsi="Arial Narrow" w:cs="Arial Narrow"/>
                <w:b/>
                <w:sz w:val="20"/>
                <w:szCs w:val="24"/>
              </w:rPr>
              <w:t>493 652</w:t>
            </w:r>
          </w:p>
        </w:tc>
        <w:tc>
          <w:tcPr>
            <w:tcW w:w="577" w:type="pct"/>
            <w:tcBorders>
              <w:top w:val="nil"/>
              <w:left w:val="nil"/>
              <w:bottom w:val="single" w:sz="4" w:space="0" w:color="auto"/>
              <w:right w:val="single" w:sz="4" w:space="0" w:color="auto"/>
            </w:tcBorders>
            <w:shd w:val="clear" w:color="000000" w:fill="C0C0C0"/>
            <w:noWrap/>
            <w:textDirection w:val="lrTb"/>
            <w:vAlign w:val="center"/>
          </w:tcPr>
          <w:p w:rsidR="00312541" w:rsidP="00A70AF6">
            <w:pPr>
              <w:jc w:val="right"/>
              <w:rPr>
                <w:rFonts w:ascii="Arial Narrow" w:hAnsi="Arial Narrow" w:cs="Arial Narrow"/>
                <w:b/>
                <w:sz w:val="20"/>
                <w:szCs w:val="24"/>
              </w:rPr>
            </w:pPr>
            <w:r>
              <w:rPr>
                <w:rFonts w:ascii="Arial Narrow" w:hAnsi="Arial Narrow" w:cs="Arial Narrow"/>
                <w:b/>
                <w:sz w:val="20"/>
                <w:szCs w:val="24"/>
              </w:rPr>
              <w:t>548 915</w:t>
            </w:r>
          </w:p>
        </w:tc>
        <w:tc>
          <w:tcPr>
            <w:tcW w:w="577" w:type="pct"/>
            <w:tcBorders>
              <w:top w:val="nil"/>
              <w:left w:val="nil"/>
              <w:bottom w:val="single" w:sz="4" w:space="0" w:color="auto"/>
              <w:right w:val="single" w:sz="4" w:space="0" w:color="auto"/>
            </w:tcBorders>
            <w:shd w:val="clear" w:color="000000" w:fill="C0C0C0"/>
            <w:noWrap/>
            <w:textDirection w:val="lrTb"/>
            <w:vAlign w:val="center"/>
          </w:tcPr>
          <w:p w:rsidR="00312541" w:rsidP="00A70AF6">
            <w:pPr>
              <w:jc w:val="right"/>
              <w:rPr>
                <w:rFonts w:ascii="Arial Narrow" w:hAnsi="Arial Narrow" w:cs="Arial Narrow"/>
                <w:b/>
                <w:sz w:val="20"/>
                <w:szCs w:val="24"/>
              </w:rPr>
            </w:pPr>
            <w:r>
              <w:rPr>
                <w:rFonts w:ascii="Arial Narrow" w:hAnsi="Arial Narrow" w:cs="Arial Narrow"/>
                <w:b/>
                <w:sz w:val="20"/>
                <w:szCs w:val="24"/>
              </w:rPr>
              <w:t>512 297</w:t>
            </w:r>
          </w:p>
        </w:tc>
        <w:tc>
          <w:tcPr>
            <w:tcW w:w="577" w:type="pct"/>
            <w:tcBorders>
              <w:top w:val="nil"/>
              <w:left w:val="nil"/>
              <w:bottom w:val="single" w:sz="4" w:space="0" w:color="auto"/>
              <w:right w:val="single" w:sz="4" w:space="0" w:color="auto"/>
            </w:tcBorders>
            <w:shd w:val="clear" w:color="000000" w:fill="C0C0C0"/>
            <w:noWrap/>
            <w:textDirection w:val="lrTb"/>
            <w:vAlign w:val="center"/>
          </w:tcPr>
          <w:p w:rsidR="00312541" w:rsidP="00A70AF6">
            <w:pPr>
              <w:jc w:val="right"/>
              <w:rPr>
                <w:rFonts w:ascii="Arial Narrow" w:hAnsi="Arial Narrow" w:cs="Arial Narrow"/>
                <w:b/>
                <w:sz w:val="20"/>
                <w:szCs w:val="24"/>
              </w:rPr>
            </w:pPr>
            <w:r>
              <w:rPr>
                <w:rFonts w:ascii="Arial Narrow" w:hAnsi="Arial Narrow" w:cs="Arial Narrow"/>
                <w:b/>
                <w:sz w:val="20"/>
                <w:szCs w:val="24"/>
              </w:rPr>
              <w:t>537 854</w:t>
            </w:r>
          </w:p>
        </w:tc>
      </w:tr>
    </w:tbl>
    <w:p w:rsidR="00312541" w:rsidP="00312541">
      <w:pPr>
        <w:ind w:firstLine="708"/>
        <w:jc w:val="both"/>
        <w:rPr>
          <w:rFonts w:ascii="Arial Narrow" w:hAnsi="Arial Narrow" w:cs="Arial Narrow"/>
          <w:b/>
          <w:sz w:val="22"/>
          <w:szCs w:val="24"/>
        </w:rPr>
      </w:pPr>
    </w:p>
    <w:p w:rsidR="00312541" w:rsidP="00312541">
      <w:pPr>
        <w:ind w:firstLine="708"/>
        <w:jc w:val="both"/>
        <w:rPr>
          <w:rFonts w:ascii="Arial Narrow" w:hAnsi="Arial Narrow" w:cs="Arial Narrow"/>
          <w:b/>
          <w:sz w:val="22"/>
          <w:szCs w:val="24"/>
        </w:rPr>
      </w:pPr>
    </w:p>
    <w:p w:rsidR="00312541" w:rsidRPr="001567FF" w:rsidP="00312541">
      <w:pPr>
        <w:ind w:firstLine="708"/>
        <w:jc w:val="both"/>
        <w:rPr>
          <w:rFonts w:ascii="Arial Narrow" w:hAnsi="Arial Narrow" w:cs="Arial Narrow"/>
          <w:sz w:val="22"/>
          <w:szCs w:val="24"/>
        </w:rPr>
      </w:pPr>
      <w:r w:rsidRPr="001567FF">
        <w:rPr>
          <w:rFonts w:ascii="Arial Narrow" w:hAnsi="Arial Narrow" w:cs="Arial Narrow"/>
          <w:sz w:val="22"/>
          <w:szCs w:val="24"/>
        </w:rPr>
        <w:t>Rozpočet výdavkov zo štátneho rozpočtu pre potreby financovania kultúry je zabezpečený najmä v Ministerstve kultúry SR, kde výška výdavkov na rok 2010 je 170 mil. eur pokrývajúca nasledujúce oblasti.</w:t>
      </w:r>
    </w:p>
    <w:p w:rsidR="00312541" w:rsidP="00312541">
      <w:pPr>
        <w:jc w:val="both"/>
        <w:rPr>
          <w:rFonts w:ascii="Arial Narrow" w:hAnsi="Arial Narrow" w:cs="Arial Narrow"/>
          <w:sz w:val="22"/>
          <w:szCs w:val="24"/>
        </w:rPr>
      </w:pPr>
    </w:p>
    <w:p w:rsidR="00312541" w:rsidP="00312541">
      <w:pPr>
        <w:autoSpaceDE w:val="0"/>
        <w:autoSpaceDN w:val="0"/>
        <w:adjustRightInd w:val="0"/>
        <w:jc w:val="both"/>
        <w:rPr>
          <w:rFonts w:ascii="Arial Narrow" w:hAnsi="Arial Narrow" w:cs="Arial Narrow"/>
          <w:sz w:val="22"/>
          <w:szCs w:val="24"/>
        </w:rPr>
      </w:pPr>
      <w:r>
        <w:rPr>
          <w:rFonts w:ascii="Arial Narrow" w:hAnsi="Arial Narrow" w:cs="Arial Narrow"/>
          <w:b/>
          <w:sz w:val="22"/>
          <w:szCs w:val="24"/>
        </w:rPr>
        <w:t>Inštitucionálna podpora štátnych organizácií rezortu MK SR</w:t>
      </w:r>
      <w:r>
        <w:rPr>
          <w:rFonts w:ascii="Arial Narrow" w:hAnsi="Arial Narrow" w:cs="Arial Narrow"/>
          <w:sz w:val="22"/>
          <w:szCs w:val="24"/>
        </w:rPr>
        <w:t xml:space="preserve"> pokrýva svojou činnosťou podporu 33 rezortných rozpočtových a príspevkových organizácií vo všetkých oblastiach pôsobenia kapitoly (divadlá, galérie, múzeá, osvetová činnosť...). Do inštitucionálnej podpory sú zahrnuté aj výdavky spojené s aktivitami štátnych rozpočtových a príspevkových organizácií rezortu (ďalej len RO a PO) nad rámec ich rozpočtu, ktoré sú počas roka postupne presúvané na základe rozhodnutia ministerstva v prospech niektorých RO a PO. Obdobným mechanizmom je financovaná aj podpora kultúrnych aktivít v zahraničí. </w:t>
      </w:r>
    </w:p>
    <w:p w:rsidR="00312541" w:rsidP="00312541">
      <w:pPr>
        <w:autoSpaceDE w:val="0"/>
        <w:autoSpaceDN w:val="0"/>
        <w:adjustRightInd w:val="0"/>
        <w:jc w:val="both"/>
        <w:rPr>
          <w:rFonts w:ascii="Arial Narrow" w:hAnsi="Arial Narrow" w:cs="Arial Narrow"/>
          <w:sz w:val="22"/>
          <w:szCs w:val="24"/>
        </w:rPr>
      </w:pPr>
    </w:p>
    <w:p w:rsidR="00312541" w:rsidP="00312541">
      <w:pPr>
        <w:autoSpaceDE w:val="0"/>
        <w:autoSpaceDN w:val="0"/>
        <w:adjustRightInd w:val="0"/>
        <w:jc w:val="both"/>
        <w:rPr>
          <w:rFonts w:ascii="Arial Narrow" w:hAnsi="Arial Narrow" w:cs="Arial Narrow"/>
          <w:sz w:val="22"/>
          <w:szCs w:val="24"/>
        </w:rPr>
      </w:pPr>
      <w:r>
        <w:rPr>
          <w:rFonts w:ascii="Arial Narrow" w:hAnsi="Arial Narrow" w:cs="Arial Narrow"/>
          <w:b/>
          <w:sz w:val="22"/>
          <w:szCs w:val="24"/>
        </w:rPr>
        <w:t>Účelová podpora kultúry - Grantový systém MK SR</w:t>
      </w:r>
      <w:r>
        <w:rPr>
          <w:rFonts w:ascii="Arial Narrow" w:hAnsi="Arial Narrow" w:cs="Arial Narrow"/>
          <w:sz w:val="22"/>
          <w:szCs w:val="24"/>
        </w:rPr>
        <w:t xml:space="preserve"> (ďalej len GS MK SR)</w:t>
      </w:r>
      <w:r>
        <w:rPr>
          <w:rFonts w:ascii="Arial Narrow" w:hAnsi="Arial Narrow" w:cs="Arial Narrow"/>
          <w:i/>
          <w:sz w:val="22"/>
          <w:szCs w:val="24"/>
        </w:rPr>
        <w:t xml:space="preserve"> </w:t>
      </w:r>
      <w:r>
        <w:rPr>
          <w:rFonts w:ascii="Arial Narrow" w:hAnsi="Arial Narrow" w:cs="Arial Narrow"/>
          <w:sz w:val="22"/>
          <w:szCs w:val="24"/>
        </w:rPr>
        <w:t xml:space="preserve">je zameraný na podporu a financovanie kultúry prostredníctvom projektov, orientovaných na zachovanie a rozvoj kultúrneho dedičstva. Spolu s Inštitucionálnou podporou štátnych RO a PO tvorí hlavnú časť programu Tvorba, šírenie, ochrana a prezentácia kultúrnych hodnôt, čo tiež potvrdzuje, že GS MK SR je základným stavebným kameňom v znižovaní inštitucionálneho financovania kultúry v prospech účelového financovania. </w:t>
      </w:r>
    </w:p>
    <w:p w:rsidR="00312541" w:rsidP="00312541">
      <w:pPr>
        <w:tabs>
          <w:tab w:val="left" w:pos="6645"/>
        </w:tabs>
        <w:jc w:val="both"/>
        <w:rPr>
          <w:rFonts w:ascii="Arial Narrow" w:hAnsi="Arial Narrow" w:cs="Arial Narrow"/>
          <w:i/>
          <w:sz w:val="22"/>
          <w:szCs w:val="24"/>
        </w:rPr>
      </w:pPr>
      <w:r>
        <w:rPr>
          <w:rFonts w:ascii="Arial Narrow" w:hAnsi="Arial Narrow" w:cs="Arial Narrow"/>
          <w:i/>
          <w:sz w:val="22"/>
          <w:szCs w:val="24"/>
        </w:rPr>
        <w:tab/>
      </w:r>
    </w:p>
    <w:p w:rsidR="00312541" w:rsidP="00312541">
      <w:pPr>
        <w:jc w:val="both"/>
        <w:rPr>
          <w:rFonts w:ascii="Arial Narrow" w:hAnsi="Arial Narrow" w:cs="Arial Narrow"/>
          <w:sz w:val="22"/>
          <w:szCs w:val="24"/>
        </w:rPr>
      </w:pPr>
      <w:r>
        <w:rPr>
          <w:rFonts w:ascii="Arial Narrow" w:hAnsi="Arial Narrow" w:cs="Arial Narrow"/>
          <w:b/>
          <w:sz w:val="22"/>
          <w:szCs w:val="24"/>
        </w:rPr>
        <w:t>Cirkvi a náboženské spoločnosti</w:t>
      </w:r>
      <w:r>
        <w:rPr>
          <w:rFonts w:ascii="Arial Narrow" w:hAnsi="Arial Narrow" w:cs="Arial Narrow"/>
          <w:sz w:val="22"/>
          <w:szCs w:val="24"/>
        </w:rPr>
        <w:t xml:space="preserve">, ich financovanie vyplýva zo zákona č. 218/1949 Zb. </w:t>
      </w:r>
      <w:r w:rsidRPr="004D7A0E">
        <w:rPr>
          <w:rFonts w:ascii="Arial Narrow" w:hAnsi="Arial Narrow" w:cs="Arial Narrow"/>
          <w:sz w:val="22"/>
          <w:szCs w:val="24"/>
        </w:rPr>
        <w:t>o hospodárskom zabezpečení cirkví a náboženských spoločností štátom</w:t>
      </w:r>
      <w:r>
        <w:rPr>
          <w:rFonts w:ascii="Arial Narrow" w:hAnsi="Arial Narrow" w:cs="Arial Narrow"/>
          <w:sz w:val="22"/>
          <w:szCs w:val="24"/>
        </w:rPr>
        <w:t xml:space="preserve"> v znení neskorších predpisov. Z rozpočtovaných prostriedkov sa financujú platy a poistné duchovných, prevádzka ústredí cirkví a náboženských spoločností a charitných domov (domovy dôchodcov pre kňazov). Do výdavkov na cirkvi a náboženské spoločnosti sú započítané aj výdavky na úhradu nákladov súvisiacich so zameraním vydaných nehnuteľností pre cirkvi a náboženské spoločnosti podľa zákona č. 282/1993 Z. z. o zmiernení niektorých majetkových krívd spôsobených cirkvám a náboženským spoločnostiam. </w:t>
      </w:r>
    </w:p>
    <w:p w:rsidR="00312541" w:rsidP="00312541">
      <w:pPr>
        <w:ind w:left="360"/>
        <w:jc w:val="both"/>
        <w:rPr>
          <w:rFonts w:ascii="Arial Narrow" w:hAnsi="Arial Narrow" w:cs="Arial Narrow"/>
          <w:i/>
          <w:sz w:val="22"/>
          <w:szCs w:val="24"/>
        </w:rPr>
      </w:pPr>
    </w:p>
    <w:p w:rsidR="00312541" w:rsidP="00312541">
      <w:pPr>
        <w:jc w:val="both"/>
        <w:rPr>
          <w:rFonts w:ascii="Arial Narrow" w:hAnsi="Arial Narrow" w:cs="Arial Narrow"/>
          <w:sz w:val="22"/>
          <w:szCs w:val="24"/>
        </w:rPr>
      </w:pPr>
      <w:r>
        <w:rPr>
          <w:rFonts w:ascii="Arial Narrow" w:hAnsi="Arial Narrow" w:cs="Arial Narrow"/>
          <w:b/>
          <w:sz w:val="22"/>
          <w:szCs w:val="24"/>
        </w:rPr>
        <w:t>Financovanie strategických zámerov rezortu</w:t>
      </w:r>
      <w:r>
        <w:rPr>
          <w:rFonts w:ascii="Arial Narrow" w:hAnsi="Arial Narrow" w:cs="Arial Narrow"/>
          <w:i/>
          <w:sz w:val="22"/>
          <w:szCs w:val="24"/>
        </w:rPr>
        <w:t xml:space="preserve"> </w:t>
      </w:r>
      <w:r>
        <w:rPr>
          <w:rFonts w:ascii="Arial Narrow" w:hAnsi="Arial Narrow" w:cs="Arial Narrow"/>
          <w:sz w:val="22"/>
          <w:szCs w:val="24"/>
        </w:rPr>
        <w:t xml:space="preserve">je oblasť pôsobenia rezortu pod aparátom MK SR, ktorá prechádza naprieč viacerými kultúrnymi organizáciami ako napr. Stratégia rozvoja múzeí a galérií do roku 2011, Stratégia rozvoja slovenského knihovníctva na roky 2008 až 2013 a  Projekt Informatizácia kultúry. </w:t>
      </w:r>
      <w:r>
        <w:rPr>
          <w:rFonts w:ascii="Arial Narrow" w:hAnsi="Arial Narrow" w:cs="Arial Narrow"/>
          <w:i/>
          <w:sz w:val="22"/>
          <w:szCs w:val="24"/>
        </w:rPr>
        <w:t xml:space="preserve"> </w:t>
      </w:r>
    </w:p>
    <w:p w:rsidR="00312541" w:rsidP="00312541">
      <w:pPr>
        <w:ind w:left="360"/>
        <w:jc w:val="both"/>
        <w:rPr>
          <w:rFonts w:ascii="Arial Narrow" w:hAnsi="Arial Narrow" w:cs="Arial Narrow"/>
          <w:i/>
          <w:sz w:val="22"/>
          <w:szCs w:val="24"/>
        </w:rPr>
      </w:pPr>
    </w:p>
    <w:p w:rsidR="00312541" w:rsidP="00312541">
      <w:pPr>
        <w:jc w:val="both"/>
        <w:rPr>
          <w:rFonts w:ascii="Arial Narrow" w:hAnsi="Arial Narrow" w:cs="Arial Narrow"/>
          <w:sz w:val="22"/>
          <w:szCs w:val="24"/>
        </w:rPr>
      </w:pPr>
      <w:r>
        <w:rPr>
          <w:rFonts w:ascii="Arial Narrow" w:hAnsi="Arial Narrow" w:cs="Arial Narrow"/>
          <w:sz w:val="22"/>
          <w:szCs w:val="24"/>
        </w:rPr>
        <w:t xml:space="preserve">V časti </w:t>
      </w:r>
      <w:r>
        <w:rPr>
          <w:rFonts w:ascii="Arial Narrow" w:hAnsi="Arial Narrow" w:cs="Arial Narrow"/>
          <w:b/>
          <w:sz w:val="22"/>
          <w:szCs w:val="24"/>
        </w:rPr>
        <w:t>Administratíva a vlastná činnosť aparátu</w:t>
      </w:r>
      <w:r>
        <w:rPr>
          <w:rFonts w:ascii="Arial Narrow" w:hAnsi="Arial Narrow" w:cs="Arial Narrow"/>
          <w:i/>
          <w:sz w:val="22"/>
          <w:szCs w:val="24"/>
        </w:rPr>
        <w:t xml:space="preserve"> </w:t>
      </w:r>
      <w:r>
        <w:rPr>
          <w:rFonts w:ascii="Arial Narrow" w:hAnsi="Arial Narrow" w:cs="Arial Narrow"/>
          <w:sz w:val="22"/>
          <w:szCs w:val="24"/>
        </w:rPr>
        <w:t xml:space="preserve">sú zahrnuté výdavky spojené s činnosťou aparátu MK SR ako aj projekt akvizície zbierkových predmetov a podpora riadenia programov. </w:t>
      </w:r>
    </w:p>
    <w:p w:rsidR="00312541" w:rsidP="00312541">
      <w:pPr>
        <w:rPr>
          <w:szCs w:val="24"/>
        </w:rPr>
      </w:pPr>
    </w:p>
    <w:p w:rsidR="00312541" w:rsidP="00312541">
      <w:pPr>
        <w:jc w:val="both"/>
        <w:rPr>
          <w:rFonts w:ascii="Arial Narrow" w:hAnsi="Arial Narrow" w:cs="Arial Narrow"/>
          <w:sz w:val="22"/>
          <w:szCs w:val="24"/>
        </w:rPr>
      </w:pPr>
    </w:p>
    <w:p w:rsidR="00312541" w:rsidRPr="002F72E5" w:rsidP="00312541">
      <w:pPr>
        <w:pBdr>
          <w:bottom w:val="single" w:sz="6" w:space="1" w:color="auto"/>
        </w:pBdr>
        <w:jc w:val="both"/>
        <w:rPr>
          <w:rFonts w:ascii="Arial Narrow" w:hAnsi="Arial Narrow" w:cs="Arial Narrow"/>
          <w:b/>
          <w:sz w:val="22"/>
          <w:szCs w:val="24"/>
        </w:rPr>
      </w:pPr>
      <w:r w:rsidRPr="002F72E5">
        <w:rPr>
          <w:rFonts w:ascii="Arial Narrow" w:hAnsi="Arial Narrow" w:cs="Arial Narrow"/>
          <w:b/>
          <w:sz w:val="22"/>
          <w:szCs w:val="24"/>
        </w:rPr>
        <w:t>Bývanie a regionálny rozvoj</w:t>
      </w:r>
    </w:p>
    <w:p w:rsidR="00312541" w:rsidRPr="002F72E5" w:rsidP="00312541">
      <w:pPr>
        <w:jc w:val="both"/>
        <w:rPr>
          <w:rFonts w:ascii="Arial Narrow" w:hAnsi="Arial Narrow" w:cs="Arial Narrow"/>
          <w:sz w:val="22"/>
          <w:szCs w:val="24"/>
        </w:rPr>
      </w:pPr>
    </w:p>
    <w:p w:rsidR="00312541" w:rsidRPr="002F72E5" w:rsidP="00312541">
      <w:pPr>
        <w:jc w:val="both"/>
        <w:rPr>
          <w:rFonts w:ascii="Arial Narrow" w:hAnsi="Arial Narrow" w:cs="Arial Narrow"/>
          <w:b/>
          <w:sz w:val="22"/>
          <w:szCs w:val="24"/>
        </w:rPr>
      </w:pPr>
      <w:r w:rsidRPr="002F72E5">
        <w:rPr>
          <w:rFonts w:ascii="Arial Narrow" w:hAnsi="Arial Narrow" w:cs="Arial Narrow"/>
          <w:b/>
          <w:sz w:val="22"/>
          <w:szCs w:val="24"/>
        </w:rPr>
        <w:t>Podpora rozvoja bývania</w:t>
      </w:r>
    </w:p>
    <w:p w:rsidR="00312541" w:rsidRPr="002F72E5" w:rsidP="00312541">
      <w:pPr>
        <w:widowControl w:val="0"/>
        <w:jc w:val="both"/>
        <w:rPr>
          <w:rFonts w:ascii="Arial Narrow" w:hAnsi="Arial Narrow" w:cs="Arial Narrow"/>
          <w:sz w:val="22"/>
          <w:szCs w:val="24"/>
        </w:rPr>
      </w:pPr>
    </w:p>
    <w:tbl>
      <w:tblPr>
        <w:tblStyle w:val="TableNormal"/>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
      <w:tblGrid>
        <w:gridCol w:w="4680"/>
        <w:gridCol w:w="1125"/>
        <w:gridCol w:w="1125"/>
        <w:gridCol w:w="1125"/>
        <w:gridCol w:w="1125"/>
      </w:tblGrid>
      <w:tr>
        <w:tblPrEx>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125" w:type="dxa"/>
            <w:tcBorders>
              <w:top w:val="single" w:sz="6" w:space="0" w:color="auto"/>
              <w:left w:val="single" w:sz="6" w:space="0" w:color="auto"/>
              <w:bottom w:val="single" w:sz="6" w:space="0" w:color="auto"/>
              <w:right w:val="single" w:sz="6"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2009</w:t>
            </w:r>
          </w:p>
        </w:tc>
        <w:tc>
          <w:tcPr>
            <w:tcW w:w="1125" w:type="dxa"/>
            <w:tcBorders>
              <w:top w:val="single" w:sz="6" w:space="0" w:color="auto"/>
              <w:left w:val="single" w:sz="6" w:space="0" w:color="auto"/>
              <w:bottom w:val="single" w:sz="6" w:space="0" w:color="auto"/>
              <w:right w:val="single" w:sz="6"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2010</w:t>
            </w:r>
          </w:p>
        </w:tc>
        <w:tc>
          <w:tcPr>
            <w:tcW w:w="1125" w:type="dxa"/>
            <w:tcBorders>
              <w:top w:val="single" w:sz="6" w:space="0" w:color="auto"/>
              <w:left w:val="single" w:sz="6" w:space="0" w:color="auto"/>
              <w:bottom w:val="single" w:sz="6" w:space="0" w:color="auto"/>
              <w:right w:val="single" w:sz="6"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1</w:t>
            </w:r>
          </w:p>
        </w:tc>
        <w:tc>
          <w:tcPr>
            <w:tcW w:w="1125" w:type="dxa"/>
            <w:tcBorders>
              <w:top w:val="single" w:sz="6" w:space="0" w:color="auto"/>
              <w:left w:val="single" w:sz="6" w:space="0" w:color="auto"/>
              <w:bottom w:val="single" w:sz="6" w:space="0" w:color="auto"/>
              <w:right w:val="single" w:sz="6"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2</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a obnova bytového fondu (dotácie MVRR SR)</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60</w:t>
            </w:r>
            <w:r w:rsidRPr="002F72E5">
              <w:rPr>
                <w:rFonts w:ascii="Arial Narrow" w:hAnsi="Arial Narrow" w:cs="Arial Narrow"/>
                <w:sz w:val="20"/>
                <w:szCs w:val="24"/>
              </w:rPr>
              <w:t xml:space="preserve"> </w:t>
            </w:r>
            <w:r>
              <w:rPr>
                <w:rFonts w:ascii="Arial Narrow" w:hAnsi="Arial Narrow" w:cs="Arial Narrow"/>
                <w:sz w:val="20"/>
                <w:szCs w:val="24"/>
              </w:rPr>
              <w:t>247</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 xml:space="preserve">50 </w:t>
            </w:r>
            <w:r>
              <w:rPr>
                <w:rFonts w:ascii="Arial Narrow" w:hAnsi="Arial Narrow" w:cs="Arial Narrow"/>
                <w:sz w:val="20"/>
                <w:szCs w:val="24"/>
              </w:rPr>
              <w:t>255</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54 106</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54 106</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Štátna prémia v stavebnom sporení </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 xml:space="preserve">49 </w:t>
            </w:r>
            <w:r>
              <w:rPr>
                <w:rFonts w:ascii="Arial Narrow" w:hAnsi="Arial Narrow" w:cs="Arial Narrow"/>
                <w:sz w:val="20"/>
                <w:szCs w:val="24"/>
              </w:rPr>
              <w:t>791</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4</w:t>
            </w:r>
            <w:r>
              <w:rPr>
                <w:rFonts w:ascii="Arial Narrow" w:hAnsi="Arial Narrow" w:cs="Arial Narrow"/>
                <w:sz w:val="20"/>
                <w:szCs w:val="24"/>
              </w:rPr>
              <w:t>8</w:t>
            </w:r>
            <w:r w:rsidRPr="002F72E5">
              <w:rPr>
                <w:rFonts w:ascii="Arial Narrow" w:hAnsi="Arial Narrow" w:cs="Arial Narrow"/>
                <w:sz w:val="20"/>
                <w:szCs w:val="24"/>
              </w:rPr>
              <w:t xml:space="preserve"> </w:t>
            </w:r>
            <w:r>
              <w:rPr>
                <w:rFonts w:ascii="Arial Narrow" w:hAnsi="Arial Narrow" w:cs="Arial Narrow"/>
                <w:sz w:val="20"/>
                <w:szCs w:val="24"/>
              </w:rPr>
              <w:t>500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4</w:t>
            </w:r>
            <w:r>
              <w:rPr>
                <w:rFonts w:ascii="Arial Narrow" w:hAnsi="Arial Narrow" w:cs="Arial Narrow"/>
                <w:sz w:val="20"/>
                <w:szCs w:val="24"/>
              </w:rPr>
              <w:t>8</w:t>
            </w:r>
            <w:r w:rsidRPr="002F72E5">
              <w:rPr>
                <w:rFonts w:ascii="Arial Narrow" w:hAnsi="Arial Narrow" w:cs="Arial Narrow"/>
                <w:sz w:val="20"/>
                <w:szCs w:val="24"/>
              </w:rPr>
              <w:t xml:space="preserve"> </w:t>
            </w:r>
            <w:r>
              <w:rPr>
                <w:rFonts w:ascii="Arial Narrow" w:hAnsi="Arial Narrow" w:cs="Arial Narrow"/>
                <w:sz w:val="20"/>
                <w:szCs w:val="24"/>
              </w:rPr>
              <w:t>767</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4</w:t>
            </w:r>
            <w:r>
              <w:rPr>
                <w:rFonts w:ascii="Arial Narrow" w:hAnsi="Arial Narrow" w:cs="Arial Narrow"/>
                <w:sz w:val="20"/>
                <w:szCs w:val="24"/>
              </w:rPr>
              <w:t>8</w:t>
            </w:r>
            <w:r w:rsidRPr="002F72E5">
              <w:rPr>
                <w:rFonts w:ascii="Arial Narrow" w:hAnsi="Arial Narrow" w:cs="Arial Narrow"/>
                <w:sz w:val="20"/>
                <w:szCs w:val="24"/>
              </w:rPr>
              <w:t xml:space="preserve"> </w:t>
            </w:r>
            <w:r>
              <w:rPr>
                <w:rFonts w:ascii="Arial Narrow" w:hAnsi="Arial Narrow" w:cs="Arial Narrow"/>
                <w:sz w:val="20"/>
                <w:szCs w:val="24"/>
              </w:rPr>
              <w:t>767</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Bonifikácia k hypotekárnym úverom </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2</w:t>
            </w:r>
            <w:r>
              <w:rPr>
                <w:rFonts w:ascii="Arial Narrow" w:hAnsi="Arial Narrow" w:cs="Arial Narrow"/>
                <w:sz w:val="20"/>
                <w:szCs w:val="24"/>
              </w:rPr>
              <w:t>3</w:t>
            </w:r>
            <w:r w:rsidRPr="002F72E5">
              <w:rPr>
                <w:rFonts w:ascii="Arial Narrow" w:hAnsi="Arial Narrow" w:cs="Arial Narrow"/>
                <w:sz w:val="20"/>
                <w:szCs w:val="24"/>
              </w:rPr>
              <w:t xml:space="preserve"> </w:t>
            </w:r>
            <w:r>
              <w:rPr>
                <w:rFonts w:ascii="Arial Narrow" w:hAnsi="Arial Narrow" w:cs="Arial Narrow"/>
                <w:sz w:val="20"/>
                <w:szCs w:val="24"/>
              </w:rPr>
              <w:t>900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20 580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20 580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20 580</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Transfer pre Štátny fond rozvoja bývania</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66</w:t>
            </w:r>
            <w:r w:rsidRPr="002F72E5">
              <w:rPr>
                <w:rFonts w:ascii="Arial Narrow" w:hAnsi="Arial Narrow" w:cs="Arial Narrow"/>
                <w:sz w:val="20"/>
                <w:szCs w:val="24"/>
              </w:rPr>
              <w:t xml:space="preserve"> </w:t>
            </w:r>
            <w:r>
              <w:rPr>
                <w:rFonts w:ascii="Arial Narrow" w:hAnsi="Arial Narrow" w:cs="Arial Narrow"/>
                <w:sz w:val="20"/>
                <w:szCs w:val="24"/>
              </w:rPr>
              <w:t>960</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54 904</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54 904</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54 904</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Spolu dotácie ŠR</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jc w:val="right"/>
              <w:rPr>
                <w:rFonts w:ascii="Arial Narrow" w:hAnsi="Arial Narrow" w:cs="Arial Narrow"/>
                <w:b/>
                <w:color w:val="000000"/>
                <w:sz w:val="20"/>
                <w:szCs w:val="24"/>
              </w:rPr>
            </w:pPr>
            <w:r>
              <w:rPr>
                <w:rFonts w:ascii="Arial Narrow" w:hAnsi="Arial Narrow" w:cs="Arial Narrow"/>
                <w:b/>
                <w:color w:val="000000"/>
                <w:sz w:val="20"/>
                <w:szCs w:val="24"/>
              </w:rPr>
              <w:t>200</w:t>
            </w:r>
            <w:r w:rsidRPr="002F72E5">
              <w:rPr>
                <w:rFonts w:ascii="Arial Narrow" w:hAnsi="Arial Narrow" w:cs="Arial Narrow"/>
                <w:b/>
                <w:color w:val="000000"/>
                <w:sz w:val="20"/>
                <w:szCs w:val="24"/>
              </w:rPr>
              <w:t xml:space="preserve"> </w:t>
            </w:r>
            <w:r>
              <w:rPr>
                <w:rFonts w:ascii="Arial Narrow" w:hAnsi="Arial Narrow" w:cs="Arial Narrow"/>
                <w:b/>
                <w:color w:val="000000"/>
                <w:sz w:val="20"/>
                <w:szCs w:val="24"/>
              </w:rPr>
              <w:t>898</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jc w:val="right"/>
              <w:rPr>
                <w:rFonts w:ascii="Arial Narrow" w:hAnsi="Arial Narrow" w:cs="Arial Narrow"/>
                <w:b/>
                <w:color w:val="000000"/>
                <w:sz w:val="20"/>
                <w:szCs w:val="24"/>
              </w:rPr>
            </w:pPr>
            <w:r w:rsidRPr="002F72E5">
              <w:rPr>
                <w:rFonts w:ascii="Arial Narrow" w:hAnsi="Arial Narrow" w:cs="Arial Narrow"/>
                <w:b/>
                <w:color w:val="000000"/>
                <w:sz w:val="20"/>
                <w:szCs w:val="24"/>
              </w:rPr>
              <w:t>17</w:t>
            </w:r>
            <w:r>
              <w:rPr>
                <w:rFonts w:ascii="Arial Narrow" w:hAnsi="Arial Narrow" w:cs="Arial Narrow"/>
                <w:b/>
                <w:color w:val="000000"/>
                <w:sz w:val="20"/>
                <w:szCs w:val="24"/>
              </w:rPr>
              <w:t>4</w:t>
            </w:r>
            <w:r w:rsidRPr="002F72E5">
              <w:rPr>
                <w:rFonts w:ascii="Arial Narrow" w:hAnsi="Arial Narrow" w:cs="Arial Narrow"/>
                <w:b/>
                <w:color w:val="000000"/>
                <w:sz w:val="20"/>
                <w:szCs w:val="24"/>
              </w:rPr>
              <w:t xml:space="preserve"> </w:t>
            </w:r>
            <w:r>
              <w:rPr>
                <w:rFonts w:ascii="Arial Narrow" w:hAnsi="Arial Narrow" w:cs="Arial Narrow"/>
                <w:b/>
                <w:color w:val="000000"/>
                <w:sz w:val="20"/>
                <w:szCs w:val="24"/>
              </w:rPr>
              <w:t>239</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jc w:val="right"/>
              <w:rPr>
                <w:rFonts w:ascii="Arial Narrow" w:hAnsi="Arial Narrow" w:cs="Arial Narrow"/>
                <w:b/>
                <w:color w:val="000000"/>
                <w:sz w:val="20"/>
                <w:szCs w:val="24"/>
              </w:rPr>
            </w:pPr>
            <w:r w:rsidRPr="002F72E5">
              <w:rPr>
                <w:rFonts w:ascii="Arial Narrow" w:hAnsi="Arial Narrow" w:cs="Arial Narrow"/>
                <w:b/>
                <w:color w:val="000000"/>
                <w:sz w:val="20"/>
                <w:szCs w:val="24"/>
              </w:rPr>
              <w:t>17</w:t>
            </w:r>
            <w:r>
              <w:rPr>
                <w:rFonts w:ascii="Arial Narrow" w:hAnsi="Arial Narrow" w:cs="Arial Narrow"/>
                <w:b/>
                <w:color w:val="000000"/>
                <w:sz w:val="20"/>
                <w:szCs w:val="24"/>
              </w:rPr>
              <w:t>8</w:t>
            </w:r>
            <w:r w:rsidRPr="002F72E5">
              <w:rPr>
                <w:rFonts w:ascii="Arial Narrow" w:hAnsi="Arial Narrow" w:cs="Arial Narrow"/>
                <w:b/>
                <w:color w:val="000000"/>
                <w:sz w:val="20"/>
                <w:szCs w:val="24"/>
              </w:rPr>
              <w:t xml:space="preserve"> </w:t>
            </w:r>
            <w:r>
              <w:rPr>
                <w:rFonts w:ascii="Arial Narrow" w:hAnsi="Arial Narrow" w:cs="Arial Narrow"/>
                <w:b/>
                <w:color w:val="000000"/>
                <w:sz w:val="20"/>
                <w:szCs w:val="24"/>
              </w:rPr>
              <w:t>357</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jc w:val="right"/>
              <w:rPr>
                <w:rFonts w:ascii="Arial Narrow" w:hAnsi="Arial Narrow" w:cs="Arial Narrow"/>
                <w:b/>
                <w:color w:val="000000"/>
                <w:sz w:val="20"/>
                <w:szCs w:val="24"/>
              </w:rPr>
            </w:pPr>
            <w:r w:rsidRPr="002F72E5">
              <w:rPr>
                <w:rFonts w:ascii="Arial Narrow" w:hAnsi="Arial Narrow" w:cs="Arial Narrow"/>
                <w:b/>
                <w:color w:val="000000"/>
                <w:sz w:val="20"/>
                <w:szCs w:val="24"/>
              </w:rPr>
              <w:t>17</w:t>
            </w:r>
            <w:r>
              <w:rPr>
                <w:rFonts w:ascii="Arial Narrow" w:hAnsi="Arial Narrow" w:cs="Arial Narrow"/>
                <w:b/>
                <w:color w:val="000000"/>
                <w:sz w:val="20"/>
                <w:szCs w:val="24"/>
              </w:rPr>
              <w:t>8</w:t>
            </w:r>
            <w:r w:rsidRPr="002F72E5">
              <w:rPr>
                <w:rFonts w:ascii="Arial Narrow" w:hAnsi="Arial Narrow" w:cs="Arial Narrow"/>
                <w:b/>
                <w:color w:val="000000"/>
                <w:sz w:val="20"/>
                <w:szCs w:val="24"/>
              </w:rPr>
              <w:t xml:space="preserve"> </w:t>
            </w:r>
            <w:r>
              <w:rPr>
                <w:rFonts w:ascii="Arial Narrow" w:hAnsi="Arial Narrow" w:cs="Arial Narrow"/>
                <w:b/>
                <w:color w:val="000000"/>
                <w:sz w:val="20"/>
                <w:szCs w:val="24"/>
              </w:rPr>
              <w:t>357</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Príjmy ŠFRB </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1A0C2B" w:rsidP="00A70AF6">
            <w:pPr>
              <w:jc w:val="right"/>
              <w:rPr>
                <w:rFonts w:ascii="Arial Narrow" w:hAnsi="Arial Narrow" w:cs="Arial Narrow"/>
                <w:sz w:val="20"/>
                <w:szCs w:val="24"/>
                <w:highlight w:val="yellow"/>
              </w:rPr>
            </w:pPr>
            <w:r w:rsidRPr="00276B7D">
              <w:rPr>
                <w:rFonts w:ascii="Arial Narrow" w:hAnsi="Arial Narrow" w:cs="Arial Narrow"/>
                <w:sz w:val="20"/>
                <w:szCs w:val="24"/>
              </w:rPr>
              <w:t>69 568</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91460B" w:rsidP="00A70AF6">
            <w:pPr>
              <w:jc w:val="right"/>
              <w:rPr>
                <w:rFonts w:ascii="Arial Narrow" w:hAnsi="Arial Narrow" w:cs="Arial Narrow"/>
                <w:sz w:val="20"/>
                <w:szCs w:val="24"/>
              </w:rPr>
            </w:pPr>
            <w:r w:rsidRPr="0091460B">
              <w:rPr>
                <w:rFonts w:ascii="Arial Narrow" w:hAnsi="Arial Narrow" w:cs="Arial Narrow"/>
                <w:sz w:val="20"/>
                <w:szCs w:val="24"/>
              </w:rPr>
              <w:t>88 754</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91460B" w:rsidP="00A70AF6">
            <w:pPr>
              <w:jc w:val="right"/>
              <w:rPr>
                <w:rFonts w:ascii="Arial Narrow" w:hAnsi="Arial Narrow" w:cs="Arial Narrow"/>
                <w:sz w:val="20"/>
                <w:szCs w:val="24"/>
              </w:rPr>
            </w:pPr>
            <w:r w:rsidRPr="0091460B">
              <w:rPr>
                <w:rFonts w:ascii="Arial Narrow" w:hAnsi="Arial Narrow" w:cs="Arial Narrow"/>
                <w:sz w:val="20"/>
                <w:szCs w:val="24"/>
              </w:rPr>
              <w:t>94 769</w:t>
            </w:r>
          </w:p>
        </w:tc>
        <w:tc>
          <w:tcPr>
            <w:tcW w:w="1125" w:type="dxa"/>
            <w:tcBorders>
              <w:top w:val="single" w:sz="6" w:space="0" w:color="auto"/>
              <w:left w:val="single" w:sz="6" w:space="0" w:color="auto"/>
              <w:bottom w:val="single" w:sz="6" w:space="0" w:color="auto"/>
              <w:right w:val="single" w:sz="6" w:space="0" w:color="auto"/>
            </w:tcBorders>
            <w:noWrap/>
            <w:textDirection w:val="lrTb"/>
            <w:vAlign w:val="bottom"/>
          </w:tcPr>
          <w:p w:rsidR="00312541" w:rsidRPr="0091460B" w:rsidP="00A70AF6">
            <w:pPr>
              <w:jc w:val="right"/>
              <w:rPr>
                <w:rFonts w:ascii="Arial Narrow" w:hAnsi="Arial Narrow" w:cs="Arial Narrow"/>
                <w:sz w:val="20"/>
                <w:szCs w:val="24"/>
              </w:rPr>
            </w:pPr>
            <w:r w:rsidRPr="0091460B">
              <w:rPr>
                <w:rFonts w:ascii="Arial Narrow" w:hAnsi="Arial Narrow" w:cs="Arial Narrow"/>
                <w:sz w:val="20"/>
                <w:szCs w:val="24"/>
              </w:rPr>
              <w:t>100 455</w:t>
            </w:r>
          </w:p>
        </w:tc>
      </w:tr>
      <w:tr>
        <w:tblPrEx>
          <w:tblW w:w="9180" w:type="dxa"/>
          <w:tblInd w:w="70" w:type="dxa"/>
          <w:tblCellMar>
            <w:left w:w="70" w:type="dxa"/>
            <w:right w:w="70" w:type="dxa"/>
          </w:tblCellMar>
        </w:tblPrEx>
        <w:trPr>
          <w:trHeight w:val="238"/>
        </w:trPr>
        <w:tc>
          <w:tcPr>
            <w:tcW w:w="4680"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Celkom verejné zdroje</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1A0C2B" w:rsidP="00A70AF6">
            <w:pPr>
              <w:jc w:val="right"/>
              <w:rPr>
                <w:rFonts w:ascii="Arial Narrow" w:hAnsi="Arial Narrow" w:cs="Arial Narrow"/>
                <w:b/>
                <w:sz w:val="20"/>
                <w:szCs w:val="24"/>
                <w:highlight w:val="yellow"/>
              </w:rPr>
            </w:pPr>
            <w:r w:rsidRPr="00276B7D">
              <w:rPr>
                <w:rFonts w:ascii="Arial Narrow" w:hAnsi="Arial Narrow" w:cs="Arial Narrow"/>
                <w:b/>
                <w:sz w:val="20"/>
                <w:szCs w:val="24"/>
                <w:highlight w:val="lightGray"/>
              </w:rPr>
              <w:t>2</w:t>
            </w:r>
            <w:r>
              <w:rPr>
                <w:rFonts w:ascii="Arial Narrow" w:hAnsi="Arial Narrow" w:cs="Arial Narrow"/>
                <w:b/>
                <w:sz w:val="20"/>
                <w:szCs w:val="24"/>
                <w:highlight w:val="lightGray"/>
              </w:rPr>
              <w:t>70</w:t>
            </w:r>
            <w:r w:rsidRPr="00276B7D">
              <w:rPr>
                <w:rFonts w:ascii="Arial Narrow" w:hAnsi="Arial Narrow" w:cs="Arial Narrow"/>
                <w:b/>
                <w:sz w:val="20"/>
                <w:szCs w:val="24"/>
                <w:highlight w:val="lightGray"/>
              </w:rPr>
              <w:t xml:space="preserve"> </w:t>
            </w:r>
            <w:r>
              <w:rPr>
                <w:rFonts w:ascii="Arial Narrow" w:hAnsi="Arial Narrow" w:cs="Arial Narrow"/>
                <w:b/>
                <w:sz w:val="20"/>
                <w:szCs w:val="24"/>
                <w:highlight w:val="lightGray"/>
              </w:rPr>
              <w:t>466</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91460B" w:rsidP="00A70AF6">
            <w:pPr>
              <w:jc w:val="right"/>
              <w:rPr>
                <w:rFonts w:ascii="Arial Narrow" w:hAnsi="Arial Narrow" w:cs="Arial Narrow"/>
                <w:b/>
                <w:sz w:val="20"/>
                <w:szCs w:val="24"/>
              </w:rPr>
            </w:pPr>
            <w:r w:rsidRPr="0091460B">
              <w:rPr>
                <w:rFonts w:ascii="Arial Narrow" w:hAnsi="Arial Narrow" w:cs="Arial Narrow"/>
                <w:b/>
                <w:sz w:val="20"/>
                <w:szCs w:val="24"/>
              </w:rPr>
              <w:t>26</w:t>
            </w:r>
            <w:r>
              <w:rPr>
                <w:rFonts w:ascii="Arial Narrow" w:hAnsi="Arial Narrow" w:cs="Arial Narrow"/>
                <w:b/>
                <w:sz w:val="20"/>
                <w:szCs w:val="24"/>
              </w:rPr>
              <w:t>2</w:t>
            </w:r>
            <w:r w:rsidRPr="0091460B">
              <w:rPr>
                <w:rFonts w:ascii="Arial Narrow" w:hAnsi="Arial Narrow" w:cs="Arial Narrow"/>
                <w:b/>
                <w:sz w:val="20"/>
                <w:szCs w:val="24"/>
              </w:rPr>
              <w:t xml:space="preserve"> </w:t>
            </w:r>
            <w:r>
              <w:rPr>
                <w:rFonts w:ascii="Arial Narrow" w:hAnsi="Arial Narrow" w:cs="Arial Narrow"/>
                <w:b/>
                <w:sz w:val="20"/>
                <w:szCs w:val="24"/>
              </w:rPr>
              <w:t>993</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91460B" w:rsidP="00A70AF6">
            <w:pPr>
              <w:jc w:val="right"/>
              <w:rPr>
                <w:rFonts w:ascii="Arial Narrow" w:hAnsi="Arial Narrow" w:cs="Arial Narrow"/>
                <w:b/>
                <w:sz w:val="20"/>
                <w:szCs w:val="24"/>
              </w:rPr>
            </w:pPr>
            <w:r w:rsidRPr="0091460B">
              <w:rPr>
                <w:rFonts w:ascii="Arial Narrow" w:hAnsi="Arial Narrow" w:cs="Arial Narrow"/>
                <w:b/>
                <w:sz w:val="20"/>
                <w:szCs w:val="24"/>
              </w:rPr>
              <w:t>27</w:t>
            </w:r>
            <w:r>
              <w:rPr>
                <w:rFonts w:ascii="Arial Narrow" w:hAnsi="Arial Narrow" w:cs="Arial Narrow"/>
                <w:b/>
                <w:sz w:val="20"/>
                <w:szCs w:val="24"/>
              </w:rPr>
              <w:t>3</w:t>
            </w:r>
            <w:r w:rsidRPr="0091460B">
              <w:rPr>
                <w:rFonts w:ascii="Arial Narrow" w:hAnsi="Arial Narrow" w:cs="Arial Narrow"/>
                <w:b/>
                <w:sz w:val="20"/>
                <w:szCs w:val="24"/>
              </w:rPr>
              <w:t xml:space="preserve"> </w:t>
            </w:r>
            <w:r>
              <w:rPr>
                <w:rFonts w:ascii="Arial Narrow" w:hAnsi="Arial Narrow" w:cs="Arial Narrow"/>
                <w:b/>
                <w:sz w:val="20"/>
                <w:szCs w:val="24"/>
              </w:rPr>
              <w:t>126</w:t>
            </w:r>
          </w:p>
        </w:tc>
        <w:tc>
          <w:tcPr>
            <w:tcW w:w="1125" w:type="dxa"/>
            <w:tcBorders>
              <w:top w:val="single" w:sz="6" w:space="0" w:color="auto"/>
              <w:left w:val="single" w:sz="6" w:space="0" w:color="auto"/>
              <w:bottom w:val="single" w:sz="6" w:space="0" w:color="auto"/>
              <w:right w:val="single" w:sz="6" w:space="0" w:color="auto"/>
            </w:tcBorders>
            <w:shd w:val="clear" w:color="auto" w:fill="C0C0C0"/>
            <w:noWrap/>
            <w:textDirection w:val="lrTb"/>
            <w:vAlign w:val="bottom"/>
          </w:tcPr>
          <w:p w:rsidR="00312541" w:rsidRPr="0091460B" w:rsidP="00A70AF6">
            <w:pPr>
              <w:jc w:val="right"/>
              <w:rPr>
                <w:rFonts w:ascii="Arial Narrow" w:hAnsi="Arial Narrow" w:cs="Arial Narrow"/>
                <w:b/>
                <w:sz w:val="20"/>
                <w:szCs w:val="24"/>
              </w:rPr>
            </w:pPr>
            <w:r w:rsidRPr="0091460B">
              <w:rPr>
                <w:rFonts w:ascii="Arial Narrow" w:hAnsi="Arial Narrow" w:cs="Arial Narrow"/>
                <w:b/>
                <w:sz w:val="20"/>
                <w:szCs w:val="24"/>
              </w:rPr>
              <w:t>27</w:t>
            </w:r>
            <w:r>
              <w:rPr>
                <w:rFonts w:ascii="Arial Narrow" w:hAnsi="Arial Narrow" w:cs="Arial Narrow"/>
                <w:b/>
                <w:sz w:val="20"/>
                <w:szCs w:val="24"/>
              </w:rPr>
              <w:t>8</w:t>
            </w:r>
            <w:r w:rsidRPr="0091460B">
              <w:rPr>
                <w:rFonts w:ascii="Arial Narrow" w:hAnsi="Arial Narrow" w:cs="Arial Narrow"/>
                <w:b/>
                <w:sz w:val="20"/>
                <w:szCs w:val="24"/>
              </w:rPr>
              <w:t xml:space="preserve"> </w:t>
            </w:r>
            <w:r>
              <w:rPr>
                <w:rFonts w:ascii="Arial Narrow" w:hAnsi="Arial Narrow" w:cs="Arial Narrow"/>
                <w:b/>
                <w:sz w:val="20"/>
                <w:szCs w:val="24"/>
              </w:rPr>
              <w:t>812</w:t>
            </w:r>
          </w:p>
        </w:tc>
      </w:tr>
    </w:tbl>
    <w:p w:rsidR="00312541" w:rsidRPr="002F72E5" w:rsidP="00312541">
      <w:pPr>
        <w:widowControl w:val="0"/>
        <w:jc w:val="both"/>
        <w:rPr>
          <w:rFonts w:ascii="Arial Narrow" w:hAnsi="Arial Narrow" w:cs="Arial Narrow"/>
          <w:sz w:val="22"/>
          <w:szCs w:val="24"/>
        </w:rPr>
      </w:pPr>
    </w:p>
    <w:p w:rsidR="00312541" w:rsidRPr="002F72E5" w:rsidP="00312541">
      <w:pPr>
        <w:widowControl w:val="0"/>
        <w:ind w:firstLine="708"/>
        <w:jc w:val="both"/>
        <w:rPr>
          <w:rFonts w:ascii="Arial Narrow" w:hAnsi="Arial Narrow" w:cs="Arial Narrow"/>
          <w:sz w:val="22"/>
          <w:szCs w:val="24"/>
        </w:rPr>
      </w:pPr>
      <w:r w:rsidRPr="002F72E5">
        <w:rPr>
          <w:rFonts w:ascii="Arial Narrow" w:hAnsi="Arial Narrow" w:cs="Arial Narrow"/>
          <w:sz w:val="22"/>
          <w:szCs w:val="24"/>
        </w:rPr>
        <w:t>Na podporu rozvoja bývania sa v roku 20</w:t>
      </w:r>
      <w:r>
        <w:rPr>
          <w:rFonts w:ascii="Arial Narrow" w:hAnsi="Arial Narrow" w:cs="Arial Narrow"/>
          <w:sz w:val="22"/>
          <w:szCs w:val="24"/>
        </w:rPr>
        <w:t>10</w:t>
      </w:r>
      <w:r w:rsidRPr="002F72E5">
        <w:rPr>
          <w:rFonts w:ascii="Arial Narrow" w:hAnsi="Arial Narrow" w:cs="Arial Narrow"/>
          <w:sz w:val="22"/>
          <w:szCs w:val="24"/>
        </w:rPr>
        <w:t xml:space="preserve"> vynaložia verejné výdavky vo výške  </w:t>
      </w:r>
      <w:r>
        <w:rPr>
          <w:rFonts w:ascii="Arial Narrow" w:hAnsi="Arial Narrow" w:cs="Arial Narrow"/>
          <w:sz w:val="22"/>
          <w:szCs w:val="24"/>
        </w:rPr>
        <w:t xml:space="preserve">263 </w:t>
      </w:r>
      <w:r w:rsidRPr="002F72E5">
        <w:rPr>
          <w:rFonts w:ascii="Arial Narrow" w:hAnsi="Arial Narrow" w:cs="Arial Narrow"/>
          <w:sz w:val="22"/>
          <w:szCs w:val="24"/>
        </w:rPr>
        <w:t xml:space="preserve">mil. eur, z toho </w:t>
      </w:r>
      <w:r>
        <w:rPr>
          <w:rFonts w:ascii="Arial Narrow" w:hAnsi="Arial Narrow" w:cs="Arial Narrow"/>
          <w:b/>
          <w:sz w:val="22"/>
          <w:szCs w:val="24"/>
        </w:rPr>
        <w:t>174 </w:t>
      </w:r>
      <w:r w:rsidRPr="002F72E5">
        <w:rPr>
          <w:rFonts w:ascii="Arial Narrow" w:hAnsi="Arial Narrow" w:cs="Arial Narrow"/>
          <w:b/>
          <w:sz w:val="22"/>
          <w:szCs w:val="24"/>
        </w:rPr>
        <w:t>mil. eur</w:t>
      </w:r>
      <w:r w:rsidRPr="002F72E5">
        <w:rPr>
          <w:rFonts w:ascii="Arial Narrow" w:hAnsi="Arial Narrow" w:cs="Arial Narrow"/>
          <w:sz w:val="22"/>
          <w:szCs w:val="24"/>
        </w:rPr>
        <w:t xml:space="preserve"> z rozpočtu  kapitoly a </w:t>
      </w:r>
      <w:r>
        <w:rPr>
          <w:rFonts w:ascii="Arial Narrow" w:hAnsi="Arial Narrow" w:cs="Arial Narrow"/>
          <w:sz w:val="22"/>
          <w:szCs w:val="24"/>
        </w:rPr>
        <w:t>88</w:t>
      </w:r>
      <w:r w:rsidRPr="00276B7D">
        <w:rPr>
          <w:rFonts w:ascii="Arial Narrow" w:hAnsi="Arial Narrow" w:cs="Arial Narrow"/>
          <w:sz w:val="22"/>
          <w:szCs w:val="24"/>
        </w:rPr>
        <w:t>,</w:t>
      </w:r>
      <w:r>
        <w:rPr>
          <w:rFonts w:ascii="Arial Narrow" w:hAnsi="Arial Narrow" w:cs="Arial Narrow"/>
          <w:sz w:val="22"/>
          <w:szCs w:val="24"/>
        </w:rPr>
        <w:t>8</w:t>
      </w:r>
      <w:r w:rsidRPr="002F72E5">
        <w:rPr>
          <w:rFonts w:ascii="Arial Narrow" w:hAnsi="Arial Narrow" w:cs="Arial Narrow"/>
          <w:sz w:val="22"/>
          <w:szCs w:val="24"/>
        </w:rPr>
        <w:t xml:space="preserve"> mil. eur z príjmov Š</w:t>
      </w:r>
      <w:r>
        <w:rPr>
          <w:rFonts w:ascii="Arial Narrow" w:hAnsi="Arial Narrow" w:cs="Arial Narrow"/>
          <w:sz w:val="22"/>
          <w:szCs w:val="24"/>
        </w:rPr>
        <w:t xml:space="preserve">tátneho fondu rozvoja bývania </w:t>
      </w:r>
      <w:r w:rsidRPr="009756FA">
        <w:rPr>
          <w:rFonts w:ascii="Arial Narrow" w:hAnsi="Arial Narrow" w:cs="Arial Narrow"/>
          <w:sz w:val="22"/>
          <w:szCs w:val="24"/>
        </w:rPr>
        <w:t>(ďalej len „ŠFRB“)</w:t>
      </w:r>
      <w:r w:rsidRPr="002F72E5">
        <w:rPr>
          <w:rFonts w:ascii="Arial Narrow" w:hAnsi="Arial Narrow" w:cs="Arial Narrow"/>
          <w:sz w:val="22"/>
          <w:szCs w:val="24"/>
        </w:rPr>
        <w:t xml:space="preserve">.  </w:t>
      </w:r>
    </w:p>
    <w:p w:rsidR="00312541" w:rsidRPr="002F72E5" w:rsidP="00312541">
      <w:pPr>
        <w:widowControl w:val="0"/>
        <w:jc w:val="both"/>
        <w:rPr>
          <w:rFonts w:ascii="Arial Narrow" w:hAnsi="Arial Narrow" w:cs="Arial Narrow"/>
          <w:sz w:val="22"/>
          <w:szCs w:val="24"/>
        </w:rPr>
      </w:pPr>
    </w:p>
    <w:p w:rsidR="00312541" w:rsidRPr="002F72E5" w:rsidP="00312541">
      <w:pPr>
        <w:widowControl w:val="0"/>
        <w:ind w:firstLine="708"/>
        <w:jc w:val="both"/>
        <w:rPr>
          <w:rFonts w:ascii="Arial Narrow" w:hAnsi="Arial Narrow" w:cs="Arial Narrow"/>
          <w:sz w:val="22"/>
          <w:szCs w:val="24"/>
        </w:rPr>
      </w:pPr>
      <w:r w:rsidRPr="002F72E5">
        <w:rPr>
          <w:rFonts w:ascii="Arial Narrow" w:hAnsi="Arial Narrow" w:cs="Arial Narrow"/>
          <w:sz w:val="22"/>
          <w:szCs w:val="24"/>
        </w:rPr>
        <w:t xml:space="preserve">Na dotácie na výstavbu a obnovu bytového fondu sa rozpočtujú prostriedky v sume </w:t>
      </w:r>
      <w:r w:rsidRPr="0091460B">
        <w:rPr>
          <w:rFonts w:ascii="Arial Narrow" w:hAnsi="Arial Narrow" w:cs="Arial Narrow"/>
          <w:b/>
          <w:sz w:val="22"/>
          <w:szCs w:val="24"/>
        </w:rPr>
        <w:t>50,</w:t>
      </w:r>
      <w:r>
        <w:rPr>
          <w:rFonts w:ascii="Arial Narrow" w:hAnsi="Arial Narrow" w:cs="Arial Narrow"/>
          <w:b/>
          <w:sz w:val="22"/>
          <w:szCs w:val="24"/>
        </w:rPr>
        <w:t>3</w:t>
      </w:r>
      <w:r w:rsidRPr="002F72E5">
        <w:rPr>
          <w:rFonts w:ascii="Arial Narrow" w:hAnsi="Arial Narrow" w:cs="Arial Narrow"/>
          <w:b/>
          <w:sz w:val="22"/>
          <w:szCs w:val="24"/>
        </w:rPr>
        <w:t xml:space="preserve"> mil. eur</w:t>
      </w:r>
      <w:r w:rsidRPr="002F72E5">
        <w:rPr>
          <w:rFonts w:ascii="Arial Narrow" w:hAnsi="Arial Narrow" w:cs="Arial Narrow"/>
          <w:sz w:val="22"/>
          <w:szCs w:val="24"/>
        </w:rPr>
        <w:t xml:space="preserve">, ktoré sa využijú na podporu výstavby nájomných bytov, prípravu územia na výstavbu technickej vybavenosti, odstraňovanie systémových porúch a bankové záruky.  </w:t>
      </w:r>
    </w:p>
    <w:p w:rsidR="00312541" w:rsidRPr="002F72E5" w:rsidP="00312541">
      <w:pPr>
        <w:widowControl w:val="0"/>
        <w:jc w:val="both"/>
        <w:rPr>
          <w:rFonts w:ascii="Arial Narrow" w:hAnsi="Arial Narrow" w:cs="Arial Narrow"/>
          <w:sz w:val="22"/>
          <w:szCs w:val="24"/>
        </w:rPr>
      </w:pPr>
    </w:p>
    <w:p w:rsidR="00312541" w:rsidRPr="002F72E5" w:rsidP="00312541">
      <w:pPr>
        <w:widowControl w:val="0"/>
        <w:ind w:firstLine="708"/>
        <w:jc w:val="both"/>
        <w:rPr>
          <w:rFonts w:ascii="Arial Narrow" w:hAnsi="Arial Narrow" w:cs="Arial Narrow"/>
          <w:sz w:val="22"/>
          <w:szCs w:val="24"/>
        </w:rPr>
      </w:pPr>
      <w:r>
        <w:rPr>
          <w:rFonts w:ascii="Arial Narrow" w:hAnsi="Arial Narrow" w:cs="Arial Narrow"/>
          <w:sz w:val="22"/>
          <w:szCs w:val="24"/>
        </w:rPr>
        <w:t>P</w:t>
      </w:r>
      <w:r w:rsidRPr="002F72E5">
        <w:rPr>
          <w:rFonts w:ascii="Arial Narrow" w:hAnsi="Arial Narrow" w:cs="Arial Narrow"/>
          <w:sz w:val="22"/>
          <w:szCs w:val="24"/>
        </w:rPr>
        <w:t>odpor</w:t>
      </w:r>
      <w:r>
        <w:rPr>
          <w:rFonts w:ascii="Arial Narrow" w:hAnsi="Arial Narrow" w:cs="Arial Narrow"/>
          <w:sz w:val="22"/>
          <w:szCs w:val="24"/>
        </w:rPr>
        <w:t>a</w:t>
      </w:r>
      <w:r w:rsidRPr="002F72E5">
        <w:rPr>
          <w:rFonts w:ascii="Arial Narrow" w:hAnsi="Arial Narrow" w:cs="Arial Narrow"/>
          <w:sz w:val="22"/>
          <w:szCs w:val="24"/>
        </w:rPr>
        <w:t xml:space="preserve"> financovania s cieľom zlepšenia prístupu k bytovému fondu </w:t>
      </w:r>
      <w:r>
        <w:rPr>
          <w:rFonts w:ascii="Arial Narrow" w:hAnsi="Arial Narrow" w:cs="Arial Narrow"/>
          <w:sz w:val="22"/>
          <w:szCs w:val="24"/>
        </w:rPr>
        <w:t xml:space="preserve"> je realizovaná dotáciami</w:t>
      </w:r>
      <w:r w:rsidRPr="002F72E5">
        <w:rPr>
          <w:rFonts w:ascii="Arial Narrow" w:hAnsi="Arial Narrow" w:cs="Arial Narrow"/>
          <w:sz w:val="22"/>
          <w:szCs w:val="24"/>
        </w:rPr>
        <w:t xml:space="preserve"> na  štátnu prémiu k stavebnému sporeniu, ktorá je rozpočtovaná vo výške  </w:t>
      </w:r>
      <w:r w:rsidRPr="002F72E5">
        <w:rPr>
          <w:rFonts w:ascii="Arial Narrow" w:hAnsi="Arial Narrow" w:cs="Arial Narrow"/>
          <w:b/>
          <w:sz w:val="22"/>
          <w:szCs w:val="24"/>
        </w:rPr>
        <w:t>4</w:t>
      </w:r>
      <w:r>
        <w:rPr>
          <w:rFonts w:ascii="Arial Narrow" w:hAnsi="Arial Narrow" w:cs="Arial Narrow"/>
          <w:b/>
          <w:sz w:val="22"/>
          <w:szCs w:val="24"/>
        </w:rPr>
        <w:t>8</w:t>
      </w:r>
      <w:r w:rsidRPr="002F72E5">
        <w:rPr>
          <w:rFonts w:ascii="Arial Narrow" w:hAnsi="Arial Narrow" w:cs="Arial Narrow"/>
          <w:b/>
          <w:sz w:val="22"/>
          <w:szCs w:val="24"/>
        </w:rPr>
        <w:t>,</w:t>
      </w:r>
      <w:r>
        <w:rPr>
          <w:rFonts w:ascii="Arial Narrow" w:hAnsi="Arial Narrow" w:cs="Arial Narrow"/>
          <w:b/>
          <w:sz w:val="22"/>
          <w:szCs w:val="24"/>
        </w:rPr>
        <w:t>5</w:t>
      </w:r>
      <w:r w:rsidRPr="002F72E5">
        <w:rPr>
          <w:rFonts w:ascii="Arial Narrow" w:hAnsi="Arial Narrow" w:cs="Arial Narrow"/>
          <w:b/>
          <w:sz w:val="22"/>
          <w:szCs w:val="24"/>
        </w:rPr>
        <w:t xml:space="preserve"> mil. eur</w:t>
      </w:r>
      <w:r w:rsidRPr="002F72E5">
        <w:rPr>
          <w:rFonts w:ascii="Arial Narrow" w:hAnsi="Arial Narrow" w:cs="Arial Narrow"/>
          <w:sz w:val="22"/>
          <w:szCs w:val="24"/>
        </w:rPr>
        <w:t xml:space="preserve"> a na bonifikáciu hypotekárnych úverov je vyčlenených </w:t>
      </w:r>
      <w:r>
        <w:rPr>
          <w:rFonts w:ascii="Arial Narrow" w:hAnsi="Arial Narrow" w:cs="Arial Narrow"/>
          <w:b/>
          <w:sz w:val="22"/>
          <w:szCs w:val="24"/>
        </w:rPr>
        <w:t>20</w:t>
      </w:r>
      <w:r w:rsidRPr="002F72E5">
        <w:rPr>
          <w:rFonts w:ascii="Arial Narrow" w:hAnsi="Arial Narrow" w:cs="Arial Narrow"/>
          <w:b/>
          <w:sz w:val="22"/>
          <w:szCs w:val="24"/>
        </w:rPr>
        <w:t>,</w:t>
      </w:r>
      <w:r>
        <w:rPr>
          <w:rFonts w:ascii="Arial Narrow" w:hAnsi="Arial Narrow" w:cs="Arial Narrow"/>
          <w:b/>
          <w:sz w:val="22"/>
          <w:szCs w:val="24"/>
        </w:rPr>
        <w:t>6</w:t>
      </w:r>
      <w:r w:rsidRPr="002F72E5">
        <w:rPr>
          <w:rFonts w:ascii="Arial Narrow" w:hAnsi="Arial Narrow" w:cs="Arial Narrow"/>
          <w:b/>
          <w:sz w:val="22"/>
          <w:szCs w:val="24"/>
        </w:rPr>
        <w:t xml:space="preserve"> mil. eur. </w:t>
      </w:r>
      <w:r>
        <w:rPr>
          <w:rFonts w:ascii="Arial Narrow" w:hAnsi="Arial Narrow" w:cs="Arial Narrow"/>
          <w:sz w:val="22"/>
          <w:szCs w:val="24"/>
        </w:rPr>
        <w:t>Z</w:t>
      </w:r>
      <w:r w:rsidRPr="005E01C7">
        <w:rPr>
          <w:rFonts w:ascii="Arial Narrow" w:hAnsi="Arial Narrow" w:cs="Arial Narrow"/>
          <w:sz w:val="22"/>
          <w:szCs w:val="24"/>
        </w:rPr>
        <w:t xml:space="preserve">výhodnené </w:t>
      </w:r>
      <w:r>
        <w:rPr>
          <w:rFonts w:ascii="Arial Narrow" w:hAnsi="Arial Narrow" w:cs="Arial Narrow"/>
          <w:sz w:val="22"/>
          <w:szCs w:val="24"/>
        </w:rPr>
        <w:t>h</w:t>
      </w:r>
      <w:r w:rsidRPr="005E01C7">
        <w:rPr>
          <w:rFonts w:ascii="Arial Narrow" w:hAnsi="Arial Narrow" w:cs="Arial Narrow"/>
          <w:sz w:val="22"/>
          <w:szCs w:val="24"/>
        </w:rPr>
        <w:t>y</w:t>
      </w:r>
      <w:r w:rsidRPr="002F72E5">
        <w:rPr>
          <w:rFonts w:ascii="Arial Narrow" w:hAnsi="Arial Narrow" w:cs="Arial Narrow"/>
          <w:sz w:val="22"/>
          <w:szCs w:val="24"/>
        </w:rPr>
        <w:t>potekárne úvery pre mladých s bonifikáciou úrokovej sadzby</w:t>
      </w:r>
      <w:r>
        <w:rPr>
          <w:rFonts w:ascii="Arial Narrow" w:hAnsi="Arial Narrow" w:cs="Arial Narrow"/>
          <w:sz w:val="22"/>
          <w:szCs w:val="24"/>
        </w:rPr>
        <w:t xml:space="preserve"> sú podporované</w:t>
      </w:r>
      <w:r w:rsidRPr="002F72E5">
        <w:rPr>
          <w:rFonts w:ascii="Arial Narrow" w:hAnsi="Arial Narrow" w:cs="Arial Narrow"/>
          <w:sz w:val="22"/>
          <w:szCs w:val="24"/>
        </w:rPr>
        <w:t xml:space="preserve"> zo štátneho rozpočtu</w:t>
      </w:r>
      <w:r>
        <w:rPr>
          <w:rFonts w:ascii="Arial Narrow" w:hAnsi="Arial Narrow" w:cs="Arial Narrow"/>
          <w:sz w:val="22"/>
          <w:szCs w:val="24"/>
        </w:rPr>
        <w:t xml:space="preserve"> </w:t>
      </w:r>
      <w:r w:rsidRPr="002F72E5">
        <w:rPr>
          <w:rFonts w:ascii="Arial Narrow" w:hAnsi="Arial Narrow" w:cs="Arial Narrow"/>
          <w:sz w:val="22"/>
          <w:szCs w:val="24"/>
        </w:rPr>
        <w:t>vo výške 2 % a</w:t>
      </w:r>
      <w:r>
        <w:rPr>
          <w:rFonts w:ascii="Arial Narrow" w:hAnsi="Arial Narrow" w:cs="Arial Narrow"/>
          <w:sz w:val="22"/>
          <w:szCs w:val="24"/>
        </w:rPr>
        <w:t> </w:t>
      </w:r>
      <w:r w:rsidRPr="002F72E5">
        <w:rPr>
          <w:rFonts w:ascii="Arial Narrow" w:hAnsi="Arial Narrow" w:cs="Arial Narrow"/>
          <w:sz w:val="22"/>
          <w:szCs w:val="24"/>
        </w:rPr>
        <w:t>banky</w:t>
      </w:r>
      <w:r>
        <w:rPr>
          <w:rFonts w:ascii="Arial Narrow" w:hAnsi="Arial Narrow" w:cs="Arial Narrow"/>
          <w:sz w:val="22"/>
          <w:szCs w:val="24"/>
        </w:rPr>
        <w:t xml:space="preserve"> </w:t>
      </w:r>
      <w:r w:rsidRPr="002F72E5">
        <w:rPr>
          <w:rFonts w:ascii="Arial Narrow" w:hAnsi="Arial Narrow" w:cs="Arial Narrow"/>
          <w:sz w:val="22"/>
          <w:szCs w:val="24"/>
        </w:rPr>
        <w:t xml:space="preserve"> sa zaviazali zvýhodniť tieto úvery do výšky 1 %, čím sa dosiahlo zvýhodnenie hypotekárnych úverov pre mladých o 3 %.</w:t>
      </w:r>
    </w:p>
    <w:p w:rsidR="00312541" w:rsidRPr="002F72E5" w:rsidP="00312541">
      <w:pPr>
        <w:widowControl w:val="0"/>
        <w:jc w:val="both"/>
        <w:rPr>
          <w:rFonts w:ascii="Arial Narrow" w:hAnsi="Arial Narrow" w:cs="Arial Narrow"/>
          <w:sz w:val="22"/>
          <w:szCs w:val="24"/>
        </w:rPr>
      </w:pPr>
    </w:p>
    <w:p w:rsidR="00312541" w:rsidP="00312541">
      <w:pPr>
        <w:widowControl w:val="0"/>
        <w:ind w:firstLine="708"/>
        <w:jc w:val="both"/>
        <w:rPr>
          <w:rFonts w:ascii="Arial Narrow" w:hAnsi="Arial Narrow" w:cs="Arial Narrow"/>
          <w:sz w:val="22"/>
          <w:szCs w:val="24"/>
        </w:rPr>
      </w:pPr>
      <w:r w:rsidRPr="002F72E5">
        <w:rPr>
          <w:rFonts w:ascii="Arial Narrow" w:hAnsi="Arial Narrow" w:cs="Arial Narrow"/>
          <w:sz w:val="22"/>
          <w:szCs w:val="24"/>
        </w:rPr>
        <w:t>Významnú  úlohu v podpore rozvoja bývania má Š</w:t>
      </w:r>
      <w:r>
        <w:rPr>
          <w:rFonts w:ascii="Arial Narrow" w:hAnsi="Arial Narrow" w:cs="Arial Narrow"/>
          <w:sz w:val="22"/>
          <w:szCs w:val="24"/>
        </w:rPr>
        <w:t>FRB</w:t>
      </w:r>
      <w:r w:rsidRPr="002F72E5">
        <w:rPr>
          <w:rFonts w:ascii="Arial Narrow" w:hAnsi="Arial Narrow" w:cs="Arial Narrow"/>
          <w:sz w:val="22"/>
          <w:szCs w:val="24"/>
        </w:rPr>
        <w:t>, ktorého celkové zdroje v roku 20</w:t>
      </w:r>
      <w:r>
        <w:rPr>
          <w:rFonts w:ascii="Arial Narrow" w:hAnsi="Arial Narrow" w:cs="Arial Narrow"/>
          <w:sz w:val="22"/>
          <w:szCs w:val="24"/>
        </w:rPr>
        <w:t>1</w:t>
      </w:r>
      <w:r w:rsidRPr="002F72E5">
        <w:rPr>
          <w:rFonts w:ascii="Arial Narrow" w:hAnsi="Arial Narrow" w:cs="Arial Narrow"/>
          <w:sz w:val="22"/>
          <w:szCs w:val="24"/>
        </w:rPr>
        <w:t xml:space="preserve">0 predstavujú čiastku </w:t>
      </w:r>
      <w:r>
        <w:rPr>
          <w:rFonts w:ascii="Arial Narrow" w:hAnsi="Arial Narrow" w:cs="Arial Narrow"/>
          <w:sz w:val="22"/>
          <w:szCs w:val="24"/>
        </w:rPr>
        <w:t>144</w:t>
      </w:r>
      <w:r w:rsidRPr="002F72E5">
        <w:rPr>
          <w:rFonts w:ascii="Arial Narrow" w:hAnsi="Arial Narrow" w:cs="Arial Narrow"/>
          <w:sz w:val="22"/>
          <w:szCs w:val="24"/>
        </w:rPr>
        <w:t xml:space="preserve"> mil. eur. </w:t>
      </w:r>
    </w:p>
    <w:p w:rsidR="00312541" w:rsidRPr="002F72E5" w:rsidP="00312541">
      <w:pPr>
        <w:widowControl w:val="0"/>
        <w:ind w:firstLine="708"/>
        <w:jc w:val="both"/>
        <w:rPr>
          <w:rFonts w:ascii="Arial Narrow" w:hAnsi="Arial Narrow" w:cs="Arial Narrow"/>
          <w:sz w:val="22"/>
          <w:szCs w:val="24"/>
        </w:rPr>
      </w:pPr>
    </w:p>
    <w:tbl>
      <w:tblPr>
        <w:tblStyle w:val="TableNormal"/>
        <w:tblW w:w="9220" w:type="dxa"/>
        <w:tblInd w:w="56" w:type="dxa"/>
        <w:tblCellMar>
          <w:left w:w="70" w:type="dxa"/>
          <w:right w:w="70" w:type="dxa"/>
        </w:tblCellMar>
      </w:tblPr>
      <w:tblGrid>
        <w:gridCol w:w="2920"/>
        <w:gridCol w:w="900"/>
        <w:gridCol w:w="900"/>
        <w:gridCol w:w="900"/>
        <w:gridCol w:w="900"/>
        <w:gridCol w:w="900"/>
        <w:gridCol w:w="900"/>
        <w:gridCol w:w="900"/>
      </w:tblGrid>
      <w:tr>
        <w:tblPrEx>
          <w:tblW w:w="9220" w:type="dxa"/>
          <w:tblInd w:w="56" w:type="dxa"/>
          <w:tblCellMar>
            <w:left w:w="70" w:type="dxa"/>
            <w:right w:w="70" w:type="dxa"/>
          </w:tblCellMar>
        </w:tblPrEx>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both"/>
              <w:rPr>
                <w:rFonts w:ascii="Arial Narrow" w:hAnsi="Arial Narrow" w:cs="Arial Narrow"/>
                <w:b/>
                <w:color w:val="FFFFFF"/>
                <w:sz w:val="20"/>
                <w:szCs w:val="24"/>
              </w:rPr>
            </w:pPr>
            <w:r>
              <w:rPr>
                <w:rFonts w:ascii="Arial Narrow" w:hAnsi="Arial Narrow" w:cs="Arial Narrow"/>
                <w:b/>
                <w:color w:val="FFFFFF"/>
                <w:sz w:val="20"/>
                <w:szCs w:val="24"/>
              </w:rPr>
              <w:t>(v tis. eur)</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2006</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2007</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2008</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900"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220" w:type="dxa"/>
          <w:tblInd w:w="56" w:type="dxa"/>
          <w:tblCellMar>
            <w:left w:w="70" w:type="dxa"/>
            <w:right w:w="70" w:type="dxa"/>
          </w:tblCellMar>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Transfer zo štátneho rozpočtu</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91 891</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75 073</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71 501</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66 960</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54 904</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54 904</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54 904</w:t>
            </w:r>
          </w:p>
        </w:tc>
      </w:tr>
      <w:tr>
        <w:tblPrEx>
          <w:tblW w:w="9220" w:type="dxa"/>
          <w:tblInd w:w="56" w:type="dxa"/>
          <w:tblCellMar>
            <w:left w:w="70" w:type="dxa"/>
            <w:right w:w="70" w:type="dxa"/>
          </w:tblCellMar>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Vlastné príjmy fondu</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50 694</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55 610</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64 652</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69 568</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88 754</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94 769</w:t>
            </w:r>
          </w:p>
        </w:tc>
        <w:tc>
          <w:tcPr>
            <w:tcW w:w="900"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100 455</w:t>
            </w:r>
          </w:p>
        </w:tc>
      </w:tr>
      <w:tr>
        <w:tblPrEx>
          <w:tblW w:w="9220" w:type="dxa"/>
          <w:tblInd w:w="56" w:type="dxa"/>
          <w:tblCellMar>
            <w:left w:w="70" w:type="dxa"/>
            <w:right w:w="70" w:type="dxa"/>
          </w:tblCellMar>
        </w:tblPrEx>
        <w:trPr>
          <w:trHeight w:val="255"/>
        </w:trPr>
        <w:tc>
          <w:tcPr>
            <w:tcW w:w="2920" w:type="dxa"/>
            <w:tcBorders>
              <w:top w:val="nil"/>
              <w:left w:val="single" w:sz="4" w:space="0" w:color="auto"/>
              <w:bottom w:val="single" w:sz="4" w:space="0" w:color="auto"/>
              <w:right w:val="single" w:sz="4" w:space="0" w:color="auto"/>
            </w:tcBorders>
            <w:shd w:val="clear" w:color="auto" w:fill="C0C0C0"/>
            <w:noWrap/>
            <w:textDirection w:val="lrTb"/>
            <w:vAlign w:val="bottom"/>
          </w:tcPr>
          <w:p w:rsidR="00312541" w:rsidP="00A70AF6">
            <w:pPr>
              <w:rPr>
                <w:rFonts w:ascii="Arial Narrow" w:hAnsi="Arial Narrow" w:cs="Arial Narrow"/>
                <w:b/>
                <w:sz w:val="20"/>
                <w:szCs w:val="24"/>
              </w:rPr>
            </w:pPr>
            <w:r>
              <w:rPr>
                <w:rFonts w:ascii="Arial Narrow" w:hAnsi="Arial Narrow" w:cs="Arial Narrow"/>
                <w:b/>
                <w:sz w:val="20"/>
                <w:szCs w:val="24"/>
              </w:rPr>
              <w:t>Spolu zdroje ŠFRB</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142 584</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130 682</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136 153</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136 528</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143 658</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149 673</w:t>
            </w:r>
          </w:p>
        </w:tc>
        <w:tc>
          <w:tcPr>
            <w:tcW w:w="900"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155 359</w:t>
            </w:r>
          </w:p>
        </w:tc>
      </w:tr>
    </w:tbl>
    <w:p w:rsidR="00312541" w:rsidP="00312541">
      <w:pPr>
        <w:widowControl w:val="0"/>
        <w:jc w:val="both"/>
        <w:rPr>
          <w:rFonts w:ascii="Arial Narrow" w:hAnsi="Arial Narrow" w:cs="Arial Narrow"/>
          <w:sz w:val="22"/>
          <w:szCs w:val="24"/>
        </w:rPr>
      </w:pPr>
    </w:p>
    <w:p w:rsidR="00312541" w:rsidRPr="002F72E5" w:rsidP="00312541">
      <w:pPr>
        <w:widowControl w:val="0"/>
        <w:ind w:firstLine="708"/>
        <w:jc w:val="both"/>
        <w:rPr>
          <w:rFonts w:ascii="Arial Narrow" w:hAnsi="Arial Narrow" w:cs="Arial Narrow"/>
          <w:sz w:val="22"/>
          <w:szCs w:val="24"/>
        </w:rPr>
      </w:pPr>
      <w:r w:rsidRPr="002F72E5">
        <w:rPr>
          <w:rFonts w:ascii="Arial Narrow" w:hAnsi="Arial Narrow" w:cs="Arial Narrow"/>
          <w:sz w:val="22"/>
          <w:szCs w:val="24"/>
        </w:rPr>
        <w:t>V rámci vlastných zdrojov predstavujú  úroky z poskytnutých úverov sumu 2</w:t>
      </w:r>
      <w:r>
        <w:rPr>
          <w:rFonts w:ascii="Arial Narrow" w:hAnsi="Arial Narrow" w:cs="Arial Narrow"/>
          <w:sz w:val="22"/>
          <w:szCs w:val="24"/>
        </w:rPr>
        <w:t>9</w:t>
      </w:r>
      <w:r w:rsidRPr="002F72E5">
        <w:rPr>
          <w:rFonts w:ascii="Arial Narrow" w:hAnsi="Arial Narrow" w:cs="Arial Narrow"/>
          <w:sz w:val="22"/>
          <w:szCs w:val="24"/>
        </w:rPr>
        <w:t>,</w:t>
      </w:r>
      <w:r>
        <w:rPr>
          <w:rFonts w:ascii="Arial Narrow" w:hAnsi="Arial Narrow" w:cs="Arial Narrow"/>
          <w:sz w:val="22"/>
          <w:szCs w:val="24"/>
        </w:rPr>
        <w:t>6</w:t>
      </w:r>
      <w:r w:rsidRPr="002F72E5">
        <w:rPr>
          <w:rFonts w:ascii="Arial Narrow" w:hAnsi="Arial Narrow" w:cs="Arial Narrow"/>
          <w:sz w:val="22"/>
          <w:szCs w:val="24"/>
        </w:rPr>
        <w:t xml:space="preserve"> mil. eur a splátky istiny </w:t>
      </w:r>
      <w:r>
        <w:rPr>
          <w:rFonts w:ascii="Arial Narrow" w:hAnsi="Arial Narrow" w:cs="Arial Narrow"/>
          <w:sz w:val="22"/>
          <w:szCs w:val="24"/>
        </w:rPr>
        <w:t>57,9</w:t>
      </w:r>
      <w:r w:rsidRPr="002F72E5">
        <w:rPr>
          <w:rFonts w:ascii="Arial Narrow" w:hAnsi="Arial Narrow" w:cs="Arial Narrow"/>
          <w:sz w:val="22"/>
          <w:szCs w:val="24"/>
        </w:rPr>
        <w:t xml:space="preserve"> mil. eur. Transfer do Š</w:t>
      </w:r>
      <w:r>
        <w:rPr>
          <w:rFonts w:ascii="Arial Narrow" w:hAnsi="Arial Narrow" w:cs="Arial Narrow"/>
          <w:sz w:val="22"/>
          <w:szCs w:val="24"/>
        </w:rPr>
        <w:t>FRB</w:t>
      </w:r>
      <w:r w:rsidRPr="002F72E5">
        <w:rPr>
          <w:rFonts w:ascii="Arial Narrow" w:hAnsi="Arial Narrow" w:cs="Arial Narrow"/>
          <w:sz w:val="22"/>
          <w:szCs w:val="24"/>
        </w:rPr>
        <w:t xml:space="preserve"> od roku 2005 postupne klesá a plní vyrovnávaciu funkciu vzhľadom na rast vlastných zdrojov štátneho fondu. Tým dochádza k napĺňaniu zámeru vytvoriť zo Š</w:t>
      </w:r>
      <w:r>
        <w:rPr>
          <w:rFonts w:ascii="Arial Narrow" w:hAnsi="Arial Narrow" w:cs="Arial Narrow"/>
          <w:sz w:val="22"/>
          <w:szCs w:val="24"/>
        </w:rPr>
        <w:t>FRB</w:t>
      </w:r>
      <w:r w:rsidRPr="002F72E5">
        <w:rPr>
          <w:rFonts w:ascii="Arial Narrow" w:hAnsi="Arial Narrow" w:cs="Arial Narrow"/>
          <w:sz w:val="22"/>
          <w:szCs w:val="24"/>
        </w:rPr>
        <w:t xml:space="preserve"> obrátkový fond. Prostriedky fondu sú rozpočtované na výstavbu nájomných bytov a zariadení sociálnych služieb realizovaných obcami a právnickými osobami vo výške </w:t>
      </w:r>
      <w:r>
        <w:rPr>
          <w:rFonts w:ascii="Arial Narrow" w:hAnsi="Arial Narrow" w:cs="Arial Narrow"/>
          <w:sz w:val="22"/>
          <w:szCs w:val="24"/>
        </w:rPr>
        <w:t>85</w:t>
      </w:r>
      <w:r w:rsidRPr="002F72E5">
        <w:rPr>
          <w:rFonts w:ascii="Arial Narrow" w:hAnsi="Arial Narrow" w:cs="Arial Narrow"/>
          <w:sz w:val="22"/>
          <w:szCs w:val="24"/>
        </w:rPr>
        <w:t>,</w:t>
      </w:r>
      <w:r>
        <w:rPr>
          <w:rFonts w:ascii="Arial Narrow" w:hAnsi="Arial Narrow" w:cs="Arial Narrow"/>
          <w:sz w:val="22"/>
          <w:szCs w:val="24"/>
        </w:rPr>
        <w:t>6</w:t>
      </w:r>
      <w:r w:rsidRPr="002F72E5">
        <w:rPr>
          <w:rFonts w:ascii="Arial Narrow" w:hAnsi="Arial Narrow" w:cs="Arial Narrow"/>
          <w:sz w:val="22"/>
          <w:szCs w:val="24"/>
        </w:rPr>
        <w:t xml:space="preserve"> mil. eur, na zabezpečenie nových bytových jednotiek fyzickými osobami v sume </w:t>
      </w:r>
      <w:r>
        <w:rPr>
          <w:rFonts w:ascii="Arial Narrow" w:hAnsi="Arial Narrow" w:cs="Arial Narrow"/>
          <w:sz w:val="22"/>
          <w:szCs w:val="24"/>
        </w:rPr>
        <w:t>26</w:t>
      </w:r>
      <w:r w:rsidRPr="002F72E5">
        <w:rPr>
          <w:rFonts w:ascii="Arial Narrow" w:hAnsi="Arial Narrow" w:cs="Arial Narrow"/>
          <w:sz w:val="22"/>
          <w:szCs w:val="24"/>
        </w:rPr>
        <w:t>,</w:t>
      </w:r>
      <w:r>
        <w:rPr>
          <w:rFonts w:ascii="Arial Narrow" w:hAnsi="Arial Narrow" w:cs="Arial Narrow"/>
          <w:sz w:val="22"/>
          <w:szCs w:val="24"/>
        </w:rPr>
        <w:t>0</w:t>
      </w:r>
      <w:r w:rsidRPr="002F72E5">
        <w:rPr>
          <w:rFonts w:ascii="Arial Narrow" w:hAnsi="Arial Narrow" w:cs="Arial Narrow"/>
          <w:sz w:val="22"/>
          <w:szCs w:val="24"/>
        </w:rPr>
        <w:t xml:space="preserve"> mil. eur, a na obnovu bytového fondu 2</w:t>
      </w:r>
      <w:r>
        <w:rPr>
          <w:rFonts w:ascii="Arial Narrow" w:hAnsi="Arial Narrow" w:cs="Arial Narrow"/>
          <w:sz w:val="22"/>
          <w:szCs w:val="24"/>
        </w:rPr>
        <w:t>7</w:t>
      </w:r>
      <w:r w:rsidRPr="002F72E5">
        <w:rPr>
          <w:rFonts w:ascii="Arial Narrow" w:hAnsi="Arial Narrow" w:cs="Arial Narrow"/>
          <w:sz w:val="22"/>
          <w:szCs w:val="24"/>
        </w:rPr>
        <w:t>,</w:t>
      </w:r>
      <w:r>
        <w:rPr>
          <w:rFonts w:ascii="Arial Narrow" w:hAnsi="Arial Narrow" w:cs="Arial Narrow"/>
          <w:sz w:val="22"/>
          <w:szCs w:val="24"/>
        </w:rPr>
        <w:t>0</w:t>
      </w:r>
      <w:r w:rsidRPr="002F72E5">
        <w:rPr>
          <w:rFonts w:ascii="Arial Narrow" w:hAnsi="Arial Narrow" w:cs="Arial Narrow"/>
          <w:sz w:val="22"/>
          <w:szCs w:val="24"/>
        </w:rPr>
        <w:t xml:space="preserve"> mil. eur. </w:t>
      </w:r>
      <w:r w:rsidRPr="00267942">
        <w:rPr>
          <w:rFonts w:ascii="Arial Narrow" w:hAnsi="Arial Narrow" w:cs="Arial Narrow"/>
          <w:sz w:val="22"/>
          <w:szCs w:val="24"/>
        </w:rPr>
        <w:t>Zo Š</w:t>
      </w:r>
      <w:r>
        <w:rPr>
          <w:rFonts w:ascii="Arial Narrow" w:hAnsi="Arial Narrow" w:cs="Arial Narrow"/>
          <w:sz w:val="22"/>
          <w:szCs w:val="24"/>
        </w:rPr>
        <w:t>FRB</w:t>
      </w:r>
      <w:r w:rsidRPr="00267942">
        <w:rPr>
          <w:rFonts w:ascii="Arial Narrow" w:hAnsi="Arial Narrow" w:cs="Arial Narrow"/>
          <w:sz w:val="22"/>
          <w:szCs w:val="24"/>
        </w:rPr>
        <w:t xml:space="preserve"> sa poskytuje podpora bývania pre mladých ľudí do 35 rokov formou úverov do výšky 52,3 tis. eur vo výške úrokovej sadzby 2 % (u žiadateľo</w:t>
      </w:r>
      <w:r>
        <w:rPr>
          <w:rFonts w:ascii="Arial Narrow" w:hAnsi="Arial Narrow" w:cs="Arial Narrow"/>
          <w:sz w:val="22"/>
          <w:szCs w:val="24"/>
        </w:rPr>
        <w:t>v</w:t>
      </w:r>
      <w:r w:rsidRPr="00267942">
        <w:rPr>
          <w:rFonts w:ascii="Arial Narrow" w:hAnsi="Arial Narrow" w:cs="Arial Narrow"/>
          <w:sz w:val="22"/>
          <w:szCs w:val="24"/>
        </w:rPr>
        <w:t xml:space="preserve"> nad 35 rokov sa poskytuje úver do výšky</w:t>
      </w:r>
      <w:r>
        <w:rPr>
          <w:rFonts w:ascii="Arial Narrow" w:hAnsi="Arial Narrow" w:cs="Arial Narrow"/>
          <w:sz w:val="22"/>
          <w:szCs w:val="24"/>
        </w:rPr>
        <w:t xml:space="preserve"> 45,3 tis. eur  </w:t>
      </w:r>
      <w:r w:rsidRPr="00267942">
        <w:rPr>
          <w:rFonts w:ascii="Arial Narrow" w:hAnsi="Arial Narrow" w:cs="Arial Narrow"/>
          <w:sz w:val="22"/>
          <w:szCs w:val="24"/>
        </w:rPr>
        <w:t>s úrokovou sadzbou 3,5 %).</w:t>
      </w:r>
    </w:p>
    <w:p w:rsidR="00312541" w:rsidP="00312541">
      <w:pPr>
        <w:jc w:val="both"/>
        <w:rPr>
          <w:rFonts w:ascii="Arial Narrow" w:hAnsi="Arial Narrow" w:cs="Arial Narrow"/>
          <w:sz w:val="22"/>
          <w:szCs w:val="24"/>
        </w:rPr>
      </w:pPr>
    </w:p>
    <w:p w:rsidR="00312541" w:rsidRPr="002F72E5" w:rsidP="00312541">
      <w:pPr>
        <w:jc w:val="both"/>
        <w:rPr>
          <w:rFonts w:ascii="Arial Narrow" w:hAnsi="Arial Narrow" w:cs="Arial Narrow"/>
          <w:b/>
          <w:sz w:val="22"/>
          <w:szCs w:val="24"/>
        </w:rPr>
      </w:pPr>
      <w:r w:rsidRPr="002F72E5">
        <w:rPr>
          <w:rFonts w:ascii="Arial Narrow" w:hAnsi="Arial Narrow" w:cs="Arial Narrow"/>
          <w:b/>
          <w:sz w:val="22"/>
          <w:szCs w:val="24"/>
        </w:rPr>
        <w:t>Regionálny rozvoj</w:t>
      </w:r>
    </w:p>
    <w:p w:rsidR="00312541" w:rsidP="00312541">
      <w:pPr>
        <w:spacing w:after="120"/>
        <w:ind w:left="283"/>
        <w:jc w:val="both"/>
        <w:rPr>
          <w:rFonts w:ascii="Arial Narrow" w:hAnsi="Arial Narrow" w:cs="Arial Narrow"/>
          <w:sz w:val="22"/>
          <w:szCs w:val="24"/>
        </w:rPr>
      </w:pPr>
    </w:p>
    <w:tbl>
      <w:tblPr>
        <w:tblStyle w:val="TableNormal"/>
        <w:tblW w:w="9195" w:type="dxa"/>
        <w:tblInd w:w="55" w:type="dxa"/>
        <w:tblCellMar>
          <w:left w:w="70" w:type="dxa"/>
          <w:right w:w="70" w:type="dxa"/>
        </w:tblCellMar>
      </w:tblPr>
      <w:tblGrid>
        <w:gridCol w:w="4319"/>
        <w:gridCol w:w="1219"/>
        <w:gridCol w:w="1219"/>
        <w:gridCol w:w="1219"/>
        <w:gridCol w:w="1219"/>
      </w:tblGrid>
      <w:tr>
        <w:tblPrEx>
          <w:tblW w:w="9195" w:type="dxa"/>
          <w:tblInd w:w="55" w:type="dxa"/>
          <w:tblCellMar>
            <w:left w:w="70" w:type="dxa"/>
            <w:right w:w="70" w:type="dxa"/>
          </w:tblCellMar>
        </w:tblPrEx>
        <w:trPr>
          <w:trHeight w:val="225"/>
        </w:trPr>
        <w:tc>
          <w:tcPr>
            <w:tcW w:w="4319" w:type="dxa"/>
            <w:tcBorders>
              <w:top w:val="nil"/>
              <w:left w:val="single" w:sz="8" w:space="0" w:color="auto"/>
              <w:bottom w:val="single" w:sz="4" w:space="0" w:color="auto"/>
              <w:right w:val="single" w:sz="4"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219" w:type="dxa"/>
            <w:tcBorders>
              <w:top w:val="nil"/>
              <w:left w:val="nil"/>
              <w:bottom w:val="nil"/>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2009</w:t>
            </w:r>
          </w:p>
        </w:tc>
        <w:tc>
          <w:tcPr>
            <w:tcW w:w="1219" w:type="dxa"/>
            <w:tcBorders>
              <w:top w:val="nil"/>
              <w:left w:val="nil"/>
              <w:bottom w:val="nil"/>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w:t>
            </w:r>
            <w:r>
              <w:rPr>
                <w:rFonts w:ascii="Arial Narrow" w:hAnsi="Arial Narrow" w:cs="Arial Narrow"/>
                <w:b/>
                <w:color w:val="FFFFFF"/>
                <w:sz w:val="20"/>
                <w:szCs w:val="24"/>
              </w:rPr>
              <w:t>10</w:t>
            </w:r>
          </w:p>
        </w:tc>
        <w:tc>
          <w:tcPr>
            <w:tcW w:w="1219" w:type="dxa"/>
            <w:tcBorders>
              <w:top w:val="nil"/>
              <w:left w:val="nil"/>
              <w:bottom w:val="nil"/>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1</w:t>
            </w:r>
          </w:p>
        </w:tc>
        <w:tc>
          <w:tcPr>
            <w:tcW w:w="1219" w:type="dxa"/>
            <w:tcBorders>
              <w:top w:val="nil"/>
              <w:left w:val="nil"/>
              <w:bottom w:val="nil"/>
              <w:right w:val="single" w:sz="8"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2</w:t>
            </w:r>
          </w:p>
        </w:tc>
      </w:tr>
      <w:tr>
        <w:tblPrEx>
          <w:tblW w:w="9195" w:type="dxa"/>
          <w:tblInd w:w="55" w:type="dxa"/>
          <w:tblCellMar>
            <w:left w:w="70" w:type="dxa"/>
            <w:right w:w="70" w:type="dxa"/>
          </w:tblCellMar>
        </w:tblPrEx>
        <w:trPr>
          <w:trHeight w:val="225"/>
        </w:trPr>
        <w:tc>
          <w:tcPr>
            <w:tcW w:w="4319" w:type="dxa"/>
            <w:tcBorders>
              <w:top w:val="nil"/>
              <w:left w:val="single" w:sz="8" w:space="0" w:color="auto"/>
              <w:bottom w:val="single" w:sz="4" w:space="0" w:color="auto"/>
              <w:right w:val="nil"/>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zdroje EÚ</w:t>
            </w:r>
          </w:p>
        </w:tc>
        <w:tc>
          <w:tcPr>
            <w:tcW w:w="1219" w:type="dxa"/>
            <w:tcBorders>
              <w:top w:val="single" w:sz="8" w:space="0" w:color="auto"/>
              <w:left w:val="single" w:sz="8" w:space="0" w:color="auto"/>
              <w:bottom w:val="single" w:sz="8"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1</w:t>
            </w:r>
            <w:r>
              <w:rPr>
                <w:rFonts w:ascii="Arial Narrow" w:hAnsi="Arial Narrow" w:cs="Arial Narrow"/>
                <w:sz w:val="20"/>
                <w:szCs w:val="24"/>
              </w:rPr>
              <w:t>28</w:t>
            </w:r>
            <w:r w:rsidRPr="002F72E5">
              <w:rPr>
                <w:rFonts w:ascii="Arial Narrow" w:hAnsi="Arial Narrow" w:cs="Arial Narrow"/>
                <w:sz w:val="20"/>
                <w:szCs w:val="24"/>
              </w:rPr>
              <w:t xml:space="preserve"> </w:t>
            </w:r>
            <w:r>
              <w:rPr>
                <w:rFonts w:ascii="Arial Narrow" w:hAnsi="Arial Narrow" w:cs="Arial Narrow"/>
                <w:sz w:val="20"/>
                <w:szCs w:val="24"/>
              </w:rPr>
              <w:t>355</w:t>
            </w:r>
          </w:p>
        </w:tc>
        <w:tc>
          <w:tcPr>
            <w:tcW w:w="1219" w:type="dxa"/>
            <w:tcBorders>
              <w:top w:val="single" w:sz="8" w:space="0" w:color="auto"/>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 xml:space="preserve">259 719 </w:t>
            </w:r>
          </w:p>
        </w:tc>
        <w:tc>
          <w:tcPr>
            <w:tcW w:w="1219" w:type="dxa"/>
            <w:tcBorders>
              <w:top w:val="single" w:sz="8" w:space="0" w:color="auto"/>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340 800</w:t>
            </w:r>
          </w:p>
        </w:tc>
        <w:tc>
          <w:tcPr>
            <w:tcW w:w="1219" w:type="dxa"/>
            <w:tcBorders>
              <w:top w:val="single" w:sz="8" w:space="0" w:color="auto"/>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325 744</w:t>
            </w:r>
          </w:p>
        </w:tc>
      </w:tr>
      <w:tr>
        <w:tblPrEx>
          <w:tblW w:w="9195" w:type="dxa"/>
          <w:tblInd w:w="55" w:type="dxa"/>
          <w:tblCellMar>
            <w:left w:w="70" w:type="dxa"/>
            <w:right w:w="70" w:type="dxa"/>
          </w:tblCellMar>
        </w:tblPrEx>
        <w:trPr>
          <w:trHeight w:val="225"/>
        </w:trPr>
        <w:tc>
          <w:tcPr>
            <w:tcW w:w="4319" w:type="dxa"/>
            <w:tcBorders>
              <w:top w:val="nil"/>
              <w:left w:val="single" w:sz="8" w:space="0" w:color="auto"/>
              <w:bottom w:val="single" w:sz="4" w:space="0" w:color="auto"/>
              <w:right w:val="nil"/>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prostriedky ŠR na spolufinancovanie</w:t>
            </w:r>
          </w:p>
        </w:tc>
        <w:tc>
          <w:tcPr>
            <w:tcW w:w="1219" w:type="dxa"/>
            <w:tcBorders>
              <w:top w:val="nil"/>
              <w:left w:val="single" w:sz="8" w:space="0" w:color="auto"/>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2</w:t>
            </w:r>
            <w:r>
              <w:rPr>
                <w:rFonts w:ascii="Arial Narrow" w:hAnsi="Arial Narrow" w:cs="Arial Narrow"/>
                <w:sz w:val="20"/>
                <w:szCs w:val="24"/>
              </w:rPr>
              <w:t>6</w:t>
            </w:r>
            <w:r w:rsidRPr="002F72E5">
              <w:rPr>
                <w:rFonts w:ascii="Arial Narrow" w:hAnsi="Arial Narrow" w:cs="Arial Narrow"/>
                <w:sz w:val="20"/>
                <w:szCs w:val="24"/>
              </w:rPr>
              <w:t xml:space="preserve"> </w:t>
            </w:r>
            <w:r>
              <w:rPr>
                <w:rFonts w:ascii="Arial Narrow" w:hAnsi="Arial Narrow" w:cs="Arial Narrow"/>
                <w:sz w:val="20"/>
                <w:szCs w:val="24"/>
              </w:rPr>
              <w:t>59</w:t>
            </w:r>
            <w:r w:rsidRPr="002F72E5">
              <w:rPr>
                <w:rFonts w:ascii="Arial Narrow" w:hAnsi="Arial Narrow" w:cs="Arial Narrow"/>
                <w:sz w:val="20"/>
                <w:szCs w:val="24"/>
              </w:rPr>
              <w:t>2</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3</w:t>
            </w:r>
            <w:r>
              <w:rPr>
                <w:rFonts w:ascii="Arial Narrow" w:hAnsi="Arial Narrow" w:cs="Arial Narrow"/>
                <w:sz w:val="20"/>
                <w:szCs w:val="24"/>
              </w:rPr>
              <w:t>5</w:t>
            </w:r>
            <w:r w:rsidRPr="002F72E5">
              <w:rPr>
                <w:rFonts w:ascii="Arial Narrow" w:hAnsi="Arial Narrow" w:cs="Arial Narrow"/>
                <w:sz w:val="20"/>
                <w:szCs w:val="24"/>
              </w:rPr>
              <w:t xml:space="preserve"> </w:t>
            </w:r>
            <w:r>
              <w:rPr>
                <w:rFonts w:ascii="Arial Narrow" w:hAnsi="Arial Narrow" w:cs="Arial Narrow"/>
                <w:sz w:val="20"/>
                <w:szCs w:val="24"/>
              </w:rPr>
              <w:t>654</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43 998</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4</w:t>
            </w:r>
            <w:r>
              <w:rPr>
                <w:rFonts w:ascii="Arial Narrow" w:hAnsi="Arial Narrow" w:cs="Arial Narrow"/>
                <w:sz w:val="20"/>
                <w:szCs w:val="24"/>
              </w:rPr>
              <w:t>3</w:t>
            </w:r>
            <w:r w:rsidRPr="002F72E5">
              <w:rPr>
                <w:rFonts w:ascii="Arial Narrow" w:hAnsi="Arial Narrow" w:cs="Arial Narrow"/>
                <w:sz w:val="20"/>
                <w:szCs w:val="24"/>
              </w:rPr>
              <w:t xml:space="preserve"> </w:t>
            </w:r>
            <w:r>
              <w:rPr>
                <w:rFonts w:ascii="Arial Narrow" w:hAnsi="Arial Narrow" w:cs="Arial Narrow"/>
                <w:sz w:val="20"/>
                <w:szCs w:val="24"/>
              </w:rPr>
              <w:t>241</w:t>
            </w:r>
          </w:p>
        </w:tc>
      </w:tr>
      <w:tr>
        <w:tblPrEx>
          <w:tblW w:w="9195" w:type="dxa"/>
          <w:tblInd w:w="55" w:type="dxa"/>
          <w:tblCellMar>
            <w:left w:w="70" w:type="dxa"/>
            <w:right w:w="70" w:type="dxa"/>
          </w:tblCellMar>
        </w:tblPrEx>
        <w:trPr>
          <w:trHeight w:val="225"/>
        </w:trPr>
        <w:tc>
          <w:tcPr>
            <w:tcW w:w="4319" w:type="dxa"/>
            <w:tcBorders>
              <w:top w:val="nil"/>
              <w:left w:val="single" w:sz="8" w:space="0" w:color="auto"/>
              <w:bottom w:val="single" w:sz="4" w:space="0" w:color="auto"/>
              <w:right w:val="nil"/>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prostriedky ŠR</w:t>
            </w:r>
          </w:p>
        </w:tc>
        <w:tc>
          <w:tcPr>
            <w:tcW w:w="1219" w:type="dxa"/>
            <w:tcBorders>
              <w:top w:val="nil"/>
              <w:left w:val="single" w:sz="8" w:space="0" w:color="auto"/>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1 837</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 xml:space="preserve">1 </w:t>
            </w:r>
            <w:r>
              <w:rPr>
                <w:rFonts w:ascii="Arial Narrow" w:hAnsi="Arial Narrow" w:cs="Arial Narrow"/>
                <w:sz w:val="20"/>
                <w:szCs w:val="24"/>
              </w:rPr>
              <w:t>424</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 xml:space="preserve">1 </w:t>
            </w:r>
            <w:r>
              <w:rPr>
                <w:rFonts w:ascii="Arial Narrow" w:hAnsi="Arial Narrow" w:cs="Arial Narrow"/>
                <w:sz w:val="20"/>
                <w:szCs w:val="24"/>
              </w:rPr>
              <w:t>434</w:t>
            </w:r>
          </w:p>
        </w:tc>
        <w:tc>
          <w:tcPr>
            <w:tcW w:w="1219"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 xml:space="preserve">1 </w:t>
            </w:r>
            <w:r>
              <w:rPr>
                <w:rFonts w:ascii="Arial Narrow" w:hAnsi="Arial Narrow" w:cs="Arial Narrow"/>
                <w:sz w:val="20"/>
                <w:szCs w:val="24"/>
              </w:rPr>
              <w:t>434</w:t>
            </w:r>
          </w:p>
        </w:tc>
      </w:tr>
      <w:tr>
        <w:tblPrEx>
          <w:tblW w:w="9195" w:type="dxa"/>
          <w:tblInd w:w="55" w:type="dxa"/>
          <w:tblCellMar>
            <w:left w:w="70" w:type="dxa"/>
            <w:right w:w="70" w:type="dxa"/>
          </w:tblCellMar>
        </w:tblPrEx>
        <w:trPr>
          <w:trHeight w:val="225"/>
        </w:trPr>
        <w:tc>
          <w:tcPr>
            <w:tcW w:w="4319" w:type="dxa"/>
            <w:tcBorders>
              <w:top w:val="nil"/>
              <w:left w:val="single" w:sz="8" w:space="0" w:color="auto"/>
              <w:bottom w:val="single" w:sz="8" w:space="0" w:color="auto"/>
              <w:right w:val="nil"/>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Regionálny rozvoj celkom</w:t>
            </w:r>
          </w:p>
        </w:tc>
        <w:tc>
          <w:tcPr>
            <w:tcW w:w="1219" w:type="dxa"/>
            <w:tcBorders>
              <w:top w:val="nil"/>
              <w:left w:val="single" w:sz="8" w:space="0" w:color="auto"/>
              <w:bottom w:val="single" w:sz="8" w:space="0" w:color="auto"/>
              <w:right w:val="single" w:sz="8" w:space="0" w:color="auto"/>
            </w:tcBorders>
            <w:shd w:val="clear" w:color="auto" w:fill="C0C0C0"/>
            <w:noWrap/>
            <w:textDirection w:val="lrTb"/>
            <w:vAlign w:val="bottom"/>
          </w:tcPr>
          <w:p w:rsidR="00312541" w:rsidRPr="002F72E5" w:rsidP="00A70AF6">
            <w:pPr>
              <w:jc w:val="right"/>
              <w:rPr>
                <w:rFonts w:ascii="Arial Narrow" w:hAnsi="Arial Narrow" w:cs="Arial Narrow"/>
                <w:b/>
                <w:sz w:val="20"/>
                <w:szCs w:val="24"/>
              </w:rPr>
            </w:pPr>
            <w:r w:rsidRPr="002F72E5">
              <w:rPr>
                <w:rFonts w:ascii="Arial Narrow" w:hAnsi="Arial Narrow" w:cs="Arial Narrow"/>
                <w:b/>
                <w:sz w:val="20"/>
                <w:szCs w:val="24"/>
              </w:rPr>
              <w:t>156 784</w:t>
            </w:r>
          </w:p>
        </w:tc>
        <w:tc>
          <w:tcPr>
            <w:tcW w:w="1219" w:type="dxa"/>
            <w:tcBorders>
              <w:top w:val="nil"/>
              <w:left w:val="nil"/>
              <w:bottom w:val="single" w:sz="8" w:space="0" w:color="auto"/>
              <w:right w:val="single" w:sz="8" w:space="0" w:color="auto"/>
            </w:tcBorders>
            <w:shd w:val="clear" w:color="auto" w:fill="C0C0C0"/>
            <w:noWrap/>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296 797</w:t>
            </w:r>
          </w:p>
        </w:tc>
        <w:tc>
          <w:tcPr>
            <w:tcW w:w="1219" w:type="dxa"/>
            <w:tcBorders>
              <w:top w:val="nil"/>
              <w:left w:val="nil"/>
              <w:bottom w:val="single" w:sz="8" w:space="0" w:color="auto"/>
              <w:right w:val="single" w:sz="8" w:space="0" w:color="auto"/>
            </w:tcBorders>
            <w:shd w:val="clear" w:color="auto" w:fill="C0C0C0"/>
            <w:noWrap/>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386 232</w:t>
            </w:r>
          </w:p>
        </w:tc>
        <w:tc>
          <w:tcPr>
            <w:tcW w:w="1219" w:type="dxa"/>
            <w:tcBorders>
              <w:top w:val="nil"/>
              <w:left w:val="nil"/>
              <w:bottom w:val="single" w:sz="8" w:space="0" w:color="auto"/>
              <w:right w:val="single" w:sz="8" w:space="0" w:color="auto"/>
            </w:tcBorders>
            <w:shd w:val="clear" w:color="auto" w:fill="C0C0C0"/>
            <w:noWrap/>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3</w:t>
            </w:r>
            <w:r w:rsidRPr="002F72E5">
              <w:rPr>
                <w:rFonts w:ascii="Arial Narrow" w:hAnsi="Arial Narrow" w:cs="Arial Narrow"/>
                <w:b/>
                <w:sz w:val="20"/>
                <w:szCs w:val="24"/>
              </w:rPr>
              <w:t>7</w:t>
            </w:r>
            <w:r>
              <w:rPr>
                <w:rFonts w:ascii="Arial Narrow" w:hAnsi="Arial Narrow" w:cs="Arial Narrow"/>
                <w:b/>
                <w:sz w:val="20"/>
                <w:szCs w:val="24"/>
              </w:rPr>
              <w:t>0</w:t>
            </w:r>
            <w:r w:rsidRPr="002F72E5">
              <w:rPr>
                <w:rFonts w:ascii="Arial Narrow" w:hAnsi="Arial Narrow" w:cs="Arial Narrow"/>
                <w:b/>
                <w:sz w:val="20"/>
                <w:szCs w:val="24"/>
              </w:rPr>
              <w:t xml:space="preserve"> </w:t>
            </w:r>
            <w:r>
              <w:rPr>
                <w:rFonts w:ascii="Arial Narrow" w:hAnsi="Arial Narrow" w:cs="Arial Narrow"/>
                <w:b/>
                <w:sz w:val="20"/>
                <w:szCs w:val="24"/>
              </w:rPr>
              <w:t>419</w:t>
            </w:r>
          </w:p>
        </w:tc>
      </w:tr>
    </w:tbl>
    <w:p w:rsidR="00312541" w:rsidRPr="002F72E5" w:rsidP="00312541">
      <w:pPr>
        <w:spacing w:after="120"/>
        <w:ind w:left="283"/>
        <w:jc w:val="both"/>
        <w:rPr>
          <w:rFonts w:ascii="Arial Narrow" w:hAnsi="Arial Narrow" w:cs="Arial Narrow"/>
          <w:sz w:val="22"/>
          <w:szCs w:val="24"/>
        </w:rPr>
      </w:pPr>
    </w:p>
    <w:p w:rsidR="00312541" w:rsidRPr="002F72E5" w:rsidP="00312541">
      <w:pPr>
        <w:widowControl w:val="0"/>
        <w:ind w:firstLine="708"/>
        <w:jc w:val="both"/>
        <w:rPr>
          <w:rFonts w:ascii="Arial Narrow" w:hAnsi="Arial Narrow" w:cs="Arial Narrow"/>
          <w:sz w:val="22"/>
          <w:szCs w:val="24"/>
        </w:rPr>
      </w:pPr>
      <w:r w:rsidRPr="00571936">
        <w:rPr>
          <w:rFonts w:ascii="Arial Narrow" w:hAnsi="Arial Narrow" w:cs="Arial Narrow"/>
          <w:b/>
          <w:sz w:val="22"/>
          <w:szCs w:val="24"/>
        </w:rPr>
        <w:t>Na regionálny rozvoj</w:t>
      </w:r>
      <w:r w:rsidRPr="002F72E5">
        <w:rPr>
          <w:rFonts w:ascii="Arial Narrow" w:hAnsi="Arial Narrow" w:cs="Arial Narrow"/>
          <w:sz w:val="22"/>
          <w:szCs w:val="24"/>
        </w:rPr>
        <w:t xml:space="preserve"> je pre rok 20</w:t>
      </w:r>
      <w:r>
        <w:rPr>
          <w:rFonts w:ascii="Arial Narrow" w:hAnsi="Arial Narrow" w:cs="Arial Narrow"/>
          <w:sz w:val="22"/>
          <w:szCs w:val="24"/>
        </w:rPr>
        <w:t>1</w:t>
      </w:r>
      <w:r w:rsidRPr="002F72E5">
        <w:rPr>
          <w:rFonts w:ascii="Arial Narrow" w:hAnsi="Arial Narrow" w:cs="Arial Narrow"/>
          <w:sz w:val="22"/>
          <w:szCs w:val="24"/>
        </w:rPr>
        <w:t xml:space="preserve">0 </w:t>
      </w:r>
      <w:r w:rsidRPr="00571936">
        <w:rPr>
          <w:rFonts w:ascii="Arial Narrow" w:hAnsi="Arial Narrow" w:cs="Arial Narrow"/>
          <w:sz w:val="22"/>
          <w:szCs w:val="24"/>
        </w:rPr>
        <w:t>určených 297 mil. eur</w:t>
      </w:r>
      <w:r w:rsidRPr="002F72E5">
        <w:rPr>
          <w:rFonts w:ascii="Arial Narrow" w:hAnsi="Arial Narrow" w:cs="Arial Narrow"/>
          <w:sz w:val="22"/>
          <w:szCs w:val="24"/>
        </w:rPr>
        <w:t xml:space="preserve"> a v značnej miere sú </w:t>
      </w:r>
      <w:r>
        <w:rPr>
          <w:rFonts w:ascii="Arial Narrow" w:hAnsi="Arial Narrow" w:cs="Arial Narrow"/>
          <w:sz w:val="22"/>
          <w:szCs w:val="24"/>
        </w:rPr>
        <w:t xml:space="preserve">tieto prostriedky smerované pre </w:t>
      </w:r>
      <w:r w:rsidRPr="002F72E5">
        <w:rPr>
          <w:rFonts w:ascii="Arial Narrow" w:hAnsi="Arial Narrow" w:cs="Arial Narrow"/>
          <w:sz w:val="22"/>
          <w:szCs w:val="24"/>
        </w:rPr>
        <w:t>obce a VÚC.</w:t>
      </w:r>
      <w:r>
        <w:rPr>
          <w:rFonts w:ascii="Arial Narrow" w:hAnsi="Arial Narrow" w:cs="Arial Narrow"/>
          <w:sz w:val="22"/>
          <w:szCs w:val="24"/>
        </w:rPr>
        <w:t xml:space="preserve"> </w:t>
      </w:r>
      <w:r w:rsidRPr="002F72E5">
        <w:rPr>
          <w:rFonts w:ascii="Arial Narrow" w:hAnsi="Arial Narrow" w:cs="Arial Narrow"/>
          <w:sz w:val="22"/>
          <w:szCs w:val="24"/>
        </w:rPr>
        <w:t>V porovna</w:t>
      </w:r>
      <w:r>
        <w:rPr>
          <w:rFonts w:ascii="Arial Narrow" w:hAnsi="Arial Narrow" w:cs="Arial Narrow"/>
          <w:sz w:val="22"/>
          <w:szCs w:val="24"/>
        </w:rPr>
        <w:t xml:space="preserve">ní so schváleným rozpočtom roku </w:t>
      </w:r>
      <w:r w:rsidRPr="002F72E5">
        <w:rPr>
          <w:rFonts w:ascii="Arial Narrow" w:hAnsi="Arial Narrow" w:cs="Arial Narrow"/>
          <w:sz w:val="22"/>
          <w:szCs w:val="24"/>
        </w:rPr>
        <w:t>2006 ide o </w:t>
      </w:r>
      <w:r w:rsidRPr="00571936">
        <w:rPr>
          <w:rFonts w:ascii="Arial Narrow" w:hAnsi="Arial Narrow" w:cs="Arial Narrow"/>
          <w:b/>
          <w:sz w:val="22"/>
          <w:szCs w:val="24"/>
        </w:rPr>
        <w:t>nárast o 263 %</w:t>
      </w:r>
      <w:r w:rsidRPr="002F72E5">
        <w:rPr>
          <w:rFonts w:ascii="Arial Narrow" w:hAnsi="Arial Narrow" w:cs="Arial Narrow"/>
          <w:sz w:val="22"/>
          <w:szCs w:val="24"/>
        </w:rPr>
        <w:t xml:space="preserve"> a v porovnaní s rokom 200</w:t>
      </w:r>
      <w:r>
        <w:rPr>
          <w:rFonts w:ascii="Arial Narrow" w:hAnsi="Arial Narrow" w:cs="Arial Narrow"/>
          <w:sz w:val="22"/>
          <w:szCs w:val="24"/>
        </w:rPr>
        <w:t>9</w:t>
      </w:r>
      <w:r w:rsidRPr="002F72E5">
        <w:rPr>
          <w:rFonts w:ascii="Arial Narrow" w:hAnsi="Arial Narrow" w:cs="Arial Narrow"/>
          <w:sz w:val="22"/>
          <w:szCs w:val="24"/>
        </w:rPr>
        <w:t xml:space="preserve"> ide o </w:t>
      </w:r>
      <w:r w:rsidRPr="00571936">
        <w:rPr>
          <w:rFonts w:ascii="Arial Narrow" w:hAnsi="Arial Narrow" w:cs="Arial Narrow"/>
          <w:b/>
          <w:sz w:val="22"/>
          <w:szCs w:val="24"/>
        </w:rPr>
        <w:t>nárast o 89,3 %</w:t>
      </w:r>
      <w:r w:rsidRPr="002F72E5">
        <w:rPr>
          <w:rFonts w:ascii="Arial Narrow" w:hAnsi="Arial Narrow" w:cs="Arial Narrow"/>
          <w:sz w:val="22"/>
          <w:szCs w:val="24"/>
        </w:rPr>
        <w:t>. Výdavky zo zdrojov EÚ a spolufinancovania sú smerované cez Operačný program Bratislavský kraj MVRR vo výške</w:t>
      </w:r>
      <w:r>
        <w:rPr>
          <w:rFonts w:ascii="Arial Narrow" w:hAnsi="Arial Narrow" w:cs="Arial Narrow"/>
          <w:sz w:val="22"/>
          <w:szCs w:val="24"/>
        </w:rPr>
        <w:t xml:space="preserve"> 15,0</w:t>
      </w:r>
      <w:r w:rsidRPr="002F72E5">
        <w:rPr>
          <w:rFonts w:ascii="Arial Narrow" w:hAnsi="Arial Narrow" w:cs="Arial Narrow"/>
          <w:sz w:val="22"/>
          <w:szCs w:val="24"/>
        </w:rPr>
        <w:t xml:space="preserve"> mil. eur na regeneráciu sídiel, regionálnu a mestskú hromadnú dopravu, inovácie a technologické transfery, informatizáciu spoločnosti a technickú pomoc, cez Operačný program Technická pomoc MVRR v sume </w:t>
      </w:r>
      <w:r>
        <w:rPr>
          <w:rFonts w:ascii="Arial Narrow" w:hAnsi="Arial Narrow" w:cs="Arial Narrow"/>
          <w:sz w:val="22"/>
          <w:szCs w:val="24"/>
        </w:rPr>
        <w:t xml:space="preserve">16,2 </w:t>
      </w:r>
      <w:r w:rsidRPr="002F72E5">
        <w:rPr>
          <w:rFonts w:ascii="Arial Narrow" w:hAnsi="Arial Narrow" w:cs="Arial Narrow"/>
          <w:sz w:val="22"/>
          <w:szCs w:val="24"/>
        </w:rPr>
        <w:t>mil. eur, cez Regionálny operačný program MVRR vo výške</w:t>
      </w:r>
      <w:r>
        <w:rPr>
          <w:rFonts w:ascii="Arial Narrow" w:hAnsi="Arial Narrow" w:cs="Arial Narrow"/>
          <w:sz w:val="22"/>
          <w:szCs w:val="24"/>
        </w:rPr>
        <w:t xml:space="preserve"> 261</w:t>
      </w:r>
      <w:r w:rsidRPr="002F72E5">
        <w:rPr>
          <w:rFonts w:ascii="Arial Narrow" w:hAnsi="Arial Narrow" w:cs="Arial Narrow"/>
          <w:sz w:val="22"/>
          <w:szCs w:val="24"/>
        </w:rPr>
        <w:t xml:space="preserve"> mil. eur na infraštruktúru vzdelávania, </w:t>
      </w:r>
      <w:r>
        <w:rPr>
          <w:rFonts w:ascii="Arial Narrow" w:hAnsi="Arial Narrow" w:cs="Arial Narrow"/>
          <w:sz w:val="22"/>
          <w:szCs w:val="24"/>
        </w:rPr>
        <w:t xml:space="preserve">infraštruktúru </w:t>
      </w:r>
      <w:r w:rsidRPr="002F72E5">
        <w:rPr>
          <w:rFonts w:ascii="Arial Narrow" w:hAnsi="Arial Narrow" w:cs="Arial Narrow"/>
          <w:sz w:val="22"/>
          <w:szCs w:val="24"/>
        </w:rPr>
        <w:t>sociálnych služieb, po</w:t>
      </w:r>
      <w:r>
        <w:rPr>
          <w:rFonts w:ascii="Arial Narrow" w:hAnsi="Arial Narrow" w:cs="Arial Narrow"/>
          <w:sz w:val="22"/>
          <w:szCs w:val="24"/>
        </w:rPr>
        <w:t>silnenie kultúrneho potenciálu regiónov</w:t>
      </w:r>
      <w:r w:rsidRPr="002F72E5">
        <w:rPr>
          <w:rFonts w:ascii="Arial Narrow" w:hAnsi="Arial Narrow" w:cs="Arial Narrow"/>
          <w:sz w:val="22"/>
          <w:szCs w:val="24"/>
        </w:rPr>
        <w:t>,</w:t>
      </w:r>
      <w:r>
        <w:rPr>
          <w:rFonts w:ascii="Arial Narrow" w:hAnsi="Arial Narrow" w:cs="Arial Narrow"/>
          <w:sz w:val="22"/>
          <w:szCs w:val="24"/>
        </w:rPr>
        <w:t xml:space="preserve"> podporu a rozvoj infraštruktúry cestovného ruchu,</w:t>
      </w:r>
      <w:r w:rsidRPr="002F72E5">
        <w:rPr>
          <w:rFonts w:ascii="Arial Narrow" w:hAnsi="Arial Narrow" w:cs="Arial Narrow"/>
          <w:sz w:val="22"/>
          <w:szCs w:val="24"/>
        </w:rPr>
        <w:t xml:space="preserve"> regeneráciu sídiel,</w:t>
      </w:r>
      <w:r>
        <w:rPr>
          <w:rFonts w:ascii="Arial Narrow" w:hAnsi="Arial Narrow" w:cs="Arial Narrow"/>
          <w:sz w:val="22"/>
          <w:szCs w:val="24"/>
        </w:rPr>
        <w:t xml:space="preserve"> infraštruktúru nekomerčných záchranných služieb, regionálne komunikácie zabezpečujúce </w:t>
      </w:r>
      <w:r w:rsidRPr="0081154C">
        <w:rPr>
          <w:rFonts w:ascii="Arial Narrow" w:hAnsi="Arial Narrow" w:cs="Arial Narrow"/>
          <w:sz w:val="22"/>
          <w:szCs w:val="24"/>
        </w:rPr>
        <w:t>dopravnú</w:t>
      </w:r>
      <w:r>
        <w:rPr>
          <w:rFonts w:ascii="Arial Narrow" w:hAnsi="Arial Narrow" w:cs="Arial Narrow"/>
          <w:sz w:val="22"/>
          <w:szCs w:val="24"/>
        </w:rPr>
        <w:t xml:space="preserve"> obslužnosť regiónov a technickú pomoc, </w:t>
      </w:r>
      <w:r w:rsidRPr="002F72E5">
        <w:rPr>
          <w:rFonts w:ascii="Arial Narrow" w:hAnsi="Arial Narrow" w:cs="Arial Narrow"/>
          <w:sz w:val="22"/>
          <w:szCs w:val="24"/>
        </w:rPr>
        <w:t>cez Cezhraničnú spoluprácu v</w:t>
      </w:r>
      <w:r>
        <w:rPr>
          <w:rFonts w:ascii="Arial Narrow" w:hAnsi="Arial Narrow" w:cs="Arial Narrow"/>
          <w:sz w:val="22"/>
          <w:szCs w:val="24"/>
        </w:rPr>
        <w:t> </w:t>
      </w:r>
      <w:r w:rsidRPr="002F72E5">
        <w:rPr>
          <w:rFonts w:ascii="Arial Narrow" w:hAnsi="Arial Narrow" w:cs="Arial Narrow"/>
          <w:sz w:val="22"/>
          <w:szCs w:val="24"/>
        </w:rPr>
        <w:t>sume</w:t>
      </w:r>
      <w:r>
        <w:rPr>
          <w:rFonts w:ascii="Arial Narrow" w:hAnsi="Arial Narrow" w:cs="Arial Narrow"/>
          <w:sz w:val="22"/>
          <w:szCs w:val="24"/>
        </w:rPr>
        <w:t xml:space="preserve"> 3,38</w:t>
      </w:r>
      <w:r w:rsidRPr="002F72E5">
        <w:rPr>
          <w:rFonts w:ascii="Arial Narrow" w:hAnsi="Arial Narrow" w:cs="Arial Narrow"/>
          <w:sz w:val="22"/>
          <w:szCs w:val="24"/>
        </w:rPr>
        <w:t xml:space="preserve"> mil. eur na zlepšenie cezhraničnej spolupráce medzi SR a Rakúskom, SR a Poľskou republikou, SR a ČR, SR a Maďarskom. Prostriedky štátneho rozpočtu sa rozpočtujú na podporu integrovanej siete regionálnych rozvojových agentúr a euroregionálnych združení a na podporu územného rozvoja obcí a miest. </w:t>
      </w:r>
    </w:p>
    <w:p w:rsidR="00312541" w:rsidP="00312541">
      <w:pPr>
        <w:rPr>
          <w:szCs w:val="24"/>
        </w:rPr>
      </w:pPr>
    </w:p>
    <w:p w:rsidR="00312541" w:rsidP="00312541">
      <w:pPr>
        <w:rPr>
          <w:szCs w:val="24"/>
        </w:rPr>
      </w:pPr>
    </w:p>
    <w:p w:rsidR="00312541" w:rsidRPr="002F72E5" w:rsidP="00312541">
      <w:pPr>
        <w:pBdr>
          <w:bottom w:val="single" w:sz="4" w:space="1" w:color="auto"/>
        </w:pBdr>
        <w:jc w:val="both"/>
        <w:rPr>
          <w:rFonts w:ascii="Arial Narrow" w:hAnsi="Arial Narrow" w:cs="Arial Narrow"/>
          <w:b/>
          <w:sz w:val="22"/>
          <w:szCs w:val="24"/>
        </w:rPr>
      </w:pPr>
      <w:r w:rsidRPr="002F72E5">
        <w:rPr>
          <w:rFonts w:ascii="Arial Narrow" w:hAnsi="Arial Narrow" w:cs="Arial Narrow"/>
          <w:b/>
          <w:sz w:val="22"/>
          <w:szCs w:val="24"/>
        </w:rPr>
        <w:t>Doprava</w:t>
      </w:r>
    </w:p>
    <w:p w:rsidR="00312541" w:rsidRPr="002F72E5" w:rsidP="00312541">
      <w:pPr>
        <w:spacing w:after="120"/>
        <w:ind w:left="283"/>
        <w:jc w:val="both"/>
        <w:rPr>
          <w:rFonts w:ascii="Arial Narrow" w:hAnsi="Arial Narrow" w:cs="Arial Narrow"/>
          <w:color w:val="000000"/>
          <w:sz w:val="22"/>
          <w:szCs w:val="24"/>
        </w:rPr>
      </w:pPr>
    </w:p>
    <w:p w:rsidR="00312541" w:rsidRPr="002F72E5" w:rsidP="00312541">
      <w:pPr>
        <w:widowControl w:val="0"/>
        <w:ind w:firstLine="708"/>
        <w:jc w:val="both"/>
        <w:rPr>
          <w:rFonts w:ascii="Arial Narrow" w:hAnsi="Arial Narrow" w:cs="Arial Narrow"/>
          <w:sz w:val="22"/>
          <w:szCs w:val="24"/>
        </w:rPr>
      </w:pPr>
      <w:r w:rsidRPr="002F72E5">
        <w:rPr>
          <w:rFonts w:ascii="Arial Narrow" w:hAnsi="Arial Narrow" w:cs="Arial Narrow"/>
          <w:color w:val="000000"/>
          <w:sz w:val="22"/>
          <w:szCs w:val="24"/>
        </w:rPr>
        <w:t xml:space="preserve">Prioritou súčasnej vlády v súlade so spoločnou európskou dopravnou politikou je zrýchlenie tempa výstavby a modernizácie dopravnej infraštruktúry s cieľom prepojenia nadradenej dopravnej infraštruktúry na </w:t>
      </w:r>
      <w:r w:rsidRPr="002F72E5">
        <w:rPr>
          <w:rFonts w:ascii="Arial Narrow" w:hAnsi="Arial Narrow" w:cs="Arial Narrow"/>
          <w:sz w:val="22"/>
          <w:szCs w:val="24"/>
        </w:rPr>
        <w:t>transeurópsku</w:t>
      </w:r>
      <w:r w:rsidRPr="002F72E5">
        <w:rPr>
          <w:rFonts w:ascii="Arial Narrow" w:hAnsi="Arial Narrow" w:cs="Arial Narrow"/>
          <w:color w:val="000000"/>
          <w:sz w:val="22"/>
          <w:szCs w:val="24"/>
        </w:rPr>
        <w:t xml:space="preserve"> dopravnú sieť a zlepšenie dostupnosti všetkých regiónov SR k nadradenej dopravnej infraštruktúre. </w:t>
      </w:r>
      <w:r w:rsidRPr="002F72E5">
        <w:rPr>
          <w:rFonts w:ascii="Arial Narrow" w:hAnsi="Arial Narrow" w:cs="Arial Narrow"/>
          <w:sz w:val="22"/>
          <w:szCs w:val="24"/>
        </w:rPr>
        <w:t>V nadväznosti na uvedené výrazná finančná podpora je smerovaná do oblasti dopravy nielen zo zdrojov EÚ a spolufinancovania, ale aj zo samotných prostriedkov štátneho rozpočtu.</w:t>
      </w:r>
    </w:p>
    <w:p w:rsidR="00312541" w:rsidRPr="002F72E5" w:rsidP="00312541">
      <w:pPr>
        <w:widowControl w:val="0"/>
        <w:ind w:firstLine="708"/>
        <w:jc w:val="both"/>
        <w:rPr>
          <w:rFonts w:ascii="Arial Narrow" w:hAnsi="Arial Narrow" w:cs="Arial Narrow"/>
          <w:sz w:val="22"/>
          <w:szCs w:val="24"/>
        </w:rPr>
      </w:pPr>
    </w:p>
    <w:tbl>
      <w:tblPr>
        <w:tblStyle w:val="TableNormal"/>
        <w:tblW w:w="9180" w:type="dxa"/>
        <w:tblInd w:w="70" w:type="dxa"/>
        <w:tblCellMar>
          <w:left w:w="70" w:type="dxa"/>
          <w:right w:w="70" w:type="dxa"/>
        </w:tblCellMar>
      </w:tblPr>
      <w:tblGrid>
        <w:gridCol w:w="4680"/>
        <w:gridCol w:w="1125"/>
        <w:gridCol w:w="1125"/>
        <w:gridCol w:w="1125"/>
        <w:gridCol w:w="1125"/>
      </w:tblGrid>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8" w:space="0" w:color="auto"/>
              <w:right w:val="single" w:sz="8"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125" w:type="dxa"/>
            <w:tcBorders>
              <w:top w:val="nil"/>
              <w:left w:val="nil"/>
              <w:bottom w:val="single" w:sz="8" w:space="0" w:color="auto"/>
              <w:right w:val="single" w:sz="8" w:space="0" w:color="auto"/>
            </w:tcBorders>
            <w:shd w:val="clear" w:color="auto" w:fill="000000"/>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200</w:t>
            </w:r>
            <w:r>
              <w:rPr>
                <w:rFonts w:ascii="Arial Narrow" w:hAnsi="Arial Narrow" w:cs="Arial Narrow"/>
                <w:b/>
                <w:color w:val="FFFFFF"/>
                <w:sz w:val="20"/>
                <w:szCs w:val="24"/>
              </w:rPr>
              <w:t>9</w:t>
            </w:r>
          </w:p>
        </w:tc>
        <w:tc>
          <w:tcPr>
            <w:tcW w:w="1125" w:type="dxa"/>
            <w:tcBorders>
              <w:top w:val="nil"/>
              <w:left w:val="nil"/>
              <w:bottom w:val="single" w:sz="8" w:space="0" w:color="auto"/>
              <w:right w:val="single" w:sz="8"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w:t>
            </w:r>
            <w:r>
              <w:rPr>
                <w:rFonts w:ascii="Arial Narrow" w:hAnsi="Arial Narrow" w:cs="Arial Narrow"/>
                <w:b/>
                <w:color w:val="FFFFFF"/>
                <w:sz w:val="20"/>
                <w:szCs w:val="24"/>
              </w:rPr>
              <w:t>1</w:t>
            </w:r>
            <w:r w:rsidRPr="002F72E5">
              <w:rPr>
                <w:rFonts w:ascii="Arial Narrow" w:hAnsi="Arial Narrow" w:cs="Arial Narrow"/>
                <w:b/>
                <w:color w:val="FFFFFF"/>
                <w:sz w:val="20"/>
                <w:szCs w:val="24"/>
              </w:rPr>
              <w:t>0</w:t>
            </w:r>
          </w:p>
        </w:tc>
        <w:tc>
          <w:tcPr>
            <w:tcW w:w="1125" w:type="dxa"/>
            <w:tcBorders>
              <w:top w:val="nil"/>
              <w:left w:val="nil"/>
              <w:bottom w:val="single" w:sz="8" w:space="0" w:color="auto"/>
              <w:right w:val="single" w:sz="8"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1</w:t>
            </w:r>
          </w:p>
        </w:tc>
        <w:tc>
          <w:tcPr>
            <w:tcW w:w="1125" w:type="dxa"/>
            <w:tcBorders>
              <w:top w:val="nil"/>
              <w:left w:val="nil"/>
              <w:bottom w:val="single" w:sz="8" w:space="0" w:color="auto"/>
              <w:right w:val="single" w:sz="8"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2</w:t>
            </w:r>
          </w:p>
        </w:tc>
      </w:tr>
      <w:tr>
        <w:tblPrEx>
          <w:tblW w:w="9180" w:type="dxa"/>
          <w:tblInd w:w="70" w:type="dxa"/>
          <w:tblCellMar>
            <w:left w:w="70" w:type="dxa"/>
            <w:right w:w="70" w:type="dxa"/>
          </w:tblCellMar>
        </w:tblPrEx>
        <w:trPr>
          <w:trHeight w:val="240"/>
        </w:trPr>
        <w:tc>
          <w:tcPr>
            <w:tcW w:w="4680" w:type="dxa"/>
            <w:tcBorders>
              <w:top w:val="single" w:sz="8" w:space="0" w:color="auto"/>
              <w:left w:val="single" w:sz="8" w:space="0" w:color="auto"/>
              <w:bottom w:val="single" w:sz="4" w:space="0" w:color="auto"/>
              <w:right w:val="single" w:sz="4" w:space="0" w:color="auto"/>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Celkové zdroje na dopravu, v tom:</w:t>
            </w:r>
          </w:p>
        </w:tc>
        <w:tc>
          <w:tcPr>
            <w:tcW w:w="1125" w:type="dxa"/>
            <w:tcBorders>
              <w:top w:val="single" w:sz="8" w:space="0" w:color="auto"/>
              <w:left w:val="nil"/>
              <w:bottom w:val="single" w:sz="4" w:space="0" w:color="auto"/>
              <w:right w:val="single" w:sz="4" w:space="0" w:color="auto"/>
            </w:tcBorders>
            <w:shd w:val="clear" w:color="auto" w:fill="C0C0C0"/>
            <w:textDirection w:val="lrTb"/>
            <w:vAlign w:val="bottom"/>
          </w:tcPr>
          <w:p w:rsidR="00312541" w:rsidRPr="002F72E5" w:rsidP="00A70AF6">
            <w:pPr>
              <w:jc w:val="right"/>
              <w:rPr>
                <w:rFonts w:ascii="Arial Narrow" w:hAnsi="Arial Narrow" w:cs="Arial Narrow"/>
                <w:b/>
                <w:sz w:val="20"/>
                <w:szCs w:val="24"/>
              </w:rPr>
            </w:pPr>
            <w:r w:rsidRPr="002F72E5">
              <w:rPr>
                <w:rFonts w:ascii="Arial Narrow" w:hAnsi="Arial Narrow" w:cs="Arial Narrow"/>
                <w:b/>
                <w:sz w:val="20"/>
                <w:szCs w:val="24"/>
              </w:rPr>
              <w:t>1 9</w:t>
            </w:r>
            <w:r>
              <w:rPr>
                <w:rFonts w:ascii="Arial Narrow" w:hAnsi="Arial Narrow" w:cs="Arial Narrow"/>
                <w:b/>
                <w:sz w:val="20"/>
                <w:szCs w:val="24"/>
              </w:rPr>
              <w:t>54</w:t>
            </w:r>
            <w:r w:rsidRPr="002F72E5">
              <w:rPr>
                <w:rFonts w:ascii="Arial Narrow" w:hAnsi="Arial Narrow" w:cs="Arial Narrow"/>
                <w:b/>
                <w:sz w:val="20"/>
                <w:szCs w:val="24"/>
              </w:rPr>
              <w:t xml:space="preserve"> </w:t>
            </w:r>
            <w:r>
              <w:rPr>
                <w:rFonts w:ascii="Arial Narrow" w:hAnsi="Arial Narrow" w:cs="Arial Narrow"/>
                <w:b/>
                <w:sz w:val="20"/>
                <w:szCs w:val="24"/>
              </w:rPr>
              <w:t>538</w:t>
            </w:r>
          </w:p>
        </w:tc>
        <w:tc>
          <w:tcPr>
            <w:tcW w:w="1125" w:type="dxa"/>
            <w:tcBorders>
              <w:top w:val="single" w:sz="8" w:space="0" w:color="auto"/>
              <w:left w:val="nil"/>
              <w:bottom w:val="single" w:sz="4" w:space="0" w:color="auto"/>
              <w:right w:val="single" w:sz="4" w:space="0" w:color="auto"/>
            </w:tcBorders>
            <w:shd w:val="clear" w:color="auto" w:fill="C0C0C0"/>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1 905 172</w:t>
            </w:r>
          </w:p>
        </w:tc>
        <w:tc>
          <w:tcPr>
            <w:tcW w:w="1125" w:type="dxa"/>
            <w:tcBorders>
              <w:top w:val="single" w:sz="8" w:space="0" w:color="auto"/>
              <w:left w:val="nil"/>
              <w:bottom w:val="single" w:sz="4" w:space="0" w:color="auto"/>
              <w:right w:val="single" w:sz="4" w:space="0" w:color="auto"/>
            </w:tcBorders>
            <w:shd w:val="clear" w:color="auto" w:fill="C0C0C0"/>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2 060 618</w:t>
            </w:r>
          </w:p>
        </w:tc>
        <w:tc>
          <w:tcPr>
            <w:tcW w:w="1125" w:type="dxa"/>
            <w:tcBorders>
              <w:top w:val="single" w:sz="8" w:space="0" w:color="auto"/>
              <w:left w:val="nil"/>
              <w:bottom w:val="single" w:sz="4" w:space="0" w:color="auto"/>
              <w:right w:val="single" w:sz="4" w:space="0" w:color="auto"/>
            </w:tcBorders>
            <w:shd w:val="clear" w:color="auto" w:fill="C0C0C0"/>
            <w:textDirection w:val="lrTb"/>
            <w:vAlign w:val="bottom"/>
          </w:tcPr>
          <w:p w:rsidR="00312541" w:rsidRPr="002F72E5" w:rsidP="00A70AF6">
            <w:pPr>
              <w:jc w:val="right"/>
              <w:rPr>
                <w:rFonts w:ascii="Arial Narrow" w:hAnsi="Arial Narrow" w:cs="Arial Narrow"/>
                <w:b/>
                <w:sz w:val="20"/>
                <w:szCs w:val="24"/>
              </w:rPr>
            </w:pPr>
            <w:r>
              <w:rPr>
                <w:rFonts w:ascii="Arial Narrow" w:hAnsi="Arial Narrow" w:cs="Arial Narrow"/>
                <w:b/>
                <w:sz w:val="20"/>
                <w:szCs w:val="24"/>
              </w:rPr>
              <w:t>1 883 302</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zdroje ŠR a EÚ </w:t>
            </w:r>
          </w:p>
        </w:tc>
        <w:tc>
          <w:tcPr>
            <w:tcW w:w="1125" w:type="dxa"/>
            <w:tcBorders>
              <w:top w:val="nil"/>
              <w:left w:val="nil"/>
              <w:bottom w:val="single" w:sz="4"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1 3</w:t>
            </w:r>
            <w:r>
              <w:rPr>
                <w:rFonts w:ascii="Arial Narrow" w:hAnsi="Arial Narrow" w:cs="Arial Narrow"/>
                <w:sz w:val="20"/>
                <w:szCs w:val="24"/>
              </w:rPr>
              <w:t>77</w:t>
            </w:r>
            <w:r w:rsidRPr="002F72E5">
              <w:rPr>
                <w:rFonts w:ascii="Arial Narrow" w:hAnsi="Arial Narrow" w:cs="Arial Narrow"/>
                <w:sz w:val="20"/>
                <w:szCs w:val="24"/>
              </w:rPr>
              <w:t xml:space="preserve"> </w:t>
            </w:r>
            <w:r>
              <w:rPr>
                <w:rFonts w:ascii="Arial Narrow" w:hAnsi="Arial Narrow" w:cs="Arial Narrow"/>
                <w:sz w:val="20"/>
                <w:szCs w:val="24"/>
              </w:rPr>
              <w:t>590</w:t>
            </w:r>
          </w:p>
        </w:tc>
        <w:tc>
          <w:tcPr>
            <w:tcW w:w="1125" w:type="dxa"/>
            <w:tcBorders>
              <w:top w:val="nil"/>
              <w:left w:val="nil"/>
              <w:bottom w:val="single" w:sz="4"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1 424 996</w:t>
            </w:r>
          </w:p>
        </w:tc>
        <w:tc>
          <w:tcPr>
            <w:tcW w:w="1125" w:type="dxa"/>
            <w:tcBorders>
              <w:top w:val="nil"/>
              <w:left w:val="nil"/>
              <w:bottom w:val="single" w:sz="4"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1 531 213</w:t>
            </w:r>
          </w:p>
        </w:tc>
        <w:tc>
          <w:tcPr>
            <w:tcW w:w="1125" w:type="dxa"/>
            <w:tcBorders>
              <w:top w:val="nil"/>
              <w:left w:val="nil"/>
              <w:bottom w:val="single" w:sz="4"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1 327 428</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zdroje územnej samosprávy </w:t>
            </w:r>
          </w:p>
        </w:tc>
        <w:tc>
          <w:tcPr>
            <w:tcW w:w="1125" w:type="dxa"/>
            <w:tcBorders>
              <w:top w:val="nil"/>
              <w:left w:val="nil"/>
              <w:bottom w:val="single" w:sz="4"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510 655</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480 176</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529 405</w:t>
            </w:r>
          </w:p>
        </w:tc>
        <w:tc>
          <w:tcPr>
            <w:tcW w:w="1125"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555 874</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8"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vlastné zdroje NDS </w:t>
            </w:r>
          </w:p>
        </w:tc>
        <w:tc>
          <w:tcPr>
            <w:tcW w:w="1125" w:type="dxa"/>
            <w:tcBorders>
              <w:top w:val="nil"/>
              <w:left w:val="nil"/>
              <w:bottom w:val="single" w:sz="8" w:space="0" w:color="auto"/>
              <w:right w:val="single" w:sz="4" w:space="0" w:color="auto"/>
            </w:tcBorders>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66 293</w:t>
            </w:r>
          </w:p>
        </w:tc>
        <w:tc>
          <w:tcPr>
            <w:tcW w:w="1125" w:type="dxa"/>
            <w:tcBorders>
              <w:top w:val="nil"/>
              <w:left w:val="nil"/>
              <w:bottom w:val="single" w:sz="8"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p>
        </w:tc>
        <w:tc>
          <w:tcPr>
            <w:tcW w:w="1125" w:type="dxa"/>
            <w:tcBorders>
              <w:top w:val="nil"/>
              <w:left w:val="nil"/>
              <w:bottom w:val="single" w:sz="8"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p>
        </w:tc>
        <w:tc>
          <w:tcPr>
            <w:tcW w:w="1125" w:type="dxa"/>
            <w:tcBorders>
              <w:top w:val="nil"/>
              <w:left w:val="nil"/>
              <w:bottom w:val="single" w:sz="8"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p>
        </w:tc>
      </w:tr>
    </w:tbl>
    <w:p w:rsidR="00312541" w:rsidRPr="002F72E5" w:rsidP="00312541">
      <w:pPr>
        <w:rPr>
          <w:rFonts w:ascii="Arial Narrow" w:hAnsi="Arial Narrow" w:cs="Arial Narrow"/>
          <w:sz w:val="22"/>
          <w:szCs w:val="24"/>
        </w:rPr>
      </w:pPr>
    </w:p>
    <w:p w:rsidR="00312541" w:rsidRPr="002F72E5" w:rsidP="00312541">
      <w:pPr>
        <w:ind w:firstLine="708"/>
        <w:jc w:val="both"/>
        <w:rPr>
          <w:rFonts w:ascii="Arial Narrow" w:hAnsi="Arial Narrow" w:cs="Arial Narrow"/>
          <w:color w:val="333333"/>
          <w:sz w:val="22"/>
          <w:szCs w:val="24"/>
        </w:rPr>
      </w:pPr>
      <w:r w:rsidRPr="001E0BA2">
        <w:rPr>
          <w:rFonts w:ascii="Arial Narrow" w:hAnsi="Arial Narrow" w:cs="Arial Narrow"/>
          <w:color w:val="333333"/>
          <w:sz w:val="22"/>
          <w:szCs w:val="24"/>
        </w:rPr>
        <w:t>Celkové</w:t>
      </w:r>
      <w:r w:rsidRPr="002F72E5">
        <w:rPr>
          <w:rFonts w:ascii="Arial Narrow" w:hAnsi="Arial Narrow" w:cs="Arial Narrow"/>
          <w:b/>
          <w:color w:val="333333"/>
          <w:sz w:val="22"/>
          <w:szCs w:val="24"/>
        </w:rPr>
        <w:t xml:space="preserve"> zdro</w:t>
      </w:r>
      <w:r>
        <w:rPr>
          <w:rFonts w:ascii="Arial Narrow" w:hAnsi="Arial Narrow" w:cs="Arial Narrow"/>
          <w:b/>
          <w:color w:val="333333"/>
          <w:sz w:val="22"/>
          <w:szCs w:val="24"/>
        </w:rPr>
        <w:t xml:space="preserve">je na dopravu </w:t>
      </w:r>
      <w:r w:rsidRPr="001E0BA2">
        <w:rPr>
          <w:rFonts w:ascii="Arial Narrow" w:hAnsi="Arial Narrow" w:cs="Arial Narrow"/>
          <w:color w:val="333333"/>
          <w:sz w:val="22"/>
          <w:szCs w:val="24"/>
        </w:rPr>
        <w:t>predstavujú sumu 1,91 mld. eur, čo v porovnaní s rokom 2006 predstavuje</w:t>
      </w:r>
      <w:r w:rsidRPr="002F72E5">
        <w:rPr>
          <w:rFonts w:ascii="Arial Narrow" w:hAnsi="Arial Narrow" w:cs="Arial Narrow"/>
          <w:b/>
          <w:color w:val="333333"/>
          <w:sz w:val="22"/>
          <w:szCs w:val="24"/>
        </w:rPr>
        <w:t xml:space="preserve"> nárast o</w:t>
      </w:r>
      <w:r>
        <w:rPr>
          <w:rFonts w:ascii="Arial Narrow" w:hAnsi="Arial Narrow" w:cs="Arial Narrow"/>
          <w:b/>
          <w:color w:val="333333"/>
          <w:sz w:val="22"/>
          <w:szCs w:val="24"/>
        </w:rPr>
        <w:t> 29</w:t>
      </w:r>
      <w:r w:rsidRPr="00D76F19">
        <w:rPr>
          <w:rFonts w:ascii="Arial Narrow" w:hAnsi="Arial Narrow" w:cs="Arial Narrow"/>
          <w:b/>
          <w:color w:val="333333"/>
          <w:sz w:val="22"/>
          <w:szCs w:val="24"/>
        </w:rPr>
        <w:t>,</w:t>
      </w:r>
      <w:r>
        <w:rPr>
          <w:rFonts w:ascii="Arial Narrow" w:hAnsi="Arial Narrow" w:cs="Arial Narrow"/>
          <w:b/>
          <w:color w:val="333333"/>
          <w:sz w:val="22"/>
          <w:szCs w:val="24"/>
        </w:rPr>
        <w:t>3</w:t>
      </w:r>
      <w:r w:rsidRPr="002F72E5">
        <w:rPr>
          <w:rFonts w:ascii="Arial Narrow" w:hAnsi="Arial Narrow" w:cs="Arial Narrow"/>
          <w:b/>
          <w:color w:val="333333"/>
          <w:sz w:val="22"/>
          <w:szCs w:val="24"/>
        </w:rPr>
        <w:t xml:space="preserve"> %</w:t>
      </w:r>
      <w:r w:rsidRPr="002F72E5">
        <w:rPr>
          <w:rFonts w:ascii="Arial Narrow" w:hAnsi="Arial Narrow" w:cs="Arial Narrow"/>
          <w:color w:val="333333"/>
          <w:sz w:val="22"/>
          <w:szCs w:val="24"/>
        </w:rPr>
        <w:t xml:space="preserve">. Samotné prostriedky štátneho rozpočtu (bez zdrojov EÚ a spolufinancovania) </w:t>
      </w:r>
      <w:r>
        <w:rPr>
          <w:rFonts w:ascii="Arial Narrow" w:hAnsi="Arial Narrow" w:cs="Arial Narrow"/>
          <w:color w:val="333333"/>
          <w:sz w:val="22"/>
          <w:szCs w:val="24"/>
        </w:rPr>
        <w:t>sa pre rok</w:t>
      </w:r>
      <w:r w:rsidRPr="002F72E5">
        <w:rPr>
          <w:rFonts w:ascii="Arial Narrow" w:hAnsi="Arial Narrow" w:cs="Arial Narrow"/>
          <w:color w:val="333333"/>
          <w:sz w:val="22"/>
          <w:szCs w:val="24"/>
        </w:rPr>
        <w:t xml:space="preserve"> 20</w:t>
      </w:r>
      <w:r>
        <w:rPr>
          <w:rFonts w:ascii="Arial Narrow" w:hAnsi="Arial Narrow" w:cs="Arial Narrow"/>
          <w:color w:val="333333"/>
          <w:sz w:val="22"/>
          <w:szCs w:val="24"/>
        </w:rPr>
        <w:t>1</w:t>
      </w:r>
      <w:r w:rsidRPr="002F72E5">
        <w:rPr>
          <w:rFonts w:ascii="Arial Narrow" w:hAnsi="Arial Narrow" w:cs="Arial Narrow"/>
          <w:color w:val="333333"/>
          <w:sz w:val="22"/>
          <w:szCs w:val="24"/>
        </w:rPr>
        <w:t xml:space="preserve">0 </w:t>
      </w:r>
      <w:r>
        <w:rPr>
          <w:rFonts w:ascii="Arial Narrow" w:hAnsi="Arial Narrow" w:cs="Arial Narrow"/>
          <w:color w:val="333333"/>
          <w:sz w:val="22"/>
          <w:szCs w:val="24"/>
        </w:rPr>
        <w:t>rozpočtujú na úrovni</w:t>
      </w:r>
      <w:r w:rsidRPr="002F72E5">
        <w:rPr>
          <w:rFonts w:ascii="Arial Narrow" w:hAnsi="Arial Narrow" w:cs="Arial Narrow"/>
          <w:color w:val="333333"/>
          <w:sz w:val="22"/>
          <w:szCs w:val="24"/>
        </w:rPr>
        <w:t xml:space="preserve"> </w:t>
      </w:r>
      <w:r>
        <w:rPr>
          <w:rFonts w:ascii="Arial Narrow" w:hAnsi="Arial Narrow" w:cs="Arial Narrow"/>
          <w:color w:val="333333"/>
          <w:sz w:val="22"/>
          <w:szCs w:val="24"/>
        </w:rPr>
        <w:t>572</w:t>
      </w:r>
      <w:r w:rsidRPr="002F72E5">
        <w:rPr>
          <w:rFonts w:ascii="Arial Narrow" w:hAnsi="Arial Narrow" w:cs="Arial Narrow"/>
          <w:color w:val="333333"/>
          <w:sz w:val="22"/>
          <w:szCs w:val="24"/>
        </w:rPr>
        <w:t> mil. eur</w:t>
      </w:r>
      <w:r>
        <w:rPr>
          <w:rFonts w:ascii="Arial Narrow" w:hAnsi="Arial Narrow" w:cs="Arial Narrow"/>
          <w:color w:val="333333"/>
          <w:sz w:val="22"/>
          <w:szCs w:val="24"/>
        </w:rPr>
        <w:t>.</w:t>
      </w:r>
    </w:p>
    <w:p w:rsidR="00312541" w:rsidP="00312541">
      <w:pPr>
        <w:rPr>
          <w:rFonts w:ascii="Arial Narrow" w:hAnsi="Arial Narrow" w:cs="Arial Narrow"/>
          <w:sz w:val="22"/>
          <w:szCs w:val="24"/>
        </w:rPr>
      </w:pPr>
      <w:r w:rsidRPr="002F72E5">
        <w:rPr>
          <w:rFonts w:ascii="Arial Narrow" w:hAnsi="Arial Narrow" w:cs="Arial Narrow"/>
          <w:sz w:val="22"/>
          <w:szCs w:val="24"/>
        </w:rPr>
        <w:t xml:space="preserve"> </w:t>
      </w:r>
    </w:p>
    <w:p w:rsidR="00312541" w:rsidRPr="002F72E5" w:rsidP="00312541">
      <w:pPr>
        <w:rPr>
          <w:rFonts w:ascii="Arial Narrow" w:hAnsi="Arial Narrow" w:cs="Arial Narrow"/>
          <w:sz w:val="22"/>
          <w:szCs w:val="24"/>
        </w:rPr>
      </w:pPr>
    </w:p>
    <w:p w:rsidR="00312541" w:rsidRPr="002F72E5" w:rsidP="00312541">
      <w:pPr>
        <w:jc w:val="both"/>
        <w:rPr>
          <w:rFonts w:ascii="Arial Narrow" w:hAnsi="Arial Narrow" w:cs="Arial Narrow"/>
          <w:b/>
          <w:sz w:val="22"/>
          <w:szCs w:val="24"/>
        </w:rPr>
      </w:pPr>
      <w:r w:rsidRPr="002F72E5">
        <w:rPr>
          <w:rFonts w:ascii="Arial Narrow" w:hAnsi="Arial Narrow" w:cs="Arial Narrow"/>
          <w:b/>
          <w:sz w:val="22"/>
          <w:szCs w:val="24"/>
        </w:rPr>
        <w:t xml:space="preserve">Cestná infraštruktúra  </w:t>
      </w:r>
    </w:p>
    <w:p w:rsidR="00312541" w:rsidRPr="002F72E5"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2F72E5">
        <w:rPr>
          <w:rFonts w:ascii="Arial Narrow" w:hAnsi="Arial Narrow" w:cs="Arial Narrow"/>
          <w:sz w:val="22"/>
          <w:szCs w:val="24"/>
        </w:rPr>
        <w:t xml:space="preserve">Na výdavky súvisiace s cestnou infraštruktúrou je rozpočtovaných </w:t>
      </w:r>
      <w:r w:rsidRPr="00E071A9">
        <w:rPr>
          <w:rFonts w:ascii="Arial Narrow" w:hAnsi="Arial Narrow" w:cs="Arial Narrow"/>
          <w:sz w:val="22"/>
          <w:szCs w:val="24"/>
        </w:rPr>
        <w:t>1,2</w:t>
      </w:r>
      <w:r>
        <w:rPr>
          <w:rFonts w:ascii="Arial Narrow" w:hAnsi="Arial Narrow" w:cs="Arial Narrow"/>
          <w:sz w:val="22"/>
          <w:szCs w:val="24"/>
        </w:rPr>
        <w:t xml:space="preserve">4 </w:t>
      </w:r>
      <w:r w:rsidRPr="002F72E5">
        <w:rPr>
          <w:rFonts w:ascii="Arial Narrow" w:hAnsi="Arial Narrow" w:cs="Arial Narrow"/>
          <w:sz w:val="22"/>
          <w:szCs w:val="24"/>
        </w:rPr>
        <w:t>mld. eur, čo v porovnaní so schváleným rozpočtom roku 2006 predstavuje nárast o</w:t>
      </w:r>
      <w:r>
        <w:rPr>
          <w:rFonts w:ascii="Arial Narrow" w:hAnsi="Arial Narrow" w:cs="Arial Narrow"/>
          <w:sz w:val="22"/>
          <w:szCs w:val="24"/>
        </w:rPr>
        <w:t> 16,5</w:t>
      </w:r>
      <w:r w:rsidRPr="002F72E5">
        <w:rPr>
          <w:rFonts w:ascii="Arial Narrow" w:hAnsi="Arial Narrow" w:cs="Arial Narrow"/>
          <w:sz w:val="22"/>
          <w:szCs w:val="24"/>
        </w:rPr>
        <w:t xml:space="preserve"> %</w:t>
      </w:r>
      <w:r>
        <w:rPr>
          <w:rFonts w:ascii="Arial Narrow" w:hAnsi="Arial Narrow" w:cs="Arial Narrow"/>
          <w:sz w:val="22"/>
          <w:szCs w:val="24"/>
        </w:rPr>
        <w:t>.</w:t>
      </w:r>
      <w:r w:rsidRPr="002F72E5">
        <w:rPr>
          <w:rFonts w:ascii="Arial Narrow" w:hAnsi="Arial Narrow" w:cs="Arial Narrow"/>
          <w:sz w:val="22"/>
          <w:szCs w:val="24"/>
        </w:rPr>
        <w:t xml:space="preserve"> Z  prostriedkov štátneho rozpočtu a zdrojov EÚ je rozpočtovaných </w:t>
      </w:r>
      <w:r>
        <w:rPr>
          <w:rFonts w:ascii="Arial Narrow" w:hAnsi="Arial Narrow" w:cs="Arial Narrow"/>
          <w:sz w:val="22"/>
          <w:szCs w:val="24"/>
        </w:rPr>
        <w:t>762</w:t>
      </w:r>
      <w:r w:rsidRPr="002F72E5">
        <w:rPr>
          <w:rFonts w:ascii="Arial Narrow" w:hAnsi="Arial Narrow" w:cs="Arial Narrow"/>
          <w:sz w:val="22"/>
          <w:szCs w:val="24"/>
        </w:rPr>
        <w:t xml:space="preserve"> mil. eur</w:t>
      </w:r>
      <w:r>
        <w:rPr>
          <w:rFonts w:ascii="Arial Narrow" w:hAnsi="Arial Narrow" w:cs="Arial Narrow"/>
          <w:sz w:val="22"/>
          <w:szCs w:val="24"/>
        </w:rPr>
        <w:t xml:space="preserve"> (424 mil. eur zdroje EÚ, 85,3 mil. eur spolufinancovanie a 253 mil. eur samotné prostriedky štátneho rozpočtu)</w:t>
      </w:r>
      <w:r w:rsidRPr="002F72E5">
        <w:rPr>
          <w:rFonts w:ascii="Arial Narrow" w:hAnsi="Arial Narrow" w:cs="Arial Narrow"/>
          <w:b/>
          <w:sz w:val="22"/>
          <w:szCs w:val="24"/>
        </w:rPr>
        <w:t xml:space="preserve">, </w:t>
      </w:r>
      <w:r w:rsidRPr="002F72E5">
        <w:rPr>
          <w:rFonts w:ascii="Arial Narrow" w:hAnsi="Arial Narrow" w:cs="Arial Narrow"/>
          <w:sz w:val="22"/>
          <w:szCs w:val="24"/>
        </w:rPr>
        <w:t>čo v porovnaní s rokom 2006 činí nárast o</w:t>
      </w:r>
      <w:r>
        <w:rPr>
          <w:rFonts w:ascii="Arial Narrow" w:hAnsi="Arial Narrow" w:cs="Arial Narrow"/>
          <w:sz w:val="22"/>
          <w:szCs w:val="24"/>
        </w:rPr>
        <w:t xml:space="preserve"> 58,9 </w:t>
      </w:r>
      <w:r w:rsidRPr="002F72E5">
        <w:rPr>
          <w:rFonts w:ascii="Arial Narrow" w:hAnsi="Arial Narrow" w:cs="Arial Narrow"/>
          <w:sz w:val="22"/>
          <w:szCs w:val="24"/>
        </w:rPr>
        <w:t>%</w:t>
      </w:r>
      <w:r>
        <w:rPr>
          <w:rFonts w:ascii="Arial Narrow" w:hAnsi="Arial Narrow" w:cs="Arial Narrow"/>
          <w:sz w:val="22"/>
          <w:szCs w:val="24"/>
        </w:rPr>
        <w:t>.</w:t>
      </w:r>
      <w:r w:rsidRPr="002F72E5">
        <w:rPr>
          <w:rFonts w:ascii="Arial Narrow" w:hAnsi="Arial Narrow" w:cs="Arial Narrow"/>
          <w:sz w:val="22"/>
          <w:szCs w:val="24"/>
        </w:rPr>
        <w:t xml:space="preserve"> Ďalšími novými zdrojmi financovania môžu byť súkromné zdroje realizované prostredníctvom projektov PPP a prostriedky z mýta cez NDS, ktoré budú v prvých rokoch použité na splátky istiny a úrokov NDS, splátku mýtneho systému a prevádzku elektronického mýta. </w:t>
      </w:r>
    </w:p>
    <w:p w:rsidR="00312541" w:rsidP="00312541">
      <w:pPr>
        <w:ind w:firstLine="708"/>
        <w:jc w:val="both"/>
        <w:rPr>
          <w:rFonts w:ascii="Arial Narrow" w:hAnsi="Arial Narrow" w:cs="Arial Narrow"/>
          <w:sz w:val="22"/>
          <w:szCs w:val="24"/>
        </w:rPr>
      </w:pPr>
    </w:p>
    <w:p w:rsidR="00312541" w:rsidP="00312541">
      <w:pPr>
        <w:jc w:val="both"/>
        <w:rPr>
          <w:rFonts w:ascii="Arial Narrow" w:hAnsi="Arial Narrow" w:cs="Arial Narrow"/>
          <w:i/>
          <w:sz w:val="22"/>
          <w:szCs w:val="24"/>
        </w:rPr>
      </w:pPr>
    </w:p>
    <w:p w:rsidR="00312541" w:rsidP="00312541">
      <w:pPr>
        <w:jc w:val="both"/>
        <w:rPr>
          <w:rFonts w:ascii="Arial Narrow" w:hAnsi="Arial Narrow" w:cs="Arial Narrow"/>
          <w:i/>
          <w:sz w:val="22"/>
          <w:szCs w:val="24"/>
        </w:rPr>
      </w:pPr>
      <w:r w:rsidRPr="002F72E5">
        <w:rPr>
          <w:rFonts w:ascii="Arial Narrow" w:hAnsi="Arial Narrow" w:cs="Arial Narrow"/>
          <w:i/>
          <w:sz w:val="22"/>
          <w:szCs w:val="24"/>
        </w:rPr>
        <w:t>Správa a údržba cestnej infraštruktúry</w:t>
      </w:r>
    </w:p>
    <w:p w:rsidR="00312541" w:rsidP="00312541">
      <w:pPr>
        <w:jc w:val="both"/>
        <w:rPr>
          <w:rFonts w:ascii="Arial Narrow" w:hAnsi="Arial Narrow" w:cs="Arial Narrow"/>
          <w:i/>
          <w:sz w:val="22"/>
          <w:szCs w:val="24"/>
        </w:rPr>
      </w:pPr>
    </w:p>
    <w:tbl>
      <w:tblPr>
        <w:tblStyle w:val="TableNormal"/>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80"/>
        <w:gridCol w:w="1125"/>
        <w:gridCol w:w="1125"/>
        <w:gridCol w:w="1125"/>
        <w:gridCol w:w="1125"/>
      </w:tblGrid>
      <w:tr>
        <w:tblPrEx>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Výdavky na správu, údržbu a opravy ciest a diaľnic spolu</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399 234</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334 838</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387 629</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476 710</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 xml:space="preserve">SSC - správa a údržba ciest I. triedy </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40 211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40 399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40 399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40 399</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NDS – príprava a realizácia opráv diaľnic a RC zdroje ŠR</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29 875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29 875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55 165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129 643</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NDS - správa, údržba a opravy diaľnic a RC vlastné zdroje</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37 509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VÚC - správa, údržba a opravy ciest II. triedy</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161 661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140 384</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163 912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172 108</w:t>
            </w:r>
          </w:p>
        </w:tc>
      </w:tr>
      <w:tr>
        <w:tblPrEx>
          <w:tblW w:w="9180" w:type="dxa"/>
          <w:tblInd w:w="70" w:type="dxa"/>
          <w:tblCellMar>
            <w:left w:w="70" w:type="dxa"/>
            <w:right w:w="70" w:type="dxa"/>
          </w:tblCellMar>
        </w:tblPrEx>
        <w:trPr>
          <w:trHeight w:val="238"/>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mestá a obce - správa, údržba a opravy ostatné cesty</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129 977</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124 180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128 153</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134 560</w:t>
            </w:r>
          </w:p>
        </w:tc>
      </w:tr>
    </w:tbl>
    <w:p w:rsidR="00312541" w:rsidP="00312541">
      <w:pPr>
        <w:jc w:val="both"/>
        <w:rPr>
          <w:rFonts w:ascii="Arial Narrow" w:hAnsi="Arial Narrow" w:cs="Arial Narrow"/>
          <w:i/>
          <w:sz w:val="22"/>
          <w:szCs w:val="24"/>
        </w:rPr>
      </w:pPr>
    </w:p>
    <w:p w:rsidR="00312541" w:rsidRPr="00571936" w:rsidP="00312541">
      <w:pPr>
        <w:ind w:firstLine="708"/>
        <w:jc w:val="both"/>
        <w:rPr>
          <w:rFonts w:ascii="Arial Narrow" w:hAnsi="Arial Narrow" w:cs="Arial Narrow"/>
          <w:sz w:val="22"/>
          <w:szCs w:val="24"/>
        </w:rPr>
      </w:pPr>
      <w:r w:rsidRPr="002F72E5">
        <w:rPr>
          <w:rFonts w:ascii="Arial Narrow" w:hAnsi="Arial Narrow" w:cs="Arial Narrow"/>
          <w:sz w:val="22"/>
          <w:szCs w:val="24"/>
        </w:rPr>
        <w:t>V roku 20</w:t>
      </w:r>
      <w:r>
        <w:rPr>
          <w:rFonts w:ascii="Arial Narrow" w:hAnsi="Arial Narrow" w:cs="Arial Narrow"/>
          <w:sz w:val="22"/>
          <w:szCs w:val="24"/>
        </w:rPr>
        <w:t>1</w:t>
      </w:r>
      <w:r w:rsidRPr="002F72E5">
        <w:rPr>
          <w:rFonts w:ascii="Arial Narrow" w:hAnsi="Arial Narrow" w:cs="Arial Narrow"/>
          <w:sz w:val="22"/>
          <w:szCs w:val="24"/>
        </w:rPr>
        <w:t xml:space="preserve">0 sa predpokladá </w:t>
      </w:r>
      <w:r w:rsidRPr="002F72E5">
        <w:rPr>
          <w:rFonts w:ascii="Arial Narrow" w:hAnsi="Arial Narrow" w:cs="Arial Narrow"/>
          <w:b/>
          <w:sz w:val="22"/>
          <w:szCs w:val="24"/>
        </w:rPr>
        <w:t>na správu a údržbu cestnej infraštruktúry</w:t>
      </w:r>
      <w:r w:rsidRPr="002F72E5">
        <w:rPr>
          <w:rFonts w:ascii="Arial Narrow" w:hAnsi="Arial Narrow" w:cs="Arial Narrow"/>
          <w:sz w:val="22"/>
          <w:szCs w:val="24"/>
        </w:rPr>
        <w:t xml:space="preserve"> vynaložiť celkom </w:t>
      </w:r>
      <w:r>
        <w:rPr>
          <w:rFonts w:ascii="Arial Narrow" w:hAnsi="Arial Narrow" w:cs="Arial Narrow"/>
          <w:sz w:val="22"/>
          <w:szCs w:val="24"/>
        </w:rPr>
        <w:t>335</w:t>
      </w:r>
      <w:r w:rsidRPr="002F72E5">
        <w:rPr>
          <w:rFonts w:ascii="Arial Narrow" w:hAnsi="Arial Narrow" w:cs="Arial Narrow"/>
          <w:sz w:val="22"/>
          <w:szCs w:val="24"/>
        </w:rPr>
        <w:t xml:space="preserve"> mil. eur</w:t>
      </w:r>
      <w:r>
        <w:rPr>
          <w:rFonts w:ascii="Arial Narrow" w:hAnsi="Arial Narrow" w:cs="Arial Narrow"/>
          <w:sz w:val="22"/>
          <w:szCs w:val="24"/>
        </w:rPr>
        <w:t xml:space="preserve">, </w:t>
      </w:r>
      <w:r w:rsidRPr="008C58D9">
        <w:rPr>
          <w:rFonts w:ascii="Arial Narrow" w:hAnsi="Arial Narrow" w:cs="Arial Narrow"/>
          <w:sz w:val="22"/>
          <w:szCs w:val="24"/>
        </w:rPr>
        <w:t>čo</w:t>
      </w:r>
      <w:r w:rsidRPr="008C58D9">
        <w:rPr>
          <w:rFonts w:ascii="Arial Narrow" w:hAnsi="Arial Narrow" w:cs="Arial Narrow"/>
          <w:b/>
          <w:sz w:val="22"/>
          <w:szCs w:val="24"/>
        </w:rPr>
        <w:t xml:space="preserve"> </w:t>
      </w:r>
      <w:r w:rsidRPr="00571936">
        <w:rPr>
          <w:rFonts w:ascii="Arial Narrow" w:hAnsi="Arial Narrow" w:cs="Arial Narrow"/>
          <w:sz w:val="22"/>
          <w:szCs w:val="24"/>
        </w:rPr>
        <w:t>v porovnaní s rokom 2006 predstavuje</w:t>
      </w:r>
      <w:r w:rsidRPr="008C58D9">
        <w:rPr>
          <w:rFonts w:ascii="Arial Narrow" w:hAnsi="Arial Narrow" w:cs="Arial Narrow"/>
          <w:b/>
          <w:sz w:val="22"/>
          <w:szCs w:val="24"/>
        </w:rPr>
        <w:t xml:space="preserve"> nárast o</w:t>
      </w:r>
      <w:r>
        <w:rPr>
          <w:rFonts w:ascii="Arial Narrow" w:hAnsi="Arial Narrow" w:cs="Arial Narrow"/>
          <w:b/>
          <w:sz w:val="22"/>
          <w:szCs w:val="24"/>
        </w:rPr>
        <w:t> 15,1</w:t>
      </w:r>
      <w:r w:rsidRPr="008C58D9">
        <w:rPr>
          <w:rFonts w:ascii="Arial Narrow" w:hAnsi="Arial Narrow" w:cs="Arial Narrow"/>
          <w:b/>
          <w:sz w:val="22"/>
          <w:szCs w:val="24"/>
        </w:rPr>
        <w:t xml:space="preserve"> %.</w:t>
      </w:r>
      <w:r>
        <w:rPr>
          <w:rFonts w:ascii="Arial Narrow" w:hAnsi="Arial Narrow" w:cs="Arial Narrow"/>
          <w:sz w:val="22"/>
          <w:szCs w:val="24"/>
        </w:rPr>
        <w:t xml:space="preserve"> </w:t>
      </w:r>
      <w:r w:rsidRPr="002F72E5">
        <w:rPr>
          <w:rFonts w:ascii="Arial Narrow" w:hAnsi="Arial Narrow" w:cs="Arial Narrow"/>
          <w:sz w:val="22"/>
          <w:szCs w:val="24"/>
        </w:rPr>
        <w:t>Správa a údržba cestnej infraštruktúry sa realizuje prostredníctvom Slovenskej správy ciest (SSC), Národnej diaľničnej spoločnosti (NDS), VÚC,  miest a obcí. SSC, ktorá je zodpovedná za správu, údržbu  a výstavbu ciest I. triedy má na správu a</w:t>
      </w:r>
      <w:r>
        <w:rPr>
          <w:rFonts w:ascii="Arial Narrow" w:hAnsi="Arial Narrow" w:cs="Arial Narrow"/>
          <w:sz w:val="22"/>
          <w:szCs w:val="24"/>
        </w:rPr>
        <w:t> </w:t>
      </w:r>
      <w:r w:rsidRPr="002F72E5">
        <w:rPr>
          <w:rFonts w:ascii="Arial Narrow" w:hAnsi="Arial Narrow" w:cs="Arial Narrow"/>
          <w:sz w:val="22"/>
          <w:szCs w:val="24"/>
        </w:rPr>
        <w:t>údržbu</w:t>
      </w:r>
      <w:r>
        <w:rPr>
          <w:rFonts w:ascii="Arial Narrow" w:hAnsi="Arial Narrow" w:cs="Arial Narrow"/>
          <w:sz w:val="22"/>
          <w:szCs w:val="24"/>
        </w:rPr>
        <w:t xml:space="preserve"> </w:t>
      </w:r>
      <w:r w:rsidRPr="00571936">
        <w:rPr>
          <w:rFonts w:ascii="Arial Narrow" w:hAnsi="Arial Narrow" w:cs="Arial Narrow"/>
          <w:sz w:val="22"/>
          <w:szCs w:val="24"/>
        </w:rPr>
        <w:t xml:space="preserve">rozpočtovaných 40,4 mil. eur. NDS vykonáva prípravu, realizáciu  opráv, výstavbu diaľnic a rýchlostných ciest. Na správu, údržbu a opravy je  rozpočtovaných 29,9 mil. eur. VÚC vykonávajú správu a údržbu ciest II. a III. triedy, na ktorú sa v roku 2010 predpokladá použiť 140 mil. eur z prostriedkov, ktoré VÚC získajú z výnosu dane z príjmov platenej fyzickými osobami a z výnosu dane z motorových vozidiel. Mestá a obce realizujú správu a údržbu miestnych komunikácií, na ktorú sa v roku 2010 podľa odhadu MF SR predpokladá použiť 124 mil. eur. </w:t>
      </w:r>
    </w:p>
    <w:p w:rsidR="00312541" w:rsidRPr="002F72E5" w:rsidP="00312541">
      <w:pPr>
        <w:jc w:val="both"/>
        <w:rPr>
          <w:rFonts w:ascii="Arial Narrow" w:hAnsi="Arial Narrow" w:cs="Arial Narrow"/>
          <w:i/>
          <w:sz w:val="22"/>
          <w:szCs w:val="24"/>
        </w:rPr>
      </w:pPr>
    </w:p>
    <w:p w:rsidR="00312541" w:rsidP="00312541">
      <w:pPr>
        <w:jc w:val="both"/>
        <w:rPr>
          <w:rFonts w:ascii="Arial Narrow" w:hAnsi="Arial Narrow" w:cs="Arial Narrow"/>
          <w:i/>
          <w:sz w:val="22"/>
          <w:szCs w:val="24"/>
        </w:rPr>
      </w:pPr>
      <w:r w:rsidRPr="002F72E5">
        <w:rPr>
          <w:rFonts w:ascii="Arial Narrow" w:hAnsi="Arial Narrow" w:cs="Arial Narrow"/>
          <w:i/>
          <w:sz w:val="22"/>
          <w:szCs w:val="24"/>
        </w:rPr>
        <w:t>Výstavba cestnej infraštruktúry</w:t>
      </w:r>
    </w:p>
    <w:p w:rsidR="00312541" w:rsidP="00312541">
      <w:pPr>
        <w:jc w:val="both"/>
        <w:rPr>
          <w:rFonts w:ascii="Arial Narrow" w:hAnsi="Arial Narrow" w:cs="Arial Narrow"/>
          <w:i/>
          <w:sz w:val="22"/>
          <w:szCs w:val="24"/>
        </w:rPr>
      </w:pPr>
    </w:p>
    <w:tbl>
      <w:tblPr>
        <w:tblStyle w:val="TableNormal"/>
        <w:tblW w:w="9195" w:type="dxa"/>
        <w:tblInd w:w="55" w:type="dxa"/>
        <w:tblCellMar>
          <w:left w:w="70" w:type="dxa"/>
          <w:right w:w="70" w:type="dxa"/>
        </w:tblCellMar>
      </w:tblPr>
      <w:tblGrid>
        <w:gridCol w:w="4695"/>
        <w:gridCol w:w="1125"/>
        <w:gridCol w:w="1125"/>
        <w:gridCol w:w="1125"/>
        <w:gridCol w:w="1125"/>
      </w:tblGrid>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nil"/>
              <w:left w:val="nil"/>
              <w:bottom w:val="single" w:sz="4" w:space="0" w:color="auto"/>
              <w:right w:val="single" w:sz="8"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shd w:val="clear" w:color="auto" w:fill="C0C0C0"/>
            <w:noWrap/>
            <w:textDirection w:val="lrTb"/>
            <w:vAlign w:val="bottom"/>
          </w:tcPr>
          <w:p w:rsidR="00312541" w:rsidRPr="002F72E5" w:rsidP="00A70AF6">
            <w:pPr>
              <w:rPr>
                <w:rFonts w:ascii="Arial Narrow" w:hAnsi="Arial Narrow" w:cs="Arial Narrow"/>
                <w:b/>
                <w:sz w:val="20"/>
                <w:szCs w:val="24"/>
              </w:rPr>
            </w:pPr>
            <w:r w:rsidRPr="002F72E5">
              <w:rPr>
                <w:rFonts w:ascii="Arial Narrow" w:hAnsi="Arial Narrow" w:cs="Arial Narrow"/>
                <w:b/>
                <w:sz w:val="20"/>
                <w:szCs w:val="24"/>
              </w:rPr>
              <w:t>Výdavky na výstavbu ciest a diaľnic spolu</w:t>
            </w:r>
          </w:p>
        </w:tc>
        <w:tc>
          <w:tcPr>
            <w:tcW w:w="1125"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1 031 118</w:t>
            </w:r>
          </w:p>
        </w:tc>
        <w:tc>
          <w:tcPr>
            <w:tcW w:w="1125"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907 109</w:t>
            </w:r>
          </w:p>
        </w:tc>
        <w:tc>
          <w:tcPr>
            <w:tcW w:w="1125"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917 825</w:t>
            </w:r>
          </w:p>
        </w:tc>
        <w:tc>
          <w:tcPr>
            <w:tcW w:w="1125" w:type="dxa"/>
            <w:tcBorders>
              <w:top w:val="nil"/>
              <w:left w:val="nil"/>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657 717</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ciest I. triedy zdroje ŠR a EÚ</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109 540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118 545</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114 831</w:t>
            </w:r>
          </w:p>
        </w:tc>
        <w:tc>
          <w:tcPr>
            <w:tcW w:w="1125" w:type="dxa"/>
            <w:tcBorders>
              <w:top w:val="nil"/>
              <w:left w:val="nil"/>
              <w:bottom w:val="single" w:sz="4" w:space="0" w:color="auto"/>
              <w:right w:val="single" w:sz="8"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92 257</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diaľnic a rýchlostných ciest zdroje ŠR a EÚ</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673 777</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572 952</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565 654</w:t>
            </w:r>
          </w:p>
        </w:tc>
        <w:tc>
          <w:tcPr>
            <w:tcW w:w="1125"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316 254</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diaľnic a rýchlostných ciest zdroje NDS</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28 784</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125" w:type="dxa"/>
            <w:tcBorders>
              <w:top w:val="nil"/>
              <w:left w:val="nil"/>
              <w:bottom w:val="single" w:sz="4" w:space="0" w:color="auto"/>
              <w:right w:val="single" w:sz="4"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c>
          <w:tcPr>
            <w:tcW w:w="1125" w:type="dxa"/>
            <w:tcBorders>
              <w:top w:val="nil"/>
              <w:left w:val="nil"/>
              <w:bottom w:val="single" w:sz="4" w:space="0" w:color="auto"/>
              <w:right w:val="single" w:sz="8" w:space="0" w:color="auto"/>
            </w:tcBorders>
            <w:shd w:val="clear" w:color="auto" w:fill="FFFFFF"/>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0</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ciest II. triedy zdroje VÚC</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70 497</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50 370</w:t>
            </w:r>
          </w:p>
        </w:tc>
        <w:tc>
          <w:tcPr>
            <w:tcW w:w="1125" w:type="dxa"/>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66 810</w:t>
            </w:r>
          </w:p>
        </w:tc>
        <w:tc>
          <w:tcPr>
            <w:tcW w:w="1125" w:type="dxa"/>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70 150</w:t>
            </w:r>
          </w:p>
        </w:tc>
      </w:tr>
      <w:tr>
        <w:tblPrEx>
          <w:tblW w:w="9195" w:type="dxa"/>
          <w:tblInd w:w="55" w:type="dxa"/>
          <w:tblCellMar>
            <w:left w:w="70" w:type="dxa"/>
            <w:right w:w="70" w:type="dxa"/>
          </w:tblCellMar>
        </w:tblPrEx>
        <w:trPr>
          <w:trHeight w:val="240"/>
        </w:trPr>
        <w:tc>
          <w:tcPr>
            <w:tcW w:w="4695" w:type="dxa"/>
            <w:tcBorders>
              <w:top w:val="nil"/>
              <w:left w:val="single" w:sz="8" w:space="0" w:color="auto"/>
              <w:bottom w:val="single" w:sz="8"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Výstavba ostatných zdroje miest a obcí</w:t>
            </w:r>
          </w:p>
        </w:tc>
        <w:tc>
          <w:tcPr>
            <w:tcW w:w="1125"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148 520</w:t>
            </w:r>
          </w:p>
        </w:tc>
        <w:tc>
          <w:tcPr>
            <w:tcW w:w="1125"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165 242</w:t>
            </w:r>
          </w:p>
        </w:tc>
        <w:tc>
          <w:tcPr>
            <w:tcW w:w="1125" w:type="dxa"/>
            <w:tcBorders>
              <w:top w:val="nil"/>
              <w:left w:val="nil"/>
              <w:bottom w:val="single" w:sz="8"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170 530</w:t>
            </w:r>
          </w:p>
        </w:tc>
        <w:tc>
          <w:tcPr>
            <w:tcW w:w="1125"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179 056</w:t>
            </w:r>
          </w:p>
        </w:tc>
      </w:tr>
    </w:tbl>
    <w:p w:rsidR="00312541" w:rsidRPr="002F72E5" w:rsidP="00312541">
      <w:pPr>
        <w:jc w:val="both"/>
        <w:rPr>
          <w:rFonts w:ascii="Arial Narrow" w:hAnsi="Arial Narrow" w:cs="Arial Narrow"/>
          <w:i/>
          <w:sz w:val="22"/>
          <w:szCs w:val="24"/>
        </w:rPr>
      </w:pPr>
    </w:p>
    <w:p w:rsidR="00312541" w:rsidRPr="002F72E5" w:rsidP="00312541">
      <w:pPr>
        <w:ind w:firstLine="708"/>
        <w:jc w:val="both"/>
        <w:rPr>
          <w:rFonts w:ascii="Arial Narrow" w:hAnsi="Arial Narrow" w:cs="Arial Narrow"/>
          <w:sz w:val="22"/>
          <w:szCs w:val="24"/>
        </w:rPr>
      </w:pPr>
      <w:r w:rsidRPr="002F72E5">
        <w:rPr>
          <w:rFonts w:ascii="Arial Narrow" w:hAnsi="Arial Narrow" w:cs="Arial Narrow"/>
          <w:sz w:val="22"/>
          <w:szCs w:val="24"/>
        </w:rPr>
        <w:t xml:space="preserve">Na </w:t>
      </w:r>
      <w:r w:rsidRPr="002F72E5">
        <w:rPr>
          <w:rFonts w:ascii="Arial Narrow" w:hAnsi="Arial Narrow" w:cs="Arial Narrow"/>
          <w:b/>
          <w:sz w:val="22"/>
          <w:szCs w:val="24"/>
        </w:rPr>
        <w:t>výstavbu cestnej infraštruktúry</w:t>
      </w:r>
      <w:r w:rsidRPr="002F72E5">
        <w:rPr>
          <w:rFonts w:ascii="Arial Narrow" w:hAnsi="Arial Narrow" w:cs="Arial Narrow"/>
          <w:sz w:val="22"/>
          <w:szCs w:val="24"/>
        </w:rPr>
        <w:t xml:space="preserve"> sa v roku 20</w:t>
      </w:r>
      <w:r>
        <w:rPr>
          <w:rFonts w:ascii="Arial Narrow" w:hAnsi="Arial Narrow" w:cs="Arial Narrow"/>
          <w:sz w:val="22"/>
          <w:szCs w:val="24"/>
        </w:rPr>
        <w:t>1</w:t>
      </w:r>
      <w:r w:rsidRPr="002F72E5">
        <w:rPr>
          <w:rFonts w:ascii="Arial Narrow" w:hAnsi="Arial Narrow" w:cs="Arial Narrow"/>
          <w:sz w:val="22"/>
          <w:szCs w:val="24"/>
        </w:rPr>
        <w:t xml:space="preserve">0 predpokladá </w:t>
      </w:r>
      <w:r w:rsidRPr="00571936">
        <w:rPr>
          <w:rFonts w:ascii="Arial Narrow" w:hAnsi="Arial Narrow" w:cs="Arial Narrow"/>
          <w:sz w:val="22"/>
          <w:szCs w:val="24"/>
        </w:rPr>
        <w:t>vynaložiť celkom 907 mil. eur, čo v porovnaní s rokom 2006 predstavuje</w:t>
      </w:r>
      <w:r w:rsidRPr="002F72E5">
        <w:rPr>
          <w:rFonts w:ascii="Arial Narrow" w:hAnsi="Arial Narrow" w:cs="Arial Narrow"/>
          <w:b/>
          <w:sz w:val="22"/>
          <w:szCs w:val="24"/>
        </w:rPr>
        <w:t xml:space="preserve"> zvýšenie o</w:t>
      </w:r>
      <w:r>
        <w:rPr>
          <w:rFonts w:ascii="Arial Narrow" w:hAnsi="Arial Narrow" w:cs="Arial Narrow"/>
          <w:b/>
          <w:sz w:val="22"/>
          <w:szCs w:val="24"/>
        </w:rPr>
        <w:t xml:space="preserve"> 17,0 </w:t>
      </w:r>
      <w:r w:rsidRPr="00A0628B">
        <w:rPr>
          <w:rFonts w:ascii="Arial Narrow" w:hAnsi="Arial Narrow" w:cs="Arial Narrow"/>
          <w:b/>
          <w:sz w:val="22"/>
          <w:szCs w:val="24"/>
        </w:rPr>
        <w:t>%</w:t>
      </w:r>
      <w:r w:rsidRPr="002F72E5">
        <w:rPr>
          <w:rFonts w:ascii="Arial Narrow" w:hAnsi="Arial Narrow" w:cs="Arial Narrow"/>
          <w:sz w:val="22"/>
          <w:szCs w:val="24"/>
        </w:rPr>
        <w:t xml:space="preserve">. Na </w:t>
      </w:r>
      <w:r w:rsidRPr="00571936">
        <w:rPr>
          <w:rFonts w:ascii="Arial Narrow" w:hAnsi="Arial Narrow" w:cs="Arial Narrow"/>
          <w:sz w:val="22"/>
          <w:szCs w:val="24"/>
        </w:rPr>
        <w:t>výstavbu ciest I. triedy  prostredníctvom SSC sa navrhujú výdavky vo výške 119 mil. eur, čo v porovnaní s rokom</w:t>
      </w:r>
      <w:r w:rsidRPr="002F72E5">
        <w:rPr>
          <w:rFonts w:ascii="Arial Narrow" w:hAnsi="Arial Narrow" w:cs="Arial Narrow"/>
          <w:sz w:val="22"/>
          <w:szCs w:val="24"/>
        </w:rPr>
        <w:t xml:space="preserve"> 2006</w:t>
      </w:r>
      <w:r>
        <w:rPr>
          <w:rFonts w:ascii="Arial Narrow" w:hAnsi="Arial Narrow" w:cs="Arial Narrow"/>
          <w:sz w:val="22"/>
          <w:szCs w:val="24"/>
        </w:rPr>
        <w:t xml:space="preserve"> predstavuje </w:t>
      </w:r>
      <w:r w:rsidRPr="002F72E5">
        <w:rPr>
          <w:rFonts w:ascii="Arial Narrow" w:hAnsi="Arial Narrow" w:cs="Arial Narrow"/>
          <w:sz w:val="22"/>
          <w:szCs w:val="24"/>
        </w:rPr>
        <w:t>zvýšenie</w:t>
      </w:r>
      <w:r>
        <w:rPr>
          <w:rFonts w:ascii="Arial Narrow" w:hAnsi="Arial Narrow" w:cs="Arial Narrow"/>
          <w:sz w:val="22"/>
          <w:szCs w:val="24"/>
        </w:rPr>
        <w:t xml:space="preserve"> o 14,7 % </w:t>
        <w:br/>
        <w:t>a v porovnaní s rokom 2009</w:t>
      </w:r>
      <w:r w:rsidRPr="002F72E5">
        <w:rPr>
          <w:rFonts w:ascii="Arial Narrow" w:hAnsi="Arial Narrow" w:cs="Arial Narrow"/>
          <w:sz w:val="22"/>
          <w:szCs w:val="24"/>
        </w:rPr>
        <w:t xml:space="preserve"> zvýšenie o</w:t>
      </w:r>
      <w:r>
        <w:rPr>
          <w:rFonts w:ascii="Arial Narrow" w:hAnsi="Arial Narrow" w:cs="Arial Narrow"/>
          <w:sz w:val="22"/>
          <w:szCs w:val="24"/>
        </w:rPr>
        <w:t xml:space="preserve"> 8,22 </w:t>
      </w:r>
      <w:r w:rsidRPr="002F72E5">
        <w:rPr>
          <w:rFonts w:ascii="Arial Narrow" w:hAnsi="Arial Narrow" w:cs="Arial Narrow"/>
          <w:sz w:val="22"/>
          <w:szCs w:val="24"/>
        </w:rPr>
        <w:t>%.</w:t>
      </w:r>
      <w:r>
        <w:rPr>
          <w:rFonts w:ascii="Arial Narrow" w:hAnsi="Arial Narrow" w:cs="Arial Narrow"/>
          <w:sz w:val="22"/>
          <w:szCs w:val="24"/>
        </w:rPr>
        <w:t xml:space="preserve"> Samotné prostriedky štátneho rozpočtu (bez zdrojov EÚ a spolufinancovania) sa rozpočtujú v sume 43,2 mil. eur. </w:t>
      </w:r>
      <w:r w:rsidRPr="00571936">
        <w:rPr>
          <w:rFonts w:ascii="Arial Narrow" w:hAnsi="Arial Narrow" w:cs="Arial Narrow"/>
          <w:sz w:val="22"/>
          <w:szCs w:val="24"/>
        </w:rPr>
        <w:t>Na výstavbu diaľnic a rýchlostných ciest  sa predpokladá použiť 573 mil. eur, čo v porovnaní s rokom 2006 znamená nárast o 87,2 %. Samotné prostriedky štátneho rozpočtu (bez zdrojov EÚ a spolufinancovania)  predstavujú čiastku 139 mil. Sk. Na výstavbu ostatných ciest prostredníctvom územnej samosprávy sa predpokladá čerpať 216 mil. eur</w:t>
      </w:r>
      <w:r w:rsidRPr="002F72E5">
        <w:rPr>
          <w:rFonts w:ascii="Arial Narrow" w:hAnsi="Arial Narrow" w:cs="Arial Narrow"/>
          <w:sz w:val="22"/>
          <w:szCs w:val="24"/>
        </w:rPr>
        <w:t>.</w:t>
      </w:r>
    </w:p>
    <w:p w:rsidR="00312541" w:rsidP="00312541">
      <w:pPr>
        <w:jc w:val="both"/>
        <w:rPr>
          <w:rFonts w:ascii="Arial Narrow" w:hAnsi="Arial Narrow" w:cs="Arial Narrow"/>
          <w:b/>
          <w:sz w:val="22"/>
          <w:szCs w:val="24"/>
        </w:rPr>
      </w:pPr>
    </w:p>
    <w:p w:rsidR="00312541" w:rsidRPr="006B5B52" w:rsidP="00312541">
      <w:pPr>
        <w:jc w:val="both"/>
        <w:rPr>
          <w:rFonts w:ascii="Arial Narrow" w:hAnsi="Arial Narrow" w:cs="Arial Narrow"/>
          <w:b/>
          <w:sz w:val="22"/>
          <w:szCs w:val="24"/>
        </w:rPr>
      </w:pPr>
      <w:r w:rsidRPr="006B5B52">
        <w:rPr>
          <w:rFonts w:ascii="Arial Narrow" w:hAnsi="Arial Narrow" w:cs="Arial Narrow"/>
          <w:b/>
          <w:sz w:val="22"/>
          <w:szCs w:val="24"/>
        </w:rPr>
        <w:t>Železničná doprava</w:t>
      </w:r>
    </w:p>
    <w:p w:rsidR="00312541" w:rsidRPr="006B5B52" w:rsidP="00312541">
      <w:pPr>
        <w:jc w:val="both"/>
        <w:rPr>
          <w:rFonts w:ascii="Arial Narrow" w:hAnsi="Arial Narrow" w:cs="Arial Narrow"/>
          <w:sz w:val="22"/>
          <w:szCs w:val="24"/>
        </w:rPr>
      </w:pPr>
    </w:p>
    <w:tbl>
      <w:tblPr>
        <w:tblStyle w:val="TableNormal"/>
        <w:tblW w:w="9180" w:type="dxa"/>
        <w:tblInd w:w="70" w:type="dxa"/>
        <w:tblCellMar>
          <w:left w:w="70" w:type="dxa"/>
          <w:right w:w="70" w:type="dxa"/>
        </w:tblCellMar>
      </w:tblPr>
      <w:tblGrid>
        <w:gridCol w:w="4680"/>
        <w:gridCol w:w="1125"/>
        <w:gridCol w:w="1125"/>
        <w:gridCol w:w="1125"/>
        <w:gridCol w:w="1125"/>
      </w:tblGrid>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shd w:val="clear" w:color="auto" w:fill="000000"/>
            <w:noWrap/>
            <w:textDirection w:val="lrTb"/>
            <w:vAlign w:val="bottom"/>
          </w:tcPr>
          <w:p w:rsidR="00312541" w:rsidRPr="006B5B52" w:rsidP="00A70AF6">
            <w:pPr>
              <w:rPr>
                <w:rFonts w:ascii="Arial Narrow" w:hAnsi="Arial Narrow" w:cs="Arial Narrow"/>
                <w:b/>
                <w:color w:val="FFFFFF"/>
                <w:sz w:val="20"/>
                <w:szCs w:val="24"/>
              </w:rPr>
            </w:pPr>
            <w:r w:rsidRPr="006B5B52">
              <w:rPr>
                <w:rFonts w:ascii="Arial Narrow" w:hAnsi="Arial Narrow" w:cs="Arial Narrow"/>
                <w:b/>
                <w:color w:val="FFFFFF"/>
                <w:sz w:val="20"/>
                <w:szCs w:val="24"/>
              </w:rPr>
              <w:t> (v tis. eur)</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6B5B52" w:rsidP="00A70AF6">
            <w:pPr>
              <w:jc w:val="center"/>
              <w:rPr>
                <w:rFonts w:ascii="Arial Narrow" w:hAnsi="Arial Narrow" w:cs="Arial Narrow"/>
                <w:b/>
                <w:color w:val="FFFFFF"/>
                <w:sz w:val="20"/>
                <w:szCs w:val="24"/>
              </w:rPr>
            </w:pPr>
            <w:r w:rsidRPr="006B5B52">
              <w:rPr>
                <w:rFonts w:ascii="Arial Narrow" w:hAnsi="Arial Narrow" w:cs="Arial Narrow"/>
                <w:b/>
                <w:color w:val="FFFFFF"/>
                <w:sz w:val="20"/>
                <w:szCs w:val="24"/>
              </w:rPr>
              <w:t>2009</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6B5B52" w:rsidP="00A70AF6">
            <w:pPr>
              <w:jc w:val="center"/>
              <w:rPr>
                <w:rFonts w:ascii="Arial Narrow" w:hAnsi="Arial Narrow" w:cs="Arial Narrow"/>
                <w:b/>
                <w:color w:val="FFFFFF"/>
                <w:sz w:val="20"/>
                <w:szCs w:val="24"/>
              </w:rPr>
            </w:pPr>
            <w:r w:rsidRPr="006B5B52">
              <w:rPr>
                <w:rFonts w:ascii="Arial Narrow" w:hAnsi="Arial Narrow" w:cs="Arial Narrow"/>
                <w:b/>
                <w:color w:val="FFFFFF"/>
                <w:sz w:val="20"/>
                <w:szCs w:val="24"/>
              </w:rPr>
              <w:t>2010</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6B5B52" w:rsidP="00A70AF6">
            <w:pPr>
              <w:jc w:val="center"/>
              <w:rPr>
                <w:rFonts w:ascii="Arial Narrow" w:hAnsi="Arial Narrow" w:cs="Arial Narrow"/>
                <w:b/>
                <w:color w:val="FFFFFF"/>
                <w:sz w:val="20"/>
                <w:szCs w:val="24"/>
              </w:rPr>
            </w:pPr>
            <w:r w:rsidRPr="006B5B52">
              <w:rPr>
                <w:rFonts w:ascii="Arial Narrow" w:hAnsi="Arial Narrow" w:cs="Arial Narrow"/>
                <w:b/>
                <w:color w:val="FFFFFF"/>
                <w:sz w:val="20"/>
                <w:szCs w:val="24"/>
              </w:rPr>
              <w:t>2011</w:t>
            </w:r>
          </w:p>
        </w:tc>
        <w:tc>
          <w:tcPr>
            <w:tcW w:w="1125" w:type="dxa"/>
            <w:tcBorders>
              <w:top w:val="nil"/>
              <w:left w:val="nil"/>
              <w:bottom w:val="single" w:sz="4" w:space="0" w:color="auto"/>
              <w:right w:val="single" w:sz="8" w:space="0" w:color="auto"/>
            </w:tcBorders>
            <w:shd w:val="clear" w:color="auto" w:fill="000000"/>
            <w:noWrap/>
            <w:textDirection w:val="lrTb"/>
            <w:vAlign w:val="bottom"/>
          </w:tcPr>
          <w:p w:rsidR="00312541" w:rsidRPr="006B5B52" w:rsidP="00A70AF6">
            <w:pPr>
              <w:jc w:val="center"/>
              <w:rPr>
                <w:rFonts w:ascii="Arial Narrow" w:hAnsi="Arial Narrow" w:cs="Arial Narrow"/>
                <w:b/>
                <w:color w:val="FFFFFF"/>
                <w:sz w:val="20"/>
                <w:szCs w:val="24"/>
              </w:rPr>
            </w:pPr>
            <w:r w:rsidRPr="006B5B52">
              <w:rPr>
                <w:rFonts w:ascii="Arial Narrow" w:hAnsi="Arial Narrow" w:cs="Arial Narrow"/>
                <w:b/>
                <w:color w:val="FFFFFF"/>
                <w:sz w:val="20"/>
                <w:szCs w:val="24"/>
              </w:rPr>
              <w:t>2012</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6B5B52" w:rsidP="00A70AF6">
            <w:pPr>
              <w:rPr>
                <w:rFonts w:ascii="Arial Narrow" w:hAnsi="Arial Narrow" w:cs="Arial Narrow"/>
                <w:sz w:val="20"/>
                <w:szCs w:val="24"/>
              </w:rPr>
            </w:pPr>
            <w:r w:rsidRPr="006B5B52">
              <w:rPr>
                <w:rFonts w:ascii="Arial Narrow" w:hAnsi="Arial Narrow" w:cs="Arial Narrow"/>
                <w:sz w:val="20"/>
                <w:szCs w:val="24"/>
              </w:rPr>
              <w:t>Kombinovaná doprava</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664</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664</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664</w:t>
            </w:r>
          </w:p>
        </w:tc>
        <w:tc>
          <w:tcPr>
            <w:tcW w:w="1125" w:type="dxa"/>
            <w:tcBorders>
              <w:top w:val="nil"/>
              <w:left w:val="nil"/>
              <w:bottom w:val="single" w:sz="4" w:space="0" w:color="auto"/>
              <w:right w:val="single" w:sz="8"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664</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6B5B52" w:rsidP="00A70AF6">
            <w:pPr>
              <w:rPr>
                <w:rFonts w:ascii="Arial Narrow" w:hAnsi="Arial Narrow" w:cs="Arial Narrow"/>
                <w:sz w:val="20"/>
                <w:szCs w:val="24"/>
              </w:rPr>
            </w:pPr>
            <w:r w:rsidRPr="006B5B52">
              <w:rPr>
                <w:rFonts w:ascii="Arial Narrow" w:hAnsi="Arial Narrow" w:cs="Arial Narrow"/>
                <w:sz w:val="20"/>
                <w:szCs w:val="24"/>
              </w:rPr>
              <w:t>VVZ  ŽSSK osobná doprava</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165 970</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149 373</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149 373</w:t>
            </w:r>
          </w:p>
        </w:tc>
        <w:tc>
          <w:tcPr>
            <w:tcW w:w="1125" w:type="dxa"/>
            <w:tcBorders>
              <w:top w:val="nil"/>
              <w:left w:val="nil"/>
              <w:bottom w:val="single" w:sz="4" w:space="0" w:color="auto"/>
              <w:right w:val="single" w:sz="8"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149 373</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6B5B52" w:rsidP="00A70AF6">
            <w:pPr>
              <w:rPr>
                <w:rFonts w:ascii="Arial Narrow" w:hAnsi="Arial Narrow" w:cs="Arial Narrow"/>
                <w:sz w:val="20"/>
                <w:szCs w:val="24"/>
              </w:rPr>
            </w:pPr>
            <w:r w:rsidRPr="006B5B52">
              <w:rPr>
                <w:rFonts w:ascii="Arial Narrow" w:hAnsi="Arial Narrow" w:cs="Arial Narrow"/>
                <w:sz w:val="20"/>
                <w:szCs w:val="24"/>
              </w:rPr>
              <w:t xml:space="preserve">VVZ ŽSR </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136 095</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119 498</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119 498</w:t>
            </w:r>
          </w:p>
        </w:tc>
        <w:tc>
          <w:tcPr>
            <w:tcW w:w="1125" w:type="dxa"/>
            <w:tcBorders>
              <w:top w:val="nil"/>
              <w:left w:val="nil"/>
              <w:bottom w:val="single" w:sz="4" w:space="0" w:color="auto"/>
              <w:right w:val="single" w:sz="8"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119 498</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6B5B52" w:rsidP="00A70AF6">
            <w:pPr>
              <w:rPr>
                <w:rFonts w:ascii="Arial Narrow" w:hAnsi="Arial Narrow" w:cs="Arial Narrow"/>
                <w:sz w:val="20"/>
                <w:szCs w:val="24"/>
              </w:rPr>
            </w:pPr>
            <w:r w:rsidRPr="006B5B52">
              <w:rPr>
                <w:rFonts w:ascii="Arial Narrow" w:hAnsi="Arial Narrow" w:cs="Arial Narrow"/>
                <w:sz w:val="20"/>
                <w:szCs w:val="24"/>
              </w:rPr>
              <w:t>Rozvoj a modernizácia ŽSR</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124 366</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3</w:t>
            </w:r>
            <w:r>
              <w:rPr>
                <w:rFonts w:ascii="Arial Narrow" w:hAnsi="Arial Narrow" w:cs="Arial Narrow"/>
                <w:sz w:val="20"/>
                <w:szCs w:val="24"/>
              </w:rPr>
              <w:t>24</w:t>
            </w:r>
            <w:r w:rsidRPr="006B5B52">
              <w:rPr>
                <w:rFonts w:ascii="Arial Narrow" w:hAnsi="Arial Narrow" w:cs="Arial Narrow"/>
                <w:sz w:val="20"/>
                <w:szCs w:val="24"/>
              </w:rPr>
              <w:t xml:space="preserve"> </w:t>
            </w:r>
            <w:r>
              <w:rPr>
                <w:rFonts w:ascii="Arial Narrow" w:hAnsi="Arial Narrow" w:cs="Arial Narrow"/>
                <w:sz w:val="20"/>
                <w:szCs w:val="24"/>
              </w:rPr>
              <w:t>24</w:t>
            </w:r>
            <w:r w:rsidRPr="006B5B52">
              <w:rPr>
                <w:rFonts w:ascii="Arial Narrow" w:hAnsi="Arial Narrow" w:cs="Arial Narrow"/>
                <w:sz w:val="20"/>
                <w:szCs w:val="24"/>
              </w:rPr>
              <w:t>5</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Pr>
                <w:rFonts w:ascii="Arial Narrow" w:hAnsi="Arial Narrow" w:cs="Arial Narrow"/>
                <w:sz w:val="20"/>
                <w:szCs w:val="24"/>
              </w:rPr>
              <w:t>371</w:t>
            </w:r>
            <w:r w:rsidRPr="006B5B52">
              <w:rPr>
                <w:rFonts w:ascii="Arial Narrow" w:hAnsi="Arial Narrow" w:cs="Arial Narrow"/>
                <w:sz w:val="20"/>
                <w:szCs w:val="24"/>
              </w:rPr>
              <w:t xml:space="preserve"> </w:t>
            </w:r>
            <w:r>
              <w:rPr>
                <w:rFonts w:ascii="Arial Narrow" w:hAnsi="Arial Narrow" w:cs="Arial Narrow"/>
                <w:sz w:val="20"/>
                <w:szCs w:val="24"/>
              </w:rPr>
              <w:t>30</w:t>
            </w:r>
            <w:r w:rsidRPr="006B5B52">
              <w:rPr>
                <w:rFonts w:ascii="Arial Narrow" w:hAnsi="Arial Narrow" w:cs="Arial Narrow"/>
                <w:sz w:val="20"/>
                <w:szCs w:val="24"/>
              </w:rPr>
              <w:t>4</w:t>
            </w:r>
          </w:p>
        </w:tc>
        <w:tc>
          <w:tcPr>
            <w:tcW w:w="1125" w:type="dxa"/>
            <w:tcBorders>
              <w:top w:val="nil"/>
              <w:left w:val="nil"/>
              <w:bottom w:val="single" w:sz="4" w:space="0" w:color="auto"/>
              <w:right w:val="single" w:sz="8" w:space="0" w:color="auto"/>
            </w:tcBorders>
            <w:noWrap/>
            <w:textDirection w:val="lrTb"/>
            <w:vAlign w:val="bottom"/>
          </w:tcPr>
          <w:p w:rsidR="00312541" w:rsidRPr="006B5B52" w:rsidP="00A70AF6">
            <w:pPr>
              <w:jc w:val="right"/>
              <w:rPr>
                <w:rFonts w:ascii="Arial Narrow" w:hAnsi="Arial Narrow" w:cs="Arial Narrow"/>
                <w:sz w:val="20"/>
                <w:szCs w:val="24"/>
              </w:rPr>
            </w:pPr>
            <w:r>
              <w:rPr>
                <w:rFonts w:ascii="Arial Narrow" w:hAnsi="Arial Narrow" w:cs="Arial Narrow"/>
                <w:sz w:val="20"/>
                <w:szCs w:val="24"/>
              </w:rPr>
              <w:t>371</w:t>
            </w:r>
            <w:r w:rsidRPr="006B5B52">
              <w:rPr>
                <w:rFonts w:ascii="Arial Narrow" w:hAnsi="Arial Narrow" w:cs="Arial Narrow"/>
                <w:sz w:val="20"/>
                <w:szCs w:val="24"/>
              </w:rPr>
              <w:t xml:space="preserve"> </w:t>
            </w:r>
            <w:r>
              <w:rPr>
                <w:rFonts w:ascii="Arial Narrow" w:hAnsi="Arial Narrow" w:cs="Arial Narrow"/>
                <w:sz w:val="20"/>
                <w:szCs w:val="24"/>
              </w:rPr>
              <w:t>30</w:t>
            </w:r>
            <w:r w:rsidRPr="006B5B52">
              <w:rPr>
                <w:rFonts w:ascii="Arial Narrow" w:hAnsi="Arial Narrow" w:cs="Arial Narrow"/>
                <w:sz w:val="20"/>
                <w:szCs w:val="24"/>
              </w:rPr>
              <w:t>4</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4" w:space="0" w:color="auto"/>
              <w:right w:val="single" w:sz="4" w:space="0" w:color="auto"/>
            </w:tcBorders>
            <w:noWrap/>
            <w:textDirection w:val="lrTb"/>
            <w:vAlign w:val="bottom"/>
          </w:tcPr>
          <w:p w:rsidR="00312541" w:rsidRPr="006B5B52" w:rsidP="00A70AF6">
            <w:pPr>
              <w:rPr>
                <w:rFonts w:ascii="Arial Narrow" w:hAnsi="Arial Narrow" w:cs="Arial Narrow"/>
                <w:sz w:val="20"/>
                <w:szCs w:val="24"/>
              </w:rPr>
            </w:pPr>
            <w:r w:rsidRPr="006B5B52">
              <w:rPr>
                <w:rFonts w:ascii="Arial Narrow" w:hAnsi="Arial Narrow" w:cs="Arial Narrow"/>
                <w:sz w:val="20"/>
                <w:szCs w:val="24"/>
              </w:rPr>
              <w:t>Obnova železničných mobilných prostriedkov ŽSSK</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6 639</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8 949</w:t>
            </w:r>
          </w:p>
        </w:tc>
        <w:tc>
          <w:tcPr>
            <w:tcW w:w="1125" w:type="dxa"/>
            <w:tcBorders>
              <w:top w:val="nil"/>
              <w:left w:val="nil"/>
              <w:bottom w:val="single" w:sz="4" w:space="0" w:color="auto"/>
              <w:right w:val="single" w:sz="4"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49 799</w:t>
            </w:r>
          </w:p>
        </w:tc>
        <w:tc>
          <w:tcPr>
            <w:tcW w:w="1125" w:type="dxa"/>
            <w:tcBorders>
              <w:top w:val="nil"/>
              <w:left w:val="nil"/>
              <w:bottom w:val="single" w:sz="4" w:space="0" w:color="auto"/>
              <w:right w:val="single" w:sz="8" w:space="0" w:color="auto"/>
            </w:tcBorders>
            <w:noWrap/>
            <w:textDirection w:val="lrTb"/>
            <w:vAlign w:val="bottom"/>
          </w:tcPr>
          <w:p w:rsidR="00312541" w:rsidRPr="006B5B52" w:rsidP="00A70AF6">
            <w:pPr>
              <w:jc w:val="right"/>
              <w:rPr>
                <w:rFonts w:ascii="Arial Narrow" w:hAnsi="Arial Narrow" w:cs="Arial Narrow"/>
                <w:sz w:val="20"/>
                <w:szCs w:val="24"/>
              </w:rPr>
            </w:pPr>
            <w:r w:rsidRPr="006B5B52">
              <w:rPr>
                <w:rFonts w:ascii="Arial Narrow" w:hAnsi="Arial Narrow" w:cs="Arial Narrow"/>
                <w:sz w:val="20"/>
                <w:szCs w:val="24"/>
              </w:rPr>
              <w:t>49 799</w:t>
            </w:r>
          </w:p>
        </w:tc>
      </w:tr>
      <w:tr>
        <w:tblPrEx>
          <w:tblW w:w="9180" w:type="dxa"/>
          <w:tblInd w:w="70" w:type="dxa"/>
          <w:tblCellMar>
            <w:left w:w="70" w:type="dxa"/>
            <w:right w:w="70" w:type="dxa"/>
          </w:tblCellMar>
        </w:tblPrEx>
        <w:trPr>
          <w:trHeight w:val="240"/>
        </w:trPr>
        <w:tc>
          <w:tcPr>
            <w:tcW w:w="4680" w:type="dxa"/>
            <w:tcBorders>
              <w:top w:val="nil"/>
              <w:left w:val="single" w:sz="8" w:space="0" w:color="auto"/>
              <w:bottom w:val="single" w:sz="8" w:space="0" w:color="auto"/>
              <w:right w:val="single" w:sz="4" w:space="0" w:color="auto"/>
            </w:tcBorders>
            <w:shd w:val="clear" w:color="auto" w:fill="C0C0C0"/>
            <w:noWrap/>
            <w:textDirection w:val="lrTb"/>
            <w:vAlign w:val="bottom"/>
          </w:tcPr>
          <w:p w:rsidR="00312541" w:rsidRPr="006B5B52" w:rsidP="00A70AF6">
            <w:pPr>
              <w:rPr>
                <w:rFonts w:ascii="Arial Narrow" w:hAnsi="Arial Narrow" w:cs="Arial Narrow"/>
                <w:b/>
                <w:sz w:val="20"/>
                <w:szCs w:val="24"/>
              </w:rPr>
            </w:pPr>
            <w:r w:rsidRPr="006B5B52">
              <w:rPr>
                <w:rFonts w:ascii="Arial Narrow" w:hAnsi="Arial Narrow" w:cs="Arial Narrow"/>
                <w:b/>
                <w:sz w:val="20"/>
                <w:szCs w:val="24"/>
              </w:rPr>
              <w:t>Výdavky na podporu železničnej dopravy spolu</w:t>
            </w:r>
          </w:p>
        </w:tc>
        <w:tc>
          <w:tcPr>
            <w:tcW w:w="1125" w:type="dxa"/>
            <w:tcBorders>
              <w:top w:val="nil"/>
              <w:left w:val="nil"/>
              <w:bottom w:val="single" w:sz="8" w:space="0" w:color="auto"/>
              <w:right w:val="single" w:sz="4" w:space="0" w:color="auto"/>
            </w:tcBorders>
            <w:shd w:val="clear" w:color="auto" w:fill="C0C0C0"/>
            <w:noWrap/>
            <w:textDirection w:val="lrTb"/>
            <w:vAlign w:val="bottom"/>
          </w:tcPr>
          <w:p w:rsidR="00312541" w:rsidRPr="006B5B52" w:rsidP="00A70AF6">
            <w:pPr>
              <w:jc w:val="right"/>
              <w:rPr>
                <w:rFonts w:ascii="Arial Narrow" w:hAnsi="Arial Narrow" w:cs="Arial Narrow"/>
                <w:b/>
                <w:sz w:val="20"/>
                <w:szCs w:val="24"/>
              </w:rPr>
            </w:pPr>
            <w:r w:rsidRPr="006B5B52">
              <w:rPr>
                <w:rFonts w:ascii="Arial Narrow" w:hAnsi="Arial Narrow" w:cs="Arial Narrow"/>
                <w:b/>
                <w:sz w:val="20"/>
                <w:szCs w:val="24"/>
              </w:rPr>
              <w:t>433 734</w:t>
            </w:r>
          </w:p>
        </w:tc>
        <w:tc>
          <w:tcPr>
            <w:tcW w:w="1125" w:type="dxa"/>
            <w:tcBorders>
              <w:top w:val="nil"/>
              <w:left w:val="nil"/>
              <w:bottom w:val="single" w:sz="8" w:space="0" w:color="auto"/>
              <w:right w:val="single" w:sz="4" w:space="0" w:color="auto"/>
            </w:tcBorders>
            <w:shd w:val="clear" w:color="auto" w:fill="C0C0C0"/>
            <w:noWrap/>
            <w:textDirection w:val="lrTb"/>
            <w:vAlign w:val="bottom"/>
          </w:tcPr>
          <w:p w:rsidR="00312541" w:rsidRPr="006B5B52" w:rsidP="00A70AF6">
            <w:pPr>
              <w:jc w:val="right"/>
              <w:rPr>
                <w:rFonts w:ascii="Arial Narrow" w:hAnsi="Arial Narrow" w:cs="Arial Narrow"/>
                <w:b/>
                <w:sz w:val="20"/>
                <w:szCs w:val="24"/>
              </w:rPr>
            </w:pPr>
            <w:r w:rsidRPr="006B5B52">
              <w:rPr>
                <w:rFonts w:ascii="Arial Narrow" w:hAnsi="Arial Narrow" w:cs="Arial Narrow"/>
                <w:b/>
                <w:sz w:val="20"/>
                <w:szCs w:val="24"/>
              </w:rPr>
              <w:t>6</w:t>
            </w:r>
            <w:r>
              <w:rPr>
                <w:rFonts w:ascii="Arial Narrow" w:hAnsi="Arial Narrow" w:cs="Arial Narrow"/>
                <w:b/>
                <w:sz w:val="20"/>
                <w:szCs w:val="24"/>
              </w:rPr>
              <w:t>02</w:t>
            </w:r>
            <w:r w:rsidRPr="006B5B52">
              <w:rPr>
                <w:rFonts w:ascii="Arial Narrow" w:hAnsi="Arial Narrow" w:cs="Arial Narrow"/>
                <w:b/>
                <w:sz w:val="20"/>
                <w:szCs w:val="24"/>
              </w:rPr>
              <w:t xml:space="preserve"> </w:t>
            </w:r>
            <w:r>
              <w:rPr>
                <w:rFonts w:ascii="Arial Narrow" w:hAnsi="Arial Narrow" w:cs="Arial Narrow"/>
                <w:b/>
                <w:sz w:val="20"/>
                <w:szCs w:val="24"/>
              </w:rPr>
              <w:t>72</w:t>
            </w:r>
            <w:r w:rsidRPr="006B5B52">
              <w:rPr>
                <w:rFonts w:ascii="Arial Narrow" w:hAnsi="Arial Narrow" w:cs="Arial Narrow"/>
                <w:b/>
                <w:sz w:val="20"/>
                <w:szCs w:val="24"/>
              </w:rPr>
              <w:t>9</w:t>
            </w:r>
          </w:p>
        </w:tc>
        <w:tc>
          <w:tcPr>
            <w:tcW w:w="1125" w:type="dxa"/>
            <w:tcBorders>
              <w:top w:val="nil"/>
              <w:left w:val="nil"/>
              <w:bottom w:val="single" w:sz="8" w:space="0" w:color="auto"/>
              <w:right w:val="single" w:sz="4" w:space="0" w:color="auto"/>
            </w:tcBorders>
            <w:shd w:val="clear" w:color="auto" w:fill="C0C0C0"/>
            <w:noWrap/>
            <w:textDirection w:val="lrTb"/>
            <w:vAlign w:val="bottom"/>
          </w:tcPr>
          <w:p w:rsidR="00312541" w:rsidRPr="006B5B52" w:rsidP="00A70AF6">
            <w:pPr>
              <w:jc w:val="right"/>
              <w:rPr>
                <w:rFonts w:ascii="Arial Narrow" w:hAnsi="Arial Narrow" w:cs="Arial Narrow"/>
                <w:b/>
                <w:sz w:val="20"/>
                <w:szCs w:val="24"/>
              </w:rPr>
            </w:pPr>
            <w:r>
              <w:rPr>
                <w:rFonts w:ascii="Arial Narrow" w:hAnsi="Arial Narrow" w:cs="Arial Narrow"/>
                <w:b/>
                <w:sz w:val="20"/>
                <w:szCs w:val="24"/>
              </w:rPr>
              <w:t>690</w:t>
            </w:r>
            <w:r w:rsidRPr="006B5B52">
              <w:rPr>
                <w:rFonts w:ascii="Arial Narrow" w:hAnsi="Arial Narrow" w:cs="Arial Narrow"/>
                <w:b/>
                <w:sz w:val="20"/>
                <w:szCs w:val="24"/>
              </w:rPr>
              <w:t xml:space="preserve"> </w:t>
            </w:r>
            <w:r>
              <w:rPr>
                <w:rFonts w:ascii="Arial Narrow" w:hAnsi="Arial Narrow" w:cs="Arial Narrow"/>
                <w:b/>
                <w:sz w:val="20"/>
                <w:szCs w:val="24"/>
              </w:rPr>
              <w:t>638</w:t>
            </w:r>
          </w:p>
        </w:tc>
        <w:tc>
          <w:tcPr>
            <w:tcW w:w="1125" w:type="dxa"/>
            <w:tcBorders>
              <w:top w:val="nil"/>
              <w:left w:val="nil"/>
              <w:bottom w:val="single" w:sz="8" w:space="0" w:color="auto"/>
              <w:right w:val="single" w:sz="8" w:space="0" w:color="auto"/>
            </w:tcBorders>
            <w:shd w:val="clear" w:color="auto" w:fill="C0C0C0"/>
            <w:noWrap/>
            <w:textDirection w:val="lrTb"/>
            <w:vAlign w:val="bottom"/>
          </w:tcPr>
          <w:p w:rsidR="00312541" w:rsidRPr="006B5B52" w:rsidP="00A70AF6">
            <w:pPr>
              <w:jc w:val="right"/>
              <w:rPr>
                <w:rFonts w:ascii="Arial Narrow" w:hAnsi="Arial Narrow" w:cs="Arial Narrow"/>
                <w:b/>
                <w:sz w:val="20"/>
                <w:szCs w:val="24"/>
              </w:rPr>
            </w:pPr>
            <w:r>
              <w:rPr>
                <w:rFonts w:ascii="Arial Narrow" w:hAnsi="Arial Narrow" w:cs="Arial Narrow"/>
                <w:b/>
                <w:sz w:val="20"/>
                <w:szCs w:val="24"/>
              </w:rPr>
              <w:t>690</w:t>
            </w:r>
            <w:r w:rsidRPr="006B5B52">
              <w:rPr>
                <w:rFonts w:ascii="Arial Narrow" w:hAnsi="Arial Narrow" w:cs="Arial Narrow"/>
                <w:b/>
                <w:sz w:val="20"/>
                <w:szCs w:val="24"/>
              </w:rPr>
              <w:t xml:space="preserve"> </w:t>
            </w:r>
            <w:r>
              <w:rPr>
                <w:rFonts w:ascii="Arial Narrow" w:hAnsi="Arial Narrow" w:cs="Arial Narrow"/>
                <w:b/>
                <w:sz w:val="20"/>
                <w:szCs w:val="24"/>
              </w:rPr>
              <w:t>638</w:t>
            </w:r>
          </w:p>
        </w:tc>
      </w:tr>
    </w:tbl>
    <w:p w:rsidR="00312541" w:rsidRPr="006B5B52" w:rsidP="00312541">
      <w:pPr>
        <w:jc w:val="both"/>
        <w:rPr>
          <w:rFonts w:ascii="Arial Narrow" w:hAnsi="Arial Narrow" w:cs="Arial Narrow"/>
          <w:b/>
          <w:sz w:val="22"/>
          <w:szCs w:val="24"/>
        </w:rPr>
      </w:pPr>
    </w:p>
    <w:p w:rsidR="00312541" w:rsidRPr="002F72E5" w:rsidP="00312541">
      <w:pPr>
        <w:ind w:firstLine="708"/>
        <w:jc w:val="both"/>
        <w:rPr>
          <w:rFonts w:ascii="Arial Narrow" w:hAnsi="Arial Narrow" w:cs="Arial Narrow"/>
          <w:sz w:val="22"/>
          <w:szCs w:val="24"/>
        </w:rPr>
      </w:pPr>
      <w:r w:rsidRPr="006B5B52">
        <w:rPr>
          <w:rFonts w:ascii="Arial Narrow" w:hAnsi="Arial Narrow" w:cs="Arial Narrow"/>
          <w:b/>
          <w:sz w:val="22"/>
          <w:szCs w:val="24"/>
        </w:rPr>
        <w:t xml:space="preserve">Na železničnú dopravu </w:t>
      </w:r>
      <w:r w:rsidRPr="00571936">
        <w:rPr>
          <w:rFonts w:ascii="Arial Narrow" w:hAnsi="Arial Narrow" w:cs="Arial Narrow"/>
          <w:sz w:val="22"/>
          <w:szCs w:val="24"/>
        </w:rPr>
        <w:t>je v roku 2010 rozpočtovaných 603 mil. eur, čo v  porovnaní s rokom 2006 predstavuje </w:t>
      </w:r>
      <w:r w:rsidRPr="006B5B52">
        <w:rPr>
          <w:rFonts w:ascii="Arial Narrow" w:hAnsi="Arial Narrow" w:cs="Arial Narrow"/>
          <w:b/>
          <w:sz w:val="22"/>
          <w:szCs w:val="24"/>
        </w:rPr>
        <w:t>nárast o </w:t>
      </w:r>
      <w:r>
        <w:rPr>
          <w:rFonts w:ascii="Arial Narrow" w:hAnsi="Arial Narrow" w:cs="Arial Narrow"/>
          <w:b/>
          <w:sz w:val="22"/>
          <w:szCs w:val="24"/>
        </w:rPr>
        <w:t>69</w:t>
      </w:r>
      <w:r w:rsidRPr="006B5B52">
        <w:rPr>
          <w:rFonts w:ascii="Arial Narrow" w:hAnsi="Arial Narrow" w:cs="Arial Narrow"/>
          <w:b/>
          <w:sz w:val="22"/>
          <w:szCs w:val="24"/>
        </w:rPr>
        <w:t>,</w:t>
      </w:r>
      <w:r>
        <w:rPr>
          <w:rFonts w:ascii="Arial Narrow" w:hAnsi="Arial Narrow" w:cs="Arial Narrow"/>
          <w:b/>
          <w:sz w:val="22"/>
          <w:szCs w:val="24"/>
        </w:rPr>
        <w:t>4</w:t>
      </w:r>
      <w:r w:rsidRPr="006B5B52">
        <w:rPr>
          <w:rFonts w:ascii="Arial Narrow" w:hAnsi="Arial Narrow" w:cs="Arial Narrow"/>
          <w:b/>
          <w:sz w:val="22"/>
          <w:szCs w:val="24"/>
        </w:rPr>
        <w:t> %</w:t>
      </w:r>
      <w:r>
        <w:rPr>
          <w:rFonts w:ascii="Arial Narrow" w:hAnsi="Arial Narrow" w:cs="Arial Narrow"/>
          <w:sz w:val="22"/>
          <w:szCs w:val="24"/>
        </w:rPr>
        <w:t xml:space="preserve"> a v porovnaní s rokom 2009 </w:t>
      </w:r>
      <w:r w:rsidRPr="00571936">
        <w:rPr>
          <w:rFonts w:ascii="Arial Narrow" w:hAnsi="Arial Narrow" w:cs="Arial Narrow"/>
          <w:b/>
          <w:sz w:val="22"/>
          <w:szCs w:val="24"/>
        </w:rPr>
        <w:t>nárast o 39,0 %</w:t>
      </w:r>
      <w:r w:rsidRPr="006B5B52">
        <w:rPr>
          <w:rFonts w:ascii="Arial Narrow" w:hAnsi="Arial Narrow" w:cs="Arial Narrow"/>
          <w:sz w:val="22"/>
          <w:szCs w:val="24"/>
        </w:rPr>
        <w:t>. Uvedené výdavky sú rozpočtované na financovanie výkonov vo verejnom záujme v sume  149 mil. eur pre Železničnú spoločnosť, a.s. na osobnú dopravu a 119 mil. eur pre Železnice SR na železničnú dopravnú cestu. 3</w:t>
      </w:r>
      <w:r>
        <w:rPr>
          <w:rFonts w:ascii="Arial Narrow" w:hAnsi="Arial Narrow" w:cs="Arial Narrow"/>
          <w:sz w:val="22"/>
          <w:szCs w:val="24"/>
        </w:rPr>
        <w:t>24</w:t>
      </w:r>
      <w:r w:rsidRPr="006B5B52">
        <w:rPr>
          <w:rFonts w:ascii="Arial Narrow" w:hAnsi="Arial Narrow" w:cs="Arial Narrow"/>
          <w:sz w:val="22"/>
          <w:szCs w:val="24"/>
        </w:rPr>
        <w:t xml:space="preserve"> mil. eur je určených na rozvoj a modernizáciu</w:t>
      </w:r>
      <w:r>
        <w:rPr>
          <w:rFonts w:ascii="Arial Narrow" w:hAnsi="Arial Narrow" w:cs="Arial Narrow"/>
          <w:sz w:val="22"/>
          <w:szCs w:val="24"/>
        </w:rPr>
        <w:t xml:space="preserve"> železničných dopravných ciest</w:t>
      </w:r>
      <w:r w:rsidRPr="006B5B52">
        <w:rPr>
          <w:rFonts w:ascii="Arial Narrow" w:hAnsi="Arial Narrow" w:cs="Arial Narrow"/>
          <w:sz w:val="22"/>
          <w:szCs w:val="24"/>
        </w:rPr>
        <w:t xml:space="preserve"> a 8,95 mil. eur smeruje na obnovu železničných mobilných prostriedkov.</w:t>
      </w:r>
    </w:p>
    <w:p w:rsidR="00312541" w:rsidRPr="002F72E5" w:rsidP="00312541">
      <w:pPr>
        <w:jc w:val="both"/>
        <w:rPr>
          <w:rFonts w:ascii="Arial Narrow" w:hAnsi="Arial Narrow" w:cs="Arial Narrow"/>
          <w:b/>
          <w:sz w:val="22"/>
          <w:szCs w:val="24"/>
        </w:rPr>
      </w:pPr>
      <w:r w:rsidRPr="002F72E5">
        <w:rPr>
          <w:rFonts w:ascii="Arial Narrow" w:hAnsi="Arial Narrow" w:cs="Arial Narrow"/>
          <w:b/>
          <w:sz w:val="22"/>
          <w:szCs w:val="24"/>
        </w:rPr>
        <w:t>Letecká doprava a infraštruktúra</w:t>
      </w:r>
    </w:p>
    <w:p w:rsidR="00312541" w:rsidRPr="002F72E5" w:rsidP="00312541">
      <w:pPr>
        <w:jc w:val="both"/>
        <w:rPr>
          <w:rFonts w:ascii="Arial Narrow" w:hAnsi="Arial Narrow" w:cs="Arial Narrow"/>
          <w:sz w:val="22"/>
          <w:szCs w:val="24"/>
        </w:rPr>
      </w:pPr>
    </w:p>
    <w:tbl>
      <w:tblPr>
        <w:tblStyle w:val="TableNormal"/>
        <w:tblW w:w="9194" w:type="dxa"/>
        <w:tblInd w:w="56" w:type="dxa"/>
        <w:tblCellMar>
          <w:left w:w="70" w:type="dxa"/>
          <w:right w:w="70" w:type="dxa"/>
        </w:tblCellMar>
      </w:tblPr>
      <w:tblGrid>
        <w:gridCol w:w="4694"/>
        <w:gridCol w:w="1125"/>
        <w:gridCol w:w="1125"/>
        <w:gridCol w:w="1125"/>
        <w:gridCol w:w="1125"/>
      </w:tblGrid>
      <w:tr>
        <w:tblPrEx>
          <w:tblW w:w="9194" w:type="dxa"/>
          <w:tblInd w:w="56" w:type="dxa"/>
          <w:tblCellMar>
            <w:left w:w="70" w:type="dxa"/>
            <w:right w:w="70" w:type="dxa"/>
          </w:tblCellMar>
        </w:tblPrEx>
        <w:trPr>
          <w:trHeight w:val="225"/>
        </w:trPr>
        <w:tc>
          <w:tcPr>
            <w:tcW w:w="4694" w:type="dxa"/>
            <w:tcBorders>
              <w:top w:val="nil"/>
              <w:left w:val="single" w:sz="8" w:space="0" w:color="auto"/>
              <w:bottom w:val="single" w:sz="4" w:space="0" w:color="auto"/>
              <w:right w:val="single" w:sz="4" w:space="0" w:color="auto"/>
            </w:tcBorders>
            <w:shd w:val="clear" w:color="auto" w:fill="000000"/>
            <w:noWrap/>
            <w:textDirection w:val="lrTb"/>
            <w:vAlign w:val="bottom"/>
          </w:tcPr>
          <w:p w:rsidR="00312541" w:rsidRPr="002F72E5" w:rsidP="00A70AF6">
            <w:pPr>
              <w:rPr>
                <w:rFonts w:ascii="Arial Narrow" w:hAnsi="Arial Narrow" w:cs="Arial Narrow"/>
                <w:b/>
                <w:color w:val="FFFFFF"/>
                <w:sz w:val="20"/>
                <w:szCs w:val="24"/>
              </w:rPr>
            </w:pPr>
            <w:r w:rsidRPr="002F72E5">
              <w:rPr>
                <w:rFonts w:ascii="Arial Narrow" w:hAnsi="Arial Narrow" w:cs="Arial Narrow"/>
                <w:b/>
                <w:color w:val="FFFFFF"/>
                <w:sz w:val="20"/>
                <w:szCs w:val="24"/>
              </w:rPr>
              <w:t> (v tis. eur)</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200</w:t>
            </w:r>
            <w:r>
              <w:rPr>
                <w:rFonts w:ascii="Arial Narrow" w:hAnsi="Arial Narrow" w:cs="Arial Narrow"/>
                <w:b/>
                <w:color w:val="FFFFFF"/>
                <w:sz w:val="20"/>
                <w:szCs w:val="24"/>
              </w:rPr>
              <w:t>9</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w:t>
            </w:r>
            <w:r>
              <w:rPr>
                <w:rFonts w:ascii="Arial Narrow" w:hAnsi="Arial Narrow" w:cs="Arial Narrow"/>
                <w:b/>
                <w:color w:val="FFFFFF"/>
                <w:sz w:val="20"/>
                <w:szCs w:val="24"/>
              </w:rPr>
              <w:t>1</w:t>
            </w:r>
            <w:r w:rsidRPr="002F72E5">
              <w:rPr>
                <w:rFonts w:ascii="Arial Narrow" w:hAnsi="Arial Narrow" w:cs="Arial Narrow"/>
                <w:b/>
                <w:color w:val="FFFFFF"/>
                <w:sz w:val="20"/>
                <w:szCs w:val="24"/>
              </w:rPr>
              <w:t>0</w:t>
            </w:r>
          </w:p>
        </w:tc>
        <w:tc>
          <w:tcPr>
            <w:tcW w:w="1125" w:type="dxa"/>
            <w:tcBorders>
              <w:top w:val="nil"/>
              <w:left w:val="nil"/>
              <w:bottom w:val="single" w:sz="4" w:space="0" w:color="auto"/>
              <w:right w:val="single" w:sz="4"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1</w:t>
            </w:r>
          </w:p>
        </w:tc>
        <w:tc>
          <w:tcPr>
            <w:tcW w:w="1125" w:type="dxa"/>
            <w:tcBorders>
              <w:top w:val="nil"/>
              <w:left w:val="nil"/>
              <w:bottom w:val="single" w:sz="4" w:space="0" w:color="auto"/>
              <w:right w:val="single" w:sz="8" w:space="0" w:color="auto"/>
            </w:tcBorders>
            <w:shd w:val="clear" w:color="auto" w:fill="000000"/>
            <w:noWrap/>
            <w:textDirection w:val="lrTb"/>
            <w:vAlign w:val="bottom"/>
          </w:tcPr>
          <w:p w:rsidR="00312541" w:rsidRPr="002F72E5" w:rsidP="00A70AF6">
            <w:pPr>
              <w:jc w:val="center"/>
              <w:rPr>
                <w:rFonts w:ascii="Arial Narrow" w:hAnsi="Arial Narrow" w:cs="Arial Narrow"/>
                <w:b/>
                <w:color w:val="FFFFFF"/>
                <w:sz w:val="20"/>
                <w:szCs w:val="24"/>
              </w:rPr>
            </w:pPr>
            <w:r w:rsidRPr="002F72E5">
              <w:rPr>
                <w:rFonts w:ascii="Arial Narrow" w:hAnsi="Arial Narrow" w:cs="Arial Narrow"/>
                <w:b/>
                <w:color w:val="FFFFFF"/>
                <w:sz w:val="20"/>
                <w:szCs w:val="24"/>
              </w:rPr>
              <w:t>201</w:t>
            </w:r>
            <w:r>
              <w:rPr>
                <w:rFonts w:ascii="Arial Narrow" w:hAnsi="Arial Narrow" w:cs="Arial Narrow"/>
                <w:b/>
                <w:color w:val="FFFFFF"/>
                <w:sz w:val="20"/>
                <w:szCs w:val="24"/>
              </w:rPr>
              <w:t>2</w:t>
            </w:r>
          </w:p>
        </w:tc>
      </w:tr>
      <w:tr>
        <w:tblPrEx>
          <w:tblW w:w="9194" w:type="dxa"/>
          <w:tblInd w:w="56" w:type="dxa"/>
          <w:tblCellMar>
            <w:left w:w="70" w:type="dxa"/>
            <w:right w:w="70" w:type="dxa"/>
          </w:tblCellMar>
        </w:tblPrEx>
        <w:trPr>
          <w:trHeight w:val="225"/>
        </w:trPr>
        <w:tc>
          <w:tcPr>
            <w:tcW w:w="4694" w:type="dxa"/>
            <w:tcBorders>
              <w:top w:val="single" w:sz="4" w:space="0" w:color="auto"/>
              <w:left w:val="single" w:sz="8" w:space="0" w:color="auto"/>
              <w:bottom w:val="single" w:sz="8" w:space="0" w:color="auto"/>
              <w:right w:val="single" w:sz="4" w:space="0" w:color="auto"/>
            </w:tcBorders>
            <w:noWrap/>
            <w:textDirection w:val="lrTb"/>
            <w:vAlign w:val="bottom"/>
          </w:tcPr>
          <w:p w:rsidR="00312541" w:rsidRPr="002F72E5" w:rsidP="00A70AF6">
            <w:pPr>
              <w:rPr>
                <w:rFonts w:ascii="Arial Narrow" w:hAnsi="Arial Narrow" w:cs="Arial Narrow"/>
                <w:sz w:val="20"/>
                <w:szCs w:val="24"/>
              </w:rPr>
            </w:pPr>
            <w:r w:rsidRPr="002F72E5">
              <w:rPr>
                <w:rFonts w:ascii="Arial Narrow" w:hAnsi="Arial Narrow" w:cs="Arial Narrow"/>
                <w:sz w:val="20"/>
                <w:szCs w:val="24"/>
              </w:rPr>
              <w:t>Výdavky na podporu leteckej dopravy a infraštruktúry</w:t>
            </w:r>
          </w:p>
        </w:tc>
        <w:tc>
          <w:tcPr>
            <w:tcW w:w="1125" w:type="dxa"/>
            <w:tcBorders>
              <w:top w:val="single" w:sz="4" w:space="0" w:color="auto"/>
              <w:left w:val="nil"/>
              <w:bottom w:val="single" w:sz="8"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Pr>
                <w:rFonts w:ascii="Arial Narrow" w:hAnsi="Arial Narrow" w:cs="Arial Narrow"/>
                <w:sz w:val="20"/>
                <w:szCs w:val="24"/>
              </w:rPr>
              <w:t>5</w:t>
            </w:r>
            <w:r w:rsidRPr="002F72E5">
              <w:rPr>
                <w:rFonts w:ascii="Arial Narrow" w:hAnsi="Arial Narrow" w:cs="Arial Narrow"/>
                <w:sz w:val="20"/>
                <w:szCs w:val="24"/>
              </w:rPr>
              <w:t xml:space="preserve"> 3</w:t>
            </w:r>
            <w:r>
              <w:rPr>
                <w:rFonts w:ascii="Arial Narrow" w:hAnsi="Arial Narrow" w:cs="Arial Narrow"/>
                <w:sz w:val="20"/>
                <w:szCs w:val="24"/>
              </w:rPr>
              <w:t>11</w:t>
            </w:r>
          </w:p>
        </w:tc>
        <w:tc>
          <w:tcPr>
            <w:tcW w:w="1125" w:type="dxa"/>
            <w:tcBorders>
              <w:top w:val="single" w:sz="4" w:space="0" w:color="auto"/>
              <w:left w:val="nil"/>
              <w:bottom w:val="single" w:sz="8"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5 311</w:t>
            </w:r>
          </w:p>
        </w:tc>
        <w:tc>
          <w:tcPr>
            <w:tcW w:w="1125" w:type="dxa"/>
            <w:tcBorders>
              <w:top w:val="single" w:sz="4" w:space="0" w:color="auto"/>
              <w:left w:val="nil"/>
              <w:bottom w:val="single" w:sz="8" w:space="0" w:color="auto"/>
              <w:right w:val="single" w:sz="4"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5 311</w:t>
            </w:r>
          </w:p>
        </w:tc>
        <w:tc>
          <w:tcPr>
            <w:tcW w:w="1125" w:type="dxa"/>
            <w:tcBorders>
              <w:top w:val="single" w:sz="4" w:space="0" w:color="auto"/>
              <w:left w:val="nil"/>
              <w:bottom w:val="single" w:sz="8" w:space="0" w:color="auto"/>
              <w:right w:val="single" w:sz="8" w:space="0" w:color="auto"/>
            </w:tcBorders>
            <w:noWrap/>
            <w:textDirection w:val="lrTb"/>
            <w:vAlign w:val="bottom"/>
          </w:tcPr>
          <w:p w:rsidR="00312541" w:rsidRPr="002F72E5" w:rsidP="00A70AF6">
            <w:pPr>
              <w:jc w:val="right"/>
              <w:rPr>
                <w:rFonts w:ascii="Arial Narrow" w:hAnsi="Arial Narrow" w:cs="Arial Narrow"/>
                <w:sz w:val="20"/>
                <w:szCs w:val="24"/>
              </w:rPr>
            </w:pPr>
            <w:r w:rsidRPr="002F72E5">
              <w:rPr>
                <w:rFonts w:ascii="Arial Narrow" w:hAnsi="Arial Narrow" w:cs="Arial Narrow"/>
                <w:sz w:val="20"/>
                <w:szCs w:val="24"/>
              </w:rPr>
              <w:t>5 311</w:t>
            </w:r>
          </w:p>
        </w:tc>
      </w:tr>
    </w:tbl>
    <w:p w:rsidR="00312541" w:rsidRPr="002F72E5" w:rsidP="00312541">
      <w:pPr>
        <w:jc w:val="both"/>
        <w:rPr>
          <w:rFonts w:ascii="Arial Narrow" w:hAnsi="Arial Narrow" w:cs="Arial Narrow"/>
          <w:sz w:val="22"/>
          <w:szCs w:val="24"/>
        </w:rPr>
      </w:pPr>
    </w:p>
    <w:p w:rsidR="00312541" w:rsidRPr="002F72E5" w:rsidP="00312541">
      <w:pPr>
        <w:ind w:firstLine="708"/>
        <w:jc w:val="both"/>
        <w:rPr>
          <w:rFonts w:ascii="Arial Narrow" w:hAnsi="Arial Narrow" w:cs="Arial Narrow"/>
          <w:sz w:val="22"/>
          <w:szCs w:val="24"/>
        </w:rPr>
      </w:pPr>
      <w:r w:rsidRPr="00571936">
        <w:rPr>
          <w:rFonts w:ascii="Arial Narrow" w:hAnsi="Arial Narrow" w:cs="Arial Narrow"/>
          <w:sz w:val="22"/>
          <w:szCs w:val="24"/>
        </w:rPr>
        <w:t>Na program</w:t>
      </w:r>
      <w:r w:rsidRPr="002F72E5">
        <w:rPr>
          <w:rFonts w:ascii="Arial Narrow" w:hAnsi="Arial Narrow" w:cs="Arial Narrow"/>
          <w:b/>
          <w:sz w:val="22"/>
          <w:szCs w:val="24"/>
        </w:rPr>
        <w:t xml:space="preserve"> letecká infraštruktúra </w:t>
      </w:r>
      <w:r w:rsidRPr="00571936">
        <w:rPr>
          <w:rFonts w:ascii="Arial Narrow" w:hAnsi="Arial Narrow" w:cs="Arial Narrow"/>
          <w:sz w:val="22"/>
          <w:szCs w:val="24"/>
        </w:rPr>
        <w:t xml:space="preserve">je rozpočtovaných 5,31 mil. eur, čo v porovnaní s rokom 2006 predstavuje </w:t>
      </w:r>
      <w:r w:rsidRPr="00571936">
        <w:rPr>
          <w:rFonts w:ascii="Arial Narrow" w:hAnsi="Arial Narrow" w:cs="Arial Narrow"/>
          <w:b/>
          <w:sz w:val="22"/>
          <w:szCs w:val="24"/>
        </w:rPr>
        <w:t>zvýšenie o 17,7 %</w:t>
      </w:r>
      <w:r w:rsidRPr="00571936">
        <w:rPr>
          <w:rFonts w:ascii="Arial Narrow" w:hAnsi="Arial Narrow" w:cs="Arial Narrow"/>
          <w:sz w:val="22"/>
          <w:szCs w:val="24"/>
        </w:rPr>
        <w:t xml:space="preserve"> a v porovnaní s rokom 2009 je na rovnakej úrovni.</w:t>
      </w:r>
      <w:r w:rsidRPr="002F72E5">
        <w:rPr>
          <w:rFonts w:ascii="Arial Narrow" w:hAnsi="Arial Narrow" w:cs="Arial Narrow"/>
          <w:sz w:val="22"/>
          <w:szCs w:val="24"/>
        </w:rPr>
        <w:t xml:space="preserve"> Uvedené výdavky sú rozpočtované na zabezpečenie poskytovania služieb súvisiacich s odletmi a pristátiami lietadiel pri vykonávaní letov, ktoré sú oslobodené od odplát za pristátia a odplát za použitie letiska, na plnenie záväzných štandardov bezpečnosti prevádzky letiskovej infraštruktúry, bezpečnostnej ochrany letísk a správy, údržby a zhodnocovania letiskovej infraštruktúry a na realizáciu výkonu osobnej kontroly a kontroly prepravovaných osôb zúčastnených na leteckej doprave.</w:t>
      </w:r>
    </w:p>
    <w:p w:rsidR="00312541" w:rsidRPr="002F72E5" w:rsidP="00312541">
      <w:pPr>
        <w:jc w:val="both"/>
        <w:rPr>
          <w:rFonts w:ascii="Arial Narrow" w:hAnsi="Arial Narrow" w:cs="Arial Narrow"/>
          <w:sz w:val="22"/>
          <w:szCs w:val="24"/>
        </w:rPr>
      </w:pPr>
    </w:p>
    <w:p w:rsidR="00312541" w:rsidRPr="00052718" w:rsidP="00312541">
      <w:pPr>
        <w:jc w:val="both"/>
        <w:rPr>
          <w:rFonts w:ascii="Arial Narrow" w:hAnsi="Arial Narrow" w:cs="Arial Narrow"/>
          <w:sz w:val="22"/>
          <w:szCs w:val="24"/>
        </w:rPr>
      </w:pPr>
    </w:p>
    <w:p w:rsidR="00312541" w:rsidRPr="00F34284" w:rsidP="00312541">
      <w:pPr>
        <w:pBdr>
          <w:bottom w:val="single" w:sz="6" w:space="1" w:color="auto"/>
        </w:pBdr>
        <w:jc w:val="both"/>
        <w:rPr>
          <w:rFonts w:ascii="Arial Narrow" w:hAnsi="Arial Narrow" w:cs="Arial Narrow"/>
          <w:b/>
          <w:kern w:val="32"/>
          <w:sz w:val="22"/>
          <w:szCs w:val="24"/>
        </w:rPr>
      </w:pPr>
      <w:r w:rsidRPr="00F34284">
        <w:rPr>
          <w:rFonts w:ascii="Arial Narrow" w:hAnsi="Arial Narrow" w:cs="Arial Narrow"/>
          <w:b/>
          <w:kern w:val="32"/>
          <w:sz w:val="22"/>
          <w:szCs w:val="24"/>
        </w:rPr>
        <w:t>Hospodárstvo</w:t>
      </w:r>
    </w:p>
    <w:p w:rsidR="00312541" w:rsidRPr="00F34284" w:rsidP="00312541">
      <w:pPr>
        <w:jc w:val="both"/>
        <w:outlineLvl w:val="0"/>
        <w:rPr>
          <w:rFonts w:ascii="Arial Narrow" w:hAnsi="Arial Narrow" w:cs="Arial Narrow"/>
          <w:kern w:val="32"/>
          <w:sz w:val="22"/>
          <w:szCs w:val="24"/>
        </w:rPr>
      </w:pPr>
    </w:p>
    <w:p w:rsidR="00312541" w:rsidRPr="00F34284" w:rsidP="00312541">
      <w:pPr>
        <w:ind w:firstLine="708"/>
        <w:jc w:val="both"/>
        <w:rPr>
          <w:rFonts w:ascii="Arial Narrow" w:hAnsi="Arial Narrow" w:cs="Arial Narrow"/>
          <w:kern w:val="32"/>
          <w:sz w:val="22"/>
          <w:szCs w:val="24"/>
        </w:rPr>
      </w:pPr>
      <w:r w:rsidRPr="00571936">
        <w:rPr>
          <w:rFonts w:ascii="Arial Narrow" w:hAnsi="Arial Narrow" w:cs="Arial Narrow"/>
          <w:b/>
          <w:kern w:val="32"/>
          <w:sz w:val="22"/>
          <w:szCs w:val="24"/>
        </w:rPr>
        <w:t>Výdavky v oblasti hospodárstva</w:t>
      </w:r>
      <w:r w:rsidRPr="00F34284">
        <w:rPr>
          <w:rFonts w:ascii="Arial Narrow" w:hAnsi="Arial Narrow" w:cs="Arial Narrow"/>
          <w:kern w:val="32"/>
          <w:sz w:val="22"/>
          <w:szCs w:val="24"/>
        </w:rPr>
        <w:t xml:space="preserve"> predstavujú na rok 2010 </w:t>
      </w:r>
      <w:r w:rsidRPr="00571936">
        <w:rPr>
          <w:rFonts w:ascii="Arial Narrow" w:hAnsi="Arial Narrow" w:cs="Arial Narrow"/>
          <w:kern w:val="32"/>
          <w:sz w:val="22"/>
          <w:szCs w:val="24"/>
        </w:rPr>
        <w:t>sumu  364 mil. eur.</w:t>
      </w:r>
      <w:r w:rsidRPr="00F34284">
        <w:rPr>
          <w:rFonts w:ascii="Arial Narrow" w:hAnsi="Arial Narrow" w:cs="Arial Narrow"/>
          <w:kern w:val="32"/>
          <w:sz w:val="22"/>
          <w:szCs w:val="24"/>
        </w:rPr>
        <w:t xml:space="preserve"> V porovnaní s rokom 2009 </w:t>
      </w:r>
      <w:r w:rsidRPr="00571936">
        <w:rPr>
          <w:rFonts w:ascii="Arial Narrow" w:hAnsi="Arial Narrow" w:cs="Arial Narrow"/>
          <w:b/>
          <w:kern w:val="32"/>
          <w:sz w:val="22"/>
          <w:szCs w:val="24"/>
        </w:rPr>
        <w:t>rastú o 17,7 %</w:t>
      </w:r>
      <w:r w:rsidRPr="00F34284">
        <w:rPr>
          <w:rFonts w:ascii="Arial Narrow" w:hAnsi="Arial Narrow" w:cs="Arial Narrow"/>
          <w:kern w:val="32"/>
          <w:sz w:val="22"/>
          <w:szCs w:val="24"/>
        </w:rPr>
        <w:t>. Celkový vývoj v tejto oblasti závisí od výšky prostriedkov zo zdrojov EÚ a spolufinancovania zo štátneho rozpočtu a náročnosti schválených investičných stimulov v jednotlivých rokoch. Štruktúra výdavkov pre oblasť hospodárstva je uvedená v nasledovnej tabuľke.</w:t>
      </w:r>
    </w:p>
    <w:p w:rsidR="00312541" w:rsidRPr="00F34284" w:rsidP="00312541">
      <w:pPr>
        <w:jc w:val="both"/>
        <w:rPr>
          <w:rFonts w:ascii="Arial Narrow" w:hAnsi="Arial Narrow" w:cs="Arial Narrow"/>
          <w:kern w:val="32"/>
          <w:sz w:val="22"/>
          <w:szCs w:val="24"/>
        </w:rPr>
      </w:pPr>
    </w:p>
    <w:tbl>
      <w:tblPr>
        <w:tblStyle w:val="TableNormal"/>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680"/>
        <w:gridCol w:w="1125"/>
        <w:gridCol w:w="1125"/>
        <w:gridCol w:w="1125"/>
        <w:gridCol w:w="1125"/>
      </w:tblGrid>
      <w:tr>
        <w:tblPrEx>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40"/>
        </w:trPr>
        <w:tc>
          <w:tcPr>
            <w:tcW w:w="468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F34284" w:rsidP="00A70AF6">
            <w:pPr>
              <w:rPr>
                <w:rFonts w:ascii="Arial Narrow" w:hAnsi="Arial Narrow" w:cs="Arial Narrow"/>
                <w:b/>
                <w:color w:val="FFFFFF"/>
                <w:sz w:val="22"/>
                <w:szCs w:val="24"/>
              </w:rPr>
            </w:pPr>
            <w:r w:rsidRPr="00F34284">
              <w:rPr>
                <w:rFonts w:ascii="Arial Narrow" w:hAnsi="Arial Narrow" w:cs="Arial Narrow"/>
                <w:b/>
                <w:color w:val="FFFFFF"/>
                <w:sz w:val="22"/>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F34284" w:rsidP="00A70AF6">
            <w:pPr>
              <w:jc w:val="center"/>
              <w:rPr>
                <w:rFonts w:ascii="Arial Narrow" w:hAnsi="Arial Narrow" w:cs="Arial Narrow"/>
                <w:b/>
                <w:color w:val="FFFFFF"/>
                <w:sz w:val="22"/>
                <w:szCs w:val="24"/>
              </w:rPr>
            </w:pPr>
            <w:r w:rsidRPr="00F34284">
              <w:rPr>
                <w:rFonts w:ascii="Arial Narrow" w:hAnsi="Arial Narrow" w:cs="Arial Narrow"/>
                <w:b/>
                <w:color w:val="FFFFFF"/>
                <w:sz w:val="22"/>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F34284" w:rsidP="00A70AF6">
            <w:pPr>
              <w:jc w:val="center"/>
              <w:rPr>
                <w:rFonts w:ascii="Arial Narrow" w:hAnsi="Arial Narrow" w:cs="Arial Narrow"/>
                <w:b/>
                <w:color w:val="FFFFFF"/>
                <w:sz w:val="22"/>
                <w:szCs w:val="24"/>
              </w:rPr>
            </w:pPr>
            <w:r w:rsidRPr="00F34284">
              <w:rPr>
                <w:rFonts w:ascii="Arial Narrow" w:hAnsi="Arial Narrow" w:cs="Arial Narrow"/>
                <w:b/>
                <w:color w:val="FFFFFF"/>
                <w:sz w:val="22"/>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F34284" w:rsidP="00A70AF6">
            <w:pPr>
              <w:jc w:val="center"/>
              <w:rPr>
                <w:rFonts w:ascii="Arial Narrow" w:hAnsi="Arial Narrow" w:cs="Arial Narrow"/>
                <w:b/>
                <w:color w:val="FFFFFF"/>
                <w:sz w:val="22"/>
                <w:szCs w:val="24"/>
              </w:rPr>
            </w:pPr>
            <w:r w:rsidRPr="00F34284">
              <w:rPr>
                <w:rFonts w:ascii="Arial Narrow" w:hAnsi="Arial Narrow" w:cs="Arial Narrow"/>
                <w:b/>
                <w:color w:val="FFFFFF"/>
                <w:sz w:val="22"/>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F34284" w:rsidP="00A70AF6">
            <w:pPr>
              <w:jc w:val="center"/>
              <w:rPr>
                <w:rFonts w:ascii="Arial Narrow" w:hAnsi="Arial Narrow" w:cs="Arial Narrow"/>
                <w:b/>
                <w:color w:val="FFFFFF"/>
                <w:sz w:val="22"/>
                <w:szCs w:val="24"/>
              </w:rPr>
            </w:pPr>
            <w:r w:rsidRPr="00F34284">
              <w:rPr>
                <w:rFonts w:ascii="Arial Narrow" w:hAnsi="Arial Narrow" w:cs="Arial Narrow"/>
                <w:b/>
                <w:color w:val="FFFFFF"/>
                <w:sz w:val="22"/>
                <w:szCs w:val="24"/>
              </w:rPr>
              <w:t>2012</w:t>
            </w:r>
          </w:p>
        </w:tc>
      </w:tr>
      <w:tr>
        <w:tblPrEx>
          <w:tblW w:w="9180" w:type="dxa"/>
          <w:tblInd w:w="70" w:type="dxa"/>
          <w:tblCellMar>
            <w:left w:w="70" w:type="dxa"/>
            <w:right w:w="70" w:type="dxa"/>
          </w:tblCellMar>
          <w:tblLook w:val="00A0"/>
        </w:tblPrEx>
        <w:trPr>
          <w:trHeight w:val="240"/>
        </w:trPr>
        <w:tc>
          <w:tcPr>
            <w:tcW w:w="468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F34284" w:rsidP="00A70AF6">
            <w:pPr>
              <w:rPr>
                <w:rFonts w:ascii="Arial Narrow" w:hAnsi="Arial Narrow" w:cs="Arial Narrow"/>
                <w:b/>
                <w:sz w:val="22"/>
                <w:szCs w:val="24"/>
              </w:rPr>
            </w:pPr>
            <w:r w:rsidRPr="00F34284">
              <w:rPr>
                <w:rFonts w:ascii="Arial Narrow" w:hAnsi="Arial Narrow" w:cs="Arial Narrow"/>
                <w:b/>
                <w:sz w:val="22"/>
                <w:szCs w:val="24"/>
              </w:rPr>
              <w:t>Oblasť hospodárstva spolu</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F34284" w:rsidP="00A70AF6">
            <w:pPr>
              <w:jc w:val="right"/>
              <w:rPr>
                <w:rFonts w:ascii="Arial Narrow" w:hAnsi="Arial Narrow" w:cs="Arial Narrow"/>
                <w:b/>
                <w:sz w:val="22"/>
                <w:szCs w:val="24"/>
              </w:rPr>
            </w:pPr>
            <w:r w:rsidRPr="00F34284">
              <w:rPr>
                <w:rFonts w:ascii="Arial Narrow" w:hAnsi="Arial Narrow" w:cs="Arial Narrow"/>
                <w:b/>
                <w:sz w:val="22"/>
                <w:szCs w:val="24"/>
              </w:rPr>
              <w:t>309 348</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F34284" w:rsidP="00A70AF6">
            <w:pPr>
              <w:jc w:val="right"/>
              <w:rPr>
                <w:rFonts w:ascii="Arial Narrow" w:hAnsi="Arial Narrow" w:cs="Arial Narrow"/>
                <w:b/>
                <w:sz w:val="22"/>
                <w:szCs w:val="24"/>
              </w:rPr>
            </w:pPr>
            <w:r w:rsidRPr="00F34284">
              <w:rPr>
                <w:rFonts w:ascii="Arial Narrow" w:hAnsi="Arial Narrow" w:cs="Arial Narrow"/>
                <w:b/>
                <w:sz w:val="22"/>
                <w:szCs w:val="24"/>
              </w:rPr>
              <w:t>364 242</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F34284" w:rsidP="00A70AF6">
            <w:pPr>
              <w:jc w:val="right"/>
              <w:rPr>
                <w:rFonts w:ascii="Arial Narrow" w:hAnsi="Arial Narrow" w:cs="Arial Narrow"/>
                <w:b/>
                <w:sz w:val="22"/>
                <w:szCs w:val="24"/>
              </w:rPr>
            </w:pPr>
            <w:r w:rsidRPr="00F34284">
              <w:rPr>
                <w:rFonts w:ascii="Arial Narrow" w:hAnsi="Arial Narrow" w:cs="Arial Narrow"/>
                <w:b/>
                <w:sz w:val="22"/>
                <w:szCs w:val="24"/>
              </w:rPr>
              <w:t>295 423</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F34284" w:rsidP="00A70AF6">
            <w:pPr>
              <w:jc w:val="right"/>
              <w:rPr>
                <w:rFonts w:ascii="Arial Narrow" w:hAnsi="Arial Narrow" w:cs="Arial Narrow"/>
                <w:b/>
                <w:sz w:val="22"/>
                <w:szCs w:val="24"/>
              </w:rPr>
            </w:pPr>
            <w:r w:rsidRPr="00F34284">
              <w:rPr>
                <w:rFonts w:ascii="Arial Narrow" w:hAnsi="Arial Narrow" w:cs="Arial Narrow"/>
                <w:b/>
                <w:sz w:val="22"/>
                <w:szCs w:val="24"/>
              </w:rPr>
              <w:t>221 013</w:t>
            </w:r>
          </w:p>
        </w:tc>
      </w:tr>
      <w:tr>
        <w:tblPrEx>
          <w:tblW w:w="9180" w:type="dxa"/>
          <w:tblInd w:w="70" w:type="dxa"/>
          <w:tblCellMar>
            <w:left w:w="70" w:type="dxa"/>
            <w:right w:w="70" w:type="dxa"/>
          </w:tblCellMar>
          <w:tblLook w:val="00A0"/>
        </w:tblPrEx>
        <w:trPr>
          <w:trHeight w:val="240"/>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rPr>
                <w:rFonts w:ascii="Arial Narrow" w:hAnsi="Arial Narrow" w:cs="Arial Narrow"/>
                <w:sz w:val="22"/>
                <w:szCs w:val="24"/>
              </w:rPr>
            </w:pPr>
            <w:r w:rsidRPr="00F34284">
              <w:rPr>
                <w:rFonts w:ascii="Arial Narrow" w:hAnsi="Arial Narrow" w:cs="Arial Narrow"/>
                <w:sz w:val="22"/>
                <w:szCs w:val="24"/>
              </w:rPr>
              <w:t>Rozvoj priemyslu a podpora podnikania</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218 329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270 389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202 650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140 893</w:t>
            </w:r>
          </w:p>
        </w:tc>
      </w:tr>
      <w:tr>
        <w:tblPrEx>
          <w:tblW w:w="9180" w:type="dxa"/>
          <w:tblInd w:w="70" w:type="dxa"/>
          <w:tblCellMar>
            <w:left w:w="70" w:type="dxa"/>
            <w:right w:w="70" w:type="dxa"/>
          </w:tblCellMar>
          <w:tblLook w:val="00A0"/>
        </w:tblPrEx>
        <w:trPr>
          <w:trHeight w:val="240"/>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rPr>
                <w:rFonts w:ascii="Arial Narrow" w:hAnsi="Arial Narrow" w:cs="Arial Narrow"/>
                <w:sz w:val="22"/>
                <w:szCs w:val="24"/>
              </w:rPr>
            </w:pPr>
            <w:r w:rsidRPr="00F34284">
              <w:rPr>
                <w:rFonts w:ascii="Arial Narrow" w:hAnsi="Arial Narrow" w:cs="Arial Narrow"/>
                <w:sz w:val="22"/>
                <w:szCs w:val="24"/>
              </w:rPr>
              <w:t>Štátne hmotné rezervy</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21 703</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28 102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27 034</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19 062</w:t>
            </w:r>
          </w:p>
        </w:tc>
      </w:tr>
      <w:tr>
        <w:tblPrEx>
          <w:tblW w:w="9180" w:type="dxa"/>
          <w:tblInd w:w="70" w:type="dxa"/>
          <w:tblCellMar>
            <w:left w:w="70" w:type="dxa"/>
            <w:right w:w="70" w:type="dxa"/>
          </w:tblCellMar>
          <w:tblLook w:val="00A0"/>
        </w:tblPrEx>
        <w:trPr>
          <w:trHeight w:val="240"/>
        </w:trPr>
        <w:tc>
          <w:tcPr>
            <w:tcW w:w="468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rPr>
                <w:rFonts w:ascii="Arial Narrow" w:hAnsi="Arial Narrow" w:cs="Arial Narrow"/>
                <w:sz w:val="22"/>
                <w:szCs w:val="24"/>
              </w:rPr>
            </w:pPr>
            <w:r w:rsidRPr="00F34284">
              <w:rPr>
                <w:rFonts w:ascii="Arial Narrow" w:hAnsi="Arial Narrow" w:cs="Arial Narrow"/>
                <w:sz w:val="22"/>
                <w:szCs w:val="24"/>
              </w:rPr>
              <w:t>Inštitucionálna podpora hospodárstva</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69 316</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65 751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65 739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F34284" w:rsidP="00A70AF6">
            <w:pPr>
              <w:jc w:val="right"/>
              <w:rPr>
                <w:rFonts w:ascii="Arial Narrow" w:hAnsi="Arial Narrow" w:cs="Arial Narrow"/>
                <w:sz w:val="22"/>
                <w:szCs w:val="24"/>
              </w:rPr>
            </w:pPr>
            <w:r w:rsidRPr="00F34284">
              <w:rPr>
                <w:rFonts w:ascii="Arial Narrow" w:hAnsi="Arial Narrow" w:cs="Arial Narrow"/>
                <w:sz w:val="22"/>
                <w:szCs w:val="24"/>
              </w:rPr>
              <w:t>61 058</w:t>
            </w:r>
          </w:p>
        </w:tc>
      </w:tr>
    </w:tbl>
    <w:p w:rsidR="00312541" w:rsidRPr="00F34284" w:rsidP="00312541">
      <w:pPr>
        <w:jc w:val="both"/>
        <w:rPr>
          <w:rFonts w:ascii="Arial Narrow" w:hAnsi="Arial Narrow" w:cs="Arial Narrow"/>
          <w:sz w:val="22"/>
          <w:szCs w:val="24"/>
        </w:rPr>
      </w:pPr>
    </w:p>
    <w:p w:rsidR="00312541" w:rsidRPr="00F34284" w:rsidP="00312541">
      <w:pPr>
        <w:jc w:val="both"/>
        <w:rPr>
          <w:rFonts w:ascii="Arial Narrow" w:hAnsi="Arial Narrow" w:cs="Arial Narrow"/>
          <w:b/>
          <w:sz w:val="22"/>
          <w:szCs w:val="24"/>
        </w:rPr>
      </w:pPr>
      <w:r w:rsidRPr="00F34284">
        <w:rPr>
          <w:rFonts w:ascii="Arial Narrow" w:hAnsi="Arial Narrow" w:cs="Arial Narrow"/>
          <w:b/>
          <w:sz w:val="22"/>
          <w:szCs w:val="24"/>
        </w:rPr>
        <w:t>Rozvoj priemyslu a podpora podnikania</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773BA8">
        <w:rPr>
          <w:rFonts w:ascii="Arial Narrow" w:hAnsi="Arial Narrow" w:cs="Arial Narrow"/>
          <w:b/>
          <w:sz w:val="22"/>
          <w:szCs w:val="24"/>
        </w:rPr>
        <w:t>Na rozvoj priemyslu a podporu podnikania</w:t>
      </w:r>
      <w:r w:rsidRPr="00F34284">
        <w:rPr>
          <w:rFonts w:ascii="Arial Narrow" w:hAnsi="Arial Narrow" w:cs="Arial Narrow"/>
          <w:sz w:val="22"/>
          <w:szCs w:val="24"/>
        </w:rPr>
        <w:t xml:space="preserve"> smerujú prostriedky v </w:t>
      </w:r>
      <w:r w:rsidRPr="00773BA8">
        <w:rPr>
          <w:rFonts w:ascii="Arial Narrow" w:hAnsi="Arial Narrow" w:cs="Arial Narrow"/>
          <w:sz w:val="22"/>
          <w:szCs w:val="24"/>
        </w:rPr>
        <w:t>sume 270  mil. eur,</w:t>
      </w:r>
      <w:r w:rsidRPr="00F34284">
        <w:rPr>
          <w:rFonts w:ascii="Arial Narrow" w:hAnsi="Arial Narrow" w:cs="Arial Narrow"/>
          <w:sz w:val="22"/>
          <w:szCs w:val="24"/>
        </w:rPr>
        <w:t xml:space="preserve"> čo v porovnaní s rokom 2009 predstavuje </w:t>
      </w:r>
      <w:r w:rsidRPr="00773BA8">
        <w:rPr>
          <w:rFonts w:ascii="Arial Narrow" w:hAnsi="Arial Narrow" w:cs="Arial Narrow"/>
          <w:b/>
          <w:sz w:val="22"/>
          <w:szCs w:val="24"/>
        </w:rPr>
        <w:t>nárast o 23,8 %</w:t>
      </w:r>
      <w:r w:rsidRPr="00F34284">
        <w:rPr>
          <w:rFonts w:ascii="Arial Narrow" w:hAnsi="Arial Narrow" w:cs="Arial Narrow"/>
          <w:sz w:val="22"/>
          <w:szCs w:val="24"/>
        </w:rPr>
        <w:t xml:space="preserve">. Nárast výdavkov v roku 2010 oproti roku 2009 ovplyvňuje rozpočtovanie výdavkov EÚ a spolufinancovania. </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b/>
          <w:i/>
          <w:sz w:val="22"/>
          <w:szCs w:val="24"/>
        </w:rPr>
      </w:pPr>
      <w:r w:rsidRPr="00F34284">
        <w:rPr>
          <w:rFonts w:ascii="Arial Narrow" w:hAnsi="Arial Narrow" w:cs="Arial Narrow"/>
          <w:sz w:val="22"/>
          <w:szCs w:val="24"/>
        </w:rPr>
        <w:t xml:space="preserve">Na podporu </w:t>
      </w:r>
      <w:r w:rsidRPr="00F34284">
        <w:rPr>
          <w:rFonts w:ascii="Arial Narrow" w:hAnsi="Arial Narrow" w:cs="Arial Narrow"/>
          <w:b/>
          <w:sz w:val="22"/>
          <w:szCs w:val="24"/>
        </w:rPr>
        <w:t>inovácií</w:t>
      </w:r>
      <w:r w:rsidRPr="00F34284">
        <w:rPr>
          <w:rFonts w:ascii="Arial Narrow" w:hAnsi="Arial Narrow" w:cs="Arial Narrow"/>
          <w:sz w:val="22"/>
          <w:szCs w:val="24"/>
        </w:rPr>
        <w:t xml:space="preserve"> sú zo zdrojov EÚ a spolufinancovania zo štátneho rozpočtu v rámci Operačného programu Konkurencieschopnosť a hospodársky rast (OP KaHR) určené výdavky v sume </w:t>
      </w:r>
      <w:r w:rsidRPr="00F34284">
        <w:rPr>
          <w:rFonts w:ascii="Arial Narrow" w:hAnsi="Arial Narrow" w:cs="Arial Narrow"/>
          <w:b/>
          <w:sz w:val="22"/>
          <w:szCs w:val="24"/>
        </w:rPr>
        <w:t>98,9 mil. eur</w:t>
      </w:r>
      <w:r w:rsidRPr="00F34284">
        <w:rPr>
          <w:rFonts w:ascii="Arial Narrow" w:hAnsi="Arial Narrow" w:cs="Arial Narrow"/>
          <w:sz w:val="22"/>
          <w:szCs w:val="24"/>
        </w:rPr>
        <w:t xml:space="preserve">. Hlavným účelom podpory podnikania v oblasti inovácií a aplikovaného výskumu, ktorý patrí medzi prioritné oblasti Lisabonského procesu, je zvýšenie konkurencieschopnosti priemyslu podporou zavádzania inovácií a technologických transferov, ako aj tvorby pracovných miest prostredníctvom rozvoja podnikania. Výdavky v tejto oblasti sú určené aj na účasť slovenských výrobcov na veľtrhoch, výstavách a obchodných misiách.  Finančné prostriedky budú poskytované aj na implementáciu najlepších postupov a výrobných metód svetovej úrovne do nových a existujúcich spoločností napr. zavádzanie systémov manažérstva kvality, ochranu duševného vlastníctva, priemyselného dizajnu. </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 xml:space="preserve">Na podporu v oblasti </w:t>
      </w:r>
      <w:r w:rsidRPr="00F34284">
        <w:rPr>
          <w:rFonts w:ascii="Arial Narrow" w:hAnsi="Arial Narrow" w:cs="Arial Narrow"/>
          <w:b/>
          <w:sz w:val="22"/>
          <w:szCs w:val="24"/>
        </w:rPr>
        <w:t>energetiky</w:t>
      </w:r>
      <w:r w:rsidRPr="00F34284">
        <w:rPr>
          <w:rFonts w:ascii="Arial Narrow" w:hAnsi="Arial Narrow" w:cs="Arial Narrow"/>
          <w:sz w:val="22"/>
          <w:szCs w:val="24"/>
        </w:rPr>
        <w:t xml:space="preserve"> sa rozpočtujú finančné prostriedky EÚ a spolufinancovania v rámci </w:t>
        <w:br/>
        <w:t xml:space="preserve">OP KaHR vo výške </w:t>
      </w:r>
      <w:r w:rsidRPr="00F34284">
        <w:rPr>
          <w:rFonts w:ascii="Arial Narrow" w:hAnsi="Arial Narrow" w:cs="Arial Narrow"/>
          <w:b/>
          <w:sz w:val="22"/>
          <w:szCs w:val="24"/>
        </w:rPr>
        <w:t>42,4 mil. eur</w:t>
      </w:r>
      <w:r w:rsidRPr="00F34284">
        <w:rPr>
          <w:rFonts w:ascii="Arial Narrow" w:hAnsi="Arial Narrow" w:cs="Arial Narrow"/>
          <w:sz w:val="22"/>
          <w:szCs w:val="24"/>
        </w:rPr>
        <w:t>. Tieto prostriedky sú určené na podporu projektov využívajúcich progresívne úsporné technológie na zásobovanie energiou a zariadenia s vyššou účinnosťou využitia energie s minimálnym dopadom na životné prostredie. Finančné prostriedky sú smerované aj na projekty zabezpečujúce zlepšenie tepelno-technických charakteristík budov a vybavenie zariadení meracími a regulačnými systémami. Podporované budú aj projekty na využívanie nových technologických zariadení na výrobu elektrickej energie a tepla, projekty na využívanie odpadového tepla z výroby elektrickej energie pri súčasnom zlepšení environmentálnych aspektov sektoru priemyslu, ako aj projekty na zníženie strát modernizáciou zariadení slúžiacich na rozvod energetických médií. Zdroje budú smerovať aj na projekty využívajúce obnoviteľné zdroje energie najmä biomasu, geotermálnu energiu, budovanie malých vodných elektrární a energetické využitie komunálneho odpadu. Finančné prostriedky budú použité aj na podporu verejného sektora pri budovaní a modernizácii verejného osvetlenia v mestách a obciach, ako aj informovanie verejnosti o efektívnom využívaní energie a obnoviteľných zdrojov energie.</w:t>
      </w:r>
    </w:p>
    <w:p w:rsidR="00312541" w:rsidRPr="00F34284" w:rsidP="00312541">
      <w:pPr>
        <w:jc w:val="both"/>
        <w:rPr>
          <w:rFonts w:ascii="Arial Narrow" w:hAnsi="Arial Narrow" w:cs="Arial Narrow"/>
          <w:i/>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b/>
          <w:sz w:val="22"/>
          <w:szCs w:val="24"/>
        </w:rPr>
        <w:t>Cestovný ruch</w:t>
      </w:r>
      <w:r w:rsidRPr="00F34284">
        <w:rPr>
          <w:rFonts w:ascii="Arial Narrow" w:hAnsi="Arial Narrow" w:cs="Arial Narrow"/>
          <w:sz w:val="22"/>
          <w:szCs w:val="24"/>
        </w:rPr>
        <w:t xml:space="preserve"> je podporený sumou </w:t>
      </w:r>
      <w:r w:rsidRPr="00F34284">
        <w:rPr>
          <w:rFonts w:ascii="Arial Narrow" w:hAnsi="Arial Narrow" w:cs="Arial Narrow"/>
          <w:b/>
          <w:sz w:val="22"/>
          <w:szCs w:val="24"/>
        </w:rPr>
        <w:t>46,7 mil. eur.</w:t>
      </w:r>
      <w:r w:rsidRPr="00F34284">
        <w:rPr>
          <w:rFonts w:ascii="Arial Narrow" w:hAnsi="Arial Narrow" w:cs="Arial Narrow"/>
          <w:sz w:val="22"/>
          <w:szCs w:val="24"/>
        </w:rPr>
        <w:t xml:space="preserve"> Podpora v tejto oblasti je zameraná na budovanie komplexných služieb cestovného ruchu s celoročným využitím prostredníctvom nových služieb s vyššou pridanou hodnotou, na podporu propagácie slovenského cestovného ruchu doma i v zahraničí formou tvorby informačných a prezentačných materiálov, účasti  na propagačných a prezentačných  aktivitách cestovného ruchu, podporu prezentácie SR v zahraničí ako atraktívnej turistickej destinácie. Pre</w:t>
      </w:r>
      <w:r w:rsidR="00542EC0">
        <w:rPr>
          <w:rFonts w:ascii="Arial Narrow" w:hAnsi="Arial Narrow" w:cs="Arial Narrow"/>
          <w:sz w:val="22"/>
          <w:szCs w:val="24"/>
        </w:rPr>
        <w:t>d</w:t>
      </w:r>
      <w:r w:rsidRPr="00F34284">
        <w:rPr>
          <w:rFonts w:ascii="Arial Narrow" w:hAnsi="Arial Narrow" w:cs="Arial Narrow"/>
          <w:sz w:val="22"/>
          <w:szCs w:val="24"/>
        </w:rPr>
        <w:t>metom podpory je aj rozvoj informačných služieb cestovného ruchu – pokračovanie v tvorbe Národného jednotného informačného systému cestovného ruchu (NUTIS), zber informácií do NUTIS-u, vytváranie a činnosť turisticko-informačných kancelárií. V rámci podpory cestovného ruchu je rozpočtovaný aj transfer zo štátneho rozpočtu pre príspevkovú organizáciu Slovenská agentúra pre cestovný ruch.</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 xml:space="preserve">Na podporu </w:t>
      </w:r>
      <w:r w:rsidRPr="00F34284">
        <w:rPr>
          <w:rFonts w:ascii="Arial Narrow" w:hAnsi="Arial Narrow" w:cs="Arial Narrow"/>
          <w:b/>
          <w:sz w:val="22"/>
          <w:szCs w:val="24"/>
        </w:rPr>
        <w:t>investičných projektov</w:t>
      </w:r>
      <w:r w:rsidRPr="00F34284">
        <w:rPr>
          <w:rFonts w:ascii="Arial Narrow" w:hAnsi="Arial Narrow" w:cs="Arial Narrow"/>
          <w:sz w:val="22"/>
          <w:szCs w:val="24"/>
        </w:rPr>
        <w:t xml:space="preserve"> sú určené finančné prostriedky v sume </w:t>
      </w:r>
      <w:r w:rsidRPr="00F34284">
        <w:rPr>
          <w:rFonts w:ascii="Arial Narrow" w:hAnsi="Arial Narrow" w:cs="Arial Narrow"/>
          <w:b/>
          <w:sz w:val="22"/>
          <w:szCs w:val="24"/>
        </w:rPr>
        <w:t xml:space="preserve"> 42,9 mil. eur.</w:t>
      </w:r>
      <w:r w:rsidRPr="00F34284">
        <w:rPr>
          <w:rFonts w:ascii="Arial Narrow" w:hAnsi="Arial Narrow" w:cs="Arial Narrow"/>
          <w:sz w:val="22"/>
          <w:szCs w:val="24"/>
        </w:rPr>
        <w:t xml:space="preserve"> Z uvedenej sumy sa na podporu projektu spoločnosti Samsung Electronics LCD Business na vybudovanie moderného výrobného závodu s prevádzkou montážnej linky LCD modulov v Trnave – Voderadoch rozpočtujú prostriedky vo výške 19,8 mil. eur. Na podporu rozšírenia výroby automobilov pre spoločnosť KIA Motors Slovakia sú smerované výdavky v sume 18,4 mil. eur. Finančné prostriedky vo výške 4,7 mil. eur sú určené na podporu investičných projektov spoločností Dell s.r.o., Johnson Controls Trenčín s.r.o., ICU Medical Slovakia s.r.o., IEE Sensing Slovakia s. r. o., Cestné a stavebné mechanizmy  Tisovec, a.s..</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Ďalšie prostriedky sú určené na podporu podnikania a to najmä na výstavbu a revitalizáciu infraštruktúry hnedých priemyselných parkov, budovanie infraštruktúry zelených priemyselných parkov s veľkým socio-ekonomickým dopadom pre región, rekonštrukciu alebo výstavbu budov, technologických priestorov vrátane sietí, ako aj realizáciu projektov pre ochranu spotrebiteľa. Finančné prostriedky smerujú aj na financovanie podporných aktivít pre malé a stredné podnikanie realizované prostredníctvom Národnej agentúry pre rozvoj malého a stredného podnikania vrátane jej prevádzky. Výdavky zo štátneho rozpočtu sú určené tiež pre Národný jadrový fond na vyraďovanie jadrových zariadení a na nakladanie s vyhoretým jadrovým palivom a rádioaktívnymi odpadmi na úhradu nákladov, vynaložených na nakladanie s jadrovým materiálom alebo rádioaktívnymi odpadmi, ktorých pôvodca nie je známy, ďale</w:t>
      </w:r>
      <w:r w:rsidR="00AD7E50">
        <w:rPr>
          <w:rFonts w:ascii="Arial Narrow" w:hAnsi="Arial Narrow" w:cs="Arial Narrow"/>
          <w:sz w:val="22"/>
          <w:szCs w:val="24"/>
        </w:rPr>
        <w:t>j na administráciu príspevkovej</w:t>
      </w:r>
      <w:r w:rsidRPr="00F34284">
        <w:rPr>
          <w:rFonts w:ascii="Arial Narrow" w:hAnsi="Arial Narrow" w:cs="Arial Narrow"/>
          <w:sz w:val="22"/>
          <w:szCs w:val="24"/>
        </w:rPr>
        <w:t xml:space="preserve"> organizáci</w:t>
      </w:r>
      <w:r w:rsidR="00AD7E50">
        <w:rPr>
          <w:rFonts w:ascii="Arial Narrow" w:hAnsi="Arial Narrow" w:cs="Arial Narrow"/>
          <w:sz w:val="22"/>
          <w:szCs w:val="24"/>
        </w:rPr>
        <w:t>e</w:t>
      </w:r>
      <w:r w:rsidRPr="00F34284">
        <w:rPr>
          <w:rFonts w:ascii="Arial Narrow" w:hAnsi="Arial Narrow" w:cs="Arial Narrow"/>
          <w:sz w:val="22"/>
          <w:szCs w:val="24"/>
        </w:rPr>
        <w:t xml:space="preserve"> SARI</w:t>
      </w:r>
      <w:r w:rsidR="00AD7E50">
        <w:rPr>
          <w:rFonts w:ascii="Arial Narrow" w:hAnsi="Arial Narrow" w:cs="Arial Narrow"/>
          <w:sz w:val="22"/>
          <w:szCs w:val="24"/>
        </w:rPr>
        <w:t>O</w:t>
      </w:r>
      <w:r w:rsidRPr="00F34284">
        <w:rPr>
          <w:rFonts w:ascii="Arial Narrow" w:hAnsi="Arial Narrow" w:cs="Arial Narrow"/>
          <w:sz w:val="22"/>
          <w:szCs w:val="24"/>
        </w:rPr>
        <w:t xml:space="preserve">, na spolufinancovanie programov Interreg IVC a Interract II a pre uhoľné a rudné baníctvo. </w:t>
      </w:r>
    </w:p>
    <w:p w:rsidR="00312541" w:rsidRPr="00F34284" w:rsidP="00312541">
      <w:pPr>
        <w:jc w:val="both"/>
        <w:rPr>
          <w:rFonts w:ascii="Arial Narrow" w:hAnsi="Arial Narrow" w:cs="Arial Narrow"/>
          <w:b/>
          <w:sz w:val="22"/>
          <w:szCs w:val="24"/>
        </w:rPr>
      </w:pPr>
    </w:p>
    <w:p w:rsidR="00312541" w:rsidRPr="00F34284" w:rsidP="00312541">
      <w:pPr>
        <w:jc w:val="both"/>
        <w:rPr>
          <w:rFonts w:ascii="Arial Narrow" w:hAnsi="Arial Narrow" w:cs="Arial Narrow"/>
          <w:b/>
          <w:sz w:val="22"/>
          <w:szCs w:val="24"/>
        </w:rPr>
      </w:pPr>
      <w:r w:rsidRPr="00F34284">
        <w:rPr>
          <w:rFonts w:ascii="Arial Narrow" w:hAnsi="Arial Narrow" w:cs="Arial Narrow"/>
          <w:b/>
          <w:sz w:val="22"/>
          <w:szCs w:val="24"/>
        </w:rPr>
        <w:t>Štátne hmotné rezervy</w:t>
      </w:r>
    </w:p>
    <w:p w:rsidR="00312541" w:rsidRPr="00F34284" w:rsidP="00312541">
      <w:pPr>
        <w:jc w:val="both"/>
        <w:rPr>
          <w:rFonts w:ascii="Arial Narrow" w:hAnsi="Arial Narrow" w:cs="Arial Narrow"/>
          <w:sz w:val="22"/>
          <w:szCs w:val="24"/>
        </w:rPr>
      </w:pPr>
    </w:p>
    <w:p w:rsidR="00312541" w:rsidRPr="00F34284" w:rsidP="00312541">
      <w:pPr>
        <w:ind w:firstLine="709"/>
        <w:jc w:val="both"/>
        <w:rPr>
          <w:rFonts w:ascii="Arial Narrow" w:hAnsi="Arial Narrow" w:cs="Arial Narrow"/>
          <w:sz w:val="22"/>
          <w:szCs w:val="24"/>
        </w:rPr>
      </w:pPr>
      <w:r w:rsidRPr="00F34284">
        <w:rPr>
          <w:rFonts w:ascii="Arial Narrow" w:hAnsi="Arial Narrow" w:cs="Arial Narrow"/>
          <w:sz w:val="22"/>
          <w:szCs w:val="24"/>
        </w:rPr>
        <w:t xml:space="preserve">Celkové výdavky kapitoly </w:t>
      </w:r>
      <w:r w:rsidRPr="00F34284">
        <w:rPr>
          <w:rFonts w:ascii="Arial Narrow" w:hAnsi="Arial Narrow" w:cs="Arial Narrow"/>
          <w:b/>
          <w:sz w:val="22"/>
          <w:szCs w:val="24"/>
        </w:rPr>
        <w:t>Štátne hmotné rezervy</w:t>
      </w:r>
      <w:r w:rsidRPr="00F34284">
        <w:rPr>
          <w:rFonts w:ascii="Arial Narrow" w:hAnsi="Arial Narrow" w:cs="Arial Narrow"/>
          <w:sz w:val="22"/>
          <w:szCs w:val="24"/>
        </w:rPr>
        <w:t xml:space="preserve"> na rok 2010 zabezpečujú úlohy v hospodárení hmotných rezerv, mobilizačných rezerv a pohotovostných zásob. V oblasti hmotných rezerv sa budú prioritne zabezpečovať úlohy súvisiace s núdzovými zásobami ropy a ropných výrobkov a potravinovej a energetickej bezpečnosti štátu. V oblasti  mobilizačných rezerv sú vytvorené podmienky pre riešenie krízových situácií pre potreby ozbrojených síl a ekonomiky a u pohotovostných zásob pre pomoc obyvateľstvu pri riešení krízových situácií a na poskytovanie humanitárnej pomoci. V medzirezortnom programe Podpora obrany sa zabezpečujú úlohy v oblasti mobilizačných rezerv v zmysle požiadaviek ozbrojených síl a v programe Hospodárska mobilizácia sú vytvorené podmienky pre zabezpečenie nevyhnutných potrieb pre riešenie krízových situácií. </w:t>
      </w:r>
    </w:p>
    <w:p w:rsidR="00312541" w:rsidRPr="00F34284" w:rsidP="00312541">
      <w:pPr>
        <w:jc w:val="both"/>
        <w:rPr>
          <w:rFonts w:ascii="Arial Narrow" w:hAnsi="Arial Narrow" w:cs="Arial Narrow"/>
          <w:sz w:val="22"/>
          <w:szCs w:val="24"/>
        </w:rPr>
      </w:pPr>
    </w:p>
    <w:p w:rsidR="00312541" w:rsidRPr="00F34284" w:rsidP="00312541">
      <w:pPr>
        <w:jc w:val="both"/>
        <w:rPr>
          <w:rFonts w:ascii="Arial Narrow" w:hAnsi="Arial Narrow" w:cs="Arial Narrow"/>
          <w:b/>
          <w:sz w:val="22"/>
          <w:szCs w:val="24"/>
        </w:rPr>
      </w:pPr>
      <w:r w:rsidRPr="00F34284">
        <w:rPr>
          <w:rFonts w:ascii="Arial Narrow" w:hAnsi="Arial Narrow" w:cs="Arial Narrow"/>
          <w:b/>
          <w:sz w:val="22"/>
          <w:szCs w:val="24"/>
        </w:rPr>
        <w:t>Inštitucionálna podpora hospodárstva</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Na inštitucionálnu podporu</w:t>
      </w:r>
      <w:r w:rsidRPr="00F34284">
        <w:rPr>
          <w:rFonts w:ascii="Arial Narrow" w:hAnsi="Arial Narrow" w:cs="Arial Narrow"/>
          <w:b/>
          <w:sz w:val="22"/>
          <w:szCs w:val="24"/>
        </w:rPr>
        <w:t xml:space="preserve"> Ministerstva hospodárstva</w:t>
      </w:r>
      <w:r w:rsidRPr="00F34284">
        <w:rPr>
          <w:rFonts w:ascii="Arial Narrow" w:hAnsi="Arial Narrow" w:cs="Arial Narrow"/>
          <w:sz w:val="22"/>
          <w:szCs w:val="24"/>
        </w:rPr>
        <w:t xml:space="preserve"> </w:t>
      </w:r>
      <w:r w:rsidRPr="00F34284">
        <w:rPr>
          <w:rFonts w:ascii="Arial Narrow" w:hAnsi="Arial Narrow" w:cs="Arial Narrow"/>
          <w:b/>
          <w:sz w:val="22"/>
          <w:szCs w:val="24"/>
        </w:rPr>
        <w:t>SR</w:t>
      </w:r>
      <w:r w:rsidRPr="00F34284">
        <w:rPr>
          <w:rFonts w:ascii="Arial Narrow" w:hAnsi="Arial Narrow" w:cs="Arial Narrow"/>
          <w:sz w:val="22"/>
          <w:szCs w:val="24"/>
        </w:rPr>
        <w:t xml:space="preserve"> sa v roku 2010 rozpočtuje suma </w:t>
        <w:br/>
      </w:r>
      <w:r w:rsidRPr="00F34284">
        <w:rPr>
          <w:rFonts w:ascii="Arial Narrow" w:hAnsi="Arial Narrow" w:cs="Arial Narrow"/>
          <w:b/>
          <w:sz w:val="22"/>
          <w:szCs w:val="24"/>
        </w:rPr>
        <w:t>48,8 mil. eur</w:t>
      </w:r>
      <w:r w:rsidRPr="00F34284">
        <w:rPr>
          <w:rFonts w:ascii="Arial Narrow" w:hAnsi="Arial Narrow" w:cs="Arial Narrow"/>
          <w:sz w:val="22"/>
          <w:szCs w:val="24"/>
        </w:rPr>
        <w:t>.</w:t>
      </w:r>
      <w:r w:rsidRPr="00F34284">
        <w:rPr>
          <w:rFonts w:ascii="Arial Narrow" w:hAnsi="Arial Narrow" w:cs="Arial Narrow"/>
          <w:b/>
          <w:sz w:val="22"/>
          <w:szCs w:val="24"/>
        </w:rPr>
        <w:t xml:space="preserve"> </w:t>
      </w:r>
      <w:r w:rsidRPr="00F34284">
        <w:rPr>
          <w:rFonts w:ascii="Arial Narrow" w:hAnsi="Arial Narrow" w:cs="Arial Narrow"/>
          <w:sz w:val="22"/>
          <w:szCs w:val="24"/>
        </w:rPr>
        <w:t xml:space="preserve">Výdavky sú určené predovšetkým na zabezpečenie plnenia úloh rozpočtových organizácií a príspevkovej organizácie rezortu, pre občianske združenia na ochranu práv spotrebiteľa, Európske spotrebiteľské centrum, ako aj plnenie úloh medzirezortných programov. </w:t>
      </w:r>
    </w:p>
    <w:p w:rsidR="00312541" w:rsidRPr="00F34284" w:rsidP="00312541">
      <w:pPr>
        <w:jc w:val="both"/>
        <w:rPr>
          <w:rFonts w:ascii="Arial Narrow" w:hAnsi="Arial Narrow" w:cs="Arial Narrow"/>
          <w:b/>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 xml:space="preserve">Rozpočtové prostriedky </w:t>
      </w:r>
      <w:r w:rsidRPr="00F34284">
        <w:rPr>
          <w:rFonts w:ascii="Arial Narrow" w:hAnsi="Arial Narrow" w:cs="Arial Narrow"/>
          <w:b/>
          <w:sz w:val="22"/>
          <w:szCs w:val="24"/>
        </w:rPr>
        <w:t>Úradu jadrového dozoru SR</w:t>
      </w:r>
      <w:r w:rsidRPr="00F34284">
        <w:rPr>
          <w:rFonts w:ascii="Arial Narrow" w:hAnsi="Arial Narrow" w:cs="Arial Narrow"/>
          <w:sz w:val="22"/>
          <w:szCs w:val="24"/>
        </w:rPr>
        <w:t xml:space="preserve"> na rok 2010 predstavujú sumu </w:t>
      </w:r>
      <w:r w:rsidRPr="00F34284">
        <w:rPr>
          <w:rFonts w:ascii="Arial Narrow" w:hAnsi="Arial Narrow" w:cs="Arial Narrow"/>
          <w:b/>
          <w:sz w:val="22"/>
          <w:szCs w:val="24"/>
        </w:rPr>
        <w:t>4,47 mil. eur</w:t>
      </w:r>
      <w:r w:rsidRPr="00F34284">
        <w:rPr>
          <w:rFonts w:ascii="Arial Narrow" w:hAnsi="Arial Narrow" w:cs="Arial Narrow"/>
          <w:sz w:val="22"/>
          <w:szCs w:val="24"/>
        </w:rPr>
        <w:t>, v porovnaní s rokom 2006 finančné prostriedky rastú o 74,6 %. Nárast zdrojov oproti roku 2006 v</w:t>
      </w:r>
      <w:r w:rsidR="00542EC0">
        <w:rPr>
          <w:rFonts w:ascii="Arial Narrow" w:hAnsi="Arial Narrow" w:cs="Arial Narrow"/>
          <w:sz w:val="22"/>
          <w:szCs w:val="24"/>
        </w:rPr>
        <w:t>y</w:t>
      </w:r>
      <w:r w:rsidRPr="00F34284">
        <w:rPr>
          <w:rFonts w:ascii="Arial Narrow" w:hAnsi="Arial Narrow" w:cs="Arial Narrow"/>
          <w:sz w:val="22"/>
          <w:szCs w:val="24"/>
        </w:rPr>
        <w:t>plýva z aplikácie modelu alternatívneho financovania ÚJD SR čiastočne z iných zdrojov ako zo štátneho rozpočtu, ktorý sa premietol do príjmov aj výdavkov tejto kapitoly. Výdavky sú určené na plnenie úloh rezortu najmä v oblasti zabezpečovania výkonu dozoru nad jadrovou bezpečnosťou.</w:t>
      </w:r>
    </w:p>
    <w:p w:rsidR="00312541" w:rsidRPr="00F34284" w:rsidP="00312541">
      <w:pPr>
        <w:jc w:val="both"/>
        <w:rPr>
          <w:rFonts w:ascii="Arial Narrow" w:hAnsi="Arial Narrow" w:cs="Arial Narrow"/>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 xml:space="preserve">Výdavky </w:t>
      </w:r>
      <w:r w:rsidRPr="00F34284">
        <w:rPr>
          <w:rFonts w:ascii="Arial Narrow" w:hAnsi="Arial Narrow" w:cs="Arial Narrow"/>
          <w:b/>
          <w:sz w:val="22"/>
          <w:szCs w:val="24"/>
        </w:rPr>
        <w:t>Úradu priemyselného vlastníctva SR</w:t>
      </w:r>
      <w:r w:rsidRPr="00F34284">
        <w:rPr>
          <w:rFonts w:ascii="Arial Narrow" w:hAnsi="Arial Narrow" w:cs="Arial Narrow"/>
          <w:sz w:val="22"/>
          <w:szCs w:val="24"/>
        </w:rPr>
        <w:t xml:space="preserve"> sa rozpočtujú v roku 2010 v sume </w:t>
      </w:r>
      <w:r w:rsidRPr="00F34284">
        <w:rPr>
          <w:rFonts w:ascii="Arial Narrow" w:hAnsi="Arial Narrow" w:cs="Arial Narrow"/>
          <w:b/>
          <w:sz w:val="22"/>
          <w:szCs w:val="24"/>
        </w:rPr>
        <w:t>2,88 mil. eur.</w:t>
      </w:r>
      <w:r w:rsidRPr="00F34284">
        <w:rPr>
          <w:rFonts w:ascii="Arial Narrow" w:hAnsi="Arial Narrow" w:cs="Arial Narrow"/>
          <w:sz w:val="22"/>
          <w:szCs w:val="24"/>
        </w:rPr>
        <w:t xml:space="preserve"> </w:t>
      </w:r>
      <w:r w:rsidRPr="00F34284">
        <w:rPr>
          <w:rFonts w:ascii="Arial Narrow" w:hAnsi="Arial Narrow" w:cs="Arial Narrow"/>
          <w:color w:val="000000"/>
          <w:sz w:val="22"/>
          <w:szCs w:val="24"/>
        </w:rPr>
        <w:t>Úrad priemyselného vlastníctva SR vykonáva štátnu správu v oblasti ochrany vynálezov, úžitkových vzorov, topografií polovodičových výrobkov, dizajnov, ochranných známok, označení pôvodu výrobkov a zemepisných označení výrobkov. Úrad tiež spracováva, udržiava a sprístupňuje ústredný fond priemyselnoprávnej literatúry, dokumentácie a dostupných informačných zdrojov a poskytuje verejnosti informácie a informačné služby z oblasti priemyselného vlastníctva.</w:t>
      </w:r>
    </w:p>
    <w:p w:rsidR="00312541" w:rsidRPr="00F34284" w:rsidP="00312541">
      <w:pPr>
        <w:jc w:val="both"/>
        <w:rPr>
          <w:rFonts w:ascii="Arial Narrow" w:hAnsi="Arial Narrow" w:cs="Arial Narrow"/>
          <w:b/>
          <w:sz w:val="22"/>
          <w:szCs w:val="24"/>
        </w:rPr>
      </w:pPr>
    </w:p>
    <w:p w:rsidR="00312541" w:rsidRPr="00F34284" w:rsidP="00312541">
      <w:pPr>
        <w:ind w:firstLine="708"/>
        <w:jc w:val="both"/>
        <w:rPr>
          <w:rFonts w:ascii="Arial Narrow" w:hAnsi="Arial Narrow" w:cs="Arial Narrow"/>
          <w:sz w:val="22"/>
          <w:szCs w:val="24"/>
        </w:rPr>
      </w:pPr>
      <w:r w:rsidRPr="00F34284">
        <w:rPr>
          <w:rFonts w:ascii="Arial Narrow" w:hAnsi="Arial Narrow" w:cs="Arial Narrow"/>
          <w:sz w:val="22"/>
          <w:szCs w:val="24"/>
        </w:rPr>
        <w:t>V </w:t>
      </w:r>
      <w:r w:rsidRPr="00F34284">
        <w:rPr>
          <w:rFonts w:ascii="Arial Narrow" w:hAnsi="Arial Narrow" w:cs="Arial Narrow"/>
          <w:b/>
          <w:sz w:val="22"/>
          <w:szCs w:val="24"/>
        </w:rPr>
        <w:t>Úrade pre normalizáciu, metrológiu a skúšobníctvo SR</w:t>
      </w:r>
      <w:r w:rsidRPr="00F34284">
        <w:rPr>
          <w:rFonts w:ascii="Arial Narrow" w:hAnsi="Arial Narrow" w:cs="Arial Narrow"/>
          <w:sz w:val="22"/>
          <w:szCs w:val="24"/>
        </w:rPr>
        <w:t xml:space="preserve"> sú na rok 2010 rozpočtované finančné prostriedky v celkovej sume </w:t>
      </w:r>
      <w:r w:rsidRPr="00F34284">
        <w:rPr>
          <w:rFonts w:ascii="Arial Narrow" w:hAnsi="Arial Narrow" w:cs="Arial Narrow"/>
          <w:b/>
          <w:sz w:val="22"/>
          <w:szCs w:val="24"/>
        </w:rPr>
        <w:t>7,25 mil. eur.</w:t>
      </w:r>
      <w:r w:rsidRPr="00F34284">
        <w:rPr>
          <w:rFonts w:ascii="Arial Narrow" w:hAnsi="Arial Narrow" w:cs="Arial Narrow"/>
          <w:sz w:val="22"/>
          <w:szCs w:val="24"/>
        </w:rPr>
        <w:t xml:space="preserve"> Zdroje kapitoly sú smerované na zabezpečenie úloh ústredného orgánu a rozpočtovej a príspevkových organizácií rezortu v oblasti štátnej politiky technickej normalizácie, metrológie, skúšobníctva, akreditácie a kvality.</w:t>
      </w:r>
    </w:p>
    <w:p w:rsidR="00312541" w:rsidRPr="00F34284" w:rsidP="00312541">
      <w:pPr>
        <w:jc w:val="both"/>
        <w:rPr>
          <w:rFonts w:ascii="Arial Narrow" w:hAnsi="Arial Narrow" w:cs="Arial Narrow"/>
          <w:sz w:val="22"/>
          <w:szCs w:val="24"/>
        </w:rPr>
      </w:pPr>
      <w:r w:rsidRPr="00F34284">
        <w:rPr>
          <w:rFonts w:ascii="Arial Narrow" w:hAnsi="Arial Narrow" w:cs="Arial Narrow"/>
          <w:sz w:val="22"/>
          <w:szCs w:val="24"/>
        </w:rPr>
        <w:t xml:space="preserve"> </w:t>
      </w:r>
    </w:p>
    <w:p w:rsidR="00312541" w:rsidP="00312541">
      <w:pPr>
        <w:ind w:firstLine="708"/>
        <w:jc w:val="both"/>
        <w:rPr>
          <w:rFonts w:ascii="Arial Narrow" w:hAnsi="Arial Narrow" w:cs="Arial Narrow"/>
          <w:sz w:val="22"/>
          <w:szCs w:val="24"/>
        </w:rPr>
      </w:pPr>
      <w:r w:rsidRPr="00F34284">
        <w:rPr>
          <w:rFonts w:ascii="Arial Narrow" w:hAnsi="Arial Narrow" w:cs="Arial Narrow"/>
          <w:sz w:val="22"/>
          <w:szCs w:val="24"/>
        </w:rPr>
        <w:t xml:space="preserve">Výdavky </w:t>
      </w:r>
      <w:r w:rsidRPr="00F34284">
        <w:rPr>
          <w:rFonts w:ascii="Arial Narrow" w:hAnsi="Arial Narrow" w:cs="Arial Narrow"/>
          <w:b/>
          <w:sz w:val="22"/>
          <w:szCs w:val="24"/>
        </w:rPr>
        <w:t>Protimonopolného úradu SR</w:t>
      </w:r>
      <w:r w:rsidRPr="00F34284">
        <w:rPr>
          <w:rFonts w:ascii="Arial Narrow" w:hAnsi="Arial Narrow" w:cs="Arial Narrow"/>
          <w:sz w:val="22"/>
          <w:szCs w:val="24"/>
        </w:rPr>
        <w:t xml:space="preserve"> sa v roku </w:t>
      </w:r>
      <w:r>
        <w:rPr>
          <w:rFonts w:ascii="Arial Narrow" w:hAnsi="Arial Narrow" w:cs="Arial Narrow"/>
          <w:sz w:val="22"/>
          <w:szCs w:val="24"/>
        </w:rPr>
        <w:t>2010</w:t>
      </w:r>
      <w:r w:rsidRPr="00F34284">
        <w:rPr>
          <w:rFonts w:ascii="Arial Narrow" w:hAnsi="Arial Narrow" w:cs="Arial Narrow"/>
          <w:sz w:val="22"/>
          <w:szCs w:val="24"/>
        </w:rPr>
        <w:t xml:space="preserve"> rozpočtujú v sume </w:t>
      </w:r>
      <w:r w:rsidRPr="00F34284">
        <w:rPr>
          <w:rFonts w:ascii="Arial Narrow" w:hAnsi="Arial Narrow" w:cs="Arial Narrow"/>
          <w:b/>
          <w:sz w:val="22"/>
          <w:szCs w:val="24"/>
        </w:rPr>
        <w:t>2,37 mil. eur</w:t>
      </w:r>
      <w:r w:rsidRPr="00F34284">
        <w:rPr>
          <w:rFonts w:ascii="Arial Narrow" w:hAnsi="Arial Narrow" w:cs="Arial Narrow"/>
          <w:sz w:val="22"/>
          <w:szCs w:val="24"/>
        </w:rPr>
        <w:t xml:space="preserve">. </w:t>
      </w:r>
      <w:r w:rsidRPr="00F34284">
        <w:rPr>
          <w:rFonts w:ascii="Arial Narrow" w:hAnsi="Arial Narrow" w:cs="Arial Narrow"/>
          <w:color w:val="000000"/>
          <w:sz w:val="22"/>
          <w:szCs w:val="24"/>
        </w:rPr>
        <w:t>Hlavnou náplňou činnosti úradu je ochrana hospodárskej súťaže. Cieľom ochrany hospodárskej súťaže je chrániť a napomáhať rozvíjaniu konkurenčných podmienok. Konkurenčná politika je aj nástrojom na vytvorenie atraktívneho prostredia pre investície a pre rast pracovných miest, preto pôsobí na zabezpečenie dlhodobo udržateľného rastu a konkurencieschopnosti ekonomiky. Hospodárska súťaž je nástroj na riešenie trhových zlyhaní, ktoré vyplývajú z nedostatku konkurencie. Korekcie, ktoré vykonáva úrad vychádzajú z kompetencií, ktoré mu zveril zákonodarca</w:t>
      </w:r>
      <w:hyperlink r:id="rId8" w:history="1">
        <w:r w:rsidRPr="00F34284">
          <w:rPr>
            <w:rFonts w:ascii="Arial Narrow" w:hAnsi="Arial Narrow" w:cs="Arial Narrow"/>
            <w:sz w:val="22"/>
            <w:szCs w:val="24"/>
          </w:rPr>
          <w:t xml:space="preserve"> v zákone č. 136/2001 Z.z. o ochrane hospodárskej súťaže.</w:t>
        </w:r>
      </w:hyperlink>
      <w:r w:rsidRPr="00F34284">
        <w:rPr>
          <w:rFonts w:ascii="Arial Narrow" w:hAnsi="Arial Narrow" w:cs="Arial Narrow"/>
          <w:sz w:val="22"/>
          <w:szCs w:val="24"/>
        </w:rPr>
        <w:t xml:space="preserve"> Ide o činnosti spojené s </w:t>
      </w:r>
      <w:r w:rsidRPr="00F34284">
        <w:rPr>
          <w:rFonts w:ascii="Arial Narrow" w:hAnsi="Arial Narrow" w:cs="Arial Narrow"/>
          <w:color w:val="000000"/>
          <w:sz w:val="22"/>
          <w:szCs w:val="24"/>
        </w:rPr>
        <w:t>povoľovaním spájania podnikateľov, čím sa snaží zabrániť deformácii alebo k úplnému vylúčeniu konkurencie. Dôležitou úlohou úradu je aj predchádzať zneužívaniu dominantného postavenia alebo zabrániť dohodám obmedzujúcim súťaž.</w:t>
      </w:r>
    </w:p>
    <w:p w:rsidR="00312541" w:rsidRPr="00052718" w:rsidP="00312541">
      <w:pPr>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rPr>
          <w:rFonts w:ascii="Arial Narrow" w:hAnsi="Arial Narrow" w:cs="Arial Narrow"/>
          <w:b/>
          <w:sz w:val="22"/>
          <w:szCs w:val="24"/>
          <w:u w:val="single"/>
        </w:rPr>
      </w:pPr>
      <w:r w:rsidRPr="00FC6F05">
        <w:rPr>
          <w:rFonts w:ascii="Arial Narrow" w:hAnsi="Arial Narrow" w:cs="Arial Narrow"/>
          <w:b/>
          <w:sz w:val="22"/>
          <w:szCs w:val="24"/>
          <w:u w:val="single"/>
        </w:rPr>
        <w:t xml:space="preserve">Pôdohospodárstvo a životné prostredie   </w:t>
      </w:r>
    </w:p>
    <w:p w:rsidR="00312541" w:rsidP="00312541">
      <w:pPr>
        <w:rPr>
          <w:rFonts w:ascii="Arial Narrow" w:hAnsi="Arial Narrow" w:cs="Arial Narrow"/>
          <w:b/>
          <w:sz w:val="22"/>
          <w:szCs w:val="24"/>
          <w:u w:val="single"/>
        </w:rPr>
      </w:pPr>
      <w:bookmarkStart w:id="58" w:name="_Toc116693974"/>
      <w:bookmarkStart w:id="59" w:name="_Toc109723537"/>
      <w:bookmarkStart w:id="60" w:name="_Toc179838193"/>
    </w:p>
    <w:p w:rsidR="00312541" w:rsidRPr="002F3DFD" w:rsidP="00312541">
      <w:pPr>
        <w:jc w:val="both"/>
        <w:rPr>
          <w:rFonts w:ascii="Arial Narrow" w:hAnsi="Arial Narrow" w:cs="Arial Narrow"/>
          <w:b/>
          <w:sz w:val="22"/>
          <w:szCs w:val="24"/>
        </w:rPr>
      </w:pPr>
      <w:r w:rsidRPr="002F3DFD">
        <w:rPr>
          <w:rFonts w:ascii="Arial Narrow" w:hAnsi="Arial Narrow" w:cs="Arial Narrow"/>
          <w:b/>
          <w:sz w:val="22"/>
          <w:szCs w:val="24"/>
        </w:rPr>
        <w:t>Pôdohospodárstvo</w:t>
      </w:r>
    </w:p>
    <w:p w:rsidR="00312541" w:rsidP="00312541">
      <w:pPr>
        <w:jc w:val="both"/>
        <w:rPr>
          <w:rFonts w:ascii="Arial Narrow" w:hAnsi="Arial Narrow" w:cs="Arial Narrow"/>
          <w:sz w:val="22"/>
          <w:szCs w:val="24"/>
        </w:rPr>
      </w:pPr>
    </w:p>
    <w:p w:rsidR="00312541" w:rsidRPr="0061616E" w:rsidP="00312541">
      <w:pPr>
        <w:ind w:firstLine="708"/>
        <w:jc w:val="both"/>
        <w:rPr>
          <w:rFonts w:ascii="Arial Narrow" w:hAnsi="Arial Narrow" w:cs="Arial Narrow"/>
          <w:sz w:val="22"/>
          <w:szCs w:val="24"/>
        </w:rPr>
      </w:pPr>
      <w:r>
        <w:rPr>
          <w:rFonts w:ascii="Arial Narrow" w:hAnsi="Arial Narrow" w:cs="Arial Narrow"/>
          <w:sz w:val="22"/>
          <w:szCs w:val="24"/>
        </w:rPr>
        <w:t>Vyváženosť a trvalá udržateľnosť poľnohospodárstva, potravinárstva a lesného hospodárstva je jednou z priorít vlády SR. V</w:t>
      </w:r>
      <w:r w:rsidRPr="0061616E">
        <w:rPr>
          <w:rFonts w:ascii="Arial Narrow" w:hAnsi="Arial Narrow" w:cs="Arial Narrow"/>
          <w:sz w:val="22"/>
          <w:szCs w:val="24"/>
        </w:rPr>
        <w:t xml:space="preserve">stupom SR do EÚ v máji 2004 sa v plnej miere začala aj  na Slovensku uplatňovať spoločná poľnohospodárska politika, ktorá je jednou zo spoločných politík v rámci </w:t>
      </w:r>
      <w:r>
        <w:rPr>
          <w:rFonts w:ascii="Arial Narrow" w:hAnsi="Arial Narrow" w:cs="Arial Narrow"/>
          <w:sz w:val="22"/>
          <w:szCs w:val="24"/>
        </w:rPr>
        <w:t>EÚ.</w:t>
      </w:r>
    </w:p>
    <w:p w:rsidR="00312541" w:rsidP="00312541">
      <w:pPr>
        <w:jc w:val="both"/>
        <w:rPr>
          <w:rFonts w:ascii="Arial Narrow" w:hAnsi="Arial Narrow" w:cs="Arial Narrow"/>
          <w:sz w:val="22"/>
          <w:szCs w:val="24"/>
        </w:rPr>
      </w:pPr>
    </w:p>
    <w:tbl>
      <w:tblPr>
        <w:tblStyle w:val="TableNormal"/>
        <w:tblW w:w="9195" w:type="dxa"/>
        <w:tblInd w:w="55" w:type="dxa"/>
        <w:tblLayout w:type="fixed"/>
        <w:tblCellMar>
          <w:left w:w="70" w:type="dxa"/>
          <w:right w:w="70" w:type="dxa"/>
        </w:tblCellMar>
      </w:tblPr>
      <w:tblGrid>
        <w:gridCol w:w="4695"/>
        <w:gridCol w:w="1125"/>
        <w:gridCol w:w="1125"/>
        <w:gridCol w:w="1125"/>
        <w:gridCol w:w="1125"/>
      </w:tblGrid>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4"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Layout w:type="fixed"/>
          <w:tblCellMar>
            <w:left w:w="70" w:type="dxa"/>
            <w:right w:w="70" w:type="dxa"/>
          </w:tblCellMar>
        </w:tblPrEx>
        <w:trPr>
          <w:trHeight w:val="225"/>
        </w:trPr>
        <w:tc>
          <w:tcPr>
            <w:tcW w:w="4695" w:type="dxa"/>
            <w:tcBorders>
              <w:top w:val="nil"/>
              <w:left w:val="single" w:sz="4" w:space="0" w:color="auto"/>
              <w:bottom w:val="single" w:sz="4" w:space="0" w:color="auto"/>
              <w:right w:val="single" w:sz="4" w:space="0" w:color="auto"/>
            </w:tcBorders>
            <w:shd w:val="clear" w:color="auto" w:fill="C0C0C0"/>
            <w:noWrap/>
            <w:textDirection w:val="lrTb"/>
            <w:vAlign w:val="bottom"/>
          </w:tcPr>
          <w:p w:rsidR="00312541" w:rsidRPr="00EF219E" w:rsidP="00A70AF6">
            <w:pPr>
              <w:rPr>
                <w:rFonts w:ascii="Arial Narrow" w:hAnsi="Arial Narrow" w:cs="Arial Narrow"/>
                <w:b/>
                <w:sz w:val="20"/>
                <w:szCs w:val="24"/>
              </w:rPr>
            </w:pPr>
            <w:r w:rsidRPr="00EF219E">
              <w:rPr>
                <w:rFonts w:ascii="Arial Narrow" w:hAnsi="Arial Narrow" w:cs="Arial Narrow"/>
                <w:b/>
                <w:sz w:val="20"/>
                <w:szCs w:val="24"/>
              </w:rPr>
              <w:t>Zdroje oblasti pôdohospodárstvo celkom, v tom:</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D3F86" w:rsidP="00A70AF6">
            <w:pPr>
              <w:jc w:val="right"/>
              <w:rPr>
                <w:rFonts w:ascii="Arial Narrow" w:hAnsi="Arial Narrow" w:cs="Arial Narrow"/>
                <w:b/>
                <w:sz w:val="20"/>
                <w:szCs w:val="24"/>
                <w:lang w:eastAsia="sk-SK"/>
              </w:rPr>
            </w:pPr>
            <w:r w:rsidRPr="00DD3F86">
              <w:rPr>
                <w:rFonts w:ascii="Arial Narrow" w:hAnsi="Arial Narrow" w:cs="Arial Narrow"/>
                <w:b/>
                <w:sz w:val="20"/>
                <w:szCs w:val="24"/>
                <w:lang w:eastAsia="sk-SK"/>
              </w:rPr>
              <w:t>976 067</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D3F86"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1 158 603</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D3F86"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888 118</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D3F86"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762 691</w:t>
            </w:r>
          </w:p>
        </w:tc>
      </w:tr>
      <w:tr>
        <w:tblPrEx>
          <w:tblW w:w="9195" w:type="dxa"/>
          <w:tblInd w:w="55" w:type="dxa"/>
          <w:tblLayout w:type="fixed"/>
          <w:tblCellMar>
            <w:left w:w="70" w:type="dxa"/>
            <w:right w:w="70" w:type="dxa"/>
          </w:tblCellMar>
        </w:tblPrEx>
        <w:trPr>
          <w:trHeight w:val="225"/>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štátny rozpočet</w:t>
            </w:r>
          </w:p>
        </w:tc>
        <w:tc>
          <w:tcPr>
            <w:tcW w:w="1125" w:type="dxa"/>
            <w:tcBorders>
              <w:top w:val="nil"/>
              <w:left w:val="nil"/>
              <w:bottom w:val="single" w:sz="4" w:space="0" w:color="auto"/>
              <w:right w:val="single" w:sz="4" w:space="0" w:color="auto"/>
            </w:tcBorders>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191 467</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Pr>
                <w:rFonts w:ascii="Arial Narrow" w:hAnsi="Arial Narrow" w:cs="Arial Narrow"/>
                <w:sz w:val="20"/>
                <w:szCs w:val="24"/>
                <w:lang w:eastAsia="sk-SK"/>
              </w:rPr>
              <w:t>108 317</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Pr>
                <w:rFonts w:ascii="Arial Narrow" w:hAnsi="Arial Narrow" w:cs="Arial Narrow"/>
                <w:sz w:val="20"/>
                <w:szCs w:val="24"/>
                <w:lang w:eastAsia="sk-SK"/>
              </w:rPr>
              <w:t>110 104</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Pr>
                <w:rFonts w:ascii="Arial Narrow" w:hAnsi="Arial Narrow" w:cs="Arial Narrow"/>
                <w:sz w:val="20"/>
                <w:szCs w:val="24"/>
                <w:lang w:eastAsia="sk-SK"/>
              </w:rPr>
              <w:t>110 104</w:t>
            </w:r>
          </w:p>
        </w:tc>
      </w:tr>
      <w:tr>
        <w:tblPrEx>
          <w:tblW w:w="9195" w:type="dxa"/>
          <w:tblInd w:w="55" w:type="dxa"/>
          <w:tblLayout w:type="fixed"/>
          <w:tblCellMar>
            <w:left w:w="70" w:type="dxa"/>
            <w:right w:w="70" w:type="dxa"/>
          </w:tblCellMar>
        </w:tblPrEx>
        <w:trPr>
          <w:trHeight w:val="225"/>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 xml:space="preserve">zdroje EÚ </w:t>
            </w:r>
          </w:p>
        </w:tc>
        <w:tc>
          <w:tcPr>
            <w:tcW w:w="1125" w:type="dxa"/>
            <w:tcBorders>
              <w:top w:val="nil"/>
              <w:left w:val="nil"/>
              <w:bottom w:val="single" w:sz="4" w:space="0" w:color="auto"/>
              <w:right w:val="single" w:sz="4" w:space="0" w:color="auto"/>
            </w:tcBorders>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533 258</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Pr>
                <w:rFonts w:ascii="Arial Narrow" w:hAnsi="Arial Narrow" w:cs="Arial Narrow"/>
                <w:sz w:val="20"/>
                <w:szCs w:val="24"/>
                <w:lang w:eastAsia="sk-SK"/>
              </w:rPr>
              <w:t>765 944</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637 669</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549 547</w:t>
            </w:r>
          </w:p>
        </w:tc>
      </w:tr>
      <w:tr>
        <w:tblPrEx>
          <w:tblW w:w="9195" w:type="dxa"/>
          <w:tblInd w:w="55" w:type="dxa"/>
          <w:tblLayout w:type="fixed"/>
          <w:tblCellMar>
            <w:left w:w="70" w:type="dxa"/>
            <w:right w:w="70" w:type="dxa"/>
          </w:tblCellMar>
        </w:tblPrEx>
        <w:trPr>
          <w:trHeight w:val="225"/>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251 342</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2</w:t>
            </w:r>
            <w:r>
              <w:rPr>
                <w:rFonts w:ascii="Arial Narrow" w:hAnsi="Arial Narrow" w:cs="Arial Narrow"/>
                <w:sz w:val="20"/>
                <w:szCs w:val="24"/>
                <w:lang w:eastAsia="sk-SK"/>
              </w:rPr>
              <w:t>84 342</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140 34</w:t>
            </w:r>
            <w:r>
              <w:rPr>
                <w:rFonts w:ascii="Arial Narrow" w:hAnsi="Arial Narrow" w:cs="Arial Narrow"/>
                <w:sz w:val="20"/>
                <w:szCs w:val="24"/>
                <w:lang w:eastAsia="sk-SK"/>
              </w:rPr>
              <w:t>5</w:t>
            </w:r>
          </w:p>
        </w:tc>
        <w:tc>
          <w:tcPr>
            <w:tcW w:w="1125" w:type="dxa"/>
            <w:tcBorders>
              <w:top w:val="nil"/>
              <w:left w:val="nil"/>
              <w:bottom w:val="single" w:sz="4" w:space="0" w:color="auto"/>
              <w:right w:val="single" w:sz="4" w:space="0" w:color="auto"/>
            </w:tcBorders>
            <w:noWrap/>
            <w:textDirection w:val="lrTb"/>
            <w:vAlign w:val="bottom"/>
          </w:tcPr>
          <w:p w:rsidR="00312541" w:rsidRPr="00DD3F86" w:rsidP="00A70AF6">
            <w:pPr>
              <w:jc w:val="right"/>
              <w:rPr>
                <w:rFonts w:ascii="Arial Narrow" w:hAnsi="Arial Narrow" w:cs="Arial Narrow"/>
                <w:sz w:val="20"/>
                <w:szCs w:val="24"/>
                <w:lang w:eastAsia="sk-SK"/>
              </w:rPr>
            </w:pPr>
            <w:r w:rsidRPr="00DD3F86">
              <w:rPr>
                <w:rFonts w:ascii="Arial Narrow" w:hAnsi="Arial Narrow" w:cs="Arial Narrow"/>
                <w:sz w:val="20"/>
                <w:szCs w:val="24"/>
                <w:lang w:eastAsia="sk-SK"/>
              </w:rPr>
              <w:t>103 0</w:t>
            </w:r>
            <w:r>
              <w:rPr>
                <w:rFonts w:ascii="Arial Narrow" w:hAnsi="Arial Narrow" w:cs="Arial Narrow"/>
                <w:sz w:val="20"/>
                <w:szCs w:val="24"/>
                <w:lang w:eastAsia="sk-SK"/>
              </w:rPr>
              <w:t>40</w:t>
            </w:r>
          </w:p>
        </w:tc>
      </w:tr>
    </w:tbl>
    <w:p w:rsidR="00312541" w:rsidRPr="00DD3C26" w:rsidP="00312541">
      <w:pPr>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61616E">
        <w:rPr>
          <w:rFonts w:ascii="Arial Narrow" w:hAnsi="Arial Narrow" w:cs="Arial Narrow"/>
          <w:sz w:val="22"/>
          <w:szCs w:val="24"/>
        </w:rPr>
        <w:t>Podnikatelia v poľnohospodárstve sa riadia predpismi jednotnými pre všetkých členov EÚ a sú podporova</w:t>
      </w:r>
      <w:r>
        <w:rPr>
          <w:rFonts w:ascii="Arial Narrow" w:hAnsi="Arial Narrow" w:cs="Arial Narrow"/>
          <w:sz w:val="22"/>
          <w:szCs w:val="24"/>
        </w:rPr>
        <w:t>ní finančnými zdrojmi z európsky</w:t>
      </w:r>
      <w:r w:rsidRPr="0061616E">
        <w:rPr>
          <w:rFonts w:ascii="Arial Narrow" w:hAnsi="Arial Narrow" w:cs="Arial Narrow"/>
          <w:sz w:val="22"/>
          <w:szCs w:val="24"/>
        </w:rPr>
        <w:t xml:space="preserve">ch fondov. Okrem </w:t>
      </w:r>
      <w:r w:rsidRPr="009220F7">
        <w:rPr>
          <w:rFonts w:ascii="Arial Narrow" w:hAnsi="Arial Narrow" w:cs="Arial Narrow"/>
          <w:sz w:val="22"/>
          <w:szCs w:val="24"/>
        </w:rPr>
        <w:t xml:space="preserve">finančných zdrojov európskeho rozpočtu môže každá krajina podporovať poľnohospodárstvo podľa presne určených spoločných pravidiel aj z národného </w:t>
      </w:r>
      <w:r w:rsidRPr="00B77B8A">
        <w:rPr>
          <w:rFonts w:ascii="Arial Narrow" w:hAnsi="Arial Narrow" w:cs="Arial Narrow"/>
          <w:sz w:val="22"/>
          <w:szCs w:val="24"/>
        </w:rPr>
        <w:t xml:space="preserve">rozpočtu. </w:t>
      </w:r>
      <w:r w:rsidRPr="00B77B8A">
        <w:rPr>
          <w:rFonts w:ascii="Arial Narrow" w:hAnsi="Arial Narrow" w:cs="Arial Narrow"/>
          <w:b/>
          <w:sz w:val="22"/>
          <w:szCs w:val="24"/>
        </w:rPr>
        <w:t>Pôdohospodárstvo</w:t>
      </w:r>
      <w:r w:rsidRPr="00B77B8A">
        <w:rPr>
          <w:rFonts w:ascii="Arial Narrow" w:hAnsi="Arial Narrow" w:cs="Arial Narrow"/>
          <w:sz w:val="22"/>
          <w:szCs w:val="24"/>
        </w:rPr>
        <w:t xml:space="preserve"> bude mať v roku 2010 k dispozícii zdroje v objeme 1,16 mld. eur. V porovnaní s rokom 2006 to znamená  </w:t>
      </w:r>
      <w:r w:rsidRPr="00B77B8A">
        <w:rPr>
          <w:rFonts w:ascii="Arial Narrow" w:hAnsi="Arial Narrow" w:cs="Arial Narrow"/>
          <w:b/>
          <w:sz w:val="22"/>
          <w:szCs w:val="24"/>
        </w:rPr>
        <w:t>nárast o 63,6 %</w:t>
      </w:r>
      <w:r w:rsidRPr="00B77B8A">
        <w:rPr>
          <w:rFonts w:ascii="Arial Narrow" w:hAnsi="Arial Narrow" w:cs="Arial Narrow"/>
          <w:sz w:val="22"/>
          <w:szCs w:val="24"/>
        </w:rPr>
        <w:t xml:space="preserve"> a v porovnaní s rokom 2009 </w:t>
      </w:r>
      <w:r w:rsidRPr="00B77B8A">
        <w:rPr>
          <w:rFonts w:ascii="Arial Narrow" w:hAnsi="Arial Narrow" w:cs="Arial Narrow"/>
          <w:b/>
          <w:sz w:val="22"/>
          <w:szCs w:val="24"/>
        </w:rPr>
        <w:t>nárast o 18,7</w:t>
      </w:r>
      <w:r>
        <w:rPr>
          <w:rFonts w:ascii="Arial Narrow" w:hAnsi="Arial Narrow" w:cs="Arial Narrow"/>
          <w:b/>
          <w:sz w:val="22"/>
          <w:szCs w:val="24"/>
        </w:rPr>
        <w:t xml:space="preserve"> </w:t>
      </w:r>
      <w:r w:rsidRPr="00B77B8A">
        <w:rPr>
          <w:rFonts w:ascii="Arial Narrow" w:hAnsi="Arial Narrow" w:cs="Arial Narrow"/>
          <w:b/>
          <w:sz w:val="22"/>
          <w:szCs w:val="24"/>
        </w:rPr>
        <w:t>%</w:t>
      </w:r>
      <w:r w:rsidRPr="00B77B8A">
        <w:rPr>
          <w:rFonts w:ascii="Arial Narrow" w:hAnsi="Arial Narrow" w:cs="Arial Narrow"/>
          <w:sz w:val="22"/>
          <w:szCs w:val="24"/>
        </w:rPr>
        <w:t>.</w:t>
      </w:r>
      <w:r>
        <w:rPr>
          <w:rFonts w:ascii="Arial Narrow" w:hAnsi="Arial Narrow" w:cs="Arial Narrow"/>
          <w:sz w:val="22"/>
          <w:szCs w:val="24"/>
        </w:rPr>
        <w:t xml:space="preserve"> </w:t>
      </w:r>
    </w:p>
    <w:p w:rsidR="00312541" w:rsidRPr="00153E46" w:rsidP="00312541">
      <w:pPr>
        <w:jc w:val="both"/>
        <w:rPr>
          <w:rFonts w:ascii="Arial Narrow" w:hAnsi="Arial Narrow" w:cs="Arial Narrow"/>
          <w:sz w:val="22"/>
          <w:szCs w:val="24"/>
        </w:rPr>
      </w:pPr>
    </w:p>
    <w:p w:rsidR="00312541" w:rsidRPr="002F3DFD" w:rsidP="00312541">
      <w:pPr>
        <w:jc w:val="both"/>
        <w:rPr>
          <w:rFonts w:ascii="Arial Narrow" w:hAnsi="Arial Narrow" w:cs="Arial Narrow"/>
          <w:i/>
          <w:sz w:val="22"/>
          <w:szCs w:val="24"/>
        </w:rPr>
      </w:pPr>
      <w:r w:rsidRPr="009220F7">
        <w:rPr>
          <w:rFonts w:ascii="Arial Narrow" w:hAnsi="Arial Narrow" w:cs="Arial Narrow"/>
          <w:i/>
          <w:sz w:val="22"/>
          <w:szCs w:val="24"/>
        </w:rPr>
        <w:t>Priame platby</w:t>
      </w:r>
    </w:p>
    <w:p w:rsidR="00312541" w:rsidRPr="00DD3C26" w:rsidP="00312541">
      <w:pPr>
        <w:jc w:val="both"/>
        <w:rPr>
          <w:rFonts w:ascii="Arial Narrow" w:hAnsi="Arial Narrow" w:cs="Arial Narrow"/>
          <w:sz w:val="22"/>
          <w:szCs w:val="24"/>
        </w:rPr>
      </w:pPr>
    </w:p>
    <w:tbl>
      <w:tblPr>
        <w:tblStyle w:val="TableNormal"/>
        <w:tblW w:w="9195" w:type="dxa"/>
        <w:tblInd w:w="55" w:type="dxa"/>
        <w:tblLayout w:type="fixed"/>
        <w:tblCellMar>
          <w:left w:w="70" w:type="dxa"/>
          <w:right w:w="70" w:type="dxa"/>
        </w:tblCellMar>
      </w:tblPr>
      <w:tblGrid>
        <w:gridCol w:w="4695"/>
        <w:gridCol w:w="1125"/>
        <w:gridCol w:w="1125"/>
        <w:gridCol w:w="1125"/>
        <w:gridCol w:w="1125"/>
      </w:tblGrid>
      <w:tr>
        <w:tblPrEx>
          <w:tblW w:w="9195" w:type="dxa"/>
          <w:tblInd w:w="55" w:type="dxa"/>
          <w:tblLayout w:type="fixed"/>
          <w:tblCellMar>
            <w:left w:w="70" w:type="dxa"/>
            <w:right w:w="70" w:type="dxa"/>
          </w:tblCellMar>
        </w:tblPrEx>
        <w:trPr>
          <w:trHeight w:val="225"/>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8" w:space="0" w:color="auto"/>
              <w:bottom w:val="single" w:sz="4" w:space="0" w:color="auto"/>
              <w:right w:val="single" w:sz="4" w:space="0" w:color="auto"/>
            </w:tcBorders>
            <w:shd w:val="clear" w:color="auto" w:fill="C0C0C0"/>
            <w:noWrap/>
            <w:textDirection w:val="lrTb"/>
            <w:vAlign w:val="bottom"/>
          </w:tcPr>
          <w:p w:rsidR="00312541" w:rsidRPr="00EF219E" w:rsidP="00A70AF6">
            <w:pPr>
              <w:rPr>
                <w:rFonts w:ascii="Arial Narrow" w:hAnsi="Arial Narrow" w:cs="Arial Narrow"/>
                <w:b/>
                <w:sz w:val="20"/>
                <w:szCs w:val="24"/>
                <w:highlight w:val="lightGray"/>
              </w:rPr>
            </w:pPr>
            <w:r w:rsidRPr="00EF219E">
              <w:rPr>
                <w:rFonts w:ascii="Arial Narrow" w:hAnsi="Arial Narrow" w:cs="Arial Narrow"/>
                <w:b/>
                <w:sz w:val="20"/>
                <w:szCs w:val="24"/>
                <w:highlight w:val="lightGray"/>
              </w:rPr>
              <w:t>Priame platby celkom, v tom:</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F23C0C" w:rsidP="00A70AF6">
            <w:pPr>
              <w:jc w:val="right"/>
              <w:rPr>
                <w:rFonts w:ascii="Arial Narrow" w:hAnsi="Arial Narrow" w:cs="Arial Narrow"/>
                <w:b/>
                <w:sz w:val="20"/>
                <w:szCs w:val="24"/>
                <w:lang w:eastAsia="sk-SK"/>
              </w:rPr>
            </w:pPr>
            <w:r w:rsidRPr="00F23C0C">
              <w:rPr>
                <w:rFonts w:ascii="Arial Narrow" w:hAnsi="Arial Narrow" w:cs="Arial Narrow"/>
                <w:b/>
                <w:sz w:val="20"/>
                <w:szCs w:val="24"/>
                <w:lang w:eastAsia="sk-SK"/>
              </w:rPr>
              <w:t>394 502</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F23C0C" w:rsidP="00A70AF6">
            <w:pPr>
              <w:jc w:val="right"/>
              <w:rPr>
                <w:rFonts w:ascii="Arial Narrow" w:hAnsi="Arial Narrow" w:cs="Arial Narrow"/>
                <w:b/>
                <w:sz w:val="20"/>
                <w:szCs w:val="24"/>
                <w:lang w:eastAsia="sk-SK"/>
              </w:rPr>
            </w:pPr>
            <w:r w:rsidRPr="008D0767">
              <w:rPr>
                <w:rFonts w:ascii="Arial Narrow" w:hAnsi="Arial Narrow" w:cs="Arial Narrow"/>
                <w:b/>
                <w:sz w:val="20"/>
                <w:szCs w:val="24"/>
                <w:lang w:eastAsia="sk-SK"/>
              </w:rPr>
              <w:t>360 398</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F23C0C" w:rsidP="00A70AF6">
            <w:pPr>
              <w:jc w:val="right"/>
              <w:rPr>
                <w:rFonts w:ascii="Arial Narrow" w:hAnsi="Arial Narrow" w:cs="Arial Narrow"/>
                <w:b/>
                <w:sz w:val="20"/>
                <w:szCs w:val="24"/>
                <w:lang w:eastAsia="sk-SK"/>
              </w:rPr>
            </w:pPr>
            <w:r w:rsidRPr="00F23C0C">
              <w:rPr>
                <w:rFonts w:ascii="Arial Narrow" w:hAnsi="Arial Narrow" w:cs="Arial Narrow"/>
                <w:b/>
                <w:sz w:val="20"/>
                <w:szCs w:val="24"/>
                <w:lang w:eastAsia="sk-SK"/>
              </w:rPr>
              <w:t>318 448</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F23C0C" w:rsidP="00A70AF6">
            <w:pPr>
              <w:jc w:val="right"/>
              <w:rPr>
                <w:rFonts w:ascii="Arial Narrow" w:hAnsi="Arial Narrow" w:cs="Arial Narrow"/>
                <w:b/>
                <w:sz w:val="20"/>
                <w:szCs w:val="24"/>
                <w:lang w:eastAsia="sk-SK"/>
              </w:rPr>
            </w:pPr>
            <w:r w:rsidRPr="00F23C0C">
              <w:rPr>
                <w:rFonts w:ascii="Arial Narrow" w:hAnsi="Arial Narrow" w:cs="Arial Narrow"/>
                <w:b/>
                <w:sz w:val="20"/>
                <w:szCs w:val="24"/>
                <w:lang w:eastAsia="sk-SK"/>
              </w:rPr>
              <w:t>357 020</w:t>
            </w:r>
          </w:p>
        </w:tc>
      </w:tr>
      <w:tr>
        <w:tblPrEx>
          <w:tblW w:w="9195" w:type="dxa"/>
          <w:tblInd w:w="55" w:type="dxa"/>
          <w:tblLayout w:type="fixed"/>
          <w:tblCellMar>
            <w:left w:w="70" w:type="dxa"/>
            <w:right w:w="70" w:type="dxa"/>
          </w:tblCellMar>
        </w:tblPrEx>
        <w:trPr>
          <w:trHeight w:val="225"/>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prostriedky EÚ</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224 974</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241 128</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281 664</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318 448</w:t>
            </w:r>
          </w:p>
        </w:tc>
      </w:tr>
      <w:tr>
        <w:tblPrEx>
          <w:tblW w:w="9195" w:type="dxa"/>
          <w:tblInd w:w="55" w:type="dxa"/>
          <w:tblLayout w:type="fixed"/>
          <w:tblCellMar>
            <w:left w:w="70" w:type="dxa"/>
            <w:right w:w="70" w:type="dxa"/>
          </w:tblCellMar>
        </w:tblPrEx>
        <w:trPr>
          <w:trHeight w:val="225"/>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41 913</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40 536</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36 784</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38 572</w:t>
            </w:r>
          </w:p>
        </w:tc>
      </w:tr>
      <w:tr>
        <w:tblPrEx>
          <w:tblW w:w="9195" w:type="dxa"/>
          <w:tblInd w:w="55" w:type="dxa"/>
          <w:tblLayout w:type="fixed"/>
          <w:tblCellMar>
            <w:left w:w="70" w:type="dxa"/>
            <w:right w:w="70" w:type="dxa"/>
          </w:tblCellMar>
        </w:tblPrEx>
        <w:trPr>
          <w:trHeight w:val="225"/>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národná vyrovnávacia platba (ŠR)</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127 615</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8D0767">
              <w:rPr>
                <w:rFonts w:ascii="Arial Narrow" w:hAnsi="Arial Narrow" w:cs="Arial Narrow"/>
                <w:sz w:val="20"/>
                <w:szCs w:val="24"/>
                <w:lang w:eastAsia="sk-SK"/>
              </w:rPr>
              <w:t>78 734</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0</w:t>
            </w:r>
          </w:p>
        </w:tc>
        <w:tc>
          <w:tcPr>
            <w:tcW w:w="1125" w:type="dxa"/>
            <w:tcBorders>
              <w:top w:val="nil"/>
              <w:left w:val="nil"/>
              <w:bottom w:val="single" w:sz="4" w:space="0" w:color="auto"/>
              <w:right w:val="single" w:sz="4" w:space="0" w:color="auto"/>
            </w:tcBorders>
            <w:textDirection w:val="lrTb"/>
            <w:vAlign w:val="bottom"/>
          </w:tcPr>
          <w:p w:rsidR="00312541" w:rsidRPr="00F23C0C" w:rsidP="00A70AF6">
            <w:pPr>
              <w:jc w:val="right"/>
              <w:rPr>
                <w:rFonts w:ascii="Arial Narrow" w:hAnsi="Arial Narrow" w:cs="Arial Narrow"/>
                <w:sz w:val="20"/>
                <w:szCs w:val="24"/>
                <w:lang w:eastAsia="sk-SK"/>
              </w:rPr>
            </w:pPr>
            <w:r w:rsidRPr="00F23C0C">
              <w:rPr>
                <w:rFonts w:ascii="Arial Narrow" w:hAnsi="Arial Narrow" w:cs="Arial Narrow"/>
                <w:sz w:val="20"/>
                <w:szCs w:val="24"/>
                <w:lang w:eastAsia="sk-SK"/>
              </w:rPr>
              <w:t>0</w:t>
            </w:r>
          </w:p>
        </w:tc>
      </w:tr>
    </w:tbl>
    <w:p w:rsidR="00312541" w:rsidRPr="0083082A" w:rsidP="00312541">
      <w:pPr>
        <w:jc w:val="both"/>
        <w:rPr>
          <w:rFonts w:ascii="Arial Narrow" w:hAnsi="Arial Narrow" w:cs="Arial Narrow"/>
          <w:sz w:val="16"/>
          <w:szCs w:val="24"/>
        </w:rPr>
      </w:pPr>
      <w:r w:rsidRPr="0083082A">
        <w:rPr>
          <w:rFonts w:ascii="Arial Narrow" w:hAnsi="Arial Narrow" w:cs="Arial Narrow"/>
          <w:sz w:val="16"/>
          <w:szCs w:val="24"/>
        </w:rPr>
        <w:t>* spolufinancovanie predstavuje medziročný nárast pohľadávky voči EÚ</w:t>
      </w:r>
    </w:p>
    <w:p w:rsidR="00312541" w:rsidP="00312541">
      <w:pPr>
        <w:jc w:val="both"/>
        <w:rPr>
          <w:rFonts w:ascii="Arial Narrow" w:hAnsi="Arial Narrow" w:cs="Arial Narrow"/>
          <w:sz w:val="22"/>
          <w:szCs w:val="24"/>
        </w:rPr>
      </w:pPr>
    </w:p>
    <w:p w:rsidR="00312541" w:rsidRPr="0097777D" w:rsidP="00312541">
      <w:pPr>
        <w:ind w:firstLine="708"/>
        <w:jc w:val="both"/>
        <w:rPr>
          <w:rFonts w:ascii="Arial Narrow" w:hAnsi="Arial Narrow" w:cs="Arial Narrow"/>
          <w:sz w:val="22"/>
          <w:szCs w:val="24"/>
        </w:rPr>
      </w:pPr>
      <w:r>
        <w:rPr>
          <w:rFonts w:ascii="Arial Narrow" w:hAnsi="Arial Narrow" w:cs="Arial Narrow"/>
          <w:sz w:val="22"/>
          <w:szCs w:val="24"/>
        </w:rPr>
        <w:t xml:space="preserve">Priame platby predstavujú dotácie na zachovanie poľnohospodárskej produkcie podľa vopred stanovených výrobných kvót. Stabilizujú príjmy farmárov, zlepšujú konkurenčnú pozíciu farmárov, zabraňujú negatívnemu </w:t>
      </w:r>
      <w:r w:rsidRPr="009220F7">
        <w:rPr>
          <w:rFonts w:ascii="Arial Narrow" w:hAnsi="Arial Narrow" w:cs="Arial Narrow"/>
          <w:sz w:val="22"/>
          <w:szCs w:val="24"/>
        </w:rPr>
        <w:t xml:space="preserve">vplyvu cezhraničnej dotačnej konkurencii z okolitých krajín, rozvíjajú odvetvia tvoriace pridanú hodnotu na území SR a revitalizujú živočíšnu výrobu. Okrem iného zmenšujú rozdiely v konkurencieschopnosti vidieckych regiónov, zvyšujú kvalitu života na vidieku cez zamestnanosť, vzdelávanie, poradenské aktivity a podporujú diverzifikáciu ekonomických aktivít prostredníctvom opatrení zameraných na poľnohospodársky sektor, ale aj na ďalšie vidiecke otázky (napr. na kvalitatívne novú orientáciu produkcie, obnovu dedín a pod.). </w:t>
      </w:r>
      <w:r>
        <w:rPr>
          <w:rFonts w:ascii="Arial Narrow" w:hAnsi="Arial Narrow" w:cs="Arial Narrow"/>
          <w:sz w:val="22"/>
          <w:szCs w:val="24"/>
        </w:rPr>
        <w:t>V roku 2010 predstavujú úroveň 9</w:t>
      </w:r>
      <w:r w:rsidRPr="00E06216">
        <w:rPr>
          <w:rFonts w:ascii="Arial Narrow" w:hAnsi="Arial Narrow" w:cs="Arial Narrow"/>
          <w:sz w:val="22"/>
          <w:szCs w:val="24"/>
        </w:rPr>
        <w:t>0</w:t>
      </w:r>
      <w:r>
        <w:rPr>
          <w:rFonts w:ascii="Arial Narrow" w:hAnsi="Arial Narrow" w:cs="Arial Narrow"/>
          <w:sz w:val="22"/>
          <w:szCs w:val="24"/>
        </w:rPr>
        <w:t>,0</w:t>
      </w:r>
      <w:r w:rsidRPr="00E06216">
        <w:rPr>
          <w:rFonts w:ascii="Arial Narrow" w:hAnsi="Arial Narrow" w:cs="Arial Narrow"/>
          <w:sz w:val="22"/>
          <w:szCs w:val="24"/>
        </w:rPr>
        <w:t xml:space="preserve"> % priemeru krajín EÚ 15. </w:t>
      </w:r>
    </w:p>
    <w:p w:rsidR="00312541" w:rsidRPr="005D702C" w:rsidP="00312541">
      <w:pPr>
        <w:jc w:val="both"/>
        <w:rPr>
          <w:rFonts w:ascii="Arial Narrow" w:hAnsi="Arial Narrow" w:cs="Arial Narrow"/>
          <w:sz w:val="22"/>
          <w:szCs w:val="24"/>
        </w:rPr>
      </w:pPr>
    </w:p>
    <w:p w:rsidR="00312541" w:rsidRPr="002F3DFD" w:rsidP="00312541">
      <w:pPr>
        <w:jc w:val="both"/>
        <w:rPr>
          <w:rFonts w:ascii="Arial Narrow" w:hAnsi="Arial Narrow" w:cs="Arial Narrow"/>
          <w:i/>
          <w:sz w:val="22"/>
          <w:szCs w:val="24"/>
        </w:rPr>
      </w:pPr>
      <w:r w:rsidRPr="002F3DFD">
        <w:rPr>
          <w:rFonts w:ascii="Arial Narrow" w:hAnsi="Arial Narrow" w:cs="Arial Narrow"/>
          <w:i/>
          <w:sz w:val="22"/>
          <w:szCs w:val="24"/>
        </w:rPr>
        <w:t>Rozvoj vidieka</w:t>
      </w:r>
    </w:p>
    <w:p w:rsidR="00312541" w:rsidRPr="00DD3C26" w:rsidP="00312541">
      <w:pPr>
        <w:jc w:val="both"/>
        <w:rPr>
          <w:rFonts w:ascii="Arial Narrow" w:hAnsi="Arial Narrow" w:cs="Arial Narrow"/>
          <w:sz w:val="22"/>
          <w:szCs w:val="24"/>
        </w:rPr>
      </w:pPr>
    </w:p>
    <w:tbl>
      <w:tblPr>
        <w:tblStyle w:val="TableNormal"/>
        <w:tblW w:w="9195" w:type="dxa"/>
        <w:tblInd w:w="55" w:type="dxa"/>
        <w:tblLayout w:type="fixed"/>
        <w:tblCellMar>
          <w:left w:w="70" w:type="dxa"/>
          <w:right w:w="70" w:type="dxa"/>
        </w:tblCellMar>
      </w:tblPr>
      <w:tblGrid>
        <w:gridCol w:w="4695"/>
        <w:gridCol w:w="1125"/>
        <w:gridCol w:w="1125"/>
        <w:gridCol w:w="1125"/>
        <w:gridCol w:w="1125"/>
      </w:tblGrid>
      <w:tr>
        <w:tblPrEx>
          <w:tblW w:w="9195" w:type="dxa"/>
          <w:tblInd w:w="55" w:type="dxa"/>
          <w:tblLayout w:type="fixed"/>
          <w:tblCellMar>
            <w:left w:w="70" w:type="dxa"/>
            <w:right w:w="70" w:type="dxa"/>
          </w:tblCellMar>
        </w:tblPrEx>
        <w:trPr>
          <w:trHeight w:val="210"/>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8" w:space="0" w:color="auto"/>
              <w:bottom w:val="single" w:sz="4" w:space="0" w:color="auto"/>
              <w:right w:val="single" w:sz="4" w:space="0" w:color="auto"/>
            </w:tcBorders>
            <w:shd w:val="clear" w:color="auto" w:fill="C0C0C0"/>
            <w:noWrap/>
            <w:textDirection w:val="lrTb"/>
            <w:vAlign w:val="bottom"/>
          </w:tcPr>
          <w:p w:rsidR="00312541" w:rsidRPr="00EF219E" w:rsidP="00A70AF6">
            <w:pPr>
              <w:rPr>
                <w:rFonts w:ascii="Arial Narrow" w:hAnsi="Arial Narrow" w:cs="Arial Narrow"/>
                <w:b/>
                <w:sz w:val="20"/>
                <w:szCs w:val="24"/>
              </w:rPr>
            </w:pPr>
            <w:r w:rsidRPr="00EF219E">
              <w:rPr>
                <w:rFonts w:ascii="Arial Narrow" w:hAnsi="Arial Narrow" w:cs="Arial Narrow"/>
                <w:b/>
                <w:sz w:val="20"/>
                <w:szCs w:val="24"/>
              </w:rPr>
              <w:t>Rozvoj vidieka celkom, v tom:</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03625D" w:rsidP="00A70AF6">
            <w:pPr>
              <w:jc w:val="right"/>
              <w:rPr>
                <w:rFonts w:ascii="Arial Narrow" w:hAnsi="Arial Narrow" w:cs="Arial Narrow"/>
                <w:b/>
                <w:sz w:val="20"/>
                <w:szCs w:val="24"/>
                <w:lang w:eastAsia="sk-SK"/>
              </w:rPr>
            </w:pPr>
            <w:r w:rsidRPr="0003625D">
              <w:rPr>
                <w:rFonts w:ascii="Arial Narrow" w:hAnsi="Arial Narrow" w:cs="Arial Narrow"/>
                <w:b/>
                <w:sz w:val="20"/>
                <w:szCs w:val="24"/>
                <w:lang w:eastAsia="sk-SK"/>
              </w:rPr>
              <w:t>352 615</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03625D" w:rsidP="00A70AF6">
            <w:pPr>
              <w:jc w:val="right"/>
              <w:rPr>
                <w:rFonts w:ascii="Arial Narrow" w:hAnsi="Arial Narrow" w:cs="Arial Narrow"/>
                <w:b/>
                <w:sz w:val="20"/>
                <w:szCs w:val="24"/>
                <w:lang w:eastAsia="sk-SK"/>
              </w:rPr>
            </w:pPr>
            <w:r w:rsidRPr="0003625D">
              <w:rPr>
                <w:rFonts w:ascii="Arial Narrow" w:hAnsi="Arial Narrow" w:cs="Arial Narrow"/>
                <w:b/>
                <w:sz w:val="20"/>
                <w:szCs w:val="24"/>
                <w:lang w:eastAsia="sk-SK"/>
              </w:rPr>
              <w:t>651 15</w:t>
            </w:r>
            <w:r>
              <w:rPr>
                <w:rFonts w:ascii="Arial Narrow" w:hAnsi="Arial Narrow" w:cs="Arial Narrow"/>
                <w:b/>
                <w:sz w:val="20"/>
                <w:szCs w:val="24"/>
                <w:lang w:eastAsia="sk-SK"/>
              </w:rPr>
              <w:t>4</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03625D" w:rsidP="00A70AF6">
            <w:pPr>
              <w:jc w:val="right"/>
              <w:rPr>
                <w:rFonts w:ascii="Arial Narrow" w:hAnsi="Arial Narrow" w:cs="Arial Narrow"/>
                <w:b/>
                <w:sz w:val="20"/>
                <w:szCs w:val="24"/>
                <w:lang w:eastAsia="sk-SK"/>
              </w:rPr>
            </w:pPr>
            <w:r w:rsidRPr="0003625D">
              <w:rPr>
                <w:rFonts w:ascii="Arial Narrow" w:hAnsi="Arial Narrow" w:cs="Arial Narrow"/>
                <w:b/>
                <w:sz w:val="20"/>
                <w:szCs w:val="24"/>
                <w:lang w:eastAsia="sk-SK"/>
              </w:rPr>
              <w:t>425 200</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03625D" w:rsidP="00A70AF6">
            <w:pPr>
              <w:jc w:val="right"/>
              <w:rPr>
                <w:rFonts w:ascii="Arial Narrow" w:hAnsi="Arial Narrow" w:cs="Arial Narrow"/>
                <w:b/>
                <w:sz w:val="20"/>
                <w:szCs w:val="24"/>
                <w:lang w:eastAsia="sk-SK"/>
              </w:rPr>
            </w:pPr>
            <w:r w:rsidRPr="0003625D">
              <w:rPr>
                <w:rFonts w:ascii="Arial Narrow" w:hAnsi="Arial Narrow" w:cs="Arial Narrow"/>
                <w:b/>
                <w:sz w:val="20"/>
                <w:szCs w:val="24"/>
                <w:lang w:eastAsia="sk-SK"/>
              </w:rPr>
              <w:t>265 75</w:t>
            </w:r>
            <w:r>
              <w:rPr>
                <w:rFonts w:ascii="Arial Narrow" w:hAnsi="Arial Narrow" w:cs="Arial Narrow"/>
                <w:b/>
                <w:sz w:val="20"/>
                <w:szCs w:val="24"/>
                <w:lang w:eastAsia="sk-SK"/>
              </w:rPr>
              <w:t>1</w:t>
            </w:r>
          </w:p>
        </w:tc>
      </w:tr>
      <w:tr>
        <w:tblPrEx>
          <w:tblW w:w="9195" w:type="dxa"/>
          <w:tblInd w:w="55" w:type="dxa"/>
          <w:tblLayout w:type="fixed"/>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prostriedky EÚ</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272 558</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489 709</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325 404</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204 628</w:t>
            </w:r>
          </w:p>
        </w:tc>
      </w:tr>
      <w:tr>
        <w:tblPrEx>
          <w:tblW w:w="9195" w:type="dxa"/>
          <w:tblInd w:w="55" w:type="dxa"/>
          <w:tblLayout w:type="fixed"/>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80 057</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Pr>
                <w:rFonts w:ascii="Arial Narrow" w:hAnsi="Arial Narrow" w:cs="Arial Narrow"/>
                <w:sz w:val="20"/>
                <w:szCs w:val="24"/>
                <w:lang w:eastAsia="sk-SK"/>
              </w:rPr>
              <w:t>161 445</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99 796</w:t>
            </w:r>
          </w:p>
        </w:tc>
        <w:tc>
          <w:tcPr>
            <w:tcW w:w="1125" w:type="dxa"/>
            <w:tcBorders>
              <w:top w:val="nil"/>
              <w:left w:val="nil"/>
              <w:bottom w:val="single" w:sz="4" w:space="0" w:color="auto"/>
              <w:right w:val="single" w:sz="4" w:space="0" w:color="auto"/>
            </w:tcBorders>
            <w:textDirection w:val="lrTb"/>
            <w:vAlign w:val="bottom"/>
          </w:tcPr>
          <w:p w:rsidR="00312541" w:rsidRPr="0003625D" w:rsidP="00A70AF6">
            <w:pPr>
              <w:jc w:val="right"/>
              <w:rPr>
                <w:rFonts w:ascii="Arial Narrow" w:hAnsi="Arial Narrow" w:cs="Arial Narrow"/>
                <w:sz w:val="20"/>
                <w:szCs w:val="24"/>
                <w:lang w:eastAsia="sk-SK"/>
              </w:rPr>
            </w:pPr>
            <w:r w:rsidRPr="0003625D">
              <w:rPr>
                <w:rFonts w:ascii="Arial Narrow" w:hAnsi="Arial Narrow" w:cs="Arial Narrow"/>
                <w:sz w:val="20"/>
                <w:szCs w:val="24"/>
                <w:lang w:eastAsia="sk-SK"/>
              </w:rPr>
              <w:t>61 12</w:t>
            </w:r>
            <w:r>
              <w:rPr>
                <w:rFonts w:ascii="Arial Narrow" w:hAnsi="Arial Narrow" w:cs="Arial Narrow"/>
                <w:sz w:val="20"/>
                <w:szCs w:val="24"/>
                <w:lang w:eastAsia="sk-SK"/>
              </w:rPr>
              <w:t>3</w:t>
            </w:r>
          </w:p>
        </w:tc>
      </w:tr>
    </w:tbl>
    <w:p w:rsidR="00312541" w:rsidP="00312541">
      <w:pPr>
        <w:jc w:val="both"/>
        <w:rPr>
          <w:rFonts w:ascii="Arial Narrow" w:hAnsi="Arial Narrow" w:cs="Arial Narrow"/>
          <w:b/>
          <w:sz w:val="22"/>
          <w:szCs w:val="24"/>
        </w:rPr>
      </w:pPr>
    </w:p>
    <w:p w:rsidR="00312541" w:rsidP="00312541">
      <w:pPr>
        <w:ind w:firstLine="708"/>
        <w:jc w:val="both"/>
        <w:rPr>
          <w:rFonts w:ascii="Arial Narrow" w:hAnsi="Arial Narrow" w:cs="Arial Narrow"/>
          <w:sz w:val="22"/>
          <w:szCs w:val="24"/>
        </w:rPr>
      </w:pPr>
      <w:r w:rsidRPr="00D743BE">
        <w:rPr>
          <w:rFonts w:ascii="Arial Narrow" w:hAnsi="Arial Narrow" w:cs="Arial Narrow"/>
          <w:sz w:val="22"/>
          <w:szCs w:val="24"/>
        </w:rPr>
        <w:t xml:space="preserve">V novom programovom období 2007 </w:t>
      </w:r>
      <w:r>
        <w:rPr>
          <w:rFonts w:ascii="Arial Narrow" w:hAnsi="Arial Narrow" w:cs="Arial Narrow"/>
          <w:sz w:val="22"/>
          <w:szCs w:val="24"/>
        </w:rPr>
        <w:t>až</w:t>
      </w:r>
      <w:r w:rsidRPr="00D743BE">
        <w:rPr>
          <w:rFonts w:ascii="Arial Narrow" w:hAnsi="Arial Narrow" w:cs="Arial Narrow"/>
          <w:sz w:val="22"/>
          <w:szCs w:val="24"/>
        </w:rPr>
        <w:t xml:space="preserve"> 2013 sa rozvoj vidieka podporuje z Európskeho poľnohospodárskeho fondu pre rozvoj vidieka, čím sa zabezpečuje vyššia konkurencieschopnosť poľnohospodárstva, potravinárstva a lesného hospodárstva, lepší stav životného prostredia a krajiny, kvalitnejší </w:t>
      </w:r>
      <w:r w:rsidRPr="00D97078">
        <w:rPr>
          <w:rFonts w:ascii="Arial Narrow" w:hAnsi="Arial Narrow" w:cs="Arial Narrow"/>
          <w:sz w:val="22"/>
          <w:szCs w:val="24"/>
        </w:rPr>
        <w:t xml:space="preserve">život vo vidieckych oblastiach a diverzifikácia vidieckeho hospodárstva. </w:t>
      </w:r>
      <w:r w:rsidRPr="00B77B8A">
        <w:rPr>
          <w:rFonts w:ascii="Arial Narrow" w:hAnsi="Arial Narrow" w:cs="Arial Narrow"/>
          <w:b/>
          <w:sz w:val="22"/>
          <w:szCs w:val="24"/>
        </w:rPr>
        <w:t>Výdavky na rozvoj vidieka</w:t>
      </w:r>
      <w:r>
        <w:rPr>
          <w:rFonts w:ascii="Arial Narrow" w:hAnsi="Arial Narrow" w:cs="Arial Narrow"/>
          <w:sz w:val="22"/>
          <w:szCs w:val="24"/>
        </w:rPr>
        <w:t xml:space="preserve"> sú oproti roku 2006 </w:t>
      </w:r>
      <w:r w:rsidRPr="00B77B8A">
        <w:rPr>
          <w:rFonts w:ascii="Arial Narrow" w:hAnsi="Arial Narrow" w:cs="Arial Narrow"/>
          <w:b/>
          <w:sz w:val="22"/>
          <w:szCs w:val="24"/>
        </w:rPr>
        <w:t>vyššie o</w:t>
      </w:r>
      <w:r>
        <w:rPr>
          <w:rFonts w:ascii="Arial Narrow" w:hAnsi="Arial Narrow" w:cs="Arial Narrow"/>
          <w:b/>
          <w:sz w:val="22"/>
          <w:szCs w:val="24"/>
        </w:rPr>
        <w:t> </w:t>
      </w:r>
      <w:r w:rsidRPr="00B77B8A">
        <w:rPr>
          <w:rFonts w:ascii="Arial Narrow" w:hAnsi="Arial Narrow" w:cs="Arial Narrow"/>
          <w:b/>
          <w:sz w:val="22"/>
          <w:szCs w:val="24"/>
        </w:rPr>
        <w:t>121</w:t>
      </w:r>
      <w:r>
        <w:rPr>
          <w:rFonts w:ascii="Arial Narrow" w:hAnsi="Arial Narrow" w:cs="Arial Narrow"/>
          <w:b/>
          <w:sz w:val="22"/>
          <w:szCs w:val="24"/>
        </w:rPr>
        <w:t xml:space="preserve"> </w:t>
      </w:r>
      <w:r w:rsidRPr="00B77B8A">
        <w:rPr>
          <w:rFonts w:ascii="Arial Narrow" w:hAnsi="Arial Narrow" w:cs="Arial Narrow"/>
          <w:b/>
          <w:sz w:val="22"/>
          <w:szCs w:val="24"/>
        </w:rPr>
        <w:t>%</w:t>
      </w:r>
      <w:r w:rsidRPr="00D97078">
        <w:rPr>
          <w:rFonts w:ascii="Arial Narrow" w:hAnsi="Arial Narrow" w:cs="Arial Narrow"/>
          <w:sz w:val="22"/>
          <w:szCs w:val="24"/>
        </w:rPr>
        <w:t xml:space="preserve"> a oproti roku 2009 </w:t>
      </w:r>
      <w:r w:rsidRPr="00B77B8A">
        <w:rPr>
          <w:rFonts w:ascii="Arial Narrow" w:hAnsi="Arial Narrow" w:cs="Arial Narrow"/>
          <w:b/>
          <w:sz w:val="22"/>
          <w:szCs w:val="24"/>
        </w:rPr>
        <w:t>vyššie o 84,7</w:t>
      </w:r>
      <w:r>
        <w:rPr>
          <w:rFonts w:ascii="Arial Narrow" w:hAnsi="Arial Narrow" w:cs="Arial Narrow"/>
          <w:b/>
          <w:sz w:val="22"/>
          <w:szCs w:val="24"/>
        </w:rPr>
        <w:t xml:space="preserve"> </w:t>
      </w:r>
      <w:r w:rsidRPr="00B77B8A">
        <w:rPr>
          <w:rFonts w:ascii="Arial Narrow" w:hAnsi="Arial Narrow" w:cs="Arial Narrow"/>
          <w:b/>
          <w:sz w:val="22"/>
          <w:szCs w:val="24"/>
        </w:rPr>
        <w:t>%</w:t>
      </w:r>
      <w:r w:rsidRPr="00D97078">
        <w:rPr>
          <w:rFonts w:ascii="Arial Narrow" w:hAnsi="Arial Narrow" w:cs="Arial Narrow"/>
          <w:sz w:val="22"/>
          <w:szCs w:val="24"/>
        </w:rPr>
        <w:t>. Výška týchto výdavkov je v plnej miere ovplyvňovaná alokáciou výdavkov EÚ a spolufinancovania v rámci 2. programového obdobia na roky 2007 až 2013.</w:t>
      </w:r>
    </w:p>
    <w:p w:rsidR="00312541" w:rsidP="00312541">
      <w:pPr>
        <w:jc w:val="both"/>
        <w:rPr>
          <w:rFonts w:ascii="Arial Narrow" w:hAnsi="Arial Narrow" w:cs="Arial Narrow"/>
          <w:i/>
          <w:sz w:val="22"/>
          <w:szCs w:val="24"/>
        </w:rPr>
      </w:pPr>
    </w:p>
    <w:p w:rsidR="00312541" w:rsidRPr="002F3DFD" w:rsidP="00312541">
      <w:pPr>
        <w:jc w:val="both"/>
        <w:rPr>
          <w:rFonts w:ascii="Arial Narrow" w:hAnsi="Arial Narrow" w:cs="Arial Narrow"/>
          <w:i/>
          <w:sz w:val="22"/>
          <w:szCs w:val="24"/>
        </w:rPr>
      </w:pPr>
      <w:r w:rsidRPr="002F3DFD">
        <w:rPr>
          <w:rFonts w:ascii="Arial Narrow" w:hAnsi="Arial Narrow" w:cs="Arial Narrow"/>
          <w:i/>
          <w:sz w:val="22"/>
          <w:szCs w:val="24"/>
        </w:rPr>
        <w:t>Rybné hospodárstvo</w:t>
      </w:r>
    </w:p>
    <w:p w:rsidR="00312541" w:rsidRPr="00DD3C26" w:rsidP="00312541">
      <w:pPr>
        <w:jc w:val="both"/>
        <w:rPr>
          <w:rFonts w:ascii="Arial Narrow" w:hAnsi="Arial Narrow" w:cs="Arial Narrow"/>
          <w:sz w:val="22"/>
          <w:szCs w:val="24"/>
        </w:rPr>
      </w:pPr>
    </w:p>
    <w:tbl>
      <w:tblPr>
        <w:tblStyle w:val="TableNormal"/>
        <w:tblW w:w="9195" w:type="dxa"/>
        <w:tblInd w:w="55" w:type="dxa"/>
        <w:tblCellMar>
          <w:left w:w="70" w:type="dxa"/>
          <w:right w:w="70" w:type="dxa"/>
        </w:tblCellMar>
      </w:tblPr>
      <w:tblGrid>
        <w:gridCol w:w="4695"/>
        <w:gridCol w:w="1125"/>
        <w:gridCol w:w="1125"/>
        <w:gridCol w:w="1125"/>
        <w:gridCol w:w="1125"/>
      </w:tblGrid>
      <w:tr>
        <w:tblPrEx>
          <w:tblW w:w="9195" w:type="dxa"/>
          <w:tblInd w:w="55" w:type="dxa"/>
          <w:tblCellMar>
            <w:left w:w="70" w:type="dxa"/>
            <w:right w:w="70" w:type="dxa"/>
          </w:tblCellMar>
        </w:tblPrEx>
        <w:trPr>
          <w:trHeight w:val="210"/>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CellMar>
            <w:left w:w="70" w:type="dxa"/>
            <w:right w:w="70" w:type="dxa"/>
          </w:tblCellMar>
        </w:tblPrEx>
        <w:trPr>
          <w:trHeight w:val="210"/>
        </w:trPr>
        <w:tc>
          <w:tcPr>
            <w:tcW w:w="4695" w:type="dxa"/>
            <w:tcBorders>
              <w:top w:val="single" w:sz="4" w:space="0" w:color="auto"/>
              <w:left w:val="single" w:sz="8" w:space="0" w:color="auto"/>
              <w:bottom w:val="single" w:sz="4" w:space="0" w:color="auto"/>
              <w:right w:val="single" w:sz="4" w:space="0" w:color="auto"/>
            </w:tcBorders>
            <w:shd w:val="clear" w:color="auto" w:fill="C0C0C0"/>
            <w:noWrap/>
            <w:textDirection w:val="lrTb"/>
            <w:vAlign w:val="bottom"/>
          </w:tcPr>
          <w:p w:rsidR="00312541" w:rsidRPr="00EF219E" w:rsidP="00A70AF6">
            <w:pPr>
              <w:rPr>
                <w:rFonts w:ascii="Arial Narrow" w:hAnsi="Arial Narrow" w:cs="Arial Narrow"/>
                <w:b/>
                <w:sz w:val="20"/>
                <w:szCs w:val="24"/>
              </w:rPr>
            </w:pPr>
            <w:r w:rsidRPr="00EF219E">
              <w:rPr>
                <w:rFonts w:ascii="Arial Narrow" w:hAnsi="Arial Narrow" w:cs="Arial Narrow"/>
                <w:b/>
                <w:sz w:val="20"/>
                <w:szCs w:val="24"/>
              </w:rPr>
              <w:t>Rybné hospodárstvo celkom, v tom:</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2D340C" w:rsidP="00A70AF6">
            <w:pPr>
              <w:jc w:val="right"/>
              <w:rPr>
                <w:rFonts w:ascii="Arial Narrow" w:hAnsi="Arial Narrow" w:cs="Arial Narrow"/>
                <w:b/>
                <w:sz w:val="20"/>
                <w:szCs w:val="24"/>
                <w:lang w:eastAsia="sk-SK"/>
              </w:rPr>
            </w:pPr>
            <w:r w:rsidRPr="002D340C">
              <w:rPr>
                <w:rFonts w:ascii="Arial Narrow" w:hAnsi="Arial Narrow" w:cs="Arial Narrow"/>
                <w:b/>
                <w:sz w:val="20"/>
                <w:szCs w:val="24"/>
                <w:lang w:eastAsia="sk-SK"/>
              </w:rPr>
              <w:t>2 525</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2D340C"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3 187</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2D340C"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3 597</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2D340C" w:rsidP="00A70AF6">
            <w:pPr>
              <w:jc w:val="right"/>
              <w:rPr>
                <w:rFonts w:ascii="Arial Narrow" w:hAnsi="Arial Narrow" w:cs="Arial Narrow"/>
                <w:b/>
                <w:sz w:val="20"/>
                <w:szCs w:val="24"/>
                <w:lang w:eastAsia="sk-SK"/>
              </w:rPr>
            </w:pPr>
            <w:r w:rsidRPr="002D340C">
              <w:rPr>
                <w:rFonts w:ascii="Arial Narrow" w:hAnsi="Arial Narrow" w:cs="Arial Narrow"/>
                <w:b/>
                <w:sz w:val="20"/>
                <w:szCs w:val="24"/>
                <w:lang w:eastAsia="sk-SK"/>
              </w:rPr>
              <w:t>3 528</w:t>
            </w:r>
          </w:p>
        </w:tc>
      </w:tr>
      <w:tr>
        <w:tblPrEx>
          <w:tblW w:w="9195" w:type="dxa"/>
          <w:tblInd w:w="55" w:type="dxa"/>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prostriedky EÚ</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1 816</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Pr>
                <w:rFonts w:ascii="Arial Narrow" w:hAnsi="Arial Narrow" w:cs="Arial Narrow"/>
                <w:sz w:val="20"/>
                <w:szCs w:val="24"/>
                <w:lang w:eastAsia="sk-SK"/>
              </w:rPr>
              <w:t>2 300</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2 595</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2 544</w:t>
            </w:r>
          </w:p>
        </w:tc>
      </w:tr>
      <w:tr>
        <w:tblPrEx>
          <w:tblW w:w="9195" w:type="dxa"/>
          <w:tblInd w:w="55" w:type="dxa"/>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709</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887</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Pr>
                <w:rFonts w:ascii="Arial Narrow" w:hAnsi="Arial Narrow" w:cs="Arial Narrow"/>
                <w:sz w:val="20"/>
                <w:szCs w:val="24"/>
                <w:lang w:eastAsia="sk-SK"/>
              </w:rPr>
              <w:t>1 002</w:t>
            </w:r>
          </w:p>
        </w:tc>
        <w:tc>
          <w:tcPr>
            <w:tcW w:w="1125" w:type="dxa"/>
            <w:tcBorders>
              <w:top w:val="nil"/>
              <w:left w:val="nil"/>
              <w:bottom w:val="single" w:sz="4" w:space="0" w:color="auto"/>
              <w:right w:val="single" w:sz="4" w:space="0" w:color="auto"/>
            </w:tcBorders>
            <w:textDirection w:val="lrTb"/>
            <w:vAlign w:val="bottom"/>
          </w:tcPr>
          <w:p w:rsidR="00312541" w:rsidRPr="002D340C" w:rsidP="00A70AF6">
            <w:pPr>
              <w:jc w:val="right"/>
              <w:rPr>
                <w:rFonts w:ascii="Arial Narrow" w:hAnsi="Arial Narrow" w:cs="Arial Narrow"/>
                <w:sz w:val="20"/>
                <w:szCs w:val="24"/>
                <w:lang w:eastAsia="sk-SK"/>
              </w:rPr>
            </w:pPr>
            <w:r w:rsidRPr="002D340C">
              <w:rPr>
                <w:rFonts w:ascii="Arial Narrow" w:hAnsi="Arial Narrow" w:cs="Arial Narrow"/>
                <w:sz w:val="20"/>
                <w:szCs w:val="24"/>
                <w:lang w:eastAsia="sk-SK"/>
              </w:rPr>
              <w:t>984</w:t>
            </w:r>
          </w:p>
        </w:tc>
      </w:tr>
    </w:tbl>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Výdavky na podporu, ktorou sa zabezpečuje modernizácia, inovácie a reštrukturalizácie akvakultúry a zvýšenie konkurencieschopnosti podnikov zaoberajúcich sa spracovaním produktov z rybolovu a akvakultúry, pričom hlavný dôraz je kladený na podporu spracovania domácej produkcie a rozvoj ľudských zdrojov v oblasti </w:t>
      </w:r>
      <w:r w:rsidRPr="00B77B8A">
        <w:rPr>
          <w:rFonts w:ascii="Arial Narrow" w:hAnsi="Arial Narrow" w:cs="Arial Narrow"/>
          <w:b/>
          <w:sz w:val="22"/>
          <w:szCs w:val="24"/>
        </w:rPr>
        <w:t>rybného hospodárstva</w:t>
      </w:r>
      <w:r w:rsidRPr="00E17621">
        <w:rPr>
          <w:rFonts w:ascii="Arial Narrow" w:hAnsi="Arial Narrow" w:cs="Arial Narrow"/>
          <w:sz w:val="22"/>
          <w:szCs w:val="24"/>
        </w:rPr>
        <w:t xml:space="preserve"> prostredníctvom celoživotného vzdelávania sú</w:t>
      </w:r>
      <w:r>
        <w:rPr>
          <w:rFonts w:ascii="Arial Narrow" w:hAnsi="Arial Narrow" w:cs="Arial Narrow"/>
          <w:sz w:val="22"/>
          <w:szCs w:val="24"/>
        </w:rPr>
        <w:t xml:space="preserve"> </w:t>
      </w:r>
      <w:r w:rsidRPr="00E17621">
        <w:rPr>
          <w:rFonts w:ascii="Arial Narrow" w:hAnsi="Arial Narrow" w:cs="Arial Narrow"/>
          <w:sz w:val="22"/>
          <w:szCs w:val="24"/>
        </w:rPr>
        <w:t xml:space="preserve">oproti roku 2009 </w:t>
      </w:r>
      <w:r w:rsidRPr="00B77B8A">
        <w:rPr>
          <w:rFonts w:ascii="Arial Narrow" w:hAnsi="Arial Narrow" w:cs="Arial Narrow"/>
          <w:b/>
          <w:sz w:val="22"/>
          <w:szCs w:val="24"/>
        </w:rPr>
        <w:t>vyššie o 26,2 %</w:t>
      </w:r>
      <w:r w:rsidRPr="00E17621">
        <w:rPr>
          <w:rFonts w:ascii="Arial Narrow" w:hAnsi="Arial Narrow" w:cs="Arial Narrow"/>
          <w:sz w:val="22"/>
          <w:szCs w:val="24"/>
        </w:rPr>
        <w:t>.</w:t>
      </w:r>
    </w:p>
    <w:p w:rsidR="00312541" w:rsidP="00312541">
      <w:pPr>
        <w:jc w:val="both"/>
        <w:rPr>
          <w:rFonts w:ascii="Arial Narrow" w:hAnsi="Arial Narrow" w:cs="Arial Narrow"/>
          <w:sz w:val="22"/>
          <w:szCs w:val="24"/>
        </w:rPr>
      </w:pPr>
    </w:p>
    <w:p w:rsidR="00312541" w:rsidRPr="002F3DFD" w:rsidP="00312541">
      <w:pPr>
        <w:jc w:val="both"/>
        <w:rPr>
          <w:rFonts w:ascii="Arial Narrow" w:hAnsi="Arial Narrow" w:cs="Arial Narrow"/>
          <w:i/>
          <w:sz w:val="22"/>
          <w:szCs w:val="24"/>
        </w:rPr>
      </w:pPr>
      <w:r w:rsidRPr="00F270DB">
        <w:rPr>
          <w:rFonts w:ascii="Arial Narrow" w:hAnsi="Arial Narrow" w:cs="Arial Narrow"/>
          <w:i/>
          <w:sz w:val="22"/>
          <w:szCs w:val="24"/>
        </w:rPr>
        <w:t>Trhovo-orientované výdavky</w:t>
      </w:r>
    </w:p>
    <w:p w:rsidR="00312541" w:rsidRPr="0097777D" w:rsidP="00312541">
      <w:pPr>
        <w:jc w:val="both"/>
        <w:rPr>
          <w:rFonts w:ascii="Arial Narrow" w:hAnsi="Arial Narrow" w:cs="Arial Narrow"/>
          <w:sz w:val="22"/>
          <w:szCs w:val="24"/>
        </w:rPr>
      </w:pPr>
    </w:p>
    <w:tbl>
      <w:tblPr>
        <w:tblStyle w:val="TableNormal"/>
        <w:tblW w:w="9195" w:type="dxa"/>
        <w:tblInd w:w="55" w:type="dxa"/>
        <w:tblLayout w:type="fixed"/>
        <w:tblCellMar>
          <w:left w:w="70" w:type="dxa"/>
          <w:right w:w="70" w:type="dxa"/>
        </w:tblCellMar>
      </w:tblPr>
      <w:tblGrid>
        <w:gridCol w:w="4695"/>
        <w:gridCol w:w="1125"/>
        <w:gridCol w:w="1125"/>
        <w:gridCol w:w="1125"/>
        <w:gridCol w:w="1125"/>
      </w:tblGrid>
      <w:tr>
        <w:tblPrEx>
          <w:tblW w:w="9195" w:type="dxa"/>
          <w:tblInd w:w="55" w:type="dxa"/>
          <w:tblLayout w:type="fixed"/>
          <w:tblCellMar>
            <w:left w:w="70" w:type="dxa"/>
            <w:right w:w="70" w:type="dxa"/>
          </w:tblCellMar>
        </w:tblPrEx>
        <w:trPr>
          <w:trHeight w:val="210"/>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8" w:space="0" w:color="auto"/>
              <w:bottom w:val="single" w:sz="4" w:space="0" w:color="auto"/>
              <w:right w:val="single" w:sz="4" w:space="0" w:color="auto"/>
            </w:tcBorders>
            <w:shd w:val="clear" w:color="auto" w:fill="C0C0C0"/>
            <w:noWrap/>
            <w:textDirection w:val="lrTb"/>
            <w:vAlign w:val="bottom"/>
          </w:tcPr>
          <w:p w:rsidR="00312541" w:rsidRPr="00EF219E" w:rsidP="00A70AF6">
            <w:pPr>
              <w:rPr>
                <w:rFonts w:ascii="Arial Narrow" w:hAnsi="Arial Narrow" w:cs="Arial Narrow"/>
                <w:b/>
                <w:sz w:val="20"/>
                <w:szCs w:val="24"/>
              </w:rPr>
            </w:pPr>
            <w:r w:rsidRPr="00EF219E">
              <w:rPr>
                <w:rFonts w:ascii="Arial Narrow" w:hAnsi="Arial Narrow" w:cs="Arial Narrow"/>
                <w:b/>
                <w:sz w:val="20"/>
                <w:szCs w:val="24"/>
              </w:rPr>
              <w:t>Trhovo-orientované výdavky celkom, v tom:</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EB55FD" w:rsidP="00A70AF6">
            <w:pPr>
              <w:jc w:val="right"/>
              <w:rPr>
                <w:rFonts w:ascii="Arial Narrow" w:hAnsi="Arial Narrow" w:cs="Arial Narrow"/>
                <w:b/>
                <w:sz w:val="20"/>
                <w:szCs w:val="24"/>
                <w:lang w:eastAsia="sk-SK"/>
              </w:rPr>
            </w:pPr>
            <w:r w:rsidRPr="00EB55FD">
              <w:rPr>
                <w:rFonts w:ascii="Arial Narrow" w:hAnsi="Arial Narrow" w:cs="Arial Narrow"/>
                <w:b/>
                <w:sz w:val="20"/>
                <w:szCs w:val="24"/>
                <w:lang w:eastAsia="sk-SK"/>
              </w:rPr>
              <w:t>34 958</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EB55FD" w:rsidP="00A70AF6">
            <w:pPr>
              <w:jc w:val="right"/>
              <w:rPr>
                <w:rFonts w:ascii="Arial Narrow" w:hAnsi="Arial Narrow" w:cs="Arial Narrow"/>
                <w:b/>
                <w:sz w:val="20"/>
                <w:szCs w:val="24"/>
                <w:lang w:eastAsia="sk-SK"/>
              </w:rPr>
            </w:pPr>
            <w:r w:rsidRPr="00EB55FD">
              <w:rPr>
                <w:rFonts w:ascii="Arial Narrow" w:hAnsi="Arial Narrow" w:cs="Arial Narrow"/>
                <w:b/>
                <w:sz w:val="20"/>
                <w:szCs w:val="24"/>
                <w:lang w:eastAsia="sk-SK"/>
              </w:rPr>
              <w:t>35 547</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EB55FD" w:rsidP="00A70AF6">
            <w:pPr>
              <w:jc w:val="right"/>
              <w:rPr>
                <w:rFonts w:ascii="Arial Narrow" w:hAnsi="Arial Narrow" w:cs="Arial Narrow"/>
                <w:b/>
                <w:sz w:val="20"/>
                <w:szCs w:val="24"/>
                <w:lang w:eastAsia="sk-SK"/>
              </w:rPr>
            </w:pPr>
            <w:r w:rsidRPr="00EB55FD">
              <w:rPr>
                <w:rFonts w:ascii="Arial Narrow" w:hAnsi="Arial Narrow" w:cs="Arial Narrow"/>
                <w:b/>
                <w:sz w:val="20"/>
                <w:szCs w:val="24"/>
                <w:lang w:eastAsia="sk-SK"/>
              </w:rPr>
              <w:t>30 769</w:t>
            </w:r>
          </w:p>
        </w:tc>
        <w:tc>
          <w:tcPr>
            <w:tcW w:w="1125" w:type="dxa"/>
            <w:tcBorders>
              <w:top w:val="single" w:sz="4" w:space="0" w:color="auto"/>
              <w:left w:val="nil"/>
              <w:bottom w:val="single" w:sz="4" w:space="0" w:color="auto"/>
              <w:right w:val="single" w:sz="4" w:space="0" w:color="auto"/>
            </w:tcBorders>
            <w:shd w:val="clear" w:color="auto" w:fill="C0C0C0"/>
            <w:textDirection w:val="lrTb"/>
            <w:vAlign w:val="bottom"/>
          </w:tcPr>
          <w:p w:rsidR="00312541" w:rsidRPr="00EB55FD" w:rsidP="00A70AF6">
            <w:pPr>
              <w:jc w:val="right"/>
              <w:rPr>
                <w:rFonts w:ascii="Arial Narrow" w:hAnsi="Arial Narrow" w:cs="Arial Narrow"/>
                <w:b/>
                <w:sz w:val="20"/>
                <w:szCs w:val="24"/>
                <w:lang w:eastAsia="sk-SK"/>
              </w:rPr>
            </w:pPr>
            <w:r w:rsidRPr="00EB55FD">
              <w:rPr>
                <w:rFonts w:ascii="Arial Narrow" w:hAnsi="Arial Narrow" w:cs="Arial Narrow"/>
                <w:b/>
                <w:sz w:val="20"/>
                <w:szCs w:val="24"/>
                <w:lang w:eastAsia="sk-SK"/>
              </w:rPr>
              <w:t>26 288</w:t>
            </w:r>
          </w:p>
        </w:tc>
      </w:tr>
      <w:tr>
        <w:tblPrEx>
          <w:tblW w:w="9195" w:type="dxa"/>
          <w:tblInd w:w="55" w:type="dxa"/>
          <w:tblLayout w:type="fixed"/>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prostriedky EÚ</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33 910</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32 807</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28 006</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23 927</w:t>
            </w:r>
          </w:p>
        </w:tc>
      </w:tr>
      <w:tr>
        <w:tblPrEx>
          <w:tblW w:w="9195" w:type="dxa"/>
          <w:tblInd w:w="55" w:type="dxa"/>
          <w:tblLayout w:type="fixed"/>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1 048</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2 740</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2 763</w:t>
            </w:r>
          </w:p>
        </w:tc>
        <w:tc>
          <w:tcPr>
            <w:tcW w:w="1125" w:type="dxa"/>
            <w:tcBorders>
              <w:top w:val="nil"/>
              <w:left w:val="nil"/>
              <w:bottom w:val="single" w:sz="4" w:space="0" w:color="auto"/>
              <w:right w:val="single" w:sz="4" w:space="0" w:color="auto"/>
            </w:tcBorders>
            <w:textDirection w:val="lrTb"/>
            <w:vAlign w:val="bottom"/>
          </w:tcPr>
          <w:p w:rsidR="00312541" w:rsidRPr="00EB55FD" w:rsidP="00A70AF6">
            <w:pPr>
              <w:jc w:val="right"/>
              <w:rPr>
                <w:rFonts w:ascii="Arial Narrow" w:hAnsi="Arial Narrow" w:cs="Arial Narrow"/>
                <w:sz w:val="20"/>
                <w:szCs w:val="24"/>
                <w:lang w:eastAsia="sk-SK"/>
              </w:rPr>
            </w:pPr>
            <w:r w:rsidRPr="00EB55FD">
              <w:rPr>
                <w:rFonts w:ascii="Arial Narrow" w:hAnsi="Arial Narrow" w:cs="Arial Narrow"/>
                <w:sz w:val="20"/>
                <w:szCs w:val="24"/>
                <w:lang w:eastAsia="sk-SK"/>
              </w:rPr>
              <w:t>2 361</w:t>
            </w:r>
          </w:p>
        </w:tc>
      </w:tr>
    </w:tbl>
    <w:p w:rsidR="00312541" w:rsidP="00312541">
      <w:pPr>
        <w:jc w:val="both"/>
        <w:rPr>
          <w:rFonts w:ascii="Arial Narrow" w:hAnsi="Arial Narrow" w:cs="Arial Narrow"/>
          <w:sz w:val="22"/>
          <w:szCs w:val="24"/>
        </w:rPr>
      </w:pPr>
    </w:p>
    <w:p w:rsidR="00312541" w:rsidRPr="006E4045" w:rsidP="00312541">
      <w:pPr>
        <w:ind w:firstLine="708"/>
        <w:jc w:val="both"/>
        <w:rPr>
          <w:rFonts w:ascii="Arial Narrow" w:hAnsi="Arial Narrow" w:cs="Arial Narrow"/>
          <w:sz w:val="22"/>
          <w:szCs w:val="24"/>
        </w:rPr>
      </w:pPr>
      <w:r w:rsidRPr="00D743BE">
        <w:rPr>
          <w:rFonts w:ascii="Arial Narrow" w:hAnsi="Arial Narrow" w:cs="Arial Narrow"/>
          <w:sz w:val="22"/>
          <w:szCs w:val="24"/>
        </w:rPr>
        <w:t xml:space="preserve">Trhovo orientované výdavky sú výdavky na trhové opatrenia, ktoré sa realizujú na základe záväzných nariadení, ktorými sa uskutočňuje spoločná organizácia trhu v EÚ. Vo všeobecnosti ich možno rozdeliť na intervencie určené na reguláciu poľnohospodárskych trhov, náhrady stanovené za vývoz poľnohospodárskych výrobkov do tretích krajín a iné podporné opatrenia v zmysle spoločnej organizácii trhu v rámci EÚ ako sú </w:t>
      </w:r>
      <w:r w:rsidRPr="004D53A1">
        <w:rPr>
          <w:rFonts w:ascii="Arial Narrow" w:hAnsi="Arial Narrow" w:cs="Arial Narrow"/>
          <w:sz w:val="22"/>
          <w:szCs w:val="24"/>
        </w:rPr>
        <w:t>výrobné náhrady, podpory v</w:t>
      </w:r>
      <w:r w:rsidRPr="00D743BE">
        <w:rPr>
          <w:rFonts w:ascii="Arial Narrow" w:hAnsi="Arial Narrow" w:cs="Arial Narrow"/>
          <w:sz w:val="22"/>
          <w:szCs w:val="24"/>
        </w:rPr>
        <w:t xml:space="preserve"> sektore ovocia a zeleniny, špecifické opatrenia vo vinohradníckom sektore (napr. reštrukturalizácia a konverzia vinohradov a ďalšie opatrenia), podpora spotreby školského mlieka a mliečnych </w:t>
      </w:r>
      <w:r w:rsidRPr="00A110FE">
        <w:rPr>
          <w:rFonts w:ascii="Arial Narrow" w:hAnsi="Arial Narrow" w:cs="Arial Narrow"/>
          <w:sz w:val="22"/>
          <w:szCs w:val="24"/>
        </w:rPr>
        <w:t xml:space="preserve">výrobkov a ďalšie opatrenia. </w:t>
      </w:r>
      <w:r w:rsidRPr="00B77B8A">
        <w:rPr>
          <w:rFonts w:ascii="Arial Narrow" w:hAnsi="Arial Narrow" w:cs="Arial Narrow"/>
          <w:b/>
          <w:sz w:val="22"/>
          <w:szCs w:val="24"/>
        </w:rPr>
        <w:t>Výdavky na trhovo-orientované výdavky</w:t>
      </w:r>
      <w:r w:rsidRPr="00A110FE">
        <w:rPr>
          <w:rFonts w:ascii="Arial Narrow" w:hAnsi="Arial Narrow" w:cs="Arial Narrow"/>
          <w:sz w:val="22"/>
          <w:szCs w:val="24"/>
        </w:rPr>
        <w:t xml:space="preserve"> sú</w:t>
      </w:r>
      <w:r>
        <w:rPr>
          <w:rFonts w:ascii="Arial Narrow" w:hAnsi="Arial Narrow" w:cs="Arial Narrow"/>
          <w:sz w:val="22"/>
          <w:szCs w:val="24"/>
        </w:rPr>
        <w:t xml:space="preserve"> oproti roku 2009 </w:t>
      </w:r>
      <w:r w:rsidRPr="00B77B8A">
        <w:rPr>
          <w:rFonts w:ascii="Arial Narrow" w:hAnsi="Arial Narrow" w:cs="Arial Narrow"/>
          <w:b/>
          <w:sz w:val="22"/>
          <w:szCs w:val="24"/>
        </w:rPr>
        <w:t>vyššie o 1,68 %</w:t>
      </w:r>
      <w:r w:rsidRPr="00A110FE">
        <w:rPr>
          <w:rFonts w:ascii="Arial Narrow" w:hAnsi="Arial Narrow" w:cs="Arial Narrow"/>
          <w:sz w:val="22"/>
          <w:szCs w:val="24"/>
        </w:rPr>
        <w:t>. Výška týchto</w:t>
      </w:r>
      <w:r w:rsidRPr="00D743BE">
        <w:rPr>
          <w:rFonts w:ascii="Arial Narrow" w:hAnsi="Arial Narrow" w:cs="Arial Narrow"/>
          <w:sz w:val="22"/>
          <w:szCs w:val="24"/>
        </w:rPr>
        <w:t xml:space="preserve"> výdavkov je v plnej miere ovplyvňovaná alokáciou výdavkov EÚ a spolufinancovania v rámci 2. programového obdobia na roky 2007 až 2013.</w:t>
      </w:r>
    </w:p>
    <w:p w:rsidR="00312541" w:rsidP="00312541">
      <w:pPr>
        <w:jc w:val="both"/>
        <w:rPr>
          <w:rFonts w:ascii="Arial Narrow" w:hAnsi="Arial Narrow" w:cs="Arial Narrow"/>
          <w:i/>
          <w:sz w:val="22"/>
          <w:szCs w:val="24"/>
        </w:rPr>
      </w:pPr>
    </w:p>
    <w:p w:rsidR="00312541" w:rsidRPr="002F3DFD" w:rsidP="00312541">
      <w:pPr>
        <w:jc w:val="both"/>
        <w:rPr>
          <w:rFonts w:ascii="Arial Narrow" w:hAnsi="Arial Narrow" w:cs="Arial Narrow"/>
          <w:i/>
          <w:sz w:val="22"/>
          <w:szCs w:val="24"/>
        </w:rPr>
      </w:pPr>
      <w:r w:rsidRPr="002F3DFD">
        <w:rPr>
          <w:rFonts w:ascii="Arial Narrow" w:hAnsi="Arial Narrow" w:cs="Arial Narrow"/>
          <w:i/>
          <w:sz w:val="22"/>
          <w:szCs w:val="24"/>
        </w:rPr>
        <w:t>Štátna pomoc</w:t>
      </w:r>
    </w:p>
    <w:p w:rsidR="00312541" w:rsidRPr="0097777D" w:rsidP="00312541">
      <w:pPr>
        <w:jc w:val="both"/>
        <w:rPr>
          <w:rFonts w:ascii="Arial Narrow" w:hAnsi="Arial Narrow" w:cs="Arial Narrow"/>
          <w:sz w:val="22"/>
          <w:szCs w:val="24"/>
        </w:rPr>
      </w:pPr>
    </w:p>
    <w:tbl>
      <w:tblPr>
        <w:tblStyle w:val="TableNormal"/>
        <w:tblW w:w="9195" w:type="dxa"/>
        <w:tblInd w:w="55" w:type="dxa"/>
        <w:tblCellMar>
          <w:left w:w="70" w:type="dxa"/>
          <w:right w:w="70" w:type="dxa"/>
        </w:tblCellMar>
      </w:tblPr>
      <w:tblGrid>
        <w:gridCol w:w="4695"/>
        <w:gridCol w:w="1125"/>
        <w:gridCol w:w="1125"/>
        <w:gridCol w:w="1125"/>
        <w:gridCol w:w="1125"/>
      </w:tblGrid>
      <w:tr>
        <w:tblPrEx>
          <w:tblW w:w="9195" w:type="dxa"/>
          <w:tblInd w:w="55" w:type="dxa"/>
          <w:tblCellMar>
            <w:left w:w="70" w:type="dxa"/>
            <w:right w:w="70" w:type="dxa"/>
          </w:tblCellMar>
        </w:tblPrEx>
        <w:trPr>
          <w:trHeight w:val="210"/>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noWrap/>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Štátna pomoc</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sidRPr="009C0380">
              <w:rPr>
                <w:rFonts w:ascii="Arial Narrow" w:hAnsi="Arial Narrow" w:cs="Arial Narrow"/>
                <w:sz w:val="20"/>
                <w:szCs w:val="24"/>
                <w:lang w:eastAsia="sk-SK"/>
              </w:rPr>
              <w:t>37 875</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8 238</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9 594</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9 594</w:t>
            </w:r>
          </w:p>
        </w:tc>
      </w:tr>
    </w:tbl>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color w:val="000000"/>
          <w:sz w:val="22"/>
          <w:szCs w:val="24"/>
        </w:rPr>
      </w:pPr>
      <w:r w:rsidRPr="006C21E7">
        <w:rPr>
          <w:rFonts w:ascii="Arial Narrow" w:hAnsi="Arial Narrow" w:cs="Arial Narrow"/>
          <w:sz w:val="22"/>
          <w:szCs w:val="24"/>
        </w:rPr>
        <w:t xml:space="preserve">EÚ umožňuje poskytovať podnikateľským subjektom v pôdohospodárstve </w:t>
      </w:r>
      <w:r w:rsidRPr="00CB7DB0">
        <w:rPr>
          <w:rFonts w:ascii="Arial Narrow" w:hAnsi="Arial Narrow" w:cs="Arial Narrow"/>
          <w:b/>
          <w:sz w:val="22"/>
          <w:szCs w:val="24"/>
        </w:rPr>
        <w:t>štátnu pomoc</w:t>
      </w:r>
      <w:r w:rsidRPr="006C21E7">
        <w:rPr>
          <w:rFonts w:ascii="Arial Narrow" w:hAnsi="Arial Narrow" w:cs="Arial Narrow"/>
          <w:sz w:val="22"/>
          <w:szCs w:val="24"/>
        </w:rPr>
        <w:t xml:space="preserve"> z vlastných zdrojov členského štátu v súlade s pravidlami EÚ o štátnej pomoci</w:t>
      </w:r>
      <w:r>
        <w:rPr>
          <w:rFonts w:ascii="Arial Narrow" w:hAnsi="Arial Narrow" w:cs="Arial Narrow"/>
          <w:sz w:val="22"/>
          <w:szCs w:val="24"/>
        </w:rPr>
        <w:t>. Podporuje sa účasť</w:t>
      </w:r>
      <w:r w:rsidRPr="006C21E7">
        <w:rPr>
          <w:rFonts w:ascii="Arial Narrow" w:hAnsi="Arial Narrow" w:cs="Arial Narrow"/>
          <w:sz w:val="22"/>
          <w:szCs w:val="24"/>
        </w:rPr>
        <w:t xml:space="preserve"> prvovýrobcov na výstavách, založenie a vedenie plemennej knih</w:t>
      </w:r>
      <w:r>
        <w:rPr>
          <w:rFonts w:ascii="Arial Narrow" w:hAnsi="Arial Narrow" w:cs="Arial Narrow"/>
          <w:sz w:val="22"/>
          <w:szCs w:val="24"/>
        </w:rPr>
        <w:t>y alebo plemenárskej evidencie, rozvoj včelárstva, kompenzácia</w:t>
      </w:r>
      <w:r w:rsidRPr="006C21E7">
        <w:rPr>
          <w:rFonts w:ascii="Arial Narrow" w:hAnsi="Arial Narrow" w:cs="Arial Narrow"/>
          <w:sz w:val="22"/>
          <w:szCs w:val="24"/>
        </w:rPr>
        <w:t xml:space="preserve"> škôd spôsobených</w:t>
      </w:r>
      <w:r>
        <w:rPr>
          <w:rFonts w:ascii="Arial Narrow" w:hAnsi="Arial Narrow" w:cs="Arial Narrow"/>
          <w:sz w:val="22"/>
          <w:szCs w:val="24"/>
        </w:rPr>
        <w:t xml:space="preserve"> živelnými pohromami, </w:t>
      </w:r>
      <w:r w:rsidRPr="006C21E7">
        <w:rPr>
          <w:rFonts w:ascii="Arial Narrow" w:hAnsi="Arial Narrow" w:cs="Arial Narrow"/>
          <w:sz w:val="22"/>
          <w:szCs w:val="24"/>
        </w:rPr>
        <w:t>zvýšenie kvality p</w:t>
      </w:r>
      <w:r>
        <w:rPr>
          <w:rFonts w:ascii="Arial Narrow" w:hAnsi="Arial Narrow" w:cs="Arial Narrow"/>
          <w:sz w:val="22"/>
          <w:szCs w:val="24"/>
        </w:rPr>
        <w:t xml:space="preserve">oľnohospodárskych produktov, pestovanie a ochrana lesov, podpora rybnikárstva, </w:t>
      </w:r>
      <w:r w:rsidRPr="006C21E7">
        <w:rPr>
          <w:rFonts w:ascii="Arial Narrow" w:hAnsi="Arial Narrow" w:cs="Arial Narrow"/>
          <w:sz w:val="22"/>
          <w:szCs w:val="24"/>
        </w:rPr>
        <w:t>karanténne opatrenie plodín a pod.</w:t>
      </w:r>
      <w:r>
        <w:rPr>
          <w:rFonts w:ascii="Arial Narrow" w:hAnsi="Arial Narrow" w:cs="Arial Narrow"/>
          <w:color w:val="000000"/>
          <w:sz w:val="22"/>
          <w:szCs w:val="24"/>
        </w:rPr>
        <w:t xml:space="preserve"> </w:t>
      </w:r>
    </w:p>
    <w:p w:rsidR="00312541" w:rsidP="00312541">
      <w:pPr>
        <w:jc w:val="both"/>
        <w:rPr>
          <w:rFonts w:ascii="Arial Narrow" w:hAnsi="Arial Narrow" w:cs="Arial Narrow"/>
          <w:sz w:val="22"/>
          <w:szCs w:val="24"/>
        </w:rPr>
      </w:pPr>
    </w:p>
    <w:p w:rsidR="00312541" w:rsidRPr="002F3DFD" w:rsidP="00312541">
      <w:pPr>
        <w:jc w:val="both"/>
        <w:rPr>
          <w:rFonts w:ascii="Arial Narrow" w:hAnsi="Arial Narrow" w:cs="Arial Narrow"/>
          <w:i/>
          <w:sz w:val="22"/>
          <w:szCs w:val="24"/>
        </w:rPr>
      </w:pPr>
      <w:r w:rsidRPr="002F3DFD">
        <w:rPr>
          <w:rFonts w:ascii="Arial Narrow" w:hAnsi="Arial Narrow" w:cs="Arial Narrow"/>
          <w:i/>
          <w:sz w:val="22"/>
          <w:szCs w:val="24"/>
        </w:rPr>
        <w:t>Inštitucionálna podpora pôdohospodárstva a ostatné výdavky</w:t>
      </w:r>
    </w:p>
    <w:p w:rsidR="00312541" w:rsidRPr="0097777D" w:rsidP="00312541">
      <w:pPr>
        <w:jc w:val="both"/>
        <w:rPr>
          <w:rFonts w:ascii="Arial Narrow" w:hAnsi="Arial Narrow" w:cs="Arial Narrow"/>
          <w:sz w:val="22"/>
          <w:szCs w:val="24"/>
        </w:rPr>
      </w:pPr>
    </w:p>
    <w:tbl>
      <w:tblPr>
        <w:tblStyle w:val="TableNormal"/>
        <w:tblW w:w="9195" w:type="dxa"/>
        <w:tblInd w:w="55" w:type="dxa"/>
        <w:tblLayout w:type="fixed"/>
        <w:tblCellMar>
          <w:left w:w="70" w:type="dxa"/>
          <w:right w:w="70" w:type="dxa"/>
        </w:tblCellMar>
      </w:tblPr>
      <w:tblGrid>
        <w:gridCol w:w="4695"/>
        <w:gridCol w:w="1125"/>
        <w:gridCol w:w="1125"/>
        <w:gridCol w:w="1125"/>
        <w:gridCol w:w="1125"/>
      </w:tblGrid>
      <w:tr>
        <w:tblPrEx>
          <w:tblW w:w="9195" w:type="dxa"/>
          <w:tblInd w:w="55" w:type="dxa"/>
          <w:tblLayout w:type="fixed"/>
          <w:tblCellMar>
            <w:left w:w="70" w:type="dxa"/>
            <w:right w:w="70" w:type="dxa"/>
          </w:tblCellMar>
        </w:tblPrEx>
        <w:trPr>
          <w:trHeight w:val="210"/>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EF219E" w:rsidP="00A70AF6">
            <w:pPr>
              <w:jc w:val="both"/>
              <w:rPr>
                <w:rFonts w:ascii="Arial Narrow" w:hAnsi="Arial Narrow" w:cs="Arial Narrow"/>
                <w:color w:val="FFFFFF"/>
                <w:sz w:val="20"/>
                <w:szCs w:val="24"/>
              </w:rPr>
            </w:pPr>
            <w:r w:rsidRPr="00EF219E">
              <w:rPr>
                <w:rFonts w:ascii="Arial Narrow" w:hAnsi="Arial Narrow" w:cs="Arial Narrow"/>
                <w:color w:val="FFFFFF"/>
                <w:sz w:val="20"/>
                <w:szCs w:val="24"/>
              </w:rPr>
              <w:t> </w:t>
            </w:r>
            <w:r w:rsidRPr="00EF219E">
              <w:rPr>
                <w:rFonts w:ascii="Arial Narrow" w:hAnsi="Arial Narrow" w:cs="Arial Narrow"/>
                <w:b/>
                <w:color w:val="FFFFFF"/>
                <w:sz w:val="20"/>
                <w:szCs w:val="24"/>
              </w:rPr>
              <w:t>(v tis. eur)</w:t>
            </w:r>
          </w:p>
        </w:tc>
        <w:tc>
          <w:tcPr>
            <w:tcW w:w="1125" w:type="dxa"/>
            <w:tcBorders>
              <w:top w:val="single" w:sz="8" w:space="0" w:color="auto"/>
              <w:left w:val="nil"/>
              <w:bottom w:val="single" w:sz="4" w:space="0" w:color="auto"/>
              <w:right w:val="single" w:sz="4" w:space="0" w:color="auto"/>
            </w:tcBorders>
            <w:shd w:val="clear" w:color="auto" w:fill="000000"/>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2009</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2010</w:t>
            </w:r>
          </w:p>
        </w:tc>
        <w:tc>
          <w:tcPr>
            <w:tcW w:w="1125" w:type="dxa"/>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2011</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DD3F86" w:rsidP="00A70AF6">
            <w:pPr>
              <w:jc w:val="center"/>
              <w:rPr>
                <w:rFonts w:ascii="Arial Narrow" w:hAnsi="Arial Narrow" w:cs="Arial Narrow"/>
                <w:b/>
                <w:color w:val="FFFFFF"/>
                <w:sz w:val="20"/>
                <w:szCs w:val="24"/>
                <w:lang w:eastAsia="sk-SK"/>
              </w:rPr>
            </w:pPr>
            <w:r w:rsidRPr="00DD3F86">
              <w:rPr>
                <w:rFonts w:ascii="Arial Narrow" w:hAnsi="Arial Narrow" w:cs="Arial Narrow"/>
                <w:b/>
                <w:color w:val="FFFFFF"/>
                <w:sz w:val="20"/>
                <w:szCs w:val="24"/>
                <w:lang w:eastAsia="sk-SK"/>
              </w:rPr>
              <w:t>2012</w:t>
            </w:r>
          </w:p>
        </w:tc>
      </w:tr>
      <w:tr>
        <w:tblPrEx>
          <w:tblW w:w="9195" w:type="dxa"/>
          <w:tblInd w:w="55" w:type="dxa"/>
          <w:tblLayout w:type="fixed"/>
          <w:tblCellMar>
            <w:left w:w="70" w:type="dxa"/>
            <w:right w:w="70" w:type="dxa"/>
          </w:tblCellMar>
        </w:tblPrEx>
        <w:trPr>
          <w:trHeight w:val="210"/>
        </w:trPr>
        <w:tc>
          <w:tcPr>
            <w:tcW w:w="4695" w:type="dxa"/>
            <w:tcBorders>
              <w:top w:val="nil"/>
              <w:left w:val="single" w:sz="8" w:space="0" w:color="auto"/>
              <w:bottom w:val="single" w:sz="4" w:space="0" w:color="auto"/>
              <w:right w:val="single" w:sz="4" w:space="0" w:color="auto"/>
            </w:tcBorders>
            <w:textDirection w:val="lrTb"/>
            <w:vAlign w:val="bottom"/>
          </w:tcPr>
          <w:p w:rsidR="00312541" w:rsidRPr="00EF219E" w:rsidP="00A70AF6">
            <w:pPr>
              <w:rPr>
                <w:rFonts w:ascii="Arial Narrow" w:hAnsi="Arial Narrow" w:cs="Arial Narrow"/>
                <w:sz w:val="20"/>
                <w:szCs w:val="24"/>
              </w:rPr>
            </w:pPr>
            <w:r w:rsidRPr="00EF219E">
              <w:rPr>
                <w:rFonts w:ascii="Arial Narrow" w:hAnsi="Arial Narrow" w:cs="Arial Narrow"/>
                <w:sz w:val="20"/>
                <w:szCs w:val="24"/>
              </w:rPr>
              <w:t xml:space="preserve">Inštitucionálna podpora pôdohospodárstva </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sidRPr="009C0380">
              <w:rPr>
                <w:rFonts w:ascii="Arial Narrow" w:hAnsi="Arial Narrow" w:cs="Arial Narrow"/>
                <w:sz w:val="20"/>
                <w:szCs w:val="24"/>
                <w:lang w:eastAsia="sk-SK"/>
              </w:rPr>
              <w:t>153 592</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100 079</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100 510</w:t>
            </w:r>
          </w:p>
        </w:tc>
        <w:tc>
          <w:tcPr>
            <w:tcW w:w="1125" w:type="dxa"/>
            <w:tcBorders>
              <w:top w:val="nil"/>
              <w:left w:val="nil"/>
              <w:bottom w:val="single" w:sz="4" w:space="0" w:color="auto"/>
              <w:right w:val="single" w:sz="4" w:space="0" w:color="auto"/>
            </w:tcBorders>
            <w:textDirection w:val="lrTb"/>
            <w:vAlign w:val="bottom"/>
          </w:tcPr>
          <w:p w:rsidR="00312541" w:rsidRPr="009C0380" w:rsidP="00A70AF6">
            <w:pPr>
              <w:jc w:val="right"/>
              <w:rPr>
                <w:rFonts w:ascii="Arial Narrow" w:hAnsi="Arial Narrow" w:cs="Arial Narrow"/>
                <w:sz w:val="20"/>
                <w:szCs w:val="24"/>
                <w:lang w:eastAsia="sk-SK"/>
              </w:rPr>
            </w:pPr>
            <w:r>
              <w:rPr>
                <w:rFonts w:ascii="Arial Narrow" w:hAnsi="Arial Narrow" w:cs="Arial Narrow"/>
                <w:sz w:val="20"/>
                <w:szCs w:val="24"/>
                <w:lang w:eastAsia="sk-SK"/>
              </w:rPr>
              <w:t>100 510</w:t>
            </w:r>
          </w:p>
        </w:tc>
      </w:tr>
    </w:tbl>
    <w:p w:rsidR="00312541" w:rsidRPr="0097777D" w:rsidP="00312541">
      <w:pPr>
        <w:jc w:val="both"/>
        <w:rPr>
          <w:rFonts w:ascii="Arial Narrow" w:hAnsi="Arial Narrow" w:cs="Arial Narrow"/>
          <w:sz w:val="22"/>
          <w:szCs w:val="24"/>
        </w:rPr>
      </w:pPr>
    </w:p>
    <w:p w:rsidR="00312541" w:rsidRPr="00D71078" w:rsidP="00312541">
      <w:pPr>
        <w:ind w:firstLine="708"/>
        <w:jc w:val="both"/>
        <w:rPr>
          <w:rFonts w:ascii="Arial" w:hAnsi="Arial" w:cs="Arial"/>
          <w:sz w:val="16"/>
          <w:szCs w:val="24"/>
        </w:rPr>
      </w:pPr>
      <w:r w:rsidRPr="00571A99">
        <w:rPr>
          <w:rFonts w:ascii="Arial Narrow" w:hAnsi="Arial Narrow" w:cs="Arial Narrow"/>
          <w:sz w:val="22"/>
          <w:szCs w:val="24"/>
        </w:rPr>
        <w:t>Celkové výdavky na inštitucionálnu podporu pôdohospodárstva</w:t>
      </w:r>
      <w:r>
        <w:rPr>
          <w:rFonts w:ascii="Arial Narrow" w:hAnsi="Arial Narrow" w:cs="Arial Narrow"/>
          <w:sz w:val="22"/>
          <w:szCs w:val="24"/>
        </w:rPr>
        <w:t xml:space="preserve"> sú určené </w:t>
      </w:r>
      <w:r w:rsidRPr="00B00EBC">
        <w:rPr>
          <w:rFonts w:ascii="Arial Narrow" w:hAnsi="Arial Narrow" w:cs="Arial Narrow"/>
          <w:sz w:val="22"/>
          <w:szCs w:val="24"/>
        </w:rPr>
        <w:t>na zabezpeč</w:t>
      </w:r>
      <w:r>
        <w:rPr>
          <w:rFonts w:ascii="Arial Narrow" w:hAnsi="Arial Narrow" w:cs="Arial Narrow"/>
          <w:sz w:val="22"/>
          <w:szCs w:val="24"/>
        </w:rPr>
        <w:t>enie plnenia úloh rozpočtových a príspevkových organizácií</w:t>
      </w:r>
      <w:r w:rsidRPr="00B00EBC">
        <w:rPr>
          <w:rFonts w:ascii="Arial Narrow" w:hAnsi="Arial Narrow" w:cs="Arial Narrow"/>
          <w:sz w:val="22"/>
          <w:szCs w:val="24"/>
        </w:rPr>
        <w:t xml:space="preserve"> rezortu</w:t>
      </w:r>
      <w:r>
        <w:rPr>
          <w:rFonts w:ascii="Arial Narrow" w:hAnsi="Arial Narrow" w:cs="Arial Narrow"/>
          <w:sz w:val="22"/>
          <w:szCs w:val="24"/>
        </w:rPr>
        <w:t xml:space="preserve"> a na </w:t>
      </w:r>
      <w:r w:rsidRPr="00571A99">
        <w:rPr>
          <w:rFonts w:ascii="Arial Narrow" w:hAnsi="Arial Narrow" w:cs="Arial Narrow"/>
          <w:sz w:val="22"/>
          <w:szCs w:val="24"/>
        </w:rPr>
        <w:t xml:space="preserve">ďalšie výdavky ako sú </w:t>
      </w:r>
      <w:r>
        <w:rPr>
          <w:rFonts w:ascii="Arial Narrow" w:hAnsi="Arial Narrow" w:cs="Arial Narrow"/>
          <w:sz w:val="22"/>
          <w:szCs w:val="24"/>
        </w:rPr>
        <w:t xml:space="preserve">napr. </w:t>
      </w:r>
      <w:r w:rsidRPr="00571A99">
        <w:rPr>
          <w:rFonts w:ascii="Arial Narrow" w:hAnsi="Arial Narrow" w:cs="Arial Narrow"/>
          <w:sz w:val="22"/>
          <w:szCs w:val="24"/>
        </w:rPr>
        <w:t>pozemkové úpravy, vyhotoveni</w:t>
      </w:r>
      <w:r>
        <w:rPr>
          <w:rFonts w:ascii="Arial Narrow" w:hAnsi="Arial Narrow" w:cs="Arial Narrow"/>
          <w:sz w:val="22"/>
          <w:szCs w:val="24"/>
        </w:rPr>
        <w:t xml:space="preserve">e lesných hospodárskych plánov, eradikácia chorôb, kontrola BSE, štatistický informačný systém, </w:t>
      </w:r>
      <w:r w:rsidRPr="001F21DD">
        <w:rPr>
          <w:rFonts w:ascii="Arial Narrow" w:hAnsi="Arial Narrow" w:cs="Arial Narrow"/>
          <w:sz w:val="22"/>
          <w:szCs w:val="24"/>
        </w:rPr>
        <w:t>verejnoprospešné aktivity rozvoja vidieka, špecifické činnosti v lesnom hospod</w:t>
      </w:r>
      <w:r>
        <w:rPr>
          <w:rFonts w:ascii="Arial Narrow" w:hAnsi="Arial Narrow" w:cs="Arial Narrow"/>
          <w:sz w:val="22"/>
          <w:szCs w:val="24"/>
        </w:rPr>
        <w:t>árstve, potravinový dozor a iné úlohy rezortu.</w:t>
      </w:r>
    </w:p>
    <w:p w:rsidR="00312541" w:rsidRPr="00C379EE" w:rsidP="00312541">
      <w:pPr>
        <w:jc w:val="both"/>
        <w:outlineLvl w:val="0"/>
        <w:rPr>
          <w:rFonts w:ascii="Arial Narrow" w:hAnsi="Arial Narrow" w:cs="Arial Narrow"/>
          <w:b/>
          <w:kern w:val="32"/>
          <w:sz w:val="22"/>
          <w:szCs w:val="24"/>
        </w:rPr>
      </w:pPr>
    </w:p>
    <w:p w:rsidR="00312541" w:rsidRPr="00AA224D" w:rsidP="00312541">
      <w:pPr>
        <w:rPr>
          <w:rFonts w:ascii="Arial Narrow" w:hAnsi="Arial Narrow" w:cs="Arial Narrow"/>
          <w:b/>
          <w:kern w:val="32"/>
          <w:sz w:val="22"/>
          <w:szCs w:val="24"/>
        </w:rPr>
      </w:pPr>
      <w:r w:rsidRPr="00AA224D">
        <w:rPr>
          <w:rFonts w:ascii="Arial Narrow" w:hAnsi="Arial Narrow" w:cs="Arial Narrow"/>
          <w:b/>
          <w:kern w:val="32"/>
          <w:sz w:val="22"/>
          <w:szCs w:val="24"/>
        </w:rPr>
        <w:t>Úrad geodézie, kartografie a katastra SR</w:t>
      </w:r>
    </w:p>
    <w:p w:rsidR="00312541" w:rsidRPr="00BF7260" w:rsidP="00312541">
      <w:pPr>
        <w:tabs>
          <w:tab w:val="left" w:pos="0"/>
        </w:tabs>
        <w:jc w:val="both"/>
        <w:rPr>
          <w:rFonts w:ascii="Arial Narrow" w:hAnsi="Arial Narrow" w:cs="Arial Narrow"/>
          <w:sz w:val="22"/>
          <w:szCs w:val="24"/>
        </w:rPr>
      </w:pPr>
    </w:p>
    <w:p w:rsidR="00312541" w:rsidRPr="00BF7260" w:rsidP="00312541">
      <w:pPr>
        <w:tabs>
          <w:tab w:val="left" w:pos="0"/>
        </w:tabs>
        <w:jc w:val="both"/>
        <w:rPr>
          <w:rFonts w:ascii="Arial Narrow" w:hAnsi="Arial Narrow" w:cs="Arial Narrow"/>
          <w:sz w:val="22"/>
          <w:szCs w:val="24"/>
        </w:rPr>
      </w:pPr>
      <w:r w:rsidRPr="00BF7260">
        <w:rPr>
          <w:rFonts w:ascii="Arial Narrow" w:hAnsi="Arial Narrow" w:cs="Arial Narrow"/>
          <w:sz w:val="22"/>
          <w:szCs w:val="24"/>
        </w:rPr>
        <w:tab/>
        <w:t xml:space="preserve">Na spravovanie, aktualizáciu a obnovu katastrálneho operátu, prácu na projekte „Usporiadanie registrov obnovenej evidencie pozemkov“ (ROEP), údržbu, modernizáciu a rozvoj geodetických základov, tvorbu základnej bázy údajov pre geografické informačné systémy, tvorbu a obnovu štátnych mapových diel a Edičného plánu Úradu geodézie, kartografie a katastra SR, budovanie Automatizovaného informačného systému geodézie, kartografie a katastra, medzinárodnú spoluprácu a európsku integráciu a výskumné úlohy sú rozpočtované prostriedky v objeme </w:t>
      </w:r>
      <w:r>
        <w:rPr>
          <w:rFonts w:ascii="Arial Narrow" w:hAnsi="Arial Narrow" w:cs="Arial Narrow"/>
          <w:b/>
          <w:sz w:val="22"/>
          <w:szCs w:val="24"/>
        </w:rPr>
        <w:t>39</w:t>
      </w:r>
      <w:r w:rsidRPr="00BF7260">
        <w:rPr>
          <w:rFonts w:ascii="Arial Narrow" w:hAnsi="Arial Narrow" w:cs="Arial Narrow"/>
          <w:b/>
          <w:sz w:val="22"/>
          <w:szCs w:val="24"/>
        </w:rPr>
        <w:t>,6 mil. eur.</w:t>
      </w:r>
    </w:p>
    <w:p w:rsidR="00312541" w:rsidRPr="008D78D9" w:rsidP="00312541">
      <w:pPr>
        <w:tabs>
          <w:tab w:val="left" w:pos="0"/>
        </w:tabs>
        <w:jc w:val="both"/>
        <w:rPr>
          <w:rFonts w:ascii="Arial Narrow" w:hAnsi="Arial Narrow" w:cs="Arial Narrow"/>
          <w:sz w:val="22"/>
          <w:szCs w:val="24"/>
        </w:rPr>
      </w:pPr>
    </w:p>
    <w:p w:rsidR="00312541" w:rsidRPr="003A7796" w:rsidP="00312541">
      <w:pPr>
        <w:jc w:val="both"/>
        <w:rPr>
          <w:rFonts w:ascii="Arial Narrow" w:hAnsi="Arial Narrow" w:cs="Arial Narrow"/>
          <w:b/>
          <w:sz w:val="22"/>
          <w:szCs w:val="24"/>
        </w:rPr>
      </w:pPr>
      <w:bookmarkEnd w:id="58"/>
      <w:bookmarkEnd w:id="59"/>
      <w:bookmarkEnd w:id="60"/>
      <w:r w:rsidRPr="003A7796">
        <w:rPr>
          <w:rFonts w:ascii="Arial Narrow" w:hAnsi="Arial Narrow" w:cs="Arial Narrow"/>
          <w:b/>
          <w:sz w:val="22"/>
          <w:szCs w:val="24"/>
        </w:rPr>
        <w:t>Životné prostredie</w:t>
      </w:r>
    </w:p>
    <w:p w:rsidR="00312541" w:rsidRPr="003A7796" w:rsidP="00312541">
      <w:pPr>
        <w:jc w:val="both"/>
        <w:rPr>
          <w:rFonts w:ascii="Arial Narrow" w:hAnsi="Arial Narrow" w:cs="Arial Narrow"/>
          <w:color w:val="FF0000"/>
          <w:sz w:val="22"/>
          <w:szCs w:val="24"/>
        </w:rPr>
      </w:pPr>
    </w:p>
    <w:p w:rsidR="00312541" w:rsidRPr="003A7796" w:rsidP="00312541">
      <w:pPr>
        <w:ind w:firstLine="708"/>
        <w:jc w:val="both"/>
        <w:rPr>
          <w:rFonts w:ascii="Arial Narrow" w:hAnsi="Arial Narrow" w:cs="Arial Narrow"/>
          <w:sz w:val="22"/>
          <w:szCs w:val="24"/>
        </w:rPr>
      </w:pPr>
      <w:r w:rsidRPr="003A7796">
        <w:rPr>
          <w:rFonts w:ascii="Arial Narrow" w:hAnsi="Arial Narrow" w:cs="Arial Narrow"/>
          <w:sz w:val="22"/>
          <w:szCs w:val="24"/>
        </w:rPr>
        <w:t xml:space="preserve">Verejné výdavky v oblasti životného prostredia sú financované z rôznych zdrojov, pričom </w:t>
      </w:r>
      <w:r w:rsidRPr="003A7796">
        <w:rPr>
          <w:rFonts w:ascii="Arial Narrow" w:hAnsi="Arial Narrow" w:cs="Arial Narrow"/>
          <w:b/>
          <w:sz w:val="22"/>
          <w:szCs w:val="24"/>
        </w:rPr>
        <w:t>podstatný podiel</w:t>
      </w:r>
      <w:r w:rsidRPr="003A7796">
        <w:rPr>
          <w:rFonts w:ascii="Arial Narrow" w:hAnsi="Arial Narrow" w:cs="Arial Narrow"/>
          <w:sz w:val="22"/>
          <w:szCs w:val="24"/>
        </w:rPr>
        <w:t xml:space="preserve"> týchto </w:t>
      </w:r>
      <w:r w:rsidRPr="003A7796">
        <w:rPr>
          <w:rFonts w:ascii="Arial Narrow" w:hAnsi="Arial Narrow" w:cs="Arial Narrow"/>
          <w:b/>
          <w:sz w:val="22"/>
          <w:szCs w:val="24"/>
        </w:rPr>
        <w:t>výdavkov tvoria zdroje EÚ spolu s príslušným spolufinancovaním zo štátneho rozpočtu</w:t>
      </w:r>
      <w:r w:rsidRPr="003A7796">
        <w:rPr>
          <w:rFonts w:ascii="Arial Narrow" w:hAnsi="Arial Narrow" w:cs="Arial Narrow"/>
          <w:sz w:val="22"/>
          <w:szCs w:val="24"/>
        </w:rPr>
        <w:t>, ktoré sú projektovo viazané</w:t>
      </w:r>
      <w:r>
        <w:rPr>
          <w:rFonts w:ascii="Arial Narrow" w:hAnsi="Arial Narrow" w:cs="Arial Narrow"/>
          <w:sz w:val="22"/>
          <w:szCs w:val="24"/>
        </w:rPr>
        <w:t xml:space="preserve">, </w:t>
      </w:r>
      <w:r w:rsidRPr="003A7796">
        <w:rPr>
          <w:rFonts w:ascii="Arial Narrow" w:hAnsi="Arial Narrow" w:cs="Arial Narrow"/>
          <w:b/>
          <w:sz w:val="22"/>
          <w:szCs w:val="24"/>
        </w:rPr>
        <w:t>vlastné zd</w:t>
      </w:r>
      <w:r>
        <w:rPr>
          <w:rFonts w:ascii="Arial Narrow" w:hAnsi="Arial Narrow" w:cs="Arial Narrow"/>
          <w:b/>
          <w:sz w:val="22"/>
          <w:szCs w:val="24"/>
        </w:rPr>
        <w:t>roje kapitoly Ministerstva</w:t>
      </w:r>
      <w:r w:rsidRPr="003A7796">
        <w:rPr>
          <w:rFonts w:ascii="Arial Narrow" w:hAnsi="Arial Narrow" w:cs="Arial Narrow"/>
          <w:b/>
          <w:sz w:val="22"/>
          <w:szCs w:val="24"/>
        </w:rPr>
        <w:t xml:space="preserve"> životného prostredia SR</w:t>
      </w:r>
      <w:r w:rsidRPr="00452D6D">
        <w:rPr>
          <w:rFonts w:ascii="Arial Narrow" w:hAnsi="Arial Narrow" w:cs="Arial Narrow"/>
          <w:sz w:val="22"/>
          <w:szCs w:val="24"/>
        </w:rPr>
        <w:t xml:space="preserve"> a</w:t>
      </w:r>
      <w:r>
        <w:rPr>
          <w:rFonts w:ascii="Arial Narrow" w:hAnsi="Arial Narrow" w:cs="Arial Narrow"/>
          <w:b/>
          <w:sz w:val="22"/>
          <w:szCs w:val="24"/>
        </w:rPr>
        <w:t> prostriedky Environmentálneho fondu</w:t>
      </w:r>
      <w:r w:rsidRPr="003A7796">
        <w:rPr>
          <w:rFonts w:ascii="Arial Narrow" w:hAnsi="Arial Narrow" w:cs="Arial Narrow"/>
          <w:sz w:val="22"/>
          <w:szCs w:val="24"/>
        </w:rPr>
        <w:t>. Ďalšie prostriedky na financovanie opatrení v ž</w:t>
      </w:r>
      <w:r>
        <w:rPr>
          <w:rFonts w:ascii="Arial Narrow" w:hAnsi="Arial Narrow" w:cs="Arial Narrow"/>
          <w:sz w:val="22"/>
          <w:szCs w:val="24"/>
        </w:rPr>
        <w:t>ivotnom prostredí sú v roku 2010</w:t>
      </w:r>
      <w:r w:rsidRPr="003A7796">
        <w:rPr>
          <w:rFonts w:ascii="Arial Narrow" w:hAnsi="Arial Narrow" w:cs="Arial Narrow"/>
          <w:sz w:val="22"/>
          <w:szCs w:val="24"/>
        </w:rPr>
        <w:t xml:space="preserve"> vyčlenené v rámci </w:t>
      </w:r>
      <w:r>
        <w:rPr>
          <w:rFonts w:ascii="Arial Narrow" w:hAnsi="Arial Narrow" w:cs="Arial Narrow"/>
          <w:sz w:val="22"/>
          <w:szCs w:val="24"/>
        </w:rPr>
        <w:t xml:space="preserve">finančného nástroja pre životné prostredie LIFE+, </w:t>
      </w:r>
      <w:r w:rsidRPr="003A7796">
        <w:rPr>
          <w:rFonts w:ascii="Arial Narrow" w:hAnsi="Arial Narrow" w:cs="Arial Narrow"/>
          <w:sz w:val="22"/>
          <w:szCs w:val="24"/>
        </w:rPr>
        <w:t xml:space="preserve">programu ISPA, </w:t>
      </w:r>
      <w:r>
        <w:rPr>
          <w:rFonts w:ascii="Arial Narrow" w:hAnsi="Arial Narrow" w:cs="Arial Narrow"/>
          <w:sz w:val="22"/>
          <w:szCs w:val="24"/>
        </w:rPr>
        <w:t>programov</w:t>
      </w:r>
      <w:r w:rsidRPr="003A7796">
        <w:rPr>
          <w:rFonts w:ascii="Arial Narrow" w:hAnsi="Arial Narrow" w:cs="Arial Narrow"/>
          <w:sz w:val="22"/>
          <w:szCs w:val="24"/>
        </w:rPr>
        <w:t xml:space="preserve"> </w:t>
      </w:r>
      <w:r>
        <w:rPr>
          <w:rFonts w:ascii="Arial Narrow" w:hAnsi="Arial Narrow" w:cs="Arial Narrow"/>
          <w:sz w:val="22"/>
          <w:szCs w:val="24"/>
        </w:rPr>
        <w:t>európskej územnej</w:t>
      </w:r>
      <w:r w:rsidRPr="003A7796">
        <w:rPr>
          <w:rFonts w:ascii="Arial Narrow" w:hAnsi="Arial Narrow" w:cs="Arial Narrow"/>
          <w:sz w:val="22"/>
          <w:szCs w:val="24"/>
        </w:rPr>
        <w:t xml:space="preserve"> spolupráce</w:t>
      </w:r>
      <w:r>
        <w:rPr>
          <w:rFonts w:ascii="Arial Narrow" w:hAnsi="Arial Narrow" w:cs="Arial Narrow"/>
          <w:sz w:val="22"/>
          <w:szCs w:val="24"/>
        </w:rPr>
        <w:t xml:space="preserve">, </w:t>
      </w:r>
      <w:r w:rsidRPr="003A7796">
        <w:rPr>
          <w:rFonts w:ascii="Arial Narrow" w:hAnsi="Arial Narrow" w:cs="Arial Narrow"/>
          <w:sz w:val="22"/>
          <w:szCs w:val="24"/>
        </w:rPr>
        <w:t> </w:t>
      </w:r>
      <w:r>
        <w:rPr>
          <w:rFonts w:ascii="Arial Narrow" w:hAnsi="Arial Narrow" w:cs="Arial Narrow"/>
          <w:sz w:val="22"/>
          <w:szCs w:val="24"/>
        </w:rPr>
        <w:t>Finančného mechanizmu EHP, Nórskeho finančného mechanizmu, vrátane príslušného spolufinancovania.</w:t>
      </w:r>
      <w:r w:rsidRPr="003A7796">
        <w:rPr>
          <w:rFonts w:ascii="Arial Narrow" w:hAnsi="Arial Narrow" w:cs="Arial Narrow"/>
          <w:sz w:val="22"/>
          <w:szCs w:val="24"/>
        </w:rPr>
        <w:t xml:space="preserve"> </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25"/>
          <w:jc w:val="right"/>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4" w:space="0" w:color="auto"/>
              <w:left w:val="nil"/>
              <w:bottom w:val="single" w:sz="4" w:space="0" w:color="auto"/>
              <w:right w:val="single" w:sz="4"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4" w:space="0" w:color="auto"/>
              <w:left w:val="nil"/>
              <w:bottom w:val="single" w:sz="4" w:space="0" w:color="auto"/>
              <w:right w:val="single" w:sz="4"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4" w:space="0" w:color="auto"/>
              <w:left w:val="nil"/>
              <w:bottom w:val="single" w:sz="4" w:space="0" w:color="auto"/>
              <w:right w:val="single" w:sz="4"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4" w:space="0" w:color="auto"/>
              <w:left w:val="nil"/>
              <w:bottom w:val="single" w:sz="4" w:space="0" w:color="auto"/>
              <w:right w:val="single" w:sz="4"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shd w:val="clear" w:color="auto" w:fill="C0C0C0"/>
            <w:noWrap/>
            <w:textDirection w:val="lrTb"/>
            <w:vAlign w:val="bottom"/>
          </w:tcPr>
          <w:p w:rsidR="00312541" w:rsidRPr="00CF08BA" w:rsidP="00A70AF6">
            <w:pPr>
              <w:rPr>
                <w:rFonts w:ascii="Arial Narrow" w:hAnsi="Arial Narrow" w:cs="Arial Narrow"/>
                <w:b/>
                <w:sz w:val="20"/>
                <w:szCs w:val="24"/>
                <w:highlight w:val="lightGray"/>
              </w:rPr>
            </w:pPr>
            <w:r w:rsidRPr="00CF08BA">
              <w:rPr>
                <w:rFonts w:ascii="Arial Narrow" w:hAnsi="Arial Narrow" w:cs="Arial Narrow"/>
                <w:b/>
                <w:sz w:val="20"/>
                <w:szCs w:val="24"/>
                <w:highlight w:val="lightGray"/>
              </w:rPr>
              <w:t>Zdroje smerujúce do oblasti životného prostredia</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91F03" w:rsidP="00A70AF6">
            <w:pPr>
              <w:jc w:val="right"/>
              <w:rPr>
                <w:rFonts w:ascii="Arial Narrow" w:hAnsi="Arial Narrow" w:cs="Arial Narrow"/>
                <w:b/>
                <w:sz w:val="20"/>
                <w:szCs w:val="24"/>
                <w:lang w:eastAsia="sk-SK"/>
              </w:rPr>
            </w:pPr>
            <w:r w:rsidRPr="00D91F03">
              <w:rPr>
                <w:rFonts w:ascii="Arial Narrow" w:hAnsi="Arial Narrow" w:cs="Arial Narrow"/>
                <w:b/>
                <w:sz w:val="20"/>
                <w:szCs w:val="24"/>
                <w:lang w:eastAsia="sk-SK"/>
              </w:rPr>
              <w:t>385 523</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91F03" w:rsidP="00A70AF6">
            <w:pPr>
              <w:jc w:val="right"/>
              <w:rPr>
                <w:rFonts w:ascii="Arial Narrow" w:hAnsi="Arial Narrow" w:cs="Arial Narrow"/>
                <w:b/>
                <w:sz w:val="20"/>
                <w:szCs w:val="24"/>
                <w:lang w:eastAsia="sk-SK"/>
              </w:rPr>
            </w:pPr>
            <w:r w:rsidRPr="00D91F03">
              <w:rPr>
                <w:rFonts w:ascii="Arial Narrow" w:hAnsi="Arial Narrow" w:cs="Arial Narrow"/>
                <w:b/>
                <w:sz w:val="20"/>
                <w:szCs w:val="24"/>
                <w:lang w:eastAsia="sk-SK"/>
              </w:rPr>
              <w:t>464 313</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91F03" w:rsidP="00A70AF6">
            <w:pPr>
              <w:jc w:val="right"/>
              <w:rPr>
                <w:rFonts w:ascii="Arial Narrow" w:hAnsi="Arial Narrow" w:cs="Arial Narrow"/>
                <w:b/>
                <w:sz w:val="20"/>
                <w:szCs w:val="24"/>
                <w:lang w:eastAsia="sk-SK"/>
              </w:rPr>
            </w:pPr>
            <w:r w:rsidRPr="00D91F03">
              <w:rPr>
                <w:rFonts w:ascii="Arial Narrow" w:hAnsi="Arial Narrow" w:cs="Arial Narrow"/>
                <w:b/>
                <w:sz w:val="20"/>
                <w:szCs w:val="24"/>
                <w:lang w:eastAsia="sk-SK"/>
              </w:rPr>
              <w:t>485 796</w:t>
            </w:r>
          </w:p>
        </w:tc>
        <w:tc>
          <w:tcPr>
            <w:tcW w:w="1125" w:type="dxa"/>
            <w:tcBorders>
              <w:top w:val="nil"/>
              <w:left w:val="nil"/>
              <w:bottom w:val="single" w:sz="4" w:space="0" w:color="auto"/>
              <w:right w:val="single" w:sz="4" w:space="0" w:color="auto"/>
            </w:tcBorders>
            <w:shd w:val="clear" w:color="auto" w:fill="C0C0C0"/>
            <w:textDirection w:val="lrTb"/>
            <w:vAlign w:val="bottom"/>
          </w:tcPr>
          <w:p w:rsidR="00312541" w:rsidRPr="00D91F03" w:rsidP="00A70AF6">
            <w:pPr>
              <w:jc w:val="right"/>
              <w:rPr>
                <w:rFonts w:ascii="Arial Narrow" w:hAnsi="Arial Narrow" w:cs="Arial Narrow"/>
                <w:b/>
                <w:sz w:val="20"/>
                <w:szCs w:val="24"/>
                <w:lang w:eastAsia="sk-SK"/>
              </w:rPr>
            </w:pPr>
            <w:r w:rsidRPr="00D91F03">
              <w:rPr>
                <w:rFonts w:ascii="Arial Narrow" w:hAnsi="Arial Narrow" w:cs="Arial Narrow"/>
                <w:b/>
                <w:sz w:val="20"/>
                <w:szCs w:val="24"/>
                <w:lang w:eastAsia="sk-SK"/>
              </w:rPr>
              <w:t>485 844</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štátny rozpočet</w:t>
            </w:r>
          </w:p>
        </w:tc>
        <w:tc>
          <w:tcPr>
            <w:tcW w:w="1125" w:type="dxa"/>
            <w:tcBorders>
              <w:top w:val="nil"/>
              <w:left w:val="nil"/>
              <w:bottom w:val="single" w:sz="4" w:space="0" w:color="auto"/>
              <w:right w:val="single" w:sz="4" w:space="0" w:color="auto"/>
            </w:tcBorders>
            <w:noWrap/>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124 568</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57 007</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58 403</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58 577</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 xml:space="preserve">zdroje EÚ </w:t>
            </w:r>
          </w:p>
        </w:tc>
        <w:tc>
          <w:tcPr>
            <w:tcW w:w="1125" w:type="dxa"/>
            <w:tcBorders>
              <w:top w:val="nil"/>
              <w:left w:val="nil"/>
              <w:bottom w:val="single" w:sz="4" w:space="0" w:color="auto"/>
              <w:right w:val="single" w:sz="4" w:space="0" w:color="auto"/>
            </w:tcBorders>
            <w:noWrap/>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167 627</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235 993</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267 764</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267 764</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spolufinancovanie zo ŠR</w:t>
            </w:r>
          </w:p>
        </w:tc>
        <w:tc>
          <w:tcPr>
            <w:tcW w:w="1125" w:type="dxa"/>
            <w:tcBorders>
              <w:top w:val="nil"/>
              <w:left w:val="nil"/>
              <w:bottom w:val="single" w:sz="4" w:space="0" w:color="auto"/>
              <w:right w:val="single" w:sz="4" w:space="0" w:color="auto"/>
            </w:tcBorders>
            <w:noWrap/>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30 896</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36 601</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39 260</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39 493</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iné zahraničné zdroje*</w:t>
            </w:r>
          </w:p>
        </w:tc>
        <w:tc>
          <w:tcPr>
            <w:tcW w:w="1125" w:type="dxa"/>
            <w:tcBorders>
              <w:top w:val="nil"/>
              <w:left w:val="nil"/>
              <w:bottom w:val="single" w:sz="4" w:space="0" w:color="auto"/>
              <w:right w:val="single" w:sz="4" w:space="0" w:color="auto"/>
            </w:tcBorders>
            <w:noWrap/>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12 519</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6 688</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3 574</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3 476</w:t>
            </w:r>
          </w:p>
        </w:tc>
      </w:tr>
      <w:tr>
        <w:tblPrEx>
          <w:tblW w:w="9195" w:type="dxa"/>
          <w:jc w:val="right"/>
          <w:tblInd w:w="0" w:type="dxa"/>
          <w:tblLayout w:type="fixed"/>
          <w:tblCellMar>
            <w:left w:w="70" w:type="dxa"/>
            <w:right w:w="70" w:type="dxa"/>
          </w:tblCellMar>
        </w:tblPrEx>
        <w:trPr>
          <w:trHeight w:val="225"/>
          <w:jc w:val="right"/>
        </w:trPr>
        <w:tc>
          <w:tcPr>
            <w:tcW w:w="4695" w:type="dxa"/>
            <w:tcBorders>
              <w:top w:val="nil"/>
              <w:left w:val="single" w:sz="4" w:space="0" w:color="auto"/>
              <w:bottom w:val="single" w:sz="4" w:space="0" w:color="auto"/>
              <w:right w:val="single" w:sz="4" w:space="0" w:color="auto"/>
            </w:tcBorders>
            <w:noWrap/>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Environmentálny fond</w:t>
            </w:r>
          </w:p>
        </w:tc>
        <w:tc>
          <w:tcPr>
            <w:tcW w:w="1125" w:type="dxa"/>
            <w:tcBorders>
              <w:top w:val="nil"/>
              <w:left w:val="nil"/>
              <w:bottom w:val="single" w:sz="4" w:space="0" w:color="auto"/>
              <w:right w:val="single" w:sz="4" w:space="0" w:color="auto"/>
            </w:tcBorders>
            <w:noWrap/>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49 913</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128 024</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116 795</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116 534</w:t>
            </w:r>
          </w:p>
        </w:tc>
      </w:tr>
    </w:tbl>
    <w:p w:rsidR="00312541" w:rsidRPr="00CF08BA" w:rsidP="00312541">
      <w:pPr>
        <w:jc w:val="both"/>
        <w:rPr>
          <w:rFonts w:ascii="Arial Narrow" w:hAnsi="Arial Narrow" w:cs="Arial Narrow"/>
          <w:sz w:val="16"/>
          <w:szCs w:val="24"/>
        </w:rPr>
      </w:pPr>
      <w:r w:rsidRPr="00CF08BA">
        <w:rPr>
          <w:rFonts w:ascii="Arial Narrow" w:hAnsi="Arial Narrow" w:cs="Arial Narrow"/>
          <w:sz w:val="16"/>
          <w:szCs w:val="24"/>
        </w:rPr>
        <w:t>* zdroje ISPA, EHP, NFM</w:t>
      </w:r>
      <w:r>
        <w:rPr>
          <w:rFonts w:ascii="Arial Narrow" w:hAnsi="Arial Narrow" w:cs="Arial Narrow"/>
          <w:sz w:val="16"/>
          <w:szCs w:val="24"/>
        </w:rPr>
        <w:t xml:space="preserve">, </w:t>
      </w:r>
      <w:r w:rsidRPr="00CF08BA">
        <w:rPr>
          <w:rFonts w:ascii="Arial Narrow" w:hAnsi="Arial Narrow" w:cs="Arial Narrow"/>
          <w:sz w:val="16"/>
          <w:szCs w:val="24"/>
        </w:rPr>
        <w:t xml:space="preserve">vrátane </w:t>
      </w:r>
      <w:r>
        <w:rPr>
          <w:rFonts w:ascii="Arial Narrow" w:hAnsi="Arial Narrow" w:cs="Arial Narrow"/>
          <w:sz w:val="16"/>
          <w:szCs w:val="24"/>
        </w:rPr>
        <w:t xml:space="preserve">príslušného </w:t>
      </w:r>
      <w:r w:rsidRPr="00CF08BA">
        <w:rPr>
          <w:rFonts w:ascii="Arial Narrow" w:hAnsi="Arial Narrow" w:cs="Arial Narrow"/>
          <w:sz w:val="16"/>
          <w:szCs w:val="24"/>
        </w:rPr>
        <w:t xml:space="preserve">spolufinancovania, </w:t>
      </w:r>
      <w:r>
        <w:rPr>
          <w:rFonts w:ascii="Arial Narrow" w:hAnsi="Arial Narrow" w:cs="Arial Narrow"/>
          <w:sz w:val="16"/>
          <w:szCs w:val="24"/>
        </w:rPr>
        <w:t>LIFE+, ETC</w:t>
      </w:r>
    </w:p>
    <w:p w:rsidR="00312541" w:rsidRPr="003A7796" w:rsidP="00312541">
      <w:pPr>
        <w:jc w:val="both"/>
        <w:rPr>
          <w:rFonts w:ascii="Arial Narrow" w:hAnsi="Arial Narrow" w:cs="Arial Narrow"/>
          <w:sz w:val="22"/>
          <w:szCs w:val="24"/>
        </w:rPr>
      </w:pPr>
    </w:p>
    <w:p w:rsidR="00312541" w:rsidRPr="003A7796" w:rsidP="00312541">
      <w:pPr>
        <w:ind w:firstLine="708"/>
        <w:jc w:val="both"/>
        <w:rPr>
          <w:rFonts w:ascii="Arial Narrow" w:hAnsi="Arial Narrow" w:cs="Arial Narrow"/>
          <w:sz w:val="22"/>
          <w:szCs w:val="24"/>
        </w:rPr>
      </w:pPr>
      <w:r w:rsidRPr="00B77B8A">
        <w:rPr>
          <w:rFonts w:ascii="Arial Narrow" w:hAnsi="Arial Narrow" w:cs="Arial Narrow"/>
          <w:b/>
          <w:sz w:val="22"/>
          <w:szCs w:val="24"/>
        </w:rPr>
        <w:t>Celková výška verejných výdavkov</w:t>
      </w:r>
      <w:r w:rsidRPr="005811B5">
        <w:rPr>
          <w:rFonts w:ascii="Arial Narrow" w:hAnsi="Arial Narrow" w:cs="Arial Narrow"/>
          <w:sz w:val="22"/>
          <w:szCs w:val="24"/>
        </w:rPr>
        <w:t xml:space="preserve"> smerujúcich v roku 2010 </w:t>
      </w:r>
      <w:r w:rsidRPr="00B77B8A">
        <w:rPr>
          <w:rFonts w:ascii="Arial Narrow" w:hAnsi="Arial Narrow" w:cs="Arial Narrow"/>
          <w:b/>
          <w:sz w:val="22"/>
          <w:szCs w:val="24"/>
        </w:rPr>
        <w:t>do životného prostredia</w:t>
      </w:r>
      <w:r w:rsidRPr="005811B5">
        <w:rPr>
          <w:rFonts w:ascii="Arial Narrow" w:hAnsi="Arial Narrow" w:cs="Arial Narrow"/>
          <w:sz w:val="22"/>
          <w:szCs w:val="24"/>
        </w:rPr>
        <w:t xml:space="preserve">  preds</w:t>
      </w:r>
      <w:r>
        <w:rPr>
          <w:rFonts w:ascii="Arial Narrow" w:hAnsi="Arial Narrow" w:cs="Arial Narrow"/>
          <w:sz w:val="22"/>
          <w:szCs w:val="24"/>
        </w:rPr>
        <w:t>tavuje sumu v celkovej výške 464</w:t>
      </w:r>
      <w:r w:rsidRPr="005811B5">
        <w:rPr>
          <w:rFonts w:ascii="Arial Narrow" w:hAnsi="Arial Narrow" w:cs="Arial Narrow"/>
          <w:sz w:val="22"/>
          <w:szCs w:val="24"/>
        </w:rPr>
        <w:t xml:space="preserve"> mil. eur. V porovnaní</w:t>
      </w:r>
      <w:r>
        <w:rPr>
          <w:rFonts w:ascii="Arial Narrow" w:hAnsi="Arial Narrow" w:cs="Arial Narrow"/>
          <w:sz w:val="22"/>
          <w:szCs w:val="24"/>
        </w:rPr>
        <w:t xml:space="preserve"> s rokom 2006 zdroje smerujúce do oblasti životného prostredia </w:t>
      </w:r>
      <w:r w:rsidRPr="00B77B8A">
        <w:rPr>
          <w:rFonts w:ascii="Arial Narrow" w:hAnsi="Arial Narrow" w:cs="Arial Narrow"/>
          <w:b/>
          <w:sz w:val="22"/>
          <w:szCs w:val="24"/>
        </w:rPr>
        <w:t>rastú</w:t>
      </w:r>
      <w:r>
        <w:rPr>
          <w:rFonts w:ascii="Arial Narrow" w:hAnsi="Arial Narrow" w:cs="Arial Narrow"/>
          <w:sz w:val="22"/>
          <w:szCs w:val="24"/>
        </w:rPr>
        <w:t xml:space="preserve"> v roku 2010 </w:t>
      </w:r>
      <w:r w:rsidRPr="00B77B8A">
        <w:rPr>
          <w:rFonts w:ascii="Arial Narrow" w:hAnsi="Arial Narrow" w:cs="Arial Narrow"/>
          <w:b/>
          <w:sz w:val="22"/>
          <w:szCs w:val="24"/>
        </w:rPr>
        <w:t>o 24,6 %</w:t>
      </w:r>
      <w:r w:rsidRPr="00B77B8A">
        <w:rPr>
          <w:rFonts w:ascii="Arial Narrow" w:hAnsi="Arial Narrow" w:cs="Arial Narrow"/>
          <w:sz w:val="22"/>
          <w:szCs w:val="24"/>
        </w:rPr>
        <w:t xml:space="preserve"> a </w:t>
      </w:r>
      <w:r>
        <w:rPr>
          <w:rFonts w:ascii="Arial Narrow" w:hAnsi="Arial Narrow" w:cs="Arial Narrow"/>
          <w:sz w:val="22"/>
          <w:szCs w:val="24"/>
        </w:rPr>
        <w:t>oproti</w:t>
      </w:r>
      <w:r w:rsidRPr="00B77B8A">
        <w:rPr>
          <w:rFonts w:ascii="Arial Narrow" w:hAnsi="Arial Narrow" w:cs="Arial Narrow"/>
          <w:sz w:val="22"/>
          <w:szCs w:val="24"/>
        </w:rPr>
        <w:t> rok</w:t>
      </w:r>
      <w:r>
        <w:rPr>
          <w:rFonts w:ascii="Arial Narrow" w:hAnsi="Arial Narrow" w:cs="Arial Narrow"/>
          <w:sz w:val="22"/>
          <w:szCs w:val="24"/>
        </w:rPr>
        <w:t>u</w:t>
      </w:r>
      <w:r w:rsidRPr="00B77B8A">
        <w:rPr>
          <w:rFonts w:ascii="Arial Narrow" w:hAnsi="Arial Narrow" w:cs="Arial Narrow"/>
          <w:sz w:val="22"/>
          <w:szCs w:val="24"/>
        </w:rPr>
        <w:t xml:space="preserve"> 2009 </w:t>
      </w:r>
      <w:r>
        <w:rPr>
          <w:rFonts w:ascii="Arial Narrow" w:hAnsi="Arial Narrow" w:cs="Arial Narrow"/>
          <w:b/>
          <w:sz w:val="22"/>
          <w:szCs w:val="24"/>
        </w:rPr>
        <w:t>rastú</w:t>
      </w:r>
      <w:r w:rsidRPr="00B77B8A">
        <w:rPr>
          <w:rFonts w:ascii="Arial Narrow" w:hAnsi="Arial Narrow" w:cs="Arial Narrow"/>
          <w:b/>
          <w:sz w:val="22"/>
          <w:szCs w:val="24"/>
        </w:rPr>
        <w:t xml:space="preserve"> o</w:t>
      </w:r>
      <w:r>
        <w:rPr>
          <w:rFonts w:ascii="Arial Narrow" w:hAnsi="Arial Narrow" w:cs="Arial Narrow"/>
          <w:b/>
          <w:sz w:val="22"/>
          <w:szCs w:val="24"/>
        </w:rPr>
        <w:t xml:space="preserve"> 20,4 </w:t>
      </w:r>
      <w:r w:rsidRPr="00B77B8A">
        <w:rPr>
          <w:rFonts w:ascii="Arial Narrow" w:hAnsi="Arial Narrow" w:cs="Arial Narrow"/>
          <w:b/>
          <w:sz w:val="22"/>
          <w:szCs w:val="24"/>
        </w:rPr>
        <w:t>%</w:t>
      </w:r>
      <w:r>
        <w:rPr>
          <w:rFonts w:ascii="Arial Narrow" w:hAnsi="Arial Narrow" w:cs="Arial Narrow"/>
          <w:b/>
          <w:sz w:val="22"/>
          <w:szCs w:val="24"/>
        </w:rPr>
        <w:t>.</w:t>
      </w:r>
    </w:p>
    <w:p w:rsidR="00312541" w:rsidRPr="003A7796" w:rsidP="00312541">
      <w:pPr>
        <w:jc w:val="both"/>
        <w:rPr>
          <w:rFonts w:ascii="Arial Narrow" w:hAnsi="Arial Narrow" w:cs="Arial Narrow"/>
          <w:sz w:val="22"/>
          <w:szCs w:val="24"/>
        </w:rPr>
      </w:pPr>
    </w:p>
    <w:p w:rsidR="00312541" w:rsidRPr="003A7796" w:rsidP="00312541">
      <w:pPr>
        <w:jc w:val="both"/>
        <w:rPr>
          <w:rFonts w:ascii="Arial Narrow" w:hAnsi="Arial Narrow" w:cs="Arial Narrow"/>
          <w:i/>
          <w:sz w:val="22"/>
          <w:szCs w:val="24"/>
        </w:rPr>
      </w:pPr>
      <w:r w:rsidRPr="003A7796">
        <w:rPr>
          <w:rFonts w:ascii="Arial Narrow" w:hAnsi="Arial Narrow" w:cs="Arial Narrow"/>
          <w:i/>
          <w:sz w:val="22"/>
          <w:szCs w:val="24"/>
        </w:rPr>
        <w:t>Vodné hospodárstvo</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10"/>
          <w:jc w:val="right"/>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10"/>
          <w:jc w:val="right"/>
        </w:trPr>
        <w:tc>
          <w:tcPr>
            <w:tcW w:w="4695" w:type="dxa"/>
            <w:tcBorders>
              <w:top w:val="nil"/>
              <w:left w:val="single" w:sz="8" w:space="0" w:color="auto"/>
              <w:bottom w:val="single" w:sz="4" w:space="0" w:color="auto"/>
              <w:right w:val="single" w:sz="4" w:space="0" w:color="auto"/>
            </w:tcBorders>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Zdroje smerujúce do vodného hospodárstva</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223 969</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233 938</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281 558</w:t>
            </w:r>
          </w:p>
        </w:tc>
        <w:tc>
          <w:tcPr>
            <w:tcW w:w="1125" w:type="dxa"/>
            <w:tcBorders>
              <w:top w:val="nil"/>
              <w:left w:val="nil"/>
              <w:bottom w:val="single" w:sz="4" w:space="0" w:color="auto"/>
              <w:right w:val="single" w:sz="4" w:space="0" w:color="auto"/>
            </w:tcBorders>
            <w:textDirection w:val="lrTb"/>
            <w:vAlign w:val="bottom"/>
          </w:tcPr>
          <w:p w:rsidR="00312541" w:rsidRPr="00D91F03" w:rsidP="00A70AF6">
            <w:pPr>
              <w:jc w:val="right"/>
              <w:rPr>
                <w:rFonts w:ascii="Arial Narrow" w:hAnsi="Arial Narrow" w:cs="Arial Narrow"/>
                <w:sz w:val="20"/>
                <w:szCs w:val="24"/>
                <w:lang w:eastAsia="sk-SK"/>
              </w:rPr>
            </w:pPr>
            <w:r w:rsidRPr="00D91F03">
              <w:rPr>
                <w:rFonts w:ascii="Arial Narrow" w:hAnsi="Arial Narrow" w:cs="Arial Narrow"/>
                <w:sz w:val="20"/>
                <w:szCs w:val="24"/>
                <w:lang w:eastAsia="sk-SK"/>
              </w:rPr>
              <w:t>281 217</w:t>
            </w:r>
          </w:p>
        </w:tc>
      </w:tr>
    </w:tbl>
    <w:p w:rsidR="00312541" w:rsidRPr="00CF08BA" w:rsidP="00312541">
      <w:pPr>
        <w:jc w:val="both"/>
        <w:rPr>
          <w:rFonts w:ascii="Arial Narrow" w:hAnsi="Arial Narrow" w:cs="Arial Narrow"/>
          <w:sz w:val="22"/>
          <w:szCs w:val="24"/>
        </w:rPr>
      </w:pPr>
    </w:p>
    <w:p w:rsidR="00312541" w:rsidRPr="003A7796" w:rsidP="00312541">
      <w:pPr>
        <w:ind w:firstLine="708"/>
        <w:jc w:val="both"/>
        <w:rPr>
          <w:rFonts w:ascii="Arial Narrow" w:hAnsi="Arial Narrow" w:cs="Arial Narrow"/>
          <w:b/>
          <w:sz w:val="22"/>
          <w:szCs w:val="24"/>
        </w:rPr>
      </w:pPr>
      <w:r w:rsidRPr="003A7796">
        <w:rPr>
          <w:rFonts w:ascii="Arial Narrow" w:hAnsi="Arial Narrow" w:cs="Arial Narrow"/>
          <w:sz w:val="22"/>
          <w:szCs w:val="24"/>
        </w:rPr>
        <w:t>Na v</w:t>
      </w:r>
      <w:r>
        <w:rPr>
          <w:rFonts w:ascii="Arial Narrow" w:hAnsi="Arial Narrow" w:cs="Arial Narrow"/>
          <w:sz w:val="22"/>
          <w:szCs w:val="24"/>
        </w:rPr>
        <w:t>odné hospodárstvo sa v roku 2010</w:t>
      </w:r>
      <w:r w:rsidRPr="003A7796">
        <w:rPr>
          <w:rFonts w:ascii="Arial Narrow" w:hAnsi="Arial Narrow" w:cs="Arial Narrow"/>
          <w:sz w:val="22"/>
          <w:szCs w:val="24"/>
        </w:rPr>
        <w:t xml:space="preserve"> rozpočtujú vlastné prostriedky kapitoly, prostriedky EÚ, spolufinancovanie prostriedkov EÚ z</w:t>
      </w:r>
      <w:r>
        <w:rPr>
          <w:rFonts w:ascii="Arial Narrow" w:hAnsi="Arial Narrow" w:cs="Arial Narrow"/>
          <w:sz w:val="22"/>
          <w:szCs w:val="24"/>
        </w:rPr>
        <w:t>o ŠR, prostriedky programu ISPA a</w:t>
      </w:r>
      <w:r w:rsidRPr="003A7796">
        <w:rPr>
          <w:rFonts w:ascii="Arial Narrow" w:hAnsi="Arial Narrow" w:cs="Arial Narrow"/>
          <w:sz w:val="22"/>
          <w:szCs w:val="24"/>
        </w:rPr>
        <w:t xml:space="preserve"> Environmentálneho fondu</w:t>
      </w:r>
      <w:r>
        <w:rPr>
          <w:rFonts w:ascii="Arial Narrow" w:hAnsi="Arial Narrow" w:cs="Arial Narrow"/>
          <w:sz w:val="22"/>
          <w:szCs w:val="24"/>
        </w:rPr>
        <w:t>.</w:t>
      </w:r>
      <w:r w:rsidRPr="003A7796">
        <w:rPr>
          <w:rFonts w:ascii="Arial Narrow" w:hAnsi="Arial Narrow" w:cs="Arial Narrow"/>
          <w:sz w:val="22"/>
          <w:szCs w:val="24"/>
        </w:rPr>
        <w:t xml:space="preserve"> Prostriedky smerujú hlavne na konkrétne projekty budovania a rekonštrukcie infraštruktúry vodného hospodárstva (preventívne </w:t>
      </w:r>
      <w:r w:rsidRPr="003A7796">
        <w:rPr>
          <w:rFonts w:ascii="Arial Narrow" w:hAnsi="Arial Narrow" w:cs="Arial Narrow"/>
          <w:b/>
          <w:sz w:val="22"/>
          <w:szCs w:val="24"/>
        </w:rPr>
        <w:t>protipovodňové opatrenia</w:t>
      </w:r>
      <w:r w:rsidRPr="003A7796">
        <w:rPr>
          <w:rFonts w:ascii="Arial Narrow" w:hAnsi="Arial Narrow" w:cs="Arial Narrow"/>
          <w:sz w:val="22"/>
          <w:szCs w:val="24"/>
        </w:rPr>
        <w:t xml:space="preserve">, dobudovanie a prevádzka povodňového varovného a predpovedného systému, </w:t>
      </w:r>
      <w:r w:rsidRPr="003A7796">
        <w:rPr>
          <w:rFonts w:ascii="Arial Narrow" w:hAnsi="Arial Narrow" w:cs="Arial Narrow"/>
          <w:b/>
          <w:sz w:val="22"/>
          <w:szCs w:val="24"/>
        </w:rPr>
        <w:t>zásobovanie vodou</w:t>
      </w:r>
      <w:r w:rsidRPr="003A7796">
        <w:rPr>
          <w:rFonts w:ascii="Arial Narrow" w:hAnsi="Arial Narrow" w:cs="Arial Narrow"/>
          <w:sz w:val="22"/>
          <w:szCs w:val="24"/>
        </w:rPr>
        <w:t xml:space="preserve">, </w:t>
      </w:r>
      <w:r w:rsidRPr="003A7796">
        <w:rPr>
          <w:rFonts w:ascii="Arial Narrow" w:hAnsi="Arial Narrow" w:cs="Arial Narrow"/>
          <w:b/>
          <w:sz w:val="22"/>
          <w:szCs w:val="24"/>
        </w:rPr>
        <w:t>odvádzanie a čistenie odpadových vôd</w:t>
      </w:r>
      <w:r w:rsidRPr="003A7796">
        <w:rPr>
          <w:rFonts w:ascii="Arial Narrow" w:hAnsi="Arial Narrow" w:cs="Arial Narrow"/>
          <w:sz w:val="22"/>
          <w:szCs w:val="24"/>
        </w:rPr>
        <w:t>).</w:t>
      </w:r>
    </w:p>
    <w:p w:rsidR="00312541" w:rsidRPr="003A7796" w:rsidP="00312541">
      <w:pPr>
        <w:jc w:val="both"/>
        <w:rPr>
          <w:rFonts w:ascii="Arial Narrow" w:hAnsi="Arial Narrow" w:cs="Arial Narrow"/>
          <w:sz w:val="22"/>
          <w:szCs w:val="24"/>
        </w:rPr>
      </w:pPr>
    </w:p>
    <w:p w:rsidR="00312541" w:rsidRPr="003A7796" w:rsidP="00312541">
      <w:pPr>
        <w:jc w:val="both"/>
        <w:rPr>
          <w:rFonts w:ascii="Arial Narrow" w:hAnsi="Arial Narrow" w:cs="Arial Narrow"/>
          <w:i/>
          <w:sz w:val="22"/>
          <w:szCs w:val="24"/>
        </w:rPr>
      </w:pPr>
      <w:r w:rsidRPr="003A7796">
        <w:rPr>
          <w:rFonts w:ascii="Arial Narrow" w:hAnsi="Arial Narrow" w:cs="Arial Narrow"/>
          <w:i/>
          <w:sz w:val="22"/>
          <w:szCs w:val="24"/>
        </w:rPr>
        <w:t>Ochrana ovzdušia</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10"/>
          <w:jc w:val="right"/>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10"/>
          <w:jc w:val="right"/>
        </w:trPr>
        <w:tc>
          <w:tcPr>
            <w:tcW w:w="4695" w:type="dxa"/>
            <w:tcBorders>
              <w:top w:val="nil"/>
              <w:left w:val="single" w:sz="8" w:space="0" w:color="auto"/>
              <w:bottom w:val="single" w:sz="4" w:space="0" w:color="auto"/>
              <w:right w:val="single" w:sz="4" w:space="0" w:color="auto"/>
            </w:tcBorders>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Zdroje smerujúce do ochrany ovzdušia</w:t>
            </w:r>
          </w:p>
        </w:tc>
        <w:tc>
          <w:tcPr>
            <w:tcW w:w="1125" w:type="dxa"/>
            <w:tcBorders>
              <w:top w:val="nil"/>
              <w:left w:val="nil"/>
              <w:bottom w:val="single" w:sz="4" w:space="0" w:color="auto"/>
              <w:right w:val="single" w:sz="4" w:space="0" w:color="auto"/>
            </w:tcBorders>
            <w:textDirection w:val="lrTb"/>
            <w:vAlign w:val="bottom"/>
          </w:tcPr>
          <w:p w:rsidR="00312541" w:rsidRPr="00504DBA" w:rsidP="00A70AF6">
            <w:pPr>
              <w:jc w:val="right"/>
              <w:rPr>
                <w:rFonts w:ascii="Arial Narrow" w:hAnsi="Arial Narrow" w:cs="Arial Narrow"/>
                <w:sz w:val="20"/>
                <w:szCs w:val="24"/>
                <w:lang w:eastAsia="sk-SK"/>
              </w:rPr>
            </w:pPr>
            <w:r w:rsidRPr="00504DBA">
              <w:rPr>
                <w:rFonts w:ascii="Arial Narrow" w:hAnsi="Arial Narrow" w:cs="Arial Narrow"/>
                <w:sz w:val="20"/>
                <w:szCs w:val="24"/>
                <w:lang w:eastAsia="sk-SK"/>
              </w:rPr>
              <w:t>40 058</w:t>
            </w:r>
          </w:p>
        </w:tc>
        <w:tc>
          <w:tcPr>
            <w:tcW w:w="1125" w:type="dxa"/>
            <w:tcBorders>
              <w:top w:val="nil"/>
              <w:left w:val="nil"/>
              <w:bottom w:val="single" w:sz="4" w:space="0" w:color="auto"/>
              <w:right w:val="single" w:sz="4" w:space="0" w:color="auto"/>
            </w:tcBorders>
            <w:textDirection w:val="lrTb"/>
            <w:vAlign w:val="bottom"/>
          </w:tcPr>
          <w:p w:rsidR="00312541" w:rsidRPr="00504DBA" w:rsidP="00A70AF6">
            <w:pPr>
              <w:jc w:val="right"/>
              <w:rPr>
                <w:rFonts w:ascii="Arial Narrow" w:hAnsi="Arial Narrow" w:cs="Arial Narrow"/>
                <w:sz w:val="20"/>
                <w:szCs w:val="24"/>
                <w:lang w:eastAsia="sk-SK"/>
              </w:rPr>
            </w:pPr>
            <w:r w:rsidRPr="00504DBA">
              <w:rPr>
                <w:rFonts w:ascii="Arial Narrow" w:hAnsi="Arial Narrow" w:cs="Arial Narrow"/>
                <w:sz w:val="20"/>
                <w:szCs w:val="24"/>
                <w:lang w:eastAsia="sk-SK"/>
              </w:rPr>
              <w:t>48 154</w:t>
            </w:r>
          </w:p>
        </w:tc>
        <w:tc>
          <w:tcPr>
            <w:tcW w:w="1125" w:type="dxa"/>
            <w:tcBorders>
              <w:top w:val="nil"/>
              <w:left w:val="nil"/>
              <w:bottom w:val="single" w:sz="4" w:space="0" w:color="auto"/>
              <w:right w:val="single" w:sz="4" w:space="0" w:color="auto"/>
            </w:tcBorders>
            <w:textDirection w:val="lrTb"/>
            <w:vAlign w:val="bottom"/>
          </w:tcPr>
          <w:p w:rsidR="00312541" w:rsidRPr="00504DBA" w:rsidP="00A70AF6">
            <w:pPr>
              <w:jc w:val="right"/>
              <w:rPr>
                <w:rFonts w:ascii="Arial Narrow" w:hAnsi="Arial Narrow" w:cs="Arial Narrow"/>
                <w:sz w:val="20"/>
                <w:szCs w:val="24"/>
                <w:lang w:eastAsia="sk-SK"/>
              </w:rPr>
            </w:pPr>
            <w:r w:rsidRPr="00504DBA">
              <w:rPr>
                <w:rFonts w:ascii="Arial Narrow" w:hAnsi="Arial Narrow" w:cs="Arial Narrow"/>
                <w:sz w:val="20"/>
                <w:szCs w:val="24"/>
                <w:lang w:eastAsia="sk-SK"/>
              </w:rPr>
              <w:t>32 034</w:t>
            </w:r>
          </w:p>
        </w:tc>
        <w:tc>
          <w:tcPr>
            <w:tcW w:w="1125" w:type="dxa"/>
            <w:tcBorders>
              <w:top w:val="nil"/>
              <w:left w:val="nil"/>
              <w:bottom w:val="single" w:sz="4" w:space="0" w:color="auto"/>
              <w:right w:val="single" w:sz="4" w:space="0" w:color="auto"/>
            </w:tcBorders>
            <w:textDirection w:val="lrTb"/>
            <w:vAlign w:val="bottom"/>
          </w:tcPr>
          <w:p w:rsidR="00312541" w:rsidRPr="00504DBA" w:rsidP="00A70AF6">
            <w:pPr>
              <w:jc w:val="right"/>
              <w:rPr>
                <w:rFonts w:ascii="Arial Narrow" w:hAnsi="Arial Narrow" w:cs="Arial Narrow"/>
                <w:sz w:val="20"/>
                <w:szCs w:val="24"/>
                <w:lang w:eastAsia="sk-SK"/>
              </w:rPr>
            </w:pPr>
            <w:r w:rsidRPr="00504DBA">
              <w:rPr>
                <w:rFonts w:ascii="Arial Narrow" w:hAnsi="Arial Narrow" w:cs="Arial Narrow"/>
                <w:sz w:val="20"/>
                <w:szCs w:val="24"/>
                <w:lang w:eastAsia="sk-SK"/>
              </w:rPr>
              <w:t>32 032</w:t>
            </w:r>
          </w:p>
        </w:tc>
      </w:tr>
    </w:tbl>
    <w:p w:rsidR="00312541" w:rsidRPr="003A7796"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3A7796">
        <w:rPr>
          <w:rFonts w:ascii="Arial Narrow" w:hAnsi="Arial Narrow" w:cs="Arial Narrow"/>
          <w:sz w:val="22"/>
          <w:szCs w:val="24"/>
        </w:rPr>
        <w:t>Výdavky</w:t>
      </w:r>
      <w:r>
        <w:rPr>
          <w:rFonts w:ascii="Arial Narrow" w:hAnsi="Arial Narrow" w:cs="Arial Narrow"/>
          <w:sz w:val="22"/>
          <w:szCs w:val="24"/>
        </w:rPr>
        <w:t xml:space="preserve"> na ochranu ovzdušia v roku 2010</w:t>
      </w:r>
      <w:r w:rsidRPr="003A7796">
        <w:rPr>
          <w:rFonts w:ascii="Arial Narrow" w:hAnsi="Arial Narrow" w:cs="Arial Narrow"/>
          <w:sz w:val="22"/>
          <w:szCs w:val="24"/>
        </w:rPr>
        <w:t xml:space="preserve"> pozostávajú z prostriedkov </w:t>
      </w:r>
      <w:r>
        <w:rPr>
          <w:rFonts w:ascii="Arial Narrow" w:hAnsi="Arial Narrow" w:cs="Arial Narrow"/>
          <w:sz w:val="22"/>
          <w:szCs w:val="24"/>
        </w:rPr>
        <w:t xml:space="preserve">EÚ, ich spolufinancovania zo ŠR a </w:t>
      </w:r>
      <w:r w:rsidRPr="003A7796">
        <w:rPr>
          <w:rFonts w:ascii="Arial Narrow" w:hAnsi="Arial Narrow" w:cs="Arial Narrow"/>
          <w:sz w:val="22"/>
          <w:szCs w:val="24"/>
        </w:rPr>
        <w:t>prostriedkov Environmentálneho fondu</w:t>
      </w:r>
      <w:r w:rsidR="00542EC0">
        <w:rPr>
          <w:rFonts w:ascii="Arial Narrow" w:hAnsi="Arial Narrow" w:cs="Arial Narrow"/>
          <w:sz w:val="22"/>
          <w:szCs w:val="24"/>
        </w:rPr>
        <w:t>.</w:t>
      </w:r>
      <w:r w:rsidRPr="003A7796">
        <w:rPr>
          <w:rFonts w:ascii="Arial Narrow" w:hAnsi="Arial Narrow" w:cs="Arial Narrow"/>
          <w:sz w:val="22"/>
          <w:szCs w:val="24"/>
        </w:rPr>
        <w:t xml:space="preserve"> Tieto výdavky smerujú na financovanie konkrétnych projektov </w:t>
      </w:r>
      <w:r w:rsidRPr="003A7796">
        <w:rPr>
          <w:rFonts w:ascii="Arial Narrow" w:hAnsi="Arial Narrow" w:cs="Arial Narrow"/>
          <w:b/>
          <w:sz w:val="22"/>
          <w:szCs w:val="24"/>
        </w:rPr>
        <w:t>znižovania emisií znečisťujúcich látok</w:t>
      </w:r>
      <w:r w:rsidRPr="003A7796">
        <w:rPr>
          <w:rFonts w:ascii="Arial Narrow" w:hAnsi="Arial Narrow" w:cs="Arial Narrow"/>
          <w:sz w:val="22"/>
          <w:szCs w:val="24"/>
        </w:rPr>
        <w:t xml:space="preserve">, znižovanie emisií </w:t>
      </w:r>
      <w:r w:rsidRPr="003A7796">
        <w:rPr>
          <w:rFonts w:ascii="Arial Narrow" w:hAnsi="Arial Narrow" w:cs="Arial Narrow"/>
          <w:b/>
          <w:sz w:val="22"/>
          <w:szCs w:val="24"/>
        </w:rPr>
        <w:t>skleníkových plynov</w:t>
      </w:r>
      <w:r w:rsidRPr="003A7796">
        <w:rPr>
          <w:rFonts w:ascii="Arial Narrow" w:hAnsi="Arial Narrow" w:cs="Arial Narrow"/>
          <w:sz w:val="22"/>
          <w:szCs w:val="24"/>
        </w:rPr>
        <w:t xml:space="preserve">, </w:t>
      </w:r>
      <w:r w:rsidRPr="003A7796">
        <w:rPr>
          <w:rFonts w:ascii="Arial Narrow" w:hAnsi="Arial Narrow" w:cs="Arial Narrow"/>
          <w:b/>
          <w:sz w:val="22"/>
          <w:szCs w:val="24"/>
        </w:rPr>
        <w:t>ekologizáciu verejnej dopravy</w:t>
      </w:r>
      <w:r w:rsidRPr="003A7796">
        <w:rPr>
          <w:rFonts w:ascii="Arial Narrow" w:hAnsi="Arial Narrow" w:cs="Arial Narrow"/>
          <w:sz w:val="22"/>
          <w:szCs w:val="24"/>
        </w:rPr>
        <w:t xml:space="preserve">, výrobu </w:t>
      </w:r>
      <w:r w:rsidRPr="003A7796">
        <w:rPr>
          <w:rFonts w:ascii="Arial Narrow" w:hAnsi="Arial Narrow" w:cs="Arial Narrow"/>
          <w:b/>
          <w:sz w:val="22"/>
          <w:szCs w:val="24"/>
        </w:rPr>
        <w:t>energie z obnoviteľných zdrojov</w:t>
      </w:r>
      <w:r>
        <w:rPr>
          <w:rFonts w:ascii="Arial Narrow" w:hAnsi="Arial Narrow" w:cs="Arial Narrow"/>
          <w:sz w:val="22"/>
          <w:szCs w:val="24"/>
        </w:rPr>
        <w:t xml:space="preserve"> a</w:t>
      </w:r>
      <w:r w:rsidRPr="003A7796">
        <w:rPr>
          <w:rFonts w:ascii="Arial Narrow" w:hAnsi="Arial Narrow" w:cs="Arial Narrow"/>
          <w:sz w:val="22"/>
          <w:szCs w:val="24"/>
        </w:rPr>
        <w:t xml:space="preserve"> zvýšenie </w:t>
      </w:r>
      <w:r w:rsidRPr="003A7796">
        <w:rPr>
          <w:rFonts w:ascii="Arial Narrow" w:hAnsi="Arial Narrow" w:cs="Arial Narrow"/>
          <w:b/>
          <w:sz w:val="22"/>
          <w:szCs w:val="24"/>
        </w:rPr>
        <w:t>energetickej efektívnosti</w:t>
      </w:r>
      <w:r w:rsidRPr="003A7796">
        <w:rPr>
          <w:rFonts w:ascii="Arial Narrow" w:hAnsi="Arial Narrow" w:cs="Arial Narrow"/>
          <w:sz w:val="22"/>
          <w:szCs w:val="24"/>
        </w:rPr>
        <w:t>.</w:t>
      </w:r>
    </w:p>
    <w:p w:rsidR="00312541" w:rsidRPr="003A7796" w:rsidP="00312541">
      <w:pPr>
        <w:ind w:firstLine="708"/>
        <w:jc w:val="both"/>
        <w:rPr>
          <w:rFonts w:ascii="Arial Narrow" w:hAnsi="Arial Narrow" w:cs="Arial Narrow"/>
          <w:sz w:val="22"/>
          <w:szCs w:val="24"/>
        </w:rPr>
      </w:pPr>
    </w:p>
    <w:p w:rsidR="00312541" w:rsidRPr="003A7796" w:rsidP="00312541">
      <w:pPr>
        <w:jc w:val="both"/>
        <w:rPr>
          <w:rFonts w:ascii="Arial Narrow" w:hAnsi="Arial Narrow" w:cs="Arial Narrow"/>
          <w:i/>
          <w:sz w:val="22"/>
          <w:szCs w:val="24"/>
        </w:rPr>
      </w:pPr>
      <w:r w:rsidRPr="003A7796">
        <w:rPr>
          <w:rFonts w:ascii="Arial Narrow" w:hAnsi="Arial Narrow" w:cs="Arial Narrow"/>
          <w:i/>
          <w:sz w:val="22"/>
          <w:szCs w:val="24"/>
        </w:rPr>
        <w:t>Odpadové hospodárstvo</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10"/>
          <w:jc w:val="right"/>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10"/>
          <w:jc w:val="right"/>
        </w:trPr>
        <w:tc>
          <w:tcPr>
            <w:tcW w:w="4695" w:type="dxa"/>
            <w:tcBorders>
              <w:top w:val="nil"/>
              <w:left w:val="single" w:sz="8" w:space="0" w:color="auto"/>
              <w:bottom w:val="single" w:sz="4" w:space="0" w:color="auto"/>
              <w:right w:val="single" w:sz="4" w:space="0" w:color="auto"/>
            </w:tcBorders>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Zdroje smerujúce do odpadového hospodárstva</w:t>
            </w:r>
          </w:p>
        </w:tc>
        <w:tc>
          <w:tcPr>
            <w:tcW w:w="1125" w:type="dxa"/>
            <w:tcBorders>
              <w:top w:val="nil"/>
              <w:left w:val="nil"/>
              <w:bottom w:val="single" w:sz="4" w:space="0" w:color="auto"/>
              <w:right w:val="single" w:sz="4" w:space="0" w:color="auto"/>
            </w:tcBorders>
            <w:textDirection w:val="lrTb"/>
            <w:vAlign w:val="bottom"/>
          </w:tcPr>
          <w:p w:rsidR="00312541" w:rsidRPr="00AF2330" w:rsidP="00A70AF6">
            <w:pPr>
              <w:jc w:val="right"/>
              <w:rPr>
                <w:rFonts w:ascii="Arial Narrow" w:hAnsi="Arial Narrow" w:cs="Arial Narrow"/>
                <w:sz w:val="20"/>
                <w:szCs w:val="24"/>
                <w:lang w:eastAsia="sk-SK"/>
              </w:rPr>
            </w:pPr>
            <w:r w:rsidRPr="00AF2330">
              <w:rPr>
                <w:rFonts w:ascii="Arial Narrow" w:hAnsi="Arial Narrow" w:cs="Arial Narrow"/>
                <w:sz w:val="20"/>
                <w:szCs w:val="24"/>
                <w:lang w:eastAsia="sk-SK"/>
              </w:rPr>
              <w:t>44 263</w:t>
            </w:r>
          </w:p>
        </w:tc>
        <w:tc>
          <w:tcPr>
            <w:tcW w:w="1125" w:type="dxa"/>
            <w:tcBorders>
              <w:top w:val="nil"/>
              <w:left w:val="nil"/>
              <w:bottom w:val="single" w:sz="4" w:space="0" w:color="auto"/>
              <w:right w:val="single" w:sz="4" w:space="0" w:color="auto"/>
            </w:tcBorders>
            <w:textDirection w:val="lrTb"/>
            <w:vAlign w:val="bottom"/>
          </w:tcPr>
          <w:p w:rsidR="00312541" w:rsidRPr="00AF2330" w:rsidP="00A70AF6">
            <w:pPr>
              <w:jc w:val="right"/>
              <w:rPr>
                <w:rFonts w:ascii="Arial Narrow" w:hAnsi="Arial Narrow" w:cs="Arial Narrow"/>
                <w:sz w:val="20"/>
                <w:szCs w:val="24"/>
                <w:lang w:eastAsia="sk-SK"/>
              </w:rPr>
            </w:pPr>
            <w:r w:rsidRPr="00AF2330">
              <w:rPr>
                <w:rFonts w:ascii="Arial Narrow" w:hAnsi="Arial Narrow" w:cs="Arial Narrow"/>
                <w:sz w:val="20"/>
                <w:szCs w:val="24"/>
                <w:lang w:eastAsia="sk-SK"/>
              </w:rPr>
              <w:t>99 231</w:t>
            </w:r>
          </w:p>
        </w:tc>
        <w:tc>
          <w:tcPr>
            <w:tcW w:w="1125" w:type="dxa"/>
            <w:tcBorders>
              <w:top w:val="nil"/>
              <w:left w:val="nil"/>
              <w:bottom w:val="single" w:sz="4" w:space="0" w:color="auto"/>
              <w:right w:val="single" w:sz="4" w:space="0" w:color="auto"/>
            </w:tcBorders>
            <w:textDirection w:val="lrTb"/>
            <w:vAlign w:val="bottom"/>
          </w:tcPr>
          <w:p w:rsidR="00312541" w:rsidRPr="00AF2330" w:rsidP="00A70AF6">
            <w:pPr>
              <w:jc w:val="right"/>
              <w:rPr>
                <w:rFonts w:ascii="Arial Narrow" w:hAnsi="Arial Narrow" w:cs="Arial Narrow"/>
                <w:sz w:val="20"/>
                <w:szCs w:val="24"/>
                <w:lang w:eastAsia="sk-SK"/>
              </w:rPr>
            </w:pPr>
            <w:r w:rsidRPr="00AF2330">
              <w:rPr>
                <w:rFonts w:ascii="Arial Narrow" w:hAnsi="Arial Narrow" w:cs="Arial Narrow"/>
                <w:sz w:val="20"/>
                <w:szCs w:val="24"/>
                <w:lang w:eastAsia="sk-SK"/>
              </w:rPr>
              <w:t>94 022</w:t>
            </w:r>
          </w:p>
        </w:tc>
        <w:tc>
          <w:tcPr>
            <w:tcW w:w="1125" w:type="dxa"/>
            <w:tcBorders>
              <w:top w:val="nil"/>
              <w:left w:val="nil"/>
              <w:bottom w:val="single" w:sz="4" w:space="0" w:color="auto"/>
              <w:right w:val="single" w:sz="4" w:space="0" w:color="auto"/>
            </w:tcBorders>
            <w:textDirection w:val="lrTb"/>
            <w:vAlign w:val="bottom"/>
          </w:tcPr>
          <w:p w:rsidR="00312541" w:rsidRPr="00AF2330" w:rsidP="00A70AF6">
            <w:pPr>
              <w:jc w:val="right"/>
              <w:rPr>
                <w:rFonts w:ascii="Arial Narrow" w:hAnsi="Arial Narrow" w:cs="Arial Narrow"/>
                <w:sz w:val="20"/>
                <w:szCs w:val="24"/>
                <w:lang w:eastAsia="sk-SK"/>
              </w:rPr>
            </w:pPr>
            <w:r w:rsidRPr="00AF2330">
              <w:rPr>
                <w:rFonts w:ascii="Arial Narrow" w:hAnsi="Arial Narrow" w:cs="Arial Narrow"/>
                <w:sz w:val="20"/>
                <w:szCs w:val="24"/>
                <w:lang w:eastAsia="sk-SK"/>
              </w:rPr>
              <w:t>94 022</w:t>
            </w:r>
          </w:p>
        </w:tc>
      </w:tr>
    </w:tbl>
    <w:p w:rsidR="00312541" w:rsidRPr="003A7796" w:rsidP="00312541">
      <w:pPr>
        <w:jc w:val="both"/>
        <w:rPr>
          <w:rFonts w:ascii="Arial Narrow" w:hAnsi="Arial Narrow" w:cs="Arial Narrow"/>
          <w:sz w:val="22"/>
          <w:szCs w:val="24"/>
        </w:rPr>
      </w:pPr>
    </w:p>
    <w:p w:rsidR="00312541" w:rsidRPr="003A7796" w:rsidP="00312541">
      <w:pPr>
        <w:ind w:firstLine="708"/>
        <w:jc w:val="both"/>
        <w:rPr>
          <w:rFonts w:ascii="Arial Narrow" w:hAnsi="Arial Narrow" w:cs="Arial Narrow"/>
          <w:b/>
          <w:sz w:val="22"/>
          <w:szCs w:val="24"/>
        </w:rPr>
      </w:pPr>
      <w:r w:rsidRPr="003A7796">
        <w:rPr>
          <w:rFonts w:ascii="Arial Narrow" w:hAnsi="Arial Narrow" w:cs="Arial Narrow"/>
          <w:sz w:val="22"/>
          <w:szCs w:val="24"/>
        </w:rPr>
        <w:t>Na odpadové hospodárstvo a environmentálne</w:t>
      </w:r>
      <w:r>
        <w:rPr>
          <w:rFonts w:ascii="Arial Narrow" w:hAnsi="Arial Narrow" w:cs="Arial Narrow"/>
          <w:sz w:val="22"/>
          <w:szCs w:val="24"/>
        </w:rPr>
        <w:t xml:space="preserve"> rizikové faktory sa v roku 2010</w:t>
      </w:r>
      <w:r w:rsidRPr="003A7796">
        <w:rPr>
          <w:rFonts w:ascii="Arial Narrow" w:hAnsi="Arial Narrow" w:cs="Arial Narrow"/>
          <w:sz w:val="22"/>
          <w:szCs w:val="24"/>
        </w:rPr>
        <w:t xml:space="preserve"> rozpočtujú prostriedky E</w:t>
      </w:r>
      <w:r>
        <w:rPr>
          <w:rFonts w:ascii="Arial Narrow" w:hAnsi="Arial Narrow" w:cs="Arial Narrow"/>
          <w:sz w:val="22"/>
          <w:szCs w:val="24"/>
        </w:rPr>
        <w:t xml:space="preserve">S, ich spolufinancovanie zo ŠR </w:t>
      </w:r>
      <w:r w:rsidRPr="003A7796">
        <w:rPr>
          <w:rFonts w:ascii="Arial Narrow" w:hAnsi="Arial Narrow" w:cs="Arial Narrow"/>
          <w:sz w:val="22"/>
          <w:szCs w:val="24"/>
        </w:rPr>
        <w:t xml:space="preserve">a prostriedky Environmentálneho fondu v celkovej výške </w:t>
      </w:r>
      <w:r>
        <w:rPr>
          <w:rFonts w:ascii="Arial Narrow" w:hAnsi="Arial Narrow" w:cs="Arial Narrow"/>
          <w:sz w:val="22"/>
          <w:szCs w:val="24"/>
        </w:rPr>
        <w:t>99,2</w:t>
      </w:r>
      <w:r w:rsidRPr="003A7796">
        <w:rPr>
          <w:rFonts w:ascii="Arial Narrow" w:hAnsi="Arial Narrow" w:cs="Arial Narrow"/>
          <w:sz w:val="22"/>
          <w:szCs w:val="24"/>
        </w:rPr>
        <w:t xml:space="preserve"> mil. eur. Tieto prostriedky slúžia na dobudovanie infraštruktúry odpadového hospodárstva (</w:t>
      </w:r>
      <w:r w:rsidRPr="003A7796">
        <w:rPr>
          <w:rFonts w:ascii="Arial Narrow" w:hAnsi="Arial Narrow" w:cs="Arial Narrow"/>
          <w:b/>
          <w:sz w:val="22"/>
          <w:szCs w:val="24"/>
        </w:rPr>
        <w:t>recyklácia odpadov</w:t>
      </w:r>
      <w:r w:rsidRPr="003A7796">
        <w:rPr>
          <w:rFonts w:ascii="Arial Narrow" w:hAnsi="Arial Narrow" w:cs="Arial Narrow"/>
          <w:sz w:val="22"/>
          <w:szCs w:val="24"/>
        </w:rPr>
        <w:t xml:space="preserve">, uzatváranie a rekultivácia </w:t>
      </w:r>
      <w:r w:rsidRPr="003A7796">
        <w:rPr>
          <w:rFonts w:ascii="Arial Narrow" w:hAnsi="Arial Narrow" w:cs="Arial Narrow"/>
          <w:b/>
          <w:sz w:val="22"/>
          <w:szCs w:val="24"/>
        </w:rPr>
        <w:t>skládok odpadov</w:t>
      </w:r>
      <w:r w:rsidRPr="003A7796">
        <w:rPr>
          <w:rFonts w:ascii="Arial Narrow" w:hAnsi="Arial Narrow" w:cs="Arial Narrow"/>
          <w:sz w:val="22"/>
          <w:szCs w:val="24"/>
        </w:rPr>
        <w:t xml:space="preserve">) a elimináciu negatívnych vplyvov </w:t>
      </w:r>
      <w:r w:rsidRPr="003A7796">
        <w:rPr>
          <w:rFonts w:ascii="Arial Narrow" w:hAnsi="Arial Narrow" w:cs="Arial Narrow"/>
          <w:b/>
          <w:sz w:val="22"/>
          <w:szCs w:val="24"/>
        </w:rPr>
        <w:t>environmentálnych záťaží</w:t>
      </w:r>
      <w:r w:rsidRPr="003A7796">
        <w:rPr>
          <w:rFonts w:ascii="Arial Narrow" w:hAnsi="Arial Narrow" w:cs="Arial Narrow"/>
          <w:sz w:val="22"/>
          <w:szCs w:val="24"/>
        </w:rPr>
        <w:t>.</w:t>
      </w:r>
    </w:p>
    <w:p w:rsidR="00312541" w:rsidRPr="003A7796" w:rsidP="00312541">
      <w:pPr>
        <w:jc w:val="both"/>
        <w:rPr>
          <w:rFonts w:ascii="Arial Narrow" w:hAnsi="Arial Narrow" w:cs="Arial Narrow"/>
          <w:sz w:val="22"/>
          <w:szCs w:val="24"/>
        </w:rPr>
      </w:pPr>
    </w:p>
    <w:p w:rsidR="00312541" w:rsidRPr="003A7796" w:rsidP="00312541">
      <w:pPr>
        <w:jc w:val="both"/>
        <w:rPr>
          <w:rFonts w:ascii="Arial Narrow" w:hAnsi="Arial Narrow" w:cs="Arial Narrow"/>
          <w:i/>
          <w:sz w:val="22"/>
          <w:szCs w:val="24"/>
        </w:rPr>
      </w:pPr>
      <w:r w:rsidRPr="003A7796">
        <w:rPr>
          <w:rFonts w:ascii="Arial Narrow" w:hAnsi="Arial Narrow" w:cs="Arial Narrow"/>
          <w:i/>
          <w:sz w:val="22"/>
          <w:szCs w:val="24"/>
        </w:rPr>
        <w:t>Ochrana prírody a krajiny</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10"/>
          <w:jc w:val="right"/>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10"/>
          <w:jc w:val="right"/>
        </w:trPr>
        <w:tc>
          <w:tcPr>
            <w:tcW w:w="4695" w:type="dxa"/>
            <w:tcBorders>
              <w:top w:val="nil"/>
              <w:left w:val="single" w:sz="8" w:space="0" w:color="auto"/>
              <w:bottom w:val="single" w:sz="4" w:space="0" w:color="auto"/>
              <w:right w:val="single" w:sz="4" w:space="0" w:color="auto"/>
            </w:tcBorders>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Zdroje smerujúce do ochrany prírody</w:t>
            </w:r>
          </w:p>
        </w:tc>
        <w:tc>
          <w:tcPr>
            <w:tcW w:w="1125" w:type="dxa"/>
            <w:tcBorders>
              <w:top w:val="nil"/>
              <w:left w:val="nil"/>
              <w:bottom w:val="single" w:sz="4" w:space="0" w:color="auto"/>
              <w:right w:val="single" w:sz="4" w:space="0" w:color="auto"/>
            </w:tcBorders>
            <w:textDirection w:val="lrTb"/>
            <w:vAlign w:val="bottom"/>
          </w:tcPr>
          <w:p w:rsidR="00312541" w:rsidRPr="00AE4E33" w:rsidP="00A70AF6">
            <w:pPr>
              <w:jc w:val="right"/>
              <w:rPr>
                <w:rFonts w:ascii="Arial Narrow" w:hAnsi="Arial Narrow" w:cs="Arial Narrow"/>
                <w:sz w:val="20"/>
                <w:szCs w:val="24"/>
                <w:lang w:eastAsia="sk-SK"/>
              </w:rPr>
            </w:pPr>
            <w:r w:rsidRPr="00AE4E33">
              <w:rPr>
                <w:rFonts w:ascii="Arial Narrow" w:hAnsi="Arial Narrow" w:cs="Arial Narrow"/>
                <w:sz w:val="20"/>
                <w:szCs w:val="24"/>
                <w:lang w:eastAsia="sk-SK"/>
              </w:rPr>
              <w:t>21 653</w:t>
            </w:r>
          </w:p>
        </w:tc>
        <w:tc>
          <w:tcPr>
            <w:tcW w:w="1125" w:type="dxa"/>
            <w:tcBorders>
              <w:top w:val="nil"/>
              <w:left w:val="nil"/>
              <w:bottom w:val="single" w:sz="4" w:space="0" w:color="auto"/>
              <w:right w:val="single" w:sz="4" w:space="0" w:color="auto"/>
            </w:tcBorders>
            <w:textDirection w:val="lrTb"/>
            <w:vAlign w:val="bottom"/>
          </w:tcPr>
          <w:p w:rsidR="00312541" w:rsidRPr="00AE4E33" w:rsidP="00A70AF6">
            <w:pPr>
              <w:jc w:val="right"/>
              <w:rPr>
                <w:rFonts w:ascii="Arial Narrow" w:hAnsi="Arial Narrow" w:cs="Arial Narrow"/>
                <w:sz w:val="20"/>
                <w:szCs w:val="24"/>
                <w:lang w:eastAsia="sk-SK"/>
              </w:rPr>
            </w:pPr>
            <w:r w:rsidRPr="00AE4E33">
              <w:rPr>
                <w:rFonts w:ascii="Arial Narrow" w:hAnsi="Arial Narrow" w:cs="Arial Narrow"/>
                <w:sz w:val="20"/>
                <w:szCs w:val="24"/>
                <w:lang w:eastAsia="sk-SK"/>
              </w:rPr>
              <w:t>19 237</w:t>
            </w:r>
          </w:p>
        </w:tc>
        <w:tc>
          <w:tcPr>
            <w:tcW w:w="1125" w:type="dxa"/>
            <w:tcBorders>
              <w:top w:val="nil"/>
              <w:left w:val="nil"/>
              <w:bottom w:val="single" w:sz="4" w:space="0" w:color="auto"/>
              <w:right w:val="single" w:sz="4" w:space="0" w:color="auto"/>
            </w:tcBorders>
            <w:textDirection w:val="lrTb"/>
            <w:vAlign w:val="bottom"/>
          </w:tcPr>
          <w:p w:rsidR="00312541" w:rsidRPr="00AE4E33" w:rsidP="00A70AF6">
            <w:pPr>
              <w:jc w:val="right"/>
              <w:rPr>
                <w:rFonts w:ascii="Arial Narrow" w:hAnsi="Arial Narrow" w:cs="Arial Narrow"/>
                <w:sz w:val="20"/>
                <w:szCs w:val="24"/>
                <w:lang w:eastAsia="sk-SK"/>
              </w:rPr>
            </w:pPr>
            <w:r w:rsidRPr="00AE4E33">
              <w:rPr>
                <w:rFonts w:ascii="Arial Narrow" w:hAnsi="Arial Narrow" w:cs="Arial Narrow"/>
                <w:sz w:val="20"/>
                <w:szCs w:val="24"/>
                <w:lang w:eastAsia="sk-SK"/>
              </w:rPr>
              <w:t>21 274</w:t>
            </w:r>
          </w:p>
        </w:tc>
        <w:tc>
          <w:tcPr>
            <w:tcW w:w="1125" w:type="dxa"/>
            <w:tcBorders>
              <w:top w:val="nil"/>
              <w:left w:val="nil"/>
              <w:bottom w:val="single" w:sz="4" w:space="0" w:color="auto"/>
              <w:right w:val="single" w:sz="4" w:space="0" w:color="auto"/>
            </w:tcBorders>
            <w:textDirection w:val="lrTb"/>
            <w:vAlign w:val="bottom"/>
          </w:tcPr>
          <w:p w:rsidR="00312541" w:rsidRPr="00AE4E33" w:rsidP="00A70AF6">
            <w:pPr>
              <w:jc w:val="right"/>
              <w:rPr>
                <w:rFonts w:ascii="Arial Narrow" w:hAnsi="Arial Narrow" w:cs="Arial Narrow"/>
                <w:sz w:val="20"/>
                <w:szCs w:val="24"/>
                <w:lang w:eastAsia="sk-SK"/>
              </w:rPr>
            </w:pPr>
            <w:r w:rsidRPr="00AE4E33">
              <w:rPr>
                <w:rFonts w:ascii="Arial Narrow" w:hAnsi="Arial Narrow" w:cs="Arial Narrow"/>
                <w:sz w:val="20"/>
                <w:szCs w:val="24"/>
                <w:lang w:eastAsia="sk-SK"/>
              </w:rPr>
              <w:t>21 674</w:t>
            </w:r>
          </w:p>
        </w:tc>
      </w:tr>
    </w:tbl>
    <w:p w:rsidR="00312541" w:rsidRPr="003A7796" w:rsidP="00312541">
      <w:pPr>
        <w:jc w:val="both"/>
        <w:rPr>
          <w:rFonts w:ascii="Arial Narrow" w:hAnsi="Arial Narrow" w:cs="Arial Narrow"/>
          <w:sz w:val="22"/>
          <w:szCs w:val="24"/>
        </w:rPr>
      </w:pPr>
    </w:p>
    <w:p w:rsidR="00312541" w:rsidRPr="003A7796" w:rsidP="00312541">
      <w:pPr>
        <w:ind w:firstLine="708"/>
        <w:jc w:val="both"/>
        <w:rPr>
          <w:rFonts w:ascii="Arial Narrow" w:hAnsi="Arial Narrow" w:cs="Arial Narrow"/>
          <w:sz w:val="22"/>
          <w:szCs w:val="24"/>
        </w:rPr>
      </w:pPr>
      <w:r w:rsidRPr="003A7796">
        <w:rPr>
          <w:rFonts w:ascii="Arial Narrow" w:hAnsi="Arial Narrow" w:cs="Arial Narrow"/>
          <w:sz w:val="22"/>
          <w:szCs w:val="24"/>
        </w:rPr>
        <w:t>Na</w:t>
      </w:r>
      <w:r w:rsidRPr="003A7796">
        <w:rPr>
          <w:rFonts w:ascii="Arial Narrow" w:hAnsi="Arial Narrow" w:cs="Arial Narrow"/>
          <w:b/>
          <w:sz w:val="22"/>
          <w:szCs w:val="24"/>
        </w:rPr>
        <w:t xml:space="preserve"> </w:t>
      </w:r>
      <w:r w:rsidRPr="003A7796">
        <w:rPr>
          <w:rFonts w:ascii="Arial Narrow" w:hAnsi="Arial Narrow" w:cs="Arial Narrow"/>
          <w:sz w:val="22"/>
          <w:szCs w:val="24"/>
        </w:rPr>
        <w:t>ochranu prírody a krajiny sa v ro</w:t>
      </w:r>
      <w:r>
        <w:rPr>
          <w:rFonts w:ascii="Arial Narrow" w:hAnsi="Arial Narrow" w:cs="Arial Narrow"/>
          <w:sz w:val="22"/>
          <w:szCs w:val="24"/>
        </w:rPr>
        <w:t>ku 2010</w:t>
      </w:r>
      <w:r w:rsidRPr="003A7796">
        <w:rPr>
          <w:rFonts w:ascii="Arial Narrow" w:hAnsi="Arial Narrow" w:cs="Arial Narrow"/>
          <w:sz w:val="22"/>
          <w:szCs w:val="24"/>
        </w:rPr>
        <w:t xml:space="preserve"> rozpočtujú vlastné prostriedky kapitoly, prostriedky EÚ, spolufinancovanie prostriedkov EÚ zo ŠR</w:t>
      </w:r>
      <w:r>
        <w:rPr>
          <w:rFonts w:ascii="Arial Narrow" w:hAnsi="Arial Narrow" w:cs="Arial Narrow"/>
          <w:sz w:val="22"/>
          <w:szCs w:val="24"/>
        </w:rPr>
        <w:t>, prostriedky finančného nástroja pre životné prostredie LIFE+</w:t>
      </w:r>
      <w:r w:rsidRPr="003A7796">
        <w:rPr>
          <w:rFonts w:ascii="Arial Narrow" w:hAnsi="Arial Narrow" w:cs="Arial Narrow"/>
          <w:sz w:val="22"/>
          <w:szCs w:val="24"/>
        </w:rPr>
        <w:t xml:space="preserve"> a prostriedky Environmentálneho fondu určené hlavne na </w:t>
      </w:r>
      <w:r w:rsidRPr="003A7796">
        <w:rPr>
          <w:rFonts w:ascii="Arial Narrow" w:hAnsi="Arial Narrow" w:cs="Arial Narrow"/>
          <w:b/>
          <w:sz w:val="22"/>
          <w:szCs w:val="24"/>
        </w:rPr>
        <w:t>dobudovanie infraštruktúry ochrany prírody</w:t>
      </w:r>
      <w:r w:rsidRPr="003A7796">
        <w:rPr>
          <w:rFonts w:ascii="Arial Narrow" w:hAnsi="Arial Narrow" w:cs="Arial Narrow"/>
          <w:sz w:val="22"/>
          <w:szCs w:val="24"/>
        </w:rPr>
        <w:t xml:space="preserve"> (sústava chránených území NATURA 2000) v celkovej výš</w:t>
      </w:r>
      <w:r>
        <w:rPr>
          <w:rFonts w:ascii="Arial Narrow" w:hAnsi="Arial Narrow" w:cs="Arial Narrow"/>
          <w:sz w:val="22"/>
          <w:szCs w:val="24"/>
        </w:rPr>
        <w:t>ke 19,2</w:t>
      </w:r>
      <w:r w:rsidRPr="003A7796">
        <w:rPr>
          <w:rFonts w:ascii="Arial Narrow" w:hAnsi="Arial Narrow" w:cs="Arial Narrow"/>
          <w:sz w:val="22"/>
          <w:szCs w:val="24"/>
        </w:rPr>
        <w:t xml:space="preserve"> mil. eur.</w:t>
      </w:r>
    </w:p>
    <w:p w:rsidR="00312541" w:rsidRPr="003A7796" w:rsidP="00312541">
      <w:pPr>
        <w:jc w:val="both"/>
        <w:rPr>
          <w:rFonts w:ascii="Arial Narrow" w:hAnsi="Arial Narrow" w:cs="Arial Narrow"/>
          <w:sz w:val="22"/>
          <w:szCs w:val="24"/>
        </w:rPr>
      </w:pPr>
    </w:p>
    <w:p w:rsidR="00312541" w:rsidRPr="003A7796" w:rsidP="00312541">
      <w:pPr>
        <w:jc w:val="both"/>
        <w:rPr>
          <w:rFonts w:ascii="Arial Narrow" w:hAnsi="Arial Narrow" w:cs="Arial Narrow"/>
          <w:i/>
          <w:sz w:val="22"/>
          <w:szCs w:val="24"/>
        </w:rPr>
      </w:pPr>
      <w:r w:rsidRPr="003A7796">
        <w:rPr>
          <w:rFonts w:ascii="Arial Narrow" w:hAnsi="Arial Narrow" w:cs="Arial Narrow"/>
          <w:i/>
          <w:sz w:val="22"/>
          <w:szCs w:val="24"/>
        </w:rPr>
        <w:t xml:space="preserve">Inštitucionálna podpora </w:t>
      </w:r>
    </w:p>
    <w:p w:rsidR="00312541" w:rsidRPr="003A7796" w:rsidP="00312541">
      <w:pPr>
        <w:jc w:val="both"/>
        <w:rPr>
          <w:rFonts w:ascii="Arial Narrow" w:hAnsi="Arial Narrow" w:cs="Arial Narrow"/>
          <w:sz w:val="22"/>
          <w:szCs w:val="24"/>
        </w:rPr>
      </w:pPr>
    </w:p>
    <w:tbl>
      <w:tblPr>
        <w:tblStyle w:val="TableNormal"/>
        <w:tblW w:w="9195" w:type="dxa"/>
        <w:jc w:val="right"/>
        <w:tblInd w:w="0" w:type="dxa"/>
        <w:tblLayout w:type="fixed"/>
        <w:tblCellMar>
          <w:left w:w="70" w:type="dxa"/>
          <w:right w:w="70" w:type="dxa"/>
        </w:tblCellMar>
      </w:tblPr>
      <w:tblGrid>
        <w:gridCol w:w="4695"/>
        <w:gridCol w:w="1125"/>
        <w:gridCol w:w="1125"/>
        <w:gridCol w:w="1125"/>
        <w:gridCol w:w="1125"/>
      </w:tblGrid>
      <w:tr>
        <w:tblPrEx>
          <w:tblW w:w="9195" w:type="dxa"/>
          <w:jc w:val="right"/>
          <w:tblInd w:w="0" w:type="dxa"/>
          <w:tblLayout w:type="fixed"/>
          <w:tblCellMar>
            <w:left w:w="70" w:type="dxa"/>
            <w:right w:w="70" w:type="dxa"/>
          </w:tblCellMar>
        </w:tblPrEx>
        <w:trPr>
          <w:trHeight w:val="210"/>
          <w:jc w:val="right"/>
        </w:trPr>
        <w:tc>
          <w:tcPr>
            <w:tcW w:w="4695" w:type="dxa"/>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CF08BA" w:rsidP="00A70AF6">
            <w:pPr>
              <w:jc w:val="both"/>
              <w:rPr>
                <w:rFonts w:ascii="Arial Narrow" w:hAnsi="Arial Narrow" w:cs="Arial Narrow"/>
                <w:color w:val="FFFFFF"/>
                <w:sz w:val="20"/>
                <w:szCs w:val="24"/>
                <w:highlight w:val="black"/>
              </w:rPr>
            </w:pPr>
            <w:r w:rsidRPr="00CF08BA">
              <w:rPr>
                <w:rFonts w:ascii="Arial Narrow" w:hAnsi="Arial Narrow" w:cs="Arial Narrow"/>
                <w:color w:val="FFFFFF"/>
                <w:sz w:val="20"/>
                <w:szCs w:val="24"/>
                <w:highlight w:val="black"/>
              </w:rPr>
              <w:t> </w:t>
            </w:r>
            <w:r w:rsidRPr="00CF08BA">
              <w:rPr>
                <w:rFonts w:ascii="Arial Narrow" w:hAnsi="Arial Narrow" w:cs="Arial Narrow"/>
                <w:b/>
                <w:color w:val="FFFFFF"/>
                <w:sz w:val="20"/>
                <w:szCs w:val="24"/>
                <w:highlight w:val="black"/>
              </w:rPr>
              <w:t>(v tis. eur)</w:t>
            </w:r>
          </w:p>
        </w:tc>
        <w:tc>
          <w:tcPr>
            <w:tcW w:w="1125" w:type="dxa"/>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CF08BA" w:rsidP="00A70AF6">
            <w:pPr>
              <w:jc w:val="center"/>
              <w:rPr>
                <w:rFonts w:ascii="Arial Narrow" w:hAnsi="Arial Narrow" w:cs="Arial Narrow"/>
                <w:b/>
                <w:color w:val="FFFFFF"/>
                <w:sz w:val="20"/>
                <w:szCs w:val="24"/>
                <w:highlight w:val="black"/>
              </w:rPr>
            </w:pPr>
            <w:r w:rsidRPr="00CF08BA">
              <w:rPr>
                <w:rFonts w:ascii="Arial Narrow" w:hAnsi="Arial Narrow" w:cs="Arial Narrow"/>
                <w:b/>
                <w:color w:val="FFFFFF"/>
                <w:sz w:val="20"/>
                <w:szCs w:val="24"/>
                <w:highlight w:val="black"/>
              </w:rPr>
              <w:t>2009</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2010</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2011</w:t>
            </w:r>
          </w:p>
        </w:tc>
        <w:tc>
          <w:tcPr>
            <w:tcW w:w="1125" w:type="dxa"/>
            <w:tcBorders>
              <w:top w:val="single" w:sz="8" w:space="0" w:color="auto"/>
              <w:left w:val="nil"/>
              <w:bottom w:val="single" w:sz="4" w:space="0" w:color="auto"/>
              <w:right w:val="single" w:sz="8" w:space="0" w:color="auto"/>
            </w:tcBorders>
            <w:shd w:val="clear" w:color="auto" w:fill="000000"/>
            <w:textDirection w:val="lrTb"/>
            <w:vAlign w:val="top"/>
          </w:tcPr>
          <w:p w:rsidR="00312541" w:rsidRPr="00CF08BA" w:rsidP="00A70AF6">
            <w:pPr>
              <w:jc w:val="center"/>
              <w:rPr>
                <w:rFonts w:ascii="Arial Narrow" w:hAnsi="Arial Narrow" w:cs="Arial Narrow"/>
                <w:b/>
                <w:color w:val="FFFFFF"/>
                <w:sz w:val="20"/>
                <w:szCs w:val="24"/>
                <w:highlight w:val="black"/>
              </w:rPr>
            </w:pPr>
            <w:r>
              <w:rPr>
                <w:rFonts w:ascii="Arial Narrow" w:hAnsi="Arial Narrow" w:cs="Arial Narrow"/>
                <w:b/>
                <w:color w:val="FFFFFF"/>
                <w:sz w:val="20"/>
                <w:szCs w:val="24"/>
                <w:highlight w:val="black"/>
              </w:rPr>
              <w:t>2012</w:t>
            </w:r>
          </w:p>
        </w:tc>
      </w:tr>
      <w:tr>
        <w:tblPrEx>
          <w:tblW w:w="9195" w:type="dxa"/>
          <w:jc w:val="right"/>
          <w:tblInd w:w="0" w:type="dxa"/>
          <w:tblLayout w:type="fixed"/>
          <w:tblCellMar>
            <w:left w:w="70" w:type="dxa"/>
            <w:right w:w="70" w:type="dxa"/>
          </w:tblCellMar>
        </w:tblPrEx>
        <w:trPr>
          <w:trHeight w:val="210"/>
          <w:jc w:val="right"/>
        </w:trPr>
        <w:tc>
          <w:tcPr>
            <w:tcW w:w="4695" w:type="dxa"/>
            <w:tcBorders>
              <w:top w:val="nil"/>
              <w:left w:val="single" w:sz="8" w:space="0" w:color="auto"/>
              <w:bottom w:val="single" w:sz="4" w:space="0" w:color="auto"/>
              <w:right w:val="single" w:sz="4" w:space="0" w:color="auto"/>
            </w:tcBorders>
            <w:textDirection w:val="lrTb"/>
            <w:vAlign w:val="bottom"/>
          </w:tcPr>
          <w:p w:rsidR="00312541" w:rsidRPr="00CF08BA" w:rsidP="00A70AF6">
            <w:pPr>
              <w:rPr>
                <w:rFonts w:ascii="Arial Narrow" w:hAnsi="Arial Narrow" w:cs="Arial Narrow"/>
                <w:sz w:val="20"/>
                <w:szCs w:val="24"/>
              </w:rPr>
            </w:pPr>
            <w:r w:rsidRPr="00CF08BA">
              <w:rPr>
                <w:rFonts w:ascii="Arial Narrow" w:hAnsi="Arial Narrow" w:cs="Arial Narrow"/>
                <w:sz w:val="20"/>
                <w:szCs w:val="24"/>
              </w:rPr>
              <w:t>Zdroje smerujúce do administratívy</w:t>
            </w:r>
          </w:p>
        </w:tc>
        <w:tc>
          <w:tcPr>
            <w:tcW w:w="1125" w:type="dxa"/>
            <w:tcBorders>
              <w:top w:val="nil"/>
              <w:left w:val="nil"/>
              <w:bottom w:val="single" w:sz="4" w:space="0" w:color="auto"/>
              <w:right w:val="single" w:sz="4" w:space="0" w:color="auto"/>
            </w:tcBorders>
            <w:textDirection w:val="lrTb"/>
            <w:vAlign w:val="bottom"/>
          </w:tcPr>
          <w:p w:rsidR="00312541" w:rsidRPr="00BD5B8C" w:rsidP="00A70AF6">
            <w:pPr>
              <w:jc w:val="right"/>
              <w:rPr>
                <w:rFonts w:ascii="Arial Narrow" w:hAnsi="Arial Narrow" w:cs="Arial Narrow"/>
                <w:sz w:val="20"/>
                <w:szCs w:val="24"/>
                <w:lang w:eastAsia="sk-SK"/>
              </w:rPr>
            </w:pPr>
            <w:r w:rsidRPr="00BD5B8C">
              <w:rPr>
                <w:rFonts w:ascii="Arial Narrow" w:hAnsi="Arial Narrow" w:cs="Arial Narrow"/>
                <w:sz w:val="20"/>
                <w:szCs w:val="24"/>
                <w:lang w:eastAsia="sk-SK"/>
              </w:rPr>
              <w:t>55 580</w:t>
            </w:r>
          </w:p>
        </w:tc>
        <w:tc>
          <w:tcPr>
            <w:tcW w:w="1125" w:type="dxa"/>
            <w:tcBorders>
              <w:top w:val="nil"/>
              <w:left w:val="nil"/>
              <w:bottom w:val="single" w:sz="4" w:space="0" w:color="auto"/>
              <w:right w:val="single" w:sz="4" w:space="0" w:color="auto"/>
            </w:tcBorders>
            <w:textDirection w:val="lrTb"/>
            <w:vAlign w:val="bottom"/>
          </w:tcPr>
          <w:p w:rsidR="00312541" w:rsidRPr="00BD5B8C" w:rsidP="00A70AF6">
            <w:pPr>
              <w:jc w:val="right"/>
              <w:rPr>
                <w:rFonts w:ascii="Arial Narrow" w:hAnsi="Arial Narrow" w:cs="Arial Narrow"/>
                <w:sz w:val="20"/>
                <w:szCs w:val="24"/>
                <w:lang w:eastAsia="sk-SK"/>
              </w:rPr>
            </w:pPr>
            <w:r w:rsidRPr="00BD5B8C">
              <w:rPr>
                <w:rFonts w:ascii="Arial Narrow" w:hAnsi="Arial Narrow" w:cs="Arial Narrow"/>
                <w:sz w:val="20"/>
                <w:szCs w:val="24"/>
                <w:lang w:eastAsia="sk-SK"/>
              </w:rPr>
              <w:t>63 753</w:t>
            </w:r>
          </w:p>
        </w:tc>
        <w:tc>
          <w:tcPr>
            <w:tcW w:w="1125" w:type="dxa"/>
            <w:tcBorders>
              <w:top w:val="nil"/>
              <w:left w:val="nil"/>
              <w:bottom w:val="single" w:sz="4" w:space="0" w:color="auto"/>
              <w:right w:val="single" w:sz="4" w:space="0" w:color="auto"/>
            </w:tcBorders>
            <w:textDirection w:val="lrTb"/>
            <w:vAlign w:val="bottom"/>
          </w:tcPr>
          <w:p w:rsidR="00312541" w:rsidRPr="00BD5B8C" w:rsidP="00A70AF6">
            <w:pPr>
              <w:jc w:val="right"/>
              <w:rPr>
                <w:rFonts w:ascii="Arial Narrow" w:hAnsi="Arial Narrow" w:cs="Arial Narrow"/>
                <w:sz w:val="20"/>
                <w:szCs w:val="24"/>
                <w:lang w:eastAsia="sk-SK"/>
              </w:rPr>
            </w:pPr>
            <w:r w:rsidRPr="00BD5B8C">
              <w:rPr>
                <w:rFonts w:ascii="Arial Narrow" w:hAnsi="Arial Narrow" w:cs="Arial Narrow"/>
                <w:sz w:val="20"/>
                <w:szCs w:val="24"/>
                <w:lang w:eastAsia="sk-SK"/>
              </w:rPr>
              <w:t>56 908</w:t>
            </w:r>
          </w:p>
        </w:tc>
        <w:tc>
          <w:tcPr>
            <w:tcW w:w="1125" w:type="dxa"/>
            <w:tcBorders>
              <w:top w:val="nil"/>
              <w:left w:val="nil"/>
              <w:bottom w:val="single" w:sz="4" w:space="0" w:color="auto"/>
              <w:right w:val="single" w:sz="4" w:space="0" w:color="auto"/>
            </w:tcBorders>
            <w:textDirection w:val="lrTb"/>
            <w:vAlign w:val="bottom"/>
          </w:tcPr>
          <w:p w:rsidR="00312541" w:rsidRPr="00BD5B8C" w:rsidP="00A70AF6">
            <w:pPr>
              <w:jc w:val="right"/>
              <w:rPr>
                <w:rFonts w:ascii="Arial Narrow" w:hAnsi="Arial Narrow" w:cs="Arial Narrow"/>
                <w:sz w:val="20"/>
                <w:szCs w:val="24"/>
                <w:lang w:eastAsia="sk-SK"/>
              </w:rPr>
            </w:pPr>
            <w:r w:rsidRPr="00BD5B8C">
              <w:rPr>
                <w:rFonts w:ascii="Arial Narrow" w:hAnsi="Arial Narrow" w:cs="Arial Narrow"/>
                <w:sz w:val="20"/>
                <w:szCs w:val="24"/>
                <w:lang w:eastAsia="sk-SK"/>
              </w:rPr>
              <w:t>56 899</w:t>
            </w:r>
          </w:p>
        </w:tc>
      </w:tr>
    </w:tbl>
    <w:p w:rsidR="00312541" w:rsidRPr="003A7796" w:rsidP="00312541">
      <w:pPr>
        <w:jc w:val="both"/>
        <w:rPr>
          <w:rFonts w:ascii="Arial Narrow" w:hAnsi="Arial Narrow" w:cs="Arial Narrow"/>
          <w:sz w:val="22"/>
          <w:szCs w:val="24"/>
        </w:rPr>
      </w:pPr>
    </w:p>
    <w:p w:rsidR="00312541" w:rsidRPr="003A7796" w:rsidP="00312541">
      <w:pPr>
        <w:ind w:firstLine="708"/>
        <w:jc w:val="both"/>
        <w:rPr>
          <w:rFonts w:ascii="Arial Narrow" w:hAnsi="Arial Narrow" w:cs="Arial Narrow"/>
          <w:sz w:val="22"/>
          <w:szCs w:val="24"/>
        </w:rPr>
      </w:pPr>
      <w:r w:rsidRPr="003A7796">
        <w:rPr>
          <w:rFonts w:ascii="Arial Narrow" w:hAnsi="Arial Narrow" w:cs="Arial Narrow"/>
          <w:b/>
          <w:sz w:val="22"/>
          <w:szCs w:val="24"/>
        </w:rPr>
        <w:t>Na inštitucionálnu podporu</w:t>
      </w:r>
      <w:r w:rsidRPr="003A7796">
        <w:rPr>
          <w:rFonts w:ascii="Arial Narrow" w:hAnsi="Arial Narrow" w:cs="Arial Narrow"/>
          <w:sz w:val="22"/>
          <w:szCs w:val="24"/>
        </w:rPr>
        <w:t xml:space="preserve"> c</w:t>
      </w:r>
      <w:r>
        <w:rPr>
          <w:rFonts w:ascii="Arial Narrow" w:hAnsi="Arial Narrow" w:cs="Arial Narrow"/>
          <w:sz w:val="22"/>
          <w:szCs w:val="24"/>
        </w:rPr>
        <w:t>hránených oblastí je v roku 2010 vyčlenených 63,8</w:t>
      </w:r>
      <w:r w:rsidRPr="003A7796">
        <w:rPr>
          <w:rFonts w:ascii="Arial Narrow" w:hAnsi="Arial Narrow" w:cs="Arial Narrow"/>
          <w:sz w:val="22"/>
          <w:szCs w:val="24"/>
        </w:rPr>
        <w:t xml:space="preserve"> mil. eur, ktoré pokrývajú najmä činnosti vykonávané ústredným orgánom, Slovenskou inšpekciou životného prostredia, Slovenskou agentúrou životného prostredia, špecializovanou miestnou štátnou správou - úradmi životného prostredia</w:t>
      </w:r>
      <w:r w:rsidRPr="004B0772">
        <w:rPr>
          <w:rFonts w:ascii="Arial Narrow" w:hAnsi="Arial Narrow" w:cs="Arial Narrow"/>
          <w:sz w:val="22"/>
          <w:szCs w:val="24"/>
        </w:rPr>
        <w:t xml:space="preserve"> </w:t>
      </w:r>
      <w:r>
        <w:rPr>
          <w:rFonts w:ascii="Arial Narrow" w:hAnsi="Arial Narrow" w:cs="Arial Narrow"/>
          <w:sz w:val="22"/>
          <w:szCs w:val="24"/>
        </w:rPr>
        <w:t>a výdavky</w:t>
      </w:r>
      <w:r w:rsidRPr="003A7796">
        <w:rPr>
          <w:rFonts w:ascii="Arial Narrow" w:hAnsi="Arial Narrow" w:cs="Arial Narrow"/>
          <w:sz w:val="22"/>
          <w:szCs w:val="24"/>
        </w:rPr>
        <w:t xml:space="preserve"> </w:t>
      </w:r>
      <w:r>
        <w:rPr>
          <w:rFonts w:ascii="Arial Narrow" w:hAnsi="Arial Narrow" w:cs="Arial Narrow"/>
          <w:sz w:val="22"/>
          <w:szCs w:val="24"/>
        </w:rPr>
        <w:t xml:space="preserve">určené </w:t>
      </w:r>
      <w:r w:rsidRPr="003A7796">
        <w:rPr>
          <w:rFonts w:ascii="Arial Narrow" w:hAnsi="Arial Narrow" w:cs="Arial Narrow"/>
          <w:sz w:val="22"/>
          <w:szCs w:val="24"/>
        </w:rPr>
        <w:t>na správu Environmentálneho fondu</w:t>
      </w:r>
      <w:r>
        <w:rPr>
          <w:rFonts w:ascii="Arial Narrow" w:hAnsi="Arial Narrow" w:cs="Arial Narrow"/>
          <w:sz w:val="22"/>
          <w:szCs w:val="24"/>
        </w:rPr>
        <w:t>.</w:t>
      </w:r>
      <w:r w:rsidRPr="003A7796">
        <w:rPr>
          <w:rFonts w:ascii="Arial Narrow" w:hAnsi="Arial Narrow" w:cs="Arial Narrow"/>
          <w:sz w:val="22"/>
          <w:szCs w:val="24"/>
        </w:rPr>
        <w:t xml:space="preserve"> Okrem týchto výdavkov na administratívu</w:t>
      </w:r>
      <w:r>
        <w:rPr>
          <w:rFonts w:ascii="Arial Narrow" w:hAnsi="Arial Narrow" w:cs="Arial Narrow"/>
          <w:sz w:val="22"/>
          <w:szCs w:val="24"/>
        </w:rPr>
        <w:t xml:space="preserve"> </w:t>
      </w:r>
      <w:r w:rsidRPr="003A7796">
        <w:rPr>
          <w:rFonts w:ascii="Arial Narrow" w:hAnsi="Arial Narrow" w:cs="Arial Narrow"/>
          <w:sz w:val="22"/>
          <w:szCs w:val="24"/>
        </w:rPr>
        <w:t>sem patria prostriedky určené na výchovu, vzdelávanie, propagáciu, pr</w:t>
      </w:r>
      <w:r>
        <w:rPr>
          <w:rFonts w:ascii="Arial Narrow" w:hAnsi="Arial Narrow" w:cs="Arial Narrow"/>
          <w:sz w:val="22"/>
          <w:szCs w:val="24"/>
        </w:rPr>
        <w:t>ieskum, výskum, vývoj, technickú</w:t>
      </w:r>
      <w:r w:rsidRPr="003A7796">
        <w:rPr>
          <w:rFonts w:ascii="Arial Narrow" w:hAnsi="Arial Narrow" w:cs="Arial Narrow"/>
          <w:sz w:val="22"/>
          <w:szCs w:val="24"/>
        </w:rPr>
        <w:t xml:space="preserve"> pomoc, Program obnovy dediny, prostriedky určené na plnenie medzinárodných zmlúv v súvislosti s výstavbou vodných diel </w:t>
      </w:r>
      <w:r>
        <w:rPr>
          <w:rFonts w:ascii="Arial Narrow" w:hAnsi="Arial Narrow" w:cs="Arial Narrow"/>
          <w:sz w:val="22"/>
          <w:szCs w:val="24"/>
        </w:rPr>
        <w:t>Gabčíkovo – Nagymaros, výdavky na oficiálnu rozvojovú pomoc, hospodársku mobilizáciu a podporu</w:t>
      </w:r>
      <w:r w:rsidRPr="003A7796">
        <w:rPr>
          <w:rFonts w:ascii="Arial Narrow" w:hAnsi="Arial Narrow" w:cs="Arial Narrow"/>
          <w:sz w:val="22"/>
          <w:szCs w:val="24"/>
        </w:rPr>
        <w:t xml:space="preserve"> územnej spolupráce.</w:t>
      </w:r>
    </w:p>
    <w:p w:rsidR="00312541" w:rsidP="00312541">
      <w:pPr>
        <w:rPr>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RPr="00CB6123" w:rsidP="00312541">
      <w:pPr>
        <w:pBdr>
          <w:bottom w:val="single" w:sz="4" w:space="1" w:color="auto"/>
        </w:pBdr>
        <w:rPr>
          <w:rFonts w:ascii="Arial Narrow" w:hAnsi="Arial Narrow" w:cs="Arial Narrow"/>
          <w:b/>
          <w:sz w:val="22"/>
          <w:szCs w:val="24"/>
        </w:rPr>
      </w:pPr>
      <w:r w:rsidRPr="00CB6123">
        <w:rPr>
          <w:rFonts w:ascii="Arial Narrow" w:hAnsi="Arial Narrow" w:cs="Arial Narrow"/>
          <w:b/>
          <w:sz w:val="22"/>
          <w:szCs w:val="24"/>
        </w:rPr>
        <w:t>Financie a štátny dlh</w:t>
      </w:r>
    </w:p>
    <w:p w:rsidR="00312541" w:rsidRPr="00F90138" w:rsidP="00312541">
      <w:pPr>
        <w:jc w:val="both"/>
        <w:rPr>
          <w:rFonts w:ascii="Arial Narrow" w:hAnsi="Arial Narrow" w:cs="Arial Narrow"/>
          <w:sz w:val="22"/>
          <w:szCs w:val="24"/>
        </w:rPr>
      </w:pPr>
    </w:p>
    <w:p w:rsidR="00312541" w:rsidRPr="00F90138" w:rsidP="00312541">
      <w:pPr>
        <w:jc w:val="both"/>
        <w:rPr>
          <w:rFonts w:ascii="Arial Narrow" w:hAnsi="Arial Narrow" w:cs="Arial Narrow"/>
          <w:b/>
          <w:sz w:val="22"/>
          <w:szCs w:val="24"/>
        </w:rPr>
      </w:pPr>
      <w:r w:rsidRPr="00F90138">
        <w:rPr>
          <w:rFonts w:ascii="Arial Narrow" w:hAnsi="Arial Narrow" w:cs="Arial Narrow"/>
          <w:b/>
          <w:sz w:val="22"/>
          <w:szCs w:val="24"/>
        </w:rPr>
        <w:t>Financie</w:t>
      </w:r>
    </w:p>
    <w:p w:rsidR="00312541" w:rsidRPr="00F90138" w:rsidP="00312541">
      <w:pPr>
        <w:jc w:val="both"/>
        <w:rPr>
          <w:rFonts w:ascii="Arial Narrow" w:hAnsi="Arial Narrow" w:cs="Arial Narrow"/>
          <w:sz w:val="22"/>
          <w:szCs w:val="24"/>
        </w:rPr>
      </w:pPr>
    </w:p>
    <w:tbl>
      <w:tblPr>
        <w:tblStyle w:val="TableNormal"/>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95"/>
        <w:gridCol w:w="1125"/>
        <w:gridCol w:w="1125"/>
        <w:gridCol w:w="1125"/>
        <w:gridCol w:w="1125"/>
      </w:tblGrid>
      <w:tr>
        <w:tblPrEx>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A6189" w:rsidP="00A70AF6">
            <w:pPr>
              <w:rPr>
                <w:rFonts w:ascii="Arial Narrow" w:hAnsi="Arial Narrow" w:cs="Arial Narrow"/>
                <w:b/>
                <w:sz w:val="20"/>
                <w:szCs w:val="24"/>
              </w:rPr>
            </w:pPr>
            <w:r w:rsidRPr="007A6189">
              <w:rPr>
                <w:rFonts w:ascii="Arial Narrow" w:hAnsi="Arial Narrow" w:cs="Arial Narrow"/>
                <w:b/>
                <w:sz w:val="20"/>
                <w:szCs w:val="24"/>
              </w:rPr>
              <w:t>Zdroje oblasti financie spolu, z toho:</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469 103</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491 341</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535 836</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530 123</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Rozpočtové zdroje (ŠR)</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327 948</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284 592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286 452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289 537</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Európske zdroje, II. programovacie obdobie</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119 840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171 702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207 161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199 691</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Spolufinancovanie zo ŠR</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21 148</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34 941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42 130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40 811</w:t>
            </w:r>
          </w:p>
        </w:tc>
      </w:tr>
      <w:tr>
        <w:tblPrEx>
          <w:tblW w:w="9195" w:type="dxa"/>
          <w:tblInd w:w="55" w:type="dxa"/>
          <w:tblLayout w:type="fixed"/>
          <w:tblCellMar>
            <w:left w:w="70" w:type="dxa"/>
            <w:right w:w="70" w:type="dxa"/>
          </w:tblCellMar>
        </w:tblPrEx>
        <w:trPr>
          <w:trHeight w:val="22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PF, Budovanie Schengenských hraníc, FM EHP a NFM</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167</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107</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93</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85</w:t>
            </w:r>
          </w:p>
        </w:tc>
      </w:tr>
    </w:tbl>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CA6451">
        <w:rPr>
          <w:rFonts w:ascii="Arial Narrow" w:hAnsi="Arial Narrow" w:cs="Arial Narrow"/>
          <w:b/>
          <w:sz w:val="22"/>
          <w:szCs w:val="24"/>
        </w:rPr>
        <w:t>Výdavky rozpočtované zo štátneho rozpočtu pre oblasť financie</w:t>
      </w:r>
      <w:r w:rsidRPr="00F90138">
        <w:rPr>
          <w:rFonts w:ascii="Arial Narrow" w:hAnsi="Arial Narrow" w:cs="Arial Narrow"/>
          <w:sz w:val="22"/>
          <w:szCs w:val="24"/>
        </w:rPr>
        <w:t xml:space="preserve"> na rok</w:t>
      </w:r>
      <w:r>
        <w:rPr>
          <w:rFonts w:ascii="Arial Narrow" w:hAnsi="Arial Narrow" w:cs="Arial Narrow"/>
          <w:sz w:val="22"/>
          <w:szCs w:val="24"/>
        </w:rPr>
        <w:t xml:space="preserve"> 2010 predstavujú 285</w:t>
      </w:r>
      <w:r w:rsidRPr="003A3E94">
        <w:rPr>
          <w:rFonts w:ascii="Arial Narrow" w:hAnsi="Arial Narrow" w:cs="Arial Narrow"/>
          <w:sz w:val="22"/>
          <w:szCs w:val="24"/>
        </w:rPr>
        <w:t xml:space="preserve"> mil. eur</w:t>
      </w:r>
      <w:r>
        <w:rPr>
          <w:rFonts w:ascii="Arial Narrow" w:hAnsi="Arial Narrow" w:cs="Arial Narrow"/>
          <w:sz w:val="22"/>
          <w:szCs w:val="24"/>
        </w:rPr>
        <w:t xml:space="preserve">, čo predstavuje </w:t>
      </w:r>
      <w:r w:rsidR="00542EC0">
        <w:rPr>
          <w:rFonts w:ascii="Arial Narrow" w:hAnsi="Arial Narrow" w:cs="Arial Narrow"/>
          <w:sz w:val="22"/>
          <w:szCs w:val="24"/>
        </w:rPr>
        <w:t xml:space="preserve">medziročný </w:t>
      </w:r>
      <w:r w:rsidRPr="00CA6451">
        <w:rPr>
          <w:rFonts w:ascii="Arial Narrow" w:hAnsi="Arial Narrow" w:cs="Arial Narrow"/>
          <w:b/>
          <w:sz w:val="22"/>
          <w:szCs w:val="24"/>
        </w:rPr>
        <w:t>pokles o 13,2</w:t>
      </w:r>
      <w:r>
        <w:rPr>
          <w:rFonts w:ascii="Arial Narrow" w:hAnsi="Arial Narrow" w:cs="Arial Narrow"/>
          <w:b/>
          <w:sz w:val="22"/>
          <w:szCs w:val="24"/>
        </w:rPr>
        <w:t xml:space="preserve"> </w:t>
      </w:r>
      <w:r w:rsidRPr="00CA6451">
        <w:rPr>
          <w:rFonts w:ascii="Arial Narrow" w:hAnsi="Arial Narrow" w:cs="Arial Narrow"/>
          <w:b/>
          <w:sz w:val="22"/>
          <w:szCs w:val="24"/>
        </w:rPr>
        <w:t>%</w:t>
      </w:r>
      <w:r>
        <w:rPr>
          <w:rFonts w:ascii="Arial Narrow" w:hAnsi="Arial Narrow" w:cs="Arial Narrow"/>
          <w:sz w:val="22"/>
          <w:szCs w:val="24"/>
        </w:rPr>
        <w:t>. Významnou súčasťou sú taktiež výdavky 2. programového obdobia s príslušným spolufinancovaním zo štátneho rozpočtu.</w:t>
      </w:r>
      <w:r w:rsidRPr="00CA6451">
        <w:rPr>
          <w:rFonts w:ascii="Arial Narrow" w:hAnsi="Arial Narrow" w:cs="Arial Narrow"/>
          <w:b/>
          <w:sz w:val="22"/>
          <w:szCs w:val="24"/>
        </w:rPr>
        <w:t xml:space="preserve"> </w:t>
      </w:r>
      <w:r>
        <w:rPr>
          <w:rFonts w:ascii="Arial Narrow" w:hAnsi="Arial Narrow" w:cs="Arial Narrow"/>
          <w:sz w:val="22"/>
          <w:szCs w:val="24"/>
        </w:rPr>
        <w:t>Uvedenými výdavkami sa zabezpečuje predovšetkým výber daní a ciel.</w:t>
      </w:r>
    </w:p>
    <w:p w:rsidR="00312541" w:rsidP="00312541">
      <w:pPr>
        <w:jc w:val="both"/>
        <w:rPr>
          <w:rFonts w:ascii="Arial Narrow" w:hAnsi="Arial Narrow" w:cs="Arial Narrow"/>
          <w:b/>
          <w:sz w:val="22"/>
          <w:szCs w:val="24"/>
        </w:rPr>
      </w:pPr>
    </w:p>
    <w:p w:rsidR="00312541" w:rsidP="00312541">
      <w:pPr>
        <w:jc w:val="both"/>
        <w:rPr>
          <w:rFonts w:ascii="Arial Narrow" w:hAnsi="Arial Narrow" w:cs="Arial Narrow"/>
          <w:i/>
          <w:sz w:val="22"/>
          <w:szCs w:val="24"/>
        </w:rPr>
      </w:pPr>
      <w:r>
        <w:rPr>
          <w:rFonts w:ascii="Arial Narrow" w:hAnsi="Arial Narrow" w:cs="Arial Narrow"/>
          <w:i/>
          <w:sz w:val="22"/>
          <w:szCs w:val="24"/>
        </w:rPr>
        <w:t>Výber daní a cla</w:t>
      </w:r>
    </w:p>
    <w:p w:rsidR="00312541" w:rsidP="00312541">
      <w:pPr>
        <w:jc w:val="both"/>
        <w:rPr>
          <w:rFonts w:ascii="Arial Narrow" w:hAnsi="Arial Narrow" w:cs="Arial Narrow"/>
          <w:i/>
          <w:sz w:val="22"/>
          <w:szCs w:val="24"/>
        </w:rPr>
      </w:pPr>
    </w:p>
    <w:tbl>
      <w:tblPr>
        <w:tblStyle w:val="TableNormal"/>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95"/>
        <w:gridCol w:w="1125"/>
        <w:gridCol w:w="1125"/>
        <w:gridCol w:w="1125"/>
        <w:gridCol w:w="1125"/>
      </w:tblGrid>
      <w:tr>
        <w:tblPrEx>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195"/>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PrEx>
        <w:trPr>
          <w:trHeight w:val="19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Výdavky na výber daní</w:t>
            </w:r>
            <w:r>
              <w:rPr>
                <w:rFonts w:ascii="Arial Narrow" w:hAnsi="Arial Narrow" w:cs="Arial Narrow"/>
                <w:sz w:val="20"/>
                <w:szCs w:val="24"/>
              </w:rPr>
              <w:t xml:space="preserve"> a cla</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jc w:val="right"/>
              <w:rPr>
                <w:rFonts w:ascii="Arial Narrow" w:hAnsi="Arial Narrow" w:cs="Arial Narrow"/>
                <w:sz w:val="20"/>
                <w:szCs w:val="24"/>
              </w:rPr>
            </w:pPr>
            <w:r>
              <w:rPr>
                <w:rFonts w:ascii="Arial Narrow" w:hAnsi="Arial Narrow" w:cs="Arial Narrow"/>
                <w:sz w:val="20"/>
                <w:szCs w:val="24"/>
              </w:rPr>
              <w:t>204 127</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jc w:val="right"/>
              <w:rPr>
                <w:rFonts w:ascii="Arial Narrow" w:hAnsi="Arial Narrow" w:cs="Arial Narrow"/>
                <w:sz w:val="20"/>
                <w:szCs w:val="24"/>
              </w:rPr>
            </w:pPr>
            <w:r>
              <w:rPr>
                <w:rFonts w:ascii="Arial Narrow" w:hAnsi="Arial Narrow" w:cs="Arial Narrow"/>
                <w:sz w:val="20"/>
                <w:szCs w:val="24"/>
              </w:rPr>
              <w:t>193 052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jc w:val="right"/>
              <w:rPr>
                <w:rFonts w:ascii="Arial Narrow" w:hAnsi="Arial Narrow" w:cs="Arial Narrow"/>
                <w:sz w:val="20"/>
                <w:szCs w:val="24"/>
              </w:rPr>
            </w:pPr>
            <w:r>
              <w:rPr>
                <w:rFonts w:ascii="Arial Narrow" w:hAnsi="Arial Narrow" w:cs="Arial Narrow"/>
                <w:sz w:val="20"/>
                <w:szCs w:val="24"/>
              </w:rPr>
              <w:t>188 459</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jc w:val="right"/>
              <w:rPr>
                <w:rFonts w:ascii="Arial Narrow" w:hAnsi="Arial Narrow" w:cs="Arial Narrow"/>
                <w:sz w:val="20"/>
                <w:szCs w:val="24"/>
              </w:rPr>
            </w:pPr>
            <w:r>
              <w:rPr>
                <w:rFonts w:ascii="Arial Narrow" w:hAnsi="Arial Narrow" w:cs="Arial Narrow"/>
                <w:sz w:val="20"/>
                <w:szCs w:val="24"/>
              </w:rPr>
              <w:t>191 905</w:t>
            </w:r>
          </w:p>
        </w:tc>
      </w:tr>
    </w:tbl>
    <w:p w:rsidR="00312541" w:rsidRPr="00B647EF"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B57DB6">
        <w:rPr>
          <w:rFonts w:ascii="Arial Narrow" w:hAnsi="Arial Narrow" w:cs="Arial Narrow"/>
          <w:sz w:val="22"/>
          <w:szCs w:val="24"/>
        </w:rPr>
        <w:t>Výber daní</w:t>
      </w:r>
      <w:r w:rsidRPr="00B57DB6">
        <w:rPr>
          <w:rFonts w:ascii="Arial Narrow" w:hAnsi="Arial Narrow" w:cs="Arial Narrow"/>
          <w:b/>
          <w:sz w:val="22"/>
          <w:szCs w:val="24"/>
        </w:rPr>
        <w:t xml:space="preserve"> </w:t>
      </w:r>
      <w:r w:rsidRPr="00B57DB6">
        <w:rPr>
          <w:rFonts w:ascii="Arial Narrow" w:hAnsi="Arial Narrow" w:cs="Arial Narrow"/>
          <w:sz w:val="22"/>
          <w:szCs w:val="24"/>
        </w:rPr>
        <w:t xml:space="preserve">gestoruje Daňové riaditeľstvo SR </w:t>
      </w:r>
      <w:r>
        <w:rPr>
          <w:rFonts w:ascii="Arial Narrow" w:hAnsi="Arial Narrow" w:cs="Arial Narrow"/>
          <w:sz w:val="22"/>
          <w:szCs w:val="24"/>
        </w:rPr>
        <w:t>a</w:t>
      </w:r>
      <w:r w:rsidRPr="00B57DB6">
        <w:rPr>
          <w:rFonts w:ascii="Arial Narrow" w:hAnsi="Arial Narrow" w:cs="Arial Narrow"/>
          <w:sz w:val="22"/>
          <w:szCs w:val="24"/>
        </w:rPr>
        <w:t xml:space="preserve"> </w:t>
      </w:r>
      <w:r>
        <w:rPr>
          <w:rFonts w:ascii="Arial Narrow" w:hAnsi="Arial Narrow" w:cs="Arial Narrow"/>
          <w:sz w:val="22"/>
          <w:szCs w:val="24"/>
        </w:rPr>
        <w:t xml:space="preserve">daňové úrady. </w:t>
      </w:r>
      <w:r w:rsidRPr="00B46D1E">
        <w:rPr>
          <w:rFonts w:ascii="Arial Narrow" w:hAnsi="Arial Narrow" w:cs="Arial Narrow"/>
          <w:sz w:val="22"/>
          <w:szCs w:val="24"/>
        </w:rPr>
        <w:t>Hlavným poslaním Daňovej správy Slovenskej republiky je efektívny výbe</w:t>
      </w:r>
      <w:r>
        <w:rPr>
          <w:rFonts w:ascii="Arial Narrow" w:hAnsi="Arial Narrow" w:cs="Arial Narrow"/>
          <w:sz w:val="22"/>
          <w:szCs w:val="24"/>
        </w:rPr>
        <w:t xml:space="preserve">r a správa daní, ako aj ochrana </w:t>
      </w:r>
      <w:r w:rsidRPr="00B46D1E">
        <w:rPr>
          <w:rFonts w:ascii="Arial Narrow" w:hAnsi="Arial Narrow" w:cs="Arial Narrow"/>
          <w:sz w:val="22"/>
          <w:szCs w:val="24"/>
        </w:rPr>
        <w:t>ekonomických</w:t>
      </w:r>
      <w:r>
        <w:rPr>
          <w:rFonts w:ascii="Arial Narrow" w:hAnsi="Arial Narrow" w:cs="Arial Narrow"/>
          <w:sz w:val="22"/>
          <w:szCs w:val="24"/>
        </w:rPr>
        <w:t xml:space="preserve"> </w:t>
      </w:r>
      <w:r w:rsidRPr="00B46D1E">
        <w:rPr>
          <w:rFonts w:ascii="Arial Narrow" w:hAnsi="Arial Narrow" w:cs="Arial Narrow"/>
          <w:sz w:val="22"/>
          <w:szCs w:val="24"/>
        </w:rPr>
        <w:t>záujmov štátu.</w:t>
      </w:r>
      <w:r>
        <w:rPr>
          <w:rFonts w:ascii="Arial Narrow" w:hAnsi="Arial Narrow" w:cs="Arial Narrow"/>
          <w:sz w:val="22"/>
          <w:szCs w:val="24"/>
        </w:rPr>
        <w:t xml:space="preserve"> </w:t>
      </w:r>
      <w:r w:rsidRPr="00B46D1E">
        <w:rPr>
          <w:rFonts w:ascii="Arial Narrow" w:hAnsi="Arial Narrow" w:cs="Arial Narrow"/>
          <w:sz w:val="22"/>
          <w:szCs w:val="24"/>
        </w:rPr>
        <w:t>Daňová správa Slovenskej republiky plní úlohy stanovené štátnym rozpoč</w:t>
      </w:r>
      <w:r>
        <w:rPr>
          <w:rFonts w:ascii="Arial Narrow" w:hAnsi="Arial Narrow" w:cs="Arial Narrow"/>
          <w:sz w:val="22"/>
          <w:szCs w:val="24"/>
        </w:rPr>
        <w:t xml:space="preserve">tom a </w:t>
      </w:r>
      <w:r w:rsidRPr="00B46D1E">
        <w:rPr>
          <w:rFonts w:ascii="Arial Narrow" w:hAnsi="Arial Narrow" w:cs="Arial Narrow"/>
          <w:sz w:val="22"/>
          <w:szCs w:val="24"/>
        </w:rPr>
        <w:t>zároveň odzrkadľuje strednodobé ciele</w:t>
      </w:r>
      <w:r>
        <w:rPr>
          <w:rFonts w:ascii="Arial Narrow" w:hAnsi="Arial Narrow" w:cs="Arial Narrow"/>
          <w:sz w:val="22"/>
          <w:szCs w:val="24"/>
        </w:rPr>
        <w:t xml:space="preserve"> </w:t>
      </w:r>
      <w:r w:rsidRPr="00B46D1E">
        <w:rPr>
          <w:rFonts w:ascii="Arial Narrow" w:hAnsi="Arial Narrow" w:cs="Arial Narrow"/>
          <w:sz w:val="22"/>
          <w:szCs w:val="24"/>
        </w:rPr>
        <w:t>hospodárskej politiky Slovenskej republiky a Európskej únie</w:t>
      </w:r>
      <w:r w:rsidR="00236978">
        <w:rPr>
          <w:rFonts w:ascii="Arial Narrow" w:hAnsi="Arial Narrow" w:cs="Arial Narrow"/>
          <w:sz w:val="22"/>
          <w:szCs w:val="24"/>
        </w:rPr>
        <w:t>.</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3A3E94">
        <w:rPr>
          <w:rFonts w:ascii="Arial Narrow" w:hAnsi="Arial Narrow" w:cs="Arial Narrow"/>
          <w:sz w:val="22"/>
          <w:szCs w:val="24"/>
        </w:rPr>
        <w:t>Výber ciel a daní v správe colných úradov gestoruje Colné riaditeľstvo a colné úrady. Poslaním colnej správy je ochrana ekonomických záujmov štátu, napĺňanie</w:t>
      </w:r>
      <w:r w:rsidRPr="00B46D1E">
        <w:rPr>
          <w:rFonts w:ascii="Arial Narrow" w:hAnsi="Arial Narrow" w:cs="Arial Narrow"/>
          <w:sz w:val="22"/>
          <w:szCs w:val="24"/>
        </w:rPr>
        <w:t xml:space="preserve"> príjmovej časti a ochrana výdavkovej č</w:t>
      </w:r>
      <w:r>
        <w:rPr>
          <w:rFonts w:ascii="Arial Narrow" w:hAnsi="Arial Narrow" w:cs="Arial Narrow"/>
          <w:sz w:val="22"/>
          <w:szCs w:val="24"/>
        </w:rPr>
        <w:t xml:space="preserve">asti </w:t>
      </w:r>
      <w:r w:rsidRPr="00B46D1E">
        <w:rPr>
          <w:rFonts w:ascii="Arial Narrow" w:hAnsi="Arial Narrow" w:cs="Arial Narrow"/>
          <w:sz w:val="22"/>
          <w:szCs w:val="24"/>
        </w:rPr>
        <w:t>štátneho</w:t>
      </w:r>
      <w:r>
        <w:rPr>
          <w:rFonts w:ascii="Arial Narrow" w:hAnsi="Arial Narrow" w:cs="Arial Narrow"/>
          <w:sz w:val="22"/>
          <w:szCs w:val="24"/>
        </w:rPr>
        <w:t xml:space="preserve"> </w:t>
      </w:r>
      <w:r w:rsidRPr="00B46D1E">
        <w:rPr>
          <w:rFonts w:ascii="Arial Narrow" w:hAnsi="Arial Narrow" w:cs="Arial Narrow"/>
          <w:sz w:val="22"/>
          <w:szCs w:val="24"/>
        </w:rPr>
        <w:t>rozpoč</w:t>
      </w:r>
      <w:r>
        <w:rPr>
          <w:rFonts w:ascii="Arial Narrow" w:hAnsi="Arial Narrow" w:cs="Arial Narrow"/>
          <w:sz w:val="22"/>
          <w:szCs w:val="24"/>
        </w:rPr>
        <w:t>tu SR</w:t>
      </w:r>
      <w:r w:rsidRPr="00B46D1E">
        <w:rPr>
          <w:rFonts w:ascii="Arial Narrow" w:hAnsi="Arial Narrow" w:cs="Arial Narrow"/>
          <w:sz w:val="22"/>
          <w:szCs w:val="24"/>
        </w:rPr>
        <w:t xml:space="preserve"> a rozpoč</w:t>
      </w:r>
      <w:r>
        <w:rPr>
          <w:rFonts w:ascii="Arial Narrow" w:hAnsi="Arial Narrow" w:cs="Arial Narrow"/>
          <w:sz w:val="22"/>
          <w:szCs w:val="24"/>
        </w:rPr>
        <w:t>tu Európskej únie</w:t>
      </w:r>
      <w:r w:rsidRPr="00B46D1E">
        <w:rPr>
          <w:rFonts w:ascii="Arial Narrow" w:hAnsi="Arial Narrow" w:cs="Arial Narrow"/>
          <w:sz w:val="22"/>
          <w:szCs w:val="24"/>
        </w:rPr>
        <w:t>, zamedzenie porušovaniu colných a</w:t>
      </w:r>
      <w:r>
        <w:rPr>
          <w:rFonts w:ascii="Arial Narrow" w:hAnsi="Arial Narrow" w:cs="Arial Narrow"/>
          <w:sz w:val="22"/>
          <w:szCs w:val="24"/>
        </w:rPr>
        <w:t> </w:t>
      </w:r>
      <w:r w:rsidRPr="00B46D1E">
        <w:rPr>
          <w:rFonts w:ascii="Arial Narrow" w:hAnsi="Arial Narrow" w:cs="Arial Narrow"/>
          <w:sz w:val="22"/>
          <w:szCs w:val="24"/>
        </w:rPr>
        <w:t>daňových</w:t>
      </w:r>
      <w:r>
        <w:rPr>
          <w:rFonts w:ascii="Arial Narrow" w:hAnsi="Arial Narrow" w:cs="Arial Narrow"/>
          <w:sz w:val="22"/>
          <w:szCs w:val="24"/>
        </w:rPr>
        <w:t xml:space="preserve"> </w:t>
      </w:r>
      <w:r w:rsidRPr="00B46D1E">
        <w:rPr>
          <w:rFonts w:ascii="Arial Narrow" w:hAnsi="Arial Narrow" w:cs="Arial Narrow"/>
          <w:sz w:val="22"/>
          <w:szCs w:val="24"/>
        </w:rPr>
        <w:t xml:space="preserve">predpisov a správa spotrebných daní. </w:t>
      </w:r>
      <w:r>
        <w:rPr>
          <w:rFonts w:ascii="Arial Narrow" w:hAnsi="Arial Narrow" w:cs="Arial Narrow"/>
          <w:sz w:val="22"/>
          <w:szCs w:val="24"/>
        </w:rPr>
        <w:t xml:space="preserve">Colná správa </w:t>
      </w:r>
      <w:r w:rsidRPr="00B46D1E">
        <w:rPr>
          <w:rFonts w:ascii="Arial Narrow" w:hAnsi="Arial Narrow" w:cs="Arial Narrow"/>
          <w:sz w:val="22"/>
          <w:szCs w:val="24"/>
        </w:rPr>
        <w:t>vykonáva predovšetkým dohľad nad dodržiavaním zákonov, osobitných predpisov,</w:t>
      </w:r>
      <w:r>
        <w:rPr>
          <w:rFonts w:ascii="Arial Narrow" w:hAnsi="Arial Narrow" w:cs="Arial Narrow"/>
          <w:sz w:val="22"/>
          <w:szCs w:val="24"/>
        </w:rPr>
        <w:t xml:space="preserve"> </w:t>
      </w:r>
      <w:r w:rsidRPr="00B46D1E">
        <w:rPr>
          <w:rFonts w:ascii="Arial Narrow" w:hAnsi="Arial Narrow" w:cs="Arial Narrow"/>
          <w:sz w:val="22"/>
          <w:szCs w:val="24"/>
        </w:rPr>
        <w:t>iných všeobecne záväzných právnych predpisov a medzinárodných zmlúv, ktorými zabezpečuje realizáciu obchodnej politiky,</w:t>
      </w:r>
      <w:r>
        <w:rPr>
          <w:rFonts w:ascii="Arial Narrow" w:hAnsi="Arial Narrow" w:cs="Arial Narrow"/>
          <w:sz w:val="22"/>
          <w:szCs w:val="24"/>
        </w:rPr>
        <w:t xml:space="preserve"> </w:t>
      </w:r>
      <w:r w:rsidRPr="00B46D1E">
        <w:rPr>
          <w:rFonts w:ascii="Arial Narrow" w:hAnsi="Arial Narrow" w:cs="Arial Narrow"/>
          <w:sz w:val="22"/>
          <w:szCs w:val="24"/>
        </w:rPr>
        <w:t>finančnej politiky a poľnohospodárskej politiky pri obehu tovaru v styku s tretími štátmi a na vnútornom trhu a robí opatrenia na</w:t>
      </w:r>
      <w:r>
        <w:rPr>
          <w:rFonts w:ascii="Arial Narrow" w:hAnsi="Arial Narrow" w:cs="Arial Narrow"/>
          <w:sz w:val="22"/>
          <w:szCs w:val="24"/>
        </w:rPr>
        <w:t xml:space="preserve"> </w:t>
      </w:r>
      <w:r w:rsidRPr="00B46D1E">
        <w:rPr>
          <w:rFonts w:ascii="Arial Narrow" w:hAnsi="Arial Narrow" w:cs="Arial Narrow"/>
          <w:sz w:val="22"/>
          <w:szCs w:val="24"/>
        </w:rPr>
        <w:t>zabránenie protiprávnemu konaniu pri dovoze, vývoze a tranzite tovaru s cieľom ochrany ekonomických záujmov SR a</w:t>
      </w:r>
      <w:r>
        <w:rPr>
          <w:rFonts w:ascii="Arial Narrow" w:hAnsi="Arial Narrow" w:cs="Arial Narrow"/>
          <w:sz w:val="22"/>
          <w:szCs w:val="24"/>
        </w:rPr>
        <w:t xml:space="preserve"> </w:t>
      </w:r>
      <w:r w:rsidRPr="00B46D1E">
        <w:rPr>
          <w:rFonts w:ascii="Arial Narrow" w:hAnsi="Arial Narrow" w:cs="Arial Narrow"/>
          <w:sz w:val="22"/>
          <w:szCs w:val="24"/>
        </w:rPr>
        <w:t>Európskeho spoloč</w:t>
      </w:r>
      <w:r>
        <w:rPr>
          <w:rFonts w:ascii="Arial Narrow" w:hAnsi="Arial Narrow" w:cs="Arial Narrow"/>
          <w:sz w:val="22"/>
          <w:szCs w:val="24"/>
        </w:rPr>
        <w:t xml:space="preserve">enstva. </w:t>
      </w:r>
      <w:r w:rsidRPr="00B46D1E">
        <w:rPr>
          <w:rFonts w:ascii="Arial Narrow" w:hAnsi="Arial Narrow" w:cs="Arial Narrow"/>
          <w:sz w:val="22"/>
          <w:szCs w:val="24"/>
        </w:rPr>
        <w:t xml:space="preserve">Činnosť </w:t>
      </w:r>
      <w:r>
        <w:rPr>
          <w:rFonts w:ascii="Arial Narrow" w:hAnsi="Arial Narrow" w:cs="Arial Narrow"/>
          <w:sz w:val="22"/>
          <w:szCs w:val="24"/>
        </w:rPr>
        <w:t xml:space="preserve">colnej správy </w:t>
      </w:r>
      <w:r w:rsidRPr="00B46D1E">
        <w:rPr>
          <w:rFonts w:ascii="Arial Narrow" w:hAnsi="Arial Narrow" w:cs="Arial Narrow"/>
          <w:sz w:val="22"/>
          <w:szCs w:val="24"/>
        </w:rPr>
        <w:t>je súčasťou systému colného dohľadu nad tovarom v rámci jednotného</w:t>
      </w:r>
      <w:r>
        <w:rPr>
          <w:rFonts w:ascii="Arial Narrow" w:hAnsi="Arial Narrow" w:cs="Arial Narrow"/>
          <w:sz w:val="22"/>
          <w:szCs w:val="24"/>
        </w:rPr>
        <w:t xml:space="preserve"> </w:t>
      </w:r>
      <w:r w:rsidRPr="00B46D1E">
        <w:rPr>
          <w:rFonts w:ascii="Arial Narrow" w:hAnsi="Arial Narrow" w:cs="Arial Narrow"/>
          <w:sz w:val="22"/>
          <w:szCs w:val="24"/>
        </w:rPr>
        <w:t>colného územia EÚ.</w:t>
      </w:r>
    </w:p>
    <w:p w:rsidR="00312541" w:rsidP="00312541">
      <w:pPr>
        <w:jc w:val="both"/>
        <w:rPr>
          <w:rFonts w:ascii="Arial Narrow" w:hAnsi="Arial Narrow" w:cs="Arial Narrow"/>
          <w:sz w:val="22"/>
          <w:szCs w:val="24"/>
        </w:rPr>
      </w:pPr>
    </w:p>
    <w:p w:rsidR="00312541" w:rsidRPr="005834F3" w:rsidP="00312541">
      <w:pPr>
        <w:ind w:firstLine="708"/>
        <w:jc w:val="both"/>
        <w:rPr>
          <w:rFonts w:ascii="Arial Narrow" w:hAnsi="Arial Narrow" w:cs="Arial Narrow"/>
          <w:sz w:val="22"/>
          <w:szCs w:val="24"/>
        </w:rPr>
      </w:pPr>
      <w:r>
        <w:rPr>
          <w:rFonts w:ascii="Arial Narrow" w:hAnsi="Arial Narrow" w:cs="Arial Narrow"/>
          <w:sz w:val="22"/>
          <w:szCs w:val="24"/>
        </w:rPr>
        <w:t xml:space="preserve">Unitas predstavuje reformu daňovej a colnej správy, ktorej cieľom je vybudovanie efektívnej a zákaznícky orientovanej daňovej a colnej správy schopnej prevziať v budúcnosti úlohu zjednoteného výberu daní, ciel a odvodov, zjednodušenie procesov spojených s daňovými a odvodovými povinnosťami pre subjekty s cieľom zníženia byrokracie, a to pri uplatnení smerovania k elektronickej verejnej správe. </w:t>
      </w:r>
    </w:p>
    <w:p w:rsidR="00312541" w:rsidP="00312541">
      <w:pPr>
        <w:jc w:val="both"/>
        <w:rPr>
          <w:rFonts w:ascii="Arial Narrow" w:hAnsi="Arial Narrow" w:cs="Arial Narrow"/>
          <w:sz w:val="22"/>
          <w:szCs w:val="24"/>
        </w:rPr>
      </w:pPr>
    </w:p>
    <w:p w:rsidR="00312541" w:rsidRPr="00CA539E" w:rsidP="00312541">
      <w:pPr>
        <w:jc w:val="both"/>
        <w:rPr>
          <w:rFonts w:ascii="Arial Narrow" w:hAnsi="Arial Narrow" w:cs="Arial Narrow"/>
          <w:i/>
          <w:sz w:val="22"/>
          <w:szCs w:val="24"/>
        </w:rPr>
      </w:pPr>
      <w:r w:rsidRPr="00CA539E">
        <w:rPr>
          <w:rFonts w:ascii="Arial Narrow" w:hAnsi="Arial Narrow" w:cs="Arial Narrow"/>
          <w:i/>
          <w:sz w:val="22"/>
          <w:szCs w:val="24"/>
        </w:rPr>
        <w:t>Výdavky na informat</w:t>
      </w:r>
      <w:r>
        <w:rPr>
          <w:rFonts w:ascii="Arial Narrow" w:hAnsi="Arial Narrow" w:cs="Arial Narrow"/>
          <w:i/>
          <w:sz w:val="22"/>
          <w:szCs w:val="24"/>
        </w:rPr>
        <w:t>i</w:t>
      </w:r>
      <w:r w:rsidRPr="00CA539E">
        <w:rPr>
          <w:rFonts w:ascii="Arial Narrow" w:hAnsi="Arial Narrow" w:cs="Arial Narrow"/>
          <w:i/>
          <w:sz w:val="22"/>
          <w:szCs w:val="24"/>
        </w:rPr>
        <w:t>záciu spoločnosti</w:t>
      </w:r>
    </w:p>
    <w:p w:rsidR="00312541" w:rsidP="00312541">
      <w:pPr>
        <w:jc w:val="both"/>
        <w:rPr>
          <w:rFonts w:ascii="Arial Narrow" w:hAnsi="Arial Narrow" w:cs="Arial Narrow"/>
          <w:sz w:val="22"/>
          <w:szCs w:val="24"/>
        </w:rPr>
      </w:pPr>
    </w:p>
    <w:tbl>
      <w:tblPr>
        <w:tblStyle w:val="TableNormal"/>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95"/>
        <w:gridCol w:w="1125"/>
        <w:gridCol w:w="1125"/>
        <w:gridCol w:w="1125"/>
        <w:gridCol w:w="1125"/>
      </w:tblGrid>
      <w:tr>
        <w:tblPrEx>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A6189" w:rsidP="00A70AF6">
            <w:pPr>
              <w:rPr>
                <w:rFonts w:ascii="Arial Narrow" w:hAnsi="Arial Narrow" w:cs="Arial Narrow"/>
                <w:b/>
                <w:sz w:val="20"/>
                <w:szCs w:val="24"/>
              </w:rPr>
            </w:pPr>
            <w:r w:rsidRPr="007A6189">
              <w:rPr>
                <w:rFonts w:ascii="Arial Narrow" w:hAnsi="Arial Narrow" w:cs="Arial Narrow"/>
                <w:b/>
                <w:sz w:val="20"/>
                <w:szCs w:val="24"/>
              </w:rPr>
              <w:t>Výdavky na Informatizáciu spoločnosti spolu, z toho:</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145 373</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217 036</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261 731</w:t>
            </w:r>
          </w:p>
        </w:tc>
        <w:tc>
          <w:tcPr>
            <w:tcW w:w="112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252 976</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Európske zdroje</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119 840</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10 308</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12 355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12 390</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Pr>
                <w:rFonts w:ascii="Arial Narrow" w:hAnsi="Arial Narrow" w:cs="Arial Narrow"/>
                <w:sz w:val="20"/>
                <w:szCs w:val="24"/>
              </w:rPr>
              <w:t xml:space="preserve">Spolufinancovanie </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21 148</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171 702</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207 161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199 691</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6A1681" w:rsidP="00A70AF6">
            <w:pPr>
              <w:rPr>
                <w:rFonts w:ascii="Arial Narrow" w:hAnsi="Arial Narrow" w:cs="Arial Narrow"/>
                <w:sz w:val="20"/>
                <w:szCs w:val="24"/>
              </w:rPr>
            </w:pPr>
            <w:r>
              <w:rPr>
                <w:rFonts w:ascii="Arial Narrow" w:hAnsi="Arial Narrow" w:cs="Arial Narrow"/>
                <w:sz w:val="20"/>
                <w:szCs w:val="24"/>
              </w:rPr>
              <w:t>Rozpočtové domáce zdroje</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4 385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35 026</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42 215</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40 896</w:t>
            </w:r>
          </w:p>
        </w:tc>
      </w:tr>
    </w:tbl>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Významnú položku predstavujú taktiež </w:t>
      </w:r>
      <w:r w:rsidRPr="00CA6451">
        <w:rPr>
          <w:rFonts w:ascii="Arial Narrow" w:hAnsi="Arial Narrow" w:cs="Arial Narrow"/>
          <w:b/>
          <w:sz w:val="22"/>
          <w:szCs w:val="24"/>
        </w:rPr>
        <w:t>prostriedky</w:t>
      </w:r>
      <w:r>
        <w:rPr>
          <w:rFonts w:ascii="Arial Narrow" w:hAnsi="Arial Narrow" w:cs="Arial Narrow"/>
          <w:sz w:val="22"/>
          <w:szCs w:val="24"/>
        </w:rPr>
        <w:t xml:space="preserve"> rozpočtované na Podporu rozvojových úloh </w:t>
      </w:r>
      <w:r w:rsidRPr="00CA6451">
        <w:rPr>
          <w:rFonts w:ascii="Arial Narrow" w:hAnsi="Arial Narrow" w:cs="Arial Narrow"/>
          <w:b/>
          <w:sz w:val="22"/>
          <w:szCs w:val="24"/>
        </w:rPr>
        <w:t>v oblasti informatizácie spoločnosti</w:t>
      </w:r>
      <w:r>
        <w:rPr>
          <w:rFonts w:ascii="Arial Narrow" w:hAnsi="Arial Narrow" w:cs="Arial Narrow"/>
          <w:sz w:val="22"/>
          <w:szCs w:val="24"/>
        </w:rPr>
        <w:t xml:space="preserve"> vo </w:t>
      </w:r>
      <w:r w:rsidRPr="00CA6451">
        <w:rPr>
          <w:rFonts w:ascii="Arial Narrow" w:hAnsi="Arial Narrow" w:cs="Arial Narrow"/>
          <w:sz w:val="22"/>
          <w:szCs w:val="24"/>
        </w:rPr>
        <w:t>výške 217 mil. eur, čo</w:t>
      </w:r>
      <w:r w:rsidRPr="009836E4">
        <w:rPr>
          <w:rFonts w:ascii="Arial Narrow" w:hAnsi="Arial Narrow" w:cs="Arial Narrow"/>
          <w:sz w:val="22"/>
          <w:szCs w:val="24"/>
        </w:rPr>
        <w:t xml:space="preserve"> predstavu</w:t>
      </w:r>
      <w:r>
        <w:rPr>
          <w:rFonts w:ascii="Arial Narrow" w:hAnsi="Arial Narrow" w:cs="Arial Narrow"/>
          <w:sz w:val="22"/>
          <w:szCs w:val="24"/>
        </w:rPr>
        <w:t xml:space="preserve">je </w:t>
      </w:r>
      <w:r w:rsidRPr="00CA6451">
        <w:rPr>
          <w:rFonts w:ascii="Arial Narrow" w:hAnsi="Arial Narrow" w:cs="Arial Narrow"/>
          <w:b/>
          <w:sz w:val="22"/>
          <w:szCs w:val="24"/>
        </w:rPr>
        <w:t>rast</w:t>
      </w:r>
      <w:r>
        <w:rPr>
          <w:rFonts w:ascii="Arial Narrow" w:hAnsi="Arial Narrow" w:cs="Arial Narrow"/>
          <w:sz w:val="22"/>
          <w:szCs w:val="24"/>
        </w:rPr>
        <w:t xml:space="preserve"> v porovnaní s rokom 2009</w:t>
      </w:r>
      <w:r w:rsidRPr="009836E4">
        <w:rPr>
          <w:rFonts w:ascii="Arial Narrow" w:hAnsi="Arial Narrow" w:cs="Arial Narrow"/>
          <w:sz w:val="22"/>
          <w:szCs w:val="24"/>
        </w:rPr>
        <w:t xml:space="preserve"> </w:t>
      </w:r>
      <w:r w:rsidRPr="00CA6451">
        <w:rPr>
          <w:rFonts w:ascii="Arial Narrow" w:hAnsi="Arial Narrow" w:cs="Arial Narrow"/>
          <w:b/>
          <w:sz w:val="22"/>
          <w:szCs w:val="24"/>
        </w:rPr>
        <w:t>o 49,3</w:t>
      </w:r>
      <w:r>
        <w:rPr>
          <w:rFonts w:ascii="Arial Narrow" w:hAnsi="Arial Narrow" w:cs="Arial Narrow"/>
          <w:b/>
          <w:sz w:val="22"/>
          <w:szCs w:val="24"/>
        </w:rPr>
        <w:t xml:space="preserve"> </w:t>
      </w:r>
      <w:r w:rsidRPr="00CA6451">
        <w:rPr>
          <w:rFonts w:ascii="Arial Narrow" w:hAnsi="Arial Narrow" w:cs="Arial Narrow"/>
          <w:b/>
          <w:sz w:val="22"/>
          <w:szCs w:val="24"/>
        </w:rPr>
        <w:t>%</w:t>
      </w:r>
      <w:r>
        <w:rPr>
          <w:rFonts w:ascii="Arial Narrow" w:hAnsi="Arial Narrow" w:cs="Arial Narrow"/>
          <w:sz w:val="22"/>
          <w:szCs w:val="24"/>
        </w:rPr>
        <w:t>. Hlavným cieľom je elektronizácia verejnej správy, rozvoj pamäťových a fondových inštitúcií, ako aj zvýšenie prístupnosti k širokopásmovému internetu.</w:t>
      </w:r>
    </w:p>
    <w:p w:rsidR="00312541" w:rsidP="00312541">
      <w:pPr>
        <w:jc w:val="both"/>
        <w:rPr>
          <w:rFonts w:ascii="Arial Narrow" w:hAnsi="Arial Narrow" w:cs="Arial Narrow"/>
          <w:sz w:val="22"/>
          <w:szCs w:val="24"/>
        </w:rPr>
      </w:pPr>
    </w:p>
    <w:p w:rsidR="00312541" w:rsidP="00312541">
      <w:pPr>
        <w:jc w:val="both"/>
        <w:rPr>
          <w:rFonts w:ascii="Arial Narrow" w:hAnsi="Arial Narrow" w:cs="Arial Narrow"/>
          <w:i/>
          <w:sz w:val="22"/>
          <w:szCs w:val="24"/>
        </w:rPr>
      </w:pPr>
    </w:p>
    <w:p w:rsidR="00312541" w:rsidRPr="00CA539E" w:rsidP="00312541">
      <w:pPr>
        <w:jc w:val="both"/>
        <w:rPr>
          <w:rFonts w:ascii="Arial Narrow" w:hAnsi="Arial Narrow" w:cs="Arial Narrow"/>
          <w:i/>
          <w:sz w:val="22"/>
          <w:szCs w:val="24"/>
        </w:rPr>
      </w:pPr>
      <w:r w:rsidRPr="00CA539E">
        <w:rPr>
          <w:rFonts w:ascii="Arial Narrow" w:hAnsi="Arial Narrow" w:cs="Arial Narrow"/>
          <w:i/>
          <w:sz w:val="22"/>
          <w:szCs w:val="24"/>
        </w:rPr>
        <w:t xml:space="preserve">Výdavky na </w:t>
      </w:r>
      <w:r>
        <w:rPr>
          <w:rFonts w:ascii="Arial Narrow" w:hAnsi="Arial Narrow" w:cs="Arial Narrow"/>
          <w:i/>
          <w:sz w:val="22"/>
          <w:szCs w:val="24"/>
        </w:rPr>
        <w:t>inštitucionálnu podporu</w:t>
      </w:r>
      <w:r w:rsidRPr="00CA539E">
        <w:rPr>
          <w:rFonts w:ascii="Arial Narrow" w:hAnsi="Arial Narrow" w:cs="Arial Narrow"/>
          <w:i/>
          <w:sz w:val="22"/>
          <w:szCs w:val="24"/>
        </w:rPr>
        <w:t xml:space="preserve"> a kontrolu</w:t>
      </w:r>
    </w:p>
    <w:p w:rsidR="00312541" w:rsidRPr="00C91EDA" w:rsidP="00312541">
      <w:pPr>
        <w:jc w:val="both"/>
        <w:rPr>
          <w:rFonts w:ascii="Arial Narrow" w:hAnsi="Arial Narrow" w:cs="Arial Narrow"/>
          <w:sz w:val="22"/>
          <w:szCs w:val="24"/>
        </w:rPr>
      </w:pPr>
    </w:p>
    <w:tbl>
      <w:tblPr>
        <w:tblStyle w:val="TableNormal"/>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95"/>
        <w:gridCol w:w="1125"/>
        <w:gridCol w:w="1125"/>
        <w:gridCol w:w="1125"/>
        <w:gridCol w:w="1125"/>
      </w:tblGrid>
      <w:tr>
        <w:tblPrEx>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195"/>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PrEx>
        <w:trPr>
          <w:trHeight w:val="195"/>
        </w:trPr>
        <w:tc>
          <w:tcPr>
            <w:tcW w:w="46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A6189" w:rsidP="00A70AF6">
            <w:pPr>
              <w:rPr>
                <w:rFonts w:ascii="Arial Narrow" w:hAnsi="Arial Narrow" w:cs="Arial Narrow"/>
                <w:sz w:val="20"/>
                <w:szCs w:val="24"/>
              </w:rPr>
            </w:pPr>
            <w:r w:rsidRPr="007A6189">
              <w:rPr>
                <w:rFonts w:ascii="Arial Narrow" w:hAnsi="Arial Narrow" w:cs="Arial Narrow"/>
                <w:sz w:val="20"/>
                <w:szCs w:val="24"/>
              </w:rPr>
              <w:t>Inštitucionálna podpora a kontrola</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671AFA" w:rsidP="00A70AF6">
            <w:pPr>
              <w:jc w:val="right"/>
              <w:rPr>
                <w:rFonts w:ascii="Arial Narrow" w:hAnsi="Arial Narrow" w:cs="Arial Narrow"/>
                <w:sz w:val="20"/>
                <w:szCs w:val="24"/>
              </w:rPr>
            </w:pPr>
            <w:r>
              <w:rPr>
                <w:rFonts w:ascii="Arial Narrow" w:hAnsi="Arial Narrow" w:cs="Arial Narrow"/>
                <w:sz w:val="20"/>
                <w:szCs w:val="24"/>
              </w:rPr>
              <w:t>105 661</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671AFA" w:rsidP="00A70AF6">
            <w:pPr>
              <w:jc w:val="right"/>
              <w:rPr>
                <w:rFonts w:ascii="Arial Narrow" w:hAnsi="Arial Narrow" w:cs="Arial Narrow"/>
                <w:sz w:val="20"/>
                <w:szCs w:val="24"/>
              </w:rPr>
            </w:pPr>
            <w:r w:rsidRPr="00671AFA">
              <w:rPr>
                <w:rFonts w:ascii="Arial Narrow" w:hAnsi="Arial Narrow" w:cs="Arial Narrow"/>
                <w:sz w:val="20"/>
                <w:szCs w:val="24"/>
              </w:rPr>
              <w:t>81 253</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671AFA" w:rsidP="00A70AF6">
            <w:pPr>
              <w:jc w:val="right"/>
              <w:rPr>
                <w:rFonts w:ascii="Arial Narrow" w:hAnsi="Arial Narrow" w:cs="Arial Narrow"/>
                <w:sz w:val="20"/>
                <w:szCs w:val="24"/>
              </w:rPr>
            </w:pPr>
            <w:r w:rsidRPr="00671AFA">
              <w:rPr>
                <w:rFonts w:ascii="Arial Narrow" w:hAnsi="Arial Narrow" w:cs="Arial Narrow"/>
                <w:sz w:val="20"/>
                <w:szCs w:val="24"/>
              </w:rPr>
              <w:t>85 646</w:t>
            </w:r>
          </w:p>
        </w:tc>
        <w:tc>
          <w:tcPr>
            <w:tcW w:w="112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671AFA" w:rsidP="00A70AF6">
            <w:pPr>
              <w:jc w:val="right"/>
              <w:rPr>
                <w:rFonts w:ascii="Arial Narrow" w:hAnsi="Arial Narrow" w:cs="Arial Narrow"/>
                <w:sz w:val="20"/>
                <w:szCs w:val="24"/>
              </w:rPr>
            </w:pPr>
            <w:r w:rsidRPr="00671AFA">
              <w:rPr>
                <w:rFonts w:ascii="Arial Narrow" w:hAnsi="Arial Narrow" w:cs="Arial Narrow"/>
                <w:sz w:val="20"/>
                <w:szCs w:val="24"/>
              </w:rPr>
              <w:t>85 242</w:t>
            </w:r>
          </w:p>
        </w:tc>
      </w:tr>
    </w:tbl>
    <w:p w:rsidR="00312541" w:rsidP="00312541">
      <w:pPr>
        <w:jc w:val="both"/>
        <w:rPr>
          <w:rFonts w:ascii="Arial Narrow" w:hAnsi="Arial Narrow" w:cs="Arial Narrow"/>
          <w:b/>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Výdavky na inštitucionálnu podporu a kontrolu sú rozpočtované </w:t>
      </w:r>
      <w:r w:rsidRPr="005804FA">
        <w:rPr>
          <w:rFonts w:ascii="Arial Narrow" w:hAnsi="Arial Narrow" w:cs="Arial Narrow"/>
          <w:sz w:val="22"/>
          <w:szCs w:val="24"/>
        </w:rPr>
        <w:t xml:space="preserve">v sume </w:t>
      </w:r>
      <w:r>
        <w:rPr>
          <w:rFonts w:ascii="Arial Narrow" w:hAnsi="Arial Narrow" w:cs="Arial Narrow"/>
          <w:b/>
          <w:sz w:val="22"/>
          <w:szCs w:val="24"/>
        </w:rPr>
        <w:t>81,3</w:t>
      </w:r>
      <w:r w:rsidRPr="00FE58A9">
        <w:rPr>
          <w:rFonts w:ascii="Arial Narrow" w:hAnsi="Arial Narrow" w:cs="Arial Narrow"/>
          <w:b/>
          <w:sz w:val="22"/>
          <w:szCs w:val="24"/>
        </w:rPr>
        <w:t xml:space="preserve"> mil. eur,</w:t>
      </w:r>
      <w:r w:rsidRPr="005804FA">
        <w:rPr>
          <w:rFonts w:ascii="Arial Narrow" w:hAnsi="Arial Narrow" w:cs="Arial Narrow"/>
          <w:b/>
          <w:sz w:val="22"/>
          <w:szCs w:val="24"/>
        </w:rPr>
        <w:t xml:space="preserve"> </w:t>
      </w:r>
      <w:r w:rsidRPr="005804FA">
        <w:rPr>
          <w:rFonts w:ascii="Arial Narrow" w:hAnsi="Arial Narrow" w:cs="Arial Narrow"/>
          <w:sz w:val="22"/>
          <w:szCs w:val="24"/>
        </w:rPr>
        <w:t>v rámci</w:t>
      </w:r>
      <w:r>
        <w:rPr>
          <w:rFonts w:ascii="Arial Narrow" w:hAnsi="Arial Narrow" w:cs="Arial Narrow"/>
          <w:sz w:val="22"/>
          <w:szCs w:val="24"/>
        </w:rPr>
        <w:t xml:space="preserve"> ktorých</w:t>
      </w:r>
      <w:r w:rsidRPr="00935ABF">
        <w:rPr>
          <w:rFonts w:ascii="Arial Narrow" w:hAnsi="Arial Narrow" w:cs="Arial Narrow"/>
          <w:sz w:val="22"/>
          <w:szCs w:val="24"/>
        </w:rPr>
        <w:t xml:space="preserve"> </w:t>
      </w:r>
      <w:r>
        <w:rPr>
          <w:rFonts w:ascii="Arial Narrow" w:hAnsi="Arial Narrow" w:cs="Arial Narrow"/>
          <w:sz w:val="22"/>
          <w:szCs w:val="24"/>
        </w:rPr>
        <w:t>sa</w:t>
      </w:r>
      <w:r w:rsidRPr="00935ABF">
        <w:rPr>
          <w:rFonts w:ascii="Arial Narrow" w:hAnsi="Arial Narrow" w:cs="Arial Narrow"/>
          <w:sz w:val="22"/>
          <w:szCs w:val="24"/>
        </w:rPr>
        <w:t xml:space="preserve"> zabezpečuje viacero úloh, napr. v oblasti </w:t>
      </w:r>
      <w:r>
        <w:rPr>
          <w:rFonts w:ascii="Arial Narrow" w:hAnsi="Arial Narrow" w:cs="Arial Narrow"/>
          <w:sz w:val="22"/>
          <w:szCs w:val="24"/>
        </w:rPr>
        <w:t>rozpočtovej politiky, kontroly, štátneho výkazníctva a  úlohy v oblasti finančného trhu v gescii MF SR, ako aj distribúcia kolkov. Dôležitou súčasťou sú výdavky na činnosť štátnej pokladnice a na ostatné informačné systémy riadenia verejných financií nadrezortného charakteru, ktoré zabezpečujú Štátna pokladnica</w:t>
      </w:r>
      <w:r>
        <w:rPr>
          <w:rFonts w:ascii="Arial Narrow" w:hAnsi="Arial Narrow" w:cs="Arial Narrow"/>
          <w:i/>
          <w:sz w:val="22"/>
          <w:szCs w:val="24"/>
        </w:rPr>
        <w:t xml:space="preserve">, </w:t>
      </w:r>
      <w:r>
        <w:rPr>
          <w:rFonts w:ascii="Arial Narrow" w:hAnsi="Arial Narrow" w:cs="Arial Narrow"/>
          <w:sz w:val="22"/>
          <w:szCs w:val="24"/>
        </w:rPr>
        <w:t>Datacentrum, Agentúra pre riadenie dlhu a likvidity (ARDAL) a Úrad ministerstva financií.</w:t>
      </w: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Významnou úlohou </w:t>
      </w:r>
      <w:r w:rsidRPr="001E0718">
        <w:rPr>
          <w:rFonts w:ascii="Arial Narrow" w:hAnsi="Arial Narrow" w:cs="Arial Narrow"/>
          <w:sz w:val="22"/>
          <w:szCs w:val="24"/>
        </w:rPr>
        <w:t>je taktiež</w:t>
      </w:r>
      <w:r>
        <w:rPr>
          <w:rFonts w:ascii="Arial Narrow" w:hAnsi="Arial Narrow" w:cs="Arial Narrow"/>
          <w:b/>
          <w:sz w:val="22"/>
          <w:szCs w:val="24"/>
        </w:rPr>
        <w:t xml:space="preserve"> </w:t>
      </w:r>
      <w:r>
        <w:rPr>
          <w:rFonts w:ascii="Arial Narrow" w:hAnsi="Arial Narrow" w:cs="Arial Narrow"/>
          <w:sz w:val="22"/>
          <w:szCs w:val="24"/>
        </w:rPr>
        <w:t>vytvorenie</w:t>
      </w:r>
      <w:r>
        <w:rPr>
          <w:rFonts w:ascii="Arial Narrow" w:hAnsi="Arial Narrow" w:cs="Arial Narrow"/>
          <w:b/>
          <w:sz w:val="22"/>
          <w:szCs w:val="24"/>
        </w:rPr>
        <w:t xml:space="preserve"> </w:t>
      </w:r>
      <w:r>
        <w:rPr>
          <w:rFonts w:ascii="Arial Narrow" w:hAnsi="Arial Narrow" w:cs="Arial Narrow"/>
          <w:sz w:val="22"/>
          <w:szCs w:val="24"/>
        </w:rPr>
        <w:t>Jednotného systému štátneho účtovníctva a výkazníctva na akruálnom princípe. Cieľom projektu je vytvoriť novú metodiku účtovníctva, ktorá by poskytovala jednotné pravidlá účtovania a vykazovania</w:t>
      </w:r>
      <w:r>
        <w:rPr>
          <w:rFonts w:ascii="Arial Narrow" w:hAnsi="Arial Narrow" w:cs="Arial Narrow"/>
          <w:b/>
          <w:sz w:val="22"/>
          <w:szCs w:val="24"/>
        </w:rPr>
        <w:t xml:space="preserve"> </w:t>
      </w:r>
      <w:r>
        <w:rPr>
          <w:rFonts w:ascii="Arial Narrow" w:hAnsi="Arial Narrow" w:cs="Arial Narrow"/>
          <w:sz w:val="22"/>
          <w:szCs w:val="24"/>
        </w:rPr>
        <w:t>pre všetky jednotky štátneho a verejného sektora na báze medzinárodných štandardov a na integrovanej technicko-technologickej platforme, kompatibilnej so systémom štátnej pokladnice. Nový systém zvýš</w:t>
      </w:r>
      <w:r w:rsidR="003E6D94">
        <w:rPr>
          <w:rFonts w:ascii="Arial Narrow" w:hAnsi="Arial Narrow" w:cs="Arial Narrow"/>
          <w:sz w:val="22"/>
          <w:szCs w:val="24"/>
        </w:rPr>
        <w:t>i mieru transparentnosti, preukázateľ</w:t>
      </w:r>
      <w:r>
        <w:rPr>
          <w:rFonts w:ascii="Arial Narrow" w:hAnsi="Arial Narrow" w:cs="Arial Narrow"/>
          <w:sz w:val="22"/>
          <w:szCs w:val="24"/>
        </w:rPr>
        <w:t>nosti a overiteľnosti operácií subjektov sektora a tak bude predstavovať významný nástroj komplexného ekonomického riadenia, ktorý podporuje a zavádza do svojich národných systémov väčšina krajín EÚ.</w:t>
      </w:r>
    </w:p>
    <w:p w:rsidR="00312541" w:rsidP="00312541">
      <w:pPr>
        <w:jc w:val="both"/>
        <w:rPr>
          <w:rFonts w:ascii="Arial Narrow" w:hAnsi="Arial Narrow" w:cs="Arial Narrow"/>
          <w:sz w:val="22"/>
          <w:szCs w:val="24"/>
        </w:rPr>
      </w:pPr>
    </w:p>
    <w:p w:rsidR="00312541" w:rsidRPr="00CA539E" w:rsidP="00312541">
      <w:pPr>
        <w:jc w:val="both"/>
        <w:rPr>
          <w:rFonts w:ascii="Arial Narrow" w:hAnsi="Arial Narrow" w:cs="Arial Narrow"/>
          <w:b/>
          <w:sz w:val="22"/>
          <w:szCs w:val="24"/>
        </w:rPr>
      </w:pPr>
      <w:r w:rsidRPr="00CA539E">
        <w:rPr>
          <w:rFonts w:ascii="Arial Narrow" w:hAnsi="Arial Narrow" w:cs="Arial Narrow"/>
          <w:b/>
          <w:sz w:val="22"/>
          <w:szCs w:val="24"/>
        </w:rPr>
        <w:t>Štátny dlh</w:t>
      </w: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r>
        <w:rPr>
          <w:rFonts w:ascii="Arial Narrow" w:hAnsi="Arial Narrow" w:cs="Arial Narrow"/>
          <w:sz w:val="22"/>
          <w:szCs w:val="24"/>
        </w:rPr>
        <w:t>Pri rozpočtovaní výdavkov spojených so správou štátneho dlhu sa aj relatívne malá zmena v základných parametroch môže prejaviť výraznou zmenou v rozpočte. Výška výdavkov v nasledujúcich rokoch je založená najmä na nasledujúcich faktoroch:</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úrokové sadzby,</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predpokladaný deficit štátneho rozpočtu,</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 xml:space="preserve">predčasne splatené úvery, </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dlhopisy spätne odkúpené pred splatnosťou,</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neznáme budúce čerpania vládnych úverov,</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riadenie likvidity finančného trhu a menové riadenie ECB,</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vplyv krízy vo finančnom sektore,</w:t>
      </w:r>
    </w:p>
    <w:p w:rsidR="00312541" w:rsidP="00312541">
      <w:pPr>
        <w:numPr>
          <w:numId w:val="27"/>
        </w:numPr>
        <w:jc w:val="both"/>
        <w:rPr>
          <w:rFonts w:ascii="Arial Narrow" w:hAnsi="Arial Narrow" w:cs="Arial Narrow"/>
          <w:sz w:val="22"/>
          <w:szCs w:val="24"/>
        </w:rPr>
      </w:pPr>
      <w:r>
        <w:rPr>
          <w:rFonts w:ascii="Arial Narrow" w:hAnsi="Arial Narrow" w:cs="Arial Narrow"/>
          <w:sz w:val="22"/>
          <w:szCs w:val="24"/>
        </w:rPr>
        <w:t>vplyv krízy v reálnej ekonomike.</w:t>
      </w:r>
    </w:p>
    <w:p w:rsidR="00312541" w:rsidP="00312541">
      <w:pPr>
        <w:jc w:val="both"/>
        <w:rPr>
          <w:rFonts w:ascii="Arial Narrow" w:hAnsi="Arial Narrow" w:cs="Arial Narrow"/>
          <w:sz w:val="22"/>
          <w:szCs w:val="24"/>
        </w:rPr>
      </w:pPr>
      <w:r>
        <w:rPr>
          <w:rFonts w:ascii="Arial Narrow" w:hAnsi="Arial Narrow" w:cs="Arial Narrow"/>
          <w:sz w:val="22"/>
          <w:szCs w:val="24"/>
        </w:rPr>
        <w:t>Zmena každého z vyššie uvedených predpokladov sa úmerne prejaví v adekvátnej zmene výdavkov na obsluhu štátneho dlhu.</w:t>
      </w:r>
    </w:p>
    <w:p w:rsidR="00312541" w:rsidP="00312541">
      <w:pPr>
        <w:jc w:val="both"/>
        <w:rPr>
          <w:rFonts w:ascii="Arial Narrow" w:hAnsi="Arial Narrow" w:cs="Arial Narrow"/>
          <w:sz w:val="22"/>
          <w:szCs w:val="24"/>
        </w:rPr>
      </w:pPr>
    </w:p>
    <w:p w:rsidR="00312541" w:rsidP="00312541">
      <w:pPr>
        <w:jc w:val="center"/>
        <w:rPr>
          <w:rFonts w:ascii="Arial Narrow" w:hAnsi="Arial Narrow" w:cs="Arial Narrow"/>
          <w:b/>
          <w:i/>
          <w:sz w:val="22"/>
          <w:szCs w:val="24"/>
        </w:rPr>
      </w:pPr>
      <w:r w:rsidRPr="002710B5">
        <w:rPr>
          <w:rFonts w:ascii="Arial Narrow" w:hAnsi="Arial Narrow" w:cs="Arial Narrow"/>
          <w:b/>
          <w:i/>
          <w:sz w:val="22"/>
          <w:szCs w:val="24"/>
        </w:rPr>
        <w:t>Rozpočtovanie výdavkov na obsluhu štátneho dlhu</w:t>
      </w:r>
    </w:p>
    <w:p w:rsidR="00312541" w:rsidP="00312541">
      <w:pPr>
        <w:jc w:val="center"/>
        <w:rPr>
          <w:rFonts w:ascii="Arial Narrow" w:hAnsi="Arial Narrow" w:cs="Arial Narrow"/>
          <w:b/>
          <w:i/>
          <w:sz w:val="22"/>
          <w:szCs w:val="24"/>
        </w:rPr>
      </w:pPr>
    </w:p>
    <w:tbl>
      <w:tblPr>
        <w:tblStyle w:val="TableNormal"/>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695"/>
        <w:gridCol w:w="1125"/>
        <w:gridCol w:w="1125"/>
        <w:gridCol w:w="1125"/>
        <w:gridCol w:w="1125"/>
      </w:tblGrid>
      <w:tr>
        <w:tblPrEx>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(v tis. eur)</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12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rPr>
                <w:rFonts w:ascii="Arial Narrow" w:hAnsi="Arial Narrow" w:cs="Arial Narrow"/>
                <w:sz w:val="20"/>
                <w:szCs w:val="24"/>
              </w:rPr>
            </w:pPr>
            <w:r w:rsidRPr="00981D4F">
              <w:rPr>
                <w:rFonts w:ascii="Arial Narrow" w:hAnsi="Arial Narrow" w:cs="Arial Narrow"/>
                <w:sz w:val="20"/>
                <w:szCs w:val="24"/>
              </w:rPr>
              <w:t xml:space="preserve">Hotovostný princíp </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sidRPr="00981D4F">
              <w:rPr>
                <w:rFonts w:ascii="Arial Narrow" w:hAnsi="Arial Narrow" w:cs="Arial Narrow"/>
                <w:sz w:val="20"/>
                <w:szCs w:val="24"/>
              </w:rPr>
              <w:t>998 45</w:t>
            </w:r>
            <w:r>
              <w:rPr>
                <w:rFonts w:ascii="Arial Narrow" w:hAnsi="Arial Narrow" w:cs="Arial Narrow"/>
                <w:sz w:val="20"/>
                <w:szCs w:val="24"/>
              </w:rPr>
              <w:t>3</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Pr>
                <w:rFonts w:ascii="Arial Narrow" w:hAnsi="Arial Narrow" w:cs="Arial Narrow"/>
                <w:sz w:val="20"/>
                <w:szCs w:val="24"/>
              </w:rPr>
              <w:t>1  144 250</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sidRPr="00981D4F">
              <w:rPr>
                <w:rFonts w:ascii="Arial Narrow" w:hAnsi="Arial Narrow" w:cs="Arial Narrow"/>
                <w:sz w:val="20"/>
                <w:szCs w:val="24"/>
              </w:rPr>
              <w:t>1</w:t>
            </w:r>
            <w:r>
              <w:rPr>
                <w:rFonts w:ascii="Arial Narrow" w:hAnsi="Arial Narrow" w:cs="Arial Narrow"/>
                <w:sz w:val="20"/>
                <w:szCs w:val="24"/>
              </w:rPr>
              <w:t> </w:t>
            </w:r>
            <w:r w:rsidRPr="00981D4F">
              <w:rPr>
                <w:rFonts w:ascii="Arial Narrow" w:hAnsi="Arial Narrow" w:cs="Arial Narrow"/>
                <w:sz w:val="20"/>
                <w:szCs w:val="24"/>
              </w:rPr>
              <w:t>1</w:t>
            </w:r>
            <w:r>
              <w:rPr>
                <w:rFonts w:ascii="Arial Narrow" w:hAnsi="Arial Narrow" w:cs="Arial Narrow"/>
                <w:sz w:val="20"/>
                <w:szCs w:val="24"/>
              </w:rPr>
              <w:t>05 745</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Pr>
                <w:rFonts w:ascii="Arial Narrow" w:hAnsi="Arial Narrow" w:cs="Arial Narrow"/>
                <w:sz w:val="20"/>
                <w:szCs w:val="24"/>
              </w:rPr>
              <w:t>1 386 423</w:t>
            </w:r>
          </w:p>
        </w:tc>
      </w:tr>
      <w:tr>
        <w:tblPrEx>
          <w:tblW w:w="9195" w:type="dxa"/>
          <w:tblInd w:w="55" w:type="dxa"/>
          <w:tblLayout w:type="fixed"/>
          <w:tblCellMar>
            <w:left w:w="70" w:type="dxa"/>
            <w:right w:w="70" w:type="dxa"/>
          </w:tblCellMar>
        </w:tblPrEx>
        <w:trPr>
          <w:trHeight w:val="210"/>
        </w:trPr>
        <w:tc>
          <w:tcPr>
            <w:tcW w:w="469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rPr>
                <w:rFonts w:ascii="Arial Narrow" w:hAnsi="Arial Narrow" w:cs="Arial Narrow"/>
                <w:sz w:val="20"/>
                <w:szCs w:val="24"/>
              </w:rPr>
            </w:pPr>
            <w:r w:rsidRPr="00981D4F">
              <w:rPr>
                <w:rFonts w:ascii="Arial Narrow" w:hAnsi="Arial Narrow" w:cs="Arial Narrow"/>
                <w:sz w:val="20"/>
                <w:szCs w:val="24"/>
              </w:rPr>
              <w:t>Akruálny princíp</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sidRPr="00981D4F">
              <w:rPr>
                <w:rFonts w:ascii="Arial Narrow" w:hAnsi="Arial Narrow" w:cs="Arial Narrow"/>
                <w:sz w:val="20"/>
                <w:szCs w:val="24"/>
              </w:rPr>
              <w:t>1 099 67</w:t>
            </w:r>
            <w:r>
              <w:rPr>
                <w:rFonts w:ascii="Arial Narrow" w:hAnsi="Arial Narrow" w:cs="Arial Narrow"/>
                <w:sz w:val="20"/>
                <w:szCs w:val="24"/>
              </w:rPr>
              <w:t>8</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sidRPr="00981D4F">
              <w:rPr>
                <w:rFonts w:ascii="Arial Narrow" w:hAnsi="Arial Narrow" w:cs="Arial Narrow"/>
                <w:sz w:val="20"/>
                <w:szCs w:val="24"/>
              </w:rPr>
              <w:t>1 </w:t>
            </w:r>
            <w:r>
              <w:rPr>
                <w:rFonts w:ascii="Arial Narrow" w:hAnsi="Arial Narrow" w:cs="Arial Narrow"/>
                <w:sz w:val="20"/>
                <w:szCs w:val="24"/>
              </w:rPr>
              <w:t xml:space="preserve"> 287 116</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sidRPr="00981D4F">
              <w:rPr>
                <w:rFonts w:ascii="Arial Narrow" w:hAnsi="Arial Narrow" w:cs="Arial Narrow"/>
                <w:sz w:val="20"/>
                <w:szCs w:val="24"/>
              </w:rPr>
              <w:t>1</w:t>
            </w:r>
            <w:r>
              <w:rPr>
                <w:rFonts w:ascii="Arial Narrow" w:hAnsi="Arial Narrow" w:cs="Arial Narrow"/>
                <w:sz w:val="20"/>
                <w:szCs w:val="24"/>
              </w:rPr>
              <w:t> 367 296</w:t>
            </w:r>
          </w:p>
        </w:tc>
        <w:tc>
          <w:tcPr>
            <w:tcW w:w="1125" w:type="dxa"/>
            <w:tcBorders>
              <w:top w:val="single" w:sz="4" w:space="0" w:color="auto"/>
              <w:left w:val="single" w:sz="4" w:space="0" w:color="auto"/>
              <w:bottom w:val="single" w:sz="4" w:space="0" w:color="auto"/>
              <w:right w:val="single" w:sz="4" w:space="0" w:color="auto"/>
            </w:tcBorders>
            <w:noWrap/>
            <w:textDirection w:val="lrTb"/>
            <w:vAlign w:val="top"/>
          </w:tcPr>
          <w:p w:rsidR="00312541" w:rsidRPr="00981D4F" w:rsidP="00A70AF6">
            <w:pPr>
              <w:jc w:val="right"/>
              <w:rPr>
                <w:rFonts w:ascii="Arial Narrow" w:hAnsi="Arial Narrow" w:cs="Arial Narrow"/>
                <w:sz w:val="20"/>
                <w:szCs w:val="24"/>
              </w:rPr>
            </w:pPr>
            <w:r>
              <w:rPr>
                <w:rFonts w:ascii="Arial Narrow" w:hAnsi="Arial Narrow" w:cs="Arial Narrow"/>
                <w:sz w:val="20"/>
                <w:szCs w:val="24"/>
              </w:rPr>
              <w:t>1 478 743</w:t>
            </w:r>
          </w:p>
        </w:tc>
      </w:tr>
    </w:tbl>
    <w:p w:rsidR="00312541" w:rsidRPr="0028799D" w:rsidP="00312541">
      <w:pPr>
        <w:jc w:val="both"/>
        <w:rPr>
          <w:rFonts w:ascii="Arial Narrow" w:hAnsi="Arial Narrow" w:cs="Arial Narrow"/>
          <w:b/>
          <w:szCs w:val="24"/>
        </w:rPr>
      </w:pPr>
      <w:r w:rsidRPr="00D448E2">
        <w:rPr>
          <w:rFonts w:ascii="Arial Narrow" w:hAnsi="Arial Narrow" w:cs="Arial Narrow"/>
          <w:b/>
          <w:szCs w:val="24"/>
        </w:rPr>
        <w:t xml:space="preserve">                               </w:t>
      </w:r>
    </w:p>
    <w:p w:rsidR="00312541" w:rsidRPr="00D876F3"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RPr="001900A1" w:rsidP="00312541">
      <w:pPr>
        <w:pBdr>
          <w:bottom w:val="single" w:sz="4" w:space="1" w:color="auto"/>
        </w:pBdr>
        <w:rPr>
          <w:rFonts w:ascii="Arial Narrow" w:hAnsi="Arial Narrow" w:cs="Arial Narrow"/>
          <w:b/>
          <w:sz w:val="22"/>
          <w:szCs w:val="24"/>
        </w:rPr>
      </w:pPr>
      <w:r w:rsidRPr="001900A1">
        <w:rPr>
          <w:rFonts w:ascii="Arial Narrow" w:hAnsi="Arial Narrow" w:cs="Arial Narrow"/>
          <w:b/>
          <w:sz w:val="22"/>
          <w:szCs w:val="24"/>
        </w:rPr>
        <w:t>Obrana</w:t>
      </w:r>
    </w:p>
    <w:p w:rsidR="00312541" w:rsidP="00312541">
      <w:pPr>
        <w:rPr>
          <w:rFonts w:ascii="Arial Narrow" w:hAnsi="Arial Narrow" w:cs="Arial Narrow"/>
          <w:b/>
          <w:sz w:val="22"/>
          <w:szCs w:val="24"/>
          <w:u w:val="single"/>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 xml:space="preserve">Celkové obranné výdavky sú na rok 2010 rozpočtované vo výške 1,33 % HDP, vrátane výdavkov ostatných rozpočtových kapitol v rámci medzirezortných programov Podpora obrany a Hospodárska mobilizácia. </w:t>
      </w:r>
    </w:p>
    <w:p w:rsidR="00312541" w:rsidP="00312541">
      <w:pPr>
        <w:rPr>
          <w:rFonts w:ascii="Arial Narrow" w:hAnsi="Arial Narrow" w:cs="Arial Narrow"/>
          <w:sz w:val="22"/>
          <w:szCs w:val="24"/>
        </w:rPr>
      </w:pPr>
    </w:p>
    <w:tbl>
      <w:tblPr>
        <w:tblStyle w:val="TableNormal"/>
        <w:tblW w:w="5000" w:type="pct"/>
        <w:tblInd w:w="0" w:type="dxa"/>
        <w:tblCellMar>
          <w:left w:w="70" w:type="dxa"/>
          <w:right w:w="70" w:type="dxa"/>
        </w:tblCellMar>
      </w:tblPr>
      <w:tblGrid>
        <w:gridCol w:w="3390"/>
        <w:gridCol w:w="1450"/>
        <w:gridCol w:w="1476"/>
        <w:gridCol w:w="1422"/>
        <w:gridCol w:w="1474"/>
      </w:tblGrid>
      <w:tr>
        <w:tblPrEx>
          <w:tblW w:w="5000" w:type="pct"/>
          <w:tblInd w:w="0" w:type="dxa"/>
          <w:tblCellMar>
            <w:left w:w="70" w:type="dxa"/>
            <w:right w:w="70" w:type="dxa"/>
          </w:tblCellMar>
        </w:tblPrEx>
        <w:trPr>
          <w:trHeight w:val="255"/>
        </w:trPr>
        <w:tc>
          <w:tcPr>
            <w:tcW w:w="1840" w:type="pct"/>
            <w:tcBorders>
              <w:top w:val="single" w:sz="8" w:space="0" w:color="auto"/>
              <w:left w:val="single" w:sz="8" w:space="0" w:color="auto"/>
              <w:bottom w:val="single" w:sz="4" w:space="0" w:color="auto"/>
              <w:right w:val="single" w:sz="4" w:space="0" w:color="auto"/>
            </w:tcBorders>
            <w:shd w:val="clear" w:color="auto" w:fill="000000"/>
            <w:noWrap/>
            <w:textDirection w:val="lrTb"/>
            <w:vAlign w:val="bottom"/>
          </w:tcPr>
          <w:p w:rsidR="00312541" w:rsidRPr="000C1243" w:rsidP="00A70AF6">
            <w:pPr>
              <w:rPr>
                <w:rFonts w:ascii="Arial Narrow" w:hAnsi="Arial Narrow" w:cs="Arial Narrow"/>
                <w:b/>
                <w:color w:val="FFFFFF"/>
                <w:sz w:val="20"/>
                <w:szCs w:val="24"/>
              </w:rPr>
            </w:pPr>
            <w:r w:rsidRPr="000C1243">
              <w:rPr>
                <w:rFonts w:ascii="Arial Narrow" w:hAnsi="Arial Narrow" w:cs="Arial Narrow"/>
                <w:b/>
                <w:color w:val="FFFFFF"/>
                <w:sz w:val="20"/>
                <w:szCs w:val="24"/>
              </w:rPr>
              <w:t> ( v tis. eur )</w:t>
            </w:r>
          </w:p>
        </w:tc>
        <w:tc>
          <w:tcPr>
            <w:tcW w:w="787" w:type="pct"/>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0C1243" w:rsidP="00A70AF6">
            <w:pPr>
              <w:jc w:val="center"/>
              <w:rPr>
                <w:rFonts w:ascii="Arial Narrow" w:hAnsi="Arial Narrow" w:cs="Arial Narrow"/>
                <w:b/>
                <w:color w:val="FFFFFF"/>
                <w:sz w:val="20"/>
                <w:szCs w:val="24"/>
              </w:rPr>
            </w:pPr>
            <w:r w:rsidRPr="000C1243">
              <w:rPr>
                <w:rFonts w:ascii="Arial Narrow" w:hAnsi="Arial Narrow" w:cs="Arial Narrow"/>
                <w:b/>
                <w:color w:val="FFFFFF"/>
                <w:sz w:val="20"/>
                <w:szCs w:val="24"/>
              </w:rPr>
              <w:t>2009</w:t>
            </w:r>
          </w:p>
        </w:tc>
        <w:tc>
          <w:tcPr>
            <w:tcW w:w="801" w:type="pct"/>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0C1243" w:rsidP="00A70AF6">
            <w:pPr>
              <w:jc w:val="center"/>
              <w:rPr>
                <w:rFonts w:ascii="Arial Narrow" w:hAnsi="Arial Narrow" w:cs="Arial Narrow"/>
                <w:b/>
                <w:color w:val="FFFFFF"/>
                <w:sz w:val="20"/>
                <w:szCs w:val="24"/>
              </w:rPr>
            </w:pPr>
            <w:r w:rsidRPr="000C1243">
              <w:rPr>
                <w:rFonts w:ascii="Arial Narrow" w:hAnsi="Arial Narrow" w:cs="Arial Narrow"/>
                <w:b/>
                <w:color w:val="FFFFFF"/>
                <w:sz w:val="20"/>
                <w:szCs w:val="24"/>
              </w:rPr>
              <w:t>2010</w:t>
            </w:r>
          </w:p>
        </w:tc>
        <w:tc>
          <w:tcPr>
            <w:tcW w:w="772" w:type="pct"/>
            <w:tcBorders>
              <w:top w:val="single" w:sz="8" w:space="0" w:color="auto"/>
              <w:left w:val="nil"/>
              <w:bottom w:val="single" w:sz="4" w:space="0" w:color="auto"/>
              <w:right w:val="single" w:sz="4" w:space="0" w:color="auto"/>
            </w:tcBorders>
            <w:shd w:val="clear" w:color="auto" w:fill="000000"/>
            <w:noWrap/>
            <w:textDirection w:val="lrTb"/>
            <w:vAlign w:val="bottom"/>
          </w:tcPr>
          <w:p w:rsidR="00312541" w:rsidRPr="000C1243" w:rsidP="00A70AF6">
            <w:pPr>
              <w:jc w:val="center"/>
              <w:rPr>
                <w:rFonts w:ascii="Arial Narrow" w:hAnsi="Arial Narrow" w:cs="Arial Narrow"/>
                <w:b/>
                <w:color w:val="FFFFFF"/>
                <w:sz w:val="20"/>
                <w:szCs w:val="24"/>
              </w:rPr>
            </w:pPr>
            <w:r w:rsidRPr="000C1243">
              <w:rPr>
                <w:rFonts w:ascii="Arial Narrow" w:hAnsi="Arial Narrow" w:cs="Arial Narrow"/>
                <w:b/>
                <w:color w:val="FFFFFF"/>
                <w:sz w:val="20"/>
                <w:szCs w:val="24"/>
              </w:rPr>
              <w:t>2011</w:t>
            </w:r>
          </w:p>
        </w:tc>
        <w:tc>
          <w:tcPr>
            <w:tcW w:w="801" w:type="pct"/>
            <w:tcBorders>
              <w:top w:val="single" w:sz="8" w:space="0" w:color="auto"/>
              <w:left w:val="nil"/>
              <w:bottom w:val="single" w:sz="4" w:space="0" w:color="auto"/>
              <w:right w:val="single" w:sz="8" w:space="0" w:color="auto"/>
            </w:tcBorders>
            <w:shd w:val="clear" w:color="auto" w:fill="000000"/>
            <w:noWrap/>
            <w:textDirection w:val="lrTb"/>
            <w:vAlign w:val="bottom"/>
          </w:tcPr>
          <w:p w:rsidR="00312541" w:rsidRPr="000C1243" w:rsidP="00A70AF6">
            <w:pPr>
              <w:jc w:val="center"/>
              <w:rPr>
                <w:rFonts w:ascii="Arial Narrow" w:hAnsi="Arial Narrow" w:cs="Arial Narrow"/>
                <w:b/>
                <w:color w:val="FFFFFF"/>
                <w:sz w:val="20"/>
                <w:szCs w:val="24"/>
              </w:rPr>
            </w:pPr>
            <w:r w:rsidRPr="000C1243">
              <w:rPr>
                <w:rFonts w:ascii="Arial Narrow" w:hAnsi="Arial Narrow" w:cs="Arial Narrow"/>
                <w:b/>
                <w:color w:val="FFFFFF"/>
                <w:sz w:val="20"/>
                <w:szCs w:val="24"/>
              </w:rPr>
              <w:t>2012</w:t>
            </w:r>
          </w:p>
        </w:tc>
      </w:tr>
      <w:tr>
        <w:tblPrEx>
          <w:tblW w:w="5000" w:type="pct"/>
          <w:tblInd w:w="0" w:type="dxa"/>
          <w:tblCellMar>
            <w:left w:w="70" w:type="dxa"/>
            <w:right w:w="70" w:type="dxa"/>
          </w:tblCellMar>
        </w:tblPrEx>
        <w:trPr>
          <w:trHeight w:val="255"/>
        </w:trPr>
        <w:tc>
          <w:tcPr>
            <w:tcW w:w="1840"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Ministerstvo obrany SR</w:t>
            </w:r>
          </w:p>
        </w:tc>
        <w:tc>
          <w:tcPr>
            <w:tcW w:w="787"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xml:space="preserve">1 045 712 </w:t>
            </w:r>
          </w:p>
        </w:tc>
        <w:tc>
          <w:tcPr>
            <w:tcW w:w="80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882 944</w:t>
            </w:r>
          </w:p>
        </w:tc>
        <w:tc>
          <w:tcPr>
            <w:tcW w:w="77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817 643</w:t>
            </w:r>
          </w:p>
        </w:tc>
        <w:tc>
          <w:tcPr>
            <w:tcW w:w="801"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xml:space="preserve">823 165 </w:t>
            </w:r>
          </w:p>
        </w:tc>
      </w:tr>
      <w:tr>
        <w:tblPrEx>
          <w:tblW w:w="5000" w:type="pct"/>
          <w:tblInd w:w="0" w:type="dxa"/>
          <w:tblCellMar>
            <w:left w:w="70" w:type="dxa"/>
            <w:right w:w="70" w:type="dxa"/>
          </w:tblCellMar>
        </w:tblPrEx>
        <w:trPr>
          <w:trHeight w:val="255"/>
        </w:trPr>
        <w:tc>
          <w:tcPr>
            <w:tcW w:w="1840"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Podpora obrany</w:t>
            </w:r>
          </w:p>
        </w:tc>
        <w:tc>
          <w:tcPr>
            <w:tcW w:w="787"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6 102</w:t>
            </w:r>
          </w:p>
        </w:tc>
        <w:tc>
          <w:tcPr>
            <w:tcW w:w="80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5 070</w:t>
            </w:r>
          </w:p>
        </w:tc>
        <w:tc>
          <w:tcPr>
            <w:tcW w:w="77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xml:space="preserve">4 570 </w:t>
            </w:r>
          </w:p>
        </w:tc>
        <w:tc>
          <w:tcPr>
            <w:tcW w:w="801"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 xml:space="preserve">4 733 </w:t>
            </w:r>
          </w:p>
        </w:tc>
      </w:tr>
      <w:tr>
        <w:tblPrEx>
          <w:tblW w:w="5000" w:type="pct"/>
          <w:tblInd w:w="0" w:type="dxa"/>
          <w:tblCellMar>
            <w:left w:w="70" w:type="dxa"/>
            <w:right w:w="70" w:type="dxa"/>
          </w:tblCellMar>
        </w:tblPrEx>
        <w:trPr>
          <w:trHeight w:val="255"/>
        </w:trPr>
        <w:tc>
          <w:tcPr>
            <w:tcW w:w="1840" w:type="pct"/>
            <w:tcBorders>
              <w:top w:val="nil"/>
              <w:left w:val="single" w:sz="8"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Hospodárska mobilizácia</w:t>
            </w:r>
          </w:p>
        </w:tc>
        <w:tc>
          <w:tcPr>
            <w:tcW w:w="787"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9 858</w:t>
            </w:r>
          </w:p>
        </w:tc>
        <w:tc>
          <w:tcPr>
            <w:tcW w:w="801"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6 713</w:t>
            </w:r>
          </w:p>
        </w:tc>
        <w:tc>
          <w:tcPr>
            <w:tcW w:w="772" w:type="pct"/>
            <w:tcBorders>
              <w:top w:val="nil"/>
              <w:left w:val="nil"/>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6 684</w:t>
            </w:r>
          </w:p>
        </w:tc>
        <w:tc>
          <w:tcPr>
            <w:tcW w:w="801" w:type="pct"/>
            <w:tcBorders>
              <w:top w:val="nil"/>
              <w:left w:val="nil"/>
              <w:bottom w:val="single" w:sz="4"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6 688</w:t>
            </w:r>
          </w:p>
        </w:tc>
      </w:tr>
      <w:tr>
        <w:tblPrEx>
          <w:tblW w:w="5000" w:type="pct"/>
          <w:tblInd w:w="0" w:type="dxa"/>
          <w:tblCellMar>
            <w:left w:w="70" w:type="dxa"/>
            <w:right w:w="70" w:type="dxa"/>
          </w:tblCellMar>
        </w:tblPrEx>
        <w:trPr>
          <w:trHeight w:val="255"/>
        </w:trPr>
        <w:tc>
          <w:tcPr>
            <w:tcW w:w="1840" w:type="pct"/>
            <w:tcBorders>
              <w:top w:val="nil"/>
              <w:left w:val="single" w:sz="8" w:space="0" w:color="auto"/>
              <w:bottom w:val="single" w:sz="4" w:space="0" w:color="auto"/>
              <w:right w:val="single" w:sz="4" w:space="0" w:color="auto"/>
            </w:tcBorders>
            <w:shd w:val="clear" w:color="auto" w:fill="C0C0C0"/>
            <w:noWrap/>
            <w:textDirection w:val="lrTb"/>
            <w:vAlign w:val="bottom"/>
          </w:tcPr>
          <w:p w:rsidR="00312541" w:rsidRPr="000C1243" w:rsidP="00A70AF6">
            <w:pPr>
              <w:rPr>
                <w:rFonts w:ascii="Arial Narrow" w:hAnsi="Arial Narrow" w:cs="Arial Narrow"/>
                <w:b/>
                <w:sz w:val="20"/>
                <w:szCs w:val="24"/>
              </w:rPr>
            </w:pPr>
            <w:r w:rsidRPr="000C1243">
              <w:rPr>
                <w:rFonts w:ascii="Arial Narrow" w:hAnsi="Arial Narrow" w:cs="Arial Narrow"/>
                <w:b/>
                <w:sz w:val="20"/>
                <w:szCs w:val="24"/>
              </w:rPr>
              <w:t>Obranné výdavky celkom</w:t>
            </w:r>
          </w:p>
        </w:tc>
        <w:tc>
          <w:tcPr>
            <w:tcW w:w="787" w:type="pct"/>
            <w:tcBorders>
              <w:top w:val="nil"/>
              <w:left w:val="nil"/>
              <w:bottom w:val="single" w:sz="4"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 xml:space="preserve">1 061 672 </w:t>
            </w:r>
          </w:p>
        </w:tc>
        <w:tc>
          <w:tcPr>
            <w:tcW w:w="801" w:type="pct"/>
            <w:tcBorders>
              <w:top w:val="nil"/>
              <w:left w:val="nil"/>
              <w:bottom w:val="single" w:sz="4"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89</w:t>
            </w:r>
            <w:r>
              <w:rPr>
                <w:rFonts w:ascii="Arial Narrow" w:hAnsi="Arial Narrow" w:cs="Arial Narrow"/>
                <w:b/>
                <w:sz w:val="20"/>
                <w:szCs w:val="24"/>
              </w:rPr>
              <w:t>4 727</w:t>
            </w:r>
          </w:p>
        </w:tc>
        <w:tc>
          <w:tcPr>
            <w:tcW w:w="772" w:type="pct"/>
            <w:tcBorders>
              <w:top w:val="nil"/>
              <w:left w:val="nil"/>
              <w:bottom w:val="single" w:sz="4"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8</w:t>
            </w:r>
            <w:r>
              <w:rPr>
                <w:rFonts w:ascii="Arial Narrow" w:hAnsi="Arial Narrow" w:cs="Arial Narrow"/>
                <w:b/>
                <w:sz w:val="20"/>
                <w:szCs w:val="24"/>
              </w:rPr>
              <w:t>28 897</w:t>
            </w:r>
          </w:p>
        </w:tc>
        <w:tc>
          <w:tcPr>
            <w:tcW w:w="801" w:type="pct"/>
            <w:tcBorders>
              <w:top w:val="nil"/>
              <w:left w:val="nil"/>
              <w:bottom w:val="single" w:sz="4" w:space="0" w:color="auto"/>
              <w:right w:val="single" w:sz="8"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83</w:t>
            </w:r>
            <w:r>
              <w:rPr>
                <w:rFonts w:ascii="Arial Narrow" w:hAnsi="Arial Narrow" w:cs="Arial Narrow"/>
                <w:b/>
                <w:sz w:val="20"/>
                <w:szCs w:val="24"/>
              </w:rPr>
              <w:t>4 586</w:t>
            </w:r>
          </w:p>
        </w:tc>
      </w:tr>
      <w:tr>
        <w:tblPrEx>
          <w:tblW w:w="5000" w:type="pct"/>
          <w:tblInd w:w="0" w:type="dxa"/>
          <w:tblCellMar>
            <w:left w:w="70" w:type="dxa"/>
            <w:right w:w="70" w:type="dxa"/>
          </w:tblCellMar>
        </w:tblPrEx>
        <w:trPr>
          <w:trHeight w:val="270"/>
        </w:trPr>
        <w:tc>
          <w:tcPr>
            <w:tcW w:w="1840" w:type="pct"/>
            <w:tcBorders>
              <w:top w:val="nil"/>
              <w:left w:val="single" w:sz="8" w:space="0" w:color="auto"/>
              <w:bottom w:val="single" w:sz="8" w:space="0" w:color="auto"/>
              <w:right w:val="single" w:sz="4" w:space="0" w:color="auto"/>
            </w:tcBorders>
            <w:shd w:val="clear" w:color="auto" w:fill="C0C0C0"/>
            <w:noWrap/>
            <w:textDirection w:val="lrTb"/>
            <w:vAlign w:val="bottom"/>
          </w:tcPr>
          <w:p w:rsidR="00312541" w:rsidRPr="000C1243" w:rsidP="00A70AF6">
            <w:pPr>
              <w:rPr>
                <w:rFonts w:ascii="Arial Narrow" w:hAnsi="Arial Narrow" w:cs="Arial Narrow"/>
                <w:b/>
                <w:sz w:val="20"/>
                <w:szCs w:val="24"/>
              </w:rPr>
            </w:pPr>
            <w:r w:rsidRPr="000C1243">
              <w:rPr>
                <w:rFonts w:ascii="Arial Narrow" w:hAnsi="Arial Narrow" w:cs="Arial Narrow"/>
                <w:b/>
                <w:sz w:val="20"/>
                <w:szCs w:val="24"/>
              </w:rPr>
              <w:t>Podiel na HDP v %</w:t>
            </w:r>
          </w:p>
        </w:tc>
        <w:tc>
          <w:tcPr>
            <w:tcW w:w="787" w:type="pct"/>
            <w:tcBorders>
              <w:top w:val="nil"/>
              <w:left w:val="nil"/>
              <w:bottom w:val="single" w:sz="8"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1,66</w:t>
            </w:r>
          </w:p>
        </w:tc>
        <w:tc>
          <w:tcPr>
            <w:tcW w:w="801" w:type="pct"/>
            <w:tcBorders>
              <w:top w:val="nil"/>
              <w:left w:val="nil"/>
              <w:bottom w:val="single" w:sz="8"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1,3</w:t>
            </w:r>
            <w:r>
              <w:rPr>
                <w:rFonts w:ascii="Arial Narrow" w:hAnsi="Arial Narrow" w:cs="Arial Narrow"/>
                <w:b/>
                <w:sz w:val="20"/>
                <w:szCs w:val="24"/>
              </w:rPr>
              <w:t>3</w:t>
            </w:r>
          </w:p>
        </w:tc>
        <w:tc>
          <w:tcPr>
            <w:tcW w:w="772" w:type="pct"/>
            <w:tcBorders>
              <w:top w:val="nil"/>
              <w:left w:val="nil"/>
              <w:bottom w:val="single" w:sz="8" w:space="0" w:color="auto"/>
              <w:right w:val="single" w:sz="4"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1,1</w:t>
            </w:r>
            <w:r>
              <w:rPr>
                <w:rFonts w:ascii="Arial Narrow" w:hAnsi="Arial Narrow" w:cs="Arial Narrow"/>
                <w:b/>
                <w:sz w:val="20"/>
                <w:szCs w:val="24"/>
              </w:rPr>
              <w:t>4</w:t>
            </w:r>
          </w:p>
        </w:tc>
        <w:tc>
          <w:tcPr>
            <w:tcW w:w="801" w:type="pct"/>
            <w:tcBorders>
              <w:top w:val="nil"/>
              <w:left w:val="nil"/>
              <w:bottom w:val="single" w:sz="8" w:space="0" w:color="auto"/>
              <w:right w:val="single" w:sz="8" w:space="0" w:color="auto"/>
            </w:tcBorders>
            <w:shd w:val="clear" w:color="auto" w:fill="C0C0C0"/>
            <w:noWrap/>
            <w:textDirection w:val="lrTb"/>
            <w:vAlign w:val="bottom"/>
          </w:tcPr>
          <w:p w:rsidR="00312541" w:rsidRPr="000C1243" w:rsidP="00A70AF6">
            <w:pPr>
              <w:jc w:val="right"/>
              <w:rPr>
                <w:rFonts w:ascii="Arial Narrow" w:hAnsi="Arial Narrow" w:cs="Arial Narrow"/>
                <w:b/>
                <w:sz w:val="20"/>
                <w:szCs w:val="24"/>
              </w:rPr>
            </w:pPr>
            <w:r w:rsidRPr="000C1243">
              <w:rPr>
                <w:rFonts w:ascii="Arial Narrow" w:hAnsi="Arial Narrow" w:cs="Arial Narrow"/>
                <w:b/>
                <w:sz w:val="20"/>
                <w:szCs w:val="24"/>
              </w:rPr>
              <w:t>1,0</w:t>
            </w:r>
            <w:r>
              <w:rPr>
                <w:rFonts w:ascii="Arial Narrow" w:hAnsi="Arial Narrow" w:cs="Arial Narrow"/>
                <w:b/>
                <w:sz w:val="20"/>
                <w:szCs w:val="24"/>
              </w:rPr>
              <w:t>6</w:t>
            </w:r>
          </w:p>
        </w:tc>
      </w:tr>
    </w:tbl>
    <w:p w:rsidR="00312541" w:rsidP="00312541">
      <w:pPr>
        <w:rPr>
          <w:rFonts w:ascii="Arial Narrow" w:hAnsi="Arial Narrow" w:cs="Arial Narrow"/>
          <w:sz w:val="22"/>
          <w:szCs w:val="24"/>
        </w:rPr>
      </w:pPr>
    </w:p>
    <w:p w:rsidR="00312541" w:rsidRPr="00492B1C" w:rsidP="00312541">
      <w:pPr>
        <w:ind w:firstLine="708"/>
        <w:jc w:val="both"/>
        <w:rPr>
          <w:rFonts w:ascii="Arial Narrow" w:hAnsi="Arial Narrow" w:cs="Arial Narrow"/>
          <w:sz w:val="22"/>
          <w:szCs w:val="24"/>
        </w:rPr>
      </w:pPr>
      <w:r w:rsidRPr="00492B1C">
        <w:rPr>
          <w:rFonts w:ascii="Arial Narrow" w:hAnsi="Arial Narrow" w:cs="Arial Narrow"/>
          <w:sz w:val="22"/>
          <w:szCs w:val="24"/>
        </w:rPr>
        <w:t>Navrhovaný rozsah výdavkov MO SR vychádza z Programového plánu rezortu ministerstva obrany na roky 2010 až 2015, kde sú stanovené úlohy nevyhnutné pre zabezpečenie obrany štátu a záväzkov prijatých súvisiacich s</w:t>
      </w:r>
      <w:r>
        <w:rPr>
          <w:rFonts w:ascii="Arial Narrow" w:hAnsi="Arial Narrow" w:cs="Arial Narrow"/>
          <w:sz w:val="22"/>
          <w:szCs w:val="24"/>
        </w:rPr>
        <w:t xml:space="preserve"> členstvom v </w:t>
      </w:r>
      <w:r w:rsidRPr="00492B1C">
        <w:rPr>
          <w:rFonts w:ascii="Arial Narrow" w:hAnsi="Arial Narrow" w:cs="Arial Narrow"/>
          <w:sz w:val="22"/>
          <w:szCs w:val="24"/>
        </w:rPr>
        <w:t xml:space="preserve">NATO. Zároveň nadväzuje na </w:t>
      </w:r>
      <w:r>
        <w:rPr>
          <w:rFonts w:ascii="Arial Narrow" w:hAnsi="Arial Narrow" w:cs="Arial Narrow"/>
          <w:sz w:val="22"/>
          <w:szCs w:val="24"/>
        </w:rPr>
        <w:t>stanovené</w:t>
      </w:r>
      <w:r w:rsidRPr="00492B1C">
        <w:rPr>
          <w:rFonts w:ascii="Arial Narrow" w:hAnsi="Arial Narrow" w:cs="Arial Narrow"/>
          <w:sz w:val="22"/>
          <w:szCs w:val="24"/>
        </w:rPr>
        <w:t xml:space="preserve"> početné stavy vojakov a zamestnancov, vrátane hlavných druhov vojenských zbraní a systémov, ktoré boli schválené uznesením vlády SR č. 253/2009 a nadväzujú na postupné dokončenie transformácie ozbrojených síl SR.</w:t>
      </w:r>
    </w:p>
    <w:p w:rsidR="00312541" w:rsidP="00312541">
      <w:pPr>
        <w:ind w:firstLine="708"/>
        <w:jc w:val="both"/>
        <w:rPr>
          <w:rFonts w:ascii="Arial Narrow" w:hAnsi="Arial Narrow" w:cs="Arial Narrow"/>
          <w:sz w:val="22"/>
          <w:szCs w:val="24"/>
        </w:rPr>
      </w:pPr>
    </w:p>
    <w:p w:rsidR="00312541" w:rsidRPr="00140F6D" w:rsidP="00312541">
      <w:pPr>
        <w:ind w:firstLine="708"/>
        <w:jc w:val="both"/>
        <w:rPr>
          <w:rFonts w:ascii="Arial Narrow" w:hAnsi="Arial Narrow" w:cs="Arial Narrow"/>
          <w:sz w:val="22"/>
          <w:szCs w:val="24"/>
        </w:rPr>
      </w:pPr>
      <w:r w:rsidRPr="00492B1C">
        <w:rPr>
          <w:rFonts w:ascii="Arial Narrow" w:hAnsi="Arial Narrow" w:cs="Arial Narrow"/>
          <w:sz w:val="22"/>
          <w:szCs w:val="24"/>
        </w:rPr>
        <w:t xml:space="preserve">V programovej štruktúre kapitoly MO SR sú </w:t>
      </w:r>
      <w:r>
        <w:rPr>
          <w:rFonts w:ascii="Arial Narrow" w:hAnsi="Arial Narrow" w:cs="Arial Narrow"/>
          <w:sz w:val="22"/>
          <w:szCs w:val="24"/>
        </w:rPr>
        <w:t xml:space="preserve">v rámci </w:t>
      </w:r>
      <w:r w:rsidRPr="00492B1C">
        <w:rPr>
          <w:rFonts w:ascii="Arial Narrow" w:hAnsi="Arial Narrow" w:cs="Arial Narrow"/>
          <w:sz w:val="22"/>
          <w:szCs w:val="24"/>
        </w:rPr>
        <w:t>program</w:t>
      </w:r>
      <w:r>
        <w:rPr>
          <w:rFonts w:ascii="Arial Narrow" w:hAnsi="Arial Narrow" w:cs="Arial Narrow"/>
          <w:sz w:val="22"/>
          <w:szCs w:val="24"/>
        </w:rPr>
        <w:t>u</w:t>
      </w:r>
      <w:r w:rsidRPr="00492B1C">
        <w:rPr>
          <w:rFonts w:ascii="Arial Narrow" w:hAnsi="Arial Narrow" w:cs="Arial Narrow"/>
          <w:sz w:val="22"/>
          <w:szCs w:val="24"/>
        </w:rPr>
        <w:t xml:space="preserve"> Rozvoj obrany vyčlenené prostriedky orientované najmä na zabezpečenie realizácie komunikačných a</w:t>
      </w:r>
      <w:r>
        <w:rPr>
          <w:rFonts w:ascii="Arial Narrow" w:hAnsi="Arial Narrow" w:cs="Arial Narrow"/>
          <w:sz w:val="22"/>
          <w:szCs w:val="24"/>
        </w:rPr>
        <w:t xml:space="preserve"> </w:t>
      </w:r>
      <w:r w:rsidRPr="00492B1C">
        <w:rPr>
          <w:rFonts w:ascii="Arial Narrow" w:hAnsi="Arial Narrow" w:cs="Arial Narrow"/>
          <w:sz w:val="22"/>
          <w:szCs w:val="24"/>
        </w:rPr>
        <w:t>informačných systémov, investičných akcií a nákupu nevyhnutnej automobilovej techniky. V</w:t>
      </w:r>
      <w:r>
        <w:rPr>
          <w:rFonts w:ascii="Arial Narrow" w:hAnsi="Arial Narrow" w:cs="Arial Narrow"/>
          <w:sz w:val="22"/>
          <w:szCs w:val="24"/>
        </w:rPr>
        <w:t xml:space="preserve"> rámci </w:t>
      </w:r>
      <w:r w:rsidRPr="00492B1C">
        <w:rPr>
          <w:rFonts w:ascii="Arial Narrow" w:hAnsi="Arial Narrow" w:cs="Arial Narrow"/>
          <w:sz w:val="22"/>
          <w:szCs w:val="24"/>
        </w:rPr>
        <w:t>program</w:t>
      </w:r>
      <w:r>
        <w:rPr>
          <w:rFonts w:ascii="Arial Narrow" w:hAnsi="Arial Narrow" w:cs="Arial Narrow"/>
          <w:sz w:val="22"/>
          <w:szCs w:val="24"/>
        </w:rPr>
        <w:t>u</w:t>
      </w:r>
      <w:r w:rsidRPr="00492B1C">
        <w:rPr>
          <w:rFonts w:ascii="Arial Narrow" w:hAnsi="Arial Narrow" w:cs="Arial Narrow"/>
          <w:sz w:val="22"/>
          <w:szCs w:val="24"/>
        </w:rPr>
        <w:t xml:space="preserve"> Obrana sa zabezpečujú úlohy súvisiace najmä s podporou a udržiavaním spôsobilostí jednotiek do síl reakcie NATO a EÚ a do operácií krízového manažmentu. V oblasti medzirezortných podprogramov sa zabezpečujú úlohy v oblasti výskumu a vývoja na podporu obrany štátu a na zabezpečenie úloh hospodárskej mobilizácie</w:t>
      </w:r>
      <w:r>
        <w:rPr>
          <w:rFonts w:ascii="Arial Narrow" w:hAnsi="Arial Narrow" w:cs="Arial Narrow"/>
          <w:sz w:val="22"/>
          <w:szCs w:val="24"/>
        </w:rPr>
        <w:t>.</w:t>
      </w:r>
    </w:p>
    <w:p w:rsidR="00312541" w:rsidP="00312541">
      <w:pPr>
        <w:jc w:val="both"/>
        <w:rPr>
          <w:rFonts w:ascii="Arial Narrow" w:hAnsi="Arial Narrow" w:cs="Arial Narrow"/>
          <w:sz w:val="22"/>
          <w:szCs w:val="24"/>
        </w:rPr>
      </w:pPr>
    </w:p>
    <w:p w:rsidR="00312541" w:rsidP="00312541">
      <w:pPr>
        <w:jc w:val="both"/>
        <w:rPr>
          <w:rFonts w:ascii="Arial Narrow" w:hAnsi="Arial Narrow" w:cs="Arial Narrow"/>
          <w:sz w:val="22"/>
          <w:szCs w:val="24"/>
        </w:rPr>
      </w:pPr>
    </w:p>
    <w:p w:rsidR="00312541" w:rsidRPr="00C25512" w:rsidP="00312541">
      <w:pPr>
        <w:pBdr>
          <w:bottom w:val="single" w:sz="4" w:space="1" w:color="auto"/>
        </w:pBdr>
        <w:rPr>
          <w:rFonts w:ascii="Arial Narrow" w:hAnsi="Arial Narrow" w:cs="Arial Narrow"/>
          <w:b/>
          <w:sz w:val="22"/>
          <w:szCs w:val="24"/>
        </w:rPr>
      </w:pPr>
      <w:r w:rsidRPr="00C25512">
        <w:rPr>
          <w:rFonts w:ascii="Arial Narrow" w:hAnsi="Arial Narrow" w:cs="Arial Narrow"/>
          <w:b/>
          <w:sz w:val="22"/>
          <w:szCs w:val="24"/>
        </w:rPr>
        <w:t>Bezpečnosť a verejná správa</w:t>
      </w:r>
    </w:p>
    <w:p w:rsidR="00312541" w:rsidP="00312541">
      <w:pPr>
        <w:jc w:val="both"/>
        <w:rPr>
          <w:rFonts w:ascii="Arial Narrow" w:hAnsi="Arial Narrow" w:cs="Arial Narrow"/>
          <w:sz w:val="22"/>
          <w:szCs w:val="24"/>
        </w:rPr>
      </w:pPr>
    </w:p>
    <w:p w:rsidR="00312541" w:rsidRPr="000A3E21" w:rsidP="00312541">
      <w:pPr>
        <w:jc w:val="both"/>
        <w:rPr>
          <w:rFonts w:ascii="Arial Narrow" w:hAnsi="Arial Narrow" w:cs="Arial Narrow"/>
          <w:b/>
          <w:sz w:val="22"/>
          <w:szCs w:val="24"/>
        </w:rPr>
      </w:pPr>
      <w:r w:rsidRPr="000A3E21">
        <w:rPr>
          <w:rFonts w:ascii="Arial Narrow" w:hAnsi="Arial Narrow" w:cs="Arial Narrow"/>
          <w:b/>
          <w:sz w:val="22"/>
          <w:szCs w:val="24"/>
        </w:rPr>
        <w:t>Bezpečnosť</w:t>
      </w:r>
    </w:p>
    <w:p w:rsidR="00312541" w:rsidRPr="000A3E21" w:rsidP="00312541">
      <w:pPr>
        <w:jc w:val="both"/>
        <w:rPr>
          <w:rFonts w:ascii="Arial Narrow" w:hAnsi="Arial Narrow" w:cs="Arial Narrow"/>
          <w:sz w:val="22"/>
          <w:szCs w:val="24"/>
        </w:rPr>
      </w:pPr>
    </w:p>
    <w:p w:rsidR="00312541" w:rsidRPr="000A3E21" w:rsidP="00312541">
      <w:pPr>
        <w:ind w:firstLine="708"/>
        <w:jc w:val="both"/>
        <w:rPr>
          <w:rFonts w:ascii="Arial Narrow" w:hAnsi="Arial Narrow" w:cs="Arial Narrow"/>
          <w:sz w:val="22"/>
          <w:szCs w:val="24"/>
        </w:rPr>
      </w:pPr>
      <w:r>
        <w:rPr>
          <w:rFonts w:ascii="Arial Narrow" w:hAnsi="Arial Narrow" w:cs="Arial Narrow"/>
          <w:sz w:val="22"/>
          <w:szCs w:val="24"/>
        </w:rPr>
        <w:t>V roku 2010</w:t>
      </w:r>
      <w:r w:rsidRPr="000A3E21">
        <w:rPr>
          <w:rFonts w:ascii="Arial Narrow" w:hAnsi="Arial Narrow" w:cs="Arial Narrow"/>
          <w:sz w:val="22"/>
          <w:szCs w:val="24"/>
        </w:rPr>
        <w:t xml:space="preserve"> sa zdroje štátneho rozpočtu pre </w:t>
      </w:r>
      <w:r w:rsidRPr="00CA6451">
        <w:rPr>
          <w:rFonts w:ascii="Arial Narrow" w:hAnsi="Arial Narrow" w:cs="Arial Narrow"/>
          <w:b/>
          <w:sz w:val="22"/>
          <w:szCs w:val="24"/>
        </w:rPr>
        <w:t>oblasť bezpečnosti</w:t>
      </w:r>
      <w:r w:rsidRPr="000A3E21">
        <w:rPr>
          <w:rFonts w:ascii="Arial Narrow" w:hAnsi="Arial Narrow" w:cs="Arial Narrow"/>
          <w:sz w:val="22"/>
          <w:szCs w:val="24"/>
        </w:rPr>
        <w:t xml:space="preserve"> rozpočtujú v sume </w:t>
      </w:r>
      <w:r>
        <w:rPr>
          <w:rFonts w:ascii="Arial Narrow" w:hAnsi="Arial Narrow" w:cs="Arial Narrow"/>
          <w:sz w:val="22"/>
          <w:szCs w:val="24"/>
        </w:rPr>
        <w:t>816</w:t>
      </w:r>
      <w:r w:rsidRPr="000A3E21">
        <w:rPr>
          <w:rFonts w:ascii="Arial Narrow" w:hAnsi="Arial Narrow" w:cs="Arial Narrow"/>
          <w:sz w:val="22"/>
          <w:szCs w:val="24"/>
        </w:rPr>
        <w:t xml:space="preserve"> mil. </w:t>
      </w:r>
      <w:r>
        <w:rPr>
          <w:rFonts w:ascii="Arial Narrow" w:hAnsi="Arial Narrow" w:cs="Arial Narrow"/>
          <w:sz w:val="22"/>
          <w:szCs w:val="24"/>
        </w:rPr>
        <w:t>eur</w:t>
      </w:r>
      <w:r w:rsidRPr="000A3E21">
        <w:rPr>
          <w:rFonts w:ascii="Arial Narrow" w:hAnsi="Arial Narrow" w:cs="Arial Narrow"/>
          <w:sz w:val="22"/>
          <w:szCs w:val="24"/>
        </w:rPr>
        <w:t xml:space="preserve">. V porovnaní s rokom 2006 zaznamenávajú </w:t>
      </w:r>
      <w:r w:rsidRPr="00CA6451">
        <w:rPr>
          <w:rFonts w:ascii="Arial Narrow" w:hAnsi="Arial Narrow" w:cs="Arial Narrow"/>
          <w:b/>
          <w:sz w:val="22"/>
          <w:szCs w:val="24"/>
        </w:rPr>
        <w:t>16,9</w:t>
      </w:r>
      <w:r>
        <w:rPr>
          <w:rFonts w:ascii="Arial Narrow" w:hAnsi="Arial Narrow" w:cs="Arial Narrow"/>
          <w:b/>
          <w:sz w:val="22"/>
          <w:szCs w:val="24"/>
        </w:rPr>
        <w:t xml:space="preserve"> </w:t>
      </w:r>
      <w:r w:rsidRPr="00CA6451">
        <w:rPr>
          <w:rFonts w:ascii="Arial Narrow" w:hAnsi="Arial Narrow" w:cs="Arial Narrow"/>
          <w:b/>
          <w:sz w:val="22"/>
          <w:szCs w:val="24"/>
        </w:rPr>
        <w:t>% nárast</w:t>
      </w:r>
      <w:r w:rsidRPr="000A3E21">
        <w:rPr>
          <w:rFonts w:ascii="Arial Narrow" w:hAnsi="Arial Narrow" w:cs="Arial Narrow"/>
          <w:sz w:val="22"/>
          <w:szCs w:val="24"/>
        </w:rPr>
        <w:t>. V uvedenej sume sú zohľadnené výdavky na nový systém odmeňovania policajtov</w:t>
      </w:r>
      <w:r>
        <w:rPr>
          <w:rFonts w:ascii="Arial Narrow" w:hAnsi="Arial Narrow" w:cs="Arial Narrow"/>
          <w:sz w:val="22"/>
          <w:szCs w:val="24"/>
        </w:rPr>
        <w:t>,</w:t>
      </w:r>
      <w:r w:rsidRPr="000A3E21">
        <w:rPr>
          <w:rFonts w:ascii="Arial Narrow" w:hAnsi="Arial Narrow" w:cs="Arial Narrow"/>
          <w:sz w:val="22"/>
          <w:szCs w:val="24"/>
        </w:rPr>
        <w:t xml:space="preserve"> hasičov </w:t>
      </w:r>
      <w:r>
        <w:rPr>
          <w:rFonts w:ascii="Arial Narrow" w:hAnsi="Arial Narrow" w:cs="Arial Narrow"/>
          <w:sz w:val="22"/>
          <w:szCs w:val="24"/>
        </w:rPr>
        <w:t>a horských záchranárov</w:t>
      </w:r>
      <w:r w:rsidRPr="000A3E21">
        <w:rPr>
          <w:rFonts w:ascii="Arial Narrow" w:hAnsi="Arial Narrow" w:cs="Arial Narrow"/>
          <w:sz w:val="22"/>
          <w:szCs w:val="24"/>
        </w:rPr>
        <w:t>.</w:t>
      </w:r>
    </w:p>
    <w:p w:rsidR="00312541" w:rsidP="00312541">
      <w:pPr>
        <w:jc w:val="both"/>
        <w:rPr>
          <w:rFonts w:ascii="Arial Narrow" w:hAnsi="Arial Narrow" w:cs="Arial Narrow"/>
          <w:sz w:val="22"/>
          <w:szCs w:val="24"/>
        </w:rPr>
      </w:pPr>
    </w:p>
    <w:tbl>
      <w:tblPr>
        <w:tblStyle w:val="TableNormal"/>
        <w:tblW w:w="91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430"/>
        <w:gridCol w:w="1440"/>
        <w:gridCol w:w="1440"/>
        <w:gridCol w:w="1440"/>
        <w:gridCol w:w="1440"/>
      </w:tblGrid>
      <w:tr>
        <w:tblPrEx>
          <w:tblW w:w="91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7819CB" w:rsidP="00A70AF6">
            <w:pPr>
              <w:jc w:val="both"/>
              <w:rPr>
                <w:rFonts w:ascii="Arial Narrow" w:hAnsi="Arial Narrow" w:cs="Arial Narrow"/>
                <w:color w:val="FFFFFF"/>
                <w:sz w:val="20"/>
                <w:szCs w:val="24"/>
                <w:lang w:eastAsia="sk-SK"/>
              </w:rPr>
            </w:pPr>
            <w:r w:rsidRPr="007819CB">
              <w:rPr>
                <w:rFonts w:ascii="Arial Narrow" w:hAnsi="Arial Narrow" w:cs="Arial Narrow"/>
                <w:color w:val="FFFFFF"/>
                <w:sz w:val="20"/>
                <w:szCs w:val="24"/>
                <w:lang w:eastAsia="sk-SK"/>
              </w:rPr>
              <w:t> </w:t>
            </w:r>
            <w:r w:rsidRPr="007819CB">
              <w:rPr>
                <w:rFonts w:ascii="Arial Narrow" w:hAnsi="Arial Narrow" w:cs="Arial Narrow"/>
                <w:b/>
                <w:color w:val="FFFFFF"/>
                <w:sz w:val="20"/>
                <w:szCs w:val="24"/>
                <w:lang w:eastAsia="sk-SK"/>
              </w:rPr>
              <w:t xml:space="preserve">(v tis. </w:t>
            </w:r>
            <w:r>
              <w:rPr>
                <w:rFonts w:ascii="Arial Narrow" w:hAnsi="Arial Narrow" w:cs="Arial Narrow"/>
                <w:b/>
                <w:color w:val="FFFFFF"/>
                <w:sz w:val="20"/>
                <w:szCs w:val="24"/>
                <w:lang w:eastAsia="sk-SK"/>
              </w:rPr>
              <w:t>eur</w:t>
            </w:r>
            <w:r w:rsidRPr="007819CB">
              <w:rPr>
                <w:rFonts w:ascii="Arial Narrow" w:hAnsi="Arial Narrow" w:cs="Arial Narrow"/>
                <w:b/>
                <w:color w:val="FFFFFF"/>
                <w:sz w:val="20"/>
                <w:szCs w:val="24"/>
                <w:lang w:eastAsia="sk-SK"/>
              </w:rPr>
              <w:t>)</w:t>
            </w:r>
          </w:p>
        </w:tc>
        <w:tc>
          <w:tcPr>
            <w:tcW w:w="144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7819CB" w:rsidP="00A70AF6">
            <w:pPr>
              <w:jc w:val="center"/>
              <w:rPr>
                <w:rFonts w:ascii="Arial Narrow" w:hAnsi="Arial Narrow" w:cs="Arial Narrow"/>
                <w:b/>
                <w:color w:val="FFFFFF"/>
                <w:sz w:val="20"/>
                <w:szCs w:val="24"/>
                <w:lang w:eastAsia="sk-SK"/>
              </w:rPr>
            </w:pPr>
            <w:r w:rsidRPr="007819CB">
              <w:rPr>
                <w:rFonts w:ascii="Arial Narrow" w:hAnsi="Arial Narrow" w:cs="Arial Narrow"/>
                <w:b/>
                <w:color w:val="FFFFFF"/>
                <w:sz w:val="20"/>
                <w:szCs w:val="24"/>
                <w:lang w:eastAsia="sk-SK"/>
              </w:rPr>
              <w:t>2009</w:t>
            </w:r>
          </w:p>
        </w:tc>
        <w:tc>
          <w:tcPr>
            <w:tcW w:w="144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7819CB" w:rsidP="00A70AF6">
            <w:pPr>
              <w:jc w:val="center"/>
              <w:rPr>
                <w:rFonts w:ascii="Arial Narrow" w:hAnsi="Arial Narrow" w:cs="Arial Narrow"/>
                <w:b/>
                <w:color w:val="FFFFFF"/>
                <w:sz w:val="20"/>
                <w:szCs w:val="24"/>
                <w:lang w:eastAsia="sk-SK"/>
              </w:rPr>
            </w:pPr>
            <w:r w:rsidRPr="007819CB">
              <w:rPr>
                <w:rFonts w:ascii="Arial Narrow" w:hAnsi="Arial Narrow" w:cs="Arial Narrow"/>
                <w:b/>
                <w:color w:val="FFFFFF"/>
                <w:sz w:val="20"/>
                <w:szCs w:val="24"/>
                <w:lang w:eastAsia="sk-SK"/>
              </w:rPr>
              <w:t>2010</w:t>
            </w:r>
          </w:p>
        </w:tc>
        <w:tc>
          <w:tcPr>
            <w:tcW w:w="144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7819CB" w:rsidP="00A70AF6">
            <w:pPr>
              <w:jc w:val="center"/>
              <w:rPr>
                <w:rFonts w:ascii="Arial Narrow" w:hAnsi="Arial Narrow" w:cs="Arial Narrow"/>
                <w:b/>
                <w:color w:val="FFFFFF"/>
                <w:sz w:val="20"/>
                <w:szCs w:val="24"/>
                <w:lang w:eastAsia="sk-SK"/>
              </w:rPr>
            </w:pPr>
            <w:r w:rsidRPr="007819CB">
              <w:rPr>
                <w:rFonts w:ascii="Arial Narrow" w:hAnsi="Arial Narrow" w:cs="Arial Narrow"/>
                <w:b/>
                <w:color w:val="FFFFFF"/>
                <w:sz w:val="20"/>
                <w:szCs w:val="24"/>
                <w:lang w:eastAsia="sk-SK"/>
              </w:rPr>
              <w:t>2011</w:t>
            </w:r>
          </w:p>
        </w:tc>
        <w:tc>
          <w:tcPr>
            <w:tcW w:w="144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7819CB" w:rsidP="00A70AF6">
            <w:pPr>
              <w:jc w:val="center"/>
              <w:rPr>
                <w:rFonts w:ascii="Arial Narrow" w:hAnsi="Arial Narrow" w:cs="Arial Narrow"/>
                <w:b/>
                <w:color w:val="FFFFFF"/>
                <w:sz w:val="20"/>
                <w:szCs w:val="24"/>
                <w:lang w:eastAsia="sk-SK"/>
              </w:rPr>
            </w:pPr>
            <w:r w:rsidRPr="007819CB">
              <w:rPr>
                <w:rFonts w:ascii="Arial Narrow" w:hAnsi="Arial Narrow" w:cs="Arial Narrow"/>
                <w:b/>
                <w:color w:val="FFFFFF"/>
                <w:sz w:val="20"/>
                <w:szCs w:val="24"/>
                <w:lang w:eastAsia="sk-SK"/>
              </w:rPr>
              <w:t>2012</w:t>
            </w:r>
          </w:p>
        </w:tc>
      </w:tr>
      <w:tr>
        <w:tblPrEx>
          <w:tblW w:w="9190" w:type="dxa"/>
          <w:tblInd w:w="60" w:type="dxa"/>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rPr>
                <w:rFonts w:ascii="Arial Narrow" w:hAnsi="Arial Narrow" w:cs="Arial Narrow"/>
                <w:sz w:val="20"/>
                <w:szCs w:val="24"/>
                <w:lang w:eastAsia="sk-SK"/>
              </w:rPr>
            </w:pPr>
            <w:r>
              <w:rPr>
                <w:rFonts w:ascii="Arial Narrow" w:hAnsi="Arial Narrow" w:cs="Arial Narrow"/>
                <w:sz w:val="20"/>
                <w:szCs w:val="24"/>
                <w:lang w:eastAsia="sk-SK"/>
              </w:rPr>
              <w:t>Ochrana verejného poriadku a bezpečnosti</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749 402</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674 023</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663 792</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663 775</w:t>
            </w:r>
          </w:p>
        </w:tc>
      </w:tr>
      <w:tr>
        <w:tblPrEx>
          <w:tblW w:w="9190" w:type="dxa"/>
          <w:tblInd w:w="60" w:type="dxa"/>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rPr>
                <w:rFonts w:ascii="Arial Narrow" w:hAnsi="Arial Narrow" w:cs="Arial Narrow"/>
                <w:sz w:val="20"/>
                <w:szCs w:val="24"/>
                <w:lang w:eastAsia="sk-SK"/>
              </w:rPr>
            </w:pPr>
            <w:r>
              <w:rPr>
                <w:rFonts w:ascii="Arial Narrow" w:hAnsi="Arial Narrow" w:cs="Arial Narrow"/>
                <w:sz w:val="20"/>
                <w:szCs w:val="24"/>
                <w:lang w:eastAsia="sk-SK"/>
              </w:rPr>
              <w:t>Záchranné zložky</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89 917</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90 339</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90 680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90 686</w:t>
            </w:r>
          </w:p>
        </w:tc>
      </w:tr>
      <w:tr>
        <w:tblPrEx>
          <w:tblW w:w="9190" w:type="dxa"/>
          <w:tblInd w:w="60" w:type="dxa"/>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rPr>
                <w:rFonts w:ascii="Arial Narrow" w:hAnsi="Arial Narrow" w:cs="Arial Narrow"/>
                <w:sz w:val="20"/>
                <w:szCs w:val="24"/>
                <w:lang w:eastAsia="sk-SK"/>
              </w:rPr>
            </w:pPr>
            <w:r w:rsidRPr="007819CB">
              <w:rPr>
                <w:rFonts w:ascii="Arial Narrow" w:hAnsi="Arial Narrow" w:cs="Arial Narrow"/>
                <w:sz w:val="20"/>
                <w:szCs w:val="24"/>
                <w:lang w:eastAsia="sk-SK"/>
              </w:rPr>
              <w:t>S</w:t>
            </w:r>
            <w:r>
              <w:rPr>
                <w:rFonts w:ascii="Arial Narrow" w:hAnsi="Arial Narrow" w:cs="Arial Narrow"/>
                <w:sz w:val="20"/>
                <w:szCs w:val="24"/>
                <w:lang w:eastAsia="sk-SK"/>
              </w:rPr>
              <w:t>lovenská informačná služba</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42 386</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43 300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41 888</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41 888</w:t>
            </w:r>
          </w:p>
        </w:tc>
      </w:tr>
      <w:tr>
        <w:tblPrEx>
          <w:tblW w:w="9190" w:type="dxa"/>
          <w:tblInd w:w="60" w:type="dxa"/>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rPr>
                <w:rFonts w:ascii="Arial Narrow" w:hAnsi="Arial Narrow" w:cs="Arial Narrow"/>
                <w:sz w:val="20"/>
                <w:szCs w:val="24"/>
                <w:lang w:eastAsia="sk-SK"/>
              </w:rPr>
            </w:pPr>
            <w:r w:rsidRPr="007819CB">
              <w:rPr>
                <w:rFonts w:ascii="Arial Narrow" w:hAnsi="Arial Narrow" w:cs="Arial Narrow"/>
                <w:sz w:val="20"/>
                <w:szCs w:val="24"/>
                <w:lang w:eastAsia="sk-SK"/>
              </w:rPr>
              <w:t>N</w:t>
            </w:r>
            <w:r>
              <w:rPr>
                <w:rFonts w:ascii="Arial Narrow" w:hAnsi="Arial Narrow" w:cs="Arial Narrow"/>
                <w:sz w:val="20"/>
                <w:szCs w:val="24"/>
                <w:lang w:eastAsia="sk-SK"/>
              </w:rPr>
              <w:t>árodný bezpečnostný úrad SR</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sidRPr="007819CB">
              <w:rPr>
                <w:rFonts w:ascii="Arial Narrow" w:hAnsi="Arial Narrow" w:cs="Arial Narrow"/>
                <w:sz w:val="20"/>
                <w:szCs w:val="24"/>
                <w:lang w:eastAsia="sk-SK"/>
              </w:rPr>
              <w:t>9 511</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8 800</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8 894</w:t>
            </w:r>
          </w:p>
        </w:tc>
        <w:tc>
          <w:tcPr>
            <w:tcW w:w="144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7819CB" w:rsidP="00A70AF6">
            <w:pPr>
              <w:jc w:val="right"/>
              <w:rPr>
                <w:rFonts w:ascii="Arial Narrow" w:hAnsi="Arial Narrow" w:cs="Arial Narrow"/>
                <w:sz w:val="20"/>
                <w:szCs w:val="24"/>
                <w:lang w:eastAsia="sk-SK"/>
              </w:rPr>
            </w:pPr>
            <w:r>
              <w:rPr>
                <w:rFonts w:ascii="Arial Narrow" w:hAnsi="Arial Narrow" w:cs="Arial Narrow"/>
                <w:sz w:val="20"/>
                <w:szCs w:val="24"/>
                <w:lang w:eastAsia="sk-SK"/>
              </w:rPr>
              <w:t>8 896</w:t>
            </w:r>
          </w:p>
        </w:tc>
      </w:tr>
      <w:tr>
        <w:tblPrEx>
          <w:tblW w:w="9190" w:type="dxa"/>
          <w:tblInd w:w="60" w:type="dxa"/>
          <w:tblLayout w:type="fixed"/>
          <w:tblCellMar>
            <w:left w:w="70" w:type="dxa"/>
            <w:right w:w="70" w:type="dxa"/>
          </w:tblCellMar>
        </w:tblPrEx>
        <w:trPr>
          <w:trHeight w:val="270"/>
        </w:trPr>
        <w:tc>
          <w:tcPr>
            <w:tcW w:w="343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819CB" w:rsidP="00A70AF6">
            <w:pPr>
              <w:rPr>
                <w:rFonts w:ascii="Arial Narrow" w:hAnsi="Arial Narrow" w:cs="Arial Narrow"/>
                <w:b/>
                <w:sz w:val="20"/>
                <w:szCs w:val="24"/>
                <w:lang w:eastAsia="sk-SK"/>
              </w:rPr>
            </w:pPr>
            <w:r w:rsidRPr="007819CB">
              <w:rPr>
                <w:rFonts w:ascii="Arial Narrow" w:hAnsi="Arial Narrow" w:cs="Arial Narrow"/>
                <w:b/>
                <w:sz w:val="20"/>
                <w:szCs w:val="24"/>
                <w:lang w:eastAsia="sk-SK"/>
              </w:rPr>
              <w:t>Výdavky na bezpečnosť spolu</w:t>
            </w:r>
          </w:p>
        </w:tc>
        <w:tc>
          <w:tcPr>
            <w:tcW w:w="14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819CB" w:rsidP="00A70AF6">
            <w:pPr>
              <w:jc w:val="right"/>
              <w:rPr>
                <w:rFonts w:ascii="Arial Narrow" w:hAnsi="Arial Narrow" w:cs="Arial Narrow"/>
                <w:b/>
                <w:sz w:val="20"/>
                <w:szCs w:val="24"/>
                <w:lang w:eastAsia="sk-SK"/>
              </w:rPr>
            </w:pPr>
            <w:r w:rsidRPr="007819CB">
              <w:rPr>
                <w:rFonts w:ascii="Arial Narrow" w:hAnsi="Arial Narrow" w:cs="Arial Narrow"/>
                <w:b/>
                <w:sz w:val="20"/>
                <w:szCs w:val="24"/>
                <w:lang w:eastAsia="sk-SK"/>
              </w:rPr>
              <w:t>891 216</w:t>
            </w:r>
          </w:p>
        </w:tc>
        <w:tc>
          <w:tcPr>
            <w:tcW w:w="14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819CB"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816 462</w:t>
            </w:r>
          </w:p>
        </w:tc>
        <w:tc>
          <w:tcPr>
            <w:tcW w:w="14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819CB"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805 254</w:t>
            </w:r>
          </w:p>
        </w:tc>
        <w:tc>
          <w:tcPr>
            <w:tcW w:w="144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7819CB" w:rsidP="00A70AF6">
            <w:pPr>
              <w:jc w:val="right"/>
              <w:rPr>
                <w:rFonts w:ascii="Arial Narrow" w:hAnsi="Arial Narrow" w:cs="Arial Narrow"/>
                <w:b/>
                <w:sz w:val="20"/>
                <w:szCs w:val="24"/>
                <w:lang w:eastAsia="sk-SK"/>
              </w:rPr>
            </w:pPr>
            <w:r>
              <w:rPr>
                <w:rFonts w:ascii="Arial Narrow" w:hAnsi="Arial Narrow" w:cs="Arial Narrow"/>
                <w:b/>
                <w:sz w:val="20"/>
                <w:szCs w:val="24"/>
                <w:lang w:eastAsia="sk-SK"/>
              </w:rPr>
              <w:t>805 245</w:t>
            </w:r>
          </w:p>
        </w:tc>
      </w:tr>
    </w:tbl>
    <w:p w:rsidR="00312541" w:rsidRPr="000A3E21" w:rsidP="00312541">
      <w:pPr>
        <w:jc w:val="both"/>
        <w:rPr>
          <w:rFonts w:ascii="Arial Narrow" w:hAnsi="Arial Narrow" w:cs="Arial Narrow"/>
          <w:sz w:val="22"/>
          <w:szCs w:val="24"/>
        </w:rPr>
      </w:pPr>
    </w:p>
    <w:p w:rsidR="00312541" w:rsidRPr="000A3E21"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Pre Policajný zbor </w:t>
      </w:r>
      <w:r>
        <w:rPr>
          <w:rFonts w:ascii="Arial Narrow" w:hAnsi="Arial Narrow" w:cs="Arial Narrow"/>
          <w:sz w:val="22"/>
          <w:szCs w:val="24"/>
        </w:rPr>
        <w:t xml:space="preserve">SR (ďalej len PZ) </w:t>
      </w:r>
      <w:r w:rsidRPr="000A3E21">
        <w:rPr>
          <w:rFonts w:ascii="Arial Narrow" w:hAnsi="Arial Narrow" w:cs="Arial Narrow"/>
          <w:sz w:val="22"/>
          <w:szCs w:val="24"/>
        </w:rPr>
        <w:t>a inštitucionálnu podporu M</w:t>
      </w:r>
      <w:r>
        <w:rPr>
          <w:rFonts w:ascii="Arial Narrow" w:hAnsi="Arial Narrow" w:cs="Arial Narrow"/>
          <w:sz w:val="22"/>
          <w:szCs w:val="24"/>
        </w:rPr>
        <w:t>inisterstva vnútra</w:t>
      </w:r>
      <w:r w:rsidRPr="000A3E21">
        <w:rPr>
          <w:rFonts w:ascii="Arial Narrow" w:hAnsi="Arial Narrow" w:cs="Arial Narrow"/>
          <w:sz w:val="22"/>
          <w:szCs w:val="24"/>
        </w:rPr>
        <w:t xml:space="preserve"> SR sa rozpočtujú prostriedky v sume </w:t>
      </w:r>
      <w:r>
        <w:rPr>
          <w:rFonts w:ascii="Arial Narrow" w:hAnsi="Arial Narrow" w:cs="Arial Narrow"/>
          <w:sz w:val="22"/>
          <w:szCs w:val="24"/>
        </w:rPr>
        <w:t>664</w:t>
      </w:r>
      <w:r w:rsidRPr="000A3E21">
        <w:rPr>
          <w:rFonts w:ascii="Arial Narrow" w:hAnsi="Arial Narrow" w:cs="Arial Narrow"/>
          <w:sz w:val="22"/>
          <w:szCs w:val="24"/>
        </w:rPr>
        <w:t xml:space="preserve"> mil. </w:t>
      </w:r>
      <w:r>
        <w:rPr>
          <w:rFonts w:ascii="Arial Narrow" w:hAnsi="Arial Narrow" w:cs="Arial Narrow"/>
          <w:sz w:val="22"/>
          <w:szCs w:val="24"/>
        </w:rPr>
        <w:t>eur</w:t>
      </w:r>
      <w:r w:rsidRPr="000A3E21">
        <w:rPr>
          <w:rFonts w:ascii="Arial Narrow" w:hAnsi="Arial Narrow" w:cs="Arial Narrow"/>
          <w:sz w:val="22"/>
          <w:szCs w:val="24"/>
        </w:rPr>
        <w:t xml:space="preserve">. V porovnaní s rokom 2006 zaznamenávajú </w:t>
      </w:r>
      <w:r>
        <w:rPr>
          <w:rFonts w:ascii="Arial Narrow" w:hAnsi="Arial Narrow" w:cs="Arial Narrow"/>
          <w:sz w:val="22"/>
          <w:szCs w:val="24"/>
        </w:rPr>
        <w:t xml:space="preserve">15,6 </w:t>
      </w:r>
      <w:r w:rsidRPr="00382090">
        <w:rPr>
          <w:rFonts w:ascii="Arial Narrow" w:hAnsi="Arial Narrow" w:cs="Arial Narrow"/>
          <w:sz w:val="22"/>
          <w:szCs w:val="24"/>
        </w:rPr>
        <w:t>%</w:t>
      </w:r>
      <w:r w:rsidRPr="000A3E21">
        <w:rPr>
          <w:rFonts w:ascii="Arial Narrow" w:hAnsi="Arial Narrow" w:cs="Arial Narrow"/>
          <w:sz w:val="22"/>
          <w:szCs w:val="24"/>
        </w:rPr>
        <w:t xml:space="preserve"> </w:t>
      </w:r>
      <w:r>
        <w:rPr>
          <w:rFonts w:ascii="Arial Narrow" w:hAnsi="Arial Narrow" w:cs="Arial Narrow"/>
          <w:sz w:val="22"/>
          <w:szCs w:val="24"/>
        </w:rPr>
        <w:t>nárast</w:t>
      </w:r>
      <w:r w:rsidRPr="000A3E21">
        <w:rPr>
          <w:rFonts w:ascii="Arial Narrow" w:hAnsi="Arial Narrow" w:cs="Arial Narrow"/>
          <w:sz w:val="22"/>
          <w:szCs w:val="24"/>
        </w:rPr>
        <w:t>. Rozpočtované prostriedky slúžia na zabezpečenie základných úloh na úseku poriadkovej polície, justičnej a kriminálnej polície, dopravnej polície,</w:t>
      </w:r>
      <w:r>
        <w:rPr>
          <w:rFonts w:ascii="Arial Narrow" w:hAnsi="Arial Narrow" w:cs="Arial Narrow"/>
          <w:sz w:val="22"/>
          <w:szCs w:val="24"/>
        </w:rPr>
        <w:t xml:space="preserve"> železničnej polície,</w:t>
      </w:r>
      <w:r w:rsidRPr="000A3E21">
        <w:rPr>
          <w:rFonts w:ascii="Arial Narrow" w:hAnsi="Arial Narrow" w:cs="Arial Narrow"/>
          <w:sz w:val="22"/>
          <w:szCs w:val="24"/>
        </w:rPr>
        <w:t xml:space="preserve"> inšp</w:t>
      </w:r>
      <w:r>
        <w:rPr>
          <w:rFonts w:ascii="Arial Narrow" w:hAnsi="Arial Narrow" w:cs="Arial Narrow"/>
          <w:sz w:val="22"/>
          <w:szCs w:val="24"/>
        </w:rPr>
        <w:t>ekčnej služby PZ</w:t>
      </w:r>
      <w:r w:rsidRPr="000A3E21">
        <w:rPr>
          <w:rFonts w:ascii="Arial Narrow" w:hAnsi="Arial Narrow" w:cs="Arial Narrow"/>
          <w:sz w:val="22"/>
          <w:szCs w:val="24"/>
        </w:rPr>
        <w:t xml:space="preserve">, </w:t>
      </w:r>
      <w:r>
        <w:rPr>
          <w:rFonts w:ascii="Arial Narrow" w:hAnsi="Arial Narrow" w:cs="Arial Narrow"/>
          <w:sz w:val="22"/>
          <w:szCs w:val="24"/>
        </w:rPr>
        <w:t>K</w:t>
      </w:r>
      <w:r w:rsidRPr="000A3E21">
        <w:rPr>
          <w:rFonts w:ascii="Arial Narrow" w:hAnsi="Arial Narrow" w:cs="Arial Narrow"/>
          <w:sz w:val="22"/>
          <w:szCs w:val="24"/>
        </w:rPr>
        <w:t>riminalisticko-exp</w:t>
      </w:r>
      <w:r>
        <w:rPr>
          <w:rFonts w:ascii="Arial Narrow" w:hAnsi="Arial Narrow" w:cs="Arial Narrow"/>
          <w:sz w:val="22"/>
          <w:szCs w:val="24"/>
        </w:rPr>
        <w:t>ertízneho ústavu</w:t>
      </w:r>
      <w:r w:rsidRPr="000A3E21">
        <w:rPr>
          <w:rFonts w:ascii="Arial Narrow" w:hAnsi="Arial Narrow" w:cs="Arial Narrow"/>
          <w:sz w:val="22"/>
          <w:szCs w:val="24"/>
        </w:rPr>
        <w:t xml:space="preserve"> </w:t>
      </w:r>
      <w:r>
        <w:rPr>
          <w:rFonts w:ascii="Arial Narrow" w:hAnsi="Arial Narrow" w:cs="Arial Narrow"/>
          <w:sz w:val="22"/>
          <w:szCs w:val="24"/>
        </w:rPr>
        <w:t>PZ</w:t>
      </w:r>
      <w:r w:rsidRPr="000A3E21">
        <w:rPr>
          <w:rFonts w:ascii="Arial Narrow" w:hAnsi="Arial Narrow" w:cs="Arial Narrow"/>
          <w:sz w:val="22"/>
          <w:szCs w:val="24"/>
        </w:rPr>
        <w:t>, cudzineckej a hraničnej polície, špec</w:t>
      </w:r>
      <w:r>
        <w:rPr>
          <w:rFonts w:ascii="Arial Narrow" w:hAnsi="Arial Narrow" w:cs="Arial Narrow"/>
          <w:sz w:val="22"/>
          <w:szCs w:val="24"/>
        </w:rPr>
        <w:t>ializovaných útvarov polície a M</w:t>
      </w:r>
      <w:r w:rsidRPr="000A3E21">
        <w:rPr>
          <w:rFonts w:ascii="Arial Narrow" w:hAnsi="Arial Narrow" w:cs="Arial Narrow"/>
          <w:sz w:val="22"/>
          <w:szCs w:val="24"/>
        </w:rPr>
        <w:t>igračného úradu M</w:t>
      </w:r>
      <w:r>
        <w:rPr>
          <w:rFonts w:ascii="Arial Narrow" w:hAnsi="Arial Narrow" w:cs="Arial Narrow"/>
          <w:sz w:val="22"/>
          <w:szCs w:val="24"/>
        </w:rPr>
        <w:t>inisterstva vnútra</w:t>
      </w:r>
      <w:r w:rsidRPr="000A3E21">
        <w:rPr>
          <w:rFonts w:ascii="Arial Narrow" w:hAnsi="Arial Narrow" w:cs="Arial Narrow"/>
          <w:sz w:val="22"/>
          <w:szCs w:val="24"/>
        </w:rPr>
        <w:t xml:space="preserve"> SR. </w:t>
      </w:r>
      <w:r w:rsidRPr="000A3E21">
        <w:rPr>
          <w:rFonts w:ascii="Arial Narrow" w:hAnsi="Arial Narrow" w:cs="Arial Narrow"/>
          <w:b/>
          <w:sz w:val="22"/>
          <w:szCs w:val="24"/>
        </w:rPr>
        <w:t xml:space="preserve">Na zabezpečenie priameho výkonu policajných úloh a činností v pôsobnosti </w:t>
      </w:r>
      <w:r>
        <w:rPr>
          <w:rFonts w:ascii="Arial Narrow" w:hAnsi="Arial Narrow" w:cs="Arial Narrow"/>
          <w:b/>
          <w:sz w:val="22"/>
          <w:szCs w:val="24"/>
        </w:rPr>
        <w:t>K</w:t>
      </w:r>
      <w:r w:rsidRPr="000A3E21">
        <w:rPr>
          <w:rFonts w:ascii="Arial Narrow" w:hAnsi="Arial Narrow" w:cs="Arial Narrow"/>
          <w:b/>
          <w:sz w:val="22"/>
          <w:szCs w:val="24"/>
        </w:rPr>
        <w:t xml:space="preserve">rajských riaditeľstiev </w:t>
      </w:r>
      <w:r>
        <w:rPr>
          <w:rFonts w:ascii="Arial Narrow" w:hAnsi="Arial Narrow" w:cs="Arial Narrow"/>
          <w:b/>
          <w:sz w:val="22"/>
          <w:szCs w:val="24"/>
        </w:rPr>
        <w:t>PZ</w:t>
      </w:r>
      <w:r w:rsidRPr="000A3E21">
        <w:rPr>
          <w:rFonts w:ascii="Arial Narrow" w:hAnsi="Arial Narrow" w:cs="Arial Narrow"/>
          <w:b/>
          <w:sz w:val="22"/>
          <w:szCs w:val="24"/>
        </w:rPr>
        <w:t xml:space="preserve"> a im podriadených organizácií a útvarov </w:t>
      </w:r>
      <w:r>
        <w:rPr>
          <w:rFonts w:ascii="Arial Narrow" w:hAnsi="Arial Narrow" w:cs="Arial Narrow"/>
          <w:b/>
          <w:sz w:val="22"/>
          <w:szCs w:val="24"/>
        </w:rPr>
        <w:t>je</w:t>
      </w:r>
      <w:r w:rsidRPr="000A3E21">
        <w:rPr>
          <w:rFonts w:ascii="Arial Narrow" w:hAnsi="Arial Narrow" w:cs="Arial Narrow"/>
          <w:b/>
          <w:sz w:val="22"/>
          <w:szCs w:val="24"/>
        </w:rPr>
        <w:t xml:space="preserve"> k dispozícii </w:t>
      </w:r>
      <w:r>
        <w:rPr>
          <w:rFonts w:ascii="Arial Narrow" w:hAnsi="Arial Narrow" w:cs="Arial Narrow"/>
          <w:b/>
          <w:sz w:val="22"/>
          <w:szCs w:val="24"/>
        </w:rPr>
        <w:t>viac ako polovica</w:t>
      </w:r>
      <w:r w:rsidRPr="000A3E21">
        <w:rPr>
          <w:rFonts w:ascii="Arial Narrow" w:hAnsi="Arial Narrow" w:cs="Arial Narrow"/>
          <w:b/>
          <w:sz w:val="22"/>
          <w:szCs w:val="24"/>
        </w:rPr>
        <w:t xml:space="preserve"> celkových výdavkov určených na ochranu verejného poriadku a bezpečnosti</w:t>
      </w:r>
      <w:r w:rsidRPr="000A3E21">
        <w:rPr>
          <w:rFonts w:ascii="Arial Narrow" w:hAnsi="Arial Narrow" w:cs="Arial Narrow"/>
          <w:sz w:val="22"/>
          <w:szCs w:val="24"/>
        </w:rPr>
        <w:t>. Ide najmä o zabezpečenie platov a s nimi súvisiacich odvodov a nevyhnutné výdavky určené na prevádzku príslušných organizácií a</w:t>
      </w:r>
      <w:r>
        <w:rPr>
          <w:rFonts w:ascii="Arial Narrow" w:hAnsi="Arial Narrow" w:cs="Arial Narrow"/>
          <w:sz w:val="22"/>
          <w:szCs w:val="24"/>
        </w:rPr>
        <w:t> </w:t>
      </w:r>
      <w:r w:rsidRPr="000A3E21">
        <w:rPr>
          <w:rFonts w:ascii="Arial Narrow" w:hAnsi="Arial Narrow" w:cs="Arial Narrow"/>
          <w:sz w:val="22"/>
          <w:szCs w:val="24"/>
        </w:rPr>
        <w:t>útvarov</w:t>
      </w:r>
      <w:r>
        <w:rPr>
          <w:rFonts w:ascii="Arial Narrow" w:hAnsi="Arial Narrow" w:cs="Arial Narrow"/>
          <w:sz w:val="22"/>
          <w:szCs w:val="24"/>
        </w:rPr>
        <w:t xml:space="preserve"> a výdavky na znižovanie investičného dlhu</w:t>
      </w:r>
      <w:r w:rsidRPr="000A3E21">
        <w:rPr>
          <w:rFonts w:ascii="Arial Narrow" w:hAnsi="Arial Narrow" w:cs="Arial Narrow"/>
          <w:sz w:val="22"/>
          <w:szCs w:val="24"/>
        </w:rPr>
        <w:t xml:space="preserve">. Okrem toho sa pre políciu rozpočtujú výdavky na zabezpečenie výučby základného policajného vzdelania, prípravu nižších policajných dôstojníkov a špecializovaného vzdelania pre priamy výkon policajnej služby. Túto prípravu zabezpečujú stredné odborné školy </w:t>
      </w:r>
      <w:r>
        <w:rPr>
          <w:rFonts w:ascii="Arial Narrow" w:hAnsi="Arial Narrow" w:cs="Arial Narrow"/>
          <w:sz w:val="22"/>
          <w:szCs w:val="24"/>
        </w:rPr>
        <w:t>PZ</w:t>
      </w:r>
      <w:r w:rsidRPr="000A3E21">
        <w:rPr>
          <w:rFonts w:ascii="Arial Narrow" w:hAnsi="Arial Narrow" w:cs="Arial Narrow"/>
          <w:sz w:val="22"/>
          <w:szCs w:val="24"/>
        </w:rPr>
        <w:t xml:space="preserve">. Vyšší stupeň prípravy policajtov a bezpečnostných služieb, ďalšie vzdelávanie vrátane vedeckého poznania a výchovy zabezpečuje Akadémia </w:t>
      </w:r>
      <w:r>
        <w:rPr>
          <w:rFonts w:ascii="Arial Narrow" w:hAnsi="Arial Narrow" w:cs="Arial Narrow"/>
          <w:sz w:val="22"/>
          <w:szCs w:val="24"/>
        </w:rPr>
        <w:t>PZ</w:t>
      </w:r>
      <w:r w:rsidRPr="000A3E21">
        <w:rPr>
          <w:rFonts w:ascii="Arial Narrow" w:hAnsi="Arial Narrow" w:cs="Arial Narrow"/>
          <w:sz w:val="22"/>
          <w:szCs w:val="24"/>
        </w:rPr>
        <w:t xml:space="preserve">. </w:t>
      </w:r>
    </w:p>
    <w:p w:rsidR="00312541" w:rsidRPr="000A3E21" w:rsidP="00312541">
      <w:pPr>
        <w:jc w:val="both"/>
        <w:rPr>
          <w:rFonts w:ascii="Arial Narrow" w:hAnsi="Arial Narrow" w:cs="Arial Narrow"/>
          <w:sz w:val="22"/>
          <w:szCs w:val="24"/>
        </w:rPr>
      </w:pPr>
    </w:p>
    <w:p w:rsidR="00312541" w:rsidRPr="000A3E21"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Pre </w:t>
      </w:r>
      <w:r w:rsidRPr="000A3E21">
        <w:rPr>
          <w:rFonts w:ascii="Arial Narrow" w:hAnsi="Arial Narrow" w:cs="Arial Narrow"/>
          <w:b/>
          <w:sz w:val="22"/>
          <w:szCs w:val="24"/>
        </w:rPr>
        <w:t>hraničnú a cudzineckú políciu sa na ochranu štátnej hranice</w:t>
      </w:r>
      <w:r w:rsidRPr="000A3E21">
        <w:rPr>
          <w:rFonts w:ascii="Arial Narrow" w:hAnsi="Arial Narrow" w:cs="Arial Narrow"/>
          <w:sz w:val="22"/>
          <w:szCs w:val="24"/>
        </w:rPr>
        <w:t xml:space="preserve"> </w:t>
      </w:r>
      <w:r>
        <w:rPr>
          <w:rFonts w:ascii="Arial Narrow" w:hAnsi="Arial Narrow" w:cs="Arial Narrow"/>
          <w:sz w:val="22"/>
          <w:szCs w:val="24"/>
        </w:rPr>
        <w:t>rozpočtujú prostriedky</w:t>
      </w:r>
      <w:r w:rsidRPr="000A3E21">
        <w:rPr>
          <w:rFonts w:ascii="Arial Narrow" w:hAnsi="Arial Narrow" w:cs="Arial Narrow"/>
          <w:sz w:val="22"/>
          <w:szCs w:val="24"/>
        </w:rPr>
        <w:t xml:space="preserve"> </w:t>
      </w:r>
      <w:r>
        <w:rPr>
          <w:rFonts w:ascii="Arial Narrow" w:hAnsi="Arial Narrow" w:cs="Arial Narrow"/>
          <w:sz w:val="22"/>
          <w:szCs w:val="24"/>
        </w:rPr>
        <w:t>najmä na</w:t>
      </w:r>
      <w:r w:rsidRPr="000A3E21">
        <w:rPr>
          <w:rFonts w:ascii="Arial Narrow" w:hAnsi="Arial Narrow" w:cs="Arial Narrow"/>
          <w:sz w:val="22"/>
          <w:szCs w:val="24"/>
        </w:rPr>
        <w:t xml:space="preserve"> zabezpečenie ochrany vonkajšej hranice EÚ (hranica s Ukrajinou). </w:t>
      </w:r>
      <w:r>
        <w:rPr>
          <w:rFonts w:ascii="Arial Narrow" w:hAnsi="Arial Narrow" w:cs="Arial Narrow"/>
          <w:sz w:val="22"/>
          <w:szCs w:val="24"/>
        </w:rPr>
        <w:t>V roku 2010 budú k dispozícii</w:t>
      </w:r>
      <w:r w:rsidRPr="000A3E21">
        <w:rPr>
          <w:rFonts w:ascii="Arial Narrow" w:hAnsi="Arial Narrow" w:cs="Arial Narrow"/>
          <w:sz w:val="22"/>
          <w:szCs w:val="24"/>
        </w:rPr>
        <w:t xml:space="preserve"> aj prostriedky z Fondu pre vonkajšie hranice, ktoré môže Slovenská republika použiť na financovanie opatrení na vonkajších hraniciach EÚ. Ich výška vrátane </w:t>
      </w:r>
      <w:r>
        <w:rPr>
          <w:rFonts w:ascii="Arial Narrow" w:hAnsi="Arial Narrow" w:cs="Arial Narrow"/>
          <w:sz w:val="22"/>
          <w:szCs w:val="24"/>
        </w:rPr>
        <w:t>spolufinancovania sa v roku 2010</w:t>
      </w:r>
      <w:r w:rsidRPr="000A3E21">
        <w:rPr>
          <w:rFonts w:ascii="Arial Narrow" w:hAnsi="Arial Narrow" w:cs="Arial Narrow"/>
          <w:sz w:val="22"/>
          <w:szCs w:val="24"/>
        </w:rPr>
        <w:t xml:space="preserve"> predpokladá v sume </w:t>
      </w:r>
      <w:r>
        <w:rPr>
          <w:rFonts w:ascii="Arial Narrow" w:hAnsi="Arial Narrow" w:cs="Arial Narrow"/>
          <w:sz w:val="22"/>
          <w:szCs w:val="24"/>
        </w:rPr>
        <w:t>1</w:t>
      </w:r>
      <w:r w:rsidRPr="006D706B">
        <w:rPr>
          <w:rFonts w:ascii="Arial Narrow" w:hAnsi="Arial Narrow" w:cs="Arial Narrow"/>
          <w:sz w:val="22"/>
          <w:szCs w:val="24"/>
        </w:rPr>
        <w:t>,4</w:t>
      </w:r>
      <w:r>
        <w:rPr>
          <w:rFonts w:ascii="Arial Narrow" w:hAnsi="Arial Narrow" w:cs="Arial Narrow"/>
          <w:sz w:val="22"/>
          <w:szCs w:val="24"/>
        </w:rPr>
        <w:t>1</w:t>
      </w:r>
      <w:r w:rsidRPr="006D706B">
        <w:rPr>
          <w:rFonts w:ascii="Arial Narrow" w:hAnsi="Arial Narrow" w:cs="Arial Narrow"/>
          <w:sz w:val="22"/>
          <w:szCs w:val="24"/>
        </w:rPr>
        <w:t xml:space="preserve"> mil. </w:t>
      </w:r>
      <w:r>
        <w:rPr>
          <w:rFonts w:ascii="Arial Narrow" w:hAnsi="Arial Narrow" w:cs="Arial Narrow"/>
          <w:sz w:val="22"/>
          <w:szCs w:val="24"/>
        </w:rPr>
        <w:t>eur</w:t>
      </w:r>
      <w:r w:rsidRPr="000A3E21">
        <w:rPr>
          <w:rFonts w:ascii="Arial Narrow" w:hAnsi="Arial Narrow" w:cs="Arial Narrow"/>
          <w:sz w:val="22"/>
          <w:szCs w:val="24"/>
        </w:rPr>
        <w:t xml:space="preserve">. S efektívnou ochranou štátnej hranice je úzko spojená aj </w:t>
      </w:r>
      <w:r>
        <w:rPr>
          <w:rFonts w:ascii="Arial Narrow" w:hAnsi="Arial Narrow" w:cs="Arial Narrow"/>
          <w:b/>
          <w:sz w:val="22"/>
          <w:szCs w:val="24"/>
        </w:rPr>
        <w:t>oblasť</w:t>
      </w:r>
      <w:r w:rsidRPr="000A3E21">
        <w:rPr>
          <w:rFonts w:ascii="Arial Narrow" w:hAnsi="Arial Narrow" w:cs="Arial Narrow"/>
          <w:b/>
          <w:sz w:val="22"/>
          <w:szCs w:val="24"/>
        </w:rPr>
        <w:t xml:space="preserve"> azylovej politiky</w:t>
      </w:r>
      <w:r w:rsidRPr="000A3E21">
        <w:rPr>
          <w:rFonts w:ascii="Arial Narrow" w:hAnsi="Arial Narrow" w:cs="Arial Narrow"/>
          <w:sz w:val="22"/>
          <w:szCs w:val="24"/>
        </w:rPr>
        <w:t>. Jej výkon zabezpečuje Migračný úrad M</w:t>
      </w:r>
      <w:r>
        <w:rPr>
          <w:rFonts w:ascii="Arial Narrow" w:hAnsi="Arial Narrow" w:cs="Arial Narrow"/>
          <w:sz w:val="22"/>
          <w:szCs w:val="24"/>
        </w:rPr>
        <w:t>inisterstva vnútra</w:t>
      </w:r>
      <w:r w:rsidRPr="000A3E21">
        <w:rPr>
          <w:rFonts w:ascii="Arial Narrow" w:hAnsi="Arial Narrow" w:cs="Arial Narrow"/>
          <w:sz w:val="22"/>
          <w:szCs w:val="24"/>
        </w:rPr>
        <w:t xml:space="preserve"> SR, ktorého činnosť sa zameriava na prvostupňové správne konanie o udeľovaní azylu cudzincom, ich komplexné finančné a materiálové zabezpečenie pri pobyte v SR, až do rozhodnutia o udelení azylu a integráciu žiadateľov a presídlencov do spoločnosti. Osobitná pozornosť je venovaná azylovej procedúre, prev</w:t>
      </w:r>
      <w:r>
        <w:rPr>
          <w:rFonts w:ascii="Arial Narrow" w:hAnsi="Arial Narrow" w:cs="Arial Narrow"/>
          <w:sz w:val="22"/>
          <w:szCs w:val="24"/>
        </w:rPr>
        <w:t>ádzkovaniu zariadení (záchytný tábor, pobytové</w:t>
      </w:r>
      <w:r w:rsidRPr="000A3E21">
        <w:rPr>
          <w:rFonts w:ascii="Arial Narrow" w:hAnsi="Arial Narrow" w:cs="Arial Narrow"/>
          <w:sz w:val="22"/>
          <w:szCs w:val="24"/>
        </w:rPr>
        <w:t xml:space="preserve"> tábor</w:t>
      </w:r>
      <w:r>
        <w:rPr>
          <w:rFonts w:ascii="Arial Narrow" w:hAnsi="Arial Narrow" w:cs="Arial Narrow"/>
          <w:sz w:val="22"/>
          <w:szCs w:val="24"/>
        </w:rPr>
        <w:t>y, azylové zariadenia</w:t>
      </w:r>
      <w:r w:rsidRPr="000A3E21">
        <w:rPr>
          <w:rFonts w:ascii="Arial Narrow" w:hAnsi="Arial Narrow" w:cs="Arial Narrow"/>
          <w:sz w:val="22"/>
          <w:szCs w:val="24"/>
        </w:rPr>
        <w:t xml:space="preserve"> a integračné stredisko) a integrácii žiadateľov, ktorým bol udelený azyl do spoločnosti. </w:t>
      </w:r>
    </w:p>
    <w:p w:rsidR="00312541" w:rsidRPr="000A3E21" w:rsidP="00312541">
      <w:pPr>
        <w:jc w:val="both"/>
        <w:rPr>
          <w:rFonts w:ascii="Arial Narrow" w:hAnsi="Arial Narrow" w:cs="Arial Narrow"/>
          <w:sz w:val="22"/>
          <w:szCs w:val="24"/>
        </w:rPr>
      </w:pPr>
    </w:p>
    <w:p w:rsidR="00312541" w:rsidRPr="000A3E21"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Jednou z ďalších služieb pre občanov, ktorú príslušné útvary </w:t>
      </w:r>
      <w:r>
        <w:rPr>
          <w:rFonts w:ascii="Arial Narrow" w:hAnsi="Arial Narrow" w:cs="Arial Narrow"/>
          <w:sz w:val="22"/>
          <w:szCs w:val="24"/>
        </w:rPr>
        <w:t>PZ</w:t>
      </w:r>
      <w:r w:rsidRPr="000A3E21">
        <w:rPr>
          <w:rFonts w:ascii="Arial Narrow" w:hAnsi="Arial Narrow" w:cs="Arial Narrow"/>
          <w:sz w:val="22"/>
          <w:szCs w:val="24"/>
        </w:rPr>
        <w:t xml:space="preserve"> zabezpečujú je </w:t>
      </w:r>
      <w:r w:rsidRPr="000A3E21">
        <w:rPr>
          <w:rFonts w:ascii="Arial Narrow" w:hAnsi="Arial Narrow" w:cs="Arial Narrow"/>
          <w:b/>
          <w:sz w:val="22"/>
          <w:szCs w:val="24"/>
        </w:rPr>
        <w:t>vydávanie osobných dokladov</w:t>
      </w:r>
      <w:r w:rsidRPr="000A3E21">
        <w:rPr>
          <w:rFonts w:ascii="Arial Narrow" w:hAnsi="Arial Narrow" w:cs="Arial Narrow"/>
          <w:sz w:val="22"/>
          <w:szCs w:val="24"/>
        </w:rPr>
        <w:t xml:space="preserve">. Na nákup čistopisov dokladov sa plánuje každoročne vynaložiť </w:t>
      </w:r>
      <w:r w:rsidRPr="009A24FB">
        <w:rPr>
          <w:rFonts w:ascii="Arial Narrow" w:hAnsi="Arial Narrow" w:cs="Arial Narrow"/>
          <w:sz w:val="22"/>
          <w:szCs w:val="24"/>
        </w:rPr>
        <w:t>8,6</w:t>
      </w:r>
      <w:r>
        <w:rPr>
          <w:rFonts w:ascii="Arial Narrow" w:hAnsi="Arial Narrow" w:cs="Arial Narrow"/>
          <w:sz w:val="22"/>
          <w:szCs w:val="24"/>
        </w:rPr>
        <w:t>3</w:t>
      </w:r>
      <w:r w:rsidRPr="009A24FB">
        <w:rPr>
          <w:rFonts w:ascii="Arial Narrow" w:hAnsi="Arial Narrow" w:cs="Arial Narrow"/>
          <w:sz w:val="22"/>
          <w:szCs w:val="24"/>
        </w:rPr>
        <w:t xml:space="preserve"> mil. </w:t>
      </w:r>
      <w:r>
        <w:rPr>
          <w:rFonts w:ascii="Arial Narrow" w:hAnsi="Arial Narrow" w:cs="Arial Narrow"/>
          <w:sz w:val="22"/>
          <w:szCs w:val="24"/>
        </w:rPr>
        <w:t>eur</w:t>
      </w:r>
      <w:r w:rsidRPr="000A3E21">
        <w:rPr>
          <w:rFonts w:ascii="Arial Narrow" w:hAnsi="Arial Narrow" w:cs="Arial Narrow"/>
          <w:sz w:val="22"/>
          <w:szCs w:val="24"/>
        </w:rPr>
        <w:t xml:space="preserve">. Pre vytvorenie optimálnych pracovných podmienok na kvalitné plnenie úloh </w:t>
      </w:r>
      <w:r>
        <w:rPr>
          <w:rFonts w:ascii="Arial Narrow" w:hAnsi="Arial Narrow" w:cs="Arial Narrow"/>
          <w:sz w:val="22"/>
          <w:szCs w:val="24"/>
        </w:rPr>
        <w:t>PZ</w:t>
      </w:r>
      <w:r w:rsidRPr="000A3E21">
        <w:rPr>
          <w:rFonts w:ascii="Arial Narrow" w:hAnsi="Arial Narrow" w:cs="Arial Narrow"/>
          <w:sz w:val="22"/>
          <w:szCs w:val="24"/>
        </w:rPr>
        <w:t xml:space="preserve"> sa rozpočtujú</w:t>
      </w:r>
      <w:r>
        <w:rPr>
          <w:rFonts w:ascii="Arial Narrow" w:hAnsi="Arial Narrow" w:cs="Arial Narrow"/>
          <w:sz w:val="22"/>
          <w:szCs w:val="24"/>
        </w:rPr>
        <w:t xml:space="preserve"> </w:t>
      </w:r>
      <w:r w:rsidRPr="000A3E21">
        <w:rPr>
          <w:rFonts w:ascii="Arial Narrow" w:hAnsi="Arial Narrow" w:cs="Arial Narrow"/>
          <w:sz w:val="22"/>
          <w:szCs w:val="24"/>
        </w:rPr>
        <w:t>výdavk</w:t>
      </w:r>
      <w:r>
        <w:rPr>
          <w:rFonts w:ascii="Arial Narrow" w:hAnsi="Arial Narrow" w:cs="Arial Narrow"/>
          <w:sz w:val="22"/>
          <w:szCs w:val="24"/>
        </w:rPr>
        <w:t>y na obnovu výpočtovej techniky a </w:t>
      </w:r>
      <w:r w:rsidRPr="000A3E21">
        <w:rPr>
          <w:rFonts w:ascii="Arial Narrow" w:hAnsi="Arial Narrow" w:cs="Arial Narrow"/>
          <w:sz w:val="22"/>
          <w:szCs w:val="24"/>
        </w:rPr>
        <w:t>mate</w:t>
      </w:r>
      <w:r>
        <w:rPr>
          <w:rFonts w:ascii="Arial Narrow" w:hAnsi="Arial Narrow" w:cs="Arial Narrow"/>
          <w:sz w:val="22"/>
          <w:szCs w:val="24"/>
        </w:rPr>
        <w:t>riálno technického zabezpečenia.</w:t>
      </w:r>
      <w:r w:rsidRPr="000A3E21">
        <w:rPr>
          <w:rFonts w:ascii="Arial Narrow" w:hAnsi="Arial Narrow" w:cs="Arial Narrow"/>
          <w:sz w:val="22"/>
          <w:szCs w:val="24"/>
        </w:rPr>
        <w:t xml:space="preserve"> </w:t>
      </w:r>
    </w:p>
    <w:p w:rsidR="00312541" w:rsidRPr="000A3E2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Vo výdavkoch pre </w:t>
      </w:r>
      <w:r w:rsidRPr="000A3E21">
        <w:rPr>
          <w:rFonts w:ascii="Arial Narrow" w:hAnsi="Arial Narrow" w:cs="Arial Narrow"/>
          <w:b/>
          <w:sz w:val="22"/>
          <w:szCs w:val="24"/>
        </w:rPr>
        <w:t>Záchranné zložky</w:t>
      </w:r>
      <w:r w:rsidRPr="000A3E21">
        <w:rPr>
          <w:rFonts w:ascii="Arial Narrow" w:hAnsi="Arial Narrow" w:cs="Arial Narrow"/>
          <w:sz w:val="22"/>
          <w:szCs w:val="24"/>
        </w:rPr>
        <w:t xml:space="preserve"> dochádza </w:t>
      </w:r>
      <w:r>
        <w:rPr>
          <w:rFonts w:ascii="Arial Narrow" w:hAnsi="Arial Narrow" w:cs="Arial Narrow"/>
          <w:sz w:val="22"/>
          <w:szCs w:val="24"/>
        </w:rPr>
        <w:t>v</w:t>
      </w:r>
      <w:r w:rsidRPr="000A3E21">
        <w:rPr>
          <w:rFonts w:ascii="Arial Narrow" w:hAnsi="Arial Narrow" w:cs="Arial Narrow"/>
          <w:sz w:val="22"/>
          <w:szCs w:val="24"/>
        </w:rPr>
        <w:t> porovnaní s rokom 2006 k</w:t>
      </w:r>
      <w:r>
        <w:rPr>
          <w:rFonts w:ascii="Arial Narrow" w:hAnsi="Arial Narrow" w:cs="Arial Narrow"/>
          <w:sz w:val="22"/>
          <w:szCs w:val="24"/>
        </w:rPr>
        <w:t> </w:t>
      </w:r>
      <w:r w:rsidRPr="000A3E21">
        <w:rPr>
          <w:rFonts w:ascii="Arial Narrow" w:hAnsi="Arial Narrow" w:cs="Arial Narrow"/>
          <w:sz w:val="22"/>
          <w:szCs w:val="24"/>
        </w:rPr>
        <w:t>nárastu</w:t>
      </w:r>
      <w:r>
        <w:rPr>
          <w:rFonts w:ascii="Arial Narrow" w:hAnsi="Arial Narrow" w:cs="Arial Narrow"/>
          <w:sz w:val="22"/>
          <w:szCs w:val="24"/>
        </w:rPr>
        <w:t xml:space="preserve"> </w:t>
      </w:r>
      <w:r w:rsidRPr="000A3E21">
        <w:rPr>
          <w:rFonts w:ascii="Arial Narrow" w:hAnsi="Arial Narrow" w:cs="Arial Narrow"/>
          <w:sz w:val="22"/>
          <w:szCs w:val="24"/>
        </w:rPr>
        <w:t>o</w:t>
      </w:r>
      <w:r>
        <w:rPr>
          <w:rFonts w:ascii="Arial Narrow" w:hAnsi="Arial Narrow" w:cs="Arial Narrow"/>
          <w:sz w:val="22"/>
          <w:szCs w:val="24"/>
        </w:rPr>
        <w:t> 30,1</w:t>
      </w:r>
      <w:r w:rsidRPr="00006F79">
        <w:rPr>
          <w:rFonts w:ascii="Arial Narrow" w:hAnsi="Arial Narrow" w:cs="Arial Narrow"/>
          <w:sz w:val="22"/>
          <w:szCs w:val="24"/>
        </w:rPr>
        <w:t xml:space="preserve"> %.</w:t>
      </w:r>
      <w:r>
        <w:rPr>
          <w:rFonts w:ascii="Arial Narrow" w:hAnsi="Arial Narrow" w:cs="Arial Narrow"/>
          <w:sz w:val="22"/>
          <w:szCs w:val="24"/>
        </w:rPr>
        <w:t xml:space="preserve"> </w:t>
      </w:r>
      <w:r w:rsidRPr="000A3E21">
        <w:rPr>
          <w:rFonts w:ascii="Arial Narrow" w:hAnsi="Arial Narrow" w:cs="Arial Narrow"/>
          <w:sz w:val="22"/>
          <w:szCs w:val="24"/>
        </w:rPr>
        <w:t xml:space="preserve">Rozpočtované prostriedky slúžia na zabezpečenie </w:t>
      </w:r>
      <w:r>
        <w:rPr>
          <w:rFonts w:ascii="Arial Narrow" w:hAnsi="Arial Narrow" w:cs="Arial Narrow"/>
          <w:sz w:val="22"/>
          <w:szCs w:val="24"/>
        </w:rPr>
        <w:t xml:space="preserve">plnenia </w:t>
      </w:r>
      <w:r w:rsidRPr="000A3E21">
        <w:rPr>
          <w:rFonts w:ascii="Arial Narrow" w:hAnsi="Arial Narrow" w:cs="Arial Narrow"/>
          <w:sz w:val="22"/>
          <w:szCs w:val="24"/>
        </w:rPr>
        <w:t xml:space="preserve">základných úloh </w:t>
      </w:r>
      <w:r>
        <w:rPr>
          <w:rFonts w:ascii="Arial Narrow" w:hAnsi="Arial Narrow" w:cs="Arial Narrow"/>
          <w:sz w:val="22"/>
          <w:szCs w:val="24"/>
        </w:rPr>
        <w:t>na úseku ochrany pred požiarmi</w:t>
      </w:r>
      <w:r w:rsidRPr="00D67E8B">
        <w:rPr>
          <w:rFonts w:ascii="Arial Narrow" w:hAnsi="Arial Narrow" w:cs="Arial Narrow"/>
          <w:sz w:val="22"/>
          <w:szCs w:val="24"/>
        </w:rPr>
        <w:t xml:space="preserve"> </w:t>
      </w:r>
      <w:r>
        <w:rPr>
          <w:rFonts w:ascii="Arial Narrow" w:hAnsi="Arial Narrow" w:cs="Arial Narrow"/>
          <w:sz w:val="22"/>
          <w:szCs w:val="24"/>
        </w:rPr>
        <w:t xml:space="preserve">vrátane štátneho požiarneho dozoru a </w:t>
      </w:r>
      <w:r w:rsidRPr="00D67E8B">
        <w:rPr>
          <w:rFonts w:ascii="Arial Narrow" w:hAnsi="Arial Narrow" w:cs="Arial Narrow"/>
          <w:sz w:val="22"/>
          <w:szCs w:val="24"/>
        </w:rPr>
        <w:t>vedecko-technického rozvoja</w:t>
      </w:r>
      <w:r>
        <w:rPr>
          <w:rFonts w:ascii="Arial Narrow" w:hAnsi="Arial Narrow" w:cs="Arial Narrow"/>
          <w:sz w:val="22"/>
          <w:szCs w:val="24"/>
        </w:rPr>
        <w:t xml:space="preserve">, na realizáciu úloh pri </w:t>
      </w:r>
      <w:r w:rsidRPr="00D67E8B">
        <w:rPr>
          <w:rFonts w:ascii="Arial Narrow" w:hAnsi="Arial Narrow" w:cs="Arial Narrow"/>
          <w:sz w:val="22"/>
          <w:szCs w:val="24"/>
        </w:rPr>
        <w:t>zdoláv</w:t>
      </w:r>
      <w:r>
        <w:rPr>
          <w:rFonts w:ascii="Arial Narrow" w:hAnsi="Arial Narrow" w:cs="Arial Narrow"/>
          <w:sz w:val="22"/>
          <w:szCs w:val="24"/>
        </w:rPr>
        <w:t>aní</w:t>
      </w:r>
      <w:r w:rsidRPr="00D67E8B">
        <w:rPr>
          <w:rFonts w:ascii="Arial Narrow" w:hAnsi="Arial Narrow" w:cs="Arial Narrow"/>
          <w:sz w:val="22"/>
          <w:szCs w:val="24"/>
        </w:rPr>
        <w:t xml:space="preserve"> požiarov</w:t>
      </w:r>
      <w:r>
        <w:rPr>
          <w:rFonts w:ascii="Arial Narrow" w:hAnsi="Arial Narrow" w:cs="Arial Narrow"/>
          <w:sz w:val="22"/>
          <w:szCs w:val="24"/>
        </w:rPr>
        <w:t>,</w:t>
      </w:r>
      <w:r w:rsidRPr="00D67E8B">
        <w:rPr>
          <w:rFonts w:ascii="Arial Narrow" w:hAnsi="Arial Narrow" w:cs="Arial Narrow"/>
          <w:sz w:val="22"/>
          <w:szCs w:val="24"/>
        </w:rPr>
        <w:t xml:space="preserve"> </w:t>
      </w:r>
      <w:r>
        <w:rPr>
          <w:rFonts w:ascii="Arial Narrow" w:hAnsi="Arial Narrow" w:cs="Arial Narrow"/>
          <w:sz w:val="22"/>
          <w:szCs w:val="24"/>
        </w:rPr>
        <w:t>pri</w:t>
      </w:r>
      <w:r w:rsidRPr="00D67E8B">
        <w:rPr>
          <w:rFonts w:ascii="Arial Narrow" w:hAnsi="Arial Narrow" w:cs="Arial Narrow"/>
          <w:sz w:val="22"/>
          <w:szCs w:val="24"/>
        </w:rPr>
        <w:t xml:space="preserve"> záchranných prác</w:t>
      </w:r>
      <w:r>
        <w:rPr>
          <w:rFonts w:ascii="Arial Narrow" w:hAnsi="Arial Narrow" w:cs="Arial Narrow"/>
          <w:sz w:val="22"/>
          <w:szCs w:val="24"/>
        </w:rPr>
        <w:t>ach</w:t>
      </w:r>
      <w:r w:rsidRPr="00D67E8B">
        <w:rPr>
          <w:rFonts w:ascii="Arial Narrow" w:hAnsi="Arial Narrow" w:cs="Arial Narrow"/>
          <w:sz w:val="22"/>
          <w:szCs w:val="24"/>
        </w:rPr>
        <w:t xml:space="preserve"> pri</w:t>
      </w:r>
      <w:r>
        <w:rPr>
          <w:rFonts w:ascii="Arial Narrow" w:hAnsi="Arial Narrow" w:cs="Arial Narrow"/>
          <w:sz w:val="22"/>
          <w:szCs w:val="24"/>
        </w:rPr>
        <w:t xml:space="preserve"> haváriách a živelných pohromách, na </w:t>
      </w:r>
      <w:r w:rsidRPr="00D67E8B">
        <w:rPr>
          <w:rFonts w:ascii="Arial Narrow" w:hAnsi="Arial Narrow" w:cs="Arial Narrow"/>
          <w:sz w:val="22"/>
          <w:szCs w:val="24"/>
        </w:rPr>
        <w:t>plnenie úloh v oblasti výchovy, vzdelávania a odbornej prípravy na úseku ochrany pred požiarmi</w:t>
      </w:r>
      <w:r>
        <w:rPr>
          <w:rFonts w:ascii="Arial Narrow" w:hAnsi="Arial Narrow" w:cs="Arial Narrow"/>
          <w:sz w:val="22"/>
          <w:szCs w:val="24"/>
        </w:rPr>
        <w:t>. Zároveň sú v rámci záchranných zložiek rozpočtované výdavky pre plnenie úloh Horskej záchrannej služby.</w:t>
      </w:r>
    </w:p>
    <w:p w:rsidR="00312541" w:rsidRPr="000A3E2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0A3E21">
        <w:rPr>
          <w:rFonts w:ascii="Arial Narrow" w:hAnsi="Arial Narrow" w:cs="Arial Narrow"/>
          <w:sz w:val="22"/>
          <w:szCs w:val="24"/>
        </w:rPr>
        <w:t>Nad rámec rozpočtovaných zdrojov sa</w:t>
      </w:r>
      <w:r>
        <w:rPr>
          <w:rFonts w:ascii="Arial Narrow" w:hAnsi="Arial Narrow" w:cs="Arial Narrow"/>
          <w:sz w:val="22"/>
          <w:szCs w:val="24"/>
        </w:rPr>
        <w:t xml:space="preserve"> v oblasti bezpečnosti (pre PZ a </w:t>
      </w:r>
      <w:r w:rsidRPr="000A3E21">
        <w:rPr>
          <w:rFonts w:ascii="Arial Narrow" w:hAnsi="Arial Narrow" w:cs="Arial Narrow"/>
          <w:sz w:val="22"/>
          <w:szCs w:val="24"/>
        </w:rPr>
        <w:t>H</w:t>
      </w:r>
      <w:r>
        <w:rPr>
          <w:rFonts w:ascii="Arial Narrow" w:hAnsi="Arial Narrow" w:cs="Arial Narrow"/>
          <w:sz w:val="22"/>
          <w:szCs w:val="24"/>
        </w:rPr>
        <w:t xml:space="preserve">asičský </w:t>
      </w:r>
      <w:r w:rsidRPr="000A3E21">
        <w:rPr>
          <w:rFonts w:ascii="Arial Narrow" w:hAnsi="Arial Narrow" w:cs="Arial Narrow"/>
          <w:sz w:val="22"/>
          <w:szCs w:val="24"/>
        </w:rPr>
        <w:t>a</w:t>
      </w:r>
      <w:r>
        <w:rPr>
          <w:rFonts w:ascii="Arial Narrow" w:hAnsi="Arial Narrow" w:cs="Arial Narrow"/>
          <w:sz w:val="22"/>
          <w:szCs w:val="24"/>
        </w:rPr>
        <w:t> záchranný zbor</w:t>
      </w:r>
      <w:r w:rsidRPr="000A3E21">
        <w:rPr>
          <w:rFonts w:ascii="Arial Narrow" w:hAnsi="Arial Narrow" w:cs="Arial Narrow"/>
          <w:sz w:val="22"/>
          <w:szCs w:val="24"/>
        </w:rPr>
        <w:t>) uvažuje s povinným odvodom vo výške 8 % výberu z povinného zmluvného poistenia</w:t>
      </w:r>
      <w:r>
        <w:rPr>
          <w:rFonts w:ascii="Arial Narrow" w:hAnsi="Arial Narrow" w:cs="Arial Narrow"/>
          <w:sz w:val="22"/>
          <w:szCs w:val="24"/>
        </w:rPr>
        <w:t xml:space="preserve"> (ďalej len PZP)</w:t>
      </w:r>
      <w:r w:rsidRPr="000A3E21">
        <w:rPr>
          <w:rFonts w:ascii="Arial Narrow" w:hAnsi="Arial Narrow" w:cs="Arial Narrow"/>
          <w:sz w:val="22"/>
          <w:szCs w:val="24"/>
        </w:rPr>
        <w:t xml:space="preserve"> motorových vozidiel za predchádzajúci rok, určeným jednotkám polície a hasičským jednotkám na úhradu nákladov spojených s obstaraním materiálno-technického vybavenia, jeho údržbou a s prevádzkovaním a s výstavbou a vybavením koordinačných stredísk integrovaného záchranného systému a operačných stredísk tiesňového volania. V ďalších rokoch sa bude výška odvodu odvíjať od vývoja poistných sadzieb na PZP a počtu registrovaných automobilov. Tento rozsah by mal plne pokryť všetky nároky a požiadavky nielen pre Hasičský a záchranný zbor, ale aj pre Integrovaný záchranný systém. </w:t>
      </w:r>
    </w:p>
    <w:p w:rsidR="00312541" w:rsidRPr="000A3E21" w:rsidP="00312541">
      <w:pPr>
        <w:ind w:firstLine="708"/>
        <w:jc w:val="both"/>
        <w:rPr>
          <w:rFonts w:ascii="Arial Narrow" w:hAnsi="Arial Narrow" w:cs="Arial Narrow"/>
          <w:sz w:val="22"/>
          <w:szCs w:val="24"/>
        </w:rPr>
      </w:pPr>
    </w:p>
    <w:p w:rsidR="00312541" w:rsidRPr="000A3E21"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Prehľad o skutočnej </w:t>
      </w:r>
      <w:r>
        <w:rPr>
          <w:rFonts w:ascii="Arial Narrow" w:hAnsi="Arial Narrow" w:cs="Arial Narrow"/>
          <w:sz w:val="22"/>
          <w:szCs w:val="24"/>
        </w:rPr>
        <w:t>a predpokladanej výške odvodu z</w:t>
      </w:r>
      <w:r w:rsidRPr="000A3E21">
        <w:rPr>
          <w:rFonts w:ascii="Arial Narrow" w:hAnsi="Arial Narrow" w:cs="Arial Narrow"/>
          <w:sz w:val="22"/>
          <w:szCs w:val="24"/>
        </w:rPr>
        <w:t xml:space="preserve"> </w:t>
      </w:r>
      <w:r>
        <w:rPr>
          <w:rFonts w:ascii="Arial Narrow" w:hAnsi="Arial Narrow" w:cs="Arial Narrow"/>
          <w:sz w:val="22"/>
          <w:szCs w:val="24"/>
        </w:rPr>
        <w:t>PZP</w:t>
      </w:r>
      <w:r w:rsidRPr="000A3E21">
        <w:rPr>
          <w:rFonts w:ascii="Arial Narrow" w:hAnsi="Arial Narrow" w:cs="Arial Narrow"/>
          <w:sz w:val="22"/>
          <w:szCs w:val="24"/>
        </w:rPr>
        <w:t xml:space="preserve"> motorových vozidiel pre M</w:t>
      </w:r>
      <w:r>
        <w:rPr>
          <w:rFonts w:ascii="Arial Narrow" w:hAnsi="Arial Narrow" w:cs="Arial Narrow"/>
          <w:sz w:val="22"/>
          <w:szCs w:val="24"/>
        </w:rPr>
        <w:t>inisterstvo vnútra</w:t>
      </w:r>
      <w:r w:rsidRPr="000A3E21">
        <w:rPr>
          <w:rFonts w:ascii="Arial Narrow" w:hAnsi="Arial Narrow" w:cs="Arial Narrow"/>
          <w:sz w:val="22"/>
          <w:szCs w:val="24"/>
        </w:rPr>
        <w:t xml:space="preserve"> SR uvádza nasledovná tabuľka.</w:t>
      </w:r>
    </w:p>
    <w:p w:rsidR="00312541" w:rsidRPr="000A3E21" w:rsidP="00312541">
      <w:pPr>
        <w:ind w:firstLine="708"/>
        <w:jc w:val="both"/>
        <w:rPr>
          <w:rFonts w:ascii="Arial Narrow" w:hAnsi="Arial Narrow" w:cs="Arial Narrow"/>
          <w:sz w:val="22"/>
          <w:szCs w:val="24"/>
        </w:rPr>
      </w:pPr>
    </w:p>
    <w:tbl>
      <w:tblPr>
        <w:tblStyle w:val="TableNormal"/>
        <w:tblW w:w="918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809"/>
        <w:gridCol w:w="738"/>
        <w:gridCol w:w="738"/>
        <w:gridCol w:w="738"/>
        <w:gridCol w:w="738"/>
        <w:gridCol w:w="738"/>
        <w:gridCol w:w="738"/>
        <w:gridCol w:w="738"/>
        <w:gridCol w:w="738"/>
        <w:gridCol w:w="738"/>
        <w:gridCol w:w="738"/>
      </w:tblGrid>
      <w:tr>
        <w:tblPrEx>
          <w:tblW w:w="918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10"/>
        </w:trPr>
        <w:tc>
          <w:tcPr>
            <w:tcW w:w="1809"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rPr>
                <w:rFonts w:ascii="Arial Narrow" w:hAnsi="Arial Narrow" w:cs="Arial Narrow"/>
                <w:b/>
                <w:color w:val="FFFFFF"/>
                <w:sz w:val="20"/>
                <w:szCs w:val="24"/>
              </w:rPr>
            </w:pPr>
            <w:r w:rsidRPr="000A3E21">
              <w:rPr>
                <w:rFonts w:ascii="Arial Narrow" w:hAnsi="Arial Narrow" w:cs="Arial Narrow"/>
                <w:b/>
                <w:color w:val="FFFFFF"/>
                <w:sz w:val="20"/>
                <w:szCs w:val="24"/>
              </w:rPr>
              <w:t xml:space="preserve">(v tis. </w:t>
            </w:r>
            <w:r>
              <w:rPr>
                <w:rFonts w:ascii="Arial Narrow" w:hAnsi="Arial Narrow" w:cs="Arial Narrow"/>
                <w:b/>
                <w:color w:val="FFFFFF"/>
                <w:sz w:val="20"/>
                <w:szCs w:val="24"/>
              </w:rPr>
              <w:t>eur</w:t>
            </w:r>
            <w:r w:rsidRPr="000A3E21">
              <w:rPr>
                <w:rFonts w:ascii="Arial Narrow" w:hAnsi="Arial Narrow" w:cs="Arial Narrow"/>
                <w:b/>
                <w:color w:val="FFFFFF"/>
                <w:sz w:val="20"/>
                <w:szCs w:val="24"/>
              </w:rPr>
              <w:t>)</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2003S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2004S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2005S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2006S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2007S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2008S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2009</w:t>
            </w:r>
            <w:r>
              <w:rPr>
                <w:rFonts w:ascii="Arial Narrow" w:hAnsi="Arial Narrow" w:cs="Arial Narrow"/>
                <w:b/>
                <w:color w:val="FFFFFF"/>
                <w:sz w:val="20"/>
                <w:szCs w:val="24"/>
              </w:rPr>
              <w:t xml:space="preserve"> S</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2010P*</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0A3E21" w:rsidP="00A70AF6">
            <w:pPr>
              <w:jc w:val="center"/>
              <w:rPr>
                <w:rFonts w:ascii="Arial Narrow" w:hAnsi="Arial Narrow" w:cs="Arial Narrow"/>
                <w:b/>
                <w:color w:val="FFFFFF"/>
                <w:sz w:val="20"/>
                <w:szCs w:val="24"/>
              </w:rPr>
            </w:pPr>
            <w:r w:rsidRPr="000A3E21">
              <w:rPr>
                <w:rFonts w:ascii="Arial Narrow" w:hAnsi="Arial Narrow" w:cs="Arial Narrow"/>
                <w:b/>
                <w:color w:val="FFFFFF"/>
                <w:sz w:val="20"/>
                <w:szCs w:val="24"/>
              </w:rPr>
              <w:t>2011P*</w:t>
            </w:r>
          </w:p>
        </w:tc>
        <w:tc>
          <w:tcPr>
            <w:tcW w:w="738"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12541" w:rsidRPr="000A3E2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r w:rsidRPr="000A3E21">
              <w:rPr>
                <w:rFonts w:ascii="Arial Narrow" w:hAnsi="Arial Narrow" w:cs="Arial Narrow"/>
                <w:b/>
                <w:color w:val="FFFFFF"/>
                <w:sz w:val="20"/>
                <w:szCs w:val="24"/>
              </w:rPr>
              <w:t>P*</w:t>
            </w:r>
          </w:p>
        </w:tc>
      </w:tr>
      <w:tr>
        <w:tblPrEx>
          <w:tblW w:w="9189" w:type="dxa"/>
          <w:tblInd w:w="61" w:type="dxa"/>
          <w:tblLayout w:type="fixed"/>
          <w:tblCellMar>
            <w:left w:w="70" w:type="dxa"/>
            <w:right w:w="70" w:type="dxa"/>
          </w:tblCellMar>
        </w:tblPrEx>
        <w:trPr>
          <w:trHeight w:val="210"/>
        </w:trPr>
        <w:tc>
          <w:tcPr>
            <w:tcW w:w="1809"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rPr>
                <w:rFonts w:ascii="Arial Narrow" w:hAnsi="Arial Narrow" w:cs="Arial Narrow"/>
                <w:sz w:val="20"/>
                <w:szCs w:val="24"/>
              </w:rPr>
            </w:pPr>
            <w:r w:rsidRPr="000A3E21">
              <w:rPr>
                <w:rFonts w:ascii="Arial Narrow" w:hAnsi="Arial Narrow" w:cs="Arial Narrow"/>
                <w:sz w:val="20"/>
                <w:szCs w:val="24"/>
              </w:rPr>
              <w:t>odvod 8 % poistného</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jc w:val="right"/>
              <w:rPr>
                <w:rFonts w:ascii="Arial Narrow" w:hAnsi="Arial Narrow" w:cs="Arial Narrow"/>
                <w:sz w:val="20"/>
                <w:szCs w:val="24"/>
              </w:rPr>
            </w:pPr>
            <w:r w:rsidRPr="000A3E21">
              <w:rPr>
                <w:rFonts w:ascii="Arial Narrow" w:hAnsi="Arial Narrow" w:cs="Arial Narrow"/>
                <w:sz w:val="20"/>
                <w:szCs w:val="24"/>
              </w:rPr>
              <w:t>13 066</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jc w:val="right"/>
              <w:rPr>
                <w:rFonts w:ascii="Arial Narrow" w:hAnsi="Arial Narrow" w:cs="Arial Narrow"/>
                <w:sz w:val="20"/>
                <w:szCs w:val="24"/>
              </w:rPr>
            </w:pPr>
            <w:r w:rsidRPr="000A3E21">
              <w:rPr>
                <w:rFonts w:ascii="Arial Narrow" w:hAnsi="Arial Narrow" w:cs="Arial Narrow"/>
                <w:sz w:val="20"/>
                <w:szCs w:val="24"/>
              </w:rPr>
              <w:t xml:space="preserve">19 </w:t>
            </w:r>
            <w:r>
              <w:rPr>
                <w:rFonts w:ascii="Arial Narrow" w:hAnsi="Arial Narrow" w:cs="Arial Narrow"/>
                <w:sz w:val="20"/>
                <w:szCs w:val="24"/>
              </w:rPr>
              <w:t>637</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jc w:val="right"/>
              <w:rPr>
                <w:rFonts w:ascii="Arial Narrow" w:hAnsi="Arial Narrow" w:cs="Arial Narrow"/>
                <w:sz w:val="20"/>
                <w:szCs w:val="24"/>
              </w:rPr>
            </w:pPr>
            <w:r w:rsidRPr="000A3E21">
              <w:rPr>
                <w:rFonts w:ascii="Arial Narrow" w:hAnsi="Arial Narrow" w:cs="Arial Narrow"/>
                <w:sz w:val="20"/>
                <w:szCs w:val="24"/>
              </w:rPr>
              <w:t>22 873</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jc w:val="right"/>
              <w:rPr>
                <w:rFonts w:ascii="Arial Narrow" w:hAnsi="Arial Narrow" w:cs="Arial Narrow"/>
                <w:sz w:val="20"/>
                <w:szCs w:val="24"/>
              </w:rPr>
            </w:pPr>
            <w:r>
              <w:rPr>
                <w:rFonts w:ascii="Arial Narrow" w:hAnsi="Arial Narrow" w:cs="Arial Narrow"/>
                <w:sz w:val="20"/>
                <w:szCs w:val="24"/>
              </w:rPr>
              <w:t>23 468</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0A3E21" w:rsidP="00A70AF6">
            <w:pPr>
              <w:jc w:val="right"/>
              <w:rPr>
                <w:rFonts w:ascii="Arial Narrow" w:hAnsi="Arial Narrow" w:cs="Arial Narrow"/>
                <w:sz w:val="20"/>
                <w:szCs w:val="24"/>
              </w:rPr>
            </w:pPr>
            <w:r w:rsidRPr="000A3E21">
              <w:rPr>
                <w:rFonts w:ascii="Arial Narrow" w:hAnsi="Arial Narrow" w:cs="Arial Narrow"/>
                <w:sz w:val="20"/>
                <w:szCs w:val="24"/>
              </w:rPr>
              <w:t>24 2</w:t>
            </w:r>
            <w:r>
              <w:rPr>
                <w:rFonts w:ascii="Arial Narrow" w:hAnsi="Arial Narrow" w:cs="Arial Narrow"/>
                <w:sz w:val="20"/>
                <w:szCs w:val="24"/>
              </w:rPr>
              <w:t>62</w:t>
            </w:r>
          </w:p>
        </w:tc>
        <w:tc>
          <w:tcPr>
            <w:tcW w:w="738"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0A3E21" w:rsidP="00A70AF6">
            <w:pPr>
              <w:jc w:val="right"/>
              <w:rPr>
                <w:rFonts w:ascii="Arial Narrow" w:hAnsi="Arial Narrow" w:cs="Arial Narrow"/>
                <w:sz w:val="20"/>
                <w:szCs w:val="24"/>
              </w:rPr>
            </w:pPr>
            <w:r w:rsidRPr="000A3E21">
              <w:rPr>
                <w:rFonts w:ascii="Arial Narrow" w:hAnsi="Arial Narrow" w:cs="Arial Narrow"/>
                <w:sz w:val="20"/>
                <w:szCs w:val="24"/>
              </w:rPr>
              <w:t>24 278</w:t>
            </w:r>
          </w:p>
        </w:tc>
        <w:tc>
          <w:tcPr>
            <w:tcW w:w="738"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A45CBA" w:rsidP="00A70AF6">
            <w:pPr>
              <w:jc w:val="right"/>
              <w:rPr>
                <w:rFonts w:ascii="Arial Narrow" w:hAnsi="Arial Narrow" w:cs="Arial Narrow"/>
                <w:sz w:val="20"/>
                <w:szCs w:val="24"/>
              </w:rPr>
            </w:pPr>
            <w:r w:rsidRPr="00A45CBA">
              <w:rPr>
                <w:rFonts w:ascii="Arial Narrow" w:hAnsi="Arial Narrow" w:cs="Arial Narrow"/>
                <w:sz w:val="20"/>
                <w:szCs w:val="24"/>
              </w:rPr>
              <w:t>24 9</w:t>
            </w:r>
            <w:r>
              <w:rPr>
                <w:rFonts w:ascii="Arial Narrow" w:hAnsi="Arial Narrow" w:cs="Arial Narrow"/>
                <w:sz w:val="20"/>
                <w:szCs w:val="24"/>
              </w:rPr>
              <w:t>87</w:t>
            </w:r>
          </w:p>
        </w:tc>
        <w:tc>
          <w:tcPr>
            <w:tcW w:w="738"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BF54BA" w:rsidP="00A70AF6">
            <w:pPr>
              <w:jc w:val="right"/>
              <w:rPr>
                <w:rFonts w:ascii="Arial Narrow" w:hAnsi="Arial Narrow" w:cs="Arial Narrow"/>
                <w:sz w:val="20"/>
                <w:szCs w:val="24"/>
                <w:highlight w:val="yellow"/>
              </w:rPr>
            </w:pPr>
            <w:r w:rsidRPr="00824E54">
              <w:rPr>
                <w:rFonts w:ascii="Arial Narrow" w:hAnsi="Arial Narrow" w:cs="Arial Narrow"/>
                <w:sz w:val="20"/>
                <w:szCs w:val="24"/>
              </w:rPr>
              <w:t>24 895</w:t>
            </w:r>
          </w:p>
        </w:tc>
        <w:tc>
          <w:tcPr>
            <w:tcW w:w="738"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BF54BA" w:rsidP="00A70AF6">
            <w:pPr>
              <w:jc w:val="right"/>
              <w:rPr>
                <w:rFonts w:ascii="Arial Narrow" w:hAnsi="Arial Narrow" w:cs="Arial Narrow"/>
                <w:sz w:val="20"/>
                <w:szCs w:val="24"/>
                <w:highlight w:val="yellow"/>
              </w:rPr>
            </w:pPr>
            <w:r w:rsidRPr="00824E54">
              <w:rPr>
                <w:rFonts w:ascii="Arial Narrow" w:hAnsi="Arial Narrow" w:cs="Arial Narrow"/>
                <w:sz w:val="20"/>
                <w:szCs w:val="24"/>
              </w:rPr>
              <w:t>24 895</w:t>
            </w:r>
          </w:p>
        </w:tc>
        <w:tc>
          <w:tcPr>
            <w:tcW w:w="738" w:type="dxa"/>
            <w:tcBorders>
              <w:top w:val="single" w:sz="4" w:space="0" w:color="auto"/>
              <w:left w:val="single" w:sz="4" w:space="0" w:color="auto"/>
              <w:bottom w:val="single" w:sz="4" w:space="0" w:color="auto"/>
              <w:right w:val="single" w:sz="4" w:space="0" w:color="auto"/>
            </w:tcBorders>
            <w:textDirection w:val="lrTb"/>
            <w:vAlign w:val="bottom"/>
          </w:tcPr>
          <w:p w:rsidR="00312541" w:rsidRPr="00BF54BA" w:rsidP="00A70AF6">
            <w:pPr>
              <w:jc w:val="right"/>
              <w:rPr>
                <w:rFonts w:ascii="Arial Narrow" w:hAnsi="Arial Narrow" w:cs="Arial Narrow"/>
                <w:sz w:val="20"/>
                <w:szCs w:val="24"/>
                <w:highlight w:val="yellow"/>
              </w:rPr>
            </w:pPr>
            <w:r w:rsidRPr="00824E54">
              <w:rPr>
                <w:rFonts w:ascii="Arial Narrow" w:hAnsi="Arial Narrow" w:cs="Arial Narrow"/>
                <w:sz w:val="20"/>
                <w:szCs w:val="24"/>
              </w:rPr>
              <w:t>24 895</w:t>
            </w:r>
          </w:p>
        </w:tc>
      </w:tr>
    </w:tbl>
    <w:p w:rsidR="00312541" w:rsidRPr="000A3E21" w:rsidP="00312541">
      <w:pPr>
        <w:jc w:val="both"/>
        <w:rPr>
          <w:rFonts w:ascii="Arial Narrow" w:hAnsi="Arial Narrow" w:cs="Arial Narrow"/>
          <w:sz w:val="16"/>
          <w:szCs w:val="24"/>
        </w:rPr>
      </w:pPr>
      <w:r>
        <w:rPr>
          <w:rFonts w:ascii="Arial Narrow" w:hAnsi="Arial Narrow" w:cs="Arial Narrow"/>
          <w:sz w:val="16"/>
          <w:szCs w:val="24"/>
        </w:rPr>
        <w:t>* roky 2010 až 2012</w:t>
      </w:r>
      <w:r w:rsidRPr="000A3E21">
        <w:rPr>
          <w:rFonts w:ascii="Arial Narrow" w:hAnsi="Arial Narrow" w:cs="Arial Narrow"/>
          <w:sz w:val="16"/>
          <w:szCs w:val="24"/>
        </w:rPr>
        <w:t xml:space="preserve"> predstavujú predpoklad MF SR </w:t>
      </w:r>
    </w:p>
    <w:p w:rsidR="00312541" w:rsidRPr="000A3E21" w:rsidP="00312541">
      <w:pPr>
        <w:jc w:val="both"/>
        <w:rPr>
          <w:rFonts w:ascii="Arial Narrow" w:hAnsi="Arial Narrow" w:cs="Arial Narrow"/>
          <w:sz w:val="22"/>
          <w:szCs w:val="24"/>
        </w:rPr>
      </w:pPr>
    </w:p>
    <w:p w:rsidR="00312541" w:rsidRPr="00846A90" w:rsidP="00312541">
      <w:pPr>
        <w:ind w:firstLine="708"/>
        <w:jc w:val="both"/>
        <w:rPr>
          <w:rFonts w:ascii="Arial Narrow" w:hAnsi="Arial Narrow" w:cs="Arial Narrow"/>
          <w:sz w:val="22"/>
          <w:szCs w:val="24"/>
        </w:rPr>
      </w:pPr>
      <w:r w:rsidRPr="000A3E21">
        <w:rPr>
          <w:rFonts w:ascii="Arial Narrow" w:hAnsi="Arial Narrow" w:cs="Arial Narrow"/>
          <w:sz w:val="22"/>
          <w:szCs w:val="24"/>
        </w:rPr>
        <w:t xml:space="preserve">Návrh rozpočtu pre rozpočtovú kapitolu </w:t>
      </w:r>
      <w:r w:rsidRPr="000A3E21">
        <w:rPr>
          <w:rFonts w:ascii="Arial Narrow" w:hAnsi="Arial Narrow" w:cs="Arial Narrow"/>
          <w:b/>
          <w:sz w:val="22"/>
          <w:szCs w:val="24"/>
        </w:rPr>
        <w:t>Národný bezpečnostný úrad</w:t>
      </w:r>
      <w:r w:rsidRPr="000A3E21">
        <w:rPr>
          <w:rFonts w:ascii="Arial Narrow" w:hAnsi="Arial Narrow" w:cs="Arial Narrow"/>
          <w:sz w:val="22"/>
          <w:szCs w:val="24"/>
        </w:rPr>
        <w:t xml:space="preserve"> </w:t>
      </w:r>
      <w:r w:rsidRPr="000522B4">
        <w:rPr>
          <w:rFonts w:ascii="Arial Narrow" w:hAnsi="Arial Narrow" w:cs="Arial Narrow"/>
          <w:b/>
          <w:sz w:val="22"/>
          <w:szCs w:val="24"/>
        </w:rPr>
        <w:t>SR</w:t>
      </w:r>
      <w:r>
        <w:rPr>
          <w:rFonts w:ascii="Arial Narrow" w:hAnsi="Arial Narrow" w:cs="Arial Narrow"/>
          <w:sz w:val="22"/>
          <w:szCs w:val="24"/>
        </w:rPr>
        <w:t xml:space="preserve"> </w:t>
      </w:r>
      <w:r w:rsidRPr="000A3E21">
        <w:rPr>
          <w:rFonts w:ascii="Arial Narrow" w:hAnsi="Arial Narrow" w:cs="Arial Narrow"/>
          <w:sz w:val="22"/>
          <w:szCs w:val="24"/>
        </w:rPr>
        <w:t>umožní finančne zabezpečiť realizáciu úloh súvisiacich s ochranou utajovaných skutočností, bezpečnosťou komunikačných a informačných systémov a elektronick</w:t>
      </w:r>
      <w:r>
        <w:rPr>
          <w:rFonts w:ascii="Arial Narrow" w:hAnsi="Arial Narrow" w:cs="Arial Narrow"/>
          <w:sz w:val="22"/>
          <w:szCs w:val="24"/>
        </w:rPr>
        <w:t>ým podpisom. Výdavky v roku 2010</w:t>
      </w:r>
      <w:r w:rsidRPr="000A3E21">
        <w:rPr>
          <w:rFonts w:ascii="Arial Narrow" w:hAnsi="Arial Narrow" w:cs="Arial Narrow"/>
          <w:sz w:val="22"/>
          <w:szCs w:val="24"/>
        </w:rPr>
        <w:t xml:space="preserve"> </w:t>
      </w:r>
      <w:r>
        <w:rPr>
          <w:rFonts w:ascii="Arial Narrow" w:hAnsi="Arial Narrow" w:cs="Arial Narrow"/>
          <w:sz w:val="22"/>
          <w:szCs w:val="24"/>
        </w:rPr>
        <w:t>sa rozpočtujú v sume 8,80 mil. eur</w:t>
      </w:r>
      <w:r w:rsidRPr="000A3E21">
        <w:rPr>
          <w:rFonts w:ascii="Arial Narrow" w:hAnsi="Arial Narrow" w:cs="Arial Narrow"/>
          <w:sz w:val="22"/>
          <w:szCs w:val="24"/>
        </w:rPr>
        <w:t>. V rámci ochrany utajovaných skutočností sa zabezpečuje realizácia previerok personálnej a priemyselnej bezpečnosti, vykonávanie certifikačných procesov mechanických zábranných a technických zabezpečovacích prostriedkov na splnenie požadovanej úrovne zabezpečenia ochrany objektov, chránených priestorov a informácií, spracovávanie došlých utajovaných skutočností v rámci medzinárodnej spolupráce a metodické školenia pracovníkov registrov utajovaných skutočností. V oblasti bezpečnosti a komunikačných a informačných systémov sa rozpočtujú prostriedky na zvýšenie spoľahlivosti a funkčnosti integrovaného komunikačného systému pre ústavných a vládnych činiteľov, výskum a vývoj nových prostriedkov šifrovej ochrany informácií, certifikáciu prostriedkov šifrovej ochrany informácií a certifikáciu technických prostriedkov</w:t>
      </w:r>
      <w:r w:rsidRPr="00846A90">
        <w:rPr>
          <w:rFonts w:ascii="Arial Narrow" w:hAnsi="Arial Narrow" w:cs="Arial Narrow"/>
          <w:sz w:val="22"/>
          <w:szCs w:val="24"/>
        </w:rPr>
        <w:t xml:space="preserve"> potrebných na ochranu utajovaných skutočností. Cieľom plnenia úloh na úseku elektronického podpisu je </w:t>
      </w:r>
      <w:r>
        <w:rPr>
          <w:rFonts w:ascii="Arial Narrow" w:hAnsi="Arial Narrow" w:cs="Arial Narrow"/>
          <w:sz w:val="22"/>
          <w:szCs w:val="24"/>
        </w:rPr>
        <w:t>zabezpečovať dodržiavanie podmienok v zmysle zákona o elektronickom podpise</w:t>
      </w:r>
      <w:r w:rsidRPr="00846A90">
        <w:rPr>
          <w:rFonts w:ascii="Arial Narrow" w:hAnsi="Arial Narrow" w:cs="Arial Narrow"/>
          <w:sz w:val="22"/>
          <w:szCs w:val="24"/>
        </w:rPr>
        <w:t xml:space="preserve"> na </w:t>
      </w:r>
      <w:r>
        <w:rPr>
          <w:rFonts w:ascii="Arial Narrow" w:hAnsi="Arial Narrow" w:cs="Arial Narrow"/>
          <w:sz w:val="22"/>
          <w:szCs w:val="24"/>
        </w:rPr>
        <w:t xml:space="preserve">používanie elektronického podpisu a zaručeného elektronického podpisu </w:t>
      </w:r>
      <w:r w:rsidRPr="00846A90">
        <w:rPr>
          <w:rFonts w:ascii="Arial Narrow" w:hAnsi="Arial Narrow" w:cs="Arial Narrow"/>
          <w:sz w:val="22"/>
          <w:szCs w:val="24"/>
        </w:rPr>
        <w:t xml:space="preserve">s cieľom </w:t>
      </w:r>
      <w:r>
        <w:rPr>
          <w:rFonts w:ascii="Arial Narrow" w:hAnsi="Arial Narrow" w:cs="Arial Narrow"/>
          <w:sz w:val="22"/>
          <w:szCs w:val="24"/>
        </w:rPr>
        <w:t xml:space="preserve">zefektívnenia, zjednodušenia a urýchlenia </w:t>
      </w:r>
      <w:r w:rsidRPr="00846A90">
        <w:rPr>
          <w:rFonts w:ascii="Arial Narrow" w:hAnsi="Arial Narrow" w:cs="Arial Narrow"/>
          <w:sz w:val="22"/>
          <w:szCs w:val="24"/>
        </w:rPr>
        <w:t xml:space="preserve">poskytovania služieb </w:t>
      </w:r>
      <w:r>
        <w:rPr>
          <w:rFonts w:ascii="Arial Narrow" w:hAnsi="Arial Narrow" w:cs="Arial Narrow"/>
          <w:sz w:val="22"/>
          <w:szCs w:val="24"/>
        </w:rPr>
        <w:t>fyzickým a právnickým osobám</w:t>
      </w:r>
      <w:r w:rsidRPr="00846A90">
        <w:rPr>
          <w:rFonts w:ascii="Arial Narrow" w:hAnsi="Arial Narrow" w:cs="Arial Narrow"/>
          <w:sz w:val="22"/>
          <w:szCs w:val="24"/>
        </w:rPr>
        <w:t xml:space="preserve"> elektronickou formou.</w:t>
      </w:r>
    </w:p>
    <w:p w:rsidR="00312541" w:rsidRPr="00846A90" w:rsidP="00312541">
      <w:pPr>
        <w:jc w:val="both"/>
        <w:rPr>
          <w:rFonts w:ascii="Arial Narrow" w:hAnsi="Arial Narrow" w:cs="Arial Narrow"/>
          <w:sz w:val="22"/>
          <w:szCs w:val="24"/>
        </w:rPr>
      </w:pPr>
    </w:p>
    <w:p w:rsidR="00312541" w:rsidRPr="00846A90" w:rsidP="00312541">
      <w:pPr>
        <w:ind w:firstLine="708"/>
        <w:jc w:val="both"/>
        <w:rPr>
          <w:rFonts w:ascii="Arial Narrow" w:hAnsi="Arial Narrow" w:cs="Arial Narrow"/>
          <w:sz w:val="22"/>
          <w:szCs w:val="24"/>
        </w:rPr>
      </w:pPr>
      <w:r w:rsidRPr="00846A90">
        <w:rPr>
          <w:rFonts w:ascii="Arial Narrow" w:hAnsi="Arial Narrow" w:cs="Arial Narrow"/>
          <w:sz w:val="22"/>
          <w:szCs w:val="24"/>
        </w:rPr>
        <w:t xml:space="preserve">Rozpočet výdavkov rozpočtovej kapitoly </w:t>
      </w:r>
      <w:r w:rsidRPr="00846A90">
        <w:rPr>
          <w:rFonts w:ascii="Arial Narrow" w:hAnsi="Arial Narrow" w:cs="Arial Narrow"/>
          <w:b/>
          <w:sz w:val="22"/>
          <w:szCs w:val="24"/>
        </w:rPr>
        <w:t>Slovenská informačná služba</w:t>
      </w:r>
      <w:r w:rsidRPr="00846A90">
        <w:rPr>
          <w:rFonts w:ascii="Arial Narrow" w:hAnsi="Arial Narrow" w:cs="Arial Narrow"/>
          <w:sz w:val="22"/>
          <w:szCs w:val="24"/>
        </w:rPr>
        <w:t xml:space="preserve"> </w:t>
      </w:r>
      <w:r>
        <w:rPr>
          <w:rFonts w:ascii="Arial Narrow" w:hAnsi="Arial Narrow" w:cs="Arial Narrow"/>
          <w:sz w:val="22"/>
          <w:szCs w:val="24"/>
        </w:rPr>
        <w:t xml:space="preserve">v sume 43,3 mil. eur </w:t>
      </w:r>
      <w:r w:rsidRPr="00846A90">
        <w:rPr>
          <w:rFonts w:ascii="Arial Narrow" w:hAnsi="Arial Narrow" w:cs="Arial Narrow"/>
          <w:sz w:val="22"/>
          <w:szCs w:val="24"/>
        </w:rPr>
        <w:t xml:space="preserve">zabezpečí pokrytie bežných prevádzkových výdavkov súvisiacich s hlavnou činnosťou kapitoly </w:t>
      </w:r>
      <w:r>
        <w:rPr>
          <w:rFonts w:ascii="Arial Narrow" w:hAnsi="Arial Narrow" w:cs="Arial Narrow"/>
          <w:sz w:val="22"/>
          <w:szCs w:val="24"/>
        </w:rPr>
        <w:t>(</w:t>
      </w:r>
      <w:r w:rsidRPr="00846A90">
        <w:rPr>
          <w:rFonts w:ascii="Arial Narrow" w:hAnsi="Arial Narrow" w:cs="Arial Narrow"/>
          <w:sz w:val="22"/>
          <w:szCs w:val="24"/>
        </w:rPr>
        <w:t>zab</w:t>
      </w:r>
      <w:r>
        <w:rPr>
          <w:rFonts w:ascii="Arial Narrow" w:hAnsi="Arial Narrow" w:cs="Arial Narrow"/>
          <w:sz w:val="22"/>
          <w:szCs w:val="24"/>
        </w:rPr>
        <w:t>ezpečenie platových náležitostí</w:t>
      </w:r>
      <w:r w:rsidRPr="00846A90">
        <w:rPr>
          <w:rFonts w:ascii="Arial Narrow" w:hAnsi="Arial Narrow" w:cs="Arial Narrow"/>
          <w:sz w:val="22"/>
          <w:szCs w:val="24"/>
        </w:rPr>
        <w:t xml:space="preserve"> vrátane zahraničnej služby a príslušného poistného pre zamestnancov služby, prevádzkové výdavky, úhrady energií a zákonné nároky príslušník</w:t>
      </w:r>
      <w:r>
        <w:rPr>
          <w:rFonts w:ascii="Arial Narrow" w:hAnsi="Arial Narrow" w:cs="Arial Narrow"/>
          <w:sz w:val="22"/>
          <w:szCs w:val="24"/>
        </w:rPr>
        <w:t xml:space="preserve">ov SIS) </w:t>
      </w:r>
      <w:r w:rsidRPr="00846A90">
        <w:rPr>
          <w:rFonts w:ascii="Arial Narrow" w:hAnsi="Arial Narrow" w:cs="Arial Narrow"/>
          <w:sz w:val="22"/>
          <w:szCs w:val="24"/>
        </w:rPr>
        <w:t xml:space="preserve">a realizáciu </w:t>
      </w:r>
      <w:r>
        <w:rPr>
          <w:rFonts w:ascii="Arial Narrow" w:hAnsi="Arial Narrow" w:cs="Arial Narrow"/>
          <w:sz w:val="22"/>
          <w:szCs w:val="24"/>
        </w:rPr>
        <w:t>nevyhnutných</w:t>
      </w:r>
      <w:r w:rsidRPr="00846A90">
        <w:rPr>
          <w:rFonts w:ascii="Arial Narrow" w:hAnsi="Arial Narrow" w:cs="Arial Narrow"/>
          <w:sz w:val="22"/>
          <w:szCs w:val="24"/>
        </w:rPr>
        <w:t xml:space="preserve"> rozvojových projektov. </w:t>
      </w:r>
    </w:p>
    <w:p w:rsidR="00312541" w:rsidP="00312541">
      <w:pPr>
        <w:rPr>
          <w:szCs w:val="24"/>
        </w:rPr>
      </w:pPr>
    </w:p>
    <w:p w:rsidR="00ED680D" w:rsidP="00312541">
      <w:pPr>
        <w:rPr>
          <w:szCs w:val="24"/>
        </w:rPr>
      </w:pPr>
    </w:p>
    <w:p w:rsidR="00ED680D" w:rsidP="00312541">
      <w:pPr>
        <w:rPr>
          <w:szCs w:val="24"/>
        </w:rPr>
      </w:pPr>
    </w:p>
    <w:p w:rsidR="00ED680D" w:rsidP="00312541">
      <w:pPr>
        <w:rPr>
          <w:szCs w:val="24"/>
        </w:rPr>
      </w:pPr>
    </w:p>
    <w:p w:rsidR="00312541" w:rsidRPr="00846A90" w:rsidP="00312541">
      <w:pPr>
        <w:jc w:val="both"/>
        <w:rPr>
          <w:rFonts w:ascii="Arial Narrow" w:hAnsi="Arial Narrow" w:cs="Arial Narrow"/>
          <w:b/>
          <w:sz w:val="22"/>
          <w:szCs w:val="24"/>
        </w:rPr>
      </w:pPr>
      <w:r w:rsidRPr="00846A90">
        <w:rPr>
          <w:rFonts w:ascii="Arial Narrow" w:hAnsi="Arial Narrow" w:cs="Arial Narrow"/>
          <w:b/>
          <w:sz w:val="22"/>
          <w:szCs w:val="24"/>
        </w:rPr>
        <w:t>Verejná správa</w:t>
      </w:r>
    </w:p>
    <w:p w:rsidR="00312541" w:rsidRPr="00846A90" w:rsidP="00312541">
      <w:pPr>
        <w:jc w:val="both"/>
        <w:rPr>
          <w:rFonts w:ascii="Arial Narrow" w:hAnsi="Arial Narrow" w:cs="Arial Narrow"/>
          <w:b/>
          <w:sz w:val="22"/>
          <w:szCs w:val="24"/>
        </w:rPr>
      </w:pPr>
    </w:p>
    <w:tbl>
      <w:tblPr>
        <w:tblStyle w:val="TableNormal"/>
        <w:tblW w:w="9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600"/>
        <w:gridCol w:w="1412"/>
        <w:gridCol w:w="1413"/>
        <w:gridCol w:w="1412"/>
        <w:gridCol w:w="1413"/>
      </w:tblGrid>
      <w:tr>
        <w:tblPrEx>
          <w:tblW w:w="92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25"/>
        </w:trPr>
        <w:tc>
          <w:tcPr>
            <w:tcW w:w="3600"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rPr>
                <w:rFonts w:ascii="Arial Narrow" w:hAnsi="Arial Narrow" w:cs="Arial Narrow"/>
                <w:b/>
                <w:color w:val="FFFFFF"/>
                <w:sz w:val="20"/>
                <w:szCs w:val="24"/>
              </w:rPr>
            </w:pPr>
            <w:r w:rsidRPr="0012379F">
              <w:rPr>
                <w:rFonts w:ascii="Arial Narrow" w:hAnsi="Arial Narrow" w:cs="Arial Narrow"/>
                <w:b/>
                <w:color w:val="FFFFFF"/>
                <w:sz w:val="20"/>
                <w:szCs w:val="24"/>
              </w:rPr>
              <w:t xml:space="preserve"> (v tis. </w:t>
            </w:r>
            <w:r>
              <w:rPr>
                <w:rFonts w:ascii="Arial Narrow" w:hAnsi="Arial Narrow" w:cs="Arial Narrow"/>
                <w:b/>
                <w:color w:val="FFFFFF"/>
                <w:sz w:val="20"/>
                <w:szCs w:val="24"/>
              </w:rPr>
              <w:t>eur</w:t>
            </w:r>
            <w:r w:rsidRPr="0012379F">
              <w:rPr>
                <w:rFonts w:ascii="Arial Narrow" w:hAnsi="Arial Narrow" w:cs="Arial Narrow"/>
                <w:b/>
                <w:color w:val="FFFFFF"/>
                <w:sz w:val="20"/>
                <w:szCs w:val="24"/>
              </w:rPr>
              <w:t>)</w:t>
            </w:r>
          </w:p>
        </w:tc>
        <w:tc>
          <w:tcPr>
            <w:tcW w:w="1412"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1413"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1412"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RPr="0012379F"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1413"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9250" w:type="dxa"/>
          <w:tblInd w:w="0" w:type="dxa"/>
          <w:tblLayout w:type="fixed"/>
          <w:tblCellMar>
            <w:left w:w="70" w:type="dxa"/>
            <w:right w:w="70" w:type="dxa"/>
          </w:tblCellMar>
        </w:tblPrEx>
        <w:trPr>
          <w:trHeight w:val="225"/>
        </w:trPr>
        <w:tc>
          <w:tcPr>
            <w:tcW w:w="360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A7C86" w:rsidP="00A70AF6">
            <w:pPr>
              <w:rPr>
                <w:rFonts w:ascii="Arial Narrow" w:hAnsi="Arial Narrow" w:cs="Arial Narrow"/>
                <w:sz w:val="20"/>
                <w:szCs w:val="24"/>
              </w:rPr>
            </w:pPr>
            <w:r w:rsidRPr="005A7C86">
              <w:rPr>
                <w:rFonts w:ascii="Arial Narrow" w:hAnsi="Arial Narrow" w:cs="Arial Narrow"/>
                <w:sz w:val="20"/>
                <w:szCs w:val="24"/>
              </w:rPr>
              <w:t>Riadenie a výkon obvodných úradov</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DC4A60" w:rsidP="00A70AF6">
            <w:pPr>
              <w:jc w:val="right"/>
              <w:rPr>
                <w:rFonts w:ascii="Arial Narrow" w:hAnsi="Arial Narrow" w:cs="Arial Narrow"/>
                <w:sz w:val="20"/>
                <w:szCs w:val="24"/>
              </w:rPr>
            </w:pPr>
            <w:r w:rsidRPr="00DC4A60">
              <w:rPr>
                <w:rFonts w:ascii="Arial Narrow" w:hAnsi="Arial Narrow" w:cs="Arial Narrow"/>
                <w:sz w:val="20"/>
                <w:szCs w:val="24"/>
              </w:rPr>
              <w:t xml:space="preserve">56 </w:t>
            </w:r>
            <w:r>
              <w:rPr>
                <w:rFonts w:ascii="Arial Narrow" w:hAnsi="Arial Narrow" w:cs="Arial Narrow"/>
                <w:sz w:val="20"/>
                <w:szCs w:val="24"/>
              </w:rPr>
              <w:t>909</w:t>
            </w:r>
          </w:p>
        </w:tc>
        <w:tc>
          <w:tcPr>
            <w:tcW w:w="1413"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C446DA" w:rsidP="00A70AF6">
            <w:pPr>
              <w:jc w:val="right"/>
              <w:rPr>
                <w:rFonts w:ascii="Arial Narrow" w:hAnsi="Arial Narrow" w:cs="Arial Narrow"/>
                <w:sz w:val="20"/>
                <w:szCs w:val="24"/>
              </w:rPr>
            </w:pPr>
            <w:r w:rsidRPr="00C446DA">
              <w:rPr>
                <w:rFonts w:ascii="Arial Narrow" w:hAnsi="Arial Narrow" w:cs="Arial Narrow"/>
                <w:sz w:val="20"/>
                <w:szCs w:val="24"/>
              </w:rPr>
              <w:t xml:space="preserve">49 </w:t>
            </w:r>
            <w:r>
              <w:rPr>
                <w:rFonts w:ascii="Arial Narrow" w:hAnsi="Arial Narrow" w:cs="Arial Narrow"/>
                <w:sz w:val="20"/>
                <w:szCs w:val="24"/>
              </w:rPr>
              <w:t>965</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8C1301" w:rsidP="00A70AF6">
            <w:pPr>
              <w:jc w:val="right"/>
              <w:rPr>
                <w:rFonts w:ascii="Arial Narrow" w:hAnsi="Arial Narrow" w:cs="Arial Narrow"/>
                <w:sz w:val="20"/>
                <w:szCs w:val="24"/>
              </w:rPr>
            </w:pPr>
            <w:r>
              <w:rPr>
                <w:rFonts w:ascii="Arial Narrow" w:hAnsi="Arial Narrow" w:cs="Arial Narrow"/>
                <w:sz w:val="20"/>
                <w:szCs w:val="24"/>
              </w:rPr>
              <w:t>50 070</w:t>
            </w:r>
          </w:p>
        </w:tc>
        <w:tc>
          <w:tcPr>
            <w:tcW w:w="1413" w:type="dxa"/>
            <w:tcBorders>
              <w:top w:val="single" w:sz="4" w:space="0" w:color="auto"/>
              <w:left w:val="single" w:sz="4" w:space="0" w:color="auto"/>
              <w:bottom w:val="single" w:sz="4" w:space="0" w:color="auto"/>
              <w:right w:val="single" w:sz="4" w:space="0" w:color="auto"/>
            </w:tcBorders>
            <w:textDirection w:val="lrTb"/>
            <w:vAlign w:val="bottom"/>
          </w:tcPr>
          <w:p w:rsidR="00312541" w:rsidRPr="008C1301" w:rsidP="00A70AF6">
            <w:pPr>
              <w:jc w:val="right"/>
              <w:rPr>
                <w:rFonts w:ascii="Arial Narrow" w:hAnsi="Arial Narrow" w:cs="Arial Narrow"/>
                <w:sz w:val="20"/>
                <w:szCs w:val="24"/>
              </w:rPr>
            </w:pPr>
            <w:r>
              <w:rPr>
                <w:rFonts w:ascii="Arial Narrow" w:hAnsi="Arial Narrow" w:cs="Arial Narrow"/>
                <w:sz w:val="20"/>
                <w:szCs w:val="24"/>
              </w:rPr>
              <w:t>50 076</w:t>
            </w:r>
          </w:p>
        </w:tc>
      </w:tr>
      <w:tr>
        <w:tblPrEx>
          <w:tblW w:w="9250" w:type="dxa"/>
          <w:tblInd w:w="0" w:type="dxa"/>
          <w:tblLayout w:type="fixed"/>
          <w:tblCellMar>
            <w:left w:w="70" w:type="dxa"/>
            <w:right w:w="70" w:type="dxa"/>
          </w:tblCellMar>
        </w:tblPrEx>
        <w:trPr>
          <w:trHeight w:val="225"/>
        </w:trPr>
        <w:tc>
          <w:tcPr>
            <w:tcW w:w="360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A7C86" w:rsidP="00A70AF6">
            <w:pPr>
              <w:rPr>
                <w:rFonts w:ascii="Arial Narrow" w:hAnsi="Arial Narrow" w:cs="Arial Narrow"/>
                <w:sz w:val="20"/>
                <w:szCs w:val="24"/>
              </w:rPr>
            </w:pPr>
            <w:r w:rsidRPr="005A7C86">
              <w:rPr>
                <w:rFonts w:ascii="Arial Narrow" w:hAnsi="Arial Narrow" w:cs="Arial Narrow"/>
                <w:sz w:val="20"/>
                <w:szCs w:val="24"/>
              </w:rPr>
              <w:t>Archívnictvo</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DC4A60" w:rsidP="00A70AF6">
            <w:pPr>
              <w:jc w:val="right"/>
              <w:rPr>
                <w:rFonts w:ascii="Arial Narrow" w:hAnsi="Arial Narrow" w:cs="Arial Narrow"/>
                <w:sz w:val="20"/>
                <w:szCs w:val="24"/>
              </w:rPr>
            </w:pPr>
            <w:r>
              <w:rPr>
                <w:rFonts w:ascii="Arial Narrow" w:hAnsi="Arial Narrow" w:cs="Arial Narrow"/>
                <w:sz w:val="20"/>
                <w:szCs w:val="24"/>
              </w:rPr>
              <w:t>8 914</w:t>
            </w:r>
          </w:p>
        </w:tc>
        <w:tc>
          <w:tcPr>
            <w:tcW w:w="1413"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C446DA" w:rsidP="00A70AF6">
            <w:pPr>
              <w:jc w:val="right"/>
              <w:rPr>
                <w:rFonts w:ascii="Arial Narrow" w:hAnsi="Arial Narrow" w:cs="Arial Narrow"/>
                <w:sz w:val="20"/>
                <w:szCs w:val="24"/>
              </w:rPr>
            </w:pPr>
            <w:r w:rsidRPr="00C446DA">
              <w:rPr>
                <w:rFonts w:ascii="Arial Narrow" w:hAnsi="Arial Narrow" w:cs="Arial Narrow"/>
                <w:sz w:val="20"/>
                <w:szCs w:val="24"/>
              </w:rPr>
              <w:t xml:space="preserve">7 </w:t>
            </w:r>
            <w:r>
              <w:rPr>
                <w:rFonts w:ascii="Arial Narrow" w:hAnsi="Arial Narrow" w:cs="Arial Narrow"/>
                <w:sz w:val="20"/>
                <w:szCs w:val="24"/>
              </w:rPr>
              <w:t>756</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8C1301" w:rsidP="00A70AF6">
            <w:pPr>
              <w:jc w:val="right"/>
              <w:rPr>
                <w:rFonts w:ascii="Arial Narrow" w:hAnsi="Arial Narrow" w:cs="Arial Narrow"/>
                <w:sz w:val="20"/>
                <w:szCs w:val="24"/>
              </w:rPr>
            </w:pPr>
            <w:r>
              <w:rPr>
                <w:rFonts w:ascii="Arial Narrow" w:hAnsi="Arial Narrow" w:cs="Arial Narrow"/>
                <w:sz w:val="20"/>
                <w:szCs w:val="24"/>
              </w:rPr>
              <w:t>7 756</w:t>
            </w:r>
          </w:p>
        </w:tc>
        <w:tc>
          <w:tcPr>
            <w:tcW w:w="1413" w:type="dxa"/>
            <w:tcBorders>
              <w:top w:val="single" w:sz="4" w:space="0" w:color="auto"/>
              <w:left w:val="single" w:sz="4" w:space="0" w:color="auto"/>
              <w:bottom w:val="single" w:sz="4" w:space="0" w:color="auto"/>
              <w:right w:val="single" w:sz="4" w:space="0" w:color="auto"/>
            </w:tcBorders>
            <w:textDirection w:val="lrTb"/>
            <w:vAlign w:val="bottom"/>
          </w:tcPr>
          <w:p w:rsidR="00312541" w:rsidRPr="008C1301" w:rsidP="00A70AF6">
            <w:pPr>
              <w:jc w:val="right"/>
              <w:rPr>
                <w:rFonts w:ascii="Arial Narrow" w:hAnsi="Arial Narrow" w:cs="Arial Narrow"/>
                <w:sz w:val="20"/>
                <w:szCs w:val="24"/>
              </w:rPr>
            </w:pPr>
            <w:r>
              <w:rPr>
                <w:rFonts w:ascii="Arial Narrow" w:hAnsi="Arial Narrow" w:cs="Arial Narrow"/>
                <w:sz w:val="20"/>
                <w:szCs w:val="24"/>
              </w:rPr>
              <w:t>7 756</w:t>
            </w:r>
          </w:p>
        </w:tc>
      </w:tr>
      <w:tr>
        <w:tblPrEx>
          <w:tblW w:w="9250" w:type="dxa"/>
          <w:tblInd w:w="0" w:type="dxa"/>
          <w:tblLayout w:type="fixed"/>
          <w:tblCellMar>
            <w:left w:w="70" w:type="dxa"/>
            <w:right w:w="70" w:type="dxa"/>
          </w:tblCellMar>
        </w:tblPrEx>
        <w:trPr>
          <w:trHeight w:val="225"/>
        </w:trPr>
        <w:tc>
          <w:tcPr>
            <w:tcW w:w="3600"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A7C86" w:rsidP="00A70AF6">
            <w:pPr>
              <w:rPr>
                <w:rFonts w:ascii="Arial Narrow" w:hAnsi="Arial Narrow" w:cs="Arial Narrow"/>
                <w:sz w:val="20"/>
                <w:szCs w:val="24"/>
              </w:rPr>
            </w:pPr>
            <w:r w:rsidRPr="005A7C86">
              <w:rPr>
                <w:rFonts w:ascii="Arial Narrow" w:hAnsi="Arial Narrow" w:cs="Arial Narrow"/>
                <w:sz w:val="20"/>
                <w:szCs w:val="24"/>
              </w:rPr>
              <w:t>Voľby</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DC4A60" w:rsidP="00A70AF6">
            <w:pPr>
              <w:jc w:val="right"/>
              <w:rPr>
                <w:rFonts w:ascii="Arial Narrow" w:hAnsi="Arial Narrow" w:cs="Arial Narrow"/>
                <w:sz w:val="20"/>
                <w:szCs w:val="24"/>
              </w:rPr>
            </w:pPr>
            <w:r w:rsidRPr="00DC4A60">
              <w:rPr>
                <w:rFonts w:ascii="Arial Narrow" w:hAnsi="Arial Narrow" w:cs="Arial Narrow"/>
                <w:sz w:val="20"/>
                <w:szCs w:val="24"/>
              </w:rPr>
              <w:t>22 848</w:t>
            </w:r>
          </w:p>
        </w:tc>
        <w:tc>
          <w:tcPr>
            <w:tcW w:w="1413"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C446DA" w:rsidP="00A70AF6">
            <w:pPr>
              <w:jc w:val="right"/>
              <w:rPr>
                <w:rFonts w:ascii="Arial Narrow" w:hAnsi="Arial Narrow" w:cs="Arial Narrow"/>
                <w:sz w:val="20"/>
                <w:szCs w:val="24"/>
              </w:rPr>
            </w:pPr>
            <w:r w:rsidRPr="00C446DA">
              <w:rPr>
                <w:rFonts w:ascii="Arial Narrow" w:hAnsi="Arial Narrow" w:cs="Arial Narrow"/>
                <w:sz w:val="20"/>
                <w:szCs w:val="24"/>
              </w:rPr>
              <w:t>16 082</w:t>
            </w:r>
          </w:p>
        </w:tc>
        <w:tc>
          <w:tcPr>
            <w:tcW w:w="1412"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8C1301" w:rsidP="00A70AF6">
            <w:pPr>
              <w:jc w:val="right"/>
              <w:rPr>
                <w:rFonts w:ascii="Arial Narrow" w:hAnsi="Arial Narrow" w:cs="Arial Narrow"/>
                <w:sz w:val="20"/>
                <w:szCs w:val="24"/>
              </w:rPr>
            </w:pPr>
            <w:r w:rsidRPr="008C1301">
              <w:rPr>
                <w:rFonts w:ascii="Arial Narrow" w:hAnsi="Arial Narrow" w:cs="Arial Narrow"/>
                <w:sz w:val="20"/>
                <w:szCs w:val="24"/>
              </w:rPr>
              <w:t>797</w:t>
            </w:r>
          </w:p>
        </w:tc>
        <w:tc>
          <w:tcPr>
            <w:tcW w:w="1413" w:type="dxa"/>
            <w:tcBorders>
              <w:top w:val="single" w:sz="4" w:space="0" w:color="auto"/>
              <w:left w:val="single" w:sz="4" w:space="0" w:color="auto"/>
              <w:bottom w:val="single" w:sz="4" w:space="0" w:color="auto"/>
              <w:right w:val="single" w:sz="4" w:space="0" w:color="auto"/>
            </w:tcBorders>
            <w:textDirection w:val="lrTb"/>
            <w:vAlign w:val="bottom"/>
          </w:tcPr>
          <w:p w:rsidR="00312541" w:rsidRPr="008C1301" w:rsidP="00A70AF6">
            <w:pPr>
              <w:jc w:val="right"/>
              <w:rPr>
                <w:rFonts w:ascii="Arial Narrow" w:hAnsi="Arial Narrow" w:cs="Arial Narrow"/>
                <w:sz w:val="20"/>
                <w:szCs w:val="24"/>
              </w:rPr>
            </w:pPr>
            <w:r w:rsidRPr="008C1301">
              <w:rPr>
                <w:rFonts w:ascii="Arial Narrow" w:hAnsi="Arial Narrow" w:cs="Arial Narrow"/>
                <w:sz w:val="20"/>
                <w:szCs w:val="24"/>
              </w:rPr>
              <w:t>465</w:t>
            </w:r>
          </w:p>
        </w:tc>
      </w:tr>
      <w:tr>
        <w:tblPrEx>
          <w:tblW w:w="9250" w:type="dxa"/>
          <w:tblInd w:w="0" w:type="dxa"/>
          <w:tblLayout w:type="fixed"/>
          <w:tblCellMar>
            <w:left w:w="70" w:type="dxa"/>
            <w:right w:w="70" w:type="dxa"/>
          </w:tblCellMar>
        </w:tblPrEx>
        <w:trPr>
          <w:trHeight w:val="225"/>
        </w:trPr>
        <w:tc>
          <w:tcPr>
            <w:tcW w:w="36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5A7C86" w:rsidP="00A70AF6">
            <w:pPr>
              <w:rPr>
                <w:rFonts w:ascii="Arial Narrow" w:hAnsi="Arial Narrow" w:cs="Arial Narrow"/>
                <w:b/>
                <w:sz w:val="20"/>
                <w:szCs w:val="24"/>
              </w:rPr>
            </w:pPr>
            <w:r w:rsidRPr="005A7C86">
              <w:rPr>
                <w:rFonts w:ascii="Arial Narrow" w:hAnsi="Arial Narrow" w:cs="Arial Narrow"/>
                <w:b/>
                <w:sz w:val="20"/>
                <w:szCs w:val="24"/>
              </w:rPr>
              <w:t>Výdavky na verejnú správu spolu</w:t>
            </w:r>
          </w:p>
        </w:tc>
        <w:tc>
          <w:tcPr>
            <w:tcW w:w="14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DC4A60" w:rsidP="00A70AF6">
            <w:pPr>
              <w:jc w:val="right"/>
              <w:rPr>
                <w:rFonts w:ascii="Arial Narrow" w:hAnsi="Arial Narrow" w:cs="Arial Narrow"/>
                <w:b/>
                <w:sz w:val="20"/>
                <w:szCs w:val="24"/>
              </w:rPr>
            </w:pPr>
            <w:r w:rsidRPr="00DC4A60">
              <w:rPr>
                <w:rFonts w:ascii="Arial Narrow" w:hAnsi="Arial Narrow" w:cs="Arial Narrow"/>
                <w:b/>
                <w:sz w:val="20"/>
                <w:szCs w:val="24"/>
              </w:rPr>
              <w:t>88 671</w:t>
            </w:r>
          </w:p>
        </w:tc>
        <w:tc>
          <w:tcPr>
            <w:tcW w:w="1413"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C446DA" w:rsidP="00A70AF6">
            <w:pPr>
              <w:jc w:val="right"/>
              <w:rPr>
                <w:rFonts w:ascii="Arial Narrow" w:hAnsi="Arial Narrow" w:cs="Arial Narrow"/>
                <w:b/>
                <w:sz w:val="20"/>
                <w:szCs w:val="24"/>
              </w:rPr>
            </w:pPr>
            <w:r>
              <w:rPr>
                <w:rFonts w:ascii="Arial Narrow" w:hAnsi="Arial Narrow" w:cs="Arial Narrow"/>
                <w:b/>
                <w:sz w:val="20"/>
                <w:szCs w:val="24"/>
              </w:rPr>
              <w:t>73 803</w:t>
            </w:r>
          </w:p>
        </w:tc>
        <w:tc>
          <w:tcPr>
            <w:tcW w:w="1412"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8C1301" w:rsidP="00A70AF6">
            <w:pPr>
              <w:jc w:val="right"/>
              <w:rPr>
                <w:rFonts w:ascii="Arial Narrow" w:hAnsi="Arial Narrow" w:cs="Arial Narrow"/>
                <w:b/>
                <w:sz w:val="20"/>
                <w:szCs w:val="24"/>
              </w:rPr>
            </w:pPr>
            <w:r>
              <w:rPr>
                <w:rFonts w:ascii="Arial Narrow" w:hAnsi="Arial Narrow" w:cs="Arial Narrow"/>
                <w:b/>
                <w:sz w:val="20"/>
                <w:szCs w:val="24"/>
              </w:rPr>
              <w:t>58 623</w:t>
            </w:r>
          </w:p>
        </w:tc>
        <w:tc>
          <w:tcPr>
            <w:tcW w:w="1413"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8C1301" w:rsidP="00A70AF6">
            <w:pPr>
              <w:jc w:val="right"/>
              <w:rPr>
                <w:rFonts w:ascii="Arial Narrow" w:hAnsi="Arial Narrow" w:cs="Arial Narrow"/>
                <w:b/>
                <w:sz w:val="20"/>
                <w:szCs w:val="24"/>
              </w:rPr>
            </w:pPr>
            <w:r>
              <w:rPr>
                <w:rFonts w:ascii="Arial Narrow" w:hAnsi="Arial Narrow" w:cs="Arial Narrow"/>
                <w:b/>
                <w:sz w:val="20"/>
                <w:szCs w:val="24"/>
              </w:rPr>
              <w:t>58 297</w:t>
            </w:r>
          </w:p>
        </w:tc>
      </w:tr>
    </w:tbl>
    <w:p w:rsidR="00312541" w:rsidRPr="00846A90" w:rsidP="00312541">
      <w:pPr>
        <w:jc w:val="both"/>
        <w:rPr>
          <w:rFonts w:ascii="Arial Narrow" w:hAnsi="Arial Narrow" w:cs="Arial Narrow"/>
          <w:sz w:val="22"/>
          <w:szCs w:val="24"/>
        </w:rPr>
      </w:pPr>
    </w:p>
    <w:p w:rsidR="00312541" w:rsidRPr="00846A90" w:rsidP="00312541">
      <w:pPr>
        <w:ind w:firstLine="708"/>
        <w:jc w:val="both"/>
        <w:rPr>
          <w:rFonts w:ascii="Arial Narrow" w:hAnsi="Arial Narrow" w:cs="Arial Narrow"/>
          <w:sz w:val="22"/>
          <w:szCs w:val="24"/>
        </w:rPr>
      </w:pPr>
      <w:r w:rsidRPr="00846A90">
        <w:rPr>
          <w:rFonts w:ascii="Arial Narrow" w:hAnsi="Arial Narrow" w:cs="Arial Narrow"/>
          <w:b/>
          <w:sz w:val="22"/>
          <w:szCs w:val="24"/>
        </w:rPr>
        <w:t>Obvodné úrady</w:t>
      </w:r>
      <w:r w:rsidRPr="00846A90">
        <w:rPr>
          <w:rFonts w:ascii="Arial Narrow" w:hAnsi="Arial Narrow" w:cs="Arial Narrow"/>
          <w:sz w:val="22"/>
          <w:szCs w:val="24"/>
        </w:rPr>
        <w:t xml:space="preserve"> zabezpečujú najmä plnenie úloh v oblasti všeobecnej vnútornej správy, živnostenského podnikania a civilnej ochrany a krízového manažmentu. V rámci všeobecnej vnútornej správy sa plnia úlohy na úseku priestupkov, matrík, na úseku územného a správneho usporiadania, štátnych symbolov, verejných zbierok a sčítania obyvateľov, na úseku volieb a referenda, na úseku hlásenia pobytu občanov a registra obyvateľov, na úseku registrácie, na úseku vydávania osobitných označení vozidiel a preukazov osobitných označení vozidiel a</w:t>
      </w:r>
      <w:r>
        <w:rPr>
          <w:rFonts w:ascii="Arial Narrow" w:hAnsi="Arial Narrow" w:cs="Arial Narrow"/>
          <w:sz w:val="22"/>
          <w:szCs w:val="24"/>
        </w:rPr>
        <w:t xml:space="preserve"> </w:t>
      </w:r>
      <w:r w:rsidRPr="00846A90">
        <w:rPr>
          <w:rFonts w:ascii="Arial Narrow" w:hAnsi="Arial Narrow" w:cs="Arial Narrow"/>
          <w:sz w:val="22"/>
          <w:szCs w:val="24"/>
        </w:rPr>
        <w:t xml:space="preserve">na úseku štátneho občianstva. Na prenesený výkon štátnej správy sa tu rozpočtujú výdavky na úseku matrík v sume </w:t>
      </w:r>
      <w:r>
        <w:rPr>
          <w:rFonts w:ascii="Arial Narrow" w:hAnsi="Arial Narrow" w:cs="Arial Narrow"/>
          <w:sz w:val="22"/>
          <w:szCs w:val="24"/>
        </w:rPr>
        <w:t>5,57</w:t>
      </w:r>
      <w:r w:rsidRPr="0054548B">
        <w:rPr>
          <w:rFonts w:ascii="Arial Narrow" w:hAnsi="Arial Narrow" w:cs="Arial Narrow"/>
          <w:sz w:val="22"/>
          <w:szCs w:val="24"/>
        </w:rPr>
        <w:t xml:space="preserve"> mil. </w:t>
      </w:r>
      <w:r>
        <w:rPr>
          <w:rFonts w:ascii="Arial Narrow" w:hAnsi="Arial Narrow" w:cs="Arial Narrow"/>
          <w:sz w:val="22"/>
          <w:szCs w:val="24"/>
        </w:rPr>
        <w:t>eur</w:t>
      </w:r>
      <w:r w:rsidRPr="00846A90">
        <w:rPr>
          <w:rFonts w:ascii="Arial Narrow" w:hAnsi="Arial Narrow" w:cs="Arial Narrow"/>
          <w:sz w:val="22"/>
          <w:szCs w:val="24"/>
        </w:rPr>
        <w:t xml:space="preserve"> a na úseku hlásenia pobytu občanov a registra obyvateľov v sume </w:t>
      </w:r>
      <w:r>
        <w:rPr>
          <w:rFonts w:ascii="Arial Narrow" w:hAnsi="Arial Narrow" w:cs="Arial Narrow"/>
          <w:sz w:val="22"/>
          <w:szCs w:val="24"/>
        </w:rPr>
        <w:t>1,78</w:t>
      </w:r>
      <w:r w:rsidRPr="0054548B">
        <w:rPr>
          <w:rFonts w:ascii="Arial Narrow" w:hAnsi="Arial Narrow" w:cs="Arial Narrow"/>
          <w:sz w:val="22"/>
          <w:szCs w:val="24"/>
        </w:rPr>
        <w:t xml:space="preserve"> mil. </w:t>
      </w:r>
      <w:r>
        <w:rPr>
          <w:rFonts w:ascii="Arial Narrow" w:hAnsi="Arial Narrow" w:cs="Arial Narrow"/>
          <w:sz w:val="22"/>
          <w:szCs w:val="24"/>
        </w:rPr>
        <w:t>eur</w:t>
      </w:r>
      <w:r w:rsidRPr="00846A90">
        <w:rPr>
          <w:rFonts w:ascii="Arial Narrow" w:hAnsi="Arial Narrow" w:cs="Arial Narrow"/>
          <w:sz w:val="22"/>
          <w:szCs w:val="24"/>
        </w:rPr>
        <w:t>.</w:t>
      </w:r>
      <w:r>
        <w:rPr>
          <w:rFonts w:ascii="Arial Narrow" w:hAnsi="Arial Narrow" w:cs="Arial Narrow"/>
          <w:sz w:val="22"/>
          <w:szCs w:val="24"/>
        </w:rPr>
        <w:t xml:space="preserve"> </w:t>
      </w:r>
      <w:r w:rsidRPr="00846A90">
        <w:rPr>
          <w:rFonts w:ascii="Arial Narrow" w:hAnsi="Arial Narrow" w:cs="Arial Narrow"/>
          <w:sz w:val="22"/>
          <w:szCs w:val="24"/>
        </w:rPr>
        <w:t>Výdavky na prenesený výkon štátnej správy sa rozpo</w:t>
      </w:r>
      <w:r>
        <w:rPr>
          <w:rFonts w:ascii="Arial Narrow" w:hAnsi="Arial Narrow" w:cs="Arial Narrow"/>
          <w:sz w:val="22"/>
          <w:szCs w:val="24"/>
        </w:rPr>
        <w:t>čtujú na úrovni roka 2009</w:t>
      </w:r>
      <w:r w:rsidRPr="00846A90">
        <w:rPr>
          <w:rFonts w:ascii="Arial Narrow" w:hAnsi="Arial Narrow" w:cs="Arial Narrow"/>
          <w:sz w:val="22"/>
          <w:szCs w:val="24"/>
        </w:rPr>
        <w:t>.</w:t>
      </w:r>
    </w:p>
    <w:p w:rsidR="00312541" w:rsidRPr="00846A90"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sidRPr="00846A90">
        <w:rPr>
          <w:rFonts w:ascii="Arial Narrow" w:hAnsi="Arial Narrow" w:cs="Arial Narrow"/>
          <w:sz w:val="22"/>
          <w:szCs w:val="24"/>
        </w:rPr>
        <w:t xml:space="preserve">Na plnenie úloh štátnej správy </w:t>
      </w:r>
      <w:r w:rsidRPr="00846A90">
        <w:rPr>
          <w:rFonts w:ascii="Arial Narrow" w:hAnsi="Arial Narrow" w:cs="Arial Narrow"/>
          <w:b/>
          <w:sz w:val="22"/>
          <w:szCs w:val="24"/>
        </w:rPr>
        <w:t>na úseku archívov a registratúr</w:t>
      </w:r>
      <w:r w:rsidRPr="00846A90">
        <w:rPr>
          <w:rFonts w:ascii="Arial Narrow" w:hAnsi="Arial Narrow" w:cs="Arial Narrow"/>
          <w:sz w:val="22"/>
          <w:szCs w:val="24"/>
        </w:rPr>
        <w:t xml:space="preserve"> sú v pôsobnosti rezortu vnútra zriadené 2 štátne ústredné archívy a 8 štátnych archívov s územnou regionálnou pôsobnosťou, ktoré zabezpečujú starostlivosť o archívne dokumenty, ich odborné a vedecké spracovanie a sprístupnenie, ako aj využívanie na vedecké a iné účely. V súčasnej dobe dochádza k postupnej digitalizácii archivovaných materiálov, avšak ich prevedenie do elektronickej formy je závislé od limitovaných finančných zdrojov a personálnych kapacít. </w:t>
      </w:r>
    </w:p>
    <w:p w:rsidR="00312541" w:rsidRPr="00846A90" w:rsidP="00312541">
      <w:pPr>
        <w:ind w:firstLine="708"/>
        <w:jc w:val="both"/>
        <w:rPr>
          <w:rFonts w:ascii="Arial Narrow" w:hAnsi="Arial Narrow" w:cs="Arial Narrow"/>
          <w:sz w:val="22"/>
          <w:szCs w:val="24"/>
        </w:rPr>
      </w:pPr>
    </w:p>
    <w:p w:rsidR="00312541" w:rsidRPr="00846A90" w:rsidP="00312541">
      <w:pPr>
        <w:ind w:firstLine="708"/>
        <w:jc w:val="both"/>
        <w:rPr>
          <w:rFonts w:ascii="Arial Narrow" w:hAnsi="Arial Narrow" w:cs="Arial Narrow"/>
          <w:sz w:val="22"/>
          <w:szCs w:val="24"/>
          <w:highlight w:val="yellow"/>
        </w:rPr>
      </w:pPr>
      <w:r w:rsidRPr="00846A90">
        <w:rPr>
          <w:rFonts w:ascii="Arial Narrow" w:hAnsi="Arial Narrow" w:cs="Arial Narrow"/>
          <w:b/>
          <w:sz w:val="22"/>
          <w:szCs w:val="24"/>
        </w:rPr>
        <w:t>Na zabezpečenie volieb</w:t>
      </w:r>
      <w:r w:rsidRPr="00846A90">
        <w:rPr>
          <w:rFonts w:ascii="Arial Narrow" w:hAnsi="Arial Narrow" w:cs="Arial Narrow"/>
          <w:sz w:val="22"/>
          <w:szCs w:val="24"/>
        </w:rPr>
        <w:t xml:space="preserve"> do orgánov </w:t>
      </w:r>
      <w:r>
        <w:rPr>
          <w:rFonts w:ascii="Arial Narrow" w:hAnsi="Arial Narrow" w:cs="Arial Narrow"/>
          <w:sz w:val="22"/>
          <w:szCs w:val="24"/>
        </w:rPr>
        <w:t xml:space="preserve">samosprávy obcí, </w:t>
      </w:r>
      <w:r w:rsidRPr="00846A90">
        <w:rPr>
          <w:rFonts w:ascii="Arial Narrow" w:hAnsi="Arial Narrow" w:cs="Arial Narrow"/>
          <w:sz w:val="22"/>
          <w:szCs w:val="24"/>
        </w:rPr>
        <w:t>volieb do N</w:t>
      </w:r>
      <w:r>
        <w:rPr>
          <w:rFonts w:ascii="Arial Narrow" w:hAnsi="Arial Narrow" w:cs="Arial Narrow"/>
          <w:sz w:val="22"/>
          <w:szCs w:val="24"/>
        </w:rPr>
        <w:t>árodnej rady</w:t>
      </w:r>
      <w:r w:rsidRPr="00846A90">
        <w:rPr>
          <w:rFonts w:ascii="Arial Narrow" w:hAnsi="Arial Narrow" w:cs="Arial Narrow"/>
          <w:sz w:val="22"/>
          <w:szCs w:val="24"/>
        </w:rPr>
        <w:t xml:space="preserve"> SR a doplňujúcich volieb sa v roku 2010 rozpočtujú výdavky v sume </w:t>
      </w:r>
      <w:r>
        <w:rPr>
          <w:rFonts w:ascii="Arial Narrow" w:hAnsi="Arial Narrow" w:cs="Arial Narrow"/>
          <w:sz w:val="22"/>
          <w:szCs w:val="24"/>
        </w:rPr>
        <w:t xml:space="preserve">16,1 </w:t>
      </w:r>
      <w:r w:rsidRPr="00846A90">
        <w:rPr>
          <w:rFonts w:ascii="Arial Narrow" w:hAnsi="Arial Narrow" w:cs="Arial Narrow"/>
          <w:sz w:val="22"/>
          <w:szCs w:val="24"/>
        </w:rPr>
        <w:t xml:space="preserve">mil. </w:t>
      </w:r>
      <w:r>
        <w:rPr>
          <w:rFonts w:ascii="Arial Narrow" w:hAnsi="Arial Narrow" w:cs="Arial Narrow"/>
          <w:sz w:val="22"/>
          <w:szCs w:val="24"/>
        </w:rPr>
        <w:t>eur</w:t>
      </w:r>
      <w:r w:rsidRPr="00846A90">
        <w:rPr>
          <w:rFonts w:ascii="Arial Narrow" w:hAnsi="Arial Narrow" w:cs="Arial Narrow"/>
          <w:sz w:val="22"/>
          <w:szCs w:val="24"/>
        </w:rPr>
        <w:t>.</w:t>
      </w:r>
    </w:p>
    <w:p w:rsidR="00312541" w:rsidP="00312541">
      <w:pPr>
        <w:rPr>
          <w:szCs w:val="24"/>
        </w:rPr>
      </w:pPr>
    </w:p>
    <w:p w:rsidR="00312541" w:rsidRPr="00C77794" w:rsidP="00312541">
      <w:pPr>
        <w:jc w:val="both"/>
        <w:rPr>
          <w:rFonts w:ascii="Arial Narrow" w:hAnsi="Arial Narrow" w:cs="Arial Narrow"/>
          <w:b/>
          <w:sz w:val="22"/>
          <w:szCs w:val="24"/>
        </w:rPr>
      </w:pPr>
      <w:r>
        <w:rPr>
          <w:rFonts w:ascii="Arial Narrow" w:hAnsi="Arial Narrow" w:cs="Arial Narrow"/>
          <w:b/>
          <w:sz w:val="22"/>
          <w:szCs w:val="24"/>
        </w:rPr>
        <w:t>S</w:t>
      </w:r>
      <w:r w:rsidRPr="00C77794">
        <w:rPr>
          <w:rFonts w:ascii="Arial Narrow" w:hAnsi="Arial Narrow" w:cs="Arial Narrow"/>
          <w:b/>
          <w:sz w:val="22"/>
          <w:szCs w:val="24"/>
        </w:rPr>
        <w:t>údnictvo a väzenstvo</w:t>
      </w:r>
    </w:p>
    <w:p w:rsidR="00312541" w:rsidRPr="00D72525" w:rsidP="00312541">
      <w:pPr>
        <w:rPr>
          <w:rFonts w:ascii="Arial Narrow" w:hAnsi="Arial Narrow" w:cs="Arial Narrow"/>
          <w:sz w:val="22"/>
          <w:szCs w:val="24"/>
        </w:rPr>
      </w:pPr>
    </w:p>
    <w:tbl>
      <w:tblPr>
        <w:tblStyle w:val="TableNormal"/>
        <w:tblW w:w="901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437"/>
        <w:gridCol w:w="1395"/>
        <w:gridCol w:w="1395"/>
        <w:gridCol w:w="1395"/>
        <w:gridCol w:w="1395"/>
      </w:tblGrid>
      <w:tr>
        <w:tblPrEx>
          <w:tblW w:w="901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70"/>
        </w:trPr>
        <w:tc>
          <w:tcPr>
            <w:tcW w:w="3437"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023E7" w:rsidP="00A70AF6">
            <w:pPr>
              <w:rPr>
                <w:rFonts w:ascii="Arial Narrow" w:hAnsi="Arial Narrow" w:cs="Arial Narrow"/>
                <w:color w:val="FFFFFF"/>
                <w:sz w:val="20"/>
                <w:szCs w:val="24"/>
                <w:lang w:eastAsia="sk-SK"/>
              </w:rPr>
            </w:pPr>
            <w:r w:rsidRPr="005023E7">
              <w:rPr>
                <w:rFonts w:ascii="Arial Narrow" w:hAnsi="Arial Narrow" w:cs="Arial Narrow"/>
                <w:color w:val="FFFFFF"/>
                <w:sz w:val="20"/>
                <w:szCs w:val="24"/>
                <w:lang w:eastAsia="sk-SK"/>
              </w:rPr>
              <w:t> </w:t>
            </w:r>
            <w:r w:rsidRPr="005023E7">
              <w:rPr>
                <w:rFonts w:ascii="Arial Narrow" w:hAnsi="Arial Narrow" w:cs="Arial Narrow"/>
                <w:b/>
                <w:color w:val="FFFFFF"/>
                <w:sz w:val="20"/>
                <w:szCs w:val="24"/>
                <w:lang w:eastAsia="sk-SK"/>
              </w:rPr>
              <w:t>(v tis. eur)</w:t>
            </w:r>
          </w:p>
        </w:tc>
        <w:tc>
          <w:tcPr>
            <w:tcW w:w="1395"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2009</w:t>
            </w:r>
          </w:p>
        </w:tc>
        <w:tc>
          <w:tcPr>
            <w:tcW w:w="1395"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2010</w:t>
            </w:r>
          </w:p>
        </w:tc>
        <w:tc>
          <w:tcPr>
            <w:tcW w:w="1395"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2011</w:t>
            </w:r>
          </w:p>
        </w:tc>
        <w:tc>
          <w:tcPr>
            <w:tcW w:w="1395"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2012</w:t>
            </w:r>
          </w:p>
        </w:tc>
      </w:tr>
      <w:tr>
        <w:tblPrEx>
          <w:tblW w:w="9017" w:type="dxa"/>
          <w:tblInd w:w="53" w:type="dxa"/>
          <w:tblLayout w:type="fixed"/>
          <w:tblCellMar>
            <w:left w:w="70" w:type="dxa"/>
            <w:right w:w="70" w:type="dxa"/>
          </w:tblCellMar>
        </w:tblPrEx>
        <w:trPr>
          <w:trHeight w:val="270"/>
        </w:trPr>
        <w:tc>
          <w:tcPr>
            <w:tcW w:w="3437" w:type="dxa"/>
            <w:tcBorders>
              <w:top w:val="single" w:sz="4" w:space="0" w:color="auto"/>
              <w:left w:val="single" w:sz="4" w:space="0" w:color="auto"/>
              <w:bottom w:val="single" w:sz="4" w:space="0" w:color="auto"/>
              <w:right w:val="single" w:sz="4" w:space="0" w:color="auto"/>
            </w:tcBorders>
            <w:textDirection w:val="lrTb"/>
            <w:vAlign w:val="bottom"/>
          </w:tcPr>
          <w:p w:rsidR="00312541" w:rsidRPr="005023E7" w:rsidP="00A70AF6">
            <w:pPr>
              <w:rPr>
                <w:rFonts w:ascii="Arial Narrow" w:hAnsi="Arial Narrow" w:cs="Arial Narrow"/>
                <w:sz w:val="20"/>
                <w:szCs w:val="24"/>
                <w:lang w:eastAsia="sk-SK"/>
              </w:rPr>
            </w:pPr>
            <w:r w:rsidRPr="005023E7">
              <w:rPr>
                <w:rFonts w:ascii="Arial Narrow" w:hAnsi="Arial Narrow" w:cs="Arial Narrow"/>
                <w:sz w:val="20"/>
                <w:szCs w:val="24"/>
                <w:lang w:eastAsia="sk-SK"/>
              </w:rPr>
              <w:t>Súdnictvo rezortu spravodlivosti</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140 114</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132 981</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130 761</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132 693</w:t>
            </w:r>
          </w:p>
        </w:tc>
      </w:tr>
      <w:tr>
        <w:tblPrEx>
          <w:tblW w:w="9017" w:type="dxa"/>
          <w:tblInd w:w="53" w:type="dxa"/>
          <w:tblLayout w:type="fixed"/>
          <w:tblCellMar>
            <w:left w:w="70" w:type="dxa"/>
            <w:right w:w="70" w:type="dxa"/>
          </w:tblCellMar>
        </w:tblPrEx>
        <w:trPr>
          <w:trHeight w:val="270"/>
        </w:trPr>
        <w:tc>
          <w:tcPr>
            <w:tcW w:w="3437" w:type="dxa"/>
            <w:tcBorders>
              <w:top w:val="single" w:sz="4" w:space="0" w:color="auto"/>
              <w:left w:val="single" w:sz="4" w:space="0" w:color="auto"/>
              <w:bottom w:val="single" w:sz="4" w:space="0" w:color="auto"/>
              <w:right w:val="single" w:sz="4" w:space="0" w:color="auto"/>
            </w:tcBorders>
            <w:textDirection w:val="lrTb"/>
            <w:vAlign w:val="bottom"/>
          </w:tcPr>
          <w:p w:rsidR="00312541" w:rsidRPr="005023E7" w:rsidP="00A70AF6">
            <w:pPr>
              <w:rPr>
                <w:rFonts w:ascii="Arial Narrow" w:hAnsi="Arial Narrow" w:cs="Arial Narrow"/>
                <w:sz w:val="20"/>
                <w:szCs w:val="24"/>
                <w:lang w:eastAsia="sk-SK"/>
              </w:rPr>
            </w:pPr>
            <w:r w:rsidRPr="005023E7">
              <w:rPr>
                <w:rFonts w:ascii="Arial Narrow" w:hAnsi="Arial Narrow" w:cs="Arial Narrow"/>
                <w:sz w:val="20"/>
                <w:szCs w:val="24"/>
                <w:lang w:eastAsia="sk-SK"/>
              </w:rPr>
              <w:t>Kancelária Ústavného súdu SR</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5 669</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2 853</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2 904</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2 847</w:t>
            </w:r>
          </w:p>
        </w:tc>
      </w:tr>
      <w:tr>
        <w:tblPrEx>
          <w:tblW w:w="9017" w:type="dxa"/>
          <w:tblInd w:w="53" w:type="dxa"/>
          <w:tblLayout w:type="fixed"/>
          <w:tblCellMar>
            <w:left w:w="70" w:type="dxa"/>
            <w:right w:w="70" w:type="dxa"/>
          </w:tblCellMar>
        </w:tblPrEx>
        <w:trPr>
          <w:trHeight w:val="270"/>
        </w:trPr>
        <w:tc>
          <w:tcPr>
            <w:tcW w:w="3437" w:type="dxa"/>
            <w:tcBorders>
              <w:top w:val="single" w:sz="4" w:space="0" w:color="auto"/>
              <w:left w:val="single" w:sz="4" w:space="0" w:color="auto"/>
              <w:bottom w:val="single" w:sz="4" w:space="0" w:color="auto"/>
              <w:right w:val="single" w:sz="4" w:space="0" w:color="auto"/>
            </w:tcBorders>
            <w:textDirection w:val="lrTb"/>
            <w:vAlign w:val="bottom"/>
          </w:tcPr>
          <w:p w:rsidR="00312541" w:rsidRPr="005023E7" w:rsidP="00A70AF6">
            <w:pPr>
              <w:rPr>
                <w:rFonts w:ascii="Arial Narrow" w:hAnsi="Arial Narrow" w:cs="Arial Narrow"/>
                <w:sz w:val="20"/>
                <w:szCs w:val="24"/>
                <w:lang w:eastAsia="sk-SK"/>
              </w:rPr>
            </w:pPr>
            <w:r w:rsidRPr="005023E7">
              <w:rPr>
                <w:rFonts w:ascii="Arial Narrow" w:hAnsi="Arial Narrow" w:cs="Arial Narrow"/>
                <w:sz w:val="20"/>
                <w:szCs w:val="24"/>
                <w:lang w:eastAsia="sk-SK"/>
              </w:rPr>
              <w:t>Najvyšší súd SR</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7 522</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8 522</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8 671</w:t>
            </w:r>
          </w:p>
        </w:tc>
        <w:tc>
          <w:tcPr>
            <w:tcW w:w="1395" w:type="dxa"/>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8 842</w:t>
            </w:r>
          </w:p>
        </w:tc>
      </w:tr>
      <w:tr>
        <w:tblPrEx>
          <w:tblW w:w="9017" w:type="dxa"/>
          <w:tblInd w:w="53" w:type="dxa"/>
          <w:tblLayout w:type="fixed"/>
          <w:tblCellMar>
            <w:left w:w="70" w:type="dxa"/>
            <w:right w:w="70" w:type="dxa"/>
          </w:tblCellMar>
        </w:tblPrEx>
        <w:trPr>
          <w:trHeight w:val="270"/>
        </w:trPr>
        <w:tc>
          <w:tcPr>
            <w:tcW w:w="3437"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5023E7" w:rsidP="00A70AF6">
            <w:pPr>
              <w:rPr>
                <w:rFonts w:ascii="Arial Narrow" w:hAnsi="Arial Narrow" w:cs="Arial Narrow"/>
                <w:b/>
                <w:sz w:val="20"/>
                <w:szCs w:val="24"/>
                <w:lang w:eastAsia="sk-SK"/>
              </w:rPr>
            </w:pPr>
            <w:r w:rsidRPr="005023E7">
              <w:rPr>
                <w:rFonts w:ascii="Arial Narrow" w:hAnsi="Arial Narrow" w:cs="Arial Narrow"/>
                <w:b/>
                <w:sz w:val="20"/>
                <w:szCs w:val="24"/>
                <w:lang w:eastAsia="sk-SK"/>
              </w:rPr>
              <w:t>Výdavky na súdnictvo celkom</w:t>
            </w:r>
          </w:p>
        </w:tc>
        <w:tc>
          <w:tcPr>
            <w:tcW w:w="13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5023E7" w:rsidP="00A70AF6">
            <w:pPr>
              <w:jc w:val="right"/>
              <w:rPr>
                <w:rFonts w:ascii="Arial Narrow" w:hAnsi="Arial Narrow" w:cs="Arial Narrow"/>
                <w:b/>
                <w:sz w:val="20"/>
                <w:szCs w:val="24"/>
                <w:lang w:eastAsia="sk-SK"/>
              </w:rPr>
            </w:pPr>
            <w:r w:rsidRPr="005023E7">
              <w:rPr>
                <w:rFonts w:ascii="Arial Narrow" w:hAnsi="Arial Narrow" w:cs="Arial Narrow"/>
                <w:b/>
                <w:sz w:val="20"/>
                <w:szCs w:val="24"/>
                <w:lang w:eastAsia="sk-SK"/>
              </w:rPr>
              <w:t>153 305</w:t>
            </w:r>
          </w:p>
        </w:tc>
        <w:tc>
          <w:tcPr>
            <w:tcW w:w="13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144 356</w:t>
            </w:r>
          </w:p>
        </w:tc>
        <w:tc>
          <w:tcPr>
            <w:tcW w:w="13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142 336</w:t>
            </w:r>
          </w:p>
        </w:tc>
        <w:tc>
          <w:tcPr>
            <w:tcW w:w="139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144 382</w:t>
            </w:r>
          </w:p>
        </w:tc>
      </w:tr>
    </w:tbl>
    <w:p w:rsidR="00312541" w:rsidP="00312541">
      <w:pPr>
        <w:jc w:val="both"/>
        <w:rPr>
          <w:rFonts w:ascii="Arial Narrow" w:hAnsi="Arial Narrow" w:cs="Arial Narrow"/>
          <w:sz w:val="22"/>
          <w:szCs w:val="24"/>
          <w:lang w:val="cs-CZ"/>
        </w:rPr>
      </w:pPr>
    </w:p>
    <w:p w:rsidR="00312541" w:rsidRPr="00A03BE1" w:rsidP="00312541">
      <w:pPr>
        <w:ind w:firstLine="708"/>
        <w:jc w:val="both"/>
        <w:rPr>
          <w:rFonts w:ascii="Arial Narrow" w:hAnsi="Arial Narrow" w:cs="Arial Narrow"/>
          <w:sz w:val="22"/>
          <w:szCs w:val="24"/>
        </w:rPr>
      </w:pPr>
      <w:r w:rsidRPr="002144A1">
        <w:rPr>
          <w:rFonts w:ascii="Arial Narrow" w:hAnsi="Arial Narrow" w:cs="Arial Narrow"/>
          <w:sz w:val="22"/>
          <w:szCs w:val="24"/>
          <w:lang w:val="cs-CZ"/>
        </w:rPr>
        <w:t xml:space="preserve">Pre </w:t>
      </w:r>
      <w:r w:rsidRPr="002144A1">
        <w:rPr>
          <w:rFonts w:ascii="Arial Narrow" w:hAnsi="Arial Narrow" w:cs="Arial Narrow"/>
          <w:b/>
          <w:sz w:val="22"/>
          <w:szCs w:val="24"/>
          <w:lang w:val="cs-CZ"/>
        </w:rPr>
        <w:t>súdnictvo</w:t>
      </w:r>
      <w:r>
        <w:rPr>
          <w:rFonts w:ascii="Arial Narrow" w:hAnsi="Arial Narrow" w:cs="Arial Narrow"/>
          <w:b/>
          <w:sz w:val="22"/>
          <w:szCs w:val="24"/>
          <w:lang w:val="cs-CZ"/>
        </w:rPr>
        <w:t xml:space="preserve"> v rámci rezortu spravodlivosti</w:t>
      </w:r>
      <w:r w:rsidRPr="002144A1">
        <w:rPr>
          <w:rFonts w:ascii="Arial Narrow" w:hAnsi="Arial Narrow" w:cs="Arial Narrow"/>
          <w:sz w:val="22"/>
          <w:szCs w:val="24"/>
          <w:lang w:val="cs-CZ"/>
        </w:rPr>
        <w:t xml:space="preserve"> sa rozpočtujú </w:t>
      </w:r>
      <w:r>
        <w:rPr>
          <w:rFonts w:ascii="Arial Narrow" w:hAnsi="Arial Narrow" w:cs="Arial Narrow"/>
          <w:sz w:val="22"/>
          <w:szCs w:val="24"/>
          <w:lang w:val="cs-CZ"/>
        </w:rPr>
        <w:t xml:space="preserve">na rok 2010 </w:t>
      </w:r>
      <w:r w:rsidRPr="002144A1">
        <w:rPr>
          <w:rFonts w:ascii="Arial Narrow" w:hAnsi="Arial Narrow" w:cs="Arial Narrow"/>
          <w:sz w:val="22"/>
          <w:szCs w:val="24"/>
        </w:rPr>
        <w:t>výdavky v </w:t>
      </w:r>
      <w:r w:rsidRPr="00985C1E">
        <w:rPr>
          <w:rFonts w:ascii="Arial Narrow" w:hAnsi="Arial Narrow" w:cs="Arial Narrow"/>
          <w:sz w:val="22"/>
          <w:szCs w:val="24"/>
        </w:rPr>
        <w:t>sume 1</w:t>
      </w:r>
      <w:r>
        <w:rPr>
          <w:rFonts w:ascii="Arial Narrow" w:hAnsi="Arial Narrow" w:cs="Arial Narrow"/>
          <w:sz w:val="22"/>
          <w:szCs w:val="24"/>
        </w:rPr>
        <w:t>33</w:t>
      </w:r>
      <w:r w:rsidRPr="00985C1E">
        <w:rPr>
          <w:rFonts w:ascii="Arial Narrow" w:hAnsi="Arial Narrow" w:cs="Arial Narrow"/>
          <w:sz w:val="22"/>
          <w:szCs w:val="24"/>
        </w:rPr>
        <w:t xml:space="preserve"> mil. </w:t>
      </w:r>
      <w:r>
        <w:rPr>
          <w:rFonts w:ascii="Arial Narrow" w:hAnsi="Arial Narrow" w:cs="Arial Narrow"/>
          <w:sz w:val="22"/>
          <w:szCs w:val="24"/>
        </w:rPr>
        <w:t xml:space="preserve">eur. </w:t>
      </w:r>
      <w:r w:rsidRPr="00985C1E">
        <w:rPr>
          <w:rFonts w:ascii="Arial Narrow" w:hAnsi="Arial Narrow" w:cs="Arial Narrow"/>
          <w:sz w:val="22"/>
          <w:szCs w:val="24"/>
        </w:rPr>
        <w:t xml:space="preserve"> Výdavky pre </w:t>
      </w:r>
      <w:r w:rsidRPr="00985C1E">
        <w:rPr>
          <w:rFonts w:ascii="Arial Narrow" w:hAnsi="Arial Narrow" w:cs="Arial Narrow"/>
          <w:sz w:val="22"/>
          <w:szCs w:val="24"/>
          <w:lang w:val="cs-CZ"/>
        </w:rPr>
        <w:t xml:space="preserve">súdnictvo v rámci rezortu spravodlivosti </w:t>
      </w:r>
      <w:r w:rsidRPr="00985C1E">
        <w:rPr>
          <w:rFonts w:ascii="Arial Narrow" w:hAnsi="Arial Narrow" w:cs="Arial Narrow"/>
          <w:sz w:val="22"/>
          <w:szCs w:val="24"/>
        </w:rPr>
        <w:t>sú rozpočtované na personálne a materiálno–technické zabezpečenie činnosti súdov a na efektívny výkon okresných a krajských súdov. Prostriedky slúžia i na zabezpečenie vzdelávacej činnosti s dôrazom na vzdelávanie sudcov.</w:t>
      </w:r>
    </w:p>
    <w:p w:rsidR="00312541" w:rsidP="00312541">
      <w:pPr>
        <w:jc w:val="both"/>
        <w:rPr>
          <w:rFonts w:ascii="Arial Narrow" w:hAnsi="Arial Narrow" w:cs="Arial Narrow"/>
          <w:sz w:val="22"/>
          <w:szCs w:val="24"/>
        </w:rPr>
      </w:pPr>
    </w:p>
    <w:p w:rsidR="00312541" w:rsidRPr="00AA66FD" w:rsidP="00312541">
      <w:pPr>
        <w:ind w:firstLine="708"/>
        <w:jc w:val="both"/>
        <w:rPr>
          <w:rFonts w:ascii="Arial Narrow" w:hAnsi="Arial Narrow" w:cs="Arial Narrow"/>
          <w:sz w:val="22"/>
          <w:szCs w:val="24"/>
        </w:rPr>
      </w:pPr>
      <w:r w:rsidRPr="00AA66FD">
        <w:rPr>
          <w:rFonts w:ascii="Arial Narrow" w:hAnsi="Arial Narrow" w:cs="Arial Narrow"/>
          <w:sz w:val="22"/>
          <w:szCs w:val="24"/>
        </w:rPr>
        <w:t xml:space="preserve">Pre </w:t>
      </w:r>
      <w:r w:rsidRPr="00AA66FD">
        <w:rPr>
          <w:rFonts w:ascii="Arial Narrow" w:hAnsi="Arial Narrow" w:cs="Arial Narrow"/>
          <w:b/>
          <w:sz w:val="22"/>
          <w:szCs w:val="24"/>
        </w:rPr>
        <w:t>Kancelári</w:t>
      </w:r>
      <w:r>
        <w:rPr>
          <w:rFonts w:ascii="Arial Narrow" w:hAnsi="Arial Narrow" w:cs="Arial Narrow"/>
          <w:b/>
          <w:sz w:val="22"/>
          <w:szCs w:val="24"/>
        </w:rPr>
        <w:t>u</w:t>
      </w:r>
      <w:r w:rsidRPr="00AA66FD">
        <w:rPr>
          <w:rFonts w:ascii="Arial Narrow" w:hAnsi="Arial Narrow" w:cs="Arial Narrow"/>
          <w:sz w:val="22"/>
          <w:szCs w:val="24"/>
        </w:rPr>
        <w:t xml:space="preserve"> </w:t>
      </w:r>
      <w:r w:rsidRPr="00AA66FD">
        <w:rPr>
          <w:rFonts w:ascii="Arial Narrow" w:hAnsi="Arial Narrow" w:cs="Arial Narrow"/>
          <w:b/>
          <w:sz w:val="22"/>
          <w:szCs w:val="24"/>
        </w:rPr>
        <w:t>Ústavného súdu SR</w:t>
      </w:r>
      <w:r w:rsidRPr="00AA66FD">
        <w:rPr>
          <w:rFonts w:ascii="Arial Narrow" w:hAnsi="Arial Narrow" w:cs="Arial Narrow"/>
          <w:sz w:val="22"/>
          <w:szCs w:val="24"/>
        </w:rPr>
        <w:t xml:space="preserve"> sa na rok 20</w:t>
      </w:r>
      <w:r>
        <w:rPr>
          <w:rFonts w:ascii="Arial Narrow" w:hAnsi="Arial Narrow" w:cs="Arial Narrow"/>
          <w:sz w:val="22"/>
          <w:szCs w:val="24"/>
        </w:rPr>
        <w:t>1</w:t>
      </w:r>
      <w:r w:rsidRPr="00AA66FD">
        <w:rPr>
          <w:rFonts w:ascii="Arial Narrow" w:hAnsi="Arial Narrow" w:cs="Arial Narrow"/>
          <w:sz w:val="22"/>
          <w:szCs w:val="24"/>
        </w:rPr>
        <w:t>0 rozpočtujú výdavky na zabezpečenie kvalifikovaného výkonu súdnej moci vrátane zabezpečenia ochrany ústavnosti v presne vymedzených prípadoch s osobitným zreteľom na ochranu práv a slobôd a súladnosť slovenského právneho poriadku. V porovnaní s rokom 2006 sú výdavky kapitoly v roku 20</w:t>
      </w:r>
      <w:r>
        <w:rPr>
          <w:rFonts w:ascii="Arial Narrow" w:hAnsi="Arial Narrow" w:cs="Arial Narrow"/>
          <w:sz w:val="22"/>
          <w:szCs w:val="24"/>
        </w:rPr>
        <w:t>1</w:t>
      </w:r>
      <w:r w:rsidRPr="00AA66FD">
        <w:rPr>
          <w:rFonts w:ascii="Arial Narrow" w:hAnsi="Arial Narrow" w:cs="Arial Narrow"/>
          <w:sz w:val="22"/>
          <w:szCs w:val="24"/>
        </w:rPr>
        <w:t>0 vyššie o</w:t>
      </w:r>
      <w:r>
        <w:rPr>
          <w:rFonts w:ascii="Arial Narrow" w:hAnsi="Arial Narrow" w:cs="Arial Narrow"/>
          <w:sz w:val="22"/>
          <w:szCs w:val="24"/>
        </w:rPr>
        <w:t> 37,9 %</w:t>
      </w:r>
      <w:r w:rsidRPr="00AA66FD">
        <w:rPr>
          <w:rFonts w:ascii="Arial Narrow" w:hAnsi="Arial Narrow" w:cs="Arial Narrow"/>
          <w:sz w:val="22"/>
          <w:szCs w:val="24"/>
        </w:rPr>
        <w:t xml:space="preserve"> a v porovnaní s rokom 200</w:t>
      </w:r>
      <w:r>
        <w:rPr>
          <w:rFonts w:ascii="Arial Narrow" w:hAnsi="Arial Narrow" w:cs="Arial Narrow"/>
          <w:sz w:val="22"/>
          <w:szCs w:val="24"/>
        </w:rPr>
        <w:t>9</w:t>
      </w:r>
      <w:r w:rsidRPr="00AA66FD">
        <w:rPr>
          <w:rFonts w:ascii="Arial Narrow" w:hAnsi="Arial Narrow" w:cs="Arial Narrow"/>
          <w:sz w:val="22"/>
          <w:szCs w:val="24"/>
        </w:rPr>
        <w:t xml:space="preserve"> sú </w:t>
      </w:r>
      <w:r>
        <w:rPr>
          <w:rFonts w:ascii="Arial Narrow" w:hAnsi="Arial Narrow" w:cs="Arial Narrow"/>
          <w:sz w:val="22"/>
          <w:szCs w:val="24"/>
        </w:rPr>
        <w:t>nižšie o jednorazový kapitálový výdavok vo výške 2,48 mil. eur, ktorý bol určený na prestavbu bytového objektu pre ústavných sudcov.</w:t>
      </w:r>
    </w:p>
    <w:p w:rsidR="00312541" w:rsidP="00312541">
      <w:pPr>
        <w:jc w:val="both"/>
        <w:rPr>
          <w:rFonts w:ascii="Arial Narrow" w:hAnsi="Arial Narrow" w:cs="Arial Narrow"/>
          <w:sz w:val="22"/>
          <w:szCs w:val="24"/>
        </w:rPr>
      </w:pPr>
    </w:p>
    <w:p w:rsidR="00312541" w:rsidRPr="00284C5F" w:rsidP="00312541">
      <w:pPr>
        <w:ind w:firstLine="708"/>
        <w:jc w:val="both"/>
        <w:rPr>
          <w:rFonts w:ascii="Arial Narrow" w:hAnsi="Arial Narrow" w:cs="Arial Narrow"/>
          <w:sz w:val="22"/>
          <w:szCs w:val="24"/>
        </w:rPr>
      </w:pPr>
      <w:r>
        <w:rPr>
          <w:rFonts w:ascii="Arial Narrow" w:hAnsi="Arial Narrow" w:cs="Arial Narrow"/>
          <w:sz w:val="22"/>
          <w:szCs w:val="24"/>
        </w:rPr>
        <w:t xml:space="preserve">Výdavky pre </w:t>
      </w:r>
      <w:r w:rsidRPr="00FA2474">
        <w:rPr>
          <w:rFonts w:ascii="Arial Narrow" w:hAnsi="Arial Narrow" w:cs="Arial Narrow"/>
          <w:b/>
          <w:sz w:val="22"/>
          <w:szCs w:val="24"/>
        </w:rPr>
        <w:t>Najvyšší súd SR</w:t>
      </w:r>
      <w:r>
        <w:rPr>
          <w:rFonts w:ascii="Arial Narrow" w:hAnsi="Arial Narrow" w:cs="Arial Narrow"/>
          <w:sz w:val="22"/>
          <w:szCs w:val="24"/>
        </w:rPr>
        <w:t xml:space="preserve"> sú</w:t>
      </w:r>
      <w:r w:rsidRPr="00BF315D">
        <w:rPr>
          <w:rFonts w:ascii="Arial Narrow" w:hAnsi="Arial Narrow" w:cs="Arial Narrow"/>
          <w:sz w:val="22"/>
          <w:szCs w:val="24"/>
        </w:rPr>
        <w:t xml:space="preserve"> </w:t>
      </w:r>
      <w:r w:rsidRPr="00D55228">
        <w:rPr>
          <w:rFonts w:ascii="Arial Narrow" w:hAnsi="Arial Narrow" w:cs="Arial Narrow"/>
          <w:sz w:val="22"/>
          <w:szCs w:val="24"/>
        </w:rPr>
        <w:t xml:space="preserve">rozpočtované </w:t>
      </w:r>
      <w:r>
        <w:rPr>
          <w:rFonts w:ascii="Arial Narrow" w:hAnsi="Arial Narrow" w:cs="Arial Narrow"/>
          <w:sz w:val="22"/>
          <w:szCs w:val="24"/>
        </w:rPr>
        <w:t>v sume 8,52 mil. eur a sú určené</w:t>
      </w:r>
      <w:r w:rsidRPr="00225872">
        <w:rPr>
          <w:rFonts w:ascii="Arial Narrow" w:hAnsi="Arial Narrow" w:cs="Arial Narrow"/>
          <w:b/>
          <w:sz w:val="22"/>
          <w:szCs w:val="24"/>
        </w:rPr>
        <w:t xml:space="preserve"> </w:t>
      </w:r>
      <w:r w:rsidRPr="004D2732">
        <w:rPr>
          <w:rFonts w:ascii="Arial Narrow" w:hAnsi="Arial Narrow" w:cs="Arial Narrow"/>
          <w:sz w:val="22"/>
          <w:szCs w:val="24"/>
        </w:rPr>
        <w:t>na</w:t>
      </w:r>
      <w:r w:rsidRPr="00F838E3">
        <w:rPr>
          <w:rFonts w:ascii="Arial Narrow" w:hAnsi="Arial Narrow" w:cs="Arial Narrow"/>
          <w:sz w:val="22"/>
          <w:szCs w:val="24"/>
        </w:rPr>
        <w:t xml:space="preserve"> </w:t>
      </w:r>
      <w:r w:rsidRPr="00D84B74">
        <w:rPr>
          <w:rFonts w:ascii="Arial Narrow" w:hAnsi="Arial Narrow" w:cs="Arial Narrow"/>
          <w:sz w:val="22"/>
          <w:szCs w:val="24"/>
        </w:rPr>
        <w:t xml:space="preserve">zabezpečenie kvalifikovaného výkonu </w:t>
      </w:r>
      <w:r>
        <w:rPr>
          <w:rFonts w:ascii="Arial Narrow" w:hAnsi="Arial Narrow" w:cs="Arial Narrow"/>
          <w:sz w:val="22"/>
          <w:szCs w:val="24"/>
        </w:rPr>
        <w:t>sú</w:t>
      </w:r>
      <w:r w:rsidRPr="00D84B74">
        <w:rPr>
          <w:rFonts w:ascii="Arial Narrow" w:hAnsi="Arial Narrow" w:cs="Arial Narrow"/>
          <w:sz w:val="22"/>
          <w:szCs w:val="24"/>
        </w:rPr>
        <w:t>dnej moci vrátane zabezpečenia ochrany ústavnosti v presne vymedzených prípadoch s osobitným zreteľom na ochranu práv a slobôd a súlad slovenského právneho poriadku.</w:t>
      </w:r>
      <w:r>
        <w:rPr>
          <w:rFonts w:ascii="Arial Narrow" w:hAnsi="Arial Narrow" w:cs="Arial Narrow"/>
          <w:sz w:val="22"/>
          <w:szCs w:val="24"/>
        </w:rPr>
        <w:t xml:space="preserve"> V rámci </w:t>
      </w:r>
      <w:r w:rsidRPr="00FA2474">
        <w:rPr>
          <w:rFonts w:ascii="Arial Narrow" w:hAnsi="Arial Narrow" w:cs="Arial Narrow"/>
          <w:sz w:val="22"/>
          <w:szCs w:val="24"/>
        </w:rPr>
        <w:t>N</w:t>
      </w:r>
      <w:r>
        <w:rPr>
          <w:rFonts w:ascii="Arial Narrow" w:hAnsi="Arial Narrow" w:cs="Arial Narrow"/>
          <w:sz w:val="22"/>
          <w:szCs w:val="24"/>
        </w:rPr>
        <w:t>ajvyššieho súdu SR sú rozpočtované prostriedky</w:t>
      </w:r>
      <w:r w:rsidRPr="00284C5F">
        <w:rPr>
          <w:rFonts w:ascii="Arial Narrow" w:hAnsi="Arial Narrow" w:cs="Arial Narrow"/>
          <w:sz w:val="22"/>
          <w:szCs w:val="24"/>
        </w:rPr>
        <w:t xml:space="preserve"> </w:t>
      </w:r>
      <w:r>
        <w:rPr>
          <w:rFonts w:ascii="Arial Narrow" w:hAnsi="Arial Narrow" w:cs="Arial Narrow"/>
          <w:sz w:val="22"/>
          <w:szCs w:val="24"/>
        </w:rPr>
        <w:t xml:space="preserve">aj </w:t>
      </w:r>
      <w:r w:rsidRPr="00284C5F">
        <w:rPr>
          <w:rFonts w:ascii="Arial Narrow" w:hAnsi="Arial Narrow" w:cs="Arial Narrow"/>
          <w:sz w:val="22"/>
          <w:szCs w:val="24"/>
        </w:rPr>
        <w:t xml:space="preserve">na činnosť </w:t>
      </w:r>
      <w:r w:rsidRPr="00663A5C">
        <w:rPr>
          <w:rFonts w:ascii="Arial Narrow" w:hAnsi="Arial Narrow" w:cs="Arial Narrow"/>
          <w:sz w:val="22"/>
          <w:szCs w:val="24"/>
        </w:rPr>
        <w:t>Kancelárie súdnej rady S</w:t>
      </w:r>
      <w:r>
        <w:rPr>
          <w:rFonts w:ascii="Arial Narrow" w:hAnsi="Arial Narrow" w:cs="Arial Narrow"/>
          <w:sz w:val="22"/>
          <w:szCs w:val="24"/>
        </w:rPr>
        <w:t>R.</w:t>
      </w:r>
    </w:p>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V</w:t>
      </w:r>
      <w:r w:rsidRPr="00D55228">
        <w:rPr>
          <w:rFonts w:ascii="Arial Narrow" w:hAnsi="Arial Narrow" w:cs="Arial Narrow"/>
          <w:sz w:val="22"/>
          <w:szCs w:val="24"/>
        </w:rPr>
        <w:t xml:space="preserve">ýdavky </w:t>
      </w:r>
      <w:r w:rsidRPr="00D55228">
        <w:rPr>
          <w:rFonts w:ascii="Arial Narrow" w:hAnsi="Arial Narrow" w:cs="Arial Narrow"/>
          <w:b/>
          <w:sz w:val="22"/>
          <w:szCs w:val="24"/>
        </w:rPr>
        <w:t>Generáln</w:t>
      </w:r>
      <w:r>
        <w:rPr>
          <w:rFonts w:ascii="Arial Narrow" w:hAnsi="Arial Narrow" w:cs="Arial Narrow"/>
          <w:b/>
          <w:sz w:val="22"/>
          <w:szCs w:val="24"/>
        </w:rPr>
        <w:t>ej</w:t>
      </w:r>
      <w:r w:rsidRPr="00D55228">
        <w:rPr>
          <w:rFonts w:ascii="Arial Narrow" w:hAnsi="Arial Narrow" w:cs="Arial Narrow"/>
          <w:b/>
          <w:sz w:val="22"/>
          <w:szCs w:val="24"/>
        </w:rPr>
        <w:t xml:space="preserve"> prokuratúr</w:t>
      </w:r>
      <w:r>
        <w:rPr>
          <w:rFonts w:ascii="Arial Narrow" w:hAnsi="Arial Narrow" w:cs="Arial Narrow"/>
          <w:b/>
          <w:sz w:val="22"/>
          <w:szCs w:val="24"/>
        </w:rPr>
        <w:t>y</w:t>
      </w:r>
      <w:r w:rsidRPr="00D55228">
        <w:rPr>
          <w:rFonts w:ascii="Arial Narrow" w:hAnsi="Arial Narrow" w:cs="Arial Narrow"/>
          <w:b/>
          <w:sz w:val="22"/>
          <w:szCs w:val="24"/>
        </w:rPr>
        <w:t xml:space="preserve"> SR</w:t>
      </w:r>
      <w:r w:rsidRPr="00D55228">
        <w:rPr>
          <w:rFonts w:ascii="Arial Narrow" w:hAnsi="Arial Narrow" w:cs="Arial Narrow"/>
          <w:sz w:val="22"/>
          <w:szCs w:val="24"/>
        </w:rPr>
        <w:t xml:space="preserve"> sú rozpočtované </w:t>
      </w:r>
      <w:r>
        <w:rPr>
          <w:rFonts w:ascii="Arial Narrow" w:hAnsi="Arial Narrow" w:cs="Arial Narrow"/>
          <w:sz w:val="22"/>
          <w:szCs w:val="24"/>
        </w:rPr>
        <w:t xml:space="preserve">v sume 62,5 mil. eur a sú určené </w:t>
      </w:r>
      <w:r w:rsidRPr="00F07C8D">
        <w:rPr>
          <w:rFonts w:ascii="Arial Narrow" w:hAnsi="Arial Narrow" w:cs="Arial Narrow"/>
          <w:sz w:val="22"/>
          <w:szCs w:val="24"/>
        </w:rPr>
        <w:t>na presadzovanie zákonnosti</w:t>
      </w:r>
      <w:r w:rsidRPr="00F07C8D">
        <w:rPr>
          <w:rFonts w:ascii="Arial Narrow" w:hAnsi="Arial Narrow" w:cs="Arial Narrow"/>
          <w:sz w:val="22"/>
          <w:szCs w:val="24"/>
          <w:lang w:eastAsia="en-US"/>
        </w:rPr>
        <w:t>, a</w:t>
      </w:r>
      <w:r w:rsidRPr="00F07C8D">
        <w:rPr>
          <w:rFonts w:ascii="Arial Narrow" w:hAnsi="Arial Narrow" w:cs="Arial Narrow"/>
          <w:sz w:val="22"/>
          <w:szCs w:val="24"/>
        </w:rPr>
        <w:t xml:space="preserve"> efektivity vo vyšetrovacích a prokurátorských praktikách </w:t>
      </w:r>
      <w:r>
        <w:rPr>
          <w:rFonts w:ascii="Arial Narrow" w:hAnsi="Arial Narrow" w:cs="Arial Narrow"/>
          <w:sz w:val="22"/>
          <w:szCs w:val="24"/>
        </w:rPr>
        <w:t>na</w:t>
      </w:r>
      <w:r w:rsidRPr="00F07C8D">
        <w:rPr>
          <w:rFonts w:ascii="Arial Narrow" w:hAnsi="Arial Narrow" w:cs="Arial Narrow"/>
          <w:sz w:val="22"/>
          <w:szCs w:val="24"/>
        </w:rPr>
        <w:t xml:space="preserve"> kvalitn</w:t>
      </w:r>
      <w:r>
        <w:rPr>
          <w:rFonts w:ascii="Arial Narrow" w:hAnsi="Arial Narrow" w:cs="Arial Narrow"/>
          <w:sz w:val="22"/>
          <w:szCs w:val="24"/>
        </w:rPr>
        <w:t>ý</w:t>
      </w:r>
      <w:r w:rsidRPr="00F07C8D">
        <w:rPr>
          <w:rFonts w:ascii="Arial Narrow" w:hAnsi="Arial Narrow" w:cs="Arial Narrow"/>
          <w:sz w:val="22"/>
          <w:szCs w:val="24"/>
        </w:rPr>
        <w:t xml:space="preserve"> výkon a účinnos</w:t>
      </w:r>
      <w:r>
        <w:rPr>
          <w:rFonts w:ascii="Arial Narrow" w:hAnsi="Arial Narrow" w:cs="Arial Narrow"/>
          <w:sz w:val="22"/>
          <w:szCs w:val="24"/>
        </w:rPr>
        <w:t>ť</w:t>
      </w:r>
      <w:r w:rsidRPr="00F07C8D">
        <w:rPr>
          <w:rFonts w:ascii="Arial Narrow" w:hAnsi="Arial Narrow" w:cs="Arial Narrow"/>
          <w:sz w:val="22"/>
          <w:szCs w:val="24"/>
        </w:rPr>
        <w:t xml:space="preserve"> prokurátorského dozoru v trestnom konaní</w:t>
      </w:r>
      <w:r>
        <w:rPr>
          <w:rFonts w:ascii="Arial Narrow" w:hAnsi="Arial Narrow" w:cs="Arial Narrow"/>
          <w:sz w:val="22"/>
          <w:szCs w:val="24"/>
        </w:rPr>
        <w:t>, d</w:t>
      </w:r>
      <w:r w:rsidRPr="00F07C8D">
        <w:rPr>
          <w:rFonts w:ascii="Arial Narrow" w:hAnsi="Arial Narrow" w:cs="Arial Narrow"/>
          <w:sz w:val="22"/>
          <w:szCs w:val="24"/>
        </w:rPr>
        <w:t>održiavanie zákonov v netrestnej oblasti</w:t>
      </w:r>
      <w:r>
        <w:rPr>
          <w:rFonts w:ascii="Arial Narrow" w:hAnsi="Arial Narrow" w:cs="Arial Narrow"/>
          <w:sz w:val="22"/>
          <w:szCs w:val="24"/>
        </w:rPr>
        <w:t xml:space="preserve"> pre </w:t>
      </w:r>
      <w:r w:rsidRPr="00F07C8D">
        <w:rPr>
          <w:rFonts w:ascii="Arial Narrow" w:hAnsi="Arial Narrow" w:cs="Arial Narrow"/>
          <w:sz w:val="22"/>
          <w:szCs w:val="24"/>
        </w:rPr>
        <w:t>skvalitnenie postupu</w:t>
      </w:r>
      <w:r>
        <w:rPr>
          <w:rFonts w:ascii="Arial Narrow" w:hAnsi="Arial Narrow" w:cs="Arial Narrow"/>
          <w:sz w:val="22"/>
          <w:szCs w:val="24"/>
        </w:rPr>
        <w:t xml:space="preserve"> a</w:t>
      </w:r>
      <w:r w:rsidRPr="00F07C8D">
        <w:rPr>
          <w:rFonts w:ascii="Arial Narrow" w:hAnsi="Arial Narrow" w:cs="Arial Narrow"/>
          <w:sz w:val="22"/>
          <w:szCs w:val="24"/>
        </w:rPr>
        <w:t xml:space="preserve"> rozhodovania orgánov verejnej správy</w:t>
      </w:r>
      <w:r>
        <w:rPr>
          <w:rFonts w:ascii="Arial Narrow" w:hAnsi="Arial Narrow" w:cs="Arial Narrow"/>
          <w:sz w:val="22"/>
          <w:szCs w:val="24"/>
        </w:rPr>
        <w:t xml:space="preserve"> a na</w:t>
      </w:r>
      <w:r w:rsidRPr="00F07C8D">
        <w:rPr>
          <w:rFonts w:ascii="Arial Narrow" w:hAnsi="Arial Narrow" w:cs="Arial Narrow"/>
          <w:sz w:val="22"/>
          <w:szCs w:val="24"/>
        </w:rPr>
        <w:t xml:space="preserve"> </w:t>
      </w:r>
      <w:r>
        <w:rPr>
          <w:rFonts w:ascii="Arial Narrow" w:hAnsi="Arial Narrow" w:cs="Arial Narrow"/>
          <w:sz w:val="22"/>
          <w:szCs w:val="24"/>
        </w:rPr>
        <w:t>v</w:t>
      </w:r>
      <w:r w:rsidRPr="00F07C8D">
        <w:rPr>
          <w:rFonts w:ascii="Arial Narrow" w:hAnsi="Arial Narrow" w:cs="Arial Narrow"/>
          <w:sz w:val="22"/>
          <w:szCs w:val="24"/>
        </w:rPr>
        <w:t>ytvorenie priaznivých materiálnych a finančných podmienok na plnenie úloh rezortu prokuratúry.</w:t>
      </w:r>
      <w:r>
        <w:rPr>
          <w:rFonts w:ascii="Arial Narrow" w:hAnsi="Arial Narrow" w:cs="Arial Narrow"/>
          <w:sz w:val="22"/>
          <w:szCs w:val="24"/>
        </w:rPr>
        <w:t xml:space="preserve"> </w:t>
      </w:r>
    </w:p>
    <w:p w:rsidR="00312541" w:rsidRPr="00AA66FD" w:rsidP="00312541">
      <w:pPr>
        <w:jc w:val="both"/>
        <w:outlineLvl w:val="0"/>
        <w:rPr>
          <w:rFonts w:ascii="Arial Narrow" w:hAnsi="Arial Narrow" w:cs="Arial Narrow"/>
          <w:b/>
          <w:sz w:val="22"/>
          <w:szCs w:val="24"/>
        </w:rPr>
      </w:pPr>
    </w:p>
    <w:tbl>
      <w:tblPr>
        <w:tblStyle w:val="TableNormal"/>
        <w:tblW w:w="9017" w:type="dxa"/>
        <w:tblInd w:w="53" w:type="dxa"/>
        <w:tblLayout w:type="fixed"/>
        <w:tblCellMar>
          <w:left w:w="70" w:type="dxa"/>
          <w:right w:w="70" w:type="dxa"/>
        </w:tblCellMar>
      </w:tblPr>
      <w:tblGrid>
        <w:gridCol w:w="3395"/>
        <w:gridCol w:w="1405"/>
        <w:gridCol w:w="1406"/>
        <w:gridCol w:w="1405"/>
        <w:gridCol w:w="1406"/>
      </w:tblGrid>
      <w:tr>
        <w:tblPrEx>
          <w:tblW w:w="9017" w:type="dxa"/>
          <w:tblInd w:w="53" w:type="dxa"/>
          <w:tblLayout w:type="fixed"/>
          <w:tblCellMar>
            <w:left w:w="70" w:type="dxa"/>
            <w:right w:w="70" w:type="dxa"/>
          </w:tblCellMar>
        </w:tblPrEx>
        <w:trPr>
          <w:trHeight w:val="270"/>
        </w:trPr>
        <w:tc>
          <w:tcPr>
            <w:tcW w:w="3395" w:type="dxa"/>
            <w:tcBorders>
              <w:top w:val="single" w:sz="8" w:space="0" w:color="auto"/>
              <w:left w:val="single" w:sz="8" w:space="0" w:color="auto"/>
              <w:bottom w:val="single" w:sz="8" w:space="0" w:color="auto"/>
              <w:right w:val="single" w:sz="8" w:space="0" w:color="auto"/>
            </w:tcBorders>
            <w:shd w:val="clear" w:color="auto" w:fill="000000"/>
            <w:textDirection w:val="lrTb"/>
            <w:vAlign w:val="bottom"/>
          </w:tcPr>
          <w:p w:rsidR="00312541" w:rsidRPr="005023E7" w:rsidP="00A70AF6">
            <w:pPr>
              <w:jc w:val="both"/>
              <w:rPr>
                <w:rFonts w:ascii="Arial Narrow" w:hAnsi="Arial Narrow" w:cs="Arial Narrow"/>
                <w:color w:val="FFFFFF"/>
                <w:sz w:val="20"/>
                <w:szCs w:val="24"/>
                <w:lang w:eastAsia="sk-SK"/>
              </w:rPr>
            </w:pPr>
            <w:r w:rsidRPr="005023E7">
              <w:rPr>
                <w:rFonts w:ascii="Arial Narrow" w:hAnsi="Arial Narrow" w:cs="Arial Narrow"/>
                <w:color w:val="FFFFFF"/>
                <w:sz w:val="20"/>
                <w:szCs w:val="24"/>
                <w:lang w:eastAsia="sk-SK"/>
              </w:rPr>
              <w:t> </w:t>
            </w:r>
            <w:r w:rsidRPr="005023E7">
              <w:rPr>
                <w:rFonts w:ascii="Arial Narrow" w:hAnsi="Arial Narrow" w:cs="Arial Narrow"/>
                <w:b/>
                <w:color w:val="FFFFFF"/>
                <w:sz w:val="20"/>
                <w:szCs w:val="24"/>
                <w:lang w:eastAsia="sk-SK"/>
              </w:rPr>
              <w:t>(v tis.  eur)</w:t>
            </w:r>
          </w:p>
        </w:tc>
        <w:tc>
          <w:tcPr>
            <w:tcW w:w="140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2009</w:t>
            </w:r>
          </w:p>
        </w:tc>
        <w:tc>
          <w:tcPr>
            <w:tcW w:w="140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2010</w:t>
            </w:r>
          </w:p>
        </w:tc>
        <w:tc>
          <w:tcPr>
            <w:tcW w:w="140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2011</w:t>
            </w:r>
          </w:p>
        </w:tc>
        <w:tc>
          <w:tcPr>
            <w:tcW w:w="140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2012</w:t>
            </w:r>
          </w:p>
        </w:tc>
      </w:tr>
      <w:tr>
        <w:tblPrEx>
          <w:tblW w:w="9017" w:type="dxa"/>
          <w:tblInd w:w="53" w:type="dxa"/>
          <w:tblLayout w:type="fixed"/>
          <w:tblCellMar>
            <w:left w:w="70" w:type="dxa"/>
            <w:right w:w="70" w:type="dxa"/>
          </w:tblCellMar>
        </w:tblPrEx>
        <w:trPr>
          <w:trHeight w:val="270"/>
        </w:trPr>
        <w:tc>
          <w:tcPr>
            <w:tcW w:w="3395" w:type="dxa"/>
            <w:tcBorders>
              <w:top w:val="nil"/>
              <w:left w:val="single" w:sz="8" w:space="0" w:color="auto"/>
              <w:bottom w:val="single" w:sz="8" w:space="0" w:color="auto"/>
              <w:right w:val="single" w:sz="8" w:space="0" w:color="auto"/>
            </w:tcBorders>
            <w:textDirection w:val="lrTb"/>
            <w:vAlign w:val="bottom"/>
          </w:tcPr>
          <w:p w:rsidR="00312541" w:rsidRPr="005023E7" w:rsidP="00A70AF6">
            <w:pPr>
              <w:rPr>
                <w:rFonts w:ascii="Arial Narrow" w:hAnsi="Arial Narrow" w:cs="Arial Narrow"/>
                <w:sz w:val="20"/>
                <w:szCs w:val="24"/>
                <w:lang w:eastAsia="sk-SK"/>
              </w:rPr>
            </w:pPr>
            <w:r w:rsidRPr="005023E7">
              <w:rPr>
                <w:rFonts w:ascii="Arial Narrow" w:hAnsi="Arial Narrow" w:cs="Arial Narrow"/>
                <w:sz w:val="20"/>
                <w:szCs w:val="24"/>
                <w:lang w:eastAsia="sk-SK"/>
              </w:rPr>
              <w:t>Generálna prokuratúra SR</w:t>
            </w:r>
          </w:p>
        </w:tc>
        <w:tc>
          <w:tcPr>
            <w:tcW w:w="1405" w:type="dxa"/>
            <w:tcBorders>
              <w:top w:val="nil"/>
              <w:left w:val="nil"/>
              <w:bottom w:val="single" w:sz="8" w:space="0" w:color="auto"/>
              <w:right w:val="single" w:sz="8"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59 018</w:t>
            </w:r>
          </w:p>
        </w:tc>
        <w:tc>
          <w:tcPr>
            <w:tcW w:w="1406" w:type="dxa"/>
            <w:tcBorders>
              <w:top w:val="nil"/>
              <w:left w:val="nil"/>
              <w:bottom w:val="single" w:sz="8" w:space="0" w:color="auto"/>
              <w:right w:val="single" w:sz="8"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Pr>
                <w:rFonts w:ascii="Arial Narrow" w:hAnsi="Arial Narrow" w:cs="Arial Narrow"/>
                <w:sz w:val="20"/>
                <w:szCs w:val="24"/>
                <w:lang w:eastAsia="sk-SK"/>
              </w:rPr>
              <w:t>62</w:t>
            </w:r>
            <w:r w:rsidRPr="005023E7">
              <w:rPr>
                <w:rFonts w:ascii="Arial Narrow" w:hAnsi="Arial Narrow" w:cs="Arial Narrow"/>
                <w:sz w:val="20"/>
                <w:szCs w:val="24"/>
                <w:lang w:eastAsia="sk-SK"/>
              </w:rPr>
              <w:t xml:space="preserve"> 503</w:t>
            </w:r>
          </w:p>
        </w:tc>
        <w:tc>
          <w:tcPr>
            <w:tcW w:w="1405" w:type="dxa"/>
            <w:tcBorders>
              <w:top w:val="nil"/>
              <w:left w:val="nil"/>
              <w:bottom w:val="single" w:sz="8" w:space="0" w:color="auto"/>
              <w:right w:val="single" w:sz="8"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58 816</w:t>
            </w:r>
          </w:p>
        </w:tc>
        <w:tc>
          <w:tcPr>
            <w:tcW w:w="1406" w:type="dxa"/>
            <w:tcBorders>
              <w:top w:val="nil"/>
              <w:left w:val="nil"/>
              <w:bottom w:val="single" w:sz="8" w:space="0" w:color="auto"/>
              <w:right w:val="single" w:sz="8"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60 164</w:t>
            </w:r>
          </w:p>
        </w:tc>
      </w:tr>
    </w:tbl>
    <w:p w:rsidR="00312541" w:rsidRPr="002629A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P</w:t>
      </w:r>
      <w:r w:rsidRPr="00752B85">
        <w:rPr>
          <w:rFonts w:ascii="Arial Narrow" w:hAnsi="Arial Narrow" w:cs="Arial Narrow"/>
          <w:sz w:val="22"/>
          <w:szCs w:val="24"/>
        </w:rPr>
        <w:t xml:space="preserve">re </w:t>
      </w:r>
      <w:r w:rsidRPr="002837D9">
        <w:rPr>
          <w:rFonts w:ascii="Arial Narrow" w:hAnsi="Arial Narrow" w:cs="Arial Narrow"/>
          <w:b/>
          <w:sz w:val="22"/>
          <w:szCs w:val="24"/>
        </w:rPr>
        <w:t>väzenstvo</w:t>
      </w:r>
      <w:r w:rsidRPr="00752B85">
        <w:rPr>
          <w:rFonts w:ascii="Arial Narrow" w:hAnsi="Arial Narrow" w:cs="Arial Narrow"/>
          <w:sz w:val="22"/>
          <w:szCs w:val="24"/>
        </w:rPr>
        <w:t xml:space="preserve"> </w:t>
      </w:r>
      <w:r>
        <w:rPr>
          <w:rFonts w:ascii="Arial Narrow" w:hAnsi="Arial Narrow" w:cs="Arial Narrow"/>
          <w:sz w:val="22"/>
          <w:szCs w:val="24"/>
        </w:rPr>
        <w:t xml:space="preserve">sa v </w:t>
      </w:r>
      <w:r w:rsidRPr="00743333">
        <w:rPr>
          <w:rFonts w:ascii="Arial Narrow" w:hAnsi="Arial Narrow" w:cs="Arial Narrow"/>
          <w:sz w:val="22"/>
          <w:szCs w:val="24"/>
        </w:rPr>
        <w:t>rok</w:t>
      </w:r>
      <w:r>
        <w:rPr>
          <w:rFonts w:ascii="Arial Narrow" w:hAnsi="Arial Narrow" w:cs="Arial Narrow"/>
          <w:sz w:val="22"/>
          <w:szCs w:val="24"/>
        </w:rPr>
        <w:t>u</w:t>
      </w:r>
      <w:r w:rsidRPr="00743333">
        <w:rPr>
          <w:rFonts w:ascii="Arial Narrow" w:hAnsi="Arial Narrow" w:cs="Arial Narrow"/>
          <w:sz w:val="22"/>
          <w:szCs w:val="24"/>
        </w:rPr>
        <w:t xml:space="preserve"> 20</w:t>
      </w:r>
      <w:r>
        <w:rPr>
          <w:rFonts w:ascii="Arial Narrow" w:hAnsi="Arial Narrow" w:cs="Arial Narrow"/>
          <w:sz w:val="22"/>
          <w:szCs w:val="24"/>
        </w:rPr>
        <w:t>1</w:t>
      </w:r>
      <w:r w:rsidRPr="00743333">
        <w:rPr>
          <w:rFonts w:ascii="Arial Narrow" w:hAnsi="Arial Narrow" w:cs="Arial Narrow"/>
          <w:sz w:val="22"/>
          <w:szCs w:val="24"/>
        </w:rPr>
        <w:t xml:space="preserve">0 </w:t>
      </w:r>
      <w:r>
        <w:rPr>
          <w:rFonts w:ascii="Arial Narrow" w:hAnsi="Arial Narrow" w:cs="Arial Narrow"/>
          <w:sz w:val="22"/>
          <w:szCs w:val="24"/>
        </w:rPr>
        <w:t xml:space="preserve">rozpočtujú výdavky pre predpokladaný priemerný </w:t>
      </w:r>
      <w:r w:rsidRPr="00F06F66">
        <w:rPr>
          <w:rFonts w:ascii="Arial Narrow" w:hAnsi="Arial Narrow" w:cs="Arial Narrow"/>
          <w:sz w:val="22"/>
          <w:szCs w:val="24"/>
        </w:rPr>
        <w:t xml:space="preserve">počet </w:t>
      </w:r>
      <w:r>
        <w:rPr>
          <w:rFonts w:ascii="Arial Narrow" w:hAnsi="Arial Narrow" w:cs="Arial Narrow"/>
          <w:sz w:val="22"/>
          <w:szCs w:val="24"/>
        </w:rPr>
        <w:t>9 514</w:t>
      </w:r>
      <w:r w:rsidRPr="00F06F66">
        <w:rPr>
          <w:rFonts w:ascii="Arial Narrow" w:hAnsi="Arial Narrow" w:cs="Arial Narrow"/>
          <w:sz w:val="22"/>
          <w:szCs w:val="24"/>
        </w:rPr>
        <w:t xml:space="preserve"> väznených</w:t>
      </w:r>
      <w:r>
        <w:rPr>
          <w:rFonts w:ascii="Arial Narrow" w:hAnsi="Arial Narrow" w:cs="Arial Narrow"/>
          <w:sz w:val="22"/>
          <w:szCs w:val="24"/>
        </w:rPr>
        <w:t xml:space="preserve"> osôb, čo v priemere na jedného väzňa ročne</w:t>
      </w:r>
      <w:r w:rsidRPr="00B231EF">
        <w:rPr>
          <w:rFonts w:ascii="Arial Narrow" w:hAnsi="Arial Narrow" w:cs="Arial Narrow"/>
          <w:sz w:val="22"/>
          <w:szCs w:val="24"/>
        </w:rPr>
        <w:t xml:space="preserve"> </w:t>
      </w:r>
      <w:r>
        <w:rPr>
          <w:rFonts w:ascii="Arial Narrow" w:hAnsi="Arial Narrow" w:cs="Arial Narrow"/>
          <w:sz w:val="22"/>
          <w:szCs w:val="24"/>
        </w:rPr>
        <w:t>predstavuje sumu 13,5 tis. eur</w:t>
      </w:r>
      <w:r w:rsidRPr="00E82406">
        <w:rPr>
          <w:rFonts w:ascii="Arial Narrow" w:hAnsi="Arial Narrow" w:cs="Arial Narrow"/>
          <w:sz w:val="22"/>
          <w:szCs w:val="24"/>
        </w:rPr>
        <w:t>.</w:t>
      </w:r>
      <w:r>
        <w:rPr>
          <w:rFonts w:ascii="Arial Narrow" w:hAnsi="Arial Narrow" w:cs="Arial Narrow"/>
          <w:sz w:val="22"/>
          <w:szCs w:val="24"/>
        </w:rPr>
        <w:t xml:space="preserve"> </w:t>
      </w:r>
      <w:r w:rsidRPr="005E2A99">
        <w:rPr>
          <w:rFonts w:ascii="Arial Narrow" w:hAnsi="Arial Narrow" w:cs="Arial Narrow"/>
          <w:sz w:val="22"/>
          <w:szCs w:val="24"/>
        </w:rPr>
        <w:t xml:space="preserve">V porovnaní s rokom 2006 sú výdavky </w:t>
      </w:r>
      <w:r>
        <w:rPr>
          <w:rFonts w:ascii="Arial Narrow" w:hAnsi="Arial Narrow" w:cs="Arial Narrow"/>
          <w:sz w:val="22"/>
          <w:szCs w:val="24"/>
        </w:rPr>
        <w:t>väzenstva</w:t>
      </w:r>
      <w:r w:rsidRPr="005E2A99">
        <w:rPr>
          <w:rFonts w:ascii="Arial Narrow" w:hAnsi="Arial Narrow" w:cs="Arial Narrow"/>
          <w:sz w:val="22"/>
          <w:szCs w:val="24"/>
        </w:rPr>
        <w:t xml:space="preserve"> v roku 20</w:t>
      </w:r>
      <w:r>
        <w:rPr>
          <w:rFonts w:ascii="Arial Narrow" w:hAnsi="Arial Narrow" w:cs="Arial Narrow"/>
          <w:sz w:val="22"/>
          <w:szCs w:val="24"/>
        </w:rPr>
        <w:t>1</w:t>
      </w:r>
      <w:r w:rsidRPr="005E2A99">
        <w:rPr>
          <w:rFonts w:ascii="Arial Narrow" w:hAnsi="Arial Narrow" w:cs="Arial Narrow"/>
          <w:sz w:val="22"/>
          <w:szCs w:val="24"/>
        </w:rPr>
        <w:t>0 vyššie o</w:t>
      </w:r>
      <w:r>
        <w:rPr>
          <w:rFonts w:ascii="Arial Narrow" w:hAnsi="Arial Narrow" w:cs="Arial Narrow"/>
          <w:sz w:val="22"/>
          <w:szCs w:val="24"/>
        </w:rPr>
        <w:t> 13,3 %.</w:t>
      </w:r>
      <w:r w:rsidRPr="007775A4">
        <w:rPr>
          <w:rFonts w:ascii="Arial Narrow" w:hAnsi="Arial Narrow" w:cs="Arial Narrow"/>
          <w:sz w:val="22"/>
          <w:szCs w:val="24"/>
        </w:rPr>
        <w:t xml:space="preserve"> </w:t>
      </w:r>
      <w:r>
        <w:rPr>
          <w:rFonts w:ascii="Arial Narrow" w:hAnsi="Arial Narrow" w:cs="Arial Narrow"/>
          <w:sz w:val="22"/>
          <w:szCs w:val="24"/>
        </w:rPr>
        <w:t>V</w:t>
      </w:r>
      <w:r w:rsidRPr="005F1148">
        <w:rPr>
          <w:rFonts w:ascii="Arial Narrow" w:hAnsi="Arial Narrow" w:cs="Arial Narrow"/>
          <w:sz w:val="22"/>
          <w:szCs w:val="24"/>
        </w:rPr>
        <w:t xml:space="preserve">ýdavky na riešenie potrieb </w:t>
      </w:r>
      <w:r w:rsidRPr="002837D9">
        <w:rPr>
          <w:rFonts w:ascii="Arial Narrow" w:hAnsi="Arial Narrow" w:cs="Arial Narrow"/>
          <w:sz w:val="22"/>
          <w:szCs w:val="24"/>
        </w:rPr>
        <w:t>väzenstva</w:t>
      </w:r>
      <w:r>
        <w:rPr>
          <w:rFonts w:ascii="Arial Narrow" w:hAnsi="Arial Narrow" w:cs="Arial Narrow"/>
          <w:b/>
          <w:sz w:val="22"/>
          <w:szCs w:val="24"/>
        </w:rPr>
        <w:t xml:space="preserve"> </w:t>
      </w:r>
      <w:r w:rsidRPr="005F1148">
        <w:rPr>
          <w:rFonts w:ascii="Arial Narrow" w:hAnsi="Arial Narrow" w:cs="Arial Narrow"/>
          <w:sz w:val="22"/>
          <w:szCs w:val="24"/>
        </w:rPr>
        <w:t>pokrývajú finančné zabezpečenie výkonu väzby a výkonu trestu odňatia slobody</w:t>
      </w:r>
      <w:r>
        <w:rPr>
          <w:rFonts w:ascii="Arial Narrow" w:hAnsi="Arial Narrow" w:cs="Arial Narrow"/>
          <w:sz w:val="22"/>
          <w:szCs w:val="24"/>
        </w:rPr>
        <w:t xml:space="preserve">, vrátane </w:t>
      </w:r>
      <w:r w:rsidRPr="005F1148">
        <w:rPr>
          <w:rFonts w:ascii="Arial Narrow" w:hAnsi="Arial Narrow" w:cs="Arial Narrow"/>
          <w:sz w:val="22"/>
          <w:szCs w:val="24"/>
        </w:rPr>
        <w:t>súvisiacej ochrany a stráženia objektov</w:t>
      </w:r>
      <w:r>
        <w:rPr>
          <w:rFonts w:ascii="Arial Narrow" w:hAnsi="Arial Narrow" w:cs="Arial Narrow"/>
          <w:sz w:val="22"/>
          <w:szCs w:val="24"/>
        </w:rPr>
        <w:t>, ako aj</w:t>
      </w:r>
      <w:r w:rsidRPr="005F1148">
        <w:rPr>
          <w:rFonts w:ascii="Arial Narrow" w:hAnsi="Arial Narrow" w:cs="Arial Narrow"/>
          <w:sz w:val="22"/>
          <w:szCs w:val="24"/>
        </w:rPr>
        <w:t xml:space="preserve"> zabezpečenia ochrany poriadku a bezpečnosti v súdnych objektoch. </w:t>
      </w:r>
      <w:r w:rsidRPr="00E82406">
        <w:rPr>
          <w:rFonts w:ascii="Arial Narrow" w:hAnsi="Arial Narrow" w:cs="Arial Narrow"/>
          <w:sz w:val="22"/>
          <w:szCs w:val="24"/>
        </w:rPr>
        <w:t xml:space="preserve">Plánovaný stav zamestnancov </w:t>
      </w:r>
      <w:r w:rsidRPr="00E82406">
        <w:rPr>
          <w:rFonts w:ascii="Arial Narrow" w:hAnsi="Arial Narrow" w:cs="Arial Narrow"/>
          <w:sz w:val="22"/>
          <w:szCs w:val="24"/>
          <w:lang w:val="cs-CZ"/>
        </w:rPr>
        <w:t>Z</w:t>
      </w:r>
      <w:r>
        <w:rPr>
          <w:rFonts w:ascii="Arial Narrow" w:hAnsi="Arial Narrow" w:cs="Arial Narrow"/>
          <w:sz w:val="22"/>
          <w:szCs w:val="24"/>
          <w:lang w:val="cs-CZ"/>
        </w:rPr>
        <w:t>bor</w:t>
      </w:r>
      <w:r w:rsidR="00542EC0">
        <w:rPr>
          <w:rFonts w:ascii="Arial Narrow" w:hAnsi="Arial Narrow" w:cs="Arial Narrow"/>
          <w:sz w:val="22"/>
          <w:szCs w:val="24"/>
          <w:lang w:val="cs-CZ"/>
        </w:rPr>
        <w:t>u</w:t>
      </w:r>
      <w:r>
        <w:rPr>
          <w:rFonts w:ascii="Arial Narrow" w:hAnsi="Arial Narrow" w:cs="Arial Narrow"/>
          <w:sz w:val="22"/>
          <w:szCs w:val="24"/>
          <w:lang w:val="cs-CZ"/>
        </w:rPr>
        <w:t xml:space="preserve"> väzenskej a justičnej stráže</w:t>
      </w:r>
      <w:r w:rsidRPr="006B3382">
        <w:rPr>
          <w:rFonts w:ascii="Arial Narrow" w:hAnsi="Arial Narrow" w:cs="Arial Narrow"/>
          <w:b/>
          <w:sz w:val="22"/>
          <w:szCs w:val="24"/>
        </w:rPr>
        <w:t xml:space="preserve"> </w:t>
      </w:r>
      <w:r w:rsidRPr="008A498B">
        <w:rPr>
          <w:rFonts w:ascii="Arial Narrow" w:hAnsi="Arial Narrow" w:cs="Arial Narrow"/>
          <w:sz w:val="22"/>
          <w:szCs w:val="24"/>
        </w:rPr>
        <w:t>SR</w:t>
      </w:r>
      <w:r>
        <w:rPr>
          <w:rFonts w:ascii="Arial Narrow" w:hAnsi="Arial Narrow" w:cs="Arial Narrow"/>
          <w:b/>
          <w:sz w:val="22"/>
          <w:szCs w:val="24"/>
        </w:rPr>
        <w:t xml:space="preserve"> </w:t>
      </w:r>
      <w:r w:rsidRPr="009B7DA0">
        <w:rPr>
          <w:rFonts w:ascii="Arial Narrow" w:hAnsi="Arial Narrow" w:cs="Arial Narrow"/>
          <w:sz w:val="22"/>
          <w:szCs w:val="24"/>
        </w:rPr>
        <w:t xml:space="preserve">je </w:t>
      </w:r>
      <w:r w:rsidRPr="00FB702E">
        <w:rPr>
          <w:rFonts w:ascii="Arial Narrow" w:hAnsi="Arial Narrow" w:cs="Arial Narrow"/>
          <w:sz w:val="22"/>
          <w:szCs w:val="24"/>
        </w:rPr>
        <w:t>5 450 osôb, z toho 5 073 príslušníkov Z</w:t>
      </w:r>
      <w:r>
        <w:rPr>
          <w:rFonts w:ascii="Arial Narrow" w:hAnsi="Arial Narrow" w:cs="Arial Narrow"/>
          <w:sz w:val="22"/>
          <w:szCs w:val="24"/>
        </w:rPr>
        <w:t>boru väzenskej a justičnej stráže SR</w:t>
      </w:r>
      <w:r w:rsidRPr="00FB702E">
        <w:rPr>
          <w:rFonts w:ascii="Arial Narrow" w:hAnsi="Arial Narrow" w:cs="Arial Narrow"/>
          <w:sz w:val="22"/>
          <w:szCs w:val="24"/>
        </w:rPr>
        <w:t xml:space="preserve"> a 377 zamestnancov zamestnávaných vo verejnom záujme</w:t>
      </w:r>
      <w:r>
        <w:rPr>
          <w:rFonts w:ascii="Arial Narrow" w:hAnsi="Arial Narrow" w:cs="Arial Narrow"/>
          <w:sz w:val="22"/>
          <w:szCs w:val="24"/>
        </w:rPr>
        <w:t>.</w:t>
      </w:r>
      <w:r w:rsidRPr="005F1148">
        <w:rPr>
          <w:rFonts w:ascii="Arial Narrow" w:hAnsi="Arial Narrow" w:cs="Arial Narrow"/>
          <w:sz w:val="22"/>
          <w:szCs w:val="24"/>
        </w:rPr>
        <w:t xml:space="preserve"> </w:t>
      </w:r>
    </w:p>
    <w:p w:rsidR="00312541" w:rsidP="00312541">
      <w:pPr>
        <w:jc w:val="both"/>
        <w:rPr>
          <w:rFonts w:ascii="Arial Narrow" w:hAnsi="Arial Narrow" w:cs="Arial Narrow"/>
          <w:sz w:val="22"/>
          <w:szCs w:val="24"/>
        </w:rPr>
      </w:pPr>
    </w:p>
    <w:tbl>
      <w:tblPr>
        <w:tblStyle w:val="TableNormal"/>
        <w:tblW w:w="9017" w:type="dxa"/>
        <w:tblInd w:w="53" w:type="dxa"/>
        <w:tblLayout w:type="fixed"/>
        <w:tblCellMar>
          <w:left w:w="70" w:type="dxa"/>
          <w:right w:w="70" w:type="dxa"/>
        </w:tblCellMar>
      </w:tblPr>
      <w:tblGrid>
        <w:gridCol w:w="3395"/>
        <w:gridCol w:w="1405"/>
        <w:gridCol w:w="1406"/>
        <w:gridCol w:w="1405"/>
        <w:gridCol w:w="1406"/>
      </w:tblGrid>
      <w:tr>
        <w:tblPrEx>
          <w:tblW w:w="9017" w:type="dxa"/>
          <w:tblInd w:w="53" w:type="dxa"/>
          <w:tblLayout w:type="fixed"/>
          <w:tblCellMar>
            <w:left w:w="70" w:type="dxa"/>
            <w:right w:w="70" w:type="dxa"/>
          </w:tblCellMar>
        </w:tblPrEx>
        <w:trPr>
          <w:trHeight w:val="270"/>
        </w:trPr>
        <w:tc>
          <w:tcPr>
            <w:tcW w:w="3395" w:type="dxa"/>
            <w:tcBorders>
              <w:top w:val="single" w:sz="8" w:space="0" w:color="auto"/>
              <w:left w:val="single" w:sz="8" w:space="0" w:color="auto"/>
              <w:bottom w:val="single" w:sz="8" w:space="0" w:color="auto"/>
              <w:right w:val="single" w:sz="8" w:space="0" w:color="auto"/>
            </w:tcBorders>
            <w:shd w:val="clear" w:color="auto" w:fill="000000"/>
            <w:textDirection w:val="lrTb"/>
            <w:vAlign w:val="bottom"/>
          </w:tcPr>
          <w:p w:rsidR="00312541" w:rsidRPr="005023E7" w:rsidP="00A70AF6">
            <w:pPr>
              <w:jc w:val="both"/>
              <w:rPr>
                <w:rFonts w:ascii="Arial Narrow" w:hAnsi="Arial Narrow" w:cs="Arial Narrow"/>
                <w:color w:val="FFFFFF"/>
                <w:sz w:val="20"/>
                <w:szCs w:val="24"/>
                <w:lang w:eastAsia="sk-SK"/>
              </w:rPr>
            </w:pPr>
            <w:r w:rsidRPr="005023E7">
              <w:rPr>
                <w:rFonts w:ascii="Arial Narrow" w:hAnsi="Arial Narrow" w:cs="Arial Narrow"/>
                <w:color w:val="FFFFFF"/>
                <w:sz w:val="20"/>
                <w:szCs w:val="24"/>
                <w:lang w:eastAsia="sk-SK"/>
              </w:rPr>
              <w:t> </w:t>
            </w:r>
            <w:r w:rsidRPr="005023E7">
              <w:rPr>
                <w:rFonts w:ascii="Arial Narrow" w:hAnsi="Arial Narrow" w:cs="Arial Narrow"/>
                <w:b/>
                <w:color w:val="FFFFFF"/>
                <w:sz w:val="20"/>
                <w:szCs w:val="24"/>
                <w:lang w:eastAsia="sk-SK"/>
              </w:rPr>
              <w:t xml:space="preserve">(v tis. </w:t>
            </w:r>
            <w:r>
              <w:rPr>
                <w:rFonts w:ascii="Arial Narrow" w:hAnsi="Arial Narrow" w:cs="Arial Narrow"/>
                <w:b/>
                <w:color w:val="FFFFFF"/>
                <w:sz w:val="20"/>
                <w:szCs w:val="24"/>
                <w:lang w:eastAsia="sk-SK"/>
              </w:rPr>
              <w:t>e</w:t>
            </w:r>
            <w:r w:rsidRPr="005023E7">
              <w:rPr>
                <w:rFonts w:ascii="Arial Narrow" w:hAnsi="Arial Narrow" w:cs="Arial Narrow"/>
                <w:b/>
                <w:color w:val="FFFFFF"/>
                <w:sz w:val="20"/>
                <w:szCs w:val="24"/>
                <w:lang w:eastAsia="sk-SK"/>
              </w:rPr>
              <w:t>ur)</w:t>
            </w:r>
          </w:p>
        </w:tc>
        <w:tc>
          <w:tcPr>
            <w:tcW w:w="140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2009</w:t>
            </w:r>
          </w:p>
        </w:tc>
        <w:tc>
          <w:tcPr>
            <w:tcW w:w="140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2010</w:t>
            </w:r>
          </w:p>
        </w:tc>
        <w:tc>
          <w:tcPr>
            <w:tcW w:w="140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2011</w:t>
            </w:r>
          </w:p>
        </w:tc>
        <w:tc>
          <w:tcPr>
            <w:tcW w:w="140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5023E7" w:rsidP="00A70AF6">
            <w:pPr>
              <w:jc w:val="center"/>
              <w:rPr>
                <w:rFonts w:ascii="Arial Narrow" w:hAnsi="Arial Narrow" w:cs="Arial Narrow"/>
                <w:b/>
                <w:color w:val="FFFFFF"/>
                <w:sz w:val="20"/>
                <w:szCs w:val="24"/>
                <w:lang w:eastAsia="sk-SK"/>
              </w:rPr>
            </w:pPr>
            <w:r w:rsidRPr="005023E7">
              <w:rPr>
                <w:rFonts w:ascii="Arial Narrow" w:hAnsi="Arial Narrow" w:cs="Arial Narrow"/>
                <w:b/>
                <w:color w:val="FFFFFF"/>
                <w:sz w:val="20"/>
                <w:szCs w:val="24"/>
                <w:lang w:eastAsia="sk-SK"/>
              </w:rPr>
              <w:t>2012</w:t>
            </w:r>
          </w:p>
        </w:tc>
      </w:tr>
      <w:tr>
        <w:tblPrEx>
          <w:tblW w:w="9017" w:type="dxa"/>
          <w:tblInd w:w="53" w:type="dxa"/>
          <w:tblLayout w:type="fixed"/>
          <w:tblCellMar>
            <w:left w:w="70" w:type="dxa"/>
            <w:right w:w="70" w:type="dxa"/>
          </w:tblCellMar>
        </w:tblPrEx>
        <w:trPr>
          <w:trHeight w:val="270"/>
        </w:trPr>
        <w:tc>
          <w:tcPr>
            <w:tcW w:w="3395" w:type="dxa"/>
            <w:tcBorders>
              <w:top w:val="nil"/>
              <w:left w:val="single" w:sz="8" w:space="0" w:color="auto"/>
              <w:bottom w:val="single" w:sz="8" w:space="0" w:color="auto"/>
              <w:right w:val="single" w:sz="8" w:space="0" w:color="auto"/>
            </w:tcBorders>
            <w:textDirection w:val="lrTb"/>
            <w:vAlign w:val="bottom"/>
          </w:tcPr>
          <w:p w:rsidR="00312541" w:rsidRPr="005023E7" w:rsidP="00A70AF6">
            <w:pPr>
              <w:rPr>
                <w:rFonts w:ascii="Arial Narrow" w:hAnsi="Arial Narrow" w:cs="Arial Narrow"/>
                <w:sz w:val="20"/>
                <w:szCs w:val="24"/>
                <w:lang w:eastAsia="sk-SK"/>
              </w:rPr>
            </w:pPr>
            <w:r w:rsidRPr="005023E7">
              <w:rPr>
                <w:rFonts w:ascii="Arial Narrow" w:hAnsi="Arial Narrow" w:cs="Arial Narrow"/>
                <w:sz w:val="20"/>
                <w:szCs w:val="24"/>
                <w:lang w:eastAsia="sk-SK"/>
              </w:rPr>
              <w:t>Výdavky na riešenie potrieb väzenstva</w:t>
            </w:r>
          </w:p>
        </w:tc>
        <w:tc>
          <w:tcPr>
            <w:tcW w:w="1405" w:type="dxa"/>
            <w:tcBorders>
              <w:top w:val="nil"/>
              <w:left w:val="nil"/>
              <w:bottom w:val="single" w:sz="8" w:space="0" w:color="auto"/>
              <w:right w:val="single" w:sz="8" w:space="0" w:color="auto"/>
            </w:tcBorders>
            <w:noWrap/>
            <w:textDirection w:val="lrTb"/>
            <w:vAlign w:val="bottom"/>
          </w:tcPr>
          <w:p w:rsidR="00312541" w:rsidRPr="005023E7" w:rsidP="00A70AF6">
            <w:pPr>
              <w:jc w:val="right"/>
              <w:rPr>
                <w:rFonts w:ascii="Arial Narrow" w:hAnsi="Arial Narrow" w:cs="Arial Narrow"/>
                <w:sz w:val="20"/>
                <w:szCs w:val="24"/>
                <w:lang w:eastAsia="sk-SK"/>
              </w:rPr>
            </w:pPr>
            <w:r w:rsidRPr="005023E7">
              <w:rPr>
                <w:rFonts w:ascii="Arial Narrow" w:hAnsi="Arial Narrow" w:cs="Arial Narrow"/>
                <w:sz w:val="20"/>
                <w:szCs w:val="24"/>
                <w:lang w:eastAsia="sk-SK"/>
              </w:rPr>
              <w:t>135 971</w:t>
            </w:r>
          </w:p>
        </w:tc>
        <w:tc>
          <w:tcPr>
            <w:tcW w:w="1406"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128 461</w:t>
            </w:r>
          </w:p>
        </w:tc>
        <w:tc>
          <w:tcPr>
            <w:tcW w:w="1405"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125 997</w:t>
            </w:r>
          </w:p>
        </w:tc>
        <w:tc>
          <w:tcPr>
            <w:tcW w:w="1406" w:type="dxa"/>
            <w:tcBorders>
              <w:top w:val="nil"/>
              <w:left w:val="nil"/>
              <w:bottom w:val="single" w:sz="8" w:space="0" w:color="auto"/>
              <w:right w:val="single" w:sz="8"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125 988</w:t>
            </w:r>
          </w:p>
        </w:tc>
      </w:tr>
    </w:tbl>
    <w:p w:rsidR="00312541" w:rsidP="00312541">
      <w:pPr>
        <w:ind w:firstLine="708"/>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V</w:t>
      </w:r>
      <w:r w:rsidRPr="00186155">
        <w:rPr>
          <w:rFonts w:ascii="Arial Narrow" w:hAnsi="Arial Narrow" w:cs="Arial Narrow"/>
          <w:sz w:val="22"/>
          <w:szCs w:val="24"/>
        </w:rPr>
        <w:t> ústavoch na výkon väzby a v ústavoch na výkon trestu odňatia slobody</w:t>
      </w:r>
      <w:r>
        <w:rPr>
          <w:rFonts w:ascii="Arial Narrow" w:hAnsi="Arial Narrow" w:cs="Arial Narrow"/>
          <w:sz w:val="22"/>
          <w:szCs w:val="24"/>
        </w:rPr>
        <w:t xml:space="preserve"> bolo ku </w:t>
      </w:r>
      <w:r w:rsidRPr="006E2DC1">
        <w:rPr>
          <w:rFonts w:ascii="Arial Narrow" w:hAnsi="Arial Narrow" w:cs="Arial Narrow"/>
          <w:sz w:val="22"/>
          <w:szCs w:val="24"/>
        </w:rPr>
        <w:t xml:space="preserve">dňu </w:t>
      </w:r>
      <w:r>
        <w:rPr>
          <w:rFonts w:ascii="Arial Narrow" w:hAnsi="Arial Narrow" w:cs="Arial Narrow"/>
          <w:sz w:val="22"/>
          <w:szCs w:val="24"/>
        </w:rPr>
        <w:t>1.</w:t>
      </w:r>
      <w:r w:rsidRPr="006E2DC1">
        <w:rPr>
          <w:rFonts w:ascii="Arial Narrow" w:hAnsi="Arial Narrow" w:cs="Arial Narrow"/>
          <w:sz w:val="22"/>
          <w:szCs w:val="24"/>
        </w:rPr>
        <w:t xml:space="preserve"> </w:t>
      </w:r>
      <w:r>
        <w:rPr>
          <w:rFonts w:ascii="Arial Narrow" w:hAnsi="Arial Narrow" w:cs="Arial Narrow"/>
          <w:sz w:val="22"/>
          <w:szCs w:val="24"/>
        </w:rPr>
        <w:t>augustu</w:t>
      </w:r>
      <w:r w:rsidRPr="00C563A9">
        <w:rPr>
          <w:rFonts w:ascii="Arial Narrow" w:hAnsi="Arial Narrow" w:cs="Arial Narrow"/>
          <w:sz w:val="22"/>
          <w:szCs w:val="24"/>
        </w:rPr>
        <w:t xml:space="preserve"> 200</w:t>
      </w:r>
      <w:r>
        <w:rPr>
          <w:rFonts w:ascii="Arial Narrow" w:hAnsi="Arial Narrow" w:cs="Arial Narrow"/>
          <w:sz w:val="22"/>
          <w:szCs w:val="24"/>
        </w:rPr>
        <w:t>9 umiestnených 8</w:t>
      </w:r>
      <w:r w:rsidRPr="005F1148">
        <w:rPr>
          <w:rFonts w:ascii="Arial Narrow" w:hAnsi="Arial Narrow" w:cs="Arial Narrow"/>
          <w:sz w:val="22"/>
          <w:szCs w:val="24"/>
        </w:rPr>
        <w:t xml:space="preserve"> </w:t>
      </w:r>
      <w:r>
        <w:rPr>
          <w:rFonts w:ascii="Arial Narrow" w:hAnsi="Arial Narrow" w:cs="Arial Narrow"/>
          <w:sz w:val="22"/>
          <w:szCs w:val="24"/>
        </w:rPr>
        <w:t>992</w:t>
      </w:r>
      <w:r w:rsidRPr="005F1148">
        <w:rPr>
          <w:rFonts w:ascii="Arial Narrow" w:hAnsi="Arial Narrow" w:cs="Arial Narrow"/>
          <w:sz w:val="22"/>
          <w:szCs w:val="24"/>
        </w:rPr>
        <w:t xml:space="preserve"> osôb, z toho 1 </w:t>
      </w:r>
      <w:r>
        <w:rPr>
          <w:rFonts w:ascii="Arial Narrow" w:hAnsi="Arial Narrow" w:cs="Arial Narrow"/>
          <w:sz w:val="22"/>
          <w:szCs w:val="24"/>
        </w:rPr>
        <w:t>658</w:t>
      </w:r>
      <w:r w:rsidRPr="005F1148">
        <w:rPr>
          <w:rFonts w:ascii="Arial Narrow" w:hAnsi="Arial Narrow" w:cs="Arial Narrow"/>
          <w:sz w:val="22"/>
          <w:szCs w:val="24"/>
        </w:rPr>
        <w:t xml:space="preserve"> obvinen</w:t>
      </w:r>
      <w:r>
        <w:rPr>
          <w:rFonts w:ascii="Arial Narrow" w:hAnsi="Arial Narrow" w:cs="Arial Narrow"/>
          <w:sz w:val="22"/>
          <w:szCs w:val="24"/>
        </w:rPr>
        <w:t>ý</w:t>
      </w:r>
      <w:r w:rsidRPr="005F1148">
        <w:rPr>
          <w:rFonts w:ascii="Arial Narrow" w:hAnsi="Arial Narrow" w:cs="Arial Narrow"/>
          <w:sz w:val="22"/>
          <w:szCs w:val="24"/>
        </w:rPr>
        <w:t xml:space="preserve">ch a </w:t>
      </w:r>
      <w:r>
        <w:rPr>
          <w:rFonts w:ascii="Arial Narrow" w:hAnsi="Arial Narrow" w:cs="Arial Narrow"/>
          <w:sz w:val="22"/>
          <w:szCs w:val="24"/>
        </w:rPr>
        <w:t>7</w:t>
      </w:r>
      <w:r w:rsidRPr="005F1148">
        <w:rPr>
          <w:rFonts w:ascii="Arial Narrow" w:hAnsi="Arial Narrow" w:cs="Arial Narrow"/>
          <w:sz w:val="22"/>
          <w:szCs w:val="24"/>
        </w:rPr>
        <w:t xml:space="preserve"> </w:t>
      </w:r>
      <w:r>
        <w:rPr>
          <w:rFonts w:ascii="Arial Narrow" w:hAnsi="Arial Narrow" w:cs="Arial Narrow"/>
          <w:sz w:val="22"/>
          <w:szCs w:val="24"/>
        </w:rPr>
        <w:t>334</w:t>
      </w:r>
      <w:r w:rsidRPr="005F1148">
        <w:rPr>
          <w:rFonts w:ascii="Arial Narrow" w:hAnsi="Arial Narrow" w:cs="Arial Narrow"/>
          <w:sz w:val="22"/>
          <w:szCs w:val="24"/>
        </w:rPr>
        <w:t xml:space="preserve"> odsúdených. Vývoj priemerných počto</w:t>
      </w:r>
      <w:r>
        <w:rPr>
          <w:rFonts w:ascii="Arial Narrow" w:hAnsi="Arial Narrow" w:cs="Arial Narrow"/>
          <w:sz w:val="22"/>
          <w:szCs w:val="24"/>
        </w:rPr>
        <w:t>v</w:t>
      </w:r>
      <w:r w:rsidRPr="005F1148">
        <w:rPr>
          <w:rFonts w:ascii="Arial Narrow" w:hAnsi="Arial Narrow" w:cs="Arial Narrow"/>
          <w:sz w:val="22"/>
          <w:szCs w:val="24"/>
        </w:rPr>
        <w:t xml:space="preserve"> obvinených a odsúdených v minulých </w:t>
      </w:r>
      <w:r w:rsidRPr="00440338">
        <w:rPr>
          <w:rFonts w:ascii="Arial Narrow" w:hAnsi="Arial Narrow" w:cs="Arial Narrow"/>
          <w:sz w:val="22"/>
          <w:szCs w:val="24"/>
        </w:rPr>
        <w:t>rokoch a očakávané priemerné počty v rokoch 200</w:t>
      </w:r>
      <w:r>
        <w:rPr>
          <w:rFonts w:ascii="Arial Narrow" w:hAnsi="Arial Narrow" w:cs="Arial Narrow"/>
          <w:sz w:val="22"/>
          <w:szCs w:val="24"/>
        </w:rPr>
        <w:t>4</w:t>
      </w:r>
      <w:r w:rsidRPr="00440338">
        <w:rPr>
          <w:rFonts w:ascii="Arial Narrow" w:hAnsi="Arial Narrow" w:cs="Arial Narrow"/>
          <w:sz w:val="22"/>
          <w:szCs w:val="24"/>
        </w:rPr>
        <w:t xml:space="preserve"> </w:t>
      </w:r>
      <w:r>
        <w:rPr>
          <w:rFonts w:ascii="Arial Narrow" w:hAnsi="Arial Narrow" w:cs="Arial Narrow"/>
          <w:sz w:val="22"/>
          <w:szCs w:val="24"/>
        </w:rPr>
        <w:t>až</w:t>
      </w:r>
      <w:r w:rsidRPr="00440338">
        <w:rPr>
          <w:rFonts w:ascii="Arial Narrow" w:hAnsi="Arial Narrow" w:cs="Arial Narrow"/>
          <w:sz w:val="22"/>
          <w:szCs w:val="24"/>
        </w:rPr>
        <w:t> 20</w:t>
      </w:r>
      <w:r>
        <w:rPr>
          <w:rFonts w:ascii="Arial Narrow" w:hAnsi="Arial Narrow" w:cs="Arial Narrow"/>
          <w:sz w:val="22"/>
          <w:szCs w:val="24"/>
        </w:rPr>
        <w:t>1</w:t>
      </w:r>
      <w:r w:rsidRPr="00440338">
        <w:rPr>
          <w:rFonts w:ascii="Arial Narrow" w:hAnsi="Arial Narrow" w:cs="Arial Narrow"/>
          <w:sz w:val="22"/>
          <w:szCs w:val="24"/>
        </w:rPr>
        <w:t>0</w:t>
      </w:r>
      <w:r w:rsidRPr="005F1148">
        <w:rPr>
          <w:rFonts w:ascii="Arial Narrow" w:hAnsi="Arial Narrow" w:cs="Arial Narrow"/>
          <w:sz w:val="22"/>
          <w:szCs w:val="24"/>
        </w:rPr>
        <w:t xml:space="preserve"> sú uvedené v tabuľke: </w:t>
      </w:r>
    </w:p>
    <w:p w:rsidR="00312541" w:rsidRPr="005F1148" w:rsidP="00312541">
      <w:pPr>
        <w:ind w:firstLine="708"/>
        <w:jc w:val="both"/>
        <w:rPr>
          <w:rFonts w:ascii="Arial Narrow" w:hAnsi="Arial Narrow" w:cs="Arial Narrow"/>
          <w:sz w:val="22"/>
          <w:szCs w:val="24"/>
        </w:rPr>
      </w:pPr>
    </w:p>
    <w:tbl>
      <w:tblPr>
        <w:tblStyle w:val="TableNormal"/>
        <w:tblW w:w="901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357"/>
        <w:gridCol w:w="951"/>
        <w:gridCol w:w="951"/>
        <w:gridCol w:w="952"/>
        <w:gridCol w:w="951"/>
        <w:gridCol w:w="952"/>
        <w:gridCol w:w="951"/>
        <w:gridCol w:w="952"/>
      </w:tblGrid>
      <w:tr>
        <w:tblPrEx>
          <w:tblW w:w="901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8"/>
        </w:trPr>
        <w:tc>
          <w:tcPr>
            <w:tcW w:w="2357"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Priemerný počet osôb</w:t>
            </w:r>
          </w:p>
        </w:tc>
        <w:tc>
          <w:tcPr>
            <w:tcW w:w="951"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2004</w:t>
            </w:r>
          </w:p>
        </w:tc>
        <w:tc>
          <w:tcPr>
            <w:tcW w:w="951"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2005</w:t>
            </w:r>
          </w:p>
        </w:tc>
        <w:tc>
          <w:tcPr>
            <w:tcW w:w="952"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2006</w:t>
            </w:r>
          </w:p>
        </w:tc>
        <w:tc>
          <w:tcPr>
            <w:tcW w:w="951"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2007</w:t>
            </w:r>
          </w:p>
        </w:tc>
        <w:tc>
          <w:tcPr>
            <w:tcW w:w="952"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2008</w:t>
            </w:r>
          </w:p>
        </w:tc>
        <w:tc>
          <w:tcPr>
            <w:tcW w:w="951"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2009</w:t>
            </w:r>
          </w:p>
        </w:tc>
        <w:tc>
          <w:tcPr>
            <w:tcW w:w="952" w:type="dxa"/>
            <w:tcBorders>
              <w:top w:val="single" w:sz="4" w:space="0" w:color="auto"/>
              <w:left w:val="single" w:sz="4" w:space="0" w:color="auto"/>
              <w:bottom w:val="single" w:sz="4" w:space="0" w:color="auto"/>
              <w:right w:val="single" w:sz="4" w:space="0" w:color="auto"/>
            </w:tcBorders>
            <w:shd w:val="clear" w:color="auto" w:fill="000000"/>
            <w:textDirection w:val="lrTb"/>
            <w:vAlign w:val="bottom"/>
          </w:tcPr>
          <w:p w:rsidR="00312541" w:rsidRPr="00365053" w:rsidP="00A70AF6">
            <w:pPr>
              <w:jc w:val="center"/>
              <w:rPr>
                <w:rFonts w:ascii="Arial Narrow" w:hAnsi="Arial Narrow" w:cs="Arial Narrow"/>
                <w:b/>
                <w:color w:val="FFFFFF"/>
                <w:sz w:val="20"/>
                <w:szCs w:val="24"/>
                <w:lang w:eastAsia="sk-SK"/>
              </w:rPr>
            </w:pPr>
            <w:r w:rsidRPr="00365053">
              <w:rPr>
                <w:rFonts w:ascii="Arial Narrow" w:hAnsi="Arial Narrow" w:cs="Arial Narrow"/>
                <w:b/>
                <w:color w:val="FFFFFF"/>
                <w:sz w:val="20"/>
                <w:szCs w:val="24"/>
                <w:lang w:eastAsia="sk-SK"/>
              </w:rPr>
              <w:t>2010</w:t>
            </w:r>
          </w:p>
        </w:tc>
      </w:tr>
      <w:tr>
        <w:tblPrEx>
          <w:tblW w:w="9017" w:type="dxa"/>
          <w:tblInd w:w="53" w:type="dxa"/>
          <w:tblCellMar>
            <w:left w:w="70" w:type="dxa"/>
            <w:right w:w="70" w:type="dxa"/>
          </w:tblCellMar>
        </w:tblPrEx>
        <w:trPr>
          <w:trHeight w:val="268"/>
        </w:trPr>
        <w:tc>
          <w:tcPr>
            <w:tcW w:w="2357"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rPr>
                <w:rFonts w:ascii="Arial Narrow" w:hAnsi="Arial Narrow" w:cs="Arial Narrow"/>
                <w:sz w:val="20"/>
                <w:szCs w:val="24"/>
                <w:lang w:eastAsia="sk-SK"/>
              </w:rPr>
            </w:pPr>
            <w:r w:rsidRPr="00365053">
              <w:rPr>
                <w:rFonts w:ascii="Arial Narrow" w:hAnsi="Arial Narrow" w:cs="Arial Narrow"/>
                <w:sz w:val="20"/>
                <w:szCs w:val="24"/>
                <w:lang w:eastAsia="sk-SK"/>
              </w:rPr>
              <w:t>Obvinení</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3 103</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3 042</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2 477</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2 040</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1 882</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1 977</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Pr>
                <w:rFonts w:ascii="Arial Narrow" w:hAnsi="Arial Narrow" w:cs="Arial Narrow"/>
                <w:sz w:val="20"/>
                <w:szCs w:val="24"/>
                <w:lang w:eastAsia="sk-SK"/>
              </w:rPr>
              <w:t>1</w:t>
            </w:r>
            <w:r w:rsidRPr="00365053">
              <w:rPr>
                <w:rFonts w:ascii="Arial Narrow" w:hAnsi="Arial Narrow" w:cs="Arial Narrow"/>
                <w:sz w:val="20"/>
                <w:szCs w:val="24"/>
                <w:lang w:eastAsia="sk-SK"/>
              </w:rPr>
              <w:t xml:space="preserve"> 8</w:t>
            </w:r>
            <w:r>
              <w:rPr>
                <w:rFonts w:ascii="Arial Narrow" w:hAnsi="Arial Narrow" w:cs="Arial Narrow"/>
                <w:sz w:val="20"/>
                <w:szCs w:val="24"/>
                <w:lang w:eastAsia="sk-SK"/>
              </w:rPr>
              <w:t>75</w:t>
            </w:r>
          </w:p>
        </w:tc>
      </w:tr>
      <w:tr>
        <w:tblPrEx>
          <w:tblW w:w="9017" w:type="dxa"/>
          <w:tblInd w:w="53" w:type="dxa"/>
          <w:tblCellMar>
            <w:left w:w="70" w:type="dxa"/>
            <w:right w:w="70" w:type="dxa"/>
          </w:tblCellMar>
        </w:tblPrEx>
        <w:trPr>
          <w:trHeight w:val="268"/>
        </w:trPr>
        <w:tc>
          <w:tcPr>
            <w:tcW w:w="2357"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rPr>
                <w:rFonts w:ascii="Arial Narrow" w:hAnsi="Arial Narrow" w:cs="Arial Narrow"/>
                <w:sz w:val="20"/>
                <w:szCs w:val="24"/>
                <w:lang w:eastAsia="sk-SK"/>
              </w:rPr>
            </w:pPr>
            <w:r w:rsidRPr="00365053">
              <w:rPr>
                <w:rFonts w:ascii="Arial Narrow" w:hAnsi="Arial Narrow" w:cs="Arial Narrow"/>
                <w:sz w:val="20"/>
                <w:szCs w:val="24"/>
                <w:lang w:eastAsia="sk-SK"/>
              </w:rPr>
              <w:t>Odsúdení</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6 226</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6 285</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6 244</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6 225</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6 468</w:t>
            </w:r>
          </w:p>
        </w:tc>
        <w:tc>
          <w:tcPr>
            <w:tcW w:w="951"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sidRPr="00365053">
              <w:rPr>
                <w:rFonts w:ascii="Arial Narrow" w:hAnsi="Arial Narrow" w:cs="Arial Narrow"/>
                <w:sz w:val="20"/>
                <w:szCs w:val="24"/>
                <w:lang w:eastAsia="sk-SK"/>
              </w:rPr>
              <w:t>6 614</w:t>
            </w:r>
          </w:p>
        </w:tc>
        <w:tc>
          <w:tcPr>
            <w:tcW w:w="95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312541" w:rsidRPr="00365053" w:rsidP="00A70AF6">
            <w:pPr>
              <w:jc w:val="right"/>
              <w:rPr>
                <w:rFonts w:ascii="Arial Narrow" w:hAnsi="Arial Narrow" w:cs="Arial Narrow"/>
                <w:sz w:val="20"/>
                <w:szCs w:val="24"/>
                <w:lang w:eastAsia="sk-SK"/>
              </w:rPr>
            </w:pPr>
            <w:r>
              <w:rPr>
                <w:rFonts w:ascii="Arial Narrow" w:hAnsi="Arial Narrow" w:cs="Arial Narrow"/>
                <w:sz w:val="20"/>
                <w:szCs w:val="24"/>
                <w:lang w:eastAsia="sk-SK"/>
              </w:rPr>
              <w:t>7</w:t>
            </w:r>
            <w:r w:rsidRPr="00365053">
              <w:rPr>
                <w:rFonts w:ascii="Arial Narrow" w:hAnsi="Arial Narrow" w:cs="Arial Narrow"/>
                <w:sz w:val="20"/>
                <w:szCs w:val="24"/>
                <w:lang w:eastAsia="sk-SK"/>
              </w:rPr>
              <w:t xml:space="preserve"> 6</w:t>
            </w:r>
            <w:r>
              <w:rPr>
                <w:rFonts w:ascii="Arial Narrow" w:hAnsi="Arial Narrow" w:cs="Arial Narrow"/>
                <w:sz w:val="20"/>
                <w:szCs w:val="24"/>
                <w:lang w:eastAsia="sk-SK"/>
              </w:rPr>
              <w:t>39</w:t>
            </w:r>
          </w:p>
        </w:tc>
      </w:tr>
      <w:tr>
        <w:tblPrEx>
          <w:tblW w:w="9017" w:type="dxa"/>
          <w:tblInd w:w="53" w:type="dxa"/>
          <w:tblCellMar>
            <w:left w:w="70" w:type="dxa"/>
            <w:right w:w="70" w:type="dxa"/>
          </w:tblCellMar>
        </w:tblPrEx>
        <w:trPr>
          <w:trHeight w:val="268"/>
        </w:trPr>
        <w:tc>
          <w:tcPr>
            <w:tcW w:w="2357"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rPr>
                <w:rFonts w:ascii="Arial Narrow" w:hAnsi="Arial Narrow" w:cs="Arial Narrow"/>
                <w:b/>
                <w:sz w:val="20"/>
                <w:szCs w:val="24"/>
                <w:lang w:eastAsia="sk-SK"/>
              </w:rPr>
            </w:pPr>
            <w:r>
              <w:rPr>
                <w:rFonts w:ascii="Arial Narrow" w:hAnsi="Arial Narrow" w:cs="Arial Narrow"/>
                <w:b/>
                <w:sz w:val="20"/>
                <w:szCs w:val="24"/>
                <w:lang w:eastAsia="sk-SK"/>
              </w:rPr>
              <w:t>Obvinený a odsúdený s</w:t>
            </w:r>
            <w:r w:rsidRPr="00365053">
              <w:rPr>
                <w:rFonts w:ascii="Arial Narrow" w:hAnsi="Arial Narrow" w:cs="Arial Narrow"/>
                <w:b/>
                <w:sz w:val="20"/>
                <w:szCs w:val="24"/>
                <w:lang w:eastAsia="sk-SK"/>
              </w:rPr>
              <w:t>polu</w:t>
            </w:r>
          </w:p>
        </w:tc>
        <w:tc>
          <w:tcPr>
            <w:tcW w:w="951"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9 329</w:t>
            </w:r>
          </w:p>
        </w:tc>
        <w:tc>
          <w:tcPr>
            <w:tcW w:w="951"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9 327</w:t>
            </w:r>
          </w:p>
        </w:tc>
        <w:tc>
          <w:tcPr>
            <w:tcW w:w="952"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8 721</w:t>
            </w:r>
          </w:p>
        </w:tc>
        <w:tc>
          <w:tcPr>
            <w:tcW w:w="951"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8 265</w:t>
            </w:r>
          </w:p>
        </w:tc>
        <w:tc>
          <w:tcPr>
            <w:tcW w:w="952"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8 350</w:t>
            </w:r>
          </w:p>
        </w:tc>
        <w:tc>
          <w:tcPr>
            <w:tcW w:w="951"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8 591</w:t>
            </w:r>
          </w:p>
        </w:tc>
        <w:tc>
          <w:tcPr>
            <w:tcW w:w="952"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312541" w:rsidRPr="00365053" w:rsidP="00A70AF6">
            <w:pPr>
              <w:jc w:val="right"/>
              <w:rPr>
                <w:rFonts w:ascii="Arial Narrow" w:hAnsi="Arial Narrow" w:cs="Arial Narrow"/>
                <w:b/>
                <w:sz w:val="20"/>
                <w:szCs w:val="24"/>
                <w:lang w:eastAsia="sk-SK"/>
              </w:rPr>
            </w:pPr>
            <w:r w:rsidRPr="00365053">
              <w:rPr>
                <w:rFonts w:ascii="Arial Narrow" w:hAnsi="Arial Narrow" w:cs="Arial Narrow"/>
                <w:b/>
                <w:sz w:val="20"/>
                <w:szCs w:val="24"/>
                <w:lang w:eastAsia="sk-SK"/>
              </w:rPr>
              <w:t xml:space="preserve">9 </w:t>
            </w:r>
            <w:r>
              <w:rPr>
                <w:rFonts w:ascii="Arial Narrow" w:hAnsi="Arial Narrow" w:cs="Arial Narrow"/>
                <w:b/>
                <w:sz w:val="20"/>
                <w:szCs w:val="24"/>
                <w:lang w:eastAsia="sk-SK"/>
              </w:rPr>
              <w:t>514</w:t>
            </w:r>
          </w:p>
        </w:tc>
      </w:tr>
    </w:tbl>
    <w:p w:rsidR="00312541" w:rsidRPr="001C4AEA" w:rsidP="00312541">
      <w:pPr>
        <w:tabs>
          <w:tab w:val="num" w:pos="720"/>
        </w:tabs>
        <w:jc w:val="both"/>
        <w:rPr>
          <w:rFonts w:ascii="Arial Narrow" w:hAnsi="Arial Narrow" w:cs="Arial Narrow"/>
          <w:b/>
          <w:sz w:val="22"/>
          <w:szCs w:val="24"/>
        </w:rPr>
      </w:pPr>
    </w:p>
    <w:p w:rsidR="00312541" w:rsidP="00312541">
      <w:pPr>
        <w:ind w:firstLine="708"/>
        <w:jc w:val="both"/>
        <w:rPr>
          <w:rFonts w:ascii="Arial Narrow" w:hAnsi="Arial Narrow" w:cs="Arial Narrow"/>
          <w:sz w:val="22"/>
          <w:szCs w:val="24"/>
        </w:rPr>
      </w:pPr>
      <w:r w:rsidRPr="005F1148">
        <w:rPr>
          <w:rFonts w:ascii="Arial Narrow" w:hAnsi="Arial Narrow" w:cs="Arial Narrow"/>
          <w:sz w:val="22"/>
          <w:szCs w:val="24"/>
        </w:rPr>
        <w:t>Do konca roka 20</w:t>
      </w:r>
      <w:r>
        <w:rPr>
          <w:rFonts w:ascii="Arial Narrow" w:hAnsi="Arial Narrow" w:cs="Arial Narrow"/>
          <w:sz w:val="22"/>
          <w:szCs w:val="24"/>
        </w:rPr>
        <w:t>1</w:t>
      </w:r>
      <w:r w:rsidRPr="005F1148">
        <w:rPr>
          <w:rFonts w:ascii="Arial Narrow" w:hAnsi="Arial Narrow" w:cs="Arial Narrow"/>
          <w:sz w:val="22"/>
          <w:szCs w:val="24"/>
        </w:rPr>
        <w:t xml:space="preserve">0 bude predpokladaná </w:t>
      </w:r>
      <w:r w:rsidRPr="0026655D">
        <w:rPr>
          <w:rFonts w:ascii="Arial Narrow" w:hAnsi="Arial Narrow" w:cs="Arial Narrow"/>
          <w:sz w:val="22"/>
          <w:szCs w:val="24"/>
        </w:rPr>
        <w:t>kapacita väzenských objektov</w:t>
      </w:r>
      <w:r w:rsidRPr="005F1148">
        <w:rPr>
          <w:rFonts w:ascii="Arial Narrow" w:hAnsi="Arial Narrow" w:cs="Arial Narrow"/>
          <w:sz w:val="22"/>
          <w:szCs w:val="24"/>
        </w:rPr>
        <w:t xml:space="preserve"> v Zbore väzenskej a justičnej stráže SR </w:t>
      </w:r>
      <w:r>
        <w:rPr>
          <w:rFonts w:ascii="Arial Narrow" w:hAnsi="Arial Narrow" w:cs="Arial Narrow"/>
          <w:sz w:val="22"/>
          <w:szCs w:val="24"/>
        </w:rPr>
        <w:t>10</w:t>
      </w:r>
      <w:r w:rsidRPr="005F1148">
        <w:rPr>
          <w:rFonts w:ascii="Arial Narrow" w:hAnsi="Arial Narrow" w:cs="Arial Narrow"/>
          <w:sz w:val="22"/>
          <w:szCs w:val="24"/>
        </w:rPr>
        <w:t xml:space="preserve"> </w:t>
      </w:r>
      <w:r>
        <w:rPr>
          <w:rFonts w:ascii="Arial Narrow" w:hAnsi="Arial Narrow" w:cs="Arial Narrow"/>
          <w:sz w:val="22"/>
          <w:szCs w:val="24"/>
        </w:rPr>
        <w:t>335</w:t>
      </w:r>
      <w:r w:rsidRPr="005F1148">
        <w:rPr>
          <w:rFonts w:ascii="Arial Narrow" w:hAnsi="Arial Narrow" w:cs="Arial Narrow"/>
          <w:sz w:val="22"/>
          <w:szCs w:val="24"/>
        </w:rPr>
        <w:t xml:space="preserve"> väznených osôb, čo </w:t>
      </w:r>
      <w:r>
        <w:rPr>
          <w:rFonts w:ascii="Arial Narrow" w:hAnsi="Arial Narrow" w:cs="Arial Narrow"/>
          <w:sz w:val="22"/>
          <w:szCs w:val="24"/>
        </w:rPr>
        <w:t xml:space="preserve">predstavuje mierny pokles </w:t>
      </w:r>
      <w:r w:rsidRPr="005F1148">
        <w:rPr>
          <w:rFonts w:ascii="Arial Narrow" w:hAnsi="Arial Narrow" w:cs="Arial Narrow"/>
          <w:sz w:val="22"/>
          <w:szCs w:val="24"/>
        </w:rPr>
        <w:t>kapacity</w:t>
      </w:r>
      <w:r>
        <w:rPr>
          <w:rFonts w:ascii="Arial Narrow" w:hAnsi="Arial Narrow" w:cs="Arial Narrow"/>
          <w:sz w:val="22"/>
          <w:szCs w:val="24"/>
        </w:rPr>
        <w:t xml:space="preserve"> oproti roku 2007, ktorý je spôsobený </w:t>
      </w:r>
      <w:r w:rsidRPr="005F1148">
        <w:rPr>
          <w:rFonts w:ascii="Arial Narrow" w:hAnsi="Arial Narrow" w:cs="Arial Narrow"/>
          <w:sz w:val="22"/>
          <w:szCs w:val="24"/>
        </w:rPr>
        <w:t>realizáci</w:t>
      </w:r>
      <w:r>
        <w:rPr>
          <w:rFonts w:ascii="Arial Narrow" w:hAnsi="Arial Narrow" w:cs="Arial Narrow"/>
          <w:sz w:val="22"/>
          <w:szCs w:val="24"/>
        </w:rPr>
        <w:t>o</w:t>
      </w:r>
      <w:r w:rsidRPr="005F1148">
        <w:rPr>
          <w:rFonts w:ascii="Arial Narrow" w:hAnsi="Arial Narrow" w:cs="Arial Narrow"/>
          <w:sz w:val="22"/>
          <w:szCs w:val="24"/>
        </w:rPr>
        <w:t xml:space="preserve">u opatrení </w:t>
      </w:r>
      <w:r>
        <w:rPr>
          <w:rFonts w:ascii="Arial Narrow" w:hAnsi="Arial Narrow" w:cs="Arial Narrow"/>
          <w:sz w:val="22"/>
          <w:szCs w:val="24"/>
        </w:rPr>
        <w:t xml:space="preserve">vyplývajúcich z vládou schválených </w:t>
      </w:r>
      <w:r w:rsidRPr="00A1658B">
        <w:rPr>
          <w:rFonts w:ascii="Arial Narrow" w:hAnsi="Arial Narrow" w:cs="Arial Narrow"/>
          <w:sz w:val="22"/>
          <w:szCs w:val="24"/>
        </w:rPr>
        <w:t>odporúčaní Európsk</w:t>
      </w:r>
      <w:r>
        <w:rPr>
          <w:rFonts w:ascii="Arial Narrow" w:hAnsi="Arial Narrow" w:cs="Arial Narrow"/>
          <w:sz w:val="22"/>
          <w:szCs w:val="24"/>
        </w:rPr>
        <w:t>eho</w:t>
      </w:r>
      <w:r w:rsidRPr="00A1658B">
        <w:rPr>
          <w:rFonts w:ascii="Arial Narrow" w:hAnsi="Arial Narrow" w:cs="Arial Narrow"/>
          <w:sz w:val="22"/>
          <w:szCs w:val="24"/>
        </w:rPr>
        <w:t xml:space="preserve"> výbor</w:t>
      </w:r>
      <w:r>
        <w:rPr>
          <w:rFonts w:ascii="Arial Narrow" w:hAnsi="Arial Narrow" w:cs="Arial Narrow"/>
          <w:sz w:val="22"/>
          <w:szCs w:val="24"/>
        </w:rPr>
        <w:t>u</w:t>
      </w:r>
      <w:r w:rsidRPr="00A1658B">
        <w:rPr>
          <w:rFonts w:ascii="Arial Narrow" w:hAnsi="Arial Narrow" w:cs="Arial Narrow"/>
          <w:sz w:val="22"/>
          <w:szCs w:val="24"/>
        </w:rPr>
        <w:t xml:space="preserve"> na zabránenie mučenia a neľudského či ponižujúceho zaobchádzania alebo trestania na zvýšenie minimálnej</w:t>
      </w:r>
      <w:r w:rsidRPr="005F1148">
        <w:rPr>
          <w:rFonts w:ascii="Arial Narrow" w:hAnsi="Arial Narrow" w:cs="Arial Narrow"/>
          <w:sz w:val="22"/>
          <w:szCs w:val="24"/>
        </w:rPr>
        <w:t xml:space="preserve"> ubytovacej plochy pre jedného obvineného a odsúdeného z 3,</w:t>
      </w:r>
      <w:r>
        <w:rPr>
          <w:rFonts w:ascii="Arial Narrow" w:hAnsi="Arial Narrow" w:cs="Arial Narrow"/>
          <w:sz w:val="22"/>
          <w:szCs w:val="24"/>
        </w:rPr>
        <w:t>50</w:t>
      </w:r>
      <w:r w:rsidRPr="005F1148">
        <w:rPr>
          <w:rFonts w:ascii="Arial Narrow" w:hAnsi="Arial Narrow" w:cs="Arial Narrow"/>
          <w:sz w:val="22"/>
          <w:szCs w:val="24"/>
        </w:rPr>
        <w:t xml:space="preserve"> m² na 4,</w:t>
      </w:r>
      <w:r>
        <w:rPr>
          <w:rFonts w:ascii="Arial Narrow" w:hAnsi="Arial Narrow" w:cs="Arial Narrow"/>
          <w:sz w:val="22"/>
          <w:szCs w:val="24"/>
        </w:rPr>
        <w:t>0</w:t>
      </w:r>
      <w:r w:rsidRPr="005F1148">
        <w:rPr>
          <w:rFonts w:ascii="Arial Narrow" w:hAnsi="Arial Narrow" w:cs="Arial Narrow"/>
          <w:sz w:val="22"/>
          <w:szCs w:val="24"/>
        </w:rPr>
        <w:t>0 m².</w:t>
      </w:r>
    </w:p>
    <w:p w:rsidR="00312541" w:rsidP="00312541">
      <w:pPr>
        <w:ind w:firstLine="708"/>
        <w:jc w:val="both"/>
        <w:rPr>
          <w:rFonts w:ascii="Arial Narrow" w:hAnsi="Arial Narrow" w:cs="Arial Narrow"/>
          <w:sz w:val="22"/>
          <w:szCs w:val="24"/>
        </w:rPr>
      </w:pPr>
    </w:p>
    <w:tbl>
      <w:tblPr>
        <w:tblStyle w:val="TableNormal"/>
        <w:tblW w:w="9017" w:type="dxa"/>
        <w:tblInd w:w="53" w:type="dxa"/>
        <w:tblCellMar>
          <w:left w:w="70" w:type="dxa"/>
          <w:right w:w="70" w:type="dxa"/>
        </w:tblCellMar>
      </w:tblPr>
      <w:tblGrid>
        <w:gridCol w:w="2537"/>
        <w:gridCol w:w="925"/>
        <w:gridCol w:w="926"/>
        <w:gridCol w:w="926"/>
        <w:gridCol w:w="925"/>
        <w:gridCol w:w="926"/>
        <w:gridCol w:w="926"/>
        <w:gridCol w:w="926"/>
      </w:tblGrid>
      <w:tr>
        <w:tblPrEx>
          <w:tblW w:w="9017" w:type="dxa"/>
          <w:tblInd w:w="53" w:type="dxa"/>
          <w:tblCellMar>
            <w:left w:w="70" w:type="dxa"/>
            <w:right w:w="70" w:type="dxa"/>
          </w:tblCellMar>
        </w:tblPrEx>
        <w:trPr>
          <w:trHeight w:val="255"/>
        </w:trPr>
        <w:tc>
          <w:tcPr>
            <w:tcW w:w="2537" w:type="dxa"/>
            <w:tcBorders>
              <w:top w:val="single" w:sz="8" w:space="0" w:color="auto"/>
              <w:left w:val="single" w:sz="8" w:space="0" w:color="auto"/>
              <w:bottom w:val="single" w:sz="8" w:space="0" w:color="auto"/>
              <w:right w:val="single" w:sz="8" w:space="0" w:color="auto"/>
            </w:tcBorders>
            <w:shd w:val="clear" w:color="auto" w:fill="000000"/>
            <w:textDirection w:val="lrTb"/>
            <w:vAlign w:val="bottom"/>
          </w:tcPr>
          <w:p w:rsidR="00312541" w:rsidRPr="00CE2200" w:rsidP="00A70AF6">
            <w:pP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Celková ubytovacia kapacita</w:t>
            </w:r>
          </w:p>
        </w:tc>
        <w:tc>
          <w:tcPr>
            <w:tcW w:w="92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2004</w:t>
            </w:r>
          </w:p>
        </w:tc>
        <w:tc>
          <w:tcPr>
            <w:tcW w:w="92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2005</w:t>
            </w:r>
          </w:p>
        </w:tc>
        <w:tc>
          <w:tcPr>
            <w:tcW w:w="92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2006</w:t>
            </w:r>
          </w:p>
        </w:tc>
        <w:tc>
          <w:tcPr>
            <w:tcW w:w="925"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2007</w:t>
            </w:r>
          </w:p>
        </w:tc>
        <w:tc>
          <w:tcPr>
            <w:tcW w:w="92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2008</w:t>
            </w:r>
          </w:p>
        </w:tc>
        <w:tc>
          <w:tcPr>
            <w:tcW w:w="92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2009</w:t>
            </w:r>
          </w:p>
        </w:tc>
        <w:tc>
          <w:tcPr>
            <w:tcW w:w="926" w:type="dxa"/>
            <w:tcBorders>
              <w:top w:val="single" w:sz="8" w:space="0" w:color="auto"/>
              <w:left w:val="nil"/>
              <w:bottom w:val="single" w:sz="8" w:space="0" w:color="auto"/>
              <w:right w:val="single" w:sz="8" w:space="0" w:color="auto"/>
            </w:tcBorders>
            <w:shd w:val="clear" w:color="auto" w:fill="000000"/>
            <w:textDirection w:val="lrTb"/>
            <w:vAlign w:val="bottom"/>
          </w:tcPr>
          <w:p w:rsidR="00312541" w:rsidRPr="00CE2200" w:rsidP="00A70AF6">
            <w:pPr>
              <w:jc w:val="center"/>
              <w:rPr>
                <w:rFonts w:ascii="Arial Narrow" w:hAnsi="Arial Narrow" w:cs="Arial Narrow"/>
                <w:b/>
                <w:color w:val="FFFFFF"/>
                <w:sz w:val="20"/>
                <w:szCs w:val="24"/>
                <w:lang w:eastAsia="sk-SK"/>
              </w:rPr>
            </w:pPr>
            <w:r w:rsidRPr="00CE2200">
              <w:rPr>
                <w:rFonts w:ascii="Arial Narrow" w:hAnsi="Arial Narrow" w:cs="Arial Narrow"/>
                <w:b/>
                <w:color w:val="FFFFFF"/>
                <w:sz w:val="20"/>
                <w:szCs w:val="24"/>
                <w:lang w:eastAsia="sk-SK"/>
              </w:rPr>
              <w:t>2010</w:t>
            </w:r>
          </w:p>
        </w:tc>
      </w:tr>
      <w:tr>
        <w:tblPrEx>
          <w:tblW w:w="9017" w:type="dxa"/>
          <w:tblInd w:w="53" w:type="dxa"/>
          <w:tblCellMar>
            <w:left w:w="70" w:type="dxa"/>
            <w:right w:w="70" w:type="dxa"/>
          </w:tblCellMar>
        </w:tblPrEx>
        <w:trPr>
          <w:trHeight w:val="270"/>
        </w:trPr>
        <w:tc>
          <w:tcPr>
            <w:tcW w:w="2537" w:type="dxa"/>
            <w:tcBorders>
              <w:top w:val="nil"/>
              <w:left w:val="single" w:sz="8" w:space="0" w:color="auto"/>
              <w:bottom w:val="single" w:sz="8" w:space="0" w:color="auto"/>
              <w:right w:val="single" w:sz="8" w:space="0" w:color="auto"/>
            </w:tcBorders>
            <w:shd w:val="clear" w:color="auto" w:fill="FFFFFF"/>
            <w:textDirection w:val="lrTb"/>
            <w:vAlign w:val="bottom"/>
          </w:tcPr>
          <w:p w:rsidR="00312541" w:rsidRPr="00CE2200" w:rsidP="00A70AF6">
            <w:pPr>
              <w:rPr>
                <w:rFonts w:ascii="Arial Narrow" w:hAnsi="Arial Narrow" w:cs="Arial Narrow"/>
                <w:sz w:val="20"/>
                <w:szCs w:val="24"/>
                <w:lang w:eastAsia="sk-SK"/>
              </w:rPr>
            </w:pPr>
            <w:r w:rsidRPr="00CE2200">
              <w:rPr>
                <w:rFonts w:ascii="Arial Narrow" w:hAnsi="Arial Narrow" w:cs="Arial Narrow"/>
                <w:sz w:val="20"/>
                <w:szCs w:val="24"/>
                <w:lang w:eastAsia="sk-SK"/>
              </w:rPr>
              <w:t>osoba / m²</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3,5</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3,5</w:t>
            </w:r>
          </w:p>
        </w:tc>
      </w:tr>
      <w:tr>
        <w:tblPrEx>
          <w:tblW w:w="9017" w:type="dxa"/>
          <w:tblInd w:w="53" w:type="dxa"/>
          <w:tblCellMar>
            <w:left w:w="70" w:type="dxa"/>
            <w:right w:w="70" w:type="dxa"/>
          </w:tblCellMar>
        </w:tblPrEx>
        <w:trPr>
          <w:trHeight w:val="270"/>
        </w:trPr>
        <w:tc>
          <w:tcPr>
            <w:tcW w:w="2537" w:type="dxa"/>
            <w:tcBorders>
              <w:top w:val="nil"/>
              <w:left w:val="single" w:sz="8" w:space="0" w:color="auto"/>
              <w:bottom w:val="single" w:sz="8" w:space="0" w:color="auto"/>
              <w:right w:val="single" w:sz="8" w:space="0" w:color="auto"/>
            </w:tcBorders>
            <w:shd w:val="clear" w:color="auto" w:fill="FFFFFF"/>
            <w:textDirection w:val="lrTb"/>
            <w:vAlign w:val="bottom"/>
          </w:tcPr>
          <w:p w:rsidR="00312541" w:rsidRPr="00CE2200" w:rsidP="00A70AF6">
            <w:pPr>
              <w:rPr>
                <w:rFonts w:ascii="Arial Narrow" w:hAnsi="Arial Narrow" w:cs="Arial Narrow"/>
                <w:sz w:val="20"/>
                <w:szCs w:val="24"/>
                <w:lang w:eastAsia="sk-SK"/>
              </w:rPr>
            </w:pPr>
            <w:r w:rsidRPr="00CE2200">
              <w:rPr>
                <w:rFonts w:ascii="Arial Narrow" w:hAnsi="Arial Narrow" w:cs="Arial Narrow"/>
                <w:sz w:val="20"/>
                <w:szCs w:val="24"/>
                <w:lang w:eastAsia="sk-SK"/>
              </w:rPr>
              <w:t>Obvinení</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3 273</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3 651</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3 673</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2 817</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2 817</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2 389</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2 323</w:t>
            </w:r>
          </w:p>
        </w:tc>
      </w:tr>
      <w:tr>
        <w:tblPrEx>
          <w:tblW w:w="9017" w:type="dxa"/>
          <w:tblInd w:w="53" w:type="dxa"/>
          <w:tblCellMar>
            <w:left w:w="70" w:type="dxa"/>
            <w:right w:w="70" w:type="dxa"/>
          </w:tblCellMar>
        </w:tblPrEx>
        <w:trPr>
          <w:trHeight w:val="270"/>
        </w:trPr>
        <w:tc>
          <w:tcPr>
            <w:tcW w:w="2537" w:type="dxa"/>
            <w:tcBorders>
              <w:top w:val="nil"/>
              <w:left w:val="single" w:sz="8" w:space="0" w:color="auto"/>
              <w:bottom w:val="single" w:sz="8" w:space="0" w:color="auto"/>
              <w:right w:val="single" w:sz="8" w:space="0" w:color="auto"/>
            </w:tcBorders>
            <w:shd w:val="clear" w:color="auto" w:fill="FFFFFF"/>
            <w:textDirection w:val="lrTb"/>
            <w:vAlign w:val="bottom"/>
          </w:tcPr>
          <w:p w:rsidR="00312541" w:rsidRPr="00CE2200" w:rsidP="00A70AF6">
            <w:pPr>
              <w:rPr>
                <w:rFonts w:ascii="Arial Narrow" w:hAnsi="Arial Narrow" w:cs="Arial Narrow"/>
                <w:sz w:val="20"/>
                <w:szCs w:val="24"/>
                <w:lang w:eastAsia="sk-SK"/>
              </w:rPr>
            </w:pPr>
            <w:r w:rsidRPr="00CE2200">
              <w:rPr>
                <w:rFonts w:ascii="Arial Narrow" w:hAnsi="Arial Narrow" w:cs="Arial Narrow"/>
                <w:sz w:val="20"/>
                <w:szCs w:val="24"/>
                <w:lang w:eastAsia="sk-SK"/>
              </w:rPr>
              <w:t>Odsúdení</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7 328</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6 985</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6 932</w:t>
            </w:r>
          </w:p>
        </w:tc>
        <w:tc>
          <w:tcPr>
            <w:tcW w:w="925" w:type="dxa"/>
            <w:tcBorders>
              <w:top w:val="nil"/>
              <w:left w:val="nil"/>
              <w:bottom w:val="single" w:sz="8" w:space="0" w:color="auto"/>
              <w:right w:val="single" w:sz="8" w:space="0" w:color="auto"/>
            </w:tcBorders>
            <w:shd w:val="clear" w:color="auto" w:fill="FFFFFF"/>
            <w:textDirection w:val="lrTb"/>
            <w:vAlign w:val="bottom"/>
          </w:tcPr>
          <w:p w:rsidR="00312541" w:rsidRPr="00CE2200" w:rsidP="00A70AF6">
            <w:pPr>
              <w:jc w:val="right"/>
              <w:rPr>
                <w:rFonts w:ascii="Arial Narrow" w:hAnsi="Arial Narrow" w:cs="Arial Narrow"/>
                <w:sz w:val="20"/>
                <w:szCs w:val="24"/>
                <w:lang w:eastAsia="sk-SK"/>
              </w:rPr>
            </w:pPr>
            <w:r w:rsidRPr="00CE2200">
              <w:rPr>
                <w:rFonts w:ascii="Arial Narrow" w:hAnsi="Arial Narrow" w:cs="Arial Narrow"/>
                <w:sz w:val="20"/>
                <w:szCs w:val="24"/>
                <w:lang w:eastAsia="sk-SK"/>
              </w:rPr>
              <w:t>7 771</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7 771</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7 959</w:t>
            </w:r>
          </w:p>
        </w:tc>
        <w:tc>
          <w:tcPr>
            <w:tcW w:w="926" w:type="dxa"/>
            <w:tcBorders>
              <w:top w:val="nil"/>
              <w:left w:val="nil"/>
              <w:bottom w:val="single" w:sz="8" w:space="0" w:color="auto"/>
              <w:right w:val="single" w:sz="8" w:space="0" w:color="auto"/>
            </w:tcBorders>
            <w:shd w:val="clear" w:color="auto" w:fill="FFFFFF"/>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8 012</w:t>
            </w:r>
          </w:p>
        </w:tc>
      </w:tr>
      <w:tr>
        <w:tblPrEx>
          <w:tblW w:w="9017" w:type="dxa"/>
          <w:tblInd w:w="53" w:type="dxa"/>
          <w:tblCellMar>
            <w:left w:w="70" w:type="dxa"/>
            <w:right w:w="70" w:type="dxa"/>
          </w:tblCellMar>
        </w:tblPrEx>
        <w:trPr>
          <w:trHeight w:val="270"/>
        </w:trPr>
        <w:tc>
          <w:tcPr>
            <w:tcW w:w="2537" w:type="dxa"/>
            <w:tcBorders>
              <w:top w:val="nil"/>
              <w:left w:val="single" w:sz="8" w:space="0" w:color="auto"/>
              <w:bottom w:val="single" w:sz="8" w:space="0" w:color="auto"/>
              <w:right w:val="single" w:sz="8" w:space="0" w:color="auto"/>
            </w:tcBorders>
            <w:shd w:val="clear" w:color="auto" w:fill="C0C0C0"/>
            <w:textDirection w:val="lrTb"/>
            <w:vAlign w:val="bottom"/>
          </w:tcPr>
          <w:p w:rsidR="00312541" w:rsidRPr="00CE2200" w:rsidP="00A70AF6">
            <w:pPr>
              <w:rPr>
                <w:rFonts w:ascii="Arial Narrow" w:hAnsi="Arial Narrow" w:cs="Arial Narrow"/>
                <w:b/>
                <w:sz w:val="20"/>
                <w:szCs w:val="24"/>
                <w:lang w:eastAsia="sk-SK"/>
              </w:rPr>
            </w:pPr>
            <w:r>
              <w:rPr>
                <w:rFonts w:ascii="Arial Narrow" w:hAnsi="Arial Narrow" w:cs="Arial Narrow"/>
                <w:b/>
                <w:sz w:val="20"/>
                <w:szCs w:val="24"/>
                <w:lang w:eastAsia="sk-SK"/>
              </w:rPr>
              <w:t>Obvinený a odsúdený s</w:t>
            </w:r>
            <w:r w:rsidRPr="00365053">
              <w:rPr>
                <w:rFonts w:ascii="Arial Narrow" w:hAnsi="Arial Narrow" w:cs="Arial Narrow"/>
                <w:b/>
                <w:sz w:val="20"/>
                <w:szCs w:val="24"/>
                <w:lang w:eastAsia="sk-SK"/>
              </w:rPr>
              <w:t>polu</w:t>
            </w:r>
          </w:p>
        </w:tc>
        <w:tc>
          <w:tcPr>
            <w:tcW w:w="925" w:type="dxa"/>
            <w:tcBorders>
              <w:top w:val="nil"/>
              <w:left w:val="nil"/>
              <w:bottom w:val="single" w:sz="8" w:space="0" w:color="auto"/>
              <w:right w:val="single" w:sz="8" w:space="0" w:color="auto"/>
            </w:tcBorders>
            <w:shd w:val="clear" w:color="auto" w:fill="C0C0C0"/>
            <w:textDirection w:val="lrTb"/>
            <w:vAlign w:val="bottom"/>
          </w:tcPr>
          <w:p w:rsidR="00312541" w:rsidRPr="00CE2200" w:rsidP="00A70AF6">
            <w:pPr>
              <w:jc w:val="right"/>
              <w:rPr>
                <w:rFonts w:ascii="Arial Narrow" w:hAnsi="Arial Narrow" w:cs="Arial Narrow"/>
                <w:b/>
                <w:sz w:val="20"/>
                <w:szCs w:val="24"/>
                <w:lang w:eastAsia="sk-SK"/>
              </w:rPr>
            </w:pPr>
            <w:r w:rsidRPr="00CE2200">
              <w:rPr>
                <w:rFonts w:ascii="Arial Narrow" w:hAnsi="Arial Narrow" w:cs="Arial Narrow"/>
                <w:b/>
                <w:sz w:val="20"/>
                <w:szCs w:val="24"/>
                <w:lang w:eastAsia="sk-SK"/>
              </w:rPr>
              <w:t>10 601</w:t>
            </w:r>
          </w:p>
        </w:tc>
        <w:tc>
          <w:tcPr>
            <w:tcW w:w="926" w:type="dxa"/>
            <w:tcBorders>
              <w:top w:val="nil"/>
              <w:left w:val="nil"/>
              <w:bottom w:val="single" w:sz="8" w:space="0" w:color="auto"/>
              <w:right w:val="single" w:sz="8" w:space="0" w:color="auto"/>
            </w:tcBorders>
            <w:shd w:val="clear" w:color="auto" w:fill="C0C0C0"/>
            <w:textDirection w:val="lrTb"/>
            <w:vAlign w:val="bottom"/>
          </w:tcPr>
          <w:p w:rsidR="00312541" w:rsidRPr="00CE2200" w:rsidP="00A70AF6">
            <w:pPr>
              <w:jc w:val="right"/>
              <w:rPr>
                <w:rFonts w:ascii="Arial Narrow" w:hAnsi="Arial Narrow" w:cs="Arial Narrow"/>
                <w:b/>
                <w:sz w:val="20"/>
                <w:szCs w:val="24"/>
                <w:lang w:eastAsia="sk-SK"/>
              </w:rPr>
            </w:pPr>
            <w:r w:rsidRPr="00CE2200">
              <w:rPr>
                <w:rFonts w:ascii="Arial Narrow" w:hAnsi="Arial Narrow" w:cs="Arial Narrow"/>
                <w:b/>
                <w:sz w:val="20"/>
                <w:szCs w:val="24"/>
                <w:lang w:eastAsia="sk-SK"/>
              </w:rPr>
              <w:t>10 636</w:t>
            </w:r>
          </w:p>
        </w:tc>
        <w:tc>
          <w:tcPr>
            <w:tcW w:w="926" w:type="dxa"/>
            <w:tcBorders>
              <w:top w:val="nil"/>
              <w:left w:val="nil"/>
              <w:bottom w:val="single" w:sz="8" w:space="0" w:color="auto"/>
              <w:right w:val="single" w:sz="8" w:space="0" w:color="auto"/>
            </w:tcBorders>
            <w:shd w:val="clear" w:color="auto" w:fill="C0C0C0"/>
            <w:textDirection w:val="lrTb"/>
            <w:vAlign w:val="bottom"/>
          </w:tcPr>
          <w:p w:rsidR="00312541" w:rsidRPr="00CE2200" w:rsidP="00A70AF6">
            <w:pPr>
              <w:jc w:val="right"/>
              <w:rPr>
                <w:rFonts w:ascii="Arial Narrow" w:hAnsi="Arial Narrow" w:cs="Arial Narrow"/>
                <w:b/>
                <w:sz w:val="20"/>
                <w:szCs w:val="24"/>
                <w:lang w:eastAsia="sk-SK"/>
              </w:rPr>
            </w:pPr>
            <w:r w:rsidRPr="00CE2200">
              <w:rPr>
                <w:rFonts w:ascii="Arial Narrow" w:hAnsi="Arial Narrow" w:cs="Arial Narrow"/>
                <w:b/>
                <w:sz w:val="20"/>
                <w:szCs w:val="24"/>
                <w:lang w:eastAsia="sk-SK"/>
              </w:rPr>
              <w:t>10 605</w:t>
            </w:r>
          </w:p>
        </w:tc>
        <w:tc>
          <w:tcPr>
            <w:tcW w:w="925" w:type="dxa"/>
            <w:tcBorders>
              <w:top w:val="nil"/>
              <w:left w:val="nil"/>
              <w:bottom w:val="single" w:sz="8" w:space="0" w:color="auto"/>
              <w:right w:val="single" w:sz="8" w:space="0" w:color="auto"/>
            </w:tcBorders>
            <w:shd w:val="clear" w:color="auto" w:fill="C0C0C0"/>
            <w:textDirection w:val="lrTb"/>
            <w:vAlign w:val="bottom"/>
          </w:tcPr>
          <w:p w:rsidR="00312541" w:rsidRPr="00CE2200" w:rsidP="00A70AF6">
            <w:pPr>
              <w:jc w:val="right"/>
              <w:rPr>
                <w:rFonts w:ascii="Arial Narrow" w:hAnsi="Arial Narrow" w:cs="Arial Narrow"/>
                <w:b/>
                <w:sz w:val="20"/>
                <w:szCs w:val="24"/>
                <w:lang w:eastAsia="sk-SK"/>
              </w:rPr>
            </w:pPr>
            <w:r w:rsidRPr="00CE2200">
              <w:rPr>
                <w:rFonts w:ascii="Arial Narrow" w:hAnsi="Arial Narrow" w:cs="Arial Narrow"/>
                <w:b/>
                <w:sz w:val="20"/>
                <w:szCs w:val="24"/>
                <w:lang w:eastAsia="sk-SK"/>
              </w:rPr>
              <w:t>10 588</w:t>
            </w:r>
          </w:p>
        </w:tc>
        <w:tc>
          <w:tcPr>
            <w:tcW w:w="926" w:type="dxa"/>
            <w:tcBorders>
              <w:top w:val="nil"/>
              <w:left w:val="nil"/>
              <w:bottom w:val="single" w:sz="8" w:space="0" w:color="auto"/>
              <w:right w:val="single" w:sz="8" w:space="0" w:color="auto"/>
            </w:tcBorders>
            <w:shd w:val="clear" w:color="auto"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10 588</w:t>
            </w:r>
          </w:p>
        </w:tc>
        <w:tc>
          <w:tcPr>
            <w:tcW w:w="926" w:type="dxa"/>
            <w:tcBorders>
              <w:top w:val="nil"/>
              <w:left w:val="nil"/>
              <w:bottom w:val="single" w:sz="8" w:space="0" w:color="auto"/>
              <w:right w:val="single" w:sz="8" w:space="0" w:color="auto"/>
            </w:tcBorders>
            <w:shd w:val="clear" w:color="auto"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10 348</w:t>
            </w:r>
          </w:p>
        </w:tc>
        <w:tc>
          <w:tcPr>
            <w:tcW w:w="926" w:type="dxa"/>
            <w:tcBorders>
              <w:top w:val="nil"/>
              <w:left w:val="nil"/>
              <w:bottom w:val="single" w:sz="8" w:space="0" w:color="auto"/>
              <w:right w:val="single" w:sz="8" w:space="0" w:color="auto"/>
            </w:tcBorders>
            <w:shd w:val="clear" w:color="auto" w:fill="C0C0C0"/>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10 335</w:t>
            </w:r>
          </w:p>
        </w:tc>
      </w:tr>
    </w:tbl>
    <w:p w:rsidR="00312541" w:rsidP="00312541">
      <w:pPr>
        <w:jc w:val="both"/>
        <w:rPr>
          <w:rFonts w:ascii="Arial Narrow" w:hAnsi="Arial Narrow" w:cs="Arial Narrow"/>
          <w:sz w:val="22"/>
          <w:szCs w:val="24"/>
        </w:rPr>
      </w:pPr>
    </w:p>
    <w:p w:rsidR="00312541" w:rsidP="00312541">
      <w:pPr>
        <w:ind w:firstLine="708"/>
        <w:jc w:val="both"/>
        <w:rPr>
          <w:rFonts w:ascii="Arial Narrow" w:hAnsi="Arial Narrow" w:cs="Arial Narrow"/>
          <w:sz w:val="22"/>
          <w:szCs w:val="24"/>
        </w:rPr>
      </w:pPr>
      <w:r>
        <w:rPr>
          <w:rFonts w:ascii="Arial Narrow" w:hAnsi="Arial Narrow" w:cs="Arial Narrow"/>
          <w:sz w:val="22"/>
          <w:szCs w:val="24"/>
        </w:rPr>
        <w:t>Ak sa v</w:t>
      </w:r>
      <w:r w:rsidRPr="005F1148">
        <w:rPr>
          <w:rFonts w:ascii="Arial Narrow" w:hAnsi="Arial Narrow" w:cs="Arial Narrow"/>
          <w:sz w:val="22"/>
          <w:szCs w:val="24"/>
        </w:rPr>
        <w:t xml:space="preserve"> rok</w:t>
      </w:r>
      <w:r>
        <w:rPr>
          <w:rFonts w:ascii="Arial Narrow" w:hAnsi="Arial Narrow" w:cs="Arial Narrow"/>
          <w:sz w:val="22"/>
          <w:szCs w:val="24"/>
        </w:rPr>
        <w:t>u</w:t>
      </w:r>
      <w:r w:rsidRPr="005F1148">
        <w:rPr>
          <w:rFonts w:ascii="Arial Narrow" w:hAnsi="Arial Narrow" w:cs="Arial Narrow"/>
          <w:sz w:val="22"/>
          <w:szCs w:val="24"/>
        </w:rPr>
        <w:t xml:space="preserve"> 20</w:t>
      </w:r>
      <w:r>
        <w:rPr>
          <w:rFonts w:ascii="Arial Narrow" w:hAnsi="Arial Narrow" w:cs="Arial Narrow"/>
          <w:sz w:val="22"/>
          <w:szCs w:val="24"/>
        </w:rPr>
        <w:t>1</w:t>
      </w:r>
      <w:r w:rsidRPr="005F1148">
        <w:rPr>
          <w:rFonts w:ascii="Arial Narrow" w:hAnsi="Arial Narrow" w:cs="Arial Narrow"/>
          <w:sz w:val="22"/>
          <w:szCs w:val="24"/>
        </w:rPr>
        <w:t xml:space="preserve">0 </w:t>
      </w:r>
      <w:r>
        <w:rPr>
          <w:rFonts w:ascii="Arial Narrow" w:hAnsi="Arial Narrow" w:cs="Arial Narrow"/>
          <w:sz w:val="22"/>
          <w:szCs w:val="24"/>
        </w:rPr>
        <w:t xml:space="preserve">vo </w:t>
      </w:r>
      <w:r w:rsidRPr="0026655D">
        <w:rPr>
          <w:rFonts w:ascii="Arial Narrow" w:hAnsi="Arial Narrow" w:cs="Arial Narrow"/>
          <w:sz w:val="22"/>
          <w:szCs w:val="24"/>
        </w:rPr>
        <w:t>väzenských objekto</w:t>
      </w:r>
      <w:r>
        <w:rPr>
          <w:rFonts w:ascii="Arial Narrow" w:hAnsi="Arial Narrow" w:cs="Arial Narrow"/>
          <w:sz w:val="22"/>
          <w:szCs w:val="24"/>
        </w:rPr>
        <w:t>ch</w:t>
      </w:r>
      <w:r w:rsidRPr="005F1148">
        <w:rPr>
          <w:rFonts w:ascii="Arial Narrow" w:hAnsi="Arial Narrow" w:cs="Arial Narrow"/>
          <w:sz w:val="22"/>
          <w:szCs w:val="24"/>
        </w:rPr>
        <w:t xml:space="preserve"> Zbor</w:t>
      </w:r>
      <w:r>
        <w:rPr>
          <w:rFonts w:ascii="Arial Narrow" w:hAnsi="Arial Narrow" w:cs="Arial Narrow"/>
          <w:sz w:val="22"/>
          <w:szCs w:val="24"/>
        </w:rPr>
        <w:t>u</w:t>
      </w:r>
      <w:r w:rsidRPr="005F1148">
        <w:rPr>
          <w:rFonts w:ascii="Arial Narrow" w:hAnsi="Arial Narrow" w:cs="Arial Narrow"/>
          <w:sz w:val="22"/>
          <w:szCs w:val="24"/>
        </w:rPr>
        <w:t xml:space="preserve"> väzenskej a justičnej stráže SR</w:t>
      </w:r>
      <w:r>
        <w:rPr>
          <w:rFonts w:ascii="Arial Narrow" w:hAnsi="Arial Narrow" w:cs="Arial Narrow"/>
          <w:sz w:val="22"/>
          <w:szCs w:val="24"/>
        </w:rPr>
        <w:t xml:space="preserve"> naplní predpokladaný priemerný </w:t>
      </w:r>
      <w:r w:rsidRPr="00F06F66">
        <w:rPr>
          <w:rFonts w:ascii="Arial Narrow" w:hAnsi="Arial Narrow" w:cs="Arial Narrow"/>
          <w:sz w:val="22"/>
          <w:szCs w:val="24"/>
        </w:rPr>
        <w:t xml:space="preserve">počet </w:t>
      </w:r>
      <w:r>
        <w:rPr>
          <w:rFonts w:ascii="Arial Narrow" w:hAnsi="Arial Narrow" w:cs="Arial Narrow"/>
          <w:sz w:val="22"/>
          <w:szCs w:val="24"/>
        </w:rPr>
        <w:t>9 514</w:t>
      </w:r>
      <w:r w:rsidRPr="00F06F66">
        <w:rPr>
          <w:rFonts w:ascii="Arial Narrow" w:hAnsi="Arial Narrow" w:cs="Arial Narrow"/>
          <w:sz w:val="22"/>
          <w:szCs w:val="24"/>
        </w:rPr>
        <w:t xml:space="preserve"> väznených</w:t>
      </w:r>
      <w:r>
        <w:rPr>
          <w:rFonts w:ascii="Arial Narrow" w:hAnsi="Arial Narrow" w:cs="Arial Narrow"/>
          <w:sz w:val="22"/>
          <w:szCs w:val="24"/>
        </w:rPr>
        <w:t xml:space="preserve"> osôb,</w:t>
      </w:r>
      <w:r w:rsidRPr="005F1148">
        <w:rPr>
          <w:rFonts w:ascii="Arial Narrow" w:hAnsi="Arial Narrow" w:cs="Arial Narrow"/>
          <w:sz w:val="22"/>
          <w:szCs w:val="24"/>
        </w:rPr>
        <w:t xml:space="preserve"> </w:t>
      </w:r>
      <w:r>
        <w:rPr>
          <w:rFonts w:ascii="Arial Narrow" w:hAnsi="Arial Narrow" w:cs="Arial Narrow"/>
          <w:sz w:val="22"/>
          <w:szCs w:val="24"/>
        </w:rPr>
        <w:t xml:space="preserve">tak </w:t>
      </w:r>
      <w:r w:rsidRPr="00A1658B">
        <w:rPr>
          <w:rFonts w:ascii="Arial Narrow" w:hAnsi="Arial Narrow" w:cs="Arial Narrow"/>
          <w:sz w:val="22"/>
          <w:szCs w:val="24"/>
        </w:rPr>
        <w:t>minimáln</w:t>
      </w:r>
      <w:r>
        <w:rPr>
          <w:rFonts w:ascii="Arial Narrow" w:hAnsi="Arial Narrow" w:cs="Arial Narrow"/>
          <w:sz w:val="22"/>
          <w:szCs w:val="24"/>
        </w:rPr>
        <w:t>a</w:t>
      </w:r>
      <w:r w:rsidRPr="005F1148">
        <w:rPr>
          <w:rFonts w:ascii="Arial Narrow" w:hAnsi="Arial Narrow" w:cs="Arial Narrow"/>
          <w:sz w:val="22"/>
          <w:szCs w:val="24"/>
        </w:rPr>
        <w:t xml:space="preserve"> ubytovac</w:t>
      </w:r>
      <w:r>
        <w:rPr>
          <w:rFonts w:ascii="Arial Narrow" w:hAnsi="Arial Narrow" w:cs="Arial Narrow"/>
          <w:sz w:val="22"/>
          <w:szCs w:val="24"/>
        </w:rPr>
        <w:t>ia</w:t>
      </w:r>
      <w:r w:rsidRPr="005F1148">
        <w:rPr>
          <w:rFonts w:ascii="Arial Narrow" w:hAnsi="Arial Narrow" w:cs="Arial Narrow"/>
          <w:sz w:val="22"/>
          <w:szCs w:val="24"/>
        </w:rPr>
        <w:t xml:space="preserve"> ploch</w:t>
      </w:r>
      <w:r>
        <w:rPr>
          <w:rFonts w:ascii="Arial Narrow" w:hAnsi="Arial Narrow" w:cs="Arial Narrow"/>
          <w:sz w:val="22"/>
          <w:szCs w:val="24"/>
        </w:rPr>
        <w:t>a</w:t>
      </w:r>
      <w:r w:rsidRPr="005F1148">
        <w:rPr>
          <w:rFonts w:ascii="Arial Narrow" w:hAnsi="Arial Narrow" w:cs="Arial Narrow"/>
          <w:sz w:val="22"/>
          <w:szCs w:val="24"/>
        </w:rPr>
        <w:t xml:space="preserve"> pre jed</w:t>
      </w:r>
      <w:r>
        <w:rPr>
          <w:rFonts w:ascii="Arial Narrow" w:hAnsi="Arial Narrow" w:cs="Arial Narrow"/>
          <w:sz w:val="22"/>
          <w:szCs w:val="24"/>
        </w:rPr>
        <w:t>ného obvineného a odsúdeného bude</w:t>
      </w:r>
      <w:r w:rsidRPr="005F1148">
        <w:rPr>
          <w:rFonts w:ascii="Arial Narrow" w:hAnsi="Arial Narrow" w:cs="Arial Narrow"/>
          <w:sz w:val="22"/>
          <w:szCs w:val="24"/>
        </w:rPr>
        <w:t xml:space="preserve"> </w:t>
      </w:r>
      <w:r>
        <w:rPr>
          <w:rFonts w:ascii="Arial Narrow" w:hAnsi="Arial Narrow" w:cs="Arial Narrow"/>
          <w:sz w:val="22"/>
          <w:szCs w:val="24"/>
        </w:rPr>
        <w:t>predstavovať 3</w:t>
      </w:r>
      <w:r w:rsidRPr="005F1148">
        <w:rPr>
          <w:rFonts w:ascii="Arial Narrow" w:hAnsi="Arial Narrow" w:cs="Arial Narrow"/>
          <w:sz w:val="22"/>
          <w:szCs w:val="24"/>
        </w:rPr>
        <w:t>,</w:t>
      </w:r>
      <w:r>
        <w:rPr>
          <w:rFonts w:ascii="Arial Narrow" w:hAnsi="Arial Narrow" w:cs="Arial Narrow"/>
          <w:sz w:val="22"/>
          <w:szCs w:val="24"/>
        </w:rPr>
        <w:t>81</w:t>
      </w:r>
      <w:r w:rsidRPr="005F1148">
        <w:rPr>
          <w:rFonts w:ascii="Arial Narrow" w:hAnsi="Arial Narrow" w:cs="Arial Narrow"/>
          <w:sz w:val="22"/>
          <w:szCs w:val="24"/>
        </w:rPr>
        <w:t xml:space="preserve"> m².</w:t>
      </w:r>
    </w:p>
    <w:p w:rsidR="00312541" w:rsidP="00312541">
      <w:pPr>
        <w:pBdr>
          <w:bottom w:val="single" w:sz="4" w:space="1" w:color="auto"/>
        </w:pBdr>
        <w:jc w:val="both"/>
        <w:rPr>
          <w:rFonts w:ascii="Arial Narrow" w:hAnsi="Arial Narrow" w:cs="Arial Narrow"/>
          <w:b/>
          <w:kern w:val="32"/>
          <w:sz w:val="22"/>
          <w:szCs w:val="24"/>
        </w:rPr>
      </w:pPr>
    </w:p>
    <w:p w:rsidR="00312541" w:rsidRPr="00270749" w:rsidP="00312541">
      <w:pPr>
        <w:pBdr>
          <w:bottom w:val="single" w:sz="4" w:space="1" w:color="auto"/>
        </w:pBdr>
        <w:jc w:val="both"/>
        <w:rPr>
          <w:rFonts w:ascii="Arial Narrow" w:hAnsi="Arial Narrow" w:cs="Arial Narrow"/>
          <w:b/>
          <w:kern w:val="32"/>
          <w:sz w:val="22"/>
          <w:szCs w:val="24"/>
        </w:rPr>
      </w:pPr>
      <w:r w:rsidRPr="00270749">
        <w:rPr>
          <w:rFonts w:ascii="Arial Narrow" w:hAnsi="Arial Narrow" w:cs="Arial Narrow"/>
          <w:b/>
          <w:kern w:val="32"/>
          <w:sz w:val="22"/>
          <w:szCs w:val="24"/>
        </w:rPr>
        <w:t>Štátna správa a diplomacia</w:t>
      </w:r>
    </w:p>
    <w:p w:rsidR="00312541" w:rsidRPr="00270749" w:rsidP="00312541">
      <w:pPr>
        <w:jc w:val="both"/>
        <w:rPr>
          <w:rFonts w:ascii="Arial Narrow" w:hAnsi="Arial Narrow" w:cs="Arial Narrow"/>
          <w:kern w:val="32"/>
          <w:sz w:val="22"/>
          <w:szCs w:val="24"/>
        </w:rPr>
      </w:pPr>
    </w:p>
    <w:p w:rsidR="00312541" w:rsidRPr="00270749" w:rsidP="00312541">
      <w:pPr>
        <w:jc w:val="both"/>
        <w:rPr>
          <w:rFonts w:ascii="Arial Narrow" w:hAnsi="Arial Narrow" w:cs="Arial Narrow"/>
          <w:b/>
          <w:kern w:val="32"/>
          <w:sz w:val="22"/>
          <w:szCs w:val="24"/>
        </w:rPr>
      </w:pPr>
      <w:r w:rsidRPr="00270749">
        <w:rPr>
          <w:rFonts w:ascii="Arial Narrow" w:hAnsi="Arial Narrow" w:cs="Arial Narrow"/>
          <w:b/>
          <w:kern w:val="32"/>
          <w:sz w:val="22"/>
          <w:szCs w:val="24"/>
        </w:rPr>
        <w:t>Štátna správa</w:t>
      </w:r>
    </w:p>
    <w:p w:rsidR="00312541" w:rsidRPr="00270749" w:rsidP="00312541">
      <w:pPr>
        <w:jc w:val="both"/>
        <w:rPr>
          <w:rFonts w:ascii="Arial Narrow" w:hAnsi="Arial Narrow" w:cs="Arial Narrow"/>
          <w:color w:val="000000"/>
          <w:sz w:val="22"/>
          <w:szCs w:val="24"/>
        </w:rPr>
      </w:pPr>
    </w:p>
    <w:p w:rsidR="00312541" w:rsidP="00312541">
      <w:pPr>
        <w:autoSpaceDE w:val="0"/>
        <w:autoSpaceDN w:val="0"/>
        <w:adjustRightInd w:val="0"/>
        <w:jc w:val="both"/>
        <w:rPr>
          <w:szCs w:val="24"/>
        </w:rPr>
      </w:pPr>
      <w:r>
        <w:rPr>
          <w:rFonts w:ascii="Arial Narrow" w:hAnsi="Arial Narrow" w:cs="Arial Narrow"/>
          <w:color w:val="000000"/>
          <w:sz w:val="22"/>
          <w:szCs w:val="24"/>
        </w:rPr>
        <w:tab/>
      </w:r>
      <w:r w:rsidRPr="00270749">
        <w:rPr>
          <w:rFonts w:ascii="Arial Narrow" w:hAnsi="Arial Narrow" w:cs="Arial Narrow"/>
          <w:color w:val="000000"/>
          <w:sz w:val="22"/>
          <w:szCs w:val="24"/>
        </w:rPr>
        <w:t>V rozpočt</w:t>
      </w:r>
      <w:r>
        <w:rPr>
          <w:rFonts w:ascii="Arial Narrow" w:hAnsi="Arial Narrow" w:cs="Arial Narrow"/>
          <w:color w:val="000000"/>
          <w:sz w:val="22"/>
          <w:szCs w:val="24"/>
        </w:rPr>
        <w:t>e</w:t>
      </w:r>
      <w:r w:rsidRPr="00270749">
        <w:rPr>
          <w:rFonts w:ascii="Arial Narrow" w:hAnsi="Arial Narrow" w:cs="Arial Narrow"/>
          <w:color w:val="000000"/>
          <w:sz w:val="22"/>
          <w:szCs w:val="24"/>
        </w:rPr>
        <w:t xml:space="preserve"> </w:t>
      </w:r>
      <w:r w:rsidRPr="00270749">
        <w:rPr>
          <w:rFonts w:ascii="Arial Narrow" w:hAnsi="Arial Narrow" w:cs="Arial Narrow"/>
          <w:b/>
          <w:color w:val="000000"/>
          <w:sz w:val="22"/>
          <w:szCs w:val="24"/>
        </w:rPr>
        <w:t>Kancelárie Národnej rady SR</w:t>
      </w:r>
      <w:r w:rsidRPr="00270749">
        <w:rPr>
          <w:rFonts w:ascii="Arial Narrow" w:hAnsi="Arial Narrow" w:cs="Arial Narrow"/>
          <w:color w:val="000000"/>
          <w:sz w:val="22"/>
          <w:szCs w:val="24"/>
        </w:rPr>
        <w:t xml:space="preserve"> sú zahrnuté výdavky na plnenie funkcií a činnosť poslancov a výborov NR SR, vrátane odmien asistentom poslancov, výdavkov na prevádzku poslaneckých pracovní v areáli NR SR, ako aj kancelárií vo vybraných sídlach v rámci územia SR, výdavk</w:t>
      </w:r>
      <w:r>
        <w:rPr>
          <w:rFonts w:ascii="Arial Narrow" w:hAnsi="Arial Narrow" w:cs="Arial Narrow"/>
          <w:color w:val="000000"/>
          <w:sz w:val="22"/>
          <w:szCs w:val="24"/>
        </w:rPr>
        <w:t>y</w:t>
      </w:r>
      <w:r w:rsidRPr="00270749">
        <w:rPr>
          <w:rFonts w:ascii="Arial Narrow" w:hAnsi="Arial Narrow" w:cs="Arial Narrow"/>
          <w:color w:val="000000"/>
          <w:sz w:val="22"/>
          <w:szCs w:val="24"/>
        </w:rPr>
        <w:t xml:space="preserve"> na ubytovanie poslancov mimo ubytovacieho zariadenia NR SR</w:t>
      </w:r>
      <w:r>
        <w:rPr>
          <w:rFonts w:ascii="Arial Narrow" w:hAnsi="Arial Narrow" w:cs="Arial Narrow"/>
          <w:color w:val="000000"/>
          <w:sz w:val="22"/>
          <w:szCs w:val="24"/>
        </w:rPr>
        <w:t xml:space="preserve"> a</w:t>
      </w:r>
      <w:r w:rsidRPr="00270749">
        <w:rPr>
          <w:rFonts w:ascii="Arial Narrow" w:hAnsi="Arial Narrow" w:cs="Arial Narrow"/>
          <w:color w:val="000000"/>
          <w:sz w:val="22"/>
          <w:szCs w:val="24"/>
        </w:rPr>
        <w:t xml:space="preserve"> výdavky na činnosť poslaneckých klubov</w:t>
      </w:r>
      <w:r>
        <w:rPr>
          <w:rFonts w:ascii="Arial Narrow" w:hAnsi="Arial Narrow" w:cs="Arial Narrow"/>
          <w:color w:val="000000"/>
          <w:sz w:val="22"/>
          <w:szCs w:val="24"/>
        </w:rPr>
        <w:t>.</w:t>
      </w:r>
      <w:r w:rsidRPr="00270749">
        <w:rPr>
          <w:rFonts w:ascii="Arial Narrow" w:hAnsi="Arial Narrow" w:cs="Arial Narrow"/>
          <w:color w:val="000000"/>
          <w:sz w:val="22"/>
          <w:szCs w:val="24"/>
        </w:rPr>
        <w:t xml:space="preserve"> Z kapitálových výdavkov sa predovšetkým zabezpečuje </w:t>
      </w:r>
      <w:r>
        <w:rPr>
          <w:rFonts w:ascii="Arial Narrow" w:hAnsi="Arial Narrow" w:cs="Arial Narrow"/>
          <w:color w:val="000000"/>
          <w:sz w:val="22"/>
          <w:szCs w:val="24"/>
        </w:rPr>
        <w:t xml:space="preserve">rekonštrukcia Bratislavského hradu v sume 14,9 mil. eur, nákup výpočtovej techniky, nákup prevádzkových strojov, softvéru a rekonštrukcia kúrenia a strojovne. </w:t>
      </w:r>
      <w:r w:rsidRPr="00D8040E">
        <w:rPr>
          <w:rFonts w:ascii="Arial Narrow" w:hAnsi="Arial Narrow" w:cs="Arial Narrow"/>
          <w:color w:val="000000"/>
          <w:sz w:val="22"/>
          <w:szCs w:val="24"/>
        </w:rPr>
        <w:t xml:space="preserve">V roku 2010 </w:t>
      </w:r>
      <w:r>
        <w:rPr>
          <w:rFonts w:ascii="Arial Narrow" w:hAnsi="Arial Narrow" w:cs="Arial Narrow"/>
          <w:color w:val="000000"/>
          <w:sz w:val="22"/>
          <w:szCs w:val="24"/>
        </w:rPr>
        <w:t>dosahujú rozpočtované výdavky kapitoly hodnotu 41</w:t>
      </w:r>
      <w:r w:rsidRPr="00BF59BC">
        <w:rPr>
          <w:rFonts w:ascii="Arial Narrow" w:hAnsi="Arial Narrow" w:cs="Arial Narrow"/>
          <w:color w:val="000000"/>
          <w:sz w:val="22"/>
          <w:szCs w:val="24"/>
        </w:rPr>
        <w:t xml:space="preserve">,5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p>
    <w:p w:rsidR="00312541" w:rsidRPr="00270749" w:rsidP="00312541">
      <w:pPr>
        <w:jc w:val="both"/>
        <w:rPr>
          <w:rFonts w:ascii="Arial Narrow" w:hAnsi="Arial Narrow" w:cs="Arial Narrow"/>
          <w:color w:val="000000"/>
          <w:sz w:val="22"/>
          <w:szCs w:val="24"/>
        </w:rPr>
      </w:pPr>
    </w:p>
    <w:p w:rsidR="00312541" w:rsidP="00312541">
      <w:pPr>
        <w:autoSpaceDE w:val="0"/>
        <w:autoSpaceDN w:val="0"/>
        <w:adjustRightInd w:val="0"/>
        <w:jc w:val="both"/>
        <w:rPr>
          <w:szCs w:val="24"/>
        </w:rPr>
      </w:pPr>
      <w:r>
        <w:rPr>
          <w:rFonts w:ascii="Arial Narrow" w:hAnsi="Arial Narrow" w:cs="Arial Narrow"/>
          <w:color w:val="000000"/>
          <w:sz w:val="22"/>
          <w:szCs w:val="24"/>
        </w:rPr>
        <w:tab/>
      </w:r>
      <w:r w:rsidRPr="00270749">
        <w:rPr>
          <w:rFonts w:ascii="Arial Narrow" w:hAnsi="Arial Narrow" w:cs="Arial Narrow"/>
          <w:color w:val="000000"/>
          <w:sz w:val="22"/>
          <w:szCs w:val="24"/>
        </w:rPr>
        <w:t>V </w:t>
      </w:r>
      <w:r>
        <w:rPr>
          <w:rFonts w:ascii="Arial Narrow" w:hAnsi="Arial Narrow" w:cs="Arial Narrow"/>
          <w:color w:val="000000"/>
          <w:sz w:val="22"/>
          <w:szCs w:val="24"/>
        </w:rPr>
        <w:t>rámci</w:t>
      </w:r>
      <w:r w:rsidRPr="00270749">
        <w:rPr>
          <w:rFonts w:ascii="Arial Narrow" w:hAnsi="Arial Narrow" w:cs="Arial Narrow"/>
          <w:color w:val="000000"/>
          <w:sz w:val="22"/>
          <w:szCs w:val="24"/>
        </w:rPr>
        <w:t xml:space="preserve"> výdavkov </w:t>
      </w:r>
      <w:r w:rsidRPr="00270749">
        <w:rPr>
          <w:rFonts w:ascii="Arial Narrow" w:hAnsi="Arial Narrow" w:cs="Arial Narrow"/>
          <w:b/>
          <w:color w:val="000000"/>
          <w:sz w:val="22"/>
          <w:szCs w:val="24"/>
        </w:rPr>
        <w:t>Kancelárie prezidenta SR</w:t>
      </w:r>
      <w:r w:rsidRPr="00270749">
        <w:rPr>
          <w:rFonts w:ascii="Arial Narrow" w:hAnsi="Arial Narrow" w:cs="Arial Narrow"/>
          <w:color w:val="000000"/>
          <w:sz w:val="22"/>
          <w:szCs w:val="24"/>
        </w:rPr>
        <w:t xml:space="preserve"> sa zabezpečujú </w:t>
      </w:r>
      <w:r>
        <w:rPr>
          <w:rFonts w:ascii="Arial Narrow" w:hAnsi="Arial Narrow" w:cs="Arial Narrow"/>
          <w:color w:val="000000"/>
          <w:sz w:val="22"/>
          <w:szCs w:val="24"/>
        </w:rPr>
        <w:t>úlohy</w:t>
      </w:r>
      <w:r w:rsidRPr="00270749">
        <w:rPr>
          <w:rFonts w:ascii="Arial Narrow" w:hAnsi="Arial Narrow" w:cs="Arial Narrow"/>
          <w:color w:val="000000"/>
          <w:sz w:val="22"/>
          <w:szCs w:val="24"/>
        </w:rPr>
        <w:t xml:space="preserve"> súvisiace s</w:t>
      </w:r>
      <w:r>
        <w:rPr>
          <w:rFonts w:ascii="Arial Narrow" w:hAnsi="Arial Narrow" w:cs="Arial Narrow"/>
          <w:color w:val="000000"/>
          <w:sz w:val="22"/>
          <w:szCs w:val="24"/>
        </w:rPr>
        <w:t>o zabezpečením</w:t>
      </w:r>
      <w:r w:rsidRPr="00270749">
        <w:rPr>
          <w:rFonts w:ascii="Arial Narrow" w:hAnsi="Arial Narrow" w:cs="Arial Narrow"/>
          <w:color w:val="000000"/>
          <w:sz w:val="22"/>
          <w:szCs w:val="24"/>
        </w:rPr>
        <w:t xml:space="preserve"> podmienok a všetkých činností potrebných pre výkon ústavných právomocí prezidenta republiky. Kapitálové výdavky vychádzajú z registra investícií a zabezpečuje sa nimi </w:t>
      </w:r>
      <w:r>
        <w:rPr>
          <w:rFonts w:ascii="Arial Narrow" w:hAnsi="Arial Narrow" w:cs="Arial Narrow"/>
          <w:color w:val="000000"/>
          <w:sz w:val="22"/>
          <w:szCs w:val="24"/>
        </w:rPr>
        <w:t xml:space="preserve">obstaranie dlhodobého </w:t>
      </w:r>
      <w:r w:rsidRPr="000E21F3">
        <w:rPr>
          <w:rFonts w:ascii="Arial Narrow" w:hAnsi="Arial Narrow" w:cs="Arial Narrow"/>
          <w:color w:val="000000"/>
          <w:sz w:val="22"/>
          <w:szCs w:val="24"/>
        </w:rPr>
        <w:t>majetku</w:t>
      </w:r>
      <w:r>
        <w:rPr>
          <w:rFonts w:ascii="Arial Narrow" w:hAnsi="Arial Narrow" w:cs="Arial Narrow"/>
          <w:color w:val="000000"/>
          <w:sz w:val="22"/>
          <w:szCs w:val="24"/>
        </w:rPr>
        <w:t>, najmä rekonštrukčné práce Prezidentského paláca</w:t>
      </w:r>
      <w:r w:rsidRPr="008076AF">
        <w:rPr>
          <w:rFonts w:ascii="Arial Narrow" w:hAnsi="Arial Narrow" w:cs="Arial Narrow"/>
          <w:color w:val="000000"/>
          <w:sz w:val="22"/>
          <w:szCs w:val="24"/>
        </w:rPr>
        <w:t xml:space="preserve">. </w:t>
      </w:r>
      <w:r>
        <w:rPr>
          <w:rFonts w:ascii="Arial Narrow" w:hAnsi="Arial Narrow" w:cs="Arial Narrow"/>
          <w:color w:val="000000"/>
          <w:sz w:val="22"/>
          <w:szCs w:val="24"/>
        </w:rPr>
        <w:t>V</w:t>
      </w:r>
      <w:r w:rsidRPr="008076AF">
        <w:rPr>
          <w:rFonts w:ascii="Arial Narrow" w:hAnsi="Arial Narrow" w:cs="Arial Narrow"/>
          <w:color w:val="000000"/>
          <w:sz w:val="22"/>
          <w:szCs w:val="24"/>
        </w:rPr>
        <w:t xml:space="preserve">ýdavky kapitoly v roku 2010 </w:t>
      </w:r>
      <w:r>
        <w:rPr>
          <w:rFonts w:ascii="Arial Narrow" w:hAnsi="Arial Narrow" w:cs="Arial Narrow"/>
          <w:color w:val="000000"/>
          <w:sz w:val="22"/>
          <w:szCs w:val="24"/>
        </w:rPr>
        <w:t>sú</w:t>
      </w:r>
      <w:r w:rsidRPr="008076AF">
        <w:rPr>
          <w:rFonts w:ascii="Arial Narrow" w:hAnsi="Arial Narrow" w:cs="Arial Narrow"/>
          <w:color w:val="000000"/>
          <w:sz w:val="22"/>
          <w:szCs w:val="24"/>
        </w:rPr>
        <w:t> </w:t>
      </w:r>
      <w:r>
        <w:rPr>
          <w:rFonts w:ascii="Arial Narrow" w:hAnsi="Arial Narrow" w:cs="Arial Narrow"/>
          <w:color w:val="000000"/>
          <w:sz w:val="22"/>
          <w:szCs w:val="24"/>
        </w:rPr>
        <w:t>v </w:t>
      </w:r>
      <w:r w:rsidRPr="00BF59BC">
        <w:rPr>
          <w:rFonts w:ascii="Arial Narrow" w:hAnsi="Arial Narrow" w:cs="Arial Narrow"/>
          <w:color w:val="000000"/>
          <w:sz w:val="22"/>
          <w:szCs w:val="24"/>
        </w:rPr>
        <w:t xml:space="preserve">hodnote </w:t>
      </w:r>
      <w:r>
        <w:rPr>
          <w:rFonts w:ascii="Arial Narrow" w:hAnsi="Arial Narrow" w:cs="Arial Narrow"/>
          <w:color w:val="000000"/>
          <w:sz w:val="22"/>
          <w:szCs w:val="24"/>
        </w:rPr>
        <w:t>4</w:t>
      </w:r>
      <w:r w:rsidRPr="00BF59BC">
        <w:rPr>
          <w:rFonts w:ascii="Arial Narrow" w:hAnsi="Arial Narrow" w:cs="Arial Narrow"/>
          <w:color w:val="000000"/>
          <w:sz w:val="22"/>
          <w:szCs w:val="24"/>
        </w:rPr>
        <w:t>,</w:t>
      </w:r>
      <w:r>
        <w:rPr>
          <w:rFonts w:ascii="Arial Narrow" w:hAnsi="Arial Narrow" w:cs="Arial Narrow"/>
          <w:color w:val="000000"/>
          <w:sz w:val="22"/>
          <w:szCs w:val="24"/>
        </w:rPr>
        <w:t>0</w:t>
      </w:r>
      <w:r w:rsidRPr="00BF59BC">
        <w:rPr>
          <w:rFonts w:ascii="Arial Narrow" w:hAnsi="Arial Narrow" w:cs="Arial Narrow"/>
          <w:color w:val="000000"/>
          <w:sz w:val="22"/>
          <w:szCs w:val="24"/>
        </w:rPr>
        <w:t xml:space="preserve">4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p>
    <w:p w:rsidR="00312541" w:rsidP="00312541">
      <w:pPr>
        <w:jc w:val="both"/>
        <w:rPr>
          <w:rFonts w:ascii="Arial Narrow" w:hAnsi="Arial Narrow" w:cs="Arial Narrow"/>
          <w:color w:val="000000"/>
          <w:sz w:val="22"/>
          <w:szCs w:val="24"/>
        </w:rPr>
      </w:pPr>
    </w:p>
    <w:p w:rsidR="00312541" w:rsidP="00312541">
      <w:pPr>
        <w:autoSpaceDE w:val="0"/>
        <w:autoSpaceDN w:val="0"/>
        <w:adjustRightInd w:val="0"/>
        <w:jc w:val="both"/>
        <w:rPr>
          <w:rFonts w:ascii="Arial Narrow" w:hAnsi="Arial Narrow" w:cs="Arial Narrow"/>
          <w:color w:val="000000"/>
          <w:sz w:val="22"/>
          <w:szCs w:val="24"/>
        </w:rPr>
      </w:pPr>
      <w:r>
        <w:rPr>
          <w:rFonts w:ascii="Arial Narrow" w:hAnsi="Arial Narrow" w:cs="Arial Narrow"/>
          <w:color w:val="000000"/>
          <w:sz w:val="22"/>
          <w:szCs w:val="24"/>
        </w:rPr>
        <w:tab/>
      </w:r>
      <w:r w:rsidRPr="00270749">
        <w:rPr>
          <w:rFonts w:ascii="Arial Narrow" w:hAnsi="Arial Narrow" w:cs="Arial Narrow"/>
          <w:color w:val="000000"/>
          <w:sz w:val="22"/>
          <w:szCs w:val="24"/>
        </w:rPr>
        <w:t>Výdavk</w:t>
      </w:r>
      <w:r>
        <w:rPr>
          <w:rFonts w:ascii="Arial Narrow" w:hAnsi="Arial Narrow" w:cs="Arial Narrow"/>
          <w:color w:val="000000"/>
          <w:sz w:val="22"/>
          <w:szCs w:val="24"/>
        </w:rPr>
        <w:t>ami</w:t>
      </w:r>
      <w:r w:rsidRPr="00270749">
        <w:rPr>
          <w:rFonts w:ascii="Arial Narrow" w:hAnsi="Arial Narrow" w:cs="Arial Narrow"/>
          <w:color w:val="000000"/>
          <w:sz w:val="22"/>
          <w:szCs w:val="24"/>
        </w:rPr>
        <w:t xml:space="preserve"> </w:t>
      </w:r>
      <w:r w:rsidRPr="00270749">
        <w:rPr>
          <w:rFonts w:ascii="Arial Narrow" w:hAnsi="Arial Narrow" w:cs="Arial Narrow"/>
          <w:b/>
          <w:color w:val="000000"/>
          <w:sz w:val="22"/>
          <w:szCs w:val="24"/>
        </w:rPr>
        <w:t>Úradu vlády SR</w:t>
      </w:r>
      <w:r w:rsidRPr="00270749">
        <w:rPr>
          <w:rFonts w:ascii="Arial Narrow" w:hAnsi="Arial Narrow" w:cs="Arial Narrow"/>
          <w:color w:val="000000"/>
          <w:sz w:val="22"/>
          <w:szCs w:val="24"/>
        </w:rPr>
        <w:t xml:space="preserve"> na rok 20</w:t>
      </w:r>
      <w:r>
        <w:rPr>
          <w:rFonts w:ascii="Arial Narrow" w:hAnsi="Arial Narrow" w:cs="Arial Narrow"/>
          <w:color w:val="000000"/>
          <w:sz w:val="22"/>
          <w:szCs w:val="24"/>
        </w:rPr>
        <w:t>10</w:t>
      </w:r>
      <w:r w:rsidRPr="00270749">
        <w:rPr>
          <w:rFonts w:ascii="Arial Narrow" w:hAnsi="Arial Narrow" w:cs="Arial Narrow"/>
          <w:color w:val="000000"/>
          <w:sz w:val="22"/>
          <w:szCs w:val="24"/>
        </w:rPr>
        <w:t xml:space="preserve"> </w:t>
      </w:r>
      <w:r>
        <w:rPr>
          <w:rFonts w:ascii="Arial Narrow" w:hAnsi="Arial Narrow" w:cs="Arial Narrow"/>
          <w:color w:val="000000"/>
          <w:sz w:val="22"/>
          <w:szCs w:val="24"/>
        </w:rPr>
        <w:t>sa</w:t>
      </w:r>
      <w:r w:rsidRPr="00270749">
        <w:rPr>
          <w:rFonts w:ascii="Arial Narrow" w:hAnsi="Arial Narrow" w:cs="Arial Narrow"/>
          <w:color w:val="000000"/>
          <w:sz w:val="22"/>
          <w:szCs w:val="24"/>
        </w:rPr>
        <w:t xml:space="preserve"> zabezpečujú prostriedky na podporu menšinovej kultúrnej politiky, na riešenie problematiky rómskych komunít, na podporu športu, na zabezpečenie prevádzky vládnej siete Govnet a Ústredného portálu</w:t>
      </w:r>
      <w:r>
        <w:rPr>
          <w:rFonts w:ascii="Arial Narrow" w:hAnsi="Arial Narrow" w:cs="Arial Narrow"/>
          <w:color w:val="000000"/>
          <w:sz w:val="22"/>
          <w:szCs w:val="24"/>
        </w:rPr>
        <w:t xml:space="preserve"> verejnej správy, </w:t>
      </w:r>
      <w:r w:rsidRPr="00270749">
        <w:rPr>
          <w:rFonts w:ascii="Arial Narrow" w:hAnsi="Arial Narrow" w:cs="Arial Narrow"/>
          <w:color w:val="000000"/>
          <w:sz w:val="22"/>
          <w:szCs w:val="24"/>
        </w:rPr>
        <w:t xml:space="preserve">ako aj na trvalý Euro Info servis </w:t>
      </w:r>
      <w:r>
        <w:rPr>
          <w:rFonts w:ascii="Arial Narrow" w:hAnsi="Arial Narrow" w:cs="Arial Narrow"/>
          <w:color w:val="000000"/>
          <w:sz w:val="22"/>
          <w:szCs w:val="24"/>
        </w:rPr>
        <w:t>pre občanov SR v súvislosti s členstvom SR v eurozóne</w:t>
      </w:r>
      <w:r w:rsidRPr="00270749">
        <w:rPr>
          <w:rFonts w:ascii="Arial Narrow" w:hAnsi="Arial Narrow" w:cs="Arial Narrow"/>
          <w:color w:val="000000"/>
          <w:sz w:val="22"/>
          <w:szCs w:val="24"/>
        </w:rPr>
        <w:t xml:space="preserve">. Pre Správu zariadení Úradu vlády SR sa zabezpečujú prostriedky na chod účelových zariadení v oblasti poskytovania služieb, na správu a údržbu objektov ÚV SR, na obstaranie a správu hnuteľného majetku pre ÚV SR a na </w:t>
      </w:r>
      <w:r>
        <w:rPr>
          <w:rFonts w:ascii="Arial Narrow" w:hAnsi="Arial Narrow" w:cs="Arial Narrow"/>
          <w:color w:val="000000"/>
          <w:sz w:val="22"/>
          <w:szCs w:val="24"/>
        </w:rPr>
        <w:t>obstaranie hmotného a nehmotného majetku</w:t>
      </w:r>
      <w:r w:rsidRPr="00270749">
        <w:rPr>
          <w:rFonts w:ascii="Arial Narrow" w:hAnsi="Arial Narrow" w:cs="Arial Narrow"/>
          <w:color w:val="000000"/>
          <w:sz w:val="22"/>
          <w:szCs w:val="24"/>
        </w:rPr>
        <w:t>. V rámci výdavkov Úradu pre Slovákov žijúcich v zahraničí sa rozpočtujú predovšetkým prostriedky na podporu aktivít Slovákov žijúcich v zahraničí</w:t>
      </w:r>
      <w:r w:rsidRPr="00A969CB">
        <w:rPr>
          <w:rFonts w:ascii="Arial Narrow" w:hAnsi="Arial Narrow" w:cs="Arial Narrow"/>
          <w:color w:val="000000"/>
          <w:sz w:val="22"/>
          <w:szCs w:val="24"/>
        </w:rPr>
        <w:t xml:space="preserve">. </w:t>
      </w:r>
      <w:r>
        <w:rPr>
          <w:rFonts w:ascii="Arial Narrow" w:hAnsi="Arial Narrow" w:cs="Arial Narrow"/>
          <w:color w:val="000000"/>
          <w:sz w:val="22"/>
          <w:szCs w:val="24"/>
        </w:rPr>
        <w:t>V</w:t>
      </w:r>
      <w:r w:rsidRPr="00A969CB">
        <w:rPr>
          <w:rFonts w:ascii="Arial Narrow" w:hAnsi="Arial Narrow" w:cs="Arial Narrow"/>
          <w:color w:val="000000"/>
          <w:sz w:val="22"/>
          <w:szCs w:val="24"/>
        </w:rPr>
        <w:t xml:space="preserve">ýdavky kapitoly v roku 2010 </w:t>
      </w:r>
      <w:r>
        <w:rPr>
          <w:rFonts w:ascii="Arial Narrow" w:hAnsi="Arial Narrow" w:cs="Arial Narrow"/>
          <w:color w:val="000000"/>
          <w:sz w:val="22"/>
          <w:szCs w:val="24"/>
        </w:rPr>
        <w:t>sú rozpočtované v </w:t>
      </w:r>
      <w:r w:rsidRPr="00BF59BC">
        <w:rPr>
          <w:rFonts w:ascii="Arial Narrow" w:hAnsi="Arial Narrow" w:cs="Arial Narrow"/>
          <w:color w:val="000000"/>
          <w:sz w:val="22"/>
          <w:szCs w:val="24"/>
        </w:rPr>
        <w:t>hodnote 2</w:t>
      </w:r>
      <w:r>
        <w:rPr>
          <w:rFonts w:ascii="Arial Narrow" w:hAnsi="Arial Narrow" w:cs="Arial Narrow"/>
          <w:color w:val="000000"/>
          <w:sz w:val="22"/>
          <w:szCs w:val="24"/>
        </w:rPr>
        <w:t>7</w:t>
      </w:r>
      <w:r w:rsidRPr="00BF59BC">
        <w:rPr>
          <w:rFonts w:ascii="Arial Narrow" w:hAnsi="Arial Narrow" w:cs="Arial Narrow"/>
          <w:color w:val="000000"/>
          <w:sz w:val="22"/>
          <w:szCs w:val="24"/>
        </w:rPr>
        <w:t>,</w:t>
      </w:r>
      <w:r>
        <w:rPr>
          <w:rFonts w:ascii="Arial Narrow" w:hAnsi="Arial Narrow" w:cs="Arial Narrow"/>
          <w:color w:val="000000"/>
          <w:sz w:val="22"/>
          <w:szCs w:val="24"/>
        </w:rPr>
        <w:t>4</w:t>
      </w:r>
      <w:r w:rsidRPr="00BF59BC">
        <w:rPr>
          <w:rFonts w:ascii="Arial Narrow" w:hAnsi="Arial Narrow" w:cs="Arial Narrow"/>
          <w:color w:val="000000"/>
          <w:sz w:val="22"/>
          <w:szCs w:val="24"/>
        </w:rPr>
        <w:t xml:space="preserve">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r w:rsidRPr="00270749">
        <w:rPr>
          <w:rFonts w:ascii="Arial Narrow" w:hAnsi="Arial Narrow" w:cs="Arial Narrow"/>
          <w:color w:val="000000"/>
          <w:sz w:val="22"/>
          <w:szCs w:val="24"/>
        </w:rPr>
        <w:t xml:space="preserve">   </w:t>
      </w:r>
    </w:p>
    <w:p w:rsidR="00312541" w:rsidP="00312541">
      <w:pPr>
        <w:autoSpaceDE w:val="0"/>
        <w:autoSpaceDN w:val="0"/>
        <w:adjustRightInd w:val="0"/>
        <w:jc w:val="both"/>
        <w:rPr>
          <w:szCs w:val="24"/>
        </w:rPr>
      </w:pPr>
    </w:p>
    <w:p w:rsidR="00312541" w:rsidP="00312541">
      <w:pPr>
        <w:autoSpaceDE w:val="0"/>
        <w:autoSpaceDN w:val="0"/>
        <w:adjustRightInd w:val="0"/>
        <w:jc w:val="both"/>
        <w:rPr>
          <w:szCs w:val="24"/>
        </w:rPr>
      </w:pPr>
      <w:r>
        <w:rPr>
          <w:rFonts w:ascii="Arial Narrow" w:hAnsi="Arial Narrow" w:cs="Arial Narrow"/>
          <w:color w:val="000000"/>
          <w:sz w:val="22"/>
          <w:szCs w:val="24"/>
        </w:rPr>
        <w:tab/>
        <w:t>V rozpočte</w:t>
      </w:r>
      <w:r w:rsidRPr="00270749">
        <w:rPr>
          <w:rFonts w:ascii="Arial Narrow" w:hAnsi="Arial Narrow" w:cs="Arial Narrow"/>
          <w:color w:val="000000"/>
          <w:sz w:val="22"/>
          <w:szCs w:val="24"/>
        </w:rPr>
        <w:t xml:space="preserve"> </w:t>
      </w:r>
      <w:r w:rsidRPr="003567B1">
        <w:rPr>
          <w:rFonts w:ascii="Arial Narrow" w:hAnsi="Arial Narrow" w:cs="Arial Narrow"/>
          <w:b/>
          <w:color w:val="000000"/>
          <w:sz w:val="22"/>
          <w:szCs w:val="24"/>
        </w:rPr>
        <w:t>Najvyšš</w:t>
      </w:r>
      <w:r>
        <w:rPr>
          <w:rFonts w:ascii="Arial Narrow" w:hAnsi="Arial Narrow" w:cs="Arial Narrow"/>
          <w:b/>
          <w:color w:val="000000"/>
          <w:sz w:val="22"/>
          <w:szCs w:val="24"/>
        </w:rPr>
        <w:t>ieho</w:t>
      </w:r>
      <w:r w:rsidRPr="003567B1">
        <w:rPr>
          <w:rFonts w:ascii="Arial Narrow" w:hAnsi="Arial Narrow" w:cs="Arial Narrow"/>
          <w:b/>
          <w:color w:val="000000"/>
          <w:sz w:val="22"/>
          <w:szCs w:val="24"/>
        </w:rPr>
        <w:t xml:space="preserve"> kontroln</w:t>
      </w:r>
      <w:r>
        <w:rPr>
          <w:rFonts w:ascii="Arial Narrow" w:hAnsi="Arial Narrow" w:cs="Arial Narrow"/>
          <w:b/>
          <w:color w:val="000000"/>
          <w:sz w:val="22"/>
          <w:szCs w:val="24"/>
        </w:rPr>
        <w:t>ého</w:t>
      </w:r>
      <w:r w:rsidRPr="003567B1">
        <w:rPr>
          <w:rFonts w:ascii="Arial Narrow" w:hAnsi="Arial Narrow" w:cs="Arial Narrow"/>
          <w:b/>
          <w:color w:val="000000"/>
          <w:sz w:val="22"/>
          <w:szCs w:val="24"/>
        </w:rPr>
        <w:t xml:space="preserve"> úrad</w:t>
      </w:r>
      <w:r>
        <w:rPr>
          <w:rFonts w:ascii="Arial Narrow" w:hAnsi="Arial Narrow" w:cs="Arial Narrow"/>
          <w:b/>
          <w:color w:val="000000"/>
          <w:sz w:val="22"/>
          <w:szCs w:val="24"/>
        </w:rPr>
        <w:t>u</w:t>
      </w:r>
      <w:r w:rsidRPr="003567B1">
        <w:rPr>
          <w:rFonts w:ascii="Arial Narrow" w:hAnsi="Arial Narrow" w:cs="Arial Narrow"/>
          <w:b/>
          <w:color w:val="000000"/>
          <w:sz w:val="22"/>
          <w:szCs w:val="24"/>
        </w:rPr>
        <w:t xml:space="preserve"> SR </w:t>
      </w:r>
      <w:r w:rsidRPr="003567B1">
        <w:rPr>
          <w:rFonts w:ascii="Arial Narrow" w:hAnsi="Arial Narrow" w:cs="Arial Narrow"/>
          <w:color w:val="000000"/>
          <w:sz w:val="22"/>
          <w:szCs w:val="24"/>
        </w:rPr>
        <w:t xml:space="preserve">sa </w:t>
      </w:r>
      <w:r w:rsidRPr="00270749">
        <w:rPr>
          <w:rFonts w:ascii="Arial Narrow" w:hAnsi="Arial Narrow" w:cs="Arial Narrow"/>
          <w:color w:val="000000"/>
          <w:sz w:val="22"/>
          <w:szCs w:val="24"/>
        </w:rPr>
        <w:t>zohľadňuj</w:t>
      </w:r>
      <w:r>
        <w:rPr>
          <w:rFonts w:ascii="Arial Narrow" w:hAnsi="Arial Narrow" w:cs="Arial Narrow"/>
          <w:color w:val="000000"/>
          <w:sz w:val="22"/>
          <w:szCs w:val="24"/>
        </w:rPr>
        <w:t>e</w:t>
      </w:r>
      <w:r w:rsidRPr="00270749">
        <w:rPr>
          <w:rFonts w:ascii="Arial Narrow" w:hAnsi="Arial Narrow" w:cs="Arial Narrow"/>
          <w:color w:val="000000"/>
          <w:sz w:val="22"/>
          <w:szCs w:val="24"/>
        </w:rPr>
        <w:t xml:space="preserve"> predovšetkým</w:t>
      </w:r>
      <w:r>
        <w:rPr>
          <w:rFonts w:ascii="Arial Narrow" w:hAnsi="Arial Narrow" w:cs="Arial Narrow"/>
          <w:color w:val="000000"/>
          <w:sz w:val="22"/>
          <w:szCs w:val="24"/>
        </w:rPr>
        <w:t xml:space="preserve"> zabezpečenie plnenia kontrolných úloh zameraných na spoločensky významné tematické problémy vrátane špecifických kontrolných akcií. </w:t>
      </w:r>
      <w:r w:rsidRPr="00270749">
        <w:rPr>
          <w:rFonts w:ascii="Arial Narrow" w:hAnsi="Arial Narrow" w:cs="Arial Narrow"/>
          <w:color w:val="000000"/>
          <w:sz w:val="22"/>
          <w:szCs w:val="24"/>
        </w:rPr>
        <w:t xml:space="preserve">Z kapitálových výdavkov sa zabezpečuje predovšetkým </w:t>
      </w:r>
      <w:r>
        <w:rPr>
          <w:rFonts w:ascii="Arial Narrow" w:hAnsi="Arial Narrow" w:cs="Arial Narrow"/>
          <w:color w:val="000000"/>
          <w:sz w:val="22"/>
          <w:szCs w:val="24"/>
        </w:rPr>
        <w:t xml:space="preserve">obnova vozového parku, </w:t>
      </w:r>
      <w:r w:rsidRPr="00270749">
        <w:rPr>
          <w:rFonts w:ascii="Arial Narrow" w:hAnsi="Arial Narrow" w:cs="Arial Narrow"/>
          <w:color w:val="000000"/>
          <w:sz w:val="22"/>
          <w:szCs w:val="24"/>
        </w:rPr>
        <w:t>obstaranie softvéru</w:t>
      </w:r>
      <w:r>
        <w:rPr>
          <w:rFonts w:ascii="Arial Narrow" w:hAnsi="Arial Narrow" w:cs="Arial Narrow"/>
          <w:color w:val="000000"/>
          <w:sz w:val="22"/>
          <w:szCs w:val="24"/>
        </w:rPr>
        <w:t xml:space="preserve"> a výpočtovej techniky. V</w:t>
      </w:r>
      <w:r w:rsidRPr="002020CE">
        <w:rPr>
          <w:rFonts w:ascii="Arial Narrow" w:hAnsi="Arial Narrow" w:cs="Arial Narrow"/>
          <w:color w:val="000000"/>
          <w:sz w:val="22"/>
          <w:szCs w:val="24"/>
        </w:rPr>
        <w:t>ýdavky kapitoly</w:t>
      </w:r>
      <w:r>
        <w:rPr>
          <w:rFonts w:ascii="Arial Narrow" w:hAnsi="Arial Narrow" w:cs="Arial Narrow"/>
          <w:color w:val="000000"/>
          <w:sz w:val="22"/>
          <w:szCs w:val="24"/>
        </w:rPr>
        <w:t xml:space="preserve">  </w:t>
      </w:r>
      <w:r w:rsidRPr="002020CE">
        <w:rPr>
          <w:rFonts w:ascii="Arial Narrow" w:hAnsi="Arial Narrow" w:cs="Arial Narrow"/>
          <w:color w:val="000000"/>
          <w:sz w:val="22"/>
          <w:szCs w:val="24"/>
        </w:rPr>
        <w:t xml:space="preserve">v </w:t>
      </w:r>
      <w:r w:rsidRPr="00BF59BC">
        <w:rPr>
          <w:rFonts w:ascii="Arial Narrow" w:hAnsi="Arial Narrow" w:cs="Arial Narrow"/>
          <w:color w:val="000000"/>
          <w:sz w:val="22"/>
          <w:szCs w:val="24"/>
        </w:rPr>
        <w:t xml:space="preserve">roku 2010 </w:t>
      </w:r>
      <w:r>
        <w:rPr>
          <w:rFonts w:ascii="Arial Narrow" w:hAnsi="Arial Narrow" w:cs="Arial Narrow"/>
          <w:color w:val="000000"/>
          <w:sz w:val="22"/>
          <w:szCs w:val="24"/>
        </w:rPr>
        <w:t>sa rozpočtujú v hodnote 8</w:t>
      </w:r>
      <w:r w:rsidRPr="00BF59BC">
        <w:rPr>
          <w:rFonts w:ascii="Arial Narrow" w:hAnsi="Arial Narrow" w:cs="Arial Narrow"/>
          <w:color w:val="000000"/>
          <w:sz w:val="22"/>
          <w:szCs w:val="24"/>
        </w:rPr>
        <w:t>,</w:t>
      </w:r>
      <w:r>
        <w:rPr>
          <w:rFonts w:ascii="Arial Narrow" w:hAnsi="Arial Narrow" w:cs="Arial Narrow"/>
          <w:color w:val="000000"/>
          <w:sz w:val="22"/>
          <w:szCs w:val="24"/>
        </w:rPr>
        <w:t>20</w:t>
      </w:r>
      <w:r w:rsidRPr="00BF59BC">
        <w:rPr>
          <w:rFonts w:ascii="Arial Narrow" w:hAnsi="Arial Narrow" w:cs="Arial Narrow"/>
          <w:color w:val="000000"/>
          <w:sz w:val="22"/>
          <w:szCs w:val="24"/>
        </w:rPr>
        <w:t xml:space="preserve">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r w:rsidRPr="00270749">
        <w:rPr>
          <w:rFonts w:ascii="Arial Narrow" w:hAnsi="Arial Narrow" w:cs="Arial Narrow"/>
          <w:color w:val="000000"/>
          <w:sz w:val="22"/>
          <w:szCs w:val="24"/>
        </w:rPr>
        <w:t xml:space="preserve">  </w:t>
      </w:r>
    </w:p>
    <w:p w:rsidR="00312541" w:rsidRPr="00270749" w:rsidP="00312541">
      <w:pPr>
        <w:jc w:val="both"/>
        <w:rPr>
          <w:rFonts w:ascii="Arial Narrow" w:hAnsi="Arial Narrow" w:cs="Arial Narrow"/>
          <w:color w:val="000000"/>
          <w:sz w:val="22"/>
          <w:szCs w:val="24"/>
        </w:rPr>
      </w:pPr>
    </w:p>
    <w:p w:rsidR="00312541" w:rsidP="00312541">
      <w:pPr>
        <w:autoSpaceDE w:val="0"/>
        <w:autoSpaceDN w:val="0"/>
        <w:adjustRightInd w:val="0"/>
        <w:jc w:val="both"/>
        <w:rPr>
          <w:szCs w:val="24"/>
        </w:rPr>
      </w:pPr>
      <w:r>
        <w:rPr>
          <w:rFonts w:ascii="Arial Narrow" w:hAnsi="Arial Narrow" w:cs="Arial Narrow"/>
          <w:color w:val="000000"/>
          <w:sz w:val="22"/>
          <w:szCs w:val="24"/>
        </w:rPr>
        <w:tab/>
        <w:t xml:space="preserve">V rámci výdavkov </w:t>
      </w:r>
      <w:r w:rsidRPr="003567B1">
        <w:rPr>
          <w:rFonts w:ascii="Arial Narrow" w:hAnsi="Arial Narrow" w:cs="Arial Narrow"/>
          <w:b/>
          <w:color w:val="000000"/>
          <w:sz w:val="22"/>
          <w:szCs w:val="24"/>
        </w:rPr>
        <w:t>Štatistick</w:t>
      </w:r>
      <w:r>
        <w:rPr>
          <w:rFonts w:ascii="Arial Narrow" w:hAnsi="Arial Narrow" w:cs="Arial Narrow"/>
          <w:b/>
          <w:color w:val="000000"/>
          <w:sz w:val="22"/>
          <w:szCs w:val="24"/>
        </w:rPr>
        <w:t>ého</w:t>
      </w:r>
      <w:r w:rsidRPr="003567B1">
        <w:rPr>
          <w:rFonts w:ascii="Arial Narrow" w:hAnsi="Arial Narrow" w:cs="Arial Narrow"/>
          <w:b/>
          <w:color w:val="000000"/>
          <w:sz w:val="22"/>
          <w:szCs w:val="24"/>
        </w:rPr>
        <w:t xml:space="preserve"> úrad</w:t>
      </w:r>
      <w:r>
        <w:rPr>
          <w:rFonts w:ascii="Arial Narrow" w:hAnsi="Arial Narrow" w:cs="Arial Narrow"/>
          <w:b/>
          <w:color w:val="000000"/>
          <w:sz w:val="22"/>
          <w:szCs w:val="24"/>
        </w:rPr>
        <w:t>u</w:t>
      </w:r>
      <w:r w:rsidRPr="003567B1">
        <w:rPr>
          <w:rFonts w:ascii="Arial Narrow" w:hAnsi="Arial Narrow" w:cs="Arial Narrow"/>
          <w:b/>
          <w:color w:val="000000"/>
          <w:sz w:val="22"/>
          <w:szCs w:val="24"/>
        </w:rPr>
        <w:t xml:space="preserve"> SR</w:t>
      </w:r>
      <w:r w:rsidRPr="00270749">
        <w:rPr>
          <w:rFonts w:ascii="Arial Narrow" w:hAnsi="Arial Narrow" w:cs="Arial Narrow"/>
          <w:color w:val="000000"/>
          <w:sz w:val="22"/>
          <w:szCs w:val="24"/>
        </w:rPr>
        <w:t xml:space="preserve"> sa </w:t>
      </w:r>
      <w:r>
        <w:rPr>
          <w:rFonts w:ascii="Arial Narrow" w:hAnsi="Arial Narrow" w:cs="Arial Narrow"/>
          <w:color w:val="000000"/>
          <w:sz w:val="22"/>
          <w:szCs w:val="24"/>
        </w:rPr>
        <w:t>zabezpečujú</w:t>
      </w:r>
      <w:r w:rsidRPr="00270749">
        <w:rPr>
          <w:rFonts w:ascii="Arial Narrow" w:hAnsi="Arial Narrow" w:cs="Arial Narrow"/>
          <w:color w:val="000000"/>
          <w:sz w:val="22"/>
          <w:szCs w:val="24"/>
        </w:rPr>
        <w:t xml:space="preserve"> všetky nevyhnutné potreby kapitoly. </w:t>
      </w:r>
      <w:r>
        <w:rPr>
          <w:rFonts w:ascii="Arial Narrow" w:hAnsi="Arial Narrow" w:cs="Arial Narrow"/>
          <w:color w:val="000000"/>
          <w:sz w:val="22"/>
          <w:szCs w:val="24"/>
        </w:rPr>
        <w:t>N</w:t>
      </w:r>
      <w:r w:rsidRPr="00270749">
        <w:rPr>
          <w:rFonts w:ascii="Arial Narrow" w:hAnsi="Arial Narrow" w:cs="Arial Narrow"/>
          <w:color w:val="000000"/>
          <w:sz w:val="22"/>
          <w:szCs w:val="24"/>
        </w:rPr>
        <w:t xml:space="preserve">ad rámec bežných potrieb </w:t>
      </w:r>
      <w:r>
        <w:rPr>
          <w:rFonts w:ascii="Arial Narrow" w:hAnsi="Arial Narrow" w:cs="Arial Narrow"/>
          <w:color w:val="000000"/>
          <w:sz w:val="22"/>
          <w:szCs w:val="24"/>
        </w:rPr>
        <w:t xml:space="preserve">sú </w:t>
      </w:r>
      <w:r w:rsidRPr="00270749">
        <w:rPr>
          <w:rFonts w:ascii="Arial Narrow" w:hAnsi="Arial Narrow" w:cs="Arial Narrow"/>
          <w:color w:val="000000"/>
          <w:sz w:val="22"/>
          <w:szCs w:val="24"/>
        </w:rPr>
        <w:t xml:space="preserve">v príslušných rokoch zohľadnené aj výdavky na </w:t>
      </w:r>
      <w:r>
        <w:rPr>
          <w:rFonts w:ascii="Arial Narrow" w:hAnsi="Arial Narrow" w:cs="Arial Narrow"/>
          <w:color w:val="000000"/>
          <w:sz w:val="22"/>
          <w:szCs w:val="24"/>
        </w:rPr>
        <w:t>spracovanie výsledkov</w:t>
      </w:r>
      <w:r w:rsidRPr="00270749">
        <w:rPr>
          <w:rFonts w:ascii="Arial Narrow" w:hAnsi="Arial Narrow" w:cs="Arial Narrow"/>
          <w:color w:val="000000"/>
          <w:sz w:val="22"/>
          <w:szCs w:val="24"/>
        </w:rPr>
        <w:t xml:space="preserve"> volieb do NR SR a do orgánov samosprávy, ako aj výdavky potrebné pre prípravu sčítania obyvateľ</w:t>
      </w:r>
      <w:r>
        <w:rPr>
          <w:rFonts w:ascii="Arial Narrow" w:hAnsi="Arial Narrow" w:cs="Arial Narrow"/>
          <w:color w:val="000000"/>
          <w:sz w:val="22"/>
          <w:szCs w:val="24"/>
        </w:rPr>
        <w:t>ov, domov a bytov, ktoré sa má uskutočni</w:t>
      </w:r>
      <w:r w:rsidRPr="00270749">
        <w:rPr>
          <w:rFonts w:ascii="Arial Narrow" w:hAnsi="Arial Narrow" w:cs="Arial Narrow"/>
          <w:color w:val="000000"/>
          <w:sz w:val="22"/>
          <w:szCs w:val="24"/>
        </w:rPr>
        <w:t>ť v roku 2011</w:t>
      </w:r>
      <w:r>
        <w:rPr>
          <w:rFonts w:ascii="Arial Narrow" w:hAnsi="Arial Narrow" w:cs="Arial Narrow"/>
          <w:color w:val="000000"/>
          <w:sz w:val="22"/>
          <w:szCs w:val="24"/>
        </w:rPr>
        <w:t>. V rámci kapitálových výdavkov sa zabezpečujú najmä prostriedky na výpočtovú techniku a prevádzkové stroje a prístroj</w:t>
      </w:r>
      <w:r w:rsidRPr="002020CE">
        <w:rPr>
          <w:rFonts w:ascii="Arial Narrow" w:hAnsi="Arial Narrow" w:cs="Arial Narrow"/>
          <w:color w:val="000000"/>
          <w:sz w:val="22"/>
          <w:szCs w:val="24"/>
        </w:rPr>
        <w:t xml:space="preserve">e. </w:t>
      </w:r>
      <w:r>
        <w:rPr>
          <w:rFonts w:ascii="Arial Narrow" w:hAnsi="Arial Narrow" w:cs="Arial Narrow"/>
          <w:color w:val="000000"/>
          <w:sz w:val="22"/>
          <w:szCs w:val="24"/>
        </w:rPr>
        <w:t>V</w:t>
      </w:r>
      <w:r w:rsidRPr="002020CE">
        <w:rPr>
          <w:rFonts w:ascii="Arial Narrow" w:hAnsi="Arial Narrow" w:cs="Arial Narrow"/>
          <w:color w:val="000000"/>
          <w:sz w:val="22"/>
          <w:szCs w:val="24"/>
        </w:rPr>
        <w:t xml:space="preserve">ýdavky kapitoly v roku 2010 </w:t>
      </w:r>
      <w:r>
        <w:rPr>
          <w:rFonts w:ascii="Arial Narrow" w:hAnsi="Arial Narrow" w:cs="Arial Narrow"/>
          <w:color w:val="000000"/>
          <w:sz w:val="22"/>
          <w:szCs w:val="24"/>
        </w:rPr>
        <w:t xml:space="preserve">sú rozpočtované v hodnote </w:t>
      </w:r>
      <w:r w:rsidRPr="00BF59BC">
        <w:rPr>
          <w:rFonts w:ascii="Arial Narrow" w:hAnsi="Arial Narrow" w:cs="Arial Narrow"/>
          <w:color w:val="000000"/>
          <w:sz w:val="22"/>
          <w:szCs w:val="24"/>
        </w:rPr>
        <w:t xml:space="preserve">29,5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p>
    <w:p w:rsidR="00312541" w:rsidRPr="00270749" w:rsidP="00312541">
      <w:pPr>
        <w:jc w:val="both"/>
        <w:rPr>
          <w:rFonts w:ascii="Arial Narrow" w:hAnsi="Arial Narrow" w:cs="Arial Narrow"/>
          <w:color w:val="000000"/>
          <w:sz w:val="22"/>
          <w:szCs w:val="24"/>
        </w:rPr>
      </w:pPr>
    </w:p>
    <w:p w:rsidR="00312541" w:rsidRPr="00270749" w:rsidP="00312541">
      <w:pPr>
        <w:autoSpaceDE w:val="0"/>
        <w:autoSpaceDN w:val="0"/>
        <w:adjustRightInd w:val="0"/>
        <w:jc w:val="both"/>
        <w:rPr>
          <w:rFonts w:ascii="Arial Narrow" w:hAnsi="Arial Narrow" w:cs="Arial Narrow"/>
          <w:color w:val="000000"/>
          <w:sz w:val="22"/>
          <w:szCs w:val="24"/>
        </w:rPr>
      </w:pPr>
      <w:r>
        <w:rPr>
          <w:rFonts w:ascii="Arial Narrow" w:hAnsi="Arial Narrow" w:cs="Arial Narrow"/>
          <w:color w:val="000000"/>
          <w:sz w:val="22"/>
          <w:szCs w:val="24"/>
        </w:rPr>
        <w:tab/>
        <w:t xml:space="preserve">V rozpočte výdavkov </w:t>
      </w:r>
      <w:r w:rsidRPr="00270749">
        <w:rPr>
          <w:rFonts w:ascii="Arial Narrow" w:hAnsi="Arial Narrow" w:cs="Arial Narrow"/>
          <w:color w:val="000000"/>
          <w:sz w:val="22"/>
          <w:szCs w:val="24"/>
        </w:rPr>
        <w:t xml:space="preserve">kapitoly </w:t>
      </w:r>
      <w:r w:rsidRPr="003567B1">
        <w:rPr>
          <w:rFonts w:ascii="Arial Narrow" w:hAnsi="Arial Narrow" w:cs="Arial Narrow"/>
          <w:b/>
          <w:color w:val="000000"/>
          <w:sz w:val="22"/>
          <w:szCs w:val="24"/>
        </w:rPr>
        <w:t>Úrad pre verejné obstarávanie</w:t>
      </w:r>
      <w:r w:rsidRPr="00270749">
        <w:rPr>
          <w:rFonts w:ascii="Arial Narrow" w:hAnsi="Arial Narrow" w:cs="Arial Narrow"/>
          <w:color w:val="000000"/>
          <w:sz w:val="22"/>
          <w:szCs w:val="24"/>
        </w:rPr>
        <w:t xml:space="preserve"> sa predovšetkým zabezpečujú prostriedky na budovanie a rozvoj elektronického verejného obstarávania, ktoré zabezpečí efektívne a transparentné verejné obstarávanie, bude viesť k finančným úsporám a k skráteniu lehôt v procese verejného obstarávania. </w:t>
      </w:r>
      <w:r>
        <w:rPr>
          <w:rFonts w:ascii="Arial Narrow" w:hAnsi="Arial Narrow" w:cs="Arial Narrow"/>
          <w:color w:val="000000"/>
          <w:sz w:val="22"/>
          <w:szCs w:val="24"/>
        </w:rPr>
        <w:t>V</w:t>
      </w:r>
      <w:r w:rsidRPr="00515CCC">
        <w:rPr>
          <w:rFonts w:ascii="Arial Narrow" w:hAnsi="Arial Narrow" w:cs="Arial Narrow"/>
          <w:color w:val="000000"/>
          <w:sz w:val="22"/>
          <w:szCs w:val="24"/>
        </w:rPr>
        <w:t xml:space="preserve">ýdavky kapitoly v roku  2010 </w:t>
      </w:r>
      <w:r>
        <w:rPr>
          <w:rFonts w:ascii="Arial Narrow" w:hAnsi="Arial Narrow" w:cs="Arial Narrow"/>
          <w:color w:val="000000"/>
          <w:sz w:val="22"/>
          <w:szCs w:val="24"/>
        </w:rPr>
        <w:t>sú rozpočtované</w:t>
      </w:r>
      <w:r w:rsidRPr="00BF59BC">
        <w:rPr>
          <w:rFonts w:ascii="Arial Narrow" w:hAnsi="Arial Narrow" w:cs="Arial Narrow"/>
          <w:color w:val="000000"/>
          <w:sz w:val="22"/>
          <w:szCs w:val="24"/>
        </w:rPr>
        <w:t xml:space="preserve"> v</w:t>
      </w:r>
      <w:r>
        <w:rPr>
          <w:rFonts w:ascii="Arial Narrow" w:hAnsi="Arial Narrow" w:cs="Arial Narrow"/>
          <w:color w:val="000000"/>
          <w:sz w:val="22"/>
          <w:szCs w:val="24"/>
        </w:rPr>
        <w:t>o výške</w:t>
      </w:r>
      <w:r w:rsidRPr="00BF59BC">
        <w:rPr>
          <w:rFonts w:ascii="Arial Narrow" w:hAnsi="Arial Narrow" w:cs="Arial Narrow"/>
          <w:color w:val="000000"/>
          <w:sz w:val="22"/>
          <w:szCs w:val="24"/>
        </w:rPr>
        <w:t xml:space="preserve"> 2,95 mil. </w:t>
      </w:r>
      <w:r>
        <w:rPr>
          <w:rFonts w:ascii="Arial Narrow" w:hAnsi="Arial Narrow" w:cs="Arial Narrow"/>
          <w:color w:val="000000"/>
          <w:sz w:val="22"/>
          <w:szCs w:val="24"/>
        </w:rPr>
        <w:t>eur</w:t>
      </w:r>
      <w:r w:rsidRPr="00BF59BC">
        <w:rPr>
          <w:rFonts w:ascii="Arial Narrow" w:hAnsi="Arial Narrow" w:cs="Arial Narrow"/>
          <w:color w:val="000000"/>
          <w:sz w:val="22"/>
          <w:szCs w:val="24"/>
        </w:rPr>
        <w:t>.</w:t>
      </w:r>
      <w:r>
        <w:rPr>
          <w:rFonts w:ascii="Arial Narrow" w:hAnsi="Arial Narrow" w:cs="Arial Narrow"/>
          <w:color w:val="000000"/>
          <w:sz w:val="22"/>
          <w:szCs w:val="24"/>
        </w:rPr>
        <w:t xml:space="preserve"> </w:t>
      </w:r>
    </w:p>
    <w:p w:rsidR="00312541" w:rsidP="00312541">
      <w:pPr>
        <w:jc w:val="both"/>
        <w:rPr>
          <w:rFonts w:ascii="Arial Narrow" w:hAnsi="Arial Narrow" w:cs="Arial Narrow"/>
          <w:b/>
          <w:color w:val="000000"/>
          <w:sz w:val="22"/>
          <w:szCs w:val="24"/>
        </w:rPr>
      </w:pPr>
    </w:p>
    <w:p w:rsidR="00312541" w:rsidP="00312541">
      <w:pPr>
        <w:jc w:val="both"/>
        <w:rPr>
          <w:rFonts w:ascii="Arial Narrow" w:hAnsi="Arial Narrow" w:cs="Arial Narrow"/>
          <w:b/>
          <w:color w:val="000000"/>
          <w:sz w:val="22"/>
          <w:szCs w:val="24"/>
        </w:rPr>
      </w:pPr>
      <w:r w:rsidRPr="003567B1">
        <w:rPr>
          <w:rFonts w:ascii="Arial Narrow" w:hAnsi="Arial Narrow" w:cs="Arial Narrow"/>
          <w:b/>
          <w:color w:val="000000"/>
          <w:sz w:val="22"/>
          <w:szCs w:val="24"/>
        </w:rPr>
        <w:t>Diplomacia</w:t>
      </w:r>
    </w:p>
    <w:p w:rsidR="00312541" w:rsidP="00312541">
      <w:pPr>
        <w:jc w:val="both"/>
        <w:rPr>
          <w:rFonts w:ascii="Arial Narrow" w:hAnsi="Arial Narrow" w:cs="Arial Narrow"/>
          <w:b/>
          <w:color w:val="000000"/>
          <w:sz w:val="22"/>
          <w:szCs w:val="24"/>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058"/>
        <w:gridCol w:w="1290"/>
        <w:gridCol w:w="1290"/>
        <w:gridCol w:w="1290"/>
        <w:gridCol w:w="128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0"/>
        </w:trPr>
        <w:tc>
          <w:tcPr>
            <w:tcW w:w="2203"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rPr>
                <w:rFonts w:ascii="Arial Narrow" w:hAnsi="Arial Narrow" w:cs="Arial Narrow"/>
                <w:b/>
                <w:color w:val="FFFFFF"/>
                <w:sz w:val="20"/>
                <w:szCs w:val="24"/>
              </w:rPr>
            </w:pPr>
            <w:r>
              <w:rPr>
                <w:rFonts w:ascii="Arial Narrow" w:hAnsi="Arial Narrow" w:cs="Arial Narrow"/>
                <w:b/>
                <w:color w:val="FFFFFF"/>
                <w:sz w:val="20"/>
                <w:szCs w:val="24"/>
              </w:rPr>
              <w:t> (v tis. eur)</w:t>
            </w:r>
          </w:p>
        </w:tc>
        <w:tc>
          <w:tcPr>
            <w:tcW w:w="700"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700"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700"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698"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5000" w:type="pct"/>
          <w:tblInd w:w="0" w:type="dxa"/>
          <w:tblCellMar>
            <w:left w:w="70" w:type="dxa"/>
            <w:right w:w="70" w:type="dxa"/>
          </w:tblCellMar>
        </w:tblPrEx>
        <w:trPr>
          <w:trHeight w:val="270"/>
        </w:trPr>
        <w:tc>
          <w:tcPr>
            <w:tcW w:w="2203"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Zahraničná politika</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114 827</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RPr="00862695" w:rsidP="00A70AF6">
            <w:pPr>
              <w:jc w:val="right"/>
              <w:rPr>
                <w:rFonts w:ascii="Arial Narrow" w:hAnsi="Arial Narrow" w:cs="Arial Narrow"/>
                <w:sz w:val="20"/>
                <w:szCs w:val="24"/>
              </w:rPr>
            </w:pPr>
            <w:r w:rsidRPr="00862695">
              <w:rPr>
                <w:rFonts w:ascii="Arial Narrow" w:hAnsi="Arial Narrow" w:cs="Arial Narrow"/>
                <w:sz w:val="20"/>
                <w:szCs w:val="24"/>
              </w:rPr>
              <w:t>9</w:t>
            </w:r>
            <w:r>
              <w:rPr>
                <w:rFonts w:ascii="Arial Narrow" w:hAnsi="Arial Narrow" w:cs="Arial Narrow"/>
                <w:sz w:val="20"/>
                <w:szCs w:val="24"/>
              </w:rPr>
              <w:t>7</w:t>
            </w:r>
            <w:r w:rsidRPr="00862695">
              <w:rPr>
                <w:rFonts w:ascii="Arial Narrow" w:hAnsi="Arial Narrow" w:cs="Arial Narrow"/>
                <w:sz w:val="20"/>
                <w:szCs w:val="24"/>
              </w:rPr>
              <w:t xml:space="preserve"> 696</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96 929</w:t>
            </w:r>
          </w:p>
        </w:tc>
        <w:tc>
          <w:tcPr>
            <w:tcW w:w="698"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96 929</w:t>
            </w:r>
          </w:p>
        </w:tc>
      </w:tr>
      <w:tr>
        <w:tblPrEx>
          <w:tblW w:w="5000" w:type="pct"/>
          <w:tblInd w:w="0" w:type="dxa"/>
          <w:tblCellMar>
            <w:left w:w="70" w:type="dxa"/>
            <w:right w:w="70" w:type="dxa"/>
          </w:tblCellMar>
        </w:tblPrEx>
        <w:trPr>
          <w:trHeight w:val="270"/>
        </w:trPr>
        <w:tc>
          <w:tcPr>
            <w:tcW w:w="2203"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Oficiálna rozvojová pomoc</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7 562</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RPr="00862695" w:rsidP="00A70AF6">
            <w:pPr>
              <w:jc w:val="right"/>
              <w:rPr>
                <w:rFonts w:ascii="Arial Narrow" w:hAnsi="Arial Narrow" w:cs="Arial Narrow"/>
                <w:sz w:val="20"/>
                <w:szCs w:val="24"/>
              </w:rPr>
            </w:pPr>
            <w:r w:rsidRPr="00862695">
              <w:rPr>
                <w:rFonts w:ascii="Arial Narrow" w:hAnsi="Arial Narrow" w:cs="Arial Narrow"/>
                <w:sz w:val="20"/>
                <w:szCs w:val="24"/>
              </w:rPr>
              <w:t>3 285</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3 093</w:t>
            </w:r>
          </w:p>
        </w:tc>
        <w:tc>
          <w:tcPr>
            <w:tcW w:w="698"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3 093</w:t>
            </w:r>
          </w:p>
        </w:tc>
      </w:tr>
      <w:tr>
        <w:tblPrEx>
          <w:tblW w:w="5000" w:type="pct"/>
          <w:tblInd w:w="0" w:type="dxa"/>
          <w:tblCellMar>
            <w:left w:w="70" w:type="dxa"/>
            <w:right w:w="70" w:type="dxa"/>
          </w:tblCellMar>
        </w:tblPrEx>
        <w:trPr>
          <w:trHeight w:val="270"/>
        </w:trPr>
        <w:tc>
          <w:tcPr>
            <w:tcW w:w="2203"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Príspevky medzinárodným organizáciám</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9 366</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RPr="00862695" w:rsidP="00A70AF6">
            <w:pPr>
              <w:jc w:val="right"/>
              <w:rPr>
                <w:rFonts w:ascii="Arial Narrow" w:hAnsi="Arial Narrow" w:cs="Arial Narrow"/>
                <w:sz w:val="20"/>
                <w:szCs w:val="24"/>
              </w:rPr>
            </w:pPr>
            <w:r w:rsidRPr="00862695">
              <w:rPr>
                <w:rFonts w:ascii="Arial Narrow" w:hAnsi="Arial Narrow" w:cs="Arial Narrow"/>
                <w:sz w:val="20"/>
                <w:szCs w:val="24"/>
              </w:rPr>
              <w:t>6 973</w:t>
            </w:r>
          </w:p>
        </w:tc>
        <w:tc>
          <w:tcPr>
            <w:tcW w:w="700"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6 973</w:t>
            </w:r>
          </w:p>
        </w:tc>
        <w:tc>
          <w:tcPr>
            <w:tcW w:w="698"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6 973</w:t>
            </w:r>
          </w:p>
        </w:tc>
      </w:tr>
      <w:tr>
        <w:tblPrEx>
          <w:tblW w:w="5000" w:type="pct"/>
          <w:tblInd w:w="0" w:type="dxa"/>
          <w:tblCellMar>
            <w:left w:w="70" w:type="dxa"/>
            <w:right w:w="70" w:type="dxa"/>
          </w:tblCellMar>
        </w:tblPrEx>
        <w:trPr>
          <w:trHeight w:val="270"/>
        </w:trPr>
        <w:tc>
          <w:tcPr>
            <w:tcW w:w="2203"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rPr>
                <w:rFonts w:ascii="Arial Narrow" w:hAnsi="Arial Narrow" w:cs="Arial Narrow"/>
                <w:b/>
                <w:sz w:val="20"/>
                <w:szCs w:val="24"/>
              </w:rPr>
            </w:pPr>
            <w:r>
              <w:rPr>
                <w:rFonts w:ascii="Arial Narrow" w:hAnsi="Arial Narrow" w:cs="Arial Narrow"/>
                <w:b/>
                <w:sz w:val="20"/>
                <w:szCs w:val="24"/>
              </w:rPr>
              <w:t>Spolu zdroje určené pre diplomaciu</w:t>
            </w:r>
          </w:p>
        </w:tc>
        <w:tc>
          <w:tcPr>
            <w:tcW w:w="700"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131 754</w:t>
            </w:r>
          </w:p>
        </w:tc>
        <w:tc>
          <w:tcPr>
            <w:tcW w:w="700"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RPr="00862695" w:rsidP="00A70AF6">
            <w:pPr>
              <w:jc w:val="right"/>
              <w:rPr>
                <w:rFonts w:ascii="Arial Narrow" w:hAnsi="Arial Narrow" w:cs="Arial Narrow"/>
                <w:b/>
                <w:sz w:val="20"/>
                <w:szCs w:val="24"/>
              </w:rPr>
            </w:pPr>
            <w:r>
              <w:rPr>
                <w:rFonts w:ascii="Arial Narrow" w:hAnsi="Arial Narrow" w:cs="Arial Narrow"/>
                <w:b/>
                <w:sz w:val="20"/>
                <w:szCs w:val="24"/>
              </w:rPr>
              <w:t>107</w:t>
            </w:r>
            <w:r w:rsidRPr="00862695">
              <w:rPr>
                <w:rFonts w:ascii="Arial Narrow" w:hAnsi="Arial Narrow" w:cs="Arial Narrow"/>
                <w:b/>
                <w:sz w:val="20"/>
                <w:szCs w:val="24"/>
              </w:rPr>
              <w:t xml:space="preserve"> 954</w:t>
            </w:r>
          </w:p>
        </w:tc>
        <w:tc>
          <w:tcPr>
            <w:tcW w:w="700"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106 995</w:t>
            </w:r>
          </w:p>
        </w:tc>
        <w:tc>
          <w:tcPr>
            <w:tcW w:w="698"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312541" w:rsidP="00A70AF6">
            <w:pPr>
              <w:jc w:val="right"/>
              <w:rPr>
                <w:rFonts w:ascii="Arial Narrow" w:hAnsi="Arial Narrow" w:cs="Arial Narrow"/>
                <w:b/>
                <w:sz w:val="20"/>
                <w:szCs w:val="24"/>
              </w:rPr>
            </w:pPr>
            <w:r>
              <w:rPr>
                <w:rFonts w:ascii="Arial Narrow" w:hAnsi="Arial Narrow" w:cs="Arial Narrow"/>
                <w:b/>
                <w:sz w:val="20"/>
                <w:szCs w:val="24"/>
              </w:rPr>
              <w:t>106 995</w:t>
            </w:r>
          </w:p>
        </w:tc>
      </w:tr>
    </w:tbl>
    <w:p w:rsidR="00312541" w:rsidP="00312541">
      <w:pPr>
        <w:ind w:firstLine="708"/>
        <w:jc w:val="both"/>
        <w:rPr>
          <w:rFonts w:ascii="Arial Narrow" w:hAnsi="Arial Narrow" w:cs="Arial Narrow"/>
          <w:color w:val="000000"/>
          <w:sz w:val="22"/>
          <w:szCs w:val="24"/>
        </w:rPr>
      </w:pPr>
    </w:p>
    <w:p w:rsidR="00312541" w:rsidP="00312541">
      <w:pPr>
        <w:ind w:firstLine="708"/>
        <w:jc w:val="both"/>
        <w:rPr>
          <w:rFonts w:ascii="Arial Narrow" w:hAnsi="Arial Narrow" w:cs="Arial Narrow"/>
          <w:color w:val="000000"/>
          <w:sz w:val="22"/>
          <w:szCs w:val="24"/>
        </w:rPr>
      </w:pPr>
      <w:r>
        <w:rPr>
          <w:rFonts w:ascii="Arial Narrow" w:hAnsi="Arial Narrow" w:cs="Arial Narrow"/>
          <w:color w:val="000000"/>
          <w:sz w:val="22"/>
          <w:szCs w:val="24"/>
        </w:rPr>
        <w:t xml:space="preserve">V rámci výdavkov na </w:t>
      </w:r>
      <w:r w:rsidRPr="009B763B">
        <w:rPr>
          <w:rFonts w:ascii="Arial Narrow" w:hAnsi="Arial Narrow" w:cs="Arial Narrow"/>
          <w:b/>
          <w:color w:val="000000"/>
          <w:sz w:val="22"/>
          <w:szCs w:val="24"/>
        </w:rPr>
        <w:t>zahraničnú politiku</w:t>
      </w:r>
      <w:r>
        <w:rPr>
          <w:rFonts w:ascii="Arial Narrow" w:hAnsi="Arial Narrow" w:cs="Arial Narrow"/>
          <w:color w:val="000000"/>
          <w:sz w:val="22"/>
          <w:szCs w:val="24"/>
        </w:rPr>
        <w:t xml:space="preserve"> sa rozpočtujú prostriedky predovšetkým </w:t>
      </w:r>
      <w:r w:rsidRPr="003567B1">
        <w:rPr>
          <w:rFonts w:ascii="Arial Narrow" w:hAnsi="Arial Narrow" w:cs="Arial Narrow"/>
          <w:color w:val="000000"/>
          <w:sz w:val="22"/>
          <w:szCs w:val="24"/>
        </w:rPr>
        <w:t>na zastupiteľské úrady SR v</w:t>
      </w:r>
      <w:r>
        <w:rPr>
          <w:rFonts w:ascii="Arial Narrow" w:hAnsi="Arial Narrow" w:cs="Arial Narrow"/>
          <w:color w:val="000000"/>
          <w:sz w:val="22"/>
          <w:szCs w:val="24"/>
        </w:rPr>
        <w:t> </w:t>
      </w:r>
      <w:r w:rsidRPr="003567B1">
        <w:rPr>
          <w:rFonts w:ascii="Arial Narrow" w:hAnsi="Arial Narrow" w:cs="Arial Narrow"/>
          <w:color w:val="000000"/>
          <w:sz w:val="22"/>
          <w:szCs w:val="24"/>
        </w:rPr>
        <w:t>zahraničí</w:t>
      </w:r>
      <w:r>
        <w:rPr>
          <w:rFonts w:ascii="Arial Narrow" w:hAnsi="Arial Narrow" w:cs="Arial Narrow"/>
          <w:color w:val="000000"/>
          <w:sz w:val="22"/>
          <w:szCs w:val="24"/>
        </w:rPr>
        <w:t>, v rámci ktorých</w:t>
      </w:r>
      <w:r w:rsidRPr="003567B1">
        <w:rPr>
          <w:rFonts w:ascii="Arial Narrow" w:hAnsi="Arial Narrow" w:cs="Arial Narrow"/>
          <w:color w:val="000000"/>
          <w:sz w:val="22"/>
          <w:szCs w:val="24"/>
        </w:rPr>
        <w:t xml:space="preserve"> sa </w:t>
      </w:r>
      <w:r>
        <w:rPr>
          <w:rFonts w:ascii="Arial Narrow" w:hAnsi="Arial Narrow" w:cs="Arial Narrow"/>
          <w:color w:val="000000"/>
          <w:sz w:val="22"/>
          <w:szCs w:val="24"/>
        </w:rPr>
        <w:t xml:space="preserve">okrem osobných výdavkov zahraničnej služby </w:t>
      </w:r>
      <w:r w:rsidRPr="003567B1">
        <w:rPr>
          <w:rFonts w:ascii="Arial Narrow" w:hAnsi="Arial Narrow" w:cs="Arial Narrow"/>
          <w:color w:val="000000"/>
          <w:sz w:val="22"/>
          <w:szCs w:val="24"/>
        </w:rPr>
        <w:t xml:space="preserve">zabezpečuje prenájom bytov, administratívnych budov, rezidencií, lekárske prehliadky počas výkonu zahraničnej služby, školné a zápisné pre deti zamestnancov zahraničnej služby. </w:t>
      </w:r>
      <w:r>
        <w:rPr>
          <w:rFonts w:ascii="Arial Narrow" w:hAnsi="Arial Narrow" w:cs="Arial Narrow"/>
          <w:color w:val="000000"/>
          <w:sz w:val="22"/>
          <w:szCs w:val="24"/>
        </w:rPr>
        <w:t xml:space="preserve">Pre </w:t>
      </w:r>
      <w:r w:rsidRPr="003567B1">
        <w:rPr>
          <w:rFonts w:ascii="Arial Narrow" w:hAnsi="Arial Narrow" w:cs="Arial Narrow"/>
          <w:color w:val="000000"/>
          <w:sz w:val="22"/>
          <w:szCs w:val="24"/>
        </w:rPr>
        <w:t xml:space="preserve">slovenské inštitúty v zahraničí sa zabezpečujú najmä výdavky súvisiace s propagáciou SR v zahraničí pri usporiadaní výstav, kultúrnych podujatí a programov. </w:t>
      </w:r>
    </w:p>
    <w:p w:rsidR="00312541" w:rsidP="00312541">
      <w:pPr>
        <w:jc w:val="both"/>
        <w:rPr>
          <w:rFonts w:ascii="Arial Narrow" w:hAnsi="Arial Narrow" w:cs="Arial Narrow"/>
          <w:color w:val="000000"/>
          <w:sz w:val="22"/>
          <w:szCs w:val="24"/>
        </w:rPr>
      </w:pPr>
    </w:p>
    <w:p w:rsidR="00312541" w:rsidP="00312541">
      <w:pPr>
        <w:ind w:firstLine="708"/>
        <w:jc w:val="both"/>
        <w:rPr>
          <w:rFonts w:ascii="Arial Narrow" w:hAnsi="Arial Narrow" w:cs="Arial Narrow"/>
          <w:color w:val="000000"/>
          <w:sz w:val="22"/>
          <w:szCs w:val="24"/>
        </w:rPr>
      </w:pPr>
      <w:r w:rsidRPr="003567B1">
        <w:rPr>
          <w:rFonts w:ascii="Arial Narrow" w:hAnsi="Arial Narrow" w:cs="Arial Narrow"/>
          <w:color w:val="000000"/>
          <w:sz w:val="22"/>
          <w:szCs w:val="24"/>
        </w:rPr>
        <w:t>Na zabezpečenie plnenia záväzkov SR v oblasti vízovej politiky sa rozpočtujú výdavky na on-line elektronické prepojenie všetkých zložiek Schengenského informačného systému, t.j. prepojenie konzulárnych úradov v zahraničí s MZV SR a MV SR, Úradom hraničnej a cudzineckej polície a tiež následné prepojenie na Schengenský informačný systém EÚ. Kapit</w:t>
      </w:r>
      <w:r>
        <w:rPr>
          <w:rFonts w:ascii="Arial Narrow" w:hAnsi="Arial Narrow" w:cs="Arial Narrow"/>
          <w:color w:val="000000"/>
          <w:sz w:val="22"/>
          <w:szCs w:val="24"/>
        </w:rPr>
        <w:t>álovými výdavkami sa zabezpečuje nákup budov pre umiestnenie zastupiteľských úradov SR v zahraničí, nákup kancelárskych strojov, zariadení, softvéru a licencií.</w:t>
      </w:r>
    </w:p>
    <w:p w:rsidR="00312541" w:rsidP="00312541">
      <w:pPr>
        <w:jc w:val="both"/>
        <w:rPr>
          <w:rFonts w:ascii="Arial Narrow" w:hAnsi="Arial Narrow" w:cs="Arial Narrow"/>
          <w:color w:val="000000"/>
          <w:sz w:val="22"/>
          <w:szCs w:val="24"/>
        </w:rPr>
      </w:pPr>
    </w:p>
    <w:p w:rsidR="00312541" w:rsidRPr="003567B1" w:rsidP="00312541">
      <w:pPr>
        <w:ind w:firstLine="708"/>
        <w:jc w:val="both"/>
        <w:rPr>
          <w:rFonts w:ascii="Arial Narrow" w:hAnsi="Arial Narrow" w:cs="Arial Narrow"/>
          <w:color w:val="000000"/>
          <w:sz w:val="22"/>
          <w:szCs w:val="24"/>
        </w:rPr>
      </w:pPr>
      <w:r w:rsidRPr="00D822E6">
        <w:rPr>
          <w:rFonts w:ascii="Arial Narrow" w:hAnsi="Arial Narrow" w:cs="Arial Narrow"/>
          <w:color w:val="000000"/>
          <w:sz w:val="22"/>
          <w:szCs w:val="24"/>
        </w:rPr>
        <w:t xml:space="preserve">Z prostriedkov rozpočtovaných v rámci oblasti na </w:t>
      </w:r>
      <w:r w:rsidRPr="00D822E6">
        <w:rPr>
          <w:rFonts w:ascii="Arial Narrow" w:hAnsi="Arial Narrow" w:cs="Arial Narrow"/>
          <w:b/>
          <w:color w:val="000000"/>
          <w:sz w:val="22"/>
          <w:szCs w:val="24"/>
        </w:rPr>
        <w:t>oficiálnu rozvojovú pomoc</w:t>
      </w:r>
      <w:r w:rsidRPr="00D822E6">
        <w:rPr>
          <w:rFonts w:ascii="Arial Narrow" w:hAnsi="Arial Narrow" w:cs="Arial Narrow"/>
          <w:color w:val="000000"/>
          <w:sz w:val="22"/>
          <w:szCs w:val="24"/>
        </w:rPr>
        <w:t xml:space="preserve"> (ODA) sa zabezpečuje pomoc rozvojovým krajinám a krajinám v procese transformácie s tým, že prostriedky sú určené na projekty v prioritných krajinách a na projekty pre programov</w:t>
      </w:r>
      <w:r>
        <w:rPr>
          <w:rFonts w:ascii="Arial Narrow" w:hAnsi="Arial Narrow" w:cs="Arial Narrow"/>
          <w:color w:val="000000"/>
          <w:sz w:val="22"/>
          <w:szCs w:val="24"/>
        </w:rPr>
        <w:t>é krajiny</w:t>
      </w:r>
      <w:r w:rsidRPr="00D822E6">
        <w:rPr>
          <w:rFonts w:ascii="Arial Narrow" w:hAnsi="Arial Narrow" w:cs="Arial Narrow"/>
          <w:color w:val="000000"/>
          <w:sz w:val="22"/>
          <w:szCs w:val="24"/>
        </w:rPr>
        <w:t xml:space="preserve"> Srbsko</w:t>
      </w:r>
      <w:r>
        <w:rPr>
          <w:rFonts w:ascii="Arial Narrow" w:hAnsi="Arial Narrow" w:cs="Arial Narrow"/>
          <w:color w:val="000000"/>
          <w:sz w:val="22"/>
          <w:szCs w:val="24"/>
        </w:rPr>
        <w:t>, Afganistan a Keňa</w:t>
      </w:r>
      <w:r w:rsidRPr="0000001F">
        <w:rPr>
          <w:rFonts w:ascii="Arial Narrow" w:hAnsi="Arial Narrow" w:cs="Arial Narrow"/>
          <w:color w:val="000000"/>
          <w:sz w:val="22"/>
          <w:szCs w:val="24"/>
        </w:rPr>
        <w:t xml:space="preserve">. </w:t>
      </w:r>
    </w:p>
    <w:p w:rsidR="00312541" w:rsidP="00312541">
      <w:pPr>
        <w:jc w:val="both"/>
        <w:rPr>
          <w:rFonts w:ascii="Arial Narrow" w:hAnsi="Arial Narrow" w:cs="Arial Narrow"/>
          <w:color w:val="000000"/>
          <w:sz w:val="22"/>
          <w:szCs w:val="24"/>
        </w:rPr>
      </w:pPr>
    </w:p>
    <w:p w:rsidR="00312541" w:rsidP="00312541">
      <w:pPr>
        <w:ind w:firstLine="708"/>
        <w:jc w:val="both"/>
        <w:rPr>
          <w:rFonts w:ascii="Arial Narrow" w:hAnsi="Arial Narrow" w:cs="Arial Narrow"/>
          <w:color w:val="000000"/>
          <w:sz w:val="22"/>
          <w:szCs w:val="24"/>
        </w:rPr>
      </w:pPr>
      <w:r w:rsidRPr="009B763B">
        <w:rPr>
          <w:rFonts w:ascii="Arial Narrow" w:hAnsi="Arial Narrow" w:cs="Arial Narrow"/>
          <w:color w:val="000000"/>
          <w:sz w:val="22"/>
          <w:szCs w:val="24"/>
        </w:rPr>
        <w:t xml:space="preserve">Okrem prostriedkov rozpočtovaných v rámci oblasti diplomacia sa do oficiálnej rozvojovej pomoci započítava </w:t>
      </w:r>
      <w:r w:rsidRPr="0000001F">
        <w:rPr>
          <w:rFonts w:ascii="Arial Narrow" w:hAnsi="Arial Narrow" w:cs="Arial Narrow"/>
          <w:color w:val="000000"/>
          <w:sz w:val="22"/>
          <w:szCs w:val="24"/>
        </w:rPr>
        <w:t>5,4</w:t>
      </w:r>
      <w:r>
        <w:rPr>
          <w:rFonts w:ascii="Arial Narrow" w:hAnsi="Arial Narrow" w:cs="Arial Narrow"/>
          <w:color w:val="000000"/>
          <w:sz w:val="22"/>
          <w:szCs w:val="24"/>
        </w:rPr>
        <w:t>0</w:t>
      </w:r>
      <w:r w:rsidRPr="0000001F">
        <w:rPr>
          <w:rFonts w:ascii="Arial Narrow" w:hAnsi="Arial Narrow" w:cs="Arial Narrow"/>
          <w:color w:val="000000"/>
          <w:sz w:val="22"/>
          <w:szCs w:val="24"/>
        </w:rPr>
        <w:t xml:space="preserve"> % z odvodu</w:t>
      </w:r>
      <w:r w:rsidRPr="009B763B">
        <w:rPr>
          <w:rFonts w:ascii="Arial Narrow" w:hAnsi="Arial Narrow" w:cs="Arial Narrow"/>
          <w:color w:val="000000"/>
          <w:sz w:val="22"/>
          <w:szCs w:val="24"/>
        </w:rPr>
        <w:t xml:space="preserve"> SR do všeobecného rozpočtu EÚ, odpustenie dlhov, príspevok SR do Fondu pre krajiny západného Balkánu (EBOR), do medzinárodného združenia pre rozvoj (IDA), do medzinárodnej banky pre obnovu a rozvoj (IBRD) a do Mnohostrannej agentúry pre investičné záruky (MIGA), časť príspevkov do medzinárodných organizácií a medzirezortný program ODA, na ktorom okrem MZV SR participujú Ministerstvo životného prostredia SR, Ministerstvo vnútra SR a Ministerstvo pôdohospodárstva SR</w:t>
      </w:r>
      <w:r w:rsidRPr="00132117">
        <w:rPr>
          <w:rFonts w:ascii="Arial Narrow" w:hAnsi="Arial Narrow" w:cs="Arial Narrow"/>
          <w:color w:val="000000"/>
          <w:sz w:val="22"/>
          <w:szCs w:val="24"/>
        </w:rPr>
        <w:t xml:space="preserve">. </w:t>
      </w:r>
    </w:p>
    <w:p w:rsidR="00312541" w:rsidP="00312541">
      <w:pPr>
        <w:ind w:firstLine="708"/>
        <w:jc w:val="both"/>
        <w:rPr>
          <w:rFonts w:ascii="Arial Narrow" w:hAnsi="Arial Narrow" w:cs="Arial Narrow"/>
          <w:color w:val="000000"/>
          <w:sz w:val="22"/>
          <w:szCs w:val="24"/>
        </w:rPr>
      </w:pPr>
    </w:p>
    <w:tbl>
      <w:tblPr>
        <w:tblStyle w:val="TableNormal"/>
        <w:tblW w:w="5000" w:type="pct"/>
        <w:tblInd w:w="0" w:type="dxa"/>
        <w:tblCellMar>
          <w:left w:w="70" w:type="dxa"/>
          <w:right w:w="70" w:type="dxa"/>
        </w:tblCellMar>
      </w:tblPr>
      <w:tblGrid>
        <w:gridCol w:w="3997"/>
        <w:gridCol w:w="1026"/>
        <w:gridCol w:w="1026"/>
        <w:gridCol w:w="1111"/>
        <w:gridCol w:w="1026"/>
        <w:gridCol w:w="1026"/>
      </w:tblGrid>
      <w:tr>
        <w:tblPrEx>
          <w:tblW w:w="5000" w:type="pct"/>
          <w:tblInd w:w="0" w:type="dxa"/>
          <w:tblCellMar>
            <w:left w:w="70" w:type="dxa"/>
            <w:right w:w="70" w:type="dxa"/>
          </w:tblCellMar>
        </w:tblPrEx>
        <w:trPr>
          <w:trHeight w:val="270"/>
        </w:trPr>
        <w:tc>
          <w:tcPr>
            <w:tcW w:w="2169" w:type="pct"/>
            <w:tcBorders>
              <w:top w:val="single" w:sz="8" w:space="0" w:color="auto"/>
              <w:left w:val="single" w:sz="8" w:space="0" w:color="auto"/>
              <w:bottom w:val="single" w:sz="8" w:space="0" w:color="auto"/>
              <w:right w:val="nil"/>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ODA na roky 2009 - 2012 (v tis. eur)</w:t>
            </w:r>
          </w:p>
        </w:tc>
        <w:tc>
          <w:tcPr>
            <w:tcW w:w="557" w:type="pct"/>
            <w:tcBorders>
              <w:top w:val="single" w:sz="8" w:space="0" w:color="auto"/>
              <w:left w:val="nil"/>
              <w:bottom w:val="single" w:sz="8" w:space="0" w:color="auto"/>
              <w:right w:val="nil"/>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2008</w:t>
            </w:r>
          </w:p>
        </w:tc>
        <w:tc>
          <w:tcPr>
            <w:tcW w:w="557" w:type="pct"/>
            <w:tcBorders>
              <w:top w:val="single" w:sz="8" w:space="0" w:color="auto"/>
              <w:left w:val="nil"/>
              <w:bottom w:val="single" w:sz="8" w:space="0" w:color="auto"/>
              <w:right w:val="nil"/>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2009</w:t>
            </w:r>
          </w:p>
        </w:tc>
        <w:tc>
          <w:tcPr>
            <w:tcW w:w="603" w:type="pct"/>
            <w:tcBorders>
              <w:top w:val="single" w:sz="8" w:space="0" w:color="auto"/>
              <w:left w:val="nil"/>
              <w:bottom w:val="single" w:sz="8" w:space="0" w:color="auto"/>
              <w:right w:val="nil"/>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2010</w:t>
            </w:r>
          </w:p>
        </w:tc>
        <w:tc>
          <w:tcPr>
            <w:tcW w:w="557" w:type="pct"/>
            <w:tcBorders>
              <w:top w:val="single" w:sz="8" w:space="0" w:color="auto"/>
              <w:left w:val="nil"/>
              <w:bottom w:val="single" w:sz="8" w:space="0" w:color="auto"/>
              <w:right w:val="nil"/>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2011</w:t>
            </w:r>
          </w:p>
        </w:tc>
        <w:tc>
          <w:tcPr>
            <w:tcW w:w="557" w:type="pct"/>
            <w:tcBorders>
              <w:top w:val="single" w:sz="8" w:space="0" w:color="auto"/>
              <w:left w:val="nil"/>
              <w:bottom w:val="single" w:sz="8" w:space="0" w:color="auto"/>
              <w:right w:val="single" w:sz="8" w:space="0" w:color="auto"/>
            </w:tcBorders>
            <w:shd w:val="clear" w:color="auto" w:fill="000000"/>
            <w:noWrap/>
            <w:textDirection w:val="lrTb"/>
            <w:vAlign w:val="bottom"/>
          </w:tcPr>
          <w:p w:rsidR="00312541" w:rsidRPr="00091201" w:rsidP="00A70AF6">
            <w:pPr>
              <w:jc w:val="center"/>
              <w:rPr>
                <w:rFonts w:ascii="Arial Narrow" w:hAnsi="Arial Narrow" w:cs="Arial Narrow"/>
                <w:b/>
                <w:color w:val="FFFFFF"/>
                <w:sz w:val="20"/>
                <w:szCs w:val="24"/>
                <w:lang w:eastAsia="sk-SK"/>
              </w:rPr>
            </w:pPr>
            <w:r w:rsidRPr="00091201">
              <w:rPr>
                <w:rFonts w:ascii="Arial Narrow" w:hAnsi="Arial Narrow" w:cs="Arial Narrow"/>
                <w:b/>
                <w:color w:val="FFFFFF"/>
                <w:sz w:val="20"/>
                <w:szCs w:val="24"/>
                <w:lang w:eastAsia="sk-SK"/>
              </w:rPr>
              <w:t>2012</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odvod SR do rozpočtu EÚ</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34 688</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35 706</w:t>
            </w:r>
          </w:p>
        </w:tc>
        <w:tc>
          <w:tcPr>
            <w:tcW w:w="603" w:type="pct"/>
            <w:tcBorders>
              <w:top w:val="nil"/>
              <w:left w:val="nil"/>
              <w:bottom w:val="nil"/>
              <w:right w:val="nil"/>
            </w:tcBorders>
            <w:textDirection w:val="lrTb"/>
            <w:vAlign w:val="bottom"/>
          </w:tcPr>
          <w:p w:rsidR="00312541" w:rsidRPr="001E0BA2" w:rsidP="00A70AF6">
            <w:pPr>
              <w:jc w:val="right"/>
              <w:rPr>
                <w:rFonts w:ascii="Arial Narrow" w:hAnsi="Arial Narrow" w:cs="Arial Narrow"/>
                <w:sz w:val="20"/>
                <w:szCs w:val="24"/>
                <w:lang w:eastAsia="sk-SK"/>
              </w:rPr>
            </w:pPr>
            <w:r w:rsidRPr="001E0BA2">
              <w:rPr>
                <w:rFonts w:ascii="Arial Narrow" w:hAnsi="Arial Narrow" w:cs="Arial Narrow"/>
                <w:sz w:val="20"/>
                <w:szCs w:val="24"/>
                <w:lang w:eastAsia="sk-SK"/>
              </w:rPr>
              <w:t>41 681</w:t>
            </w:r>
          </w:p>
        </w:tc>
        <w:tc>
          <w:tcPr>
            <w:tcW w:w="557"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35 126</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35 349</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odpustenie dlhov</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17 164</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603" w:type="pct"/>
            <w:tcBorders>
              <w:top w:val="single" w:sz="4" w:space="0" w:color="auto"/>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EBOR a zverenecké fondy</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299</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299</w:t>
            </w:r>
          </w:p>
        </w:tc>
        <w:tc>
          <w:tcPr>
            <w:tcW w:w="603"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500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1 600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1 600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IDA</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1 162</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996</w:t>
            </w:r>
          </w:p>
        </w:tc>
        <w:tc>
          <w:tcPr>
            <w:tcW w:w="603"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996</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996</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860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IBRD + MIGA</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166</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166</w:t>
            </w:r>
          </w:p>
        </w:tc>
        <w:tc>
          <w:tcPr>
            <w:tcW w:w="603"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332</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332</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350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budovanie kapacít v oblasti ODA</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603"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100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100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single" w:sz="4" w:space="0" w:color="auto"/>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Európsky rozvojový fond (EDF)</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603"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4 880</w:t>
            </w:r>
          </w:p>
        </w:tc>
        <w:tc>
          <w:tcPr>
            <w:tcW w:w="557" w:type="pct"/>
            <w:tcBorders>
              <w:top w:val="nil"/>
              <w:left w:val="nil"/>
              <w:bottom w:val="single" w:sz="4" w:space="0" w:color="auto"/>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4 880</w:t>
            </w:r>
          </w:p>
        </w:tc>
      </w:tr>
      <w:tr>
        <w:tblPrEx>
          <w:tblW w:w="5000" w:type="pct"/>
          <w:tblInd w:w="0" w:type="dxa"/>
          <w:tblCellMar>
            <w:left w:w="70" w:type="dxa"/>
            <w:right w:w="70" w:type="dxa"/>
          </w:tblCellMar>
        </w:tblPrEx>
        <w:trPr>
          <w:trHeight w:val="255"/>
        </w:trPr>
        <w:tc>
          <w:tcPr>
            <w:tcW w:w="2169" w:type="pct"/>
            <w:tcBorders>
              <w:top w:val="nil"/>
              <w:left w:val="single" w:sz="4" w:space="0" w:color="auto"/>
              <w:bottom w:val="nil"/>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príspevky MO započítavané do ODA</w:t>
            </w:r>
          </w:p>
        </w:tc>
        <w:tc>
          <w:tcPr>
            <w:tcW w:w="557" w:type="pct"/>
            <w:tcBorders>
              <w:top w:val="nil"/>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1 328</w:t>
            </w:r>
          </w:p>
        </w:tc>
        <w:tc>
          <w:tcPr>
            <w:tcW w:w="557" w:type="pct"/>
            <w:tcBorders>
              <w:top w:val="nil"/>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1 328</w:t>
            </w:r>
          </w:p>
        </w:tc>
        <w:tc>
          <w:tcPr>
            <w:tcW w:w="603" w:type="pct"/>
            <w:tcBorders>
              <w:top w:val="nil"/>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1 328</w:t>
            </w:r>
          </w:p>
        </w:tc>
        <w:tc>
          <w:tcPr>
            <w:tcW w:w="557" w:type="pct"/>
            <w:tcBorders>
              <w:top w:val="nil"/>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1 328</w:t>
            </w:r>
          </w:p>
        </w:tc>
        <w:tc>
          <w:tcPr>
            <w:tcW w:w="557" w:type="pct"/>
            <w:tcBorders>
              <w:top w:val="nil"/>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1 328</w:t>
            </w:r>
          </w:p>
        </w:tc>
      </w:tr>
      <w:tr>
        <w:tblPrEx>
          <w:tblW w:w="5000" w:type="pct"/>
          <w:tblInd w:w="0" w:type="dxa"/>
          <w:tblCellMar>
            <w:left w:w="70" w:type="dxa"/>
            <w:right w:w="70" w:type="dxa"/>
          </w:tblCellMar>
        </w:tblPrEx>
        <w:trPr>
          <w:trHeight w:val="270"/>
        </w:trPr>
        <w:tc>
          <w:tcPr>
            <w:tcW w:w="2169" w:type="pct"/>
            <w:tcBorders>
              <w:top w:val="single" w:sz="4" w:space="0" w:color="auto"/>
              <w:left w:val="single" w:sz="4" w:space="0" w:color="auto"/>
              <w:bottom w:val="nil"/>
              <w:right w:val="single" w:sz="4" w:space="0" w:color="auto"/>
            </w:tcBorders>
            <w:noWrap/>
            <w:textDirection w:val="lrTb"/>
            <w:vAlign w:val="bottom"/>
          </w:tcPr>
          <w:p w:rsidR="00312541" w:rsidRPr="00091201" w:rsidP="00A70AF6">
            <w:pPr>
              <w:rPr>
                <w:rFonts w:ascii="Arial Narrow" w:hAnsi="Arial Narrow" w:cs="Arial Narrow"/>
                <w:sz w:val="20"/>
                <w:szCs w:val="24"/>
                <w:lang w:eastAsia="sk-SK"/>
              </w:rPr>
            </w:pPr>
            <w:r w:rsidRPr="00091201">
              <w:rPr>
                <w:rFonts w:ascii="Arial Narrow" w:hAnsi="Arial Narrow" w:cs="Arial Narrow"/>
                <w:sz w:val="20"/>
                <w:szCs w:val="24"/>
                <w:lang w:eastAsia="sk-SK"/>
              </w:rPr>
              <w:t>Medzirezortný program ODA</w:t>
            </w:r>
          </w:p>
        </w:tc>
        <w:tc>
          <w:tcPr>
            <w:tcW w:w="557" w:type="pct"/>
            <w:tcBorders>
              <w:top w:val="single" w:sz="4" w:space="0" w:color="auto"/>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7 504</w:t>
            </w:r>
          </w:p>
        </w:tc>
        <w:tc>
          <w:tcPr>
            <w:tcW w:w="557" w:type="pct"/>
            <w:tcBorders>
              <w:top w:val="single" w:sz="4" w:space="0" w:color="auto"/>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9 895</w:t>
            </w:r>
          </w:p>
        </w:tc>
        <w:tc>
          <w:tcPr>
            <w:tcW w:w="603" w:type="pct"/>
            <w:tcBorders>
              <w:top w:val="single" w:sz="4" w:space="0" w:color="auto"/>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5 495</w:t>
            </w:r>
          </w:p>
        </w:tc>
        <w:tc>
          <w:tcPr>
            <w:tcW w:w="557" w:type="pct"/>
            <w:tcBorders>
              <w:top w:val="single" w:sz="4" w:space="0" w:color="auto"/>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5 306</w:t>
            </w:r>
          </w:p>
        </w:tc>
        <w:tc>
          <w:tcPr>
            <w:tcW w:w="557" w:type="pct"/>
            <w:tcBorders>
              <w:top w:val="single" w:sz="4" w:space="0" w:color="auto"/>
              <w:left w:val="nil"/>
              <w:bottom w:val="nil"/>
              <w:right w:val="single" w:sz="4" w:space="0" w:color="auto"/>
            </w:tcBorders>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5 306</w:t>
            </w:r>
          </w:p>
        </w:tc>
      </w:tr>
      <w:tr>
        <w:tblPrEx>
          <w:tblW w:w="5000" w:type="pct"/>
          <w:tblInd w:w="0" w:type="dxa"/>
          <w:tblCellMar>
            <w:left w:w="70" w:type="dxa"/>
            <w:right w:w="70" w:type="dxa"/>
          </w:tblCellMar>
        </w:tblPrEx>
        <w:trPr>
          <w:trHeight w:val="270"/>
        </w:trPr>
        <w:tc>
          <w:tcPr>
            <w:tcW w:w="2169" w:type="pct"/>
            <w:tcBorders>
              <w:top w:val="single" w:sz="8" w:space="0" w:color="auto"/>
              <w:left w:val="single" w:sz="8" w:space="0" w:color="auto"/>
              <w:bottom w:val="single" w:sz="8" w:space="0" w:color="auto"/>
              <w:right w:val="single" w:sz="4" w:space="0" w:color="auto"/>
            </w:tcBorders>
            <w:shd w:val="clear" w:color="auto" w:fill="C0C0C0"/>
            <w:noWrap/>
            <w:textDirection w:val="lrTb"/>
            <w:vAlign w:val="bottom"/>
          </w:tcPr>
          <w:p w:rsidR="00312541" w:rsidRPr="00091201" w:rsidP="00A70AF6">
            <w:pPr>
              <w:rPr>
                <w:rFonts w:ascii="Arial Narrow" w:hAnsi="Arial Narrow" w:cs="Arial Narrow"/>
                <w:b/>
                <w:sz w:val="20"/>
                <w:szCs w:val="24"/>
                <w:lang w:eastAsia="sk-SK"/>
              </w:rPr>
            </w:pPr>
            <w:r w:rsidRPr="00091201">
              <w:rPr>
                <w:rFonts w:ascii="Arial Narrow" w:hAnsi="Arial Narrow" w:cs="Arial Narrow"/>
                <w:b/>
                <w:sz w:val="20"/>
                <w:szCs w:val="24"/>
                <w:lang w:eastAsia="sk-SK"/>
              </w:rPr>
              <w:t>ODA spolu</w:t>
            </w:r>
          </w:p>
        </w:tc>
        <w:tc>
          <w:tcPr>
            <w:tcW w:w="557" w:type="pct"/>
            <w:tcBorders>
              <w:top w:val="single" w:sz="8" w:space="0" w:color="auto"/>
              <w:left w:val="nil"/>
              <w:bottom w:val="single" w:sz="8" w:space="0" w:color="auto"/>
              <w:right w:val="single" w:sz="4" w:space="0" w:color="auto"/>
            </w:tcBorders>
            <w:shd w:val="clear" w:color="auto" w:fill="C0C0C0"/>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62 311</w:t>
            </w:r>
          </w:p>
        </w:tc>
        <w:tc>
          <w:tcPr>
            <w:tcW w:w="557" w:type="pct"/>
            <w:tcBorders>
              <w:top w:val="single" w:sz="8" w:space="0" w:color="auto"/>
              <w:left w:val="nil"/>
              <w:bottom w:val="single" w:sz="8" w:space="0" w:color="auto"/>
              <w:right w:val="single" w:sz="4" w:space="0" w:color="auto"/>
            </w:tcBorders>
            <w:shd w:val="clear" w:color="auto" w:fill="C0C0C0"/>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48 390</w:t>
            </w:r>
          </w:p>
        </w:tc>
        <w:tc>
          <w:tcPr>
            <w:tcW w:w="603" w:type="pct"/>
            <w:tcBorders>
              <w:top w:val="single" w:sz="8" w:space="0" w:color="auto"/>
              <w:left w:val="nil"/>
              <w:bottom w:val="single" w:sz="8" w:space="0" w:color="auto"/>
              <w:right w:val="single" w:sz="4" w:space="0" w:color="auto"/>
            </w:tcBorders>
            <w:shd w:val="clear" w:color="auto" w:fill="C0C0C0"/>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50 332</w:t>
            </w:r>
          </w:p>
        </w:tc>
        <w:tc>
          <w:tcPr>
            <w:tcW w:w="557" w:type="pct"/>
            <w:tcBorders>
              <w:top w:val="single" w:sz="8" w:space="0" w:color="auto"/>
              <w:left w:val="nil"/>
              <w:bottom w:val="single" w:sz="8" w:space="0" w:color="auto"/>
              <w:right w:val="single" w:sz="4" w:space="0" w:color="auto"/>
            </w:tcBorders>
            <w:shd w:val="clear" w:color="auto" w:fill="C0C0C0"/>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49 668</w:t>
            </w:r>
          </w:p>
        </w:tc>
        <w:tc>
          <w:tcPr>
            <w:tcW w:w="557" w:type="pct"/>
            <w:tcBorders>
              <w:top w:val="single" w:sz="8" w:space="0" w:color="auto"/>
              <w:left w:val="nil"/>
              <w:bottom w:val="single" w:sz="8" w:space="0" w:color="auto"/>
              <w:right w:val="single" w:sz="8" w:space="0" w:color="auto"/>
            </w:tcBorders>
            <w:shd w:val="clear" w:color="auto" w:fill="C0C0C0"/>
            <w:noWrap/>
            <w:textDirection w:val="lrTb"/>
            <w:vAlign w:val="bottom"/>
          </w:tcPr>
          <w:p w:rsidR="00312541" w:rsidRPr="00091201" w:rsidP="00A70AF6">
            <w:pPr>
              <w:jc w:val="right"/>
              <w:rPr>
                <w:rFonts w:ascii="Arial Narrow" w:hAnsi="Arial Narrow" w:cs="Arial Narrow"/>
                <w:sz w:val="20"/>
                <w:szCs w:val="24"/>
                <w:lang w:eastAsia="sk-SK"/>
              </w:rPr>
            </w:pPr>
            <w:r w:rsidRPr="00091201">
              <w:rPr>
                <w:rFonts w:ascii="Arial Narrow" w:hAnsi="Arial Narrow" w:cs="Arial Narrow"/>
                <w:sz w:val="20"/>
                <w:szCs w:val="24"/>
                <w:lang w:eastAsia="sk-SK"/>
              </w:rPr>
              <w:t>49 773</w:t>
            </w:r>
          </w:p>
        </w:tc>
      </w:tr>
    </w:tbl>
    <w:p w:rsidR="00312541" w:rsidP="00312541">
      <w:pPr>
        <w:ind w:firstLine="708"/>
        <w:jc w:val="both"/>
        <w:rPr>
          <w:rFonts w:ascii="Arial Narrow" w:hAnsi="Arial Narrow" w:cs="Arial Narrow"/>
          <w:color w:val="000000"/>
          <w:sz w:val="22"/>
          <w:szCs w:val="24"/>
        </w:rPr>
      </w:pPr>
    </w:p>
    <w:p w:rsidR="00312541" w:rsidRPr="009B763B" w:rsidP="00312541">
      <w:pPr>
        <w:ind w:firstLine="708"/>
        <w:jc w:val="both"/>
        <w:rPr>
          <w:rFonts w:ascii="Arial Narrow" w:hAnsi="Arial Narrow" w:cs="Arial Narrow"/>
          <w:color w:val="000000"/>
          <w:sz w:val="22"/>
          <w:szCs w:val="24"/>
        </w:rPr>
      </w:pPr>
      <w:r w:rsidRPr="009B763B">
        <w:rPr>
          <w:rFonts w:ascii="Arial Narrow" w:hAnsi="Arial Narrow" w:cs="Arial Narrow"/>
          <w:color w:val="000000"/>
          <w:sz w:val="22"/>
          <w:szCs w:val="24"/>
        </w:rPr>
        <w:t xml:space="preserve">V rámci oblasti diplomacia sa zohľadnili v kategórii bežných transferov aj výdavky na poplatky a príspevky za členstvo SR v medzinárodných </w:t>
      </w:r>
      <w:r w:rsidRPr="00B22A31">
        <w:rPr>
          <w:rFonts w:ascii="Arial Narrow" w:hAnsi="Arial Narrow" w:cs="Arial Narrow"/>
          <w:color w:val="000000"/>
          <w:sz w:val="22"/>
          <w:szCs w:val="24"/>
        </w:rPr>
        <w:t>organizáciách.  V porovnaní s rokom 2008 sú výdavky v tejto oblasti v roku 2010 na rovnakej úrovni.</w:t>
      </w:r>
    </w:p>
    <w:p w:rsidR="00312541" w:rsidRPr="009B763B" w:rsidP="00312541">
      <w:pPr>
        <w:jc w:val="both"/>
        <w:rPr>
          <w:rFonts w:ascii="Arial Narrow" w:hAnsi="Arial Narrow" w:cs="Arial Narrow"/>
          <w:color w:val="000000"/>
          <w:sz w:val="22"/>
          <w:szCs w:val="24"/>
        </w:rPr>
      </w:pPr>
    </w:p>
    <w:p w:rsidR="00312541" w:rsidP="00312541">
      <w:pPr>
        <w:ind w:firstLine="708"/>
        <w:jc w:val="both"/>
        <w:rPr>
          <w:rFonts w:ascii="Arial Narrow" w:hAnsi="Arial Narrow" w:cs="Arial Narrow"/>
          <w:color w:val="000000"/>
          <w:sz w:val="22"/>
          <w:szCs w:val="24"/>
        </w:rPr>
      </w:pPr>
      <w:r w:rsidRPr="009B763B">
        <w:rPr>
          <w:rFonts w:ascii="Arial Narrow" w:hAnsi="Arial Narrow" w:cs="Arial Narrow"/>
          <w:color w:val="000000"/>
          <w:sz w:val="22"/>
          <w:szCs w:val="24"/>
        </w:rPr>
        <w:t xml:space="preserve">Okrem poplatkov a príspevkov za členstvo SR v medzinárodných organizáciách sa uhrádzajú poplatky a </w:t>
      </w:r>
      <w:r w:rsidRPr="00453364">
        <w:rPr>
          <w:rFonts w:ascii="Arial Narrow" w:hAnsi="Arial Narrow" w:cs="Arial Narrow"/>
          <w:color w:val="000000"/>
          <w:sz w:val="22"/>
          <w:szCs w:val="24"/>
        </w:rPr>
        <w:t>príspevky aj za členstvo jednotlivých kapitol štátneho rozpočtu v medzinárodných organizáciách. V porovnaní s rokom 2006 sú výdavky štátneho rozpočtu celkom za členstvo v medzinárodných organizáciách v roku 2010 vyššie o</w:t>
      </w:r>
      <w:r>
        <w:rPr>
          <w:rFonts w:ascii="Arial Narrow" w:hAnsi="Arial Narrow" w:cs="Arial Narrow"/>
          <w:color w:val="000000"/>
          <w:sz w:val="22"/>
          <w:szCs w:val="24"/>
        </w:rPr>
        <w:t> 81,5</w:t>
      </w:r>
      <w:r w:rsidRPr="00453364">
        <w:rPr>
          <w:rFonts w:ascii="Arial Narrow" w:hAnsi="Arial Narrow" w:cs="Arial Narrow"/>
          <w:color w:val="000000"/>
          <w:sz w:val="22"/>
          <w:szCs w:val="24"/>
        </w:rPr>
        <w:t xml:space="preserve"> % a v porovnaní s rokom 2009 sú vyššie o</w:t>
      </w:r>
      <w:r>
        <w:rPr>
          <w:rFonts w:ascii="Arial Narrow" w:hAnsi="Arial Narrow" w:cs="Arial Narrow"/>
          <w:color w:val="000000"/>
          <w:sz w:val="22"/>
          <w:szCs w:val="24"/>
        </w:rPr>
        <w:t> 59,4</w:t>
      </w:r>
      <w:r w:rsidRPr="00453364">
        <w:rPr>
          <w:rFonts w:ascii="Arial Narrow" w:hAnsi="Arial Narrow" w:cs="Arial Narrow"/>
          <w:color w:val="000000"/>
          <w:sz w:val="22"/>
          <w:szCs w:val="24"/>
        </w:rPr>
        <w:t xml:space="preserve"> %.</w:t>
      </w:r>
      <w:r w:rsidRPr="009B763B">
        <w:rPr>
          <w:rFonts w:ascii="Arial Narrow" w:hAnsi="Arial Narrow" w:cs="Arial Narrow"/>
          <w:color w:val="000000"/>
          <w:sz w:val="22"/>
          <w:szCs w:val="24"/>
        </w:rPr>
        <w:t xml:space="preserve"> </w:t>
      </w:r>
    </w:p>
    <w:p w:rsidR="00312541" w:rsidP="00312541">
      <w:pPr>
        <w:ind w:firstLine="708"/>
        <w:jc w:val="both"/>
        <w:rPr>
          <w:rFonts w:ascii="Arial Narrow" w:hAnsi="Arial Narrow" w:cs="Arial Narrow"/>
          <w:color w:val="000000"/>
          <w:sz w:val="22"/>
          <w:szCs w:val="24"/>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586"/>
        <w:gridCol w:w="804"/>
        <w:gridCol w:w="804"/>
        <w:gridCol w:w="804"/>
        <w:gridCol w:w="804"/>
        <w:gridCol w:w="804"/>
        <w:gridCol w:w="804"/>
        <w:gridCol w:w="80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0"/>
        </w:trPr>
        <w:tc>
          <w:tcPr>
            <w:tcW w:w="1788"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rPr>
                <w:rFonts w:ascii="Arial Narrow" w:hAnsi="Arial Narrow" w:cs="Arial Narrow"/>
                <w:color w:val="FFFFFF"/>
                <w:sz w:val="20"/>
                <w:szCs w:val="24"/>
              </w:rPr>
            </w:pPr>
            <w:r>
              <w:rPr>
                <w:rFonts w:ascii="Arial Narrow" w:hAnsi="Arial Narrow" w:cs="Arial Narrow"/>
                <w:color w:val="FFFFFF"/>
                <w:sz w:val="20"/>
                <w:szCs w:val="24"/>
              </w:rPr>
              <w:t> </w:t>
            </w:r>
            <w:r>
              <w:rPr>
                <w:rFonts w:ascii="Arial Narrow" w:hAnsi="Arial Narrow" w:cs="Arial Narrow"/>
                <w:b/>
                <w:color w:val="FFFFFF"/>
                <w:sz w:val="20"/>
                <w:szCs w:val="24"/>
              </w:rPr>
              <w:t>(v tis. eur)</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2006</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2007</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2008</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2009</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2010</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2011</w:t>
            </w:r>
          </w:p>
        </w:tc>
        <w:tc>
          <w:tcPr>
            <w:tcW w:w="459" w:type="pct"/>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312541" w:rsidP="00A70AF6">
            <w:pPr>
              <w:jc w:val="center"/>
              <w:rPr>
                <w:rFonts w:ascii="Arial Narrow" w:hAnsi="Arial Narrow" w:cs="Arial Narrow"/>
                <w:b/>
                <w:color w:val="FFFFFF"/>
                <w:sz w:val="20"/>
                <w:szCs w:val="24"/>
              </w:rPr>
            </w:pPr>
            <w:r>
              <w:rPr>
                <w:rFonts w:ascii="Arial Narrow" w:hAnsi="Arial Narrow" w:cs="Arial Narrow"/>
                <w:b/>
                <w:color w:val="FFFFFF"/>
                <w:sz w:val="20"/>
                <w:szCs w:val="24"/>
              </w:rPr>
              <w:t>2012</w:t>
            </w:r>
          </w:p>
        </w:tc>
      </w:tr>
      <w:tr>
        <w:tblPrEx>
          <w:tblW w:w="5000" w:type="pct"/>
          <w:tblInd w:w="0" w:type="dxa"/>
          <w:tblCellMar>
            <w:left w:w="70" w:type="dxa"/>
            <w:right w:w="70" w:type="dxa"/>
          </w:tblCellMar>
        </w:tblPrEx>
        <w:trPr>
          <w:trHeight w:val="270"/>
        </w:trPr>
        <w:tc>
          <w:tcPr>
            <w:tcW w:w="1788"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rPr>
                <w:rFonts w:ascii="Arial Narrow" w:hAnsi="Arial Narrow" w:cs="Arial Narrow"/>
                <w:sz w:val="20"/>
                <w:szCs w:val="24"/>
              </w:rPr>
            </w:pPr>
            <w:r>
              <w:rPr>
                <w:rFonts w:ascii="Arial Narrow" w:hAnsi="Arial Narrow" w:cs="Arial Narrow"/>
                <w:sz w:val="20"/>
                <w:szCs w:val="24"/>
              </w:rPr>
              <w:t>Príspevky medzinárodným organizáciám zo ŠR</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32 933</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84 268</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40 524</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37 502</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59 771</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47 404</w:t>
            </w:r>
          </w:p>
        </w:tc>
        <w:tc>
          <w:tcPr>
            <w:tcW w:w="459" w:type="pct"/>
            <w:tcBorders>
              <w:top w:val="single" w:sz="4" w:space="0" w:color="auto"/>
              <w:left w:val="single" w:sz="4" w:space="0" w:color="auto"/>
              <w:bottom w:val="single" w:sz="4" w:space="0" w:color="auto"/>
              <w:right w:val="single" w:sz="4" w:space="0" w:color="auto"/>
            </w:tcBorders>
            <w:noWrap/>
            <w:textDirection w:val="lrTb"/>
            <w:vAlign w:val="bottom"/>
          </w:tcPr>
          <w:p w:rsidR="00312541" w:rsidP="00A70AF6">
            <w:pPr>
              <w:jc w:val="right"/>
              <w:rPr>
                <w:rFonts w:ascii="Arial Narrow" w:hAnsi="Arial Narrow" w:cs="Arial Narrow"/>
                <w:sz w:val="20"/>
                <w:szCs w:val="24"/>
              </w:rPr>
            </w:pPr>
            <w:r>
              <w:rPr>
                <w:rFonts w:ascii="Arial Narrow" w:hAnsi="Arial Narrow" w:cs="Arial Narrow"/>
                <w:sz w:val="20"/>
                <w:szCs w:val="24"/>
              </w:rPr>
              <w:t>30 876</w:t>
            </w:r>
          </w:p>
        </w:tc>
      </w:tr>
    </w:tbl>
    <w:p w:rsidR="00312541" w:rsidRPr="003C5E94" w:rsidP="00312541">
      <w:pPr>
        <w:jc w:val="both"/>
        <w:rPr>
          <w:rFonts w:ascii="Arial Narrow" w:hAnsi="Arial Narrow" w:cs="Arial Narrow"/>
          <w:noProof/>
          <w:sz w:val="22"/>
          <w:szCs w:val="24"/>
        </w:rPr>
      </w:pPr>
    </w:p>
    <w:p w:rsidR="00312541" w:rsidP="00312541">
      <w:pPr>
        <w:rPr>
          <w:rFonts w:ascii="Arial Narrow" w:hAnsi="Arial Narrow" w:cs="Arial Narrow"/>
          <w:szCs w:val="24"/>
        </w:rPr>
      </w:pPr>
    </w:p>
    <w:p w:rsidR="00ED680D" w:rsidRPr="00F930C1" w:rsidP="00312541">
      <w:pPr>
        <w:rPr>
          <w:rFonts w:ascii="Arial Narrow" w:hAnsi="Arial Narrow" w:cs="Arial Narrow"/>
          <w:szCs w:val="24"/>
        </w:rPr>
      </w:pPr>
    </w:p>
    <w:p w:rsidR="00F734B1" w:rsidRPr="0087062F" w:rsidP="00F734B1">
      <w:pPr>
        <w:pStyle w:val="Heading1"/>
        <w:rPr>
          <w:rFonts w:ascii="Arial Narrow" w:hAnsi="Arial Narrow" w:cs="Arial Narrow"/>
          <w:sz w:val="28"/>
          <w:szCs w:val="24"/>
        </w:rPr>
      </w:pPr>
      <w:bookmarkStart w:id="61" w:name="_Toc241846649"/>
      <w:r w:rsidRPr="0087062F">
        <w:rPr>
          <w:rFonts w:ascii="Arial Narrow" w:hAnsi="Arial Narrow" w:cs="Arial Narrow"/>
          <w:sz w:val="28"/>
          <w:szCs w:val="24"/>
        </w:rPr>
        <w:t>5. Štátne finančné aktíva</w:t>
      </w:r>
      <w:bookmarkEnd w:id="55"/>
      <w:bookmarkEnd w:id="56"/>
      <w:bookmarkEnd w:id="57"/>
      <w:bookmarkEnd w:id="61"/>
    </w:p>
    <w:p w:rsidR="00F734B1" w:rsidRPr="00790C9C" w:rsidP="00F734B1">
      <w:pPr>
        <w:rPr>
          <w:rFonts w:ascii="Arial Narrow" w:hAnsi="Arial Narrow" w:cs="Arial Narrow"/>
          <w:sz w:val="28"/>
          <w:szCs w:val="24"/>
        </w:rPr>
      </w:pPr>
    </w:p>
    <w:p w:rsidR="00F734B1" w:rsidP="00F734B1">
      <w:pPr>
        <w:ind w:firstLine="708"/>
        <w:jc w:val="both"/>
        <w:rPr>
          <w:rFonts w:ascii="Arial Narrow" w:hAnsi="Arial Narrow" w:cs="Arial Narrow"/>
          <w:sz w:val="22"/>
          <w:szCs w:val="24"/>
        </w:rPr>
      </w:pPr>
      <w:bookmarkStart w:id="62" w:name="_Toc116476498"/>
      <w:bookmarkStart w:id="63" w:name="_Toc141529500"/>
      <w:r>
        <w:rPr>
          <w:rFonts w:ascii="Arial Narrow" w:hAnsi="Arial Narrow" w:cs="Arial Narrow"/>
          <w:sz w:val="22"/>
          <w:szCs w:val="24"/>
        </w:rPr>
        <w:t xml:space="preserve">Štátne finančné aktíva sú definované zákonom č. 523/2004 Z. z. o rozpočtových pravidlách verejnej správy v znení neskorších predpisov. Finančné operácie, ktoré ovplyvňujú stav štátnych finančných aktív, sa tak na strane príjmov ako aj na strane výdavkov vylučujú z príjmov a výdavkov štátneho rozpočtu podľa metodiky      ESA 95. </w:t>
      </w:r>
    </w:p>
    <w:p w:rsidR="00F734B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ED680D" w:rsidP="00F734B1">
      <w:pPr>
        <w:jc w:val="both"/>
        <w:rPr>
          <w:rFonts w:ascii="Arial Narrow" w:hAnsi="Arial Narrow" w:cs="Arial Narrow"/>
          <w:sz w:val="22"/>
          <w:szCs w:val="24"/>
        </w:rPr>
      </w:pPr>
    </w:p>
    <w:p w:rsidR="00ED680D"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p w:rsidR="003D2F51" w:rsidP="00F734B1">
      <w:pPr>
        <w:jc w:val="both"/>
        <w:rPr>
          <w:rFonts w:ascii="Arial Narrow" w:hAnsi="Arial Narrow" w:cs="Arial Narrow"/>
          <w:sz w:val="22"/>
          <w:szCs w:val="24"/>
        </w:rPr>
      </w:pPr>
    </w:p>
    <w:tbl>
      <w:tblPr>
        <w:tblStyle w:val="TableNormal"/>
        <w:tblW w:w="9080" w:type="dxa"/>
        <w:jc w:val="center"/>
        <w:tblInd w:w="0" w:type="dxa"/>
        <w:tblCellMar>
          <w:left w:w="70" w:type="dxa"/>
          <w:right w:w="70" w:type="dxa"/>
        </w:tblCellMar>
      </w:tblPr>
      <w:tblGrid>
        <w:gridCol w:w="4600"/>
        <w:gridCol w:w="1120"/>
        <w:gridCol w:w="1120"/>
        <w:gridCol w:w="1120"/>
        <w:gridCol w:w="1120"/>
      </w:tblGrid>
      <w:tr>
        <w:tblPrEx>
          <w:tblW w:w="9080" w:type="dxa"/>
          <w:jc w:val="center"/>
          <w:tblInd w:w="0" w:type="dxa"/>
          <w:tblCellMar>
            <w:left w:w="70" w:type="dxa"/>
            <w:right w:w="70" w:type="dxa"/>
          </w:tblCellMar>
        </w:tblPrEx>
        <w:trPr>
          <w:trHeight w:val="645"/>
          <w:jc w:val="center"/>
        </w:trPr>
        <w:tc>
          <w:tcPr>
            <w:tcW w:w="4600" w:type="dxa"/>
            <w:tcBorders>
              <w:top w:val="single" w:sz="8" w:space="0" w:color="auto"/>
              <w:left w:val="single" w:sz="8" w:space="0" w:color="auto"/>
              <w:bottom w:val="single" w:sz="8" w:space="0" w:color="auto"/>
              <w:right w:val="single" w:sz="8" w:space="0" w:color="auto"/>
            </w:tcBorders>
            <w:shd w:val="clear" w:color="auto" w:fill="000000"/>
            <w:textDirection w:val="lrTb"/>
            <w:vAlign w:val="center"/>
          </w:tcPr>
          <w:p w:rsidR="00F734B1" w:rsidRPr="00B718F0" w:rsidP="009324C7">
            <w:pP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Akruál</w:t>
              <w:br/>
            </w:r>
            <w:r w:rsidRPr="00B718F0">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2012</w:t>
            </w:r>
          </w:p>
        </w:tc>
      </w:tr>
      <w:tr>
        <w:tblPrEx>
          <w:tblW w:w="9080" w:type="dxa"/>
          <w:jc w:val="center"/>
          <w:tblInd w:w="0" w:type="dxa"/>
          <w:tblCellMar>
            <w:left w:w="70" w:type="dxa"/>
            <w:right w:w="70" w:type="dxa"/>
          </w:tblCellMar>
        </w:tblPrEx>
        <w:trPr>
          <w:trHeight w:val="360"/>
          <w:jc w:val="center"/>
        </w:trPr>
        <w:tc>
          <w:tcPr>
            <w:tcW w:w="9080" w:type="dxa"/>
            <w:gridSpan w:val="5"/>
            <w:tcBorders>
              <w:top w:val="nil"/>
              <w:left w:val="single" w:sz="8" w:space="0" w:color="auto"/>
              <w:bottom w:val="single" w:sz="8" w:space="0" w:color="auto"/>
              <w:right w:val="single" w:sz="8" w:space="0" w:color="000000"/>
            </w:tcBorders>
            <w:shd w:val="clear" w:color="auto" w:fill="C0C0C0"/>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Rozpočtové operácie ŠFA</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 xml:space="preserve">1. Príjmy </w:t>
            </w:r>
            <w:r w:rsidRPr="00B718F0">
              <w:rPr>
                <w:rFonts w:ascii="Arial Narrow" w:hAnsi="Arial Narrow" w:cs="Arial Narrow"/>
                <w:sz w:val="20"/>
                <w:szCs w:val="24"/>
                <w:lang w:eastAsia="sk-SK"/>
              </w:rPr>
              <w:t xml:space="preserve">- zvýšenie ŠFA </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513 095,0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427 404,4</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422 761,0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406 345,6</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1.1. dividendy z FNM SR</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443 471,0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374 919,0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330 085,0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334 071,0</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1.2. príjem prostriedkov od mesta Žilina</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27 451,0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27 451,0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1.3. prijaté splátky vlád. úverov a vlád. pohľ. zo zahr. (FO)</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803,0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716,3</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558,8</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519,8</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1.4. príjmy zo splátok úverov a pôžičiek - NFV (FO)</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41 370,0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24 318,1</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92 117,2</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71 754,8</w:t>
            </w:r>
          </w:p>
        </w:tc>
      </w:tr>
      <w:tr>
        <w:tblPrEx>
          <w:tblW w:w="9080" w:type="dxa"/>
          <w:jc w:val="center"/>
          <w:tblInd w:w="0" w:type="dxa"/>
          <w:tblCellMar>
            <w:left w:w="70" w:type="dxa"/>
            <w:right w:w="70" w:type="dxa"/>
          </w:tblCellMar>
        </w:tblPrEx>
        <w:trPr>
          <w:trHeight w:val="135"/>
          <w:jc w:val="center"/>
        </w:trPr>
        <w:tc>
          <w:tcPr>
            <w:tcW w:w="4600" w:type="dxa"/>
            <w:tcBorders>
              <w:top w:val="nil"/>
              <w:left w:val="single" w:sz="8" w:space="0" w:color="auto"/>
              <w:bottom w:val="nil"/>
              <w:right w:val="nil"/>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w:t>
            </w:r>
          </w:p>
        </w:tc>
        <w:tc>
          <w:tcPr>
            <w:tcW w:w="1120" w:type="dxa"/>
            <w:tcBorders>
              <w:top w:val="nil"/>
              <w:left w:val="nil"/>
              <w:bottom w:val="nil"/>
              <w:right w:val="nil"/>
            </w:tcBorders>
            <w:noWrap/>
            <w:textDirection w:val="lrTb"/>
            <w:vAlign w:val="center"/>
          </w:tcPr>
          <w:p w:rsidR="00F734B1" w:rsidRPr="00B718F0" w:rsidP="009324C7">
            <w:pPr>
              <w:jc w:val="right"/>
              <w:rPr>
                <w:rFonts w:ascii="Arial Narrow" w:hAnsi="Arial Narrow" w:cs="Arial Narrow"/>
                <w:sz w:val="20"/>
                <w:szCs w:val="24"/>
                <w:lang w:eastAsia="sk-SK"/>
              </w:rPr>
            </w:pPr>
          </w:p>
        </w:tc>
        <w:tc>
          <w:tcPr>
            <w:tcW w:w="1120" w:type="dxa"/>
            <w:tcBorders>
              <w:top w:val="nil"/>
              <w:left w:val="nil"/>
              <w:bottom w:val="nil"/>
              <w:right w:val="nil"/>
            </w:tcBorders>
            <w:noWrap/>
            <w:textDirection w:val="lrTb"/>
            <w:vAlign w:val="center"/>
          </w:tcPr>
          <w:p w:rsidR="00F734B1" w:rsidRPr="00B718F0" w:rsidP="009324C7">
            <w:pPr>
              <w:jc w:val="right"/>
              <w:rPr>
                <w:rFonts w:ascii="Arial Narrow" w:hAnsi="Arial Narrow" w:cs="Arial Narrow"/>
                <w:sz w:val="20"/>
                <w:szCs w:val="24"/>
                <w:lang w:eastAsia="sk-SK"/>
              </w:rPr>
            </w:pPr>
          </w:p>
        </w:tc>
        <w:tc>
          <w:tcPr>
            <w:tcW w:w="1120" w:type="dxa"/>
            <w:tcBorders>
              <w:top w:val="nil"/>
              <w:left w:val="nil"/>
              <w:bottom w:val="nil"/>
              <w:right w:val="nil"/>
            </w:tcBorders>
            <w:noWrap/>
            <w:textDirection w:val="lrTb"/>
            <w:vAlign w:val="center"/>
          </w:tcPr>
          <w:p w:rsidR="00F734B1" w:rsidRPr="00B718F0" w:rsidP="009324C7">
            <w:pPr>
              <w:jc w:val="right"/>
              <w:rPr>
                <w:rFonts w:ascii="Arial Narrow" w:hAnsi="Arial Narrow" w:cs="Arial Narrow"/>
                <w:sz w:val="20"/>
                <w:szCs w:val="24"/>
                <w:lang w:eastAsia="sk-SK"/>
              </w:rPr>
            </w:pPr>
          </w:p>
        </w:tc>
        <w:tc>
          <w:tcPr>
            <w:tcW w:w="1120" w:type="dxa"/>
            <w:tcBorders>
              <w:top w:val="nil"/>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 </w:t>
            </w:r>
          </w:p>
        </w:tc>
      </w:tr>
      <w:tr>
        <w:tblPrEx>
          <w:tblW w:w="9080" w:type="dxa"/>
          <w:jc w:val="center"/>
          <w:tblInd w:w="0" w:type="dxa"/>
          <w:tblCellMar>
            <w:left w:w="70" w:type="dxa"/>
            <w:right w:w="70" w:type="dxa"/>
          </w:tblCellMar>
        </w:tblPrEx>
        <w:trPr>
          <w:trHeight w:val="360"/>
          <w:jc w:val="center"/>
        </w:trPr>
        <w:tc>
          <w:tcPr>
            <w:tcW w:w="4600" w:type="dxa"/>
            <w:tcBorders>
              <w:top w:val="single" w:sz="4" w:space="0" w:color="auto"/>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2. Výdavky</w:t>
            </w:r>
            <w:r w:rsidRPr="00B718F0">
              <w:rPr>
                <w:rFonts w:ascii="Arial Narrow" w:hAnsi="Arial Narrow" w:cs="Arial Narrow"/>
                <w:sz w:val="20"/>
                <w:szCs w:val="24"/>
                <w:lang w:eastAsia="sk-SK"/>
              </w:rPr>
              <w:t xml:space="preserve"> - zníženie ŠFA </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1 084 035,0</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466 819,5</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341 598,9</w:t>
            </w:r>
          </w:p>
        </w:tc>
        <w:tc>
          <w:tcPr>
            <w:tcW w:w="1120" w:type="dxa"/>
            <w:tcBorders>
              <w:top w:val="single" w:sz="4" w:space="0" w:color="auto"/>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335 566,5</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2.1. prevod prostriedkov z dividend od FNM SR do príjmov ŠR</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443 471,0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374 919,0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330 085,0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334 071,0</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2.2. prevod prostriedkov do Sociálnej poisťovne</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504 548,0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75 507,0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nil"/>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2.3. poskyt. úverov a pôž., účasť v medz. org. (FO)</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10 712,0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1 435,5</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1 513,9</w:t>
            </w:r>
          </w:p>
        </w:tc>
        <w:tc>
          <w:tcPr>
            <w:tcW w:w="1120" w:type="dxa"/>
            <w:tcBorders>
              <w:top w:val="nil"/>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1 495,5</w:t>
            </w:r>
          </w:p>
        </w:tc>
      </w:tr>
      <w:tr>
        <w:tblPrEx>
          <w:tblW w:w="9080" w:type="dxa"/>
          <w:jc w:val="center"/>
          <w:tblInd w:w="0" w:type="dxa"/>
          <w:tblCellMar>
            <w:left w:w="70" w:type="dxa"/>
            <w:right w:w="70" w:type="dxa"/>
          </w:tblCellMar>
        </w:tblPrEx>
        <w:trPr>
          <w:trHeight w:val="360"/>
          <w:jc w:val="center"/>
        </w:trPr>
        <w:tc>
          <w:tcPr>
            <w:tcW w:w="4600" w:type="dxa"/>
            <w:tcBorders>
              <w:top w:val="single" w:sz="4" w:space="0" w:color="auto"/>
              <w:left w:val="single" w:sz="8" w:space="0" w:color="auto"/>
              <w:bottom w:val="nil"/>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2.4. úhrada záväzku zo zrušeného Združenia Dunaj (FO)</w:t>
            </w:r>
          </w:p>
        </w:tc>
        <w:tc>
          <w:tcPr>
            <w:tcW w:w="1120" w:type="dxa"/>
            <w:tcBorders>
              <w:top w:val="single" w:sz="4" w:space="0" w:color="auto"/>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113 852,0</w:t>
            </w:r>
          </w:p>
        </w:tc>
        <w:tc>
          <w:tcPr>
            <w:tcW w:w="1120" w:type="dxa"/>
            <w:tcBorders>
              <w:top w:val="single" w:sz="4" w:space="0" w:color="auto"/>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single" w:sz="4" w:space="0" w:color="auto"/>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single" w:sz="4" w:space="0" w:color="auto"/>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9080" w:type="dxa"/>
          <w:jc w:val="center"/>
          <w:tblInd w:w="0" w:type="dxa"/>
          <w:tblCellMar>
            <w:left w:w="70" w:type="dxa"/>
            <w:right w:w="70" w:type="dxa"/>
          </w:tblCellMar>
        </w:tblPrEx>
        <w:trPr>
          <w:trHeight w:val="360"/>
          <w:jc w:val="center"/>
        </w:trPr>
        <w:tc>
          <w:tcPr>
            <w:tcW w:w="4600" w:type="dxa"/>
            <w:tcBorders>
              <w:top w:val="single" w:sz="4" w:space="0" w:color="auto"/>
              <w:left w:val="single" w:sz="8" w:space="0" w:color="auto"/>
              <w:bottom w:val="nil"/>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2.5. Vklad do základného imania EXIMBANKY SR (FO)</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11 452,0</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5 000,0</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10 000,0</w:t>
            </w:r>
          </w:p>
        </w:tc>
        <w:tc>
          <w:tcPr>
            <w:tcW w:w="1120" w:type="dxa"/>
            <w:tcBorders>
              <w:top w:val="single" w:sz="4" w:space="0" w:color="auto"/>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9080" w:type="dxa"/>
          <w:jc w:val="center"/>
          <w:tblInd w:w="0" w:type="dxa"/>
          <w:tblCellMar>
            <w:left w:w="70" w:type="dxa"/>
            <w:right w:w="70" w:type="dxa"/>
          </w:tblCellMar>
        </w:tblPrEx>
        <w:trPr>
          <w:trHeight w:val="780"/>
          <w:jc w:val="center"/>
        </w:trPr>
        <w:tc>
          <w:tcPr>
            <w:tcW w:w="4600" w:type="dxa"/>
            <w:tcBorders>
              <w:top w:val="single" w:sz="4" w:space="0" w:color="auto"/>
              <w:left w:val="single" w:sz="8" w:space="0" w:color="auto"/>
              <w:bottom w:val="nil"/>
              <w:right w:val="single" w:sz="4" w:space="0" w:color="auto"/>
            </w:tcBorders>
            <w:textDirection w:val="lrTb"/>
            <w:vAlign w:val="center"/>
          </w:tcPr>
          <w:p w:rsidR="00F734B1"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2.6. Vklad do základné imania </w:t>
              <w:br/>
              <w:t xml:space="preserve">       Letiska M. R. Štefánika - Airport Bratislava, a.s.(BTS) </w:t>
            </w:r>
            <w:r>
              <w:rPr>
                <w:rFonts w:ascii="Arial Narrow" w:hAnsi="Arial Narrow" w:cs="Arial Narrow"/>
                <w:sz w:val="20"/>
                <w:szCs w:val="24"/>
                <w:lang w:eastAsia="sk-SK"/>
              </w:rPr>
              <w:t xml:space="preserve">  </w:t>
            </w:r>
          </w:p>
          <w:p w:rsidR="00F734B1" w:rsidRPr="00B718F0" w:rsidP="009324C7">
            <w:pPr>
              <w:rPr>
                <w:rFonts w:ascii="Arial Narrow" w:hAnsi="Arial Narrow" w:cs="Arial Narrow"/>
                <w:sz w:val="20"/>
                <w:szCs w:val="24"/>
                <w:lang w:eastAsia="sk-SK"/>
              </w:rPr>
            </w:pPr>
            <w:r>
              <w:rPr>
                <w:rFonts w:ascii="Arial Narrow" w:hAnsi="Arial Narrow" w:cs="Arial Narrow"/>
                <w:sz w:val="20"/>
                <w:szCs w:val="24"/>
                <w:lang w:eastAsia="sk-SK"/>
              </w:rPr>
              <w:t xml:space="preserve">      </w:t>
            </w:r>
            <w:r w:rsidRPr="00B718F0">
              <w:rPr>
                <w:rFonts w:ascii="Arial Narrow" w:hAnsi="Arial Narrow" w:cs="Arial Narrow"/>
                <w:sz w:val="20"/>
                <w:szCs w:val="24"/>
                <w:lang w:eastAsia="sk-SK"/>
              </w:rPr>
              <w:t>(FO)</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9 958,0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9080" w:type="dxa"/>
          <w:jc w:val="center"/>
          <w:tblInd w:w="0" w:type="dxa"/>
          <w:tblCellMar>
            <w:left w:w="70" w:type="dxa"/>
            <w:right w:w="70" w:type="dxa"/>
          </w:tblCellMar>
        </w:tblPrEx>
        <w:trPr>
          <w:trHeight w:val="360"/>
          <w:jc w:val="center"/>
        </w:trPr>
        <w:tc>
          <w:tcPr>
            <w:tcW w:w="4600" w:type="dxa"/>
            <w:tcBorders>
              <w:top w:val="single" w:sz="8" w:space="0" w:color="auto"/>
              <w:left w:val="single" w:sz="8" w:space="0" w:color="auto"/>
              <w:bottom w:val="single" w:sz="8" w:space="0" w:color="auto"/>
              <w:right w:val="single" w:sz="4" w:space="0" w:color="auto"/>
            </w:tcBorders>
            <w:shd w:val="clear" w:color="auto" w:fill="C0C0C0"/>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 xml:space="preserve">Saldo rozpočtových operácií </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-570 940,0</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-39 415,1</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81 162,1</w:t>
            </w:r>
          </w:p>
        </w:tc>
        <w:tc>
          <w:tcPr>
            <w:tcW w:w="11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70 779,1</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Vylúčenie finančných operácií</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93 843,0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-8 640,9</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-81 162,1</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-70 779,1</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vylúčenie príjmových FO</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-42 173,0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-25 034,4</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-92 676,0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-72 274,6</w:t>
            </w:r>
          </w:p>
        </w:tc>
      </w:tr>
      <w:tr>
        <w:tblPrEx>
          <w:tblW w:w="9080" w:type="dxa"/>
          <w:jc w:val="center"/>
          <w:tblInd w:w="0" w:type="dxa"/>
          <w:tblCellMar>
            <w:left w:w="70" w:type="dxa"/>
            <w:right w:w="70" w:type="dxa"/>
          </w:tblCellMar>
        </w:tblPrEx>
        <w:trPr>
          <w:trHeight w:val="360"/>
          <w:jc w:val="center"/>
        </w:trPr>
        <w:tc>
          <w:tcPr>
            <w:tcW w:w="4600" w:type="dxa"/>
            <w:tcBorders>
              <w:top w:val="nil"/>
              <w:left w:val="single" w:sz="8" w:space="0" w:color="auto"/>
              <w:bottom w:val="nil"/>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vylúčenie výdavkových FO</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136 016,0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16 393,5</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11 513,9</w:t>
            </w:r>
          </w:p>
        </w:tc>
        <w:tc>
          <w:tcPr>
            <w:tcW w:w="1120" w:type="dxa"/>
            <w:tcBorders>
              <w:top w:val="nil"/>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1 495,5</w:t>
            </w:r>
          </w:p>
        </w:tc>
      </w:tr>
      <w:tr>
        <w:tblPrEx>
          <w:tblW w:w="9080" w:type="dxa"/>
          <w:jc w:val="center"/>
          <w:tblInd w:w="0" w:type="dxa"/>
          <w:tblCellMar>
            <w:left w:w="70" w:type="dxa"/>
            <w:right w:w="70" w:type="dxa"/>
          </w:tblCellMar>
        </w:tblPrEx>
        <w:trPr>
          <w:trHeight w:val="645"/>
          <w:jc w:val="center"/>
        </w:trPr>
        <w:tc>
          <w:tcPr>
            <w:tcW w:w="4600" w:type="dxa"/>
            <w:tcBorders>
              <w:top w:val="single" w:sz="8" w:space="0" w:color="auto"/>
              <w:left w:val="single" w:sz="8" w:space="0" w:color="auto"/>
              <w:bottom w:val="single" w:sz="8" w:space="0" w:color="auto"/>
              <w:right w:val="single" w:sz="4" w:space="0" w:color="auto"/>
            </w:tcBorders>
            <w:shd w:val="clear" w:color="auto" w:fill="C0C0C0"/>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Saldo rozpočtových operácií bez FO</w:t>
              <w:br/>
            </w:r>
            <w:r w:rsidRPr="00B718F0">
              <w:rPr>
                <w:rFonts w:ascii="Arial Narrow" w:hAnsi="Arial Narrow" w:cs="Arial Narrow"/>
                <w:sz w:val="16"/>
                <w:szCs w:val="24"/>
                <w:lang w:eastAsia="sk-SK"/>
              </w:rPr>
              <w:t>(vplyv na rozpočet verejnej správy v metodike ESA 95)</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-477 097,0</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-48 056,0</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0,0</w:t>
            </w:r>
          </w:p>
        </w:tc>
        <w:tc>
          <w:tcPr>
            <w:tcW w:w="11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0,0</w:t>
            </w:r>
          </w:p>
        </w:tc>
      </w:tr>
    </w:tbl>
    <w:p w:rsidR="00F734B1" w:rsidP="00F734B1">
      <w:pPr>
        <w:jc w:val="both"/>
        <w:rPr>
          <w:rFonts w:ascii="Arial Narrow" w:hAnsi="Arial Narrow" w:cs="Arial Narrow"/>
          <w:sz w:val="22"/>
          <w:szCs w:val="24"/>
        </w:rPr>
      </w:pPr>
    </w:p>
    <w:p w:rsidR="00F734B1" w:rsidRPr="003B2DEA" w:rsidP="00F734B1">
      <w:pPr>
        <w:pStyle w:val="Heading2"/>
        <w:rPr>
          <w:rFonts w:ascii="Arial Narrow" w:hAnsi="Arial Narrow" w:cs="Arial Narrow"/>
          <w:i w:val="0"/>
          <w:sz w:val="24"/>
          <w:szCs w:val="24"/>
        </w:rPr>
      </w:pPr>
      <w:bookmarkStart w:id="64" w:name="_Toc143348614"/>
      <w:bookmarkStart w:id="65" w:name="_Toc148255260"/>
      <w:bookmarkStart w:id="66" w:name="_Toc174871977"/>
      <w:bookmarkStart w:id="67" w:name="_Toc206478412"/>
      <w:bookmarkStart w:id="68" w:name="_Toc241846650"/>
      <w:r w:rsidRPr="003B2DEA">
        <w:rPr>
          <w:rFonts w:ascii="Arial Narrow" w:hAnsi="Arial Narrow" w:cs="Arial Narrow"/>
          <w:i w:val="0"/>
          <w:sz w:val="24"/>
          <w:szCs w:val="24"/>
        </w:rPr>
        <w:t>5.1. Príjmové operácie</w:t>
      </w:r>
      <w:bookmarkEnd w:id="62"/>
      <w:bookmarkEnd w:id="63"/>
      <w:bookmarkEnd w:id="64"/>
      <w:bookmarkEnd w:id="65"/>
      <w:bookmarkEnd w:id="66"/>
      <w:bookmarkEnd w:id="67"/>
      <w:bookmarkEnd w:id="68"/>
    </w:p>
    <w:p w:rsidR="00F734B1" w:rsidRPr="003B2DEA" w:rsidP="00F734B1">
      <w:pPr>
        <w:ind w:firstLine="708"/>
        <w:jc w:val="both"/>
        <w:rPr>
          <w:rFonts w:ascii="Arial Narrow" w:hAnsi="Arial Narrow" w:cs="Arial Narrow"/>
          <w:szCs w:val="24"/>
          <w:highlight w:val="yellow"/>
          <w:u w:val="single"/>
        </w:rPr>
      </w:pPr>
    </w:p>
    <w:p w:rsidR="00F734B1" w:rsidRPr="00B06E95" w:rsidP="00F734B1">
      <w:pPr>
        <w:jc w:val="both"/>
        <w:rPr>
          <w:rFonts w:ascii="Arial Narrow" w:hAnsi="Arial Narrow" w:cs="Arial Narrow"/>
          <w:sz w:val="22"/>
          <w:szCs w:val="24"/>
        </w:rPr>
      </w:pPr>
      <w:bookmarkStart w:id="69" w:name="_Toc116476499"/>
      <w:bookmarkStart w:id="70" w:name="_Toc141529501"/>
      <w:r w:rsidRPr="00B06E95">
        <w:rPr>
          <w:rFonts w:ascii="Arial Narrow" w:hAnsi="Arial Narrow" w:cs="Arial Narrow"/>
          <w:sz w:val="22"/>
          <w:szCs w:val="24"/>
        </w:rPr>
        <w:t xml:space="preserve">5.1.1.     Z hľadiska finančného objemu medzi najdôležitejšie príjmové operácie štátnych finančných aktív patria príjmy z Fondu národného majetku SR z dividend od spoločností s majetkovou účasťou Fondu národného majetku SR. Tieto príjmy sa v rovnakej výške prevedú do príjmov štátneho rozpočtu. </w:t>
      </w:r>
    </w:p>
    <w:p w:rsidR="00F734B1" w:rsidRPr="002B6579" w:rsidP="00F734B1">
      <w:pPr>
        <w:jc w:val="both"/>
        <w:rPr>
          <w:rFonts w:ascii="Arial Narrow" w:hAnsi="Arial Narrow" w:cs="Arial Narrow"/>
          <w:sz w:val="22"/>
          <w:szCs w:val="24"/>
          <w:highlight w:val="yellow"/>
        </w:rPr>
      </w:pPr>
    </w:p>
    <w:p w:rsidR="00F734B1" w:rsidRPr="001366FE" w:rsidP="00F734B1">
      <w:pPr>
        <w:jc w:val="both"/>
        <w:rPr>
          <w:rFonts w:ascii="Arial Narrow" w:hAnsi="Arial Narrow" w:cs="Arial Narrow"/>
          <w:color w:val="000000"/>
          <w:sz w:val="22"/>
          <w:szCs w:val="24"/>
        </w:rPr>
      </w:pPr>
      <w:r w:rsidRPr="001366FE">
        <w:rPr>
          <w:rFonts w:ascii="Arial Narrow" w:hAnsi="Arial Narrow" w:cs="Arial Narrow"/>
          <w:sz w:val="22"/>
          <w:szCs w:val="24"/>
        </w:rPr>
        <w:t>5.1.</w:t>
      </w:r>
      <w:r>
        <w:rPr>
          <w:rFonts w:ascii="Arial Narrow" w:hAnsi="Arial Narrow" w:cs="Arial Narrow"/>
          <w:sz w:val="22"/>
          <w:szCs w:val="24"/>
        </w:rPr>
        <w:t>2</w:t>
      </w:r>
      <w:r w:rsidRPr="001366FE">
        <w:rPr>
          <w:rFonts w:ascii="Arial Narrow" w:hAnsi="Arial Narrow" w:cs="Arial Narrow"/>
          <w:sz w:val="22"/>
          <w:szCs w:val="24"/>
        </w:rPr>
        <w:t>.     Vláda SR uznesením č. 552 zo 16. júna 2004 schválila Návrh modelu financovania Projektu  výstavby závodu na výrobu automobilov spoločnosťou KIA a závodu na výrobu automobilových súčiastok</w:t>
      </w:r>
      <w:r w:rsidRPr="001366FE">
        <w:rPr>
          <w:rFonts w:ascii="Arial Narrow" w:hAnsi="Arial Narrow" w:cs="Arial Narrow"/>
          <w:color w:val="000000"/>
          <w:sz w:val="22"/>
          <w:szCs w:val="24"/>
        </w:rPr>
        <w:t xml:space="preserve"> Hyundai Mobis. </w:t>
      </w:r>
      <w:r w:rsidRPr="00270961">
        <w:rPr>
          <w:rFonts w:ascii="Arial Narrow" w:hAnsi="Arial Narrow" w:cs="Arial Narrow"/>
          <w:sz w:val="22"/>
          <w:szCs w:val="24"/>
        </w:rPr>
        <w:t xml:space="preserve">Uvedeným uznesením schválila poskytnutie návratnej finančnej výpomoci mestu Žilina v sume 27,45 mil. </w:t>
      </w:r>
      <w:r>
        <w:rPr>
          <w:rFonts w:ascii="Arial Narrow" w:hAnsi="Arial Narrow" w:cs="Arial Narrow"/>
          <w:sz w:val="22"/>
          <w:szCs w:val="24"/>
        </w:rPr>
        <w:t xml:space="preserve">eur </w:t>
      </w:r>
      <w:r w:rsidRPr="001366FE">
        <w:rPr>
          <w:rFonts w:ascii="Arial Narrow" w:hAnsi="Arial Narrow" w:cs="Arial Narrow"/>
          <w:sz w:val="22"/>
          <w:szCs w:val="24"/>
        </w:rPr>
        <w:t>na zabezpečenie realizácie výkupu pozemkov a ich úpravu v rámci spoločností Govinvest I. a Govinvest II. v súlade s uzavretými investičnými zmluvami medzi Slovenskou republikou, zastúpenou Ministerstvom hospodárstva SR, mestom Žilina, spoločnosťami KIA Motors Corporation a Hyundai Mobis z 5. marca 2004.</w:t>
      </w:r>
      <w:r w:rsidRPr="001366FE">
        <w:rPr>
          <w:rFonts w:ascii="Arial Narrow" w:hAnsi="Arial Narrow" w:cs="Arial Narrow"/>
          <w:color w:val="000000"/>
          <w:sz w:val="22"/>
          <w:szCs w:val="24"/>
        </w:rPr>
        <w:t xml:space="preserve"> Taktiež uložila podpredsedovi vlády a ministrovi financií zabezpečiť návratnosť poskytnutých finančných prostriedkov mestu Žilina. </w:t>
      </w:r>
      <w:r>
        <w:rPr>
          <w:rFonts w:ascii="Arial Narrow" w:hAnsi="Arial Narrow" w:cs="Arial Narrow"/>
          <w:color w:val="000000"/>
          <w:sz w:val="22"/>
          <w:szCs w:val="24"/>
        </w:rPr>
        <w:t>Návratnosť uvedených prostriedkov sa očakáva v roku 2010.</w:t>
      </w:r>
    </w:p>
    <w:p w:rsidR="00F734B1" w:rsidRPr="002B6579" w:rsidP="00F734B1">
      <w:pPr>
        <w:pStyle w:val="BodyText"/>
        <w:rPr>
          <w:rFonts w:ascii="Arial Narrow" w:hAnsi="Arial Narrow" w:cs="Arial Narrow"/>
          <w:sz w:val="22"/>
          <w:szCs w:val="24"/>
          <w:highlight w:val="yellow"/>
        </w:rPr>
      </w:pPr>
    </w:p>
    <w:p w:rsidR="00F734B1" w:rsidRPr="001366FE" w:rsidP="00F734B1">
      <w:pPr>
        <w:jc w:val="both"/>
        <w:rPr>
          <w:rFonts w:ascii="Arial Narrow" w:hAnsi="Arial Narrow" w:cs="Arial Narrow"/>
          <w:sz w:val="22"/>
          <w:szCs w:val="24"/>
        </w:rPr>
      </w:pPr>
      <w:r>
        <w:rPr>
          <w:rFonts w:ascii="Arial Narrow" w:hAnsi="Arial Narrow" w:cs="Arial Narrow"/>
          <w:sz w:val="22"/>
          <w:szCs w:val="24"/>
        </w:rPr>
        <w:t>5.1.3</w:t>
      </w:r>
      <w:r w:rsidRPr="001366FE">
        <w:rPr>
          <w:rFonts w:ascii="Arial Narrow" w:hAnsi="Arial Narrow" w:cs="Arial Narrow"/>
          <w:sz w:val="22"/>
          <w:szCs w:val="24"/>
        </w:rPr>
        <w:t xml:space="preserve">.   Príjmy z vymáhania zahraničných pohľadávok, ktoré Slovenská republika získala pri delení majetku bývalej ČSFR, sa na základe výsledkov doterajších rokovaní s dlžníckymi krajinami a aktuálneho stavu zmluvnej </w:t>
      </w:r>
      <w:r w:rsidRPr="00270961">
        <w:rPr>
          <w:rFonts w:ascii="Arial Narrow" w:hAnsi="Arial Narrow" w:cs="Arial Narrow"/>
          <w:sz w:val="22"/>
          <w:szCs w:val="24"/>
        </w:rPr>
        <w:t>dokumentácie rozpočtujú v rokoch 20</w:t>
      </w:r>
      <w:r>
        <w:rPr>
          <w:rFonts w:ascii="Arial Narrow" w:hAnsi="Arial Narrow" w:cs="Arial Narrow"/>
          <w:sz w:val="22"/>
          <w:szCs w:val="24"/>
        </w:rPr>
        <w:t>10 až 2012</w:t>
      </w:r>
      <w:r w:rsidRPr="00270961">
        <w:rPr>
          <w:rFonts w:ascii="Arial Narrow" w:hAnsi="Arial Narrow" w:cs="Arial Narrow"/>
          <w:sz w:val="22"/>
          <w:szCs w:val="24"/>
        </w:rPr>
        <w:t xml:space="preserve"> </w:t>
      </w:r>
      <w:r>
        <w:rPr>
          <w:rFonts w:ascii="Arial Narrow" w:hAnsi="Arial Narrow" w:cs="Arial Narrow"/>
          <w:sz w:val="22"/>
          <w:szCs w:val="24"/>
        </w:rPr>
        <w:t>s klesajúcim trendom od</w:t>
      </w:r>
      <w:r w:rsidRPr="00270961">
        <w:rPr>
          <w:rFonts w:ascii="Arial Narrow" w:hAnsi="Arial Narrow" w:cs="Arial Narrow"/>
          <w:sz w:val="22"/>
          <w:szCs w:val="24"/>
        </w:rPr>
        <w:t xml:space="preserve"> </w:t>
      </w:r>
      <w:r>
        <w:rPr>
          <w:rFonts w:ascii="Arial Narrow" w:hAnsi="Arial Narrow" w:cs="Arial Narrow"/>
          <w:sz w:val="22"/>
          <w:szCs w:val="24"/>
        </w:rPr>
        <w:t>716,3</w:t>
      </w:r>
      <w:r w:rsidRPr="00270961">
        <w:rPr>
          <w:rFonts w:ascii="Arial Narrow" w:hAnsi="Arial Narrow" w:cs="Arial Narrow"/>
          <w:sz w:val="22"/>
          <w:szCs w:val="24"/>
        </w:rPr>
        <w:t xml:space="preserve"> </w:t>
      </w:r>
      <w:r>
        <w:rPr>
          <w:rFonts w:ascii="Arial Narrow" w:hAnsi="Arial Narrow" w:cs="Arial Narrow"/>
          <w:sz w:val="22"/>
          <w:szCs w:val="24"/>
        </w:rPr>
        <w:t>do</w:t>
      </w:r>
      <w:r w:rsidRPr="00270961">
        <w:rPr>
          <w:rFonts w:ascii="Arial Narrow" w:hAnsi="Arial Narrow" w:cs="Arial Narrow"/>
          <w:sz w:val="22"/>
          <w:szCs w:val="24"/>
        </w:rPr>
        <w:t xml:space="preserve"> </w:t>
      </w:r>
      <w:r>
        <w:rPr>
          <w:rFonts w:ascii="Arial Narrow" w:hAnsi="Arial Narrow" w:cs="Arial Narrow"/>
          <w:sz w:val="22"/>
          <w:szCs w:val="24"/>
        </w:rPr>
        <w:t>519,8</w:t>
      </w:r>
      <w:r w:rsidRPr="00270961">
        <w:rPr>
          <w:rFonts w:ascii="Arial Narrow" w:hAnsi="Arial Narrow" w:cs="Arial Narrow"/>
          <w:sz w:val="22"/>
          <w:szCs w:val="24"/>
        </w:rPr>
        <w:t xml:space="preserve"> tis. </w:t>
      </w:r>
      <w:r>
        <w:rPr>
          <w:rFonts w:ascii="Arial Narrow" w:hAnsi="Arial Narrow" w:cs="Arial Narrow"/>
          <w:sz w:val="22"/>
          <w:szCs w:val="24"/>
        </w:rPr>
        <w:t>eur</w:t>
      </w:r>
      <w:r w:rsidRPr="00270961">
        <w:rPr>
          <w:rFonts w:ascii="Arial Narrow" w:hAnsi="Arial Narrow" w:cs="Arial Narrow"/>
          <w:sz w:val="22"/>
          <w:szCs w:val="24"/>
        </w:rPr>
        <w:t>. Bližšie k jednotlivým rokom je</w:t>
      </w:r>
      <w:r w:rsidRPr="001366FE">
        <w:rPr>
          <w:rFonts w:ascii="Arial Narrow" w:hAnsi="Arial Narrow" w:cs="Arial Narrow"/>
          <w:sz w:val="22"/>
          <w:szCs w:val="24"/>
        </w:rPr>
        <w:t xml:space="preserve"> uvedené v úvodnej tabuľke. Úrokové príjmy zo zahraničných úverov, pôžičiek a vkladov sú príjmom štátneho rozpočtu a sú zapracované v rozpočte Štátneho dlhu (kapitola Všeobecná pokladničná správa). </w:t>
      </w:r>
    </w:p>
    <w:p w:rsidR="00F734B1" w:rsidRPr="002B6579" w:rsidP="00F734B1">
      <w:pPr>
        <w:ind w:firstLine="708"/>
        <w:jc w:val="both"/>
        <w:rPr>
          <w:rFonts w:ascii="Arial Narrow" w:hAnsi="Arial Narrow" w:cs="Arial Narrow"/>
          <w:sz w:val="22"/>
          <w:szCs w:val="24"/>
          <w:highlight w:val="yellow"/>
        </w:rPr>
      </w:pPr>
    </w:p>
    <w:p w:rsidR="00F734B1" w:rsidRPr="0086568C" w:rsidP="00F734B1">
      <w:pPr>
        <w:tabs>
          <w:tab w:val="left" w:pos="0"/>
        </w:tabs>
        <w:jc w:val="both"/>
        <w:rPr>
          <w:rFonts w:ascii="Arial Narrow" w:hAnsi="Arial Narrow" w:cs="Arial Narrow"/>
          <w:sz w:val="22"/>
          <w:szCs w:val="24"/>
        </w:rPr>
      </w:pPr>
      <w:r>
        <w:rPr>
          <w:rFonts w:ascii="Arial Narrow" w:hAnsi="Arial Narrow" w:cs="Arial Narrow"/>
          <w:sz w:val="22"/>
          <w:szCs w:val="24"/>
        </w:rPr>
        <w:t>5.1.4</w:t>
      </w:r>
      <w:r w:rsidRPr="0086568C">
        <w:rPr>
          <w:rFonts w:ascii="Arial Narrow" w:hAnsi="Arial Narrow" w:cs="Arial Narrow"/>
          <w:sz w:val="22"/>
          <w:szCs w:val="24"/>
        </w:rPr>
        <w:t xml:space="preserve">.     Medzi finančné operácie štátnych finančných aktív na strane príjmov zaraďujeme aj príjmy zo splácania poskytnutých úverov a pôžičiek – istín i návratných finančných výpomocí. Ide o príjmy, ktoré boli v minulosti príjmom niektorých kapitol štátneho rozpočtu. Nasledovná tabuľka uvádza príjmové finančné operácie podľa pôsobnosti a zodpovednosti príslušných kapitol štátneho rozpočtu. </w:t>
      </w:r>
    </w:p>
    <w:p w:rsidR="00F734B1" w:rsidP="00F734B1">
      <w:pPr>
        <w:jc w:val="both"/>
        <w:rPr>
          <w:rFonts w:ascii="Arial Narrow" w:hAnsi="Arial Narrow" w:cs="Arial Narrow"/>
          <w:sz w:val="22"/>
          <w:szCs w:val="24"/>
        </w:rPr>
      </w:pPr>
    </w:p>
    <w:tbl>
      <w:tblPr>
        <w:tblStyle w:val="TableNormal"/>
        <w:tblW w:w="7920" w:type="dxa"/>
        <w:jc w:val="center"/>
        <w:tblInd w:w="0" w:type="dxa"/>
        <w:tblCellMar>
          <w:left w:w="70" w:type="dxa"/>
          <w:right w:w="70" w:type="dxa"/>
        </w:tblCellMar>
      </w:tblPr>
      <w:tblGrid>
        <w:gridCol w:w="3440"/>
        <w:gridCol w:w="1120"/>
        <w:gridCol w:w="1120"/>
        <w:gridCol w:w="1120"/>
        <w:gridCol w:w="1120"/>
      </w:tblGrid>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000000"/>
            <w:noWrap/>
            <w:textDirection w:val="lrTb"/>
            <w:vAlign w:val="center"/>
          </w:tcPr>
          <w:p w:rsidR="00F734B1" w:rsidRPr="00B718F0" w:rsidP="003E39F7">
            <w:pPr>
              <w:rPr>
                <w:rFonts w:ascii="Arial Narrow" w:hAnsi="Arial Narrow" w:cs="Arial Narrow"/>
                <w:color w:val="FFFFFF"/>
                <w:sz w:val="16"/>
                <w:szCs w:val="24"/>
                <w:lang w:eastAsia="sk-SK"/>
              </w:rPr>
            </w:pPr>
            <w:r w:rsidRPr="00B718F0">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718F0" w:rsidP="009324C7">
            <w:pPr>
              <w:jc w:val="center"/>
              <w:rPr>
                <w:rFonts w:ascii="Arial Narrow" w:hAnsi="Arial Narrow" w:cs="Arial Narrow"/>
                <w:b/>
                <w:color w:val="FFFFFF"/>
                <w:sz w:val="20"/>
                <w:szCs w:val="24"/>
                <w:lang w:eastAsia="sk-SK"/>
              </w:rPr>
            </w:pPr>
            <w:r w:rsidRPr="00B718F0">
              <w:rPr>
                <w:rFonts w:ascii="Arial Narrow" w:hAnsi="Arial Narrow" w:cs="Arial Narrow"/>
                <w:b/>
                <w:color w:val="FFFFFF"/>
                <w:sz w:val="20"/>
                <w:szCs w:val="24"/>
                <w:lang w:eastAsia="sk-SK"/>
              </w:rPr>
              <w:t>2012</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Ministerstvo financií SR</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17,0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16,6</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16,6</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16,6</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Ministerstvo pôdohospodárstva SR</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1 092,0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844,5</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535,0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184,6</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Všeobecná pokladničná správa</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40 261,0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23 457,0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91 565,6</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71 553,6</w:t>
            </w:r>
          </w:p>
        </w:tc>
      </w:tr>
      <w:tr>
        <w:tblPrEx>
          <w:tblW w:w="7920" w:type="dxa"/>
          <w:jc w:val="center"/>
          <w:tblInd w:w="0" w:type="dxa"/>
          <w:tblCellMar>
            <w:left w:w="70" w:type="dxa"/>
            <w:right w:w="70" w:type="dxa"/>
          </w:tblCellMar>
        </w:tblPrEx>
        <w:trPr>
          <w:trHeight w:val="180"/>
          <w:jc w:val="center"/>
        </w:trPr>
        <w:tc>
          <w:tcPr>
            <w:tcW w:w="3440" w:type="dxa"/>
            <w:tcBorders>
              <w:top w:val="nil"/>
              <w:left w:val="single" w:sz="8" w:space="0" w:color="auto"/>
              <w:bottom w:val="single" w:sz="4" w:space="0" w:color="auto"/>
              <w:right w:val="nil"/>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z toho:</w:t>
            </w:r>
          </w:p>
        </w:tc>
        <w:tc>
          <w:tcPr>
            <w:tcW w:w="1120" w:type="dxa"/>
            <w:tcBorders>
              <w:top w:val="nil"/>
              <w:left w:val="nil"/>
              <w:bottom w:val="single" w:sz="4" w:space="0" w:color="auto"/>
              <w:right w:val="nil"/>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w:t>
            </w:r>
          </w:p>
        </w:tc>
        <w:tc>
          <w:tcPr>
            <w:tcW w:w="1120" w:type="dxa"/>
            <w:tcBorders>
              <w:top w:val="nil"/>
              <w:left w:val="nil"/>
              <w:bottom w:val="single" w:sz="4" w:space="0" w:color="auto"/>
              <w:right w:val="nil"/>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w:t>
            </w:r>
          </w:p>
        </w:tc>
        <w:tc>
          <w:tcPr>
            <w:tcW w:w="1120" w:type="dxa"/>
            <w:tcBorders>
              <w:top w:val="nil"/>
              <w:left w:val="nil"/>
              <w:bottom w:val="single" w:sz="4" w:space="0" w:color="auto"/>
              <w:right w:val="nil"/>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z konkurzov</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166,0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165,9</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165,9</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165,9</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Vodohospodárska výstavba, š. p. BA</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21 138,0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21 908,0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22 007,6</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22 007,6</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mesto Košice</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1 384,0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1 383,1</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1 383,1</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1 383,1</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nil"/>
              <w:right w:val="single" w:sz="4" w:space="0" w:color="auto"/>
            </w:tcBorders>
            <w:noWrap/>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mesto Žilina</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17 573,0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nil"/>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nil"/>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7920" w:type="dxa"/>
          <w:jc w:val="center"/>
          <w:tblInd w:w="0" w:type="dxa"/>
          <w:tblCellMar>
            <w:left w:w="70" w:type="dxa"/>
            <w:right w:w="70" w:type="dxa"/>
          </w:tblCellMar>
        </w:tblPrEx>
        <w:trPr>
          <w:trHeight w:val="540"/>
          <w:jc w:val="center"/>
        </w:trPr>
        <w:tc>
          <w:tcPr>
            <w:tcW w:w="3440" w:type="dxa"/>
            <w:tcBorders>
              <w:top w:val="single" w:sz="4" w:space="0" w:color="auto"/>
              <w:left w:val="single" w:sz="8" w:space="0" w:color="auto"/>
              <w:bottom w:val="single" w:sz="4" w:space="0" w:color="auto"/>
              <w:right w:val="single" w:sz="4" w:space="0" w:color="auto"/>
            </w:tcBorders>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príjem z predaja ubytovacích kapacít</w:t>
              <w:br/>
              <w:t xml:space="preserve">     zahraničných investorov - KIA - MH SR</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single" w:sz="4" w:space="0" w:color="auto"/>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31 032,4</w:t>
            </w:r>
          </w:p>
        </w:tc>
        <w:tc>
          <w:tcPr>
            <w:tcW w:w="1120" w:type="dxa"/>
            <w:tcBorders>
              <w:top w:val="single" w:sz="4" w:space="0" w:color="auto"/>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r>
      <w:tr>
        <w:tblPrEx>
          <w:tblW w:w="7920" w:type="dxa"/>
          <w:jc w:val="center"/>
          <w:tblInd w:w="0" w:type="dxa"/>
          <w:tblCellMar>
            <w:left w:w="70" w:type="dxa"/>
            <w:right w:w="70" w:type="dxa"/>
          </w:tblCellMar>
        </w:tblPrEx>
        <w:trPr>
          <w:trHeight w:val="540"/>
          <w:jc w:val="center"/>
        </w:trPr>
        <w:tc>
          <w:tcPr>
            <w:tcW w:w="3440" w:type="dxa"/>
            <w:tcBorders>
              <w:top w:val="nil"/>
              <w:left w:val="single" w:sz="8" w:space="0" w:color="auto"/>
              <w:bottom w:val="single" w:sz="4" w:space="0" w:color="auto"/>
              <w:right w:val="single" w:sz="4" w:space="0" w:color="auto"/>
            </w:tcBorders>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splátka NFV poskytnutej v súvislosti so </w:t>
              <w:br/>
              <w:t xml:space="preserve">     zabezpečením projektu Samsung</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11 020,4</w:t>
            </w:r>
          </w:p>
        </w:tc>
      </w:tr>
      <w:tr>
        <w:tblPrEx>
          <w:tblW w:w="7920" w:type="dxa"/>
          <w:jc w:val="center"/>
          <w:tblInd w:w="0" w:type="dxa"/>
          <w:tblCellMar>
            <w:left w:w="70" w:type="dxa"/>
            <w:right w:w="70" w:type="dxa"/>
          </w:tblCellMar>
        </w:tblPrEx>
        <w:trPr>
          <w:trHeight w:val="540"/>
          <w:jc w:val="center"/>
        </w:trPr>
        <w:tc>
          <w:tcPr>
            <w:tcW w:w="3440" w:type="dxa"/>
            <w:tcBorders>
              <w:top w:val="nil"/>
              <w:left w:val="single" w:sz="8" w:space="0" w:color="auto"/>
              <w:bottom w:val="single" w:sz="4" w:space="0" w:color="auto"/>
              <w:right w:val="single" w:sz="4" w:space="0" w:color="auto"/>
            </w:tcBorders>
            <w:textDirection w:val="lrTb"/>
            <w:vAlign w:val="center"/>
          </w:tcPr>
          <w:p w:rsidR="00F734B1" w:rsidRPr="00B718F0" w:rsidP="009324C7">
            <w:pPr>
              <w:rPr>
                <w:rFonts w:ascii="Arial Narrow" w:hAnsi="Arial Narrow" w:cs="Arial Narrow"/>
                <w:sz w:val="20"/>
                <w:szCs w:val="24"/>
                <w:lang w:eastAsia="sk-SK"/>
              </w:rPr>
            </w:pPr>
            <w:r w:rsidRPr="00B718F0">
              <w:rPr>
                <w:rFonts w:ascii="Arial Narrow" w:hAnsi="Arial Narrow" w:cs="Arial Narrow"/>
                <w:sz w:val="20"/>
                <w:szCs w:val="24"/>
                <w:lang w:eastAsia="sk-SK"/>
              </w:rPr>
              <w:t xml:space="preserve">  -  splátka NFV poskytnutej ŽSR Slovensko</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17 476,6</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17 476,6</w:t>
            </w:r>
          </w:p>
        </w:tc>
      </w:tr>
      <w:tr>
        <w:tblPrEx>
          <w:tblW w:w="7920" w:type="dxa"/>
          <w:jc w:val="center"/>
          <w:tblInd w:w="0" w:type="dxa"/>
          <w:tblCellMar>
            <w:left w:w="70" w:type="dxa"/>
            <w:right w:w="70" w:type="dxa"/>
          </w:tblCellMar>
        </w:tblPrEx>
        <w:trPr>
          <w:trHeight w:val="540"/>
          <w:jc w:val="center"/>
        </w:trPr>
        <w:tc>
          <w:tcPr>
            <w:tcW w:w="3440" w:type="dxa"/>
            <w:tcBorders>
              <w:top w:val="nil"/>
              <w:left w:val="single" w:sz="8" w:space="0" w:color="auto"/>
              <w:bottom w:val="single" w:sz="4" w:space="0" w:color="auto"/>
              <w:right w:val="single" w:sz="4" w:space="0" w:color="auto"/>
            </w:tcBorders>
            <w:textDirection w:val="lrTb"/>
            <w:vAlign w:val="center"/>
          </w:tcPr>
          <w:p w:rsidR="00DE0BED" w:rsidP="009324C7">
            <w:pPr>
              <w:rPr>
                <w:rFonts w:ascii="Arial Narrow" w:hAnsi="Arial Narrow" w:cs="Arial Narrow"/>
                <w:sz w:val="20"/>
                <w:szCs w:val="24"/>
                <w:lang w:eastAsia="sk-SK"/>
              </w:rPr>
            </w:pPr>
            <w:r w:rsidRPr="00B718F0" w:rsidR="00F734B1">
              <w:rPr>
                <w:rFonts w:ascii="Arial Narrow" w:hAnsi="Arial Narrow" w:cs="Arial Narrow"/>
                <w:sz w:val="20"/>
                <w:szCs w:val="24"/>
                <w:lang w:eastAsia="sk-SK"/>
              </w:rPr>
              <w:t xml:space="preserve">  -  splátka NFV poskytnutej ŽS Cargo </w:t>
            </w:r>
            <w:r>
              <w:rPr>
                <w:rFonts w:ascii="Arial Narrow" w:hAnsi="Arial Narrow" w:cs="Arial Narrow"/>
                <w:sz w:val="20"/>
                <w:szCs w:val="24"/>
                <w:lang w:eastAsia="sk-SK"/>
              </w:rPr>
              <w:t xml:space="preserve"> </w:t>
            </w:r>
          </w:p>
          <w:p w:rsidR="00F734B1" w:rsidRPr="00B718F0" w:rsidP="009324C7">
            <w:pPr>
              <w:rPr>
                <w:rFonts w:ascii="Arial Narrow" w:hAnsi="Arial Narrow" w:cs="Arial Narrow"/>
                <w:sz w:val="20"/>
                <w:szCs w:val="24"/>
                <w:lang w:eastAsia="sk-SK"/>
              </w:rPr>
            </w:pPr>
            <w:r w:rsidR="00DE0BED">
              <w:rPr>
                <w:rFonts w:ascii="Arial Narrow" w:hAnsi="Arial Narrow" w:cs="Arial Narrow"/>
                <w:sz w:val="20"/>
                <w:szCs w:val="24"/>
                <w:lang w:eastAsia="sk-SK"/>
              </w:rPr>
              <w:t xml:space="preserve">      </w:t>
            </w:r>
            <w:r w:rsidRPr="00B718F0">
              <w:rPr>
                <w:rFonts w:ascii="Arial Narrow" w:hAnsi="Arial Narrow" w:cs="Arial Narrow"/>
                <w:sz w:val="20"/>
                <w:szCs w:val="24"/>
                <w:lang w:eastAsia="sk-SK"/>
              </w:rPr>
              <w:t>Slovakia</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0,0</w:t>
            </w:r>
          </w:p>
        </w:tc>
        <w:tc>
          <w:tcPr>
            <w:tcW w:w="1120" w:type="dxa"/>
            <w:tcBorders>
              <w:top w:val="nil"/>
              <w:left w:val="nil"/>
              <w:bottom w:val="single" w:sz="4" w:space="0" w:color="auto"/>
              <w:right w:val="single" w:sz="4"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19 500,0</w:t>
            </w:r>
          </w:p>
        </w:tc>
        <w:tc>
          <w:tcPr>
            <w:tcW w:w="1120" w:type="dxa"/>
            <w:tcBorders>
              <w:top w:val="nil"/>
              <w:left w:val="nil"/>
              <w:bottom w:val="single" w:sz="4" w:space="0" w:color="auto"/>
              <w:right w:val="single" w:sz="8" w:space="0" w:color="auto"/>
            </w:tcBorders>
            <w:noWrap/>
            <w:textDirection w:val="lrTb"/>
            <w:vAlign w:val="center"/>
          </w:tcPr>
          <w:p w:rsidR="00F734B1" w:rsidRPr="00B718F0" w:rsidP="009324C7">
            <w:pPr>
              <w:jc w:val="right"/>
              <w:rPr>
                <w:rFonts w:ascii="Arial Narrow" w:hAnsi="Arial Narrow" w:cs="Arial Narrow"/>
                <w:sz w:val="20"/>
                <w:szCs w:val="24"/>
                <w:lang w:eastAsia="sk-SK"/>
              </w:rPr>
            </w:pPr>
            <w:r w:rsidRPr="00B718F0">
              <w:rPr>
                <w:rFonts w:ascii="Arial Narrow" w:hAnsi="Arial Narrow" w:cs="Arial Narrow"/>
                <w:sz w:val="20"/>
                <w:szCs w:val="24"/>
                <w:lang w:eastAsia="sk-SK"/>
              </w:rPr>
              <w:t>19 500,0</w:t>
            </w:r>
          </w:p>
        </w:tc>
      </w:tr>
      <w:tr>
        <w:tblPrEx>
          <w:tblW w:w="7920" w:type="dxa"/>
          <w:jc w:val="center"/>
          <w:tblInd w:w="0" w:type="dxa"/>
          <w:tblCellMar>
            <w:left w:w="70" w:type="dxa"/>
            <w:right w:w="70" w:type="dxa"/>
          </w:tblCellMar>
        </w:tblPrEx>
        <w:trPr>
          <w:trHeight w:val="540"/>
          <w:jc w:val="center"/>
        </w:trPr>
        <w:tc>
          <w:tcPr>
            <w:tcW w:w="3440" w:type="dxa"/>
            <w:tcBorders>
              <w:top w:val="nil"/>
              <w:left w:val="single" w:sz="8" w:space="0" w:color="auto"/>
              <w:bottom w:val="single" w:sz="8" w:space="0" w:color="auto"/>
              <w:right w:val="single" w:sz="4" w:space="0" w:color="auto"/>
            </w:tcBorders>
            <w:shd w:val="clear" w:color="auto" w:fill="C0C0C0"/>
            <w:noWrap/>
            <w:textDirection w:val="lrTb"/>
            <w:vAlign w:val="center"/>
          </w:tcPr>
          <w:p w:rsidR="00F734B1" w:rsidRPr="00B718F0" w:rsidP="009324C7">
            <w:pPr>
              <w:rPr>
                <w:rFonts w:ascii="Arial Narrow" w:hAnsi="Arial Narrow" w:cs="Arial Narrow"/>
                <w:b/>
                <w:sz w:val="20"/>
                <w:szCs w:val="24"/>
                <w:lang w:eastAsia="sk-SK"/>
              </w:rPr>
            </w:pPr>
            <w:r w:rsidRPr="00B718F0">
              <w:rPr>
                <w:rFonts w:ascii="Arial Narrow" w:hAnsi="Arial Narrow" w:cs="Arial Narrow"/>
                <w:b/>
                <w:sz w:val="20"/>
                <w:szCs w:val="24"/>
                <w:lang w:eastAsia="sk-SK"/>
              </w:rPr>
              <w:t>Celkom</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41 370,0</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24 318,1</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92 117,2</w:t>
            </w:r>
          </w:p>
        </w:tc>
        <w:tc>
          <w:tcPr>
            <w:tcW w:w="1120" w:type="dxa"/>
            <w:tcBorders>
              <w:top w:val="nil"/>
              <w:left w:val="nil"/>
              <w:bottom w:val="single" w:sz="8" w:space="0" w:color="auto"/>
              <w:right w:val="single" w:sz="8" w:space="0" w:color="auto"/>
            </w:tcBorders>
            <w:shd w:val="clear" w:color="auto" w:fill="C0C0C0"/>
            <w:noWrap/>
            <w:textDirection w:val="lrTb"/>
            <w:vAlign w:val="center"/>
          </w:tcPr>
          <w:p w:rsidR="00F734B1" w:rsidRPr="00B718F0" w:rsidP="009324C7">
            <w:pPr>
              <w:jc w:val="right"/>
              <w:rPr>
                <w:rFonts w:ascii="Arial Narrow" w:hAnsi="Arial Narrow" w:cs="Arial Narrow"/>
                <w:b/>
                <w:sz w:val="20"/>
                <w:szCs w:val="24"/>
                <w:lang w:eastAsia="sk-SK"/>
              </w:rPr>
            </w:pPr>
            <w:r w:rsidRPr="00B718F0">
              <w:rPr>
                <w:rFonts w:ascii="Arial Narrow" w:hAnsi="Arial Narrow" w:cs="Arial Narrow"/>
                <w:b/>
                <w:sz w:val="20"/>
                <w:szCs w:val="24"/>
                <w:lang w:eastAsia="sk-SK"/>
              </w:rPr>
              <w:t>71 754,8</w:t>
            </w:r>
          </w:p>
        </w:tc>
      </w:tr>
    </w:tbl>
    <w:p w:rsidR="00F734B1" w:rsidRPr="002B6579" w:rsidP="00F734B1">
      <w:pPr>
        <w:ind w:right="72"/>
        <w:jc w:val="both"/>
        <w:rPr>
          <w:rFonts w:ascii="Arial Narrow" w:hAnsi="Arial Narrow" w:cs="Arial Narrow"/>
          <w:sz w:val="22"/>
          <w:szCs w:val="24"/>
          <w:highlight w:val="yellow"/>
        </w:rPr>
      </w:pPr>
    </w:p>
    <w:p w:rsidR="00F734B1" w:rsidRPr="00791610" w:rsidP="00F734B1">
      <w:pPr>
        <w:ind w:right="74" w:firstLine="703"/>
        <w:jc w:val="both"/>
        <w:rPr>
          <w:rFonts w:ascii="Arial Narrow" w:hAnsi="Arial Narrow" w:cs="Arial Narrow"/>
          <w:sz w:val="22"/>
          <w:szCs w:val="24"/>
        </w:rPr>
      </w:pPr>
      <w:r w:rsidRPr="00791610">
        <w:rPr>
          <w:rFonts w:ascii="Arial Narrow" w:hAnsi="Arial Narrow" w:cs="Arial Narrow"/>
          <w:sz w:val="22"/>
          <w:szCs w:val="24"/>
        </w:rPr>
        <w:t xml:space="preserve">Do pôsobnosti Ministerstva financií SR patrí správa a vymáhanie pohľadávok štátu z titulu prídelu doplnkového prídelu pozemkového majetku presídlencom z Maďarska na základe Dohody medzi Československom a Maďarskom o výmene obyvateľstva publikovanej pod č. 145/1946 Zb. Celková pohľadávka </w:t>
      </w:r>
      <w:r w:rsidRPr="00270961">
        <w:rPr>
          <w:rFonts w:ascii="Arial Narrow" w:hAnsi="Arial Narrow" w:cs="Arial Narrow"/>
          <w:sz w:val="22"/>
          <w:szCs w:val="24"/>
        </w:rPr>
        <w:t>štátu voči týmto fyzickým osobám bola k</w:t>
      </w:r>
      <w:r>
        <w:rPr>
          <w:rFonts w:ascii="Arial Narrow" w:hAnsi="Arial Narrow" w:cs="Arial Narrow"/>
          <w:sz w:val="22"/>
          <w:szCs w:val="24"/>
        </w:rPr>
        <w:t> 01. januáru 2009</w:t>
      </w:r>
      <w:r w:rsidRPr="00270961">
        <w:rPr>
          <w:rFonts w:ascii="Arial Narrow" w:hAnsi="Arial Narrow" w:cs="Arial Narrow"/>
          <w:sz w:val="22"/>
          <w:szCs w:val="24"/>
        </w:rPr>
        <w:t xml:space="preserve"> </w:t>
      </w:r>
      <w:r>
        <w:rPr>
          <w:rFonts w:ascii="Arial Narrow" w:hAnsi="Arial Narrow" w:cs="Arial Narrow"/>
          <w:sz w:val="22"/>
          <w:szCs w:val="24"/>
        </w:rPr>
        <w:t xml:space="preserve">v sume </w:t>
      </w:r>
      <w:r w:rsidRPr="00270961">
        <w:rPr>
          <w:rFonts w:ascii="Arial Narrow" w:hAnsi="Arial Narrow" w:cs="Arial Narrow"/>
          <w:sz w:val="22"/>
          <w:szCs w:val="24"/>
        </w:rPr>
        <w:t>4</w:t>
      </w:r>
      <w:r>
        <w:rPr>
          <w:rFonts w:ascii="Arial Narrow" w:hAnsi="Arial Narrow" w:cs="Arial Narrow"/>
          <w:sz w:val="22"/>
          <w:szCs w:val="24"/>
        </w:rPr>
        <w:t>12,5</w:t>
      </w:r>
      <w:r w:rsidRPr="00270961">
        <w:rPr>
          <w:rFonts w:ascii="Arial Narrow" w:hAnsi="Arial Narrow" w:cs="Arial Narrow"/>
          <w:sz w:val="22"/>
          <w:szCs w:val="24"/>
        </w:rPr>
        <w:t xml:space="preserve"> tis. </w:t>
      </w:r>
      <w:r>
        <w:rPr>
          <w:rFonts w:ascii="Arial Narrow" w:hAnsi="Arial Narrow" w:cs="Arial Narrow"/>
          <w:sz w:val="22"/>
          <w:szCs w:val="24"/>
        </w:rPr>
        <w:t>eur</w:t>
      </w:r>
      <w:r w:rsidRPr="00270961">
        <w:rPr>
          <w:rFonts w:ascii="Arial Narrow" w:hAnsi="Arial Narrow" w:cs="Arial Narrow"/>
          <w:sz w:val="22"/>
          <w:szCs w:val="24"/>
        </w:rPr>
        <w:t>. Príjmy z tohto titulu sa v jednotlivých</w:t>
      </w:r>
      <w:r w:rsidRPr="00791610">
        <w:rPr>
          <w:rFonts w:ascii="Arial Narrow" w:hAnsi="Arial Narrow" w:cs="Arial Narrow"/>
          <w:sz w:val="22"/>
          <w:szCs w:val="24"/>
        </w:rPr>
        <w:t xml:space="preserve"> rokoch predpokladajú </w:t>
      </w:r>
      <w:r>
        <w:rPr>
          <w:rFonts w:ascii="Arial Narrow" w:hAnsi="Arial Narrow" w:cs="Arial Narrow"/>
          <w:sz w:val="22"/>
          <w:szCs w:val="24"/>
        </w:rPr>
        <w:t>konštantne na úrovni 16,6 tis. eur.</w:t>
      </w:r>
      <w:r w:rsidRPr="00791610">
        <w:rPr>
          <w:rFonts w:ascii="Arial Narrow" w:hAnsi="Arial Narrow" w:cs="Arial Narrow"/>
          <w:sz w:val="22"/>
          <w:szCs w:val="24"/>
        </w:rPr>
        <w:t xml:space="preserve"> </w:t>
      </w:r>
    </w:p>
    <w:p w:rsidR="00F734B1" w:rsidRPr="002B6579" w:rsidP="00F734B1">
      <w:pPr>
        <w:ind w:right="72" w:firstLine="705"/>
        <w:jc w:val="both"/>
        <w:rPr>
          <w:rFonts w:ascii="Arial Narrow" w:hAnsi="Arial Narrow" w:cs="Arial Narrow"/>
          <w:sz w:val="22"/>
          <w:szCs w:val="24"/>
          <w:highlight w:val="yellow"/>
        </w:rPr>
      </w:pPr>
    </w:p>
    <w:p w:rsidR="00F734B1" w:rsidRPr="00791610" w:rsidP="00F734B1">
      <w:pPr>
        <w:ind w:right="72" w:firstLine="705"/>
        <w:jc w:val="both"/>
        <w:rPr>
          <w:rFonts w:ascii="Arial Narrow" w:hAnsi="Arial Narrow" w:cs="Arial Narrow"/>
          <w:sz w:val="22"/>
          <w:szCs w:val="24"/>
        </w:rPr>
      </w:pPr>
      <w:r w:rsidRPr="00791610">
        <w:rPr>
          <w:rFonts w:ascii="Arial Narrow" w:hAnsi="Arial Narrow" w:cs="Arial Narrow"/>
          <w:sz w:val="22"/>
          <w:szCs w:val="24"/>
        </w:rPr>
        <w:t xml:space="preserve">V pôsobnosti kapitoly Ministerstva pôdohospodárstva SR ide o príjmy zo splácania návratných finančných výpomocí poskytnutých zrušenými štátnymi fondmi. </w:t>
      </w:r>
    </w:p>
    <w:p w:rsidR="00F734B1" w:rsidRPr="002B6579" w:rsidP="00F734B1">
      <w:pPr>
        <w:ind w:right="72" w:firstLine="705"/>
        <w:jc w:val="both"/>
        <w:rPr>
          <w:rFonts w:ascii="Arial Narrow" w:hAnsi="Arial Narrow" w:cs="Arial Narrow"/>
          <w:sz w:val="22"/>
          <w:szCs w:val="24"/>
          <w:highlight w:val="yellow"/>
        </w:rPr>
      </w:pPr>
    </w:p>
    <w:p w:rsidR="00F734B1" w:rsidRPr="00D610A1" w:rsidP="00F734B1">
      <w:pPr>
        <w:ind w:right="72" w:firstLine="705"/>
        <w:jc w:val="both"/>
        <w:rPr>
          <w:rFonts w:ascii="Arial Narrow" w:hAnsi="Arial Narrow" w:cs="Arial Narrow"/>
          <w:sz w:val="22"/>
          <w:szCs w:val="24"/>
        </w:rPr>
      </w:pPr>
      <w:r w:rsidR="003E39F7">
        <w:rPr>
          <w:rFonts w:ascii="Arial Narrow" w:hAnsi="Arial Narrow" w:cs="Arial Narrow"/>
          <w:sz w:val="22"/>
          <w:szCs w:val="24"/>
        </w:rPr>
        <w:t>V rámci kapitoly Všeobecná pokladničná správa sa o</w:t>
      </w:r>
      <w:r w:rsidRPr="00D610A1">
        <w:rPr>
          <w:rFonts w:ascii="Arial Narrow" w:hAnsi="Arial Narrow" w:cs="Arial Narrow"/>
          <w:sz w:val="22"/>
          <w:szCs w:val="24"/>
        </w:rPr>
        <w:t xml:space="preserve">dhaduje, že z prebiehajúcich konkurzných konaní, v ktorých si Ministerstvo financií SR uplatnilo </w:t>
      </w:r>
      <w:r w:rsidRPr="00270961">
        <w:rPr>
          <w:rFonts w:ascii="Arial Narrow" w:hAnsi="Arial Narrow" w:cs="Arial Narrow"/>
          <w:sz w:val="22"/>
          <w:szCs w:val="24"/>
        </w:rPr>
        <w:t>svoje pohľadávky možno získať príjmy vo výške 16</w:t>
      </w:r>
      <w:r>
        <w:rPr>
          <w:rFonts w:ascii="Arial Narrow" w:hAnsi="Arial Narrow" w:cs="Arial Narrow"/>
          <w:sz w:val="22"/>
          <w:szCs w:val="24"/>
        </w:rPr>
        <w:t>5,9</w:t>
      </w:r>
      <w:r w:rsidRPr="00270961">
        <w:rPr>
          <w:rFonts w:ascii="Arial Narrow" w:hAnsi="Arial Narrow" w:cs="Arial Narrow"/>
          <w:sz w:val="22"/>
          <w:szCs w:val="24"/>
        </w:rPr>
        <w:t xml:space="preserve"> tis. </w:t>
      </w:r>
      <w:r>
        <w:rPr>
          <w:rFonts w:ascii="Arial Narrow" w:hAnsi="Arial Narrow" w:cs="Arial Narrow"/>
          <w:sz w:val="22"/>
          <w:szCs w:val="24"/>
        </w:rPr>
        <w:t>eur</w:t>
      </w:r>
      <w:r w:rsidRPr="00270961">
        <w:rPr>
          <w:rFonts w:ascii="Arial Narrow" w:hAnsi="Arial Narrow" w:cs="Arial Narrow"/>
          <w:sz w:val="22"/>
          <w:szCs w:val="24"/>
        </w:rPr>
        <w:t xml:space="preserve"> ročne.</w:t>
      </w:r>
      <w:r w:rsidRPr="00D610A1">
        <w:rPr>
          <w:rFonts w:ascii="Arial Narrow" w:hAnsi="Arial Narrow" w:cs="Arial Narrow"/>
          <w:sz w:val="22"/>
          <w:szCs w:val="24"/>
        </w:rPr>
        <w:t xml:space="preserve"> </w:t>
      </w:r>
    </w:p>
    <w:p w:rsidR="00F734B1" w:rsidRPr="002B6579" w:rsidP="00F734B1">
      <w:pPr>
        <w:ind w:right="72" w:firstLine="705"/>
        <w:jc w:val="both"/>
        <w:rPr>
          <w:rFonts w:ascii="Arial Narrow" w:hAnsi="Arial Narrow" w:cs="Arial Narrow"/>
          <w:sz w:val="22"/>
          <w:szCs w:val="24"/>
          <w:highlight w:val="yellow"/>
        </w:rPr>
      </w:pPr>
    </w:p>
    <w:p w:rsidR="00F734B1" w:rsidP="00F734B1">
      <w:pPr>
        <w:ind w:right="72" w:firstLine="705"/>
        <w:jc w:val="both"/>
        <w:rPr>
          <w:rFonts w:ascii="Arial Narrow" w:hAnsi="Arial Narrow" w:cs="Arial Narrow"/>
          <w:sz w:val="22"/>
          <w:szCs w:val="24"/>
        </w:rPr>
      </w:pPr>
      <w:r w:rsidRPr="0008605E">
        <w:rPr>
          <w:rFonts w:ascii="Arial Narrow" w:hAnsi="Arial Narrow" w:cs="Arial Narrow"/>
          <w:sz w:val="22"/>
          <w:szCs w:val="24"/>
        </w:rPr>
        <w:t xml:space="preserve">Príjmy z realizovaných štátnych záruk od nefinančných subjektov </w:t>
      </w:r>
      <w:r>
        <w:rPr>
          <w:rFonts w:ascii="Arial Narrow" w:hAnsi="Arial Narrow" w:cs="Arial Narrow"/>
          <w:sz w:val="22"/>
          <w:szCs w:val="24"/>
        </w:rPr>
        <w:t>a splátok návratných finančných výpomocí sú</w:t>
      </w:r>
      <w:r w:rsidRPr="0008605E">
        <w:rPr>
          <w:rFonts w:ascii="Arial Narrow" w:hAnsi="Arial Narrow" w:cs="Arial Narrow"/>
          <w:sz w:val="22"/>
          <w:szCs w:val="24"/>
        </w:rPr>
        <w:t xml:space="preserve"> v pôsobnosti kapitoly Všeobecná pokladničná správa a v zmysle splátkových kalendárov sa v jednotlivých rokoch rozpočtového rámca 20</w:t>
      </w:r>
      <w:r>
        <w:rPr>
          <w:rFonts w:ascii="Arial Narrow" w:hAnsi="Arial Narrow" w:cs="Arial Narrow"/>
          <w:sz w:val="22"/>
          <w:szCs w:val="24"/>
        </w:rPr>
        <w:t>10</w:t>
      </w:r>
      <w:r w:rsidRPr="0008605E">
        <w:rPr>
          <w:rFonts w:ascii="Arial Narrow" w:hAnsi="Arial Narrow" w:cs="Arial Narrow"/>
          <w:sz w:val="22"/>
          <w:szCs w:val="24"/>
        </w:rPr>
        <w:t xml:space="preserve"> až 201</w:t>
      </w:r>
      <w:r>
        <w:rPr>
          <w:rFonts w:ascii="Arial Narrow" w:hAnsi="Arial Narrow" w:cs="Arial Narrow"/>
          <w:sz w:val="22"/>
          <w:szCs w:val="24"/>
        </w:rPr>
        <w:t>2</w:t>
      </w:r>
      <w:r w:rsidRPr="0008605E">
        <w:rPr>
          <w:rFonts w:ascii="Arial Narrow" w:hAnsi="Arial Narrow" w:cs="Arial Narrow"/>
          <w:sz w:val="22"/>
          <w:szCs w:val="24"/>
        </w:rPr>
        <w:t xml:space="preserve"> očakávajú v objemoch ako je uvedené v</w:t>
      </w:r>
      <w:r>
        <w:rPr>
          <w:rFonts w:ascii="Arial Narrow" w:hAnsi="Arial Narrow" w:cs="Arial Narrow"/>
          <w:sz w:val="22"/>
          <w:szCs w:val="24"/>
        </w:rPr>
        <w:t xml:space="preserve">o vyššie uvedenej </w:t>
      </w:r>
      <w:r w:rsidRPr="0008605E">
        <w:rPr>
          <w:rFonts w:ascii="Arial Narrow" w:hAnsi="Arial Narrow" w:cs="Arial Narrow"/>
          <w:sz w:val="22"/>
          <w:szCs w:val="24"/>
        </w:rPr>
        <w:t>tabuľke</w:t>
      </w:r>
      <w:r>
        <w:rPr>
          <w:rFonts w:ascii="Arial Narrow" w:hAnsi="Arial Narrow" w:cs="Arial Narrow"/>
          <w:sz w:val="22"/>
          <w:szCs w:val="24"/>
        </w:rPr>
        <w:t xml:space="preserve"> a v nasledovnom texte:</w:t>
      </w:r>
    </w:p>
    <w:p w:rsidR="00F734B1" w:rsidP="00F734B1">
      <w:pPr>
        <w:ind w:right="72"/>
        <w:jc w:val="both"/>
        <w:rPr>
          <w:rFonts w:ascii="Arial Narrow" w:hAnsi="Arial Narrow" w:cs="Arial Narrow"/>
          <w:sz w:val="22"/>
          <w:szCs w:val="24"/>
        </w:rPr>
      </w:pPr>
    </w:p>
    <w:p w:rsidR="00F734B1" w:rsidP="00F734B1">
      <w:pPr>
        <w:numPr>
          <w:numId w:val="12"/>
        </w:numPr>
        <w:ind w:right="72"/>
        <w:jc w:val="both"/>
        <w:rPr>
          <w:rFonts w:ascii="Arial Narrow" w:hAnsi="Arial Narrow" w:cs="Arial Narrow"/>
          <w:sz w:val="22"/>
          <w:szCs w:val="24"/>
        </w:rPr>
      </w:pPr>
      <w:r>
        <w:rPr>
          <w:rFonts w:ascii="Arial Narrow" w:hAnsi="Arial Narrow" w:cs="Arial Narrow"/>
          <w:sz w:val="22"/>
          <w:szCs w:val="24"/>
        </w:rPr>
        <w:t>P</w:t>
      </w:r>
      <w:r w:rsidRPr="0008605E">
        <w:rPr>
          <w:rFonts w:ascii="Arial Narrow" w:hAnsi="Arial Narrow" w:cs="Arial Narrow"/>
          <w:sz w:val="22"/>
          <w:szCs w:val="24"/>
        </w:rPr>
        <w:t xml:space="preserve">ríjmy od Vodohospodárskej výstavby, š. p. Bratislava, ktorý má v súčasnosti platné dve Zmluvy o návratnej finančnej výpomoci, a to z roku 2002 a 2006. </w:t>
      </w:r>
    </w:p>
    <w:p w:rsidR="00F734B1" w:rsidRPr="00837F70" w:rsidP="00F734B1">
      <w:pPr>
        <w:ind w:left="360" w:right="72"/>
        <w:jc w:val="both"/>
        <w:rPr>
          <w:rFonts w:ascii="Arial Narrow" w:hAnsi="Arial Narrow" w:cs="Arial Narrow"/>
          <w:sz w:val="10"/>
          <w:szCs w:val="24"/>
        </w:rPr>
      </w:pPr>
    </w:p>
    <w:p w:rsidR="00F734B1" w:rsidP="00F734B1">
      <w:pPr>
        <w:numPr>
          <w:numId w:val="12"/>
        </w:numPr>
        <w:ind w:right="72"/>
        <w:jc w:val="both"/>
        <w:rPr>
          <w:rFonts w:ascii="Arial Narrow" w:hAnsi="Arial Narrow" w:cs="Arial Narrow"/>
          <w:sz w:val="22"/>
          <w:szCs w:val="24"/>
        </w:rPr>
      </w:pPr>
      <w:r w:rsidRPr="0008605E">
        <w:rPr>
          <w:rFonts w:ascii="Arial Narrow" w:hAnsi="Arial Narrow" w:cs="Arial Narrow"/>
          <w:sz w:val="22"/>
          <w:szCs w:val="24"/>
        </w:rPr>
        <w:t xml:space="preserve">Mestu Košice bola poskytnutá úverová výpomoc zo štátnych finančných aktív vo výške 19,25 mil. eur v zmysle uznesenia vlády SR č. 93 zo dňa 30. </w:t>
      </w:r>
      <w:r>
        <w:rPr>
          <w:rFonts w:ascii="Arial Narrow" w:hAnsi="Arial Narrow" w:cs="Arial Narrow"/>
          <w:sz w:val="22"/>
          <w:szCs w:val="24"/>
        </w:rPr>
        <w:t>0</w:t>
      </w:r>
      <w:r w:rsidRPr="0008605E">
        <w:rPr>
          <w:rFonts w:ascii="Arial Narrow" w:hAnsi="Arial Narrow" w:cs="Arial Narrow"/>
          <w:sz w:val="22"/>
          <w:szCs w:val="24"/>
        </w:rPr>
        <w:t xml:space="preserve">1. 2002. Zmluva o poskytnutí návratných finančných prostriedkov medzi Slovenskou republikou v mene ktorej koná Ministerstvo financií SR a mestom Košice bola podpísaná dňa 11. 6. 2002. Cieľom poskytnutia návratnej finančnej výpomoci bolo, aby mesto Košice po nábehu na ozdravný režim bolo pripravené zabezpečovať základné potreby pre chod samosprávy v obmedzenom, ale životaschopnom režime a súčasne si plniť záväzky plynúce z reštrukturalizovaného úverového zaťaženia.  </w:t>
      </w:r>
    </w:p>
    <w:p w:rsidR="00F734B1" w:rsidRPr="00837F70" w:rsidP="00F734B1">
      <w:pPr>
        <w:ind w:right="72"/>
        <w:jc w:val="both"/>
        <w:rPr>
          <w:rFonts w:ascii="Arial Narrow" w:hAnsi="Arial Narrow" w:cs="Arial Narrow"/>
          <w:sz w:val="10"/>
          <w:szCs w:val="24"/>
        </w:rPr>
      </w:pPr>
    </w:p>
    <w:p w:rsidR="00F734B1" w:rsidP="00F734B1">
      <w:pPr>
        <w:numPr>
          <w:numId w:val="12"/>
        </w:numPr>
        <w:ind w:right="72"/>
        <w:jc w:val="both"/>
        <w:rPr>
          <w:rFonts w:ascii="Arial Narrow" w:hAnsi="Arial Narrow" w:cs="Arial Narrow"/>
          <w:sz w:val="22"/>
          <w:szCs w:val="24"/>
        </w:rPr>
      </w:pPr>
      <w:r w:rsidRPr="0008605E">
        <w:rPr>
          <w:rFonts w:ascii="Arial Narrow" w:hAnsi="Arial Narrow" w:cs="Arial Narrow"/>
          <w:sz w:val="22"/>
          <w:szCs w:val="24"/>
        </w:rPr>
        <w:t xml:space="preserve">Mestu Žilina bola  v zmysle uznesenia vlády SR č. 850 zo dňa 26. 10. 2005 poskytnutá návratná finančná výpomoc zo štátnych finančných aktív v sume 17,57 mil. eur na financovanie výstavby obytného súboru Krasňany. </w:t>
      </w:r>
    </w:p>
    <w:p w:rsidR="00F734B1" w:rsidRPr="00837F70" w:rsidP="00F734B1">
      <w:pPr>
        <w:ind w:right="72"/>
        <w:jc w:val="both"/>
        <w:rPr>
          <w:rFonts w:ascii="Arial Narrow" w:hAnsi="Arial Narrow" w:cs="Arial Narrow"/>
          <w:sz w:val="10"/>
          <w:szCs w:val="24"/>
          <w:highlight w:val="yellow"/>
        </w:rPr>
      </w:pPr>
    </w:p>
    <w:p w:rsidR="00F734B1" w:rsidRPr="00DF0A80" w:rsidP="00F734B1">
      <w:pPr>
        <w:numPr>
          <w:numId w:val="12"/>
        </w:numPr>
        <w:ind w:right="72"/>
        <w:jc w:val="both"/>
        <w:rPr>
          <w:rFonts w:ascii="Arial Narrow" w:hAnsi="Arial Narrow" w:cs="Arial Narrow"/>
          <w:sz w:val="22"/>
          <w:szCs w:val="24"/>
        </w:rPr>
      </w:pPr>
      <w:r w:rsidRPr="00DF0A80">
        <w:rPr>
          <w:rFonts w:ascii="Arial Narrow" w:hAnsi="Arial Narrow" w:cs="Arial Narrow"/>
          <w:sz w:val="22"/>
          <w:szCs w:val="24"/>
        </w:rPr>
        <w:t>Vláda SR uznesením č. 94 zo dňa 01. februára 2006 schválila návrh na výstavbu ubytovacích kapací</w:t>
      </w:r>
      <w:r w:rsidR="00171F0A">
        <w:rPr>
          <w:rFonts w:ascii="Arial Narrow" w:hAnsi="Arial Narrow" w:cs="Arial Narrow"/>
          <w:sz w:val="22"/>
          <w:szCs w:val="24"/>
        </w:rPr>
        <w:t>t pre zahraničných investorov</w:t>
      </w:r>
      <w:r w:rsidRPr="00DF0A80">
        <w:rPr>
          <w:rFonts w:ascii="Arial Narrow" w:hAnsi="Arial Narrow" w:cs="Arial Narrow"/>
          <w:sz w:val="22"/>
          <w:szCs w:val="24"/>
        </w:rPr>
        <w:t xml:space="preserve">, v ktorom súhlasila s poskytnutím štátnych finančných aktív v sume 38 704,1 tis. </w:t>
      </w:r>
      <w:r w:rsidR="00301A94">
        <w:rPr>
          <w:rFonts w:ascii="Arial Narrow" w:hAnsi="Arial Narrow" w:cs="Arial Narrow"/>
          <w:sz w:val="22"/>
          <w:szCs w:val="24"/>
        </w:rPr>
        <w:t>eur</w:t>
      </w:r>
      <w:r w:rsidRPr="00DF0A80">
        <w:rPr>
          <w:rFonts w:ascii="Arial Narrow" w:hAnsi="Arial Narrow" w:cs="Arial Narrow"/>
          <w:sz w:val="22"/>
          <w:szCs w:val="24"/>
        </w:rPr>
        <w:t xml:space="preserve"> ako vkladom do základného imania spoločnosti založenej Ministerstvom hospodárstva SR na zabezpečenie výstavby a </w:t>
      </w:r>
      <w:r w:rsidR="003E39F7">
        <w:rPr>
          <w:rFonts w:ascii="Arial Narrow" w:hAnsi="Arial Narrow" w:cs="Arial Narrow"/>
          <w:sz w:val="22"/>
          <w:szCs w:val="24"/>
        </w:rPr>
        <w:t>prevádzky predmetných ubytovacích</w:t>
      </w:r>
      <w:r w:rsidRPr="00DF0A80">
        <w:rPr>
          <w:rFonts w:ascii="Arial Narrow" w:hAnsi="Arial Narrow" w:cs="Arial Narrow"/>
          <w:sz w:val="22"/>
          <w:szCs w:val="24"/>
        </w:rPr>
        <w:t xml:space="preserve"> kapacít. Zahranič</w:t>
      </w:r>
      <w:r w:rsidR="003E39F7">
        <w:rPr>
          <w:rFonts w:ascii="Arial Narrow" w:hAnsi="Arial Narrow" w:cs="Arial Narrow"/>
          <w:sz w:val="22"/>
          <w:szCs w:val="24"/>
        </w:rPr>
        <w:t>n</w:t>
      </w:r>
      <w:r w:rsidRPr="00DF0A80">
        <w:rPr>
          <w:rFonts w:ascii="Arial Narrow" w:hAnsi="Arial Narrow" w:cs="Arial Narrow"/>
          <w:sz w:val="22"/>
          <w:szCs w:val="24"/>
        </w:rPr>
        <w:t xml:space="preserve">í investori  prejavili predbežný záujem o odkúpenie obytného komplexu po uplynutí piatich rokov od nasťahovania ich zamestnancov do vybudovaných kapacít za podmienky, že kúpna cena obytných častí bude znížená o 20 % obstarávacích nákladov. Pri započítaní zníženej hodnoty odpredávaného komplexu akceptáciou predbežne dohodnutých podmienok s investorom by mal štát získať v roku 2011 príjem v sume 31 032,4 tis. </w:t>
      </w:r>
      <w:r w:rsidR="00301A94">
        <w:rPr>
          <w:rFonts w:ascii="Arial Narrow" w:hAnsi="Arial Narrow" w:cs="Arial Narrow"/>
          <w:sz w:val="22"/>
          <w:szCs w:val="24"/>
        </w:rPr>
        <w:t>eur</w:t>
      </w:r>
      <w:r w:rsidRPr="00DF0A80">
        <w:rPr>
          <w:rFonts w:ascii="Arial Narrow" w:hAnsi="Arial Narrow" w:cs="Arial Narrow"/>
          <w:sz w:val="22"/>
          <w:szCs w:val="24"/>
        </w:rPr>
        <w:t xml:space="preserve">. </w:t>
      </w:r>
    </w:p>
    <w:p w:rsidR="00F734B1" w:rsidRPr="00837F70" w:rsidP="00F734B1">
      <w:pPr>
        <w:ind w:right="72"/>
        <w:jc w:val="both"/>
        <w:rPr>
          <w:rFonts w:ascii="Arial Narrow" w:hAnsi="Arial Narrow" w:cs="Arial Narrow"/>
          <w:sz w:val="10"/>
          <w:szCs w:val="24"/>
        </w:rPr>
      </w:pPr>
    </w:p>
    <w:p w:rsidR="00F734B1" w:rsidP="00F734B1">
      <w:pPr>
        <w:numPr>
          <w:numId w:val="12"/>
        </w:numPr>
        <w:ind w:right="72"/>
        <w:jc w:val="both"/>
        <w:rPr>
          <w:rFonts w:ascii="Arial Narrow" w:hAnsi="Arial Narrow" w:cs="Arial Narrow"/>
          <w:sz w:val="22"/>
          <w:szCs w:val="24"/>
        </w:rPr>
      </w:pPr>
      <w:r w:rsidRPr="00F17097">
        <w:rPr>
          <w:rFonts w:ascii="Arial Narrow" w:hAnsi="Arial Narrow" w:cs="Arial Narrow"/>
          <w:sz w:val="22"/>
          <w:szCs w:val="24"/>
        </w:rPr>
        <w:t>V zmysle uznesenia vlády SR č. 229/2007</w:t>
      </w:r>
      <w:r>
        <w:rPr>
          <w:rFonts w:ascii="Arial Narrow" w:hAnsi="Arial Narrow" w:cs="Arial Narrow"/>
          <w:sz w:val="22"/>
          <w:szCs w:val="24"/>
        </w:rPr>
        <w:t xml:space="preserve"> </w:t>
      </w:r>
      <w:r w:rsidRPr="0008605E">
        <w:rPr>
          <w:rFonts w:ascii="Arial Narrow" w:hAnsi="Arial Narrow" w:cs="Arial Narrow"/>
          <w:sz w:val="22"/>
          <w:szCs w:val="24"/>
        </w:rPr>
        <w:t xml:space="preserve"> bola poskytnutá návratná finančná výpomoc pre MH Invest, s. r. o. s predpokladanou návratnosťou k 31. 12. 2011 na výkup pozemkov na zabezpečenie projektu Samsung.</w:t>
      </w:r>
      <w:r>
        <w:rPr>
          <w:rFonts w:ascii="Arial Narrow" w:hAnsi="Arial Narrow" w:cs="Arial Narrow"/>
          <w:sz w:val="22"/>
          <w:szCs w:val="24"/>
        </w:rPr>
        <w:t xml:space="preserve"> </w:t>
      </w:r>
    </w:p>
    <w:p w:rsidR="00F734B1" w:rsidRPr="00837F70" w:rsidP="00F734B1">
      <w:pPr>
        <w:ind w:right="72"/>
        <w:jc w:val="both"/>
        <w:rPr>
          <w:rFonts w:ascii="Arial Narrow" w:hAnsi="Arial Narrow" w:cs="Arial Narrow"/>
          <w:sz w:val="10"/>
          <w:szCs w:val="24"/>
        </w:rPr>
      </w:pPr>
    </w:p>
    <w:p w:rsidR="00F734B1" w:rsidRPr="0008605E" w:rsidP="00F734B1">
      <w:pPr>
        <w:numPr>
          <w:numId w:val="12"/>
        </w:numPr>
        <w:ind w:right="72"/>
        <w:jc w:val="both"/>
        <w:rPr>
          <w:rFonts w:ascii="Arial Narrow" w:hAnsi="Arial Narrow" w:cs="Arial Narrow"/>
          <w:sz w:val="22"/>
          <w:szCs w:val="24"/>
        </w:rPr>
      </w:pPr>
      <w:r w:rsidRPr="003A43C5">
        <w:rPr>
          <w:rFonts w:ascii="Arial Narrow" w:hAnsi="Arial Narrow" w:cs="Arial Narrow"/>
          <w:sz w:val="22"/>
          <w:szCs w:val="24"/>
        </w:rPr>
        <w:t xml:space="preserve">V zmysle uznesenia vlády SR č. 173/2009 bola poskytnutá návratná finančná výpomoc pre Železnice SR a Železničnú spoločnosť Cargo Slovakia, a. s. s cieľom zmierniť dopady globálnej krízy na </w:t>
      </w:r>
      <w:r>
        <w:rPr>
          <w:rFonts w:ascii="Arial Narrow" w:hAnsi="Arial Narrow" w:cs="Arial Narrow"/>
          <w:sz w:val="22"/>
          <w:szCs w:val="24"/>
        </w:rPr>
        <w:t>ich hospodárenie</w:t>
      </w:r>
      <w:r w:rsidRPr="003A43C5">
        <w:rPr>
          <w:rFonts w:ascii="Arial Narrow" w:hAnsi="Arial Narrow" w:cs="Arial Narrow"/>
          <w:sz w:val="22"/>
          <w:szCs w:val="24"/>
        </w:rPr>
        <w:t xml:space="preserve">, a tým zároveň predísť prípadným negatívnym sociálnym dopadom, ktoré by následne mohli vyplynúť z neriešenia tejto situácie. </w:t>
      </w:r>
    </w:p>
    <w:p w:rsidR="00F734B1" w:rsidRPr="003B2DEA" w:rsidP="00F734B1">
      <w:pPr>
        <w:pStyle w:val="Heading2"/>
        <w:rPr>
          <w:rFonts w:ascii="Arial Narrow" w:hAnsi="Arial Narrow" w:cs="Arial Narrow"/>
          <w:i w:val="0"/>
          <w:sz w:val="24"/>
          <w:szCs w:val="24"/>
        </w:rPr>
      </w:pPr>
      <w:bookmarkStart w:id="71" w:name="_Toc143348615"/>
      <w:bookmarkStart w:id="72" w:name="_Toc148255261"/>
      <w:bookmarkStart w:id="73" w:name="_Toc174871978"/>
      <w:bookmarkStart w:id="74" w:name="_Toc206478413"/>
      <w:bookmarkStart w:id="75" w:name="_Toc241846651"/>
      <w:r w:rsidRPr="003B2DEA">
        <w:rPr>
          <w:rFonts w:ascii="Arial Narrow" w:hAnsi="Arial Narrow" w:cs="Arial Narrow"/>
          <w:i w:val="0"/>
          <w:sz w:val="24"/>
          <w:szCs w:val="24"/>
        </w:rPr>
        <w:t>5.2. Výdavkové operácie</w:t>
      </w:r>
      <w:bookmarkEnd w:id="69"/>
      <w:bookmarkEnd w:id="70"/>
      <w:bookmarkEnd w:id="71"/>
      <w:bookmarkEnd w:id="72"/>
      <w:bookmarkEnd w:id="73"/>
      <w:bookmarkEnd w:id="74"/>
      <w:bookmarkEnd w:id="75"/>
    </w:p>
    <w:p w:rsidR="00F734B1" w:rsidRPr="003B2DEA" w:rsidP="00F734B1">
      <w:pPr>
        <w:pStyle w:val="BodyText"/>
        <w:rPr>
          <w:rFonts w:ascii="Arial Narrow" w:hAnsi="Arial Narrow" w:cs="Arial Narrow"/>
          <w:szCs w:val="24"/>
        </w:rPr>
      </w:pPr>
    </w:p>
    <w:p w:rsidR="00F734B1" w:rsidP="00F734B1">
      <w:pPr>
        <w:pStyle w:val="BodyText"/>
        <w:rPr>
          <w:rFonts w:ascii="Arial Narrow" w:hAnsi="Arial Narrow" w:cs="Arial Narrow"/>
          <w:sz w:val="22"/>
          <w:szCs w:val="24"/>
        </w:rPr>
      </w:pPr>
      <w:bookmarkStart w:id="76" w:name="_Toc116476500"/>
      <w:r>
        <w:rPr>
          <w:rFonts w:ascii="Arial Narrow" w:hAnsi="Arial Narrow" w:cs="Arial Narrow"/>
          <w:sz w:val="22"/>
          <w:szCs w:val="24"/>
        </w:rPr>
        <w:t xml:space="preserve">5.2.1.     </w:t>
        <w:tab/>
        <w:t>Príjmy z Fondu národného majetku SR z dividend od spoločností s majetkovou účasťou Fondu národného majetku SR sa v jednotlivých rokoch rozpočtového rámca 2010 až 2012 v rovnakej výške ako vstúpili do príjmov štátnych finančných aktív prevedú do príjmov štátneho rozpočtu. To znamená, že z pohľadu bilancie štátnych finančných aktív je táto operácia neutrálna.</w:t>
      </w:r>
    </w:p>
    <w:p w:rsidR="00F734B1" w:rsidP="00F734B1">
      <w:pPr>
        <w:pStyle w:val="BodyText"/>
        <w:rPr>
          <w:rFonts w:ascii="Arial Narrow" w:hAnsi="Arial Narrow" w:cs="Arial Narrow"/>
          <w:sz w:val="22"/>
          <w:szCs w:val="24"/>
        </w:rPr>
      </w:pPr>
    </w:p>
    <w:p w:rsidR="00F734B1" w:rsidP="00F734B1">
      <w:pPr>
        <w:jc w:val="both"/>
        <w:rPr>
          <w:rFonts w:ascii="Arial Narrow" w:hAnsi="Arial Narrow" w:cs="Arial Narrow"/>
          <w:sz w:val="22"/>
          <w:szCs w:val="24"/>
        </w:rPr>
      </w:pPr>
      <w:r>
        <w:rPr>
          <w:rFonts w:ascii="Arial Narrow" w:hAnsi="Arial Narrow" w:cs="Arial Narrow"/>
          <w:sz w:val="22"/>
          <w:szCs w:val="24"/>
        </w:rPr>
        <w:t>5.2.2.</w:t>
        <w:tab/>
        <w:t>U</w:t>
      </w:r>
      <w:r w:rsidRPr="00B87F6C">
        <w:rPr>
          <w:rFonts w:ascii="Arial Narrow" w:hAnsi="Arial Narrow" w:cs="Arial Narrow"/>
          <w:sz w:val="22"/>
          <w:szCs w:val="24"/>
        </w:rPr>
        <w:t>zneseniami vlády SR č. 446/2002 a 1241/2004 bola pre prostriedky získané z privatizácie 25 % podielu S</w:t>
      </w:r>
      <w:r>
        <w:rPr>
          <w:rFonts w:ascii="Arial Narrow" w:hAnsi="Arial Narrow" w:cs="Arial Narrow"/>
          <w:sz w:val="22"/>
          <w:szCs w:val="24"/>
        </w:rPr>
        <w:t>lovenského plynárenského priemyslu</w:t>
      </w:r>
      <w:r w:rsidRPr="00B87F6C">
        <w:rPr>
          <w:rFonts w:ascii="Arial Narrow" w:hAnsi="Arial Narrow" w:cs="Arial Narrow"/>
          <w:sz w:val="22"/>
          <w:szCs w:val="24"/>
        </w:rPr>
        <w:t>, a. s. stanovená účelovosť ich použitia výlučne na účely dôchodkovej reformy.</w:t>
      </w:r>
      <w:r>
        <w:rPr>
          <w:rFonts w:ascii="Arial Narrow" w:hAnsi="Arial Narrow" w:cs="Arial Narrow"/>
          <w:sz w:val="22"/>
          <w:szCs w:val="24"/>
        </w:rPr>
        <w:t xml:space="preserve"> Uvedená účelovosť týchto prostriedkov je zakotvená aj v </w:t>
      </w:r>
      <w:r w:rsidRPr="00B87F6C">
        <w:rPr>
          <w:rFonts w:ascii="Arial Narrow" w:hAnsi="Arial Narrow" w:cs="Arial Narrow"/>
          <w:sz w:val="22"/>
          <w:szCs w:val="24"/>
        </w:rPr>
        <w:t xml:space="preserve">§ 293 zákona č. 461/2003 </w:t>
      </w:r>
      <w:r>
        <w:rPr>
          <w:rFonts w:ascii="Arial Narrow" w:hAnsi="Arial Narrow" w:cs="Arial Narrow"/>
          <w:sz w:val="22"/>
          <w:szCs w:val="24"/>
        </w:rPr>
        <w:t xml:space="preserve">Z. z. </w:t>
      </w:r>
      <w:r w:rsidRPr="00B87F6C">
        <w:rPr>
          <w:rFonts w:ascii="Arial Narrow" w:hAnsi="Arial Narrow" w:cs="Arial Narrow"/>
          <w:sz w:val="22"/>
          <w:szCs w:val="24"/>
        </w:rPr>
        <w:t>o sociálnom poistení</w:t>
      </w:r>
      <w:r>
        <w:rPr>
          <w:rFonts w:ascii="Arial Narrow" w:hAnsi="Arial Narrow" w:cs="Arial Narrow"/>
          <w:sz w:val="22"/>
          <w:szCs w:val="24"/>
        </w:rPr>
        <w:t xml:space="preserve">. V tejto súvislosti najvýznamnejším výdavkovým titulom štátnych finančných aktív bude prevod finančných prostriedkov zo štátnych finančných aktív do Sociálnej poisťovne, ktorý slúži na krytie výpadku jej príjmov z dôvodu zavedenia II. piliera dôchodkového sporenia. </w:t>
      </w:r>
    </w:p>
    <w:p w:rsidR="00F734B1" w:rsidP="00F734B1">
      <w:pPr>
        <w:pStyle w:val="BodyText"/>
        <w:ind w:firstLine="709"/>
        <w:rPr>
          <w:rFonts w:ascii="Arial Narrow" w:hAnsi="Arial Narrow" w:cs="Arial Narrow"/>
          <w:sz w:val="22"/>
          <w:szCs w:val="24"/>
        </w:rPr>
      </w:pPr>
    </w:p>
    <w:p w:rsidR="00F734B1" w:rsidP="00F734B1">
      <w:pPr>
        <w:pStyle w:val="BodyText"/>
        <w:ind w:firstLine="709"/>
        <w:rPr>
          <w:rFonts w:ascii="Arial Narrow" w:hAnsi="Arial Narrow" w:cs="Arial Narrow"/>
          <w:sz w:val="22"/>
          <w:szCs w:val="24"/>
        </w:rPr>
      </w:pPr>
      <w:r>
        <w:rPr>
          <w:rFonts w:ascii="Arial Narrow" w:hAnsi="Arial Narrow" w:cs="Arial Narrow"/>
          <w:sz w:val="22"/>
          <w:szCs w:val="24"/>
        </w:rPr>
        <w:t xml:space="preserve">Vývoj čerpania </w:t>
      </w:r>
      <w:r w:rsidRPr="006B3C13">
        <w:rPr>
          <w:rFonts w:ascii="Arial Narrow" w:hAnsi="Arial Narrow" w:cs="Arial Narrow"/>
          <w:sz w:val="22"/>
          <w:szCs w:val="24"/>
        </w:rPr>
        <w:t>prostriedkov určených na financovanie transformačný</w:t>
      </w:r>
      <w:r>
        <w:rPr>
          <w:rFonts w:ascii="Arial Narrow" w:hAnsi="Arial Narrow" w:cs="Arial Narrow"/>
          <w:sz w:val="22"/>
          <w:szCs w:val="24"/>
        </w:rPr>
        <w:t>ch nákladov dôchodkovej reformy zobrazuje nasledovný prehľad. Vzhľadom na ukončenie úročenia termínovaných účtov dôchodkovej reformy sú údaje na hotovostnom princípe identické s údajmi na akruálnom princípe.</w:t>
      </w: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3D2F51" w:rsidP="00F734B1">
      <w:pPr>
        <w:pStyle w:val="BodyText"/>
        <w:ind w:firstLine="709"/>
        <w:rPr>
          <w:rFonts w:ascii="Arial Narrow" w:hAnsi="Arial Narrow" w:cs="Arial Narrow"/>
          <w:sz w:val="22"/>
          <w:szCs w:val="24"/>
        </w:rPr>
      </w:pPr>
    </w:p>
    <w:p w:rsidR="00F734B1" w:rsidRPr="00014B3C" w:rsidP="00F734B1">
      <w:pPr>
        <w:pStyle w:val="BodyText"/>
        <w:rPr>
          <w:rFonts w:ascii="Arial Narrow" w:hAnsi="Arial Narrow" w:cs="Arial Narrow"/>
          <w:sz w:val="10"/>
          <w:szCs w:val="24"/>
          <w:highlight w:val="yellow"/>
        </w:rPr>
      </w:pPr>
    </w:p>
    <w:tbl>
      <w:tblPr>
        <w:tblStyle w:val="TableNormal"/>
        <w:tblW w:w="10300" w:type="dxa"/>
        <w:jc w:val="center"/>
        <w:tblInd w:w="0" w:type="dxa"/>
        <w:tblCellMar>
          <w:left w:w="70" w:type="dxa"/>
          <w:right w:w="70" w:type="dxa"/>
        </w:tblCellMar>
      </w:tblPr>
      <w:tblGrid>
        <w:gridCol w:w="3860"/>
        <w:gridCol w:w="920"/>
        <w:gridCol w:w="920"/>
        <w:gridCol w:w="920"/>
        <w:gridCol w:w="920"/>
        <w:gridCol w:w="952"/>
        <w:gridCol w:w="920"/>
        <w:gridCol w:w="920"/>
      </w:tblGrid>
      <w:tr>
        <w:tblPrEx>
          <w:tblW w:w="10300" w:type="dxa"/>
          <w:jc w:val="center"/>
          <w:tblInd w:w="0" w:type="dxa"/>
          <w:tblCellMar>
            <w:left w:w="70" w:type="dxa"/>
            <w:right w:w="70" w:type="dxa"/>
          </w:tblCellMar>
        </w:tblPrEx>
        <w:trPr>
          <w:trHeight w:val="540"/>
          <w:jc w:val="center"/>
        </w:trPr>
        <w:tc>
          <w:tcPr>
            <w:tcW w:w="3860" w:type="dxa"/>
            <w:tcBorders>
              <w:top w:val="single" w:sz="8" w:space="0" w:color="auto"/>
              <w:left w:val="single" w:sz="8" w:space="0" w:color="auto"/>
              <w:bottom w:val="nil"/>
              <w:right w:val="nil"/>
            </w:tcBorders>
            <w:shd w:val="clear" w:color="auto" w:fill="333333"/>
            <w:textDirection w:val="lrTb"/>
            <w:vAlign w:val="center"/>
          </w:tcPr>
          <w:p w:rsidR="00F734B1" w:rsidRPr="003F081B" w:rsidP="009324C7">
            <w:pP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Hotovostný princíp</w:t>
              <w:br/>
            </w:r>
            <w:r w:rsidRPr="003F081B">
              <w:rPr>
                <w:rFonts w:ascii="Arial Narrow" w:hAnsi="Arial Narrow" w:cs="Arial Narrow"/>
                <w:color w:val="FFFFFF"/>
                <w:sz w:val="16"/>
                <w:szCs w:val="24"/>
                <w:lang w:eastAsia="sk-SK"/>
              </w:rPr>
              <w:t>(v tis. eur)</w:t>
            </w:r>
          </w:p>
        </w:tc>
        <w:tc>
          <w:tcPr>
            <w:tcW w:w="3680" w:type="dxa"/>
            <w:gridSpan w:val="4"/>
            <w:tcBorders>
              <w:top w:val="single" w:sz="8" w:space="0" w:color="auto"/>
              <w:left w:val="single" w:sz="8" w:space="0" w:color="auto"/>
              <w:bottom w:val="single" w:sz="4" w:space="0" w:color="auto"/>
              <w:right w:val="single" w:sz="8" w:space="0" w:color="000000"/>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Skutočnosť</w:t>
            </w:r>
          </w:p>
        </w:tc>
        <w:tc>
          <w:tcPr>
            <w:tcW w:w="920" w:type="dxa"/>
            <w:tcBorders>
              <w:top w:val="single" w:sz="8" w:space="0" w:color="auto"/>
              <w:left w:val="nil"/>
              <w:bottom w:val="single" w:sz="4" w:space="0" w:color="auto"/>
              <w:right w:val="single" w:sz="8" w:space="0" w:color="auto"/>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Schválený rozpočet</w:t>
            </w:r>
          </w:p>
        </w:tc>
        <w:tc>
          <w:tcPr>
            <w:tcW w:w="920" w:type="dxa"/>
            <w:tcBorders>
              <w:top w:val="single" w:sz="8" w:space="0" w:color="auto"/>
              <w:left w:val="nil"/>
              <w:bottom w:val="single" w:sz="4" w:space="0" w:color="auto"/>
              <w:right w:val="single" w:sz="8" w:space="0" w:color="auto"/>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Upravený rozpočet</w:t>
            </w:r>
          </w:p>
        </w:tc>
        <w:tc>
          <w:tcPr>
            <w:tcW w:w="920" w:type="dxa"/>
            <w:tcBorders>
              <w:top w:val="single" w:sz="8" w:space="0" w:color="auto"/>
              <w:left w:val="nil"/>
              <w:bottom w:val="single" w:sz="4" w:space="0" w:color="auto"/>
              <w:right w:val="single" w:sz="8" w:space="0" w:color="auto"/>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Návrh rozpočtu</w:t>
            </w:r>
          </w:p>
        </w:tc>
      </w:tr>
      <w:tr>
        <w:tblPrEx>
          <w:tblW w:w="10300" w:type="dxa"/>
          <w:jc w:val="center"/>
          <w:tblInd w:w="0" w:type="dxa"/>
          <w:tblCellMar>
            <w:left w:w="70" w:type="dxa"/>
            <w:right w:w="70" w:type="dxa"/>
          </w:tblCellMar>
        </w:tblPrEx>
        <w:trPr>
          <w:trHeight w:val="360"/>
          <w:jc w:val="center"/>
        </w:trPr>
        <w:tc>
          <w:tcPr>
            <w:tcW w:w="3860" w:type="dxa"/>
            <w:tcBorders>
              <w:top w:val="single" w:sz="4" w:space="0" w:color="auto"/>
              <w:left w:val="single" w:sz="8" w:space="0" w:color="auto"/>
              <w:bottom w:val="single" w:sz="8" w:space="0" w:color="auto"/>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 </w:t>
            </w:r>
          </w:p>
        </w:tc>
        <w:tc>
          <w:tcPr>
            <w:tcW w:w="920" w:type="dxa"/>
            <w:tcBorders>
              <w:top w:val="nil"/>
              <w:left w:val="single" w:sz="8" w:space="0" w:color="auto"/>
              <w:bottom w:val="single" w:sz="8" w:space="0" w:color="auto"/>
              <w:right w:val="single" w:sz="4" w:space="0" w:color="auto"/>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2005</w:t>
            </w:r>
          </w:p>
        </w:tc>
        <w:tc>
          <w:tcPr>
            <w:tcW w:w="920" w:type="dxa"/>
            <w:tcBorders>
              <w:top w:val="nil"/>
              <w:left w:val="nil"/>
              <w:bottom w:val="single" w:sz="8" w:space="0" w:color="auto"/>
              <w:right w:val="single" w:sz="4" w:space="0" w:color="auto"/>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2006</w:t>
            </w:r>
          </w:p>
        </w:tc>
        <w:tc>
          <w:tcPr>
            <w:tcW w:w="920" w:type="dxa"/>
            <w:tcBorders>
              <w:top w:val="nil"/>
              <w:left w:val="nil"/>
              <w:bottom w:val="single" w:sz="8" w:space="0" w:color="auto"/>
              <w:right w:val="single" w:sz="4" w:space="0" w:color="auto"/>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2007</w:t>
            </w:r>
          </w:p>
        </w:tc>
        <w:tc>
          <w:tcPr>
            <w:tcW w:w="920" w:type="dxa"/>
            <w:tcBorders>
              <w:top w:val="nil"/>
              <w:left w:val="nil"/>
              <w:bottom w:val="single" w:sz="8" w:space="0" w:color="auto"/>
              <w:right w:val="single" w:sz="8" w:space="0" w:color="auto"/>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2008</w:t>
            </w:r>
          </w:p>
        </w:tc>
        <w:tc>
          <w:tcPr>
            <w:tcW w:w="1840" w:type="dxa"/>
            <w:gridSpan w:val="2"/>
            <w:tcBorders>
              <w:top w:val="single" w:sz="4" w:space="0" w:color="auto"/>
              <w:left w:val="nil"/>
              <w:bottom w:val="single" w:sz="8" w:space="0" w:color="auto"/>
              <w:right w:val="single" w:sz="8" w:space="0" w:color="000000"/>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2009</w:t>
            </w:r>
          </w:p>
        </w:tc>
        <w:tc>
          <w:tcPr>
            <w:tcW w:w="920" w:type="dxa"/>
            <w:tcBorders>
              <w:top w:val="nil"/>
              <w:left w:val="nil"/>
              <w:bottom w:val="single" w:sz="8" w:space="0" w:color="auto"/>
              <w:right w:val="single" w:sz="8" w:space="0" w:color="auto"/>
            </w:tcBorders>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2010</w:t>
            </w:r>
          </w:p>
        </w:tc>
      </w:tr>
      <w:tr>
        <w:tblPrEx>
          <w:tblW w:w="10300" w:type="dxa"/>
          <w:jc w:val="center"/>
          <w:tblInd w:w="0" w:type="dxa"/>
          <w:tblCellMar>
            <w:left w:w="70" w:type="dxa"/>
            <w:right w:w="70" w:type="dxa"/>
          </w:tblCellMar>
        </w:tblPrEx>
        <w:trPr>
          <w:trHeight w:val="420"/>
          <w:jc w:val="center"/>
        </w:trPr>
        <w:tc>
          <w:tcPr>
            <w:tcW w:w="3860" w:type="dxa"/>
            <w:tcBorders>
              <w:top w:val="nil"/>
              <w:left w:val="single" w:sz="8" w:space="0" w:color="auto"/>
              <w:bottom w:val="single" w:sz="8" w:space="0" w:color="auto"/>
              <w:right w:val="nil"/>
            </w:tcBorders>
            <w:shd w:val="clear" w:color="auto" w:fill="C0C0C0"/>
            <w:noWrap/>
            <w:textDirection w:val="lrTb"/>
            <w:vAlign w:val="center"/>
          </w:tcPr>
          <w:p w:rsidR="00F734B1" w:rsidRPr="003F081B" w:rsidP="009324C7">
            <w:pPr>
              <w:jc w:val="both"/>
              <w:rPr>
                <w:rFonts w:ascii="Arial Narrow" w:hAnsi="Arial Narrow" w:cs="Arial Narrow"/>
                <w:b/>
                <w:sz w:val="20"/>
                <w:szCs w:val="24"/>
                <w:lang w:eastAsia="sk-SK"/>
              </w:rPr>
            </w:pPr>
            <w:r w:rsidRPr="003F081B">
              <w:rPr>
                <w:rFonts w:ascii="Arial Narrow" w:hAnsi="Arial Narrow" w:cs="Arial Narrow"/>
                <w:b/>
                <w:sz w:val="20"/>
                <w:szCs w:val="24"/>
                <w:lang w:eastAsia="sk-SK"/>
              </w:rPr>
              <w:t>Stavy účtov k 1. 1. daného roka</w:t>
            </w:r>
          </w:p>
        </w:tc>
        <w:tc>
          <w:tcPr>
            <w:tcW w:w="920" w:type="dxa"/>
            <w:tcBorders>
              <w:top w:val="nil"/>
              <w:left w:val="single" w:sz="8" w:space="0" w:color="auto"/>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2 327 199</w:t>
            </w:r>
          </w:p>
        </w:tc>
        <w:tc>
          <w:tcPr>
            <w:tcW w:w="920" w:type="dxa"/>
            <w:tcBorders>
              <w:top w:val="nil"/>
              <w:left w:val="nil"/>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2 330 522</w:t>
            </w:r>
          </w:p>
        </w:tc>
        <w:tc>
          <w:tcPr>
            <w:tcW w:w="920" w:type="dxa"/>
            <w:tcBorders>
              <w:top w:val="nil"/>
              <w:left w:val="nil"/>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1 847 043</w:t>
            </w:r>
          </w:p>
        </w:tc>
        <w:tc>
          <w:tcPr>
            <w:tcW w:w="920" w:type="dxa"/>
            <w:tcBorders>
              <w:top w:val="nil"/>
              <w:left w:val="nil"/>
              <w:bottom w:val="single" w:sz="8"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1 518 423</w:t>
            </w:r>
          </w:p>
        </w:tc>
        <w:tc>
          <w:tcPr>
            <w:tcW w:w="920" w:type="dxa"/>
            <w:tcBorders>
              <w:top w:val="nil"/>
              <w:left w:val="nil"/>
              <w:bottom w:val="single" w:sz="8" w:space="0" w:color="auto"/>
              <w:right w:val="single" w:sz="4" w:space="0" w:color="auto"/>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950 807</w:t>
            </w:r>
          </w:p>
        </w:tc>
        <w:tc>
          <w:tcPr>
            <w:tcW w:w="920" w:type="dxa"/>
            <w:tcBorders>
              <w:top w:val="nil"/>
              <w:left w:val="nil"/>
              <w:bottom w:val="single" w:sz="8" w:space="0" w:color="auto"/>
              <w:right w:val="single" w:sz="8" w:space="0" w:color="auto"/>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950 807</w:t>
            </w:r>
          </w:p>
        </w:tc>
        <w:tc>
          <w:tcPr>
            <w:tcW w:w="920" w:type="dxa"/>
            <w:tcBorders>
              <w:top w:val="nil"/>
              <w:left w:val="nil"/>
              <w:bottom w:val="single" w:sz="8"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75 507</w:t>
            </w:r>
          </w:p>
        </w:tc>
      </w:tr>
      <w:tr>
        <w:tblPrEx>
          <w:tblW w:w="10300" w:type="dxa"/>
          <w:jc w:val="center"/>
          <w:tblInd w:w="0" w:type="dxa"/>
          <w:tblCellMar>
            <w:left w:w="70" w:type="dxa"/>
            <w:right w:w="70" w:type="dxa"/>
          </w:tblCellMar>
        </w:tblPrEx>
        <w:trPr>
          <w:trHeight w:val="360"/>
          <w:jc w:val="center"/>
        </w:trPr>
        <w:tc>
          <w:tcPr>
            <w:tcW w:w="3860" w:type="dxa"/>
            <w:tcBorders>
              <w:top w:val="nil"/>
              <w:left w:val="single" w:sz="8" w:space="0" w:color="auto"/>
              <w:bottom w:val="single" w:sz="4" w:space="0" w:color="auto"/>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Hrubý úrok</w:t>
            </w:r>
          </w:p>
        </w:tc>
        <w:tc>
          <w:tcPr>
            <w:tcW w:w="920" w:type="dxa"/>
            <w:tcBorders>
              <w:top w:val="nil"/>
              <w:left w:val="single" w:sz="8" w:space="0" w:color="auto"/>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4 103</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147 683</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r>
      <w:tr>
        <w:tblPrEx>
          <w:tblW w:w="10300" w:type="dxa"/>
          <w:jc w:val="center"/>
          <w:tblInd w:w="0" w:type="dxa"/>
          <w:tblCellMar>
            <w:left w:w="70" w:type="dxa"/>
            <w:right w:w="70" w:type="dxa"/>
          </w:tblCellMar>
        </w:tblPrEx>
        <w:trPr>
          <w:trHeight w:val="360"/>
          <w:jc w:val="center"/>
        </w:trPr>
        <w:tc>
          <w:tcPr>
            <w:tcW w:w="3860" w:type="dxa"/>
            <w:tcBorders>
              <w:top w:val="nil"/>
              <w:left w:val="single" w:sz="8" w:space="0" w:color="auto"/>
              <w:bottom w:val="single" w:sz="4" w:space="0" w:color="auto"/>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Zrážková daň (19 %)</w:t>
            </w:r>
          </w:p>
        </w:tc>
        <w:tc>
          <w:tcPr>
            <w:tcW w:w="920" w:type="dxa"/>
            <w:tcBorders>
              <w:top w:val="nil"/>
              <w:left w:val="single" w:sz="8" w:space="0" w:color="auto"/>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780</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28 059</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r>
      <w:tr>
        <w:tblPrEx>
          <w:tblW w:w="10300" w:type="dxa"/>
          <w:jc w:val="center"/>
          <w:tblInd w:w="0" w:type="dxa"/>
          <w:tblCellMar>
            <w:left w:w="70" w:type="dxa"/>
            <w:right w:w="70" w:type="dxa"/>
          </w:tblCellMar>
        </w:tblPrEx>
        <w:trPr>
          <w:trHeight w:val="360"/>
          <w:jc w:val="center"/>
        </w:trPr>
        <w:tc>
          <w:tcPr>
            <w:tcW w:w="3860" w:type="dxa"/>
            <w:tcBorders>
              <w:top w:val="nil"/>
              <w:left w:val="single" w:sz="8" w:space="0" w:color="auto"/>
              <w:bottom w:val="single" w:sz="4" w:space="0" w:color="auto"/>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Čistý úrok</w:t>
            </w:r>
          </w:p>
        </w:tc>
        <w:tc>
          <w:tcPr>
            <w:tcW w:w="920" w:type="dxa"/>
            <w:tcBorders>
              <w:top w:val="nil"/>
              <w:left w:val="single" w:sz="8" w:space="0" w:color="auto"/>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3 323</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119 624</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single" w:sz="4"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r>
      <w:tr>
        <w:tblPrEx>
          <w:tblW w:w="10300" w:type="dxa"/>
          <w:jc w:val="center"/>
          <w:tblInd w:w="0" w:type="dxa"/>
          <w:tblCellMar>
            <w:left w:w="70" w:type="dxa"/>
            <w:right w:w="70" w:type="dxa"/>
          </w:tblCellMar>
        </w:tblPrEx>
        <w:trPr>
          <w:trHeight w:val="360"/>
          <w:jc w:val="center"/>
        </w:trPr>
        <w:tc>
          <w:tcPr>
            <w:tcW w:w="3860" w:type="dxa"/>
            <w:tcBorders>
              <w:top w:val="nil"/>
              <w:left w:val="single" w:sz="8" w:space="0" w:color="auto"/>
              <w:bottom w:val="single" w:sz="4" w:space="0" w:color="auto"/>
              <w:right w:val="nil"/>
            </w:tcBorders>
            <w:shd w:val="clear" w:color="auto" w:fill="C0C0C0"/>
            <w:noWrap/>
            <w:textDirection w:val="lrTb"/>
            <w:vAlign w:val="center"/>
          </w:tcPr>
          <w:p w:rsidR="00F734B1" w:rsidRPr="003F081B" w:rsidP="009324C7">
            <w:pPr>
              <w:jc w:val="both"/>
              <w:rPr>
                <w:rFonts w:ascii="Arial Narrow" w:hAnsi="Arial Narrow" w:cs="Arial Narrow"/>
                <w:b/>
                <w:sz w:val="20"/>
                <w:szCs w:val="24"/>
                <w:lang w:eastAsia="sk-SK"/>
              </w:rPr>
            </w:pPr>
            <w:r w:rsidRPr="003F081B">
              <w:rPr>
                <w:rFonts w:ascii="Arial Narrow" w:hAnsi="Arial Narrow" w:cs="Arial Narrow"/>
                <w:b/>
                <w:sz w:val="20"/>
                <w:szCs w:val="24"/>
                <w:lang w:eastAsia="sk-SK"/>
              </w:rPr>
              <w:t>Plánované čerpanie prostriedkov z účtu</w:t>
            </w:r>
          </w:p>
        </w:tc>
        <w:tc>
          <w:tcPr>
            <w:tcW w:w="920" w:type="dxa"/>
            <w:tcBorders>
              <w:top w:val="nil"/>
              <w:left w:val="single" w:sz="8" w:space="0" w:color="auto"/>
              <w:bottom w:val="single" w:sz="4"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0</w:t>
            </w:r>
          </w:p>
        </w:tc>
        <w:tc>
          <w:tcPr>
            <w:tcW w:w="920" w:type="dxa"/>
            <w:tcBorders>
              <w:top w:val="nil"/>
              <w:left w:val="nil"/>
              <w:bottom w:val="single" w:sz="4"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-637 323</w:t>
            </w:r>
          </w:p>
        </w:tc>
        <w:tc>
          <w:tcPr>
            <w:tcW w:w="920" w:type="dxa"/>
            <w:tcBorders>
              <w:top w:val="nil"/>
              <w:left w:val="nil"/>
              <w:bottom w:val="single" w:sz="4"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-670 517</w:t>
            </w:r>
          </w:p>
        </w:tc>
        <w:tc>
          <w:tcPr>
            <w:tcW w:w="920" w:type="dxa"/>
            <w:tcBorders>
              <w:top w:val="nil"/>
              <w:left w:val="nil"/>
              <w:bottom w:val="single" w:sz="4"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-567 616</w:t>
            </w:r>
          </w:p>
        </w:tc>
        <w:tc>
          <w:tcPr>
            <w:tcW w:w="920" w:type="dxa"/>
            <w:tcBorders>
              <w:top w:val="nil"/>
              <w:left w:val="nil"/>
              <w:bottom w:val="single" w:sz="4"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-504 548</w:t>
            </w:r>
          </w:p>
        </w:tc>
        <w:tc>
          <w:tcPr>
            <w:tcW w:w="920" w:type="dxa"/>
            <w:tcBorders>
              <w:top w:val="nil"/>
              <w:left w:val="nil"/>
              <w:bottom w:val="single" w:sz="4"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-875 300</w:t>
            </w:r>
          </w:p>
        </w:tc>
        <w:tc>
          <w:tcPr>
            <w:tcW w:w="920" w:type="dxa"/>
            <w:tcBorders>
              <w:top w:val="nil"/>
              <w:left w:val="nil"/>
              <w:bottom w:val="single" w:sz="4"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-75 507</w:t>
            </w:r>
          </w:p>
        </w:tc>
      </w:tr>
      <w:tr>
        <w:tblPrEx>
          <w:tblW w:w="10300" w:type="dxa"/>
          <w:jc w:val="center"/>
          <w:tblInd w:w="0" w:type="dxa"/>
          <w:tblCellMar>
            <w:left w:w="70" w:type="dxa"/>
            <w:right w:w="70" w:type="dxa"/>
          </w:tblCellMar>
        </w:tblPrEx>
        <w:trPr>
          <w:trHeight w:val="360"/>
          <w:jc w:val="center"/>
        </w:trPr>
        <w:tc>
          <w:tcPr>
            <w:tcW w:w="3860" w:type="dxa"/>
            <w:tcBorders>
              <w:top w:val="nil"/>
              <w:left w:val="single" w:sz="8" w:space="0" w:color="auto"/>
              <w:bottom w:val="nil"/>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Prijatý transfér na dôchodkovú reformu - vklad</w:t>
            </w:r>
          </w:p>
        </w:tc>
        <w:tc>
          <w:tcPr>
            <w:tcW w:w="920" w:type="dxa"/>
            <w:tcBorders>
              <w:top w:val="nil"/>
              <w:left w:val="single" w:sz="8" w:space="0" w:color="auto"/>
              <w:bottom w:val="nil"/>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nil"/>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34 220</w:t>
            </w:r>
          </w:p>
        </w:tc>
        <w:tc>
          <w:tcPr>
            <w:tcW w:w="920" w:type="dxa"/>
            <w:tcBorders>
              <w:top w:val="nil"/>
              <w:left w:val="nil"/>
              <w:bottom w:val="nil"/>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341 897</w:t>
            </w:r>
          </w:p>
        </w:tc>
        <w:tc>
          <w:tcPr>
            <w:tcW w:w="920" w:type="dxa"/>
            <w:tcBorders>
              <w:top w:val="nil"/>
              <w:left w:val="nil"/>
              <w:bottom w:val="nil"/>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nil"/>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nil"/>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c>
          <w:tcPr>
            <w:tcW w:w="920" w:type="dxa"/>
            <w:tcBorders>
              <w:top w:val="nil"/>
              <w:left w:val="nil"/>
              <w:bottom w:val="nil"/>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w:t>
            </w:r>
          </w:p>
        </w:tc>
      </w:tr>
      <w:tr>
        <w:tblPrEx>
          <w:tblW w:w="10300" w:type="dxa"/>
          <w:jc w:val="center"/>
          <w:tblInd w:w="0" w:type="dxa"/>
          <w:tblCellMar>
            <w:left w:w="70" w:type="dxa"/>
            <w:right w:w="70" w:type="dxa"/>
          </w:tblCellMar>
        </w:tblPrEx>
        <w:trPr>
          <w:trHeight w:val="420"/>
          <w:jc w:val="center"/>
        </w:trPr>
        <w:tc>
          <w:tcPr>
            <w:tcW w:w="3860" w:type="dxa"/>
            <w:tcBorders>
              <w:top w:val="single" w:sz="8" w:space="0" w:color="auto"/>
              <w:left w:val="single" w:sz="8" w:space="0" w:color="auto"/>
              <w:bottom w:val="single" w:sz="8" w:space="0" w:color="auto"/>
              <w:right w:val="nil"/>
            </w:tcBorders>
            <w:shd w:val="clear" w:color="auto" w:fill="C0C0C0"/>
            <w:noWrap/>
            <w:textDirection w:val="lrTb"/>
            <w:vAlign w:val="center"/>
          </w:tcPr>
          <w:p w:rsidR="00F734B1" w:rsidRPr="003F081B" w:rsidP="009324C7">
            <w:pPr>
              <w:jc w:val="both"/>
              <w:rPr>
                <w:rFonts w:ascii="Arial Narrow" w:hAnsi="Arial Narrow" w:cs="Arial Narrow"/>
                <w:b/>
                <w:sz w:val="20"/>
                <w:szCs w:val="24"/>
                <w:lang w:eastAsia="sk-SK"/>
              </w:rPr>
            </w:pPr>
            <w:r w:rsidRPr="003F081B">
              <w:rPr>
                <w:rFonts w:ascii="Arial Narrow" w:hAnsi="Arial Narrow" w:cs="Arial Narrow"/>
                <w:b/>
                <w:sz w:val="20"/>
                <w:szCs w:val="24"/>
                <w:lang w:eastAsia="sk-SK"/>
              </w:rPr>
              <w:t>Stavy účtov k 31. 12. daného roka</w:t>
            </w:r>
          </w:p>
        </w:tc>
        <w:tc>
          <w:tcPr>
            <w:tcW w:w="92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2 330 522</w:t>
            </w:r>
          </w:p>
        </w:tc>
        <w:tc>
          <w:tcPr>
            <w:tcW w:w="9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1 847 043</w:t>
            </w:r>
          </w:p>
        </w:tc>
        <w:tc>
          <w:tcPr>
            <w:tcW w:w="9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1 518 423</w:t>
            </w:r>
          </w:p>
        </w:tc>
        <w:tc>
          <w:tcPr>
            <w:tcW w:w="9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950 807</w:t>
            </w:r>
          </w:p>
        </w:tc>
        <w:tc>
          <w:tcPr>
            <w:tcW w:w="9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446 259</w:t>
            </w:r>
          </w:p>
        </w:tc>
        <w:tc>
          <w:tcPr>
            <w:tcW w:w="9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75 507</w:t>
            </w:r>
          </w:p>
        </w:tc>
        <w:tc>
          <w:tcPr>
            <w:tcW w:w="9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3F081B" w:rsidP="009324C7">
            <w:pPr>
              <w:jc w:val="right"/>
              <w:rPr>
                <w:rFonts w:ascii="Arial Narrow" w:hAnsi="Arial Narrow" w:cs="Arial Narrow"/>
                <w:b/>
                <w:sz w:val="20"/>
                <w:szCs w:val="24"/>
                <w:lang w:eastAsia="sk-SK"/>
              </w:rPr>
            </w:pPr>
            <w:r w:rsidRPr="003F081B">
              <w:rPr>
                <w:rFonts w:ascii="Arial Narrow" w:hAnsi="Arial Narrow" w:cs="Arial Narrow"/>
                <w:b/>
                <w:sz w:val="20"/>
                <w:szCs w:val="24"/>
                <w:lang w:eastAsia="sk-SK"/>
              </w:rPr>
              <w:t>0</w:t>
            </w:r>
          </w:p>
        </w:tc>
      </w:tr>
      <w:tr>
        <w:tblPrEx>
          <w:tblW w:w="10300" w:type="dxa"/>
          <w:jc w:val="center"/>
          <w:tblInd w:w="0" w:type="dxa"/>
          <w:tblCellMar>
            <w:left w:w="70" w:type="dxa"/>
            <w:right w:w="70" w:type="dxa"/>
          </w:tblCellMar>
        </w:tblPrEx>
        <w:trPr>
          <w:trHeight w:val="300"/>
          <w:jc w:val="center"/>
        </w:trPr>
        <w:tc>
          <w:tcPr>
            <w:tcW w:w="3860" w:type="dxa"/>
            <w:tcBorders>
              <w:top w:val="nil"/>
              <w:left w:val="single" w:sz="8" w:space="0" w:color="auto"/>
              <w:bottom w:val="single" w:sz="8" w:space="0" w:color="auto"/>
              <w:right w:val="nil"/>
            </w:tcBorders>
            <w:noWrap/>
            <w:textDirection w:val="lrTb"/>
            <w:vAlign w:val="center"/>
          </w:tcPr>
          <w:p w:rsidR="00F734B1" w:rsidRPr="003F081B" w:rsidP="009324C7">
            <w:pPr>
              <w:jc w:val="both"/>
              <w:rPr>
                <w:rFonts w:ascii="Arial Narrow" w:hAnsi="Arial Narrow" w:cs="Arial Narrow"/>
                <w:sz w:val="20"/>
                <w:szCs w:val="24"/>
                <w:lang w:eastAsia="sk-SK"/>
              </w:rPr>
            </w:pPr>
            <w:r w:rsidRPr="003F081B">
              <w:rPr>
                <w:rFonts w:ascii="Arial Narrow" w:hAnsi="Arial Narrow" w:cs="Arial Narrow"/>
                <w:sz w:val="20"/>
                <w:szCs w:val="24"/>
                <w:lang w:eastAsia="sk-SK"/>
              </w:rPr>
              <w:t>priemerná úroková sadzba v %</w:t>
            </w:r>
          </w:p>
        </w:tc>
        <w:tc>
          <w:tcPr>
            <w:tcW w:w="920" w:type="dxa"/>
            <w:tcBorders>
              <w:top w:val="nil"/>
              <w:left w:val="single" w:sz="8" w:space="0" w:color="auto"/>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3,3</w:t>
            </w:r>
          </w:p>
        </w:tc>
        <w:tc>
          <w:tcPr>
            <w:tcW w:w="920" w:type="dxa"/>
            <w:tcBorders>
              <w:top w:val="nil"/>
              <w:left w:val="nil"/>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3,3</w:t>
            </w:r>
          </w:p>
        </w:tc>
        <w:tc>
          <w:tcPr>
            <w:tcW w:w="920" w:type="dxa"/>
            <w:tcBorders>
              <w:top w:val="nil"/>
              <w:left w:val="nil"/>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0,0</w:t>
            </w:r>
          </w:p>
        </w:tc>
        <w:tc>
          <w:tcPr>
            <w:tcW w:w="920" w:type="dxa"/>
            <w:tcBorders>
              <w:top w:val="nil"/>
              <w:left w:val="nil"/>
              <w:bottom w:val="single" w:sz="8"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0,0</w:t>
            </w:r>
          </w:p>
        </w:tc>
        <w:tc>
          <w:tcPr>
            <w:tcW w:w="920" w:type="dxa"/>
            <w:tcBorders>
              <w:top w:val="nil"/>
              <w:left w:val="nil"/>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0,0</w:t>
            </w:r>
          </w:p>
        </w:tc>
        <w:tc>
          <w:tcPr>
            <w:tcW w:w="920" w:type="dxa"/>
            <w:tcBorders>
              <w:top w:val="nil"/>
              <w:left w:val="nil"/>
              <w:bottom w:val="single" w:sz="8"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0,0</w:t>
            </w:r>
          </w:p>
        </w:tc>
        <w:tc>
          <w:tcPr>
            <w:tcW w:w="920" w:type="dxa"/>
            <w:tcBorders>
              <w:top w:val="nil"/>
              <w:left w:val="nil"/>
              <w:bottom w:val="single" w:sz="8"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0,0</w:t>
            </w:r>
          </w:p>
        </w:tc>
      </w:tr>
    </w:tbl>
    <w:p w:rsidR="00F734B1" w:rsidP="00F734B1">
      <w:pPr>
        <w:pStyle w:val="BodyText"/>
        <w:rPr>
          <w:rFonts w:ascii="Arial Narrow" w:hAnsi="Arial Narrow" w:cs="Arial Narrow"/>
          <w:sz w:val="22"/>
          <w:szCs w:val="24"/>
          <w:highlight w:val="yellow"/>
        </w:rPr>
      </w:pPr>
    </w:p>
    <w:p w:rsidR="00F734B1" w:rsidRPr="003F4735" w:rsidP="00F734B1">
      <w:pPr>
        <w:pStyle w:val="BodyText"/>
        <w:ind w:firstLine="709"/>
        <w:rPr>
          <w:rFonts w:ascii="Arial Narrow" w:hAnsi="Arial Narrow" w:cs="Arial Narrow"/>
          <w:sz w:val="22"/>
          <w:szCs w:val="24"/>
        </w:rPr>
      </w:pPr>
      <w:r w:rsidRPr="003F4735">
        <w:rPr>
          <w:rFonts w:ascii="Arial Narrow" w:hAnsi="Arial Narrow" w:cs="Arial Narrow"/>
          <w:sz w:val="22"/>
          <w:szCs w:val="24"/>
        </w:rPr>
        <w:t>Predbežne sa predpokladá, že začiatkom roku 2010 bude účet prostriedkov určených na financovanie transformačných nákladov dôchodkovej reformy vyčerpaný a preto bude potrebné zabezpečiť ďalšie krytie výpadku príjmov Sociálnej poisťovne z titulu zavedenia II. piliera dôchodkového sporenia z prostriedkov štátneho rozpočtu, a to vo výške 1</w:t>
      </w:r>
      <w:r>
        <w:rPr>
          <w:rFonts w:ascii="Arial Narrow" w:hAnsi="Arial Narrow" w:cs="Arial Narrow"/>
          <w:sz w:val="22"/>
          <w:szCs w:val="24"/>
        </w:rPr>
        <w:t> 441,7</w:t>
      </w:r>
      <w:r w:rsidRPr="003F4735">
        <w:rPr>
          <w:rFonts w:ascii="Arial Narrow" w:hAnsi="Arial Narrow" w:cs="Arial Narrow"/>
          <w:sz w:val="22"/>
          <w:szCs w:val="24"/>
        </w:rPr>
        <w:t xml:space="preserve"> mil. eur a od roku 2011 v plnej výške potrieb Sociálnej poisťovne.</w:t>
      </w:r>
      <w:r>
        <w:rPr>
          <w:rFonts w:ascii="Arial Narrow" w:hAnsi="Arial Narrow" w:cs="Arial Narrow"/>
          <w:sz w:val="22"/>
          <w:szCs w:val="24"/>
        </w:rPr>
        <w:t xml:space="preserve"> </w:t>
      </w:r>
      <w:r w:rsidRPr="003F4735">
        <w:rPr>
          <w:rFonts w:ascii="Arial Narrow" w:hAnsi="Arial Narrow" w:cs="Arial Narrow"/>
          <w:sz w:val="22"/>
          <w:szCs w:val="24"/>
        </w:rPr>
        <w:t>Predpokladané objemy v </w:t>
      </w:r>
      <w:r>
        <w:rPr>
          <w:rFonts w:ascii="Arial Narrow" w:hAnsi="Arial Narrow" w:cs="Arial Narrow"/>
          <w:sz w:val="22"/>
          <w:szCs w:val="24"/>
        </w:rPr>
        <w:t>nasledujúcich</w:t>
      </w:r>
      <w:r w:rsidRPr="003F4735">
        <w:rPr>
          <w:rFonts w:ascii="Arial Narrow" w:hAnsi="Arial Narrow" w:cs="Arial Narrow"/>
          <w:sz w:val="22"/>
          <w:szCs w:val="24"/>
        </w:rPr>
        <w:t xml:space="preserve"> rokoch rozpočtového rámca zobrazuje nasledovný prehľad.</w:t>
      </w:r>
    </w:p>
    <w:p w:rsidR="00F734B1" w:rsidRPr="003F4735" w:rsidP="00F734B1">
      <w:pPr>
        <w:jc w:val="both"/>
        <w:rPr>
          <w:rFonts w:ascii="Arial Narrow" w:hAnsi="Arial Narrow" w:cs="Arial Narrow"/>
          <w:sz w:val="22"/>
          <w:szCs w:val="24"/>
        </w:rPr>
      </w:pPr>
    </w:p>
    <w:tbl>
      <w:tblPr>
        <w:tblStyle w:val="TableNormal"/>
        <w:tblW w:w="9380" w:type="dxa"/>
        <w:jc w:val="center"/>
        <w:tblInd w:w="0" w:type="dxa"/>
        <w:tblCellMar>
          <w:left w:w="70" w:type="dxa"/>
          <w:right w:w="70" w:type="dxa"/>
        </w:tblCellMar>
      </w:tblPr>
      <w:tblGrid>
        <w:gridCol w:w="4280"/>
        <w:gridCol w:w="1020"/>
        <w:gridCol w:w="1020"/>
        <w:gridCol w:w="1020"/>
        <w:gridCol w:w="1020"/>
        <w:gridCol w:w="1020"/>
      </w:tblGrid>
      <w:tr>
        <w:tblPrEx>
          <w:tblW w:w="9380" w:type="dxa"/>
          <w:jc w:val="center"/>
          <w:tblInd w:w="0" w:type="dxa"/>
          <w:tblCellMar>
            <w:left w:w="70" w:type="dxa"/>
            <w:right w:w="70" w:type="dxa"/>
          </w:tblCellMar>
        </w:tblPrEx>
        <w:trPr>
          <w:trHeight w:val="540"/>
          <w:jc w:val="center"/>
        </w:trPr>
        <w:tc>
          <w:tcPr>
            <w:tcW w:w="4280" w:type="dxa"/>
            <w:tcBorders>
              <w:top w:val="single" w:sz="8" w:space="0" w:color="auto"/>
              <w:left w:val="single" w:sz="8" w:space="0" w:color="auto"/>
              <w:bottom w:val="single" w:sz="8" w:space="0" w:color="auto"/>
              <w:right w:val="nil"/>
            </w:tcBorders>
            <w:shd w:val="clear" w:color="auto" w:fill="333333"/>
            <w:textDirection w:val="lrTb"/>
            <w:vAlign w:val="top"/>
          </w:tcPr>
          <w:p w:rsidR="00F734B1" w:rsidRPr="003F081B" w:rsidP="009324C7">
            <w:pPr>
              <w:rPr>
                <w:rFonts w:ascii="Arial Narrow" w:hAnsi="Arial Narrow" w:cs="Arial Narrow"/>
                <w:color w:val="FFFFFF"/>
                <w:sz w:val="16"/>
                <w:szCs w:val="24"/>
                <w:lang w:eastAsia="sk-SK"/>
              </w:rPr>
            </w:pPr>
            <w:r w:rsidRPr="003F081B">
              <w:rPr>
                <w:rFonts w:ascii="Arial Narrow" w:hAnsi="Arial Narrow" w:cs="Arial Narrow"/>
                <w:color w:val="FFFFFF"/>
                <w:sz w:val="16"/>
                <w:szCs w:val="24"/>
                <w:lang w:eastAsia="sk-SK"/>
              </w:rPr>
              <w:t>(v tis. eur)</w:t>
            </w:r>
          </w:p>
        </w:tc>
        <w:tc>
          <w:tcPr>
            <w:tcW w:w="1020" w:type="dxa"/>
            <w:tcBorders>
              <w:top w:val="single" w:sz="8" w:space="0" w:color="auto"/>
              <w:left w:val="single" w:sz="8" w:space="0" w:color="auto"/>
              <w:bottom w:val="single" w:sz="8" w:space="0" w:color="auto"/>
              <w:right w:val="single" w:sz="4" w:space="0" w:color="auto"/>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Schválený rozpočet</w:t>
            </w:r>
          </w:p>
        </w:tc>
        <w:tc>
          <w:tcPr>
            <w:tcW w:w="1020" w:type="dxa"/>
            <w:tcBorders>
              <w:top w:val="single" w:sz="8" w:space="0" w:color="auto"/>
              <w:left w:val="nil"/>
              <w:bottom w:val="single" w:sz="8" w:space="0" w:color="auto"/>
              <w:right w:val="single" w:sz="8" w:space="0" w:color="auto"/>
            </w:tcBorders>
            <w:shd w:val="clear" w:color="auto" w:fill="333333"/>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Upravený rozpočet</w:t>
            </w:r>
          </w:p>
        </w:tc>
        <w:tc>
          <w:tcPr>
            <w:tcW w:w="3060" w:type="dxa"/>
            <w:gridSpan w:val="3"/>
            <w:tcBorders>
              <w:top w:val="single" w:sz="8" w:space="0" w:color="auto"/>
              <w:left w:val="nil"/>
              <w:bottom w:val="single" w:sz="8" w:space="0" w:color="auto"/>
              <w:right w:val="single" w:sz="8" w:space="0" w:color="000000"/>
            </w:tcBorders>
            <w:shd w:val="clear" w:color="auto" w:fill="333333"/>
            <w:noWrap/>
            <w:textDirection w:val="lrTb"/>
            <w:vAlign w:val="center"/>
          </w:tcPr>
          <w:p w:rsidR="00F734B1" w:rsidRPr="003F081B" w:rsidP="009324C7">
            <w:pPr>
              <w:jc w:val="center"/>
              <w:rPr>
                <w:rFonts w:ascii="Arial Narrow" w:hAnsi="Arial Narrow" w:cs="Arial Narrow"/>
                <w:b/>
                <w:color w:val="FFFFFF"/>
                <w:sz w:val="20"/>
                <w:szCs w:val="24"/>
                <w:lang w:eastAsia="sk-SK"/>
              </w:rPr>
            </w:pPr>
            <w:r w:rsidRPr="003F081B">
              <w:rPr>
                <w:rFonts w:ascii="Arial Narrow" w:hAnsi="Arial Narrow" w:cs="Arial Narrow"/>
                <w:b/>
                <w:color w:val="FFFFFF"/>
                <w:sz w:val="20"/>
                <w:szCs w:val="24"/>
                <w:lang w:eastAsia="sk-SK"/>
              </w:rPr>
              <w:t>Návrh rozpočtu</w:t>
            </w:r>
          </w:p>
        </w:tc>
      </w:tr>
      <w:tr>
        <w:tblPrEx>
          <w:tblW w:w="9380" w:type="dxa"/>
          <w:jc w:val="center"/>
          <w:tblInd w:w="0" w:type="dxa"/>
          <w:tblCellMar>
            <w:left w:w="70" w:type="dxa"/>
            <w:right w:w="70" w:type="dxa"/>
          </w:tblCellMar>
        </w:tblPrEx>
        <w:trPr>
          <w:trHeight w:val="360"/>
          <w:jc w:val="center"/>
        </w:trPr>
        <w:tc>
          <w:tcPr>
            <w:tcW w:w="4280" w:type="dxa"/>
            <w:tcBorders>
              <w:top w:val="nil"/>
              <w:left w:val="single" w:sz="8" w:space="0" w:color="auto"/>
              <w:bottom w:val="single" w:sz="8" w:space="0" w:color="auto"/>
              <w:right w:val="nil"/>
            </w:tcBorders>
            <w:shd w:val="clear" w:color="auto" w:fill="C0C0C0"/>
            <w:noWrap/>
            <w:textDirection w:val="lrTb"/>
            <w:vAlign w:val="center"/>
          </w:tcPr>
          <w:p w:rsidR="00F734B1" w:rsidRPr="003F081B" w:rsidP="009324C7">
            <w:pPr>
              <w:rPr>
                <w:rFonts w:ascii="Arial Narrow" w:hAnsi="Arial Narrow" w:cs="Arial Narrow"/>
                <w:sz w:val="20"/>
                <w:szCs w:val="24"/>
                <w:lang w:eastAsia="sk-SK"/>
              </w:rPr>
            </w:pPr>
            <w:r w:rsidRPr="003F081B">
              <w:rPr>
                <w:rFonts w:ascii="Arial Narrow" w:hAnsi="Arial Narrow" w:cs="Arial Narrow"/>
                <w:sz w:val="20"/>
                <w:szCs w:val="24"/>
                <w:lang w:eastAsia="sk-SK"/>
              </w:rPr>
              <w:t> </w:t>
            </w:r>
          </w:p>
        </w:tc>
        <w:tc>
          <w:tcPr>
            <w:tcW w:w="2040" w:type="dxa"/>
            <w:gridSpan w:val="2"/>
            <w:tcBorders>
              <w:top w:val="single" w:sz="8" w:space="0" w:color="auto"/>
              <w:left w:val="single" w:sz="8" w:space="0" w:color="auto"/>
              <w:bottom w:val="single" w:sz="8" w:space="0" w:color="auto"/>
              <w:right w:val="single" w:sz="8" w:space="0" w:color="000000"/>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2009</w:t>
            </w:r>
          </w:p>
        </w:tc>
        <w:tc>
          <w:tcPr>
            <w:tcW w:w="1020" w:type="dxa"/>
            <w:tcBorders>
              <w:top w:val="nil"/>
              <w:left w:val="nil"/>
              <w:bottom w:val="single" w:sz="8" w:space="0" w:color="auto"/>
              <w:right w:val="single" w:sz="4" w:space="0" w:color="auto"/>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2010</w:t>
            </w:r>
          </w:p>
        </w:tc>
        <w:tc>
          <w:tcPr>
            <w:tcW w:w="1020" w:type="dxa"/>
            <w:tcBorders>
              <w:top w:val="nil"/>
              <w:left w:val="nil"/>
              <w:bottom w:val="single" w:sz="8" w:space="0" w:color="auto"/>
              <w:right w:val="nil"/>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2011</w:t>
            </w:r>
          </w:p>
        </w:tc>
        <w:tc>
          <w:tcPr>
            <w:tcW w:w="1020" w:type="dxa"/>
            <w:tcBorders>
              <w:top w:val="nil"/>
              <w:left w:val="single" w:sz="4" w:space="0" w:color="auto"/>
              <w:bottom w:val="single" w:sz="8" w:space="0" w:color="auto"/>
              <w:right w:val="single" w:sz="8" w:space="0" w:color="auto"/>
            </w:tcBorders>
            <w:shd w:val="clear" w:color="auto" w:fill="C0C0C0"/>
            <w:noWrap/>
            <w:textDirection w:val="lrTb"/>
            <w:vAlign w:val="center"/>
          </w:tcPr>
          <w:p w:rsidR="00F734B1" w:rsidRPr="003F081B" w:rsidP="009324C7">
            <w:pPr>
              <w:jc w:val="center"/>
              <w:rPr>
                <w:rFonts w:ascii="Arial Narrow" w:hAnsi="Arial Narrow" w:cs="Arial Narrow"/>
                <w:b/>
                <w:sz w:val="20"/>
                <w:szCs w:val="24"/>
                <w:lang w:eastAsia="sk-SK"/>
              </w:rPr>
            </w:pPr>
            <w:r w:rsidRPr="003F081B">
              <w:rPr>
                <w:rFonts w:ascii="Arial Narrow" w:hAnsi="Arial Narrow" w:cs="Arial Narrow"/>
                <w:b/>
                <w:sz w:val="20"/>
                <w:szCs w:val="24"/>
                <w:lang w:eastAsia="sk-SK"/>
              </w:rPr>
              <w:t>2012</w:t>
            </w:r>
          </w:p>
        </w:tc>
      </w:tr>
      <w:tr>
        <w:tblPrEx>
          <w:tblW w:w="9380" w:type="dxa"/>
          <w:jc w:val="center"/>
          <w:tblInd w:w="0" w:type="dxa"/>
          <w:tblCellMar>
            <w:left w:w="70" w:type="dxa"/>
            <w:right w:w="70" w:type="dxa"/>
          </w:tblCellMar>
        </w:tblPrEx>
        <w:trPr>
          <w:trHeight w:val="780"/>
          <w:jc w:val="center"/>
        </w:trPr>
        <w:tc>
          <w:tcPr>
            <w:tcW w:w="4280" w:type="dxa"/>
            <w:tcBorders>
              <w:top w:val="nil"/>
              <w:left w:val="single" w:sz="8" w:space="0" w:color="auto"/>
              <w:bottom w:val="single" w:sz="8" w:space="0" w:color="auto"/>
              <w:right w:val="nil"/>
            </w:tcBorders>
            <w:textDirection w:val="lrTb"/>
            <w:vAlign w:val="center"/>
          </w:tcPr>
          <w:p w:rsidR="00F734B1" w:rsidRPr="003F081B" w:rsidP="009324C7">
            <w:pPr>
              <w:rPr>
                <w:rFonts w:ascii="Arial Narrow" w:hAnsi="Arial Narrow" w:cs="Arial Narrow"/>
                <w:sz w:val="20"/>
                <w:szCs w:val="24"/>
                <w:lang w:eastAsia="sk-SK"/>
              </w:rPr>
            </w:pPr>
            <w:r w:rsidRPr="003F081B">
              <w:rPr>
                <w:rFonts w:ascii="Arial Narrow" w:hAnsi="Arial Narrow" w:cs="Arial Narrow"/>
                <w:sz w:val="20"/>
                <w:szCs w:val="24"/>
                <w:lang w:eastAsia="sk-SK"/>
              </w:rPr>
              <w:t>Sociálnou poisťovňou plánované čerpanie prostriedkov určených na financovanie transformačných nákladov dôchodkovej reformy</w:t>
            </w:r>
          </w:p>
        </w:tc>
        <w:tc>
          <w:tcPr>
            <w:tcW w:w="1020" w:type="dxa"/>
            <w:tcBorders>
              <w:top w:val="nil"/>
              <w:left w:val="single" w:sz="8" w:space="0" w:color="auto"/>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-504 548</w:t>
            </w:r>
          </w:p>
        </w:tc>
        <w:tc>
          <w:tcPr>
            <w:tcW w:w="1020" w:type="dxa"/>
            <w:tcBorders>
              <w:top w:val="nil"/>
              <w:left w:val="nil"/>
              <w:bottom w:val="single" w:sz="8"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-875 300</w:t>
            </w:r>
          </w:p>
        </w:tc>
        <w:tc>
          <w:tcPr>
            <w:tcW w:w="1020" w:type="dxa"/>
            <w:tcBorders>
              <w:top w:val="nil"/>
              <w:left w:val="nil"/>
              <w:bottom w:val="single" w:sz="8" w:space="0" w:color="auto"/>
              <w:right w:val="single" w:sz="4"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-1 517 216</w:t>
            </w:r>
          </w:p>
        </w:tc>
        <w:tc>
          <w:tcPr>
            <w:tcW w:w="1020" w:type="dxa"/>
            <w:tcBorders>
              <w:top w:val="nil"/>
              <w:left w:val="nil"/>
              <w:bottom w:val="single" w:sz="8" w:space="0" w:color="auto"/>
              <w:right w:val="nil"/>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-1 633 851</w:t>
            </w:r>
          </w:p>
        </w:tc>
        <w:tc>
          <w:tcPr>
            <w:tcW w:w="1020" w:type="dxa"/>
            <w:tcBorders>
              <w:top w:val="nil"/>
              <w:left w:val="single" w:sz="4" w:space="0" w:color="auto"/>
              <w:bottom w:val="single" w:sz="8" w:space="0" w:color="auto"/>
              <w:right w:val="single" w:sz="8" w:space="0" w:color="auto"/>
            </w:tcBorders>
            <w:noWrap/>
            <w:textDirection w:val="lrTb"/>
            <w:vAlign w:val="center"/>
          </w:tcPr>
          <w:p w:rsidR="00F734B1" w:rsidRPr="003F081B" w:rsidP="009324C7">
            <w:pPr>
              <w:jc w:val="right"/>
              <w:rPr>
                <w:rFonts w:ascii="Arial Narrow" w:hAnsi="Arial Narrow" w:cs="Arial Narrow"/>
                <w:sz w:val="20"/>
                <w:szCs w:val="24"/>
                <w:lang w:eastAsia="sk-SK"/>
              </w:rPr>
            </w:pPr>
            <w:r w:rsidRPr="003F081B">
              <w:rPr>
                <w:rFonts w:ascii="Arial Narrow" w:hAnsi="Arial Narrow" w:cs="Arial Narrow"/>
                <w:sz w:val="20"/>
                <w:szCs w:val="24"/>
                <w:lang w:eastAsia="sk-SK"/>
              </w:rPr>
              <w:t>-1 561 970</w:t>
            </w:r>
          </w:p>
        </w:tc>
      </w:tr>
    </w:tbl>
    <w:p w:rsidR="00F734B1" w:rsidP="00F734B1">
      <w:pPr>
        <w:jc w:val="both"/>
        <w:rPr>
          <w:rFonts w:ascii="Arial Narrow" w:hAnsi="Arial Narrow" w:cs="Arial Narrow"/>
          <w:sz w:val="22"/>
          <w:szCs w:val="24"/>
        </w:rPr>
      </w:pPr>
    </w:p>
    <w:p w:rsidR="00F734B1" w:rsidP="00F734B1">
      <w:pPr>
        <w:jc w:val="both"/>
        <w:rPr>
          <w:rFonts w:ascii="Arial Narrow" w:hAnsi="Arial Narrow" w:cs="Arial Narrow"/>
          <w:sz w:val="22"/>
          <w:szCs w:val="24"/>
        </w:rPr>
      </w:pPr>
      <w:r>
        <w:rPr>
          <w:rFonts w:ascii="Arial Narrow" w:hAnsi="Arial Narrow" w:cs="Arial Narrow"/>
          <w:sz w:val="22"/>
          <w:szCs w:val="24"/>
        </w:rPr>
        <w:t>5.2.3.    Medzi finančné operácie na strane výdavkov štátnych finančných aktív sa zaraďuje aj poskytovanie úverov a pôžičiek, účasť na majetku a splácanie istiny. V jednotlivých rokoch rozpočtového rámca 2010 až 2012 sa rozpočtujú v nižšie uvedených objemoch.</w:t>
      </w:r>
    </w:p>
    <w:p w:rsidR="00F734B1" w:rsidP="00F734B1">
      <w:pPr>
        <w:jc w:val="both"/>
        <w:rPr>
          <w:rFonts w:ascii="Arial Narrow" w:hAnsi="Arial Narrow" w:cs="Arial Narrow"/>
          <w:sz w:val="22"/>
          <w:szCs w:val="24"/>
        </w:rPr>
      </w:pPr>
    </w:p>
    <w:tbl>
      <w:tblPr>
        <w:tblStyle w:val="TableNormal"/>
        <w:tblW w:w="9060" w:type="dxa"/>
        <w:jc w:val="center"/>
        <w:tblInd w:w="0" w:type="dxa"/>
        <w:tblCellMar>
          <w:left w:w="70" w:type="dxa"/>
          <w:right w:w="70" w:type="dxa"/>
        </w:tblCellMar>
      </w:tblPr>
      <w:tblGrid>
        <w:gridCol w:w="4580"/>
        <w:gridCol w:w="1120"/>
        <w:gridCol w:w="1120"/>
        <w:gridCol w:w="1120"/>
        <w:gridCol w:w="1120"/>
      </w:tblGrid>
      <w:tr>
        <w:tblPrEx>
          <w:tblW w:w="9060" w:type="dxa"/>
          <w:jc w:val="center"/>
          <w:tblInd w:w="0" w:type="dxa"/>
          <w:tblCellMar>
            <w:left w:w="70" w:type="dxa"/>
            <w:right w:w="70" w:type="dxa"/>
          </w:tblCellMar>
        </w:tblPrEx>
        <w:trPr>
          <w:trHeight w:val="540"/>
          <w:jc w:val="center"/>
        </w:trPr>
        <w:tc>
          <w:tcPr>
            <w:tcW w:w="4580" w:type="dxa"/>
            <w:tcBorders>
              <w:top w:val="single" w:sz="8" w:space="0" w:color="auto"/>
              <w:left w:val="single" w:sz="8" w:space="0" w:color="auto"/>
              <w:bottom w:val="single" w:sz="4" w:space="0" w:color="auto"/>
              <w:right w:val="single" w:sz="4" w:space="0" w:color="auto"/>
            </w:tcBorders>
            <w:shd w:val="clear" w:color="auto" w:fill="000000"/>
            <w:textDirection w:val="lrTb"/>
            <w:vAlign w:val="top"/>
          </w:tcPr>
          <w:p w:rsidR="00F734B1" w:rsidRPr="003F4735" w:rsidP="009324C7">
            <w:pPr>
              <w:rPr>
                <w:rFonts w:ascii="Arial Narrow" w:hAnsi="Arial Narrow" w:cs="Arial Narrow"/>
                <w:color w:val="FFFFFF"/>
                <w:sz w:val="20"/>
                <w:szCs w:val="24"/>
                <w:lang w:eastAsia="sk-SK"/>
              </w:rPr>
            </w:pPr>
            <w:r w:rsidRPr="003F4735">
              <w:rPr>
                <w:rFonts w:ascii="Arial Narrow" w:hAnsi="Arial Narrow" w:cs="Arial Narrow"/>
                <w:color w:val="FFFFFF"/>
                <w:sz w:val="20"/>
                <w:szCs w:val="24"/>
                <w:lang w:eastAsia="sk-SK"/>
              </w:rPr>
              <w:t>(v tis. eur)</w:t>
            </w:r>
          </w:p>
        </w:tc>
        <w:tc>
          <w:tcPr>
            <w:tcW w:w="1120" w:type="dxa"/>
            <w:tcBorders>
              <w:top w:val="single" w:sz="8" w:space="0" w:color="auto"/>
              <w:left w:val="nil"/>
              <w:bottom w:val="single" w:sz="4" w:space="0" w:color="auto"/>
              <w:right w:val="single" w:sz="4" w:space="0" w:color="auto"/>
            </w:tcBorders>
            <w:shd w:val="clear" w:color="auto" w:fill="000000"/>
            <w:textDirection w:val="lrTb"/>
            <w:vAlign w:val="center"/>
          </w:tcPr>
          <w:p w:rsidR="00F734B1" w:rsidRPr="003F4735" w:rsidP="009324C7">
            <w:pPr>
              <w:jc w:val="center"/>
              <w:rPr>
                <w:rFonts w:ascii="Arial Narrow" w:hAnsi="Arial Narrow" w:cs="Arial Narrow"/>
                <w:b/>
                <w:color w:val="FFFFFF"/>
                <w:sz w:val="20"/>
                <w:szCs w:val="24"/>
                <w:lang w:eastAsia="sk-SK"/>
              </w:rPr>
            </w:pPr>
            <w:r w:rsidRPr="003F4735">
              <w:rPr>
                <w:rFonts w:ascii="Arial Narrow" w:hAnsi="Arial Narrow" w:cs="Arial Narrow"/>
                <w:b/>
                <w:color w:val="FFFFFF"/>
                <w:sz w:val="20"/>
                <w:szCs w:val="24"/>
                <w:lang w:eastAsia="sk-SK"/>
              </w:rPr>
              <w:t>2009</w:t>
            </w:r>
          </w:p>
        </w:tc>
        <w:tc>
          <w:tcPr>
            <w:tcW w:w="1120" w:type="dxa"/>
            <w:tcBorders>
              <w:top w:val="single" w:sz="8" w:space="0" w:color="auto"/>
              <w:left w:val="nil"/>
              <w:bottom w:val="single" w:sz="4" w:space="0" w:color="auto"/>
              <w:right w:val="single" w:sz="4" w:space="0" w:color="auto"/>
            </w:tcBorders>
            <w:shd w:val="clear" w:color="auto" w:fill="000000"/>
            <w:textDirection w:val="lrTb"/>
            <w:vAlign w:val="center"/>
          </w:tcPr>
          <w:p w:rsidR="00F734B1" w:rsidRPr="003F4735" w:rsidP="009324C7">
            <w:pPr>
              <w:jc w:val="center"/>
              <w:rPr>
                <w:rFonts w:ascii="Arial Narrow" w:hAnsi="Arial Narrow" w:cs="Arial Narrow"/>
                <w:b/>
                <w:color w:val="FFFFFF"/>
                <w:sz w:val="20"/>
                <w:szCs w:val="24"/>
                <w:lang w:eastAsia="sk-SK"/>
              </w:rPr>
            </w:pPr>
            <w:r w:rsidRPr="003F4735">
              <w:rPr>
                <w:rFonts w:ascii="Arial Narrow" w:hAnsi="Arial Narrow" w:cs="Arial Narrow"/>
                <w:b/>
                <w:color w:val="FFFFFF"/>
                <w:sz w:val="20"/>
                <w:szCs w:val="24"/>
                <w:lang w:eastAsia="sk-SK"/>
              </w:rPr>
              <w:t>2010</w:t>
            </w:r>
          </w:p>
        </w:tc>
        <w:tc>
          <w:tcPr>
            <w:tcW w:w="1120" w:type="dxa"/>
            <w:tcBorders>
              <w:top w:val="single" w:sz="8" w:space="0" w:color="auto"/>
              <w:left w:val="nil"/>
              <w:bottom w:val="single" w:sz="4" w:space="0" w:color="auto"/>
              <w:right w:val="single" w:sz="4" w:space="0" w:color="auto"/>
            </w:tcBorders>
            <w:shd w:val="clear" w:color="auto" w:fill="000000"/>
            <w:textDirection w:val="lrTb"/>
            <w:vAlign w:val="center"/>
          </w:tcPr>
          <w:p w:rsidR="00F734B1" w:rsidRPr="003F4735" w:rsidP="009324C7">
            <w:pPr>
              <w:jc w:val="center"/>
              <w:rPr>
                <w:rFonts w:ascii="Arial Narrow" w:hAnsi="Arial Narrow" w:cs="Arial Narrow"/>
                <w:b/>
                <w:color w:val="FFFFFF"/>
                <w:sz w:val="20"/>
                <w:szCs w:val="24"/>
                <w:lang w:eastAsia="sk-SK"/>
              </w:rPr>
            </w:pPr>
            <w:r w:rsidRPr="003F4735">
              <w:rPr>
                <w:rFonts w:ascii="Arial Narrow" w:hAnsi="Arial Narrow" w:cs="Arial Narrow"/>
                <w:b/>
                <w:color w:val="FFFFFF"/>
                <w:sz w:val="20"/>
                <w:szCs w:val="24"/>
                <w:lang w:eastAsia="sk-SK"/>
              </w:rPr>
              <w:t>2011</w:t>
            </w:r>
          </w:p>
        </w:tc>
        <w:tc>
          <w:tcPr>
            <w:tcW w:w="1120" w:type="dxa"/>
            <w:tcBorders>
              <w:top w:val="single" w:sz="8" w:space="0" w:color="auto"/>
              <w:left w:val="nil"/>
              <w:bottom w:val="single" w:sz="4" w:space="0" w:color="auto"/>
              <w:right w:val="single" w:sz="8" w:space="0" w:color="auto"/>
            </w:tcBorders>
            <w:shd w:val="clear" w:color="auto" w:fill="000000"/>
            <w:textDirection w:val="lrTb"/>
            <w:vAlign w:val="center"/>
          </w:tcPr>
          <w:p w:rsidR="00F734B1" w:rsidRPr="003F4735" w:rsidP="009324C7">
            <w:pPr>
              <w:jc w:val="center"/>
              <w:rPr>
                <w:rFonts w:ascii="Arial Narrow" w:hAnsi="Arial Narrow" w:cs="Arial Narrow"/>
                <w:b/>
                <w:color w:val="FFFFFF"/>
                <w:sz w:val="20"/>
                <w:szCs w:val="24"/>
                <w:lang w:eastAsia="sk-SK"/>
              </w:rPr>
            </w:pPr>
            <w:r w:rsidRPr="003F4735">
              <w:rPr>
                <w:rFonts w:ascii="Arial Narrow" w:hAnsi="Arial Narrow" w:cs="Arial Narrow"/>
                <w:b/>
                <w:color w:val="FFFFFF"/>
                <w:sz w:val="20"/>
                <w:szCs w:val="24"/>
                <w:lang w:eastAsia="sk-SK"/>
              </w:rPr>
              <w:t>2012</w:t>
            </w:r>
          </w:p>
        </w:tc>
      </w:tr>
      <w:tr>
        <w:tblPrEx>
          <w:tblW w:w="9060" w:type="dxa"/>
          <w:jc w:val="center"/>
          <w:tblInd w:w="0" w:type="dxa"/>
          <w:tblCellMar>
            <w:left w:w="70" w:type="dxa"/>
            <w:right w:w="70" w:type="dxa"/>
          </w:tblCellMar>
        </w:tblPrEx>
        <w:trPr>
          <w:trHeight w:val="480"/>
          <w:jc w:val="center"/>
        </w:trPr>
        <w:tc>
          <w:tcPr>
            <w:tcW w:w="4580" w:type="dxa"/>
            <w:tcBorders>
              <w:top w:val="nil"/>
              <w:left w:val="single" w:sz="8" w:space="0" w:color="auto"/>
              <w:bottom w:val="single" w:sz="4" w:space="0" w:color="auto"/>
              <w:right w:val="single" w:sz="4" w:space="0" w:color="auto"/>
            </w:tcBorders>
            <w:textDirection w:val="lrTb"/>
            <w:vAlign w:val="center"/>
          </w:tcPr>
          <w:p w:rsidR="00F734B1" w:rsidRPr="003F4735" w:rsidP="009324C7">
            <w:pPr>
              <w:rPr>
                <w:rFonts w:ascii="Arial Narrow" w:hAnsi="Arial Narrow" w:cs="Arial Narrow"/>
                <w:b/>
                <w:sz w:val="20"/>
                <w:szCs w:val="24"/>
                <w:lang w:eastAsia="sk-SK"/>
              </w:rPr>
            </w:pPr>
            <w:r w:rsidRPr="003F4735">
              <w:rPr>
                <w:rFonts w:ascii="Arial Narrow" w:hAnsi="Arial Narrow" w:cs="Arial Narrow"/>
                <w:b/>
                <w:sz w:val="20"/>
                <w:szCs w:val="24"/>
                <w:lang w:eastAsia="sk-SK"/>
              </w:rPr>
              <w:t xml:space="preserve">IDA* </w:t>
            </w:r>
            <w:r w:rsidRPr="003F4735">
              <w:rPr>
                <w:rFonts w:ascii="Arial Narrow" w:hAnsi="Arial Narrow" w:cs="Arial Narrow"/>
                <w:sz w:val="20"/>
                <w:szCs w:val="24"/>
                <w:lang w:eastAsia="sk-SK"/>
              </w:rPr>
              <w:t>- Medzinárodné združenie pre rozvoj; rezerva na doplnenie zdrojov</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996,0</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995,8</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995,8</w:t>
            </w:r>
          </w:p>
        </w:tc>
        <w:tc>
          <w:tcPr>
            <w:tcW w:w="1120" w:type="dxa"/>
            <w:tcBorders>
              <w:top w:val="nil"/>
              <w:left w:val="nil"/>
              <w:bottom w:val="single" w:sz="4" w:space="0" w:color="auto"/>
              <w:right w:val="single" w:sz="8"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860,0</w:t>
            </w:r>
          </w:p>
        </w:tc>
      </w:tr>
      <w:tr>
        <w:tblPrEx>
          <w:tblW w:w="9060" w:type="dxa"/>
          <w:jc w:val="center"/>
          <w:tblInd w:w="0" w:type="dxa"/>
          <w:tblCellMar>
            <w:left w:w="70" w:type="dxa"/>
            <w:right w:w="70" w:type="dxa"/>
          </w:tblCellMar>
        </w:tblPrEx>
        <w:trPr>
          <w:trHeight w:val="1020"/>
          <w:jc w:val="center"/>
        </w:trPr>
        <w:tc>
          <w:tcPr>
            <w:tcW w:w="4580" w:type="dxa"/>
            <w:tcBorders>
              <w:top w:val="nil"/>
              <w:left w:val="single" w:sz="8" w:space="0" w:color="auto"/>
              <w:bottom w:val="single" w:sz="4" w:space="0" w:color="auto"/>
              <w:right w:val="single" w:sz="4" w:space="0" w:color="auto"/>
            </w:tcBorders>
            <w:textDirection w:val="lrTb"/>
            <w:vAlign w:val="center"/>
          </w:tcPr>
          <w:p w:rsidR="00F734B1" w:rsidRPr="003F4735" w:rsidP="009324C7">
            <w:pPr>
              <w:rPr>
                <w:rFonts w:ascii="Arial Narrow" w:hAnsi="Arial Narrow" w:cs="Arial Narrow"/>
                <w:b/>
                <w:sz w:val="20"/>
                <w:szCs w:val="24"/>
                <w:lang w:eastAsia="sk-SK"/>
              </w:rPr>
            </w:pPr>
            <w:r w:rsidRPr="003F4735">
              <w:rPr>
                <w:rFonts w:ascii="Arial Narrow" w:hAnsi="Arial Narrow" w:cs="Arial Narrow"/>
                <w:b/>
                <w:sz w:val="20"/>
                <w:szCs w:val="24"/>
                <w:lang w:eastAsia="sk-SK"/>
              </w:rPr>
              <w:t xml:space="preserve">IBRD* </w:t>
            </w:r>
            <w:r w:rsidRPr="003F4735">
              <w:rPr>
                <w:rFonts w:ascii="Arial Narrow" w:hAnsi="Arial Narrow" w:cs="Arial Narrow"/>
                <w:sz w:val="20"/>
                <w:szCs w:val="24"/>
                <w:lang w:eastAsia="sk-SK"/>
              </w:rPr>
              <w:t>+</w:t>
            </w:r>
            <w:r w:rsidRPr="003F4735">
              <w:rPr>
                <w:rFonts w:ascii="Arial Narrow" w:hAnsi="Arial Narrow" w:cs="Arial Narrow"/>
                <w:b/>
                <w:sz w:val="20"/>
                <w:szCs w:val="24"/>
                <w:lang w:eastAsia="sk-SK"/>
              </w:rPr>
              <w:t xml:space="preserve"> MIGA* </w:t>
            </w:r>
            <w:r w:rsidRPr="003F4735">
              <w:rPr>
                <w:rFonts w:ascii="Arial Narrow" w:hAnsi="Arial Narrow" w:cs="Arial Narrow"/>
                <w:sz w:val="20"/>
                <w:szCs w:val="24"/>
                <w:lang w:eastAsia="sk-SK"/>
              </w:rPr>
              <w:t>- Medzinárodná banka pre obnovu a rozvoj, Mnohostranná agentúra pre investičné záruky, rezerva na valorizáciu akcií SR a rezerva splatná na požiadanie v rámci zvýšeného základného kapitálu</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166,0</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331,9</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331,9</w:t>
            </w:r>
          </w:p>
        </w:tc>
        <w:tc>
          <w:tcPr>
            <w:tcW w:w="1120" w:type="dxa"/>
            <w:tcBorders>
              <w:top w:val="nil"/>
              <w:left w:val="nil"/>
              <w:bottom w:val="single" w:sz="4" w:space="0" w:color="auto"/>
              <w:right w:val="single" w:sz="8"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350,0</w:t>
            </w:r>
          </w:p>
        </w:tc>
      </w:tr>
      <w:tr>
        <w:tblPrEx>
          <w:tblW w:w="9060" w:type="dxa"/>
          <w:jc w:val="center"/>
          <w:tblInd w:w="0" w:type="dxa"/>
          <w:tblCellMar>
            <w:left w:w="70" w:type="dxa"/>
            <w:right w:w="70" w:type="dxa"/>
          </w:tblCellMar>
        </w:tblPrEx>
        <w:trPr>
          <w:trHeight w:val="480"/>
          <w:jc w:val="center"/>
        </w:trPr>
        <w:tc>
          <w:tcPr>
            <w:tcW w:w="4580" w:type="dxa"/>
            <w:tcBorders>
              <w:top w:val="nil"/>
              <w:left w:val="single" w:sz="8" w:space="0" w:color="auto"/>
              <w:bottom w:val="single" w:sz="4" w:space="0" w:color="auto"/>
              <w:right w:val="single" w:sz="4" w:space="0" w:color="auto"/>
            </w:tcBorders>
            <w:textDirection w:val="lrTb"/>
            <w:vAlign w:val="center"/>
          </w:tcPr>
          <w:p w:rsidR="00F734B1" w:rsidRPr="003F4735" w:rsidP="009324C7">
            <w:pPr>
              <w:rPr>
                <w:rFonts w:ascii="Arial Narrow" w:hAnsi="Arial Narrow" w:cs="Arial Narrow"/>
                <w:b/>
                <w:sz w:val="20"/>
                <w:szCs w:val="24"/>
                <w:lang w:eastAsia="sk-SK"/>
              </w:rPr>
            </w:pPr>
            <w:r w:rsidRPr="003F4735">
              <w:rPr>
                <w:rFonts w:ascii="Arial Narrow" w:hAnsi="Arial Narrow" w:cs="Arial Narrow"/>
                <w:b/>
                <w:sz w:val="20"/>
                <w:szCs w:val="24"/>
                <w:lang w:eastAsia="sk-SK"/>
              </w:rPr>
              <w:t>EIB</w:t>
            </w:r>
            <w:r w:rsidRPr="003F4735">
              <w:rPr>
                <w:rFonts w:ascii="Arial Narrow" w:hAnsi="Arial Narrow" w:cs="Arial Narrow"/>
                <w:sz w:val="20"/>
                <w:szCs w:val="24"/>
                <w:lang w:eastAsia="sk-SK"/>
              </w:rPr>
              <w:t xml:space="preserve"> - Európska investičná banka;poskytnutie záruky SR v prospech EIB na základe záručnej zmluvy</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9 500,0</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107,</w:t>
            </w:r>
            <w:r w:rsidR="00A70AF6">
              <w:rPr>
                <w:rFonts w:ascii="Arial Narrow" w:hAnsi="Arial Narrow" w:cs="Arial Narrow"/>
                <w:sz w:val="20"/>
                <w:szCs w:val="24"/>
                <w:lang w:eastAsia="sk-SK"/>
              </w:rPr>
              <w:t>8</w:t>
            </w:r>
          </w:p>
        </w:tc>
        <w:tc>
          <w:tcPr>
            <w:tcW w:w="1120" w:type="dxa"/>
            <w:tcBorders>
              <w:top w:val="nil"/>
              <w:left w:val="nil"/>
              <w:bottom w:val="single" w:sz="4" w:space="0" w:color="auto"/>
              <w:right w:val="single" w:sz="4"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186,2</w:t>
            </w:r>
          </w:p>
        </w:tc>
        <w:tc>
          <w:tcPr>
            <w:tcW w:w="1120" w:type="dxa"/>
            <w:tcBorders>
              <w:top w:val="nil"/>
              <w:left w:val="nil"/>
              <w:bottom w:val="single" w:sz="4" w:space="0" w:color="auto"/>
              <w:right w:val="single" w:sz="8" w:space="0" w:color="auto"/>
            </w:tcBorders>
            <w:textDirection w:val="lrTb"/>
            <w:vAlign w:val="center"/>
          </w:tcPr>
          <w:p w:rsidR="00F734B1" w:rsidRPr="003F4735" w:rsidP="009324C7">
            <w:pPr>
              <w:jc w:val="right"/>
              <w:rPr>
                <w:rFonts w:ascii="Arial Narrow" w:hAnsi="Arial Narrow" w:cs="Arial Narrow"/>
                <w:sz w:val="20"/>
                <w:szCs w:val="24"/>
                <w:lang w:eastAsia="sk-SK"/>
              </w:rPr>
            </w:pPr>
            <w:r w:rsidRPr="003F4735">
              <w:rPr>
                <w:rFonts w:ascii="Arial Narrow" w:hAnsi="Arial Narrow" w:cs="Arial Narrow"/>
                <w:sz w:val="20"/>
                <w:szCs w:val="24"/>
                <w:lang w:eastAsia="sk-SK"/>
              </w:rPr>
              <w:t>285,5</w:t>
            </w:r>
          </w:p>
        </w:tc>
      </w:tr>
      <w:tr>
        <w:tblPrEx>
          <w:tblW w:w="9060" w:type="dxa"/>
          <w:jc w:val="center"/>
          <w:tblInd w:w="0" w:type="dxa"/>
          <w:tblCellMar>
            <w:left w:w="70" w:type="dxa"/>
            <w:right w:w="70" w:type="dxa"/>
          </w:tblCellMar>
        </w:tblPrEx>
        <w:trPr>
          <w:trHeight w:val="540"/>
          <w:jc w:val="center"/>
        </w:trPr>
        <w:tc>
          <w:tcPr>
            <w:tcW w:w="4580" w:type="dxa"/>
            <w:tcBorders>
              <w:top w:val="nil"/>
              <w:left w:val="single" w:sz="8" w:space="0" w:color="auto"/>
              <w:bottom w:val="single" w:sz="8" w:space="0" w:color="auto"/>
              <w:right w:val="single" w:sz="4" w:space="0" w:color="auto"/>
            </w:tcBorders>
            <w:shd w:val="clear" w:color="auto" w:fill="C0C0C0"/>
            <w:textDirection w:val="lrTb"/>
            <w:vAlign w:val="center"/>
          </w:tcPr>
          <w:p w:rsidR="00F734B1" w:rsidRPr="003F4735" w:rsidP="009324C7">
            <w:pPr>
              <w:rPr>
                <w:rFonts w:ascii="Arial Narrow" w:hAnsi="Arial Narrow" w:cs="Arial Narrow"/>
                <w:b/>
                <w:sz w:val="20"/>
                <w:szCs w:val="24"/>
                <w:lang w:eastAsia="sk-SK"/>
              </w:rPr>
            </w:pPr>
            <w:r w:rsidRPr="003F4735">
              <w:rPr>
                <w:rFonts w:ascii="Arial Narrow" w:hAnsi="Arial Narrow" w:cs="Arial Narrow"/>
                <w:b/>
                <w:sz w:val="20"/>
                <w:szCs w:val="24"/>
                <w:lang w:eastAsia="sk-SK"/>
              </w:rPr>
              <w:t>SPOLU</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3F4735" w:rsidP="009324C7">
            <w:pPr>
              <w:jc w:val="right"/>
              <w:rPr>
                <w:rFonts w:ascii="Arial Narrow" w:hAnsi="Arial Narrow" w:cs="Arial Narrow"/>
                <w:b/>
                <w:sz w:val="20"/>
                <w:szCs w:val="24"/>
                <w:lang w:eastAsia="sk-SK"/>
              </w:rPr>
            </w:pPr>
            <w:r w:rsidRPr="003F4735">
              <w:rPr>
                <w:rFonts w:ascii="Arial Narrow" w:hAnsi="Arial Narrow" w:cs="Arial Narrow"/>
                <w:b/>
                <w:sz w:val="20"/>
                <w:szCs w:val="24"/>
                <w:lang w:eastAsia="sk-SK"/>
              </w:rPr>
              <w:t>10 662,0</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3F4735" w:rsidP="009324C7">
            <w:pPr>
              <w:jc w:val="right"/>
              <w:rPr>
                <w:rFonts w:ascii="Arial Narrow" w:hAnsi="Arial Narrow" w:cs="Arial Narrow"/>
                <w:b/>
                <w:sz w:val="20"/>
                <w:szCs w:val="24"/>
                <w:lang w:eastAsia="sk-SK"/>
              </w:rPr>
            </w:pPr>
            <w:r w:rsidR="00A70AF6">
              <w:rPr>
                <w:rFonts w:ascii="Arial Narrow" w:hAnsi="Arial Narrow" w:cs="Arial Narrow"/>
                <w:b/>
                <w:sz w:val="20"/>
                <w:szCs w:val="24"/>
                <w:lang w:eastAsia="sk-SK"/>
              </w:rPr>
              <w:t>1 435,5</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3F4735" w:rsidP="009324C7">
            <w:pPr>
              <w:jc w:val="right"/>
              <w:rPr>
                <w:rFonts w:ascii="Arial Narrow" w:hAnsi="Arial Narrow" w:cs="Arial Narrow"/>
                <w:b/>
                <w:sz w:val="20"/>
                <w:szCs w:val="24"/>
                <w:lang w:eastAsia="sk-SK"/>
              </w:rPr>
            </w:pPr>
            <w:r w:rsidRPr="003F4735">
              <w:rPr>
                <w:rFonts w:ascii="Arial Narrow" w:hAnsi="Arial Narrow" w:cs="Arial Narrow"/>
                <w:b/>
                <w:sz w:val="20"/>
                <w:szCs w:val="24"/>
                <w:lang w:eastAsia="sk-SK"/>
              </w:rPr>
              <w:t>1 513,9</w:t>
            </w:r>
          </w:p>
        </w:tc>
        <w:tc>
          <w:tcPr>
            <w:tcW w:w="1120" w:type="dxa"/>
            <w:tcBorders>
              <w:top w:val="nil"/>
              <w:left w:val="nil"/>
              <w:bottom w:val="single" w:sz="8" w:space="0" w:color="auto"/>
              <w:right w:val="single" w:sz="8" w:space="0" w:color="auto"/>
            </w:tcBorders>
            <w:shd w:val="clear" w:color="auto" w:fill="C0C0C0"/>
            <w:noWrap/>
            <w:textDirection w:val="lrTb"/>
            <w:vAlign w:val="center"/>
          </w:tcPr>
          <w:p w:rsidR="00F734B1" w:rsidRPr="003F4735" w:rsidP="009324C7">
            <w:pPr>
              <w:jc w:val="right"/>
              <w:rPr>
                <w:rFonts w:ascii="Arial Narrow" w:hAnsi="Arial Narrow" w:cs="Arial Narrow"/>
                <w:b/>
                <w:sz w:val="20"/>
                <w:szCs w:val="24"/>
                <w:lang w:eastAsia="sk-SK"/>
              </w:rPr>
            </w:pPr>
            <w:r w:rsidRPr="003F4735">
              <w:rPr>
                <w:rFonts w:ascii="Arial Narrow" w:hAnsi="Arial Narrow" w:cs="Arial Narrow"/>
                <w:b/>
                <w:sz w:val="20"/>
                <w:szCs w:val="24"/>
                <w:lang w:eastAsia="sk-SK"/>
              </w:rPr>
              <w:t>1 495,5</w:t>
            </w:r>
          </w:p>
        </w:tc>
      </w:tr>
      <w:tr>
        <w:tblPrEx>
          <w:tblW w:w="9060" w:type="dxa"/>
          <w:jc w:val="center"/>
          <w:tblInd w:w="0" w:type="dxa"/>
          <w:tblCellMar>
            <w:left w:w="70" w:type="dxa"/>
            <w:right w:w="70" w:type="dxa"/>
          </w:tblCellMar>
        </w:tblPrEx>
        <w:trPr>
          <w:trHeight w:val="270"/>
          <w:jc w:val="center"/>
        </w:trPr>
        <w:tc>
          <w:tcPr>
            <w:tcW w:w="9060" w:type="dxa"/>
            <w:gridSpan w:val="5"/>
            <w:tcBorders>
              <w:top w:val="nil"/>
              <w:left w:val="nil"/>
              <w:bottom w:val="nil"/>
              <w:right w:val="nil"/>
            </w:tcBorders>
            <w:textDirection w:val="lrTb"/>
            <w:vAlign w:val="center"/>
          </w:tcPr>
          <w:p w:rsidR="00F734B1" w:rsidRPr="003F4735" w:rsidP="009324C7">
            <w:pPr>
              <w:rPr>
                <w:rFonts w:ascii="Arial Narrow" w:hAnsi="Arial Narrow" w:cs="Arial Narrow"/>
                <w:sz w:val="20"/>
                <w:szCs w:val="24"/>
                <w:lang w:eastAsia="sk-SK"/>
              </w:rPr>
            </w:pPr>
            <w:r w:rsidRPr="003F4735">
              <w:rPr>
                <w:rFonts w:ascii="Arial Narrow" w:hAnsi="Arial Narrow" w:cs="Arial Narrow"/>
                <w:sz w:val="20"/>
                <w:szCs w:val="24"/>
                <w:lang w:eastAsia="sk-SK"/>
              </w:rPr>
              <w:t>*-oficiálna rozvojová pomoc</w:t>
            </w:r>
          </w:p>
        </w:tc>
      </w:tr>
    </w:tbl>
    <w:p w:rsidR="00F734B1" w:rsidP="00F734B1">
      <w:pPr>
        <w:pStyle w:val="BodyText"/>
        <w:ind w:left="540" w:hanging="540"/>
        <w:outlineLvl w:val="0"/>
        <w:rPr>
          <w:rFonts w:ascii="Arial Narrow" w:hAnsi="Arial Narrow" w:cs="Arial Narrow"/>
          <w:sz w:val="22"/>
          <w:szCs w:val="24"/>
        </w:rPr>
      </w:pPr>
    </w:p>
    <w:p w:rsidR="00F734B1" w:rsidRPr="00741CB4" w:rsidP="00F734B1">
      <w:pPr>
        <w:jc w:val="both"/>
        <w:rPr>
          <w:rFonts w:ascii="Arial Narrow" w:hAnsi="Arial Narrow" w:cs="Arial Narrow"/>
          <w:i/>
          <w:sz w:val="22"/>
          <w:szCs w:val="24"/>
        </w:rPr>
      </w:pPr>
      <w:r w:rsidRPr="00741CB4">
        <w:rPr>
          <w:rFonts w:ascii="Arial Narrow" w:hAnsi="Arial Narrow" w:cs="Arial Narrow"/>
          <w:i/>
          <w:sz w:val="22"/>
          <w:szCs w:val="24"/>
        </w:rPr>
        <w:t>IDA - Medzinárodné združenie pre rozvoj; rezerva na doplnenie zdrojov</w:t>
      </w:r>
    </w:p>
    <w:p w:rsidR="00F734B1" w:rsidP="00F734B1">
      <w:pPr>
        <w:jc w:val="both"/>
        <w:rPr>
          <w:rFonts w:ascii="Arial Narrow" w:hAnsi="Arial Narrow" w:cs="Arial Narrow"/>
          <w:noProof/>
          <w:sz w:val="22"/>
          <w:szCs w:val="24"/>
        </w:rPr>
      </w:pPr>
      <w:r>
        <w:rPr>
          <w:rFonts w:ascii="Arial Narrow" w:hAnsi="Arial Narrow" w:cs="Arial Narrow"/>
          <w:sz w:val="22"/>
          <w:szCs w:val="24"/>
        </w:rPr>
        <w:t xml:space="preserve">Pristúpením SR k 15. navýšeniu zdrojov IDA budú poskytnuté prostriedky vo výške 2,230 mil. eur v troch splátkach, a to v roku 2009, 2010 a 2011. V roku 2012 predpokladáme pristúpenie SR k 16. navýšeniu zdrojov IDA. Pristúpením SR k financovaniu Iniciatívy pre multilaterálne odpustenie dlhov (MDRI) v rámci Medzinárodného združenia pre rozvoj sa očakávajú výdavky v celkovej výške 630 tis. eur až do roku 2018. </w:t>
      </w:r>
    </w:p>
    <w:p w:rsidR="00F734B1" w:rsidP="00F734B1">
      <w:pPr>
        <w:jc w:val="both"/>
        <w:rPr>
          <w:rFonts w:ascii="Arial Narrow" w:hAnsi="Arial Narrow" w:cs="Arial Narrow"/>
          <w:b/>
          <w:i/>
          <w:sz w:val="22"/>
          <w:szCs w:val="24"/>
        </w:rPr>
      </w:pPr>
    </w:p>
    <w:p w:rsidR="00F734B1" w:rsidRPr="00741CB4" w:rsidP="00F734B1">
      <w:pPr>
        <w:jc w:val="both"/>
        <w:rPr>
          <w:rFonts w:ascii="Arial Narrow" w:hAnsi="Arial Narrow" w:cs="Arial Narrow"/>
          <w:i/>
          <w:sz w:val="22"/>
          <w:szCs w:val="24"/>
        </w:rPr>
      </w:pPr>
      <w:r w:rsidRPr="00741CB4">
        <w:rPr>
          <w:rFonts w:ascii="Arial Narrow" w:hAnsi="Arial Narrow" w:cs="Arial Narrow"/>
          <w:i/>
          <w:sz w:val="22"/>
          <w:szCs w:val="24"/>
        </w:rPr>
        <w:t>IBRD a MIGA - Medzinárodná banka pre obnovu a rozvoj, Mnohostranná agentúra pre investičné záruky</w:t>
      </w:r>
    </w:p>
    <w:p w:rsidR="00F734B1" w:rsidRPr="00782282" w:rsidP="00F734B1">
      <w:pPr>
        <w:jc w:val="both"/>
        <w:rPr>
          <w:rFonts w:ascii="Arial Narrow" w:hAnsi="Arial Narrow" w:cs="Arial Narrow"/>
          <w:sz w:val="22"/>
          <w:szCs w:val="24"/>
        </w:rPr>
      </w:pPr>
      <w:r>
        <w:rPr>
          <w:rFonts w:ascii="Arial Narrow" w:hAnsi="Arial Narrow" w:cs="Arial Narrow"/>
          <w:sz w:val="22"/>
          <w:szCs w:val="24"/>
        </w:rPr>
        <w:t xml:space="preserve">V rámci rozpočtového rámca na roky 2010 až 2012 sa navrhuje vyčleniť 1 013,8 tis. eur ako rezerva na valorizáciu akcií SR a rezerva splatná na požiadanie v rámci zvýšenia základného kapitálu. </w:t>
      </w:r>
    </w:p>
    <w:p w:rsidR="00F734B1" w:rsidP="00F734B1">
      <w:pPr>
        <w:jc w:val="both"/>
        <w:rPr>
          <w:rFonts w:ascii="Arial Narrow" w:hAnsi="Arial Narrow" w:cs="Arial Narrow"/>
          <w:b/>
          <w:i/>
          <w:sz w:val="22"/>
          <w:szCs w:val="24"/>
        </w:rPr>
      </w:pPr>
    </w:p>
    <w:p w:rsidR="00F734B1" w:rsidRPr="00741CB4" w:rsidP="00F734B1">
      <w:pPr>
        <w:jc w:val="both"/>
        <w:rPr>
          <w:rFonts w:ascii="Arial Narrow" w:hAnsi="Arial Narrow" w:cs="Arial Narrow"/>
          <w:i/>
          <w:sz w:val="22"/>
          <w:szCs w:val="24"/>
        </w:rPr>
      </w:pPr>
      <w:r w:rsidRPr="00741CB4">
        <w:rPr>
          <w:rFonts w:ascii="Arial Narrow" w:hAnsi="Arial Narrow" w:cs="Arial Narrow"/>
          <w:i/>
          <w:sz w:val="22"/>
          <w:szCs w:val="24"/>
        </w:rPr>
        <w:t>EIB - Európska investičná banka - poskytnutie záruky SR v prospech EIB na základe záručnej zmluvy</w:t>
      </w:r>
    </w:p>
    <w:p w:rsidR="00F734B1" w:rsidP="00F734B1">
      <w:pPr>
        <w:jc w:val="both"/>
        <w:rPr>
          <w:rFonts w:ascii="Arial Narrow" w:hAnsi="Arial Narrow" w:cs="Arial Narrow"/>
          <w:sz w:val="22"/>
          <w:szCs w:val="24"/>
        </w:rPr>
      </w:pPr>
      <w:r>
        <w:rPr>
          <w:rFonts w:ascii="Arial Narrow" w:hAnsi="Arial Narrow" w:cs="Arial Narrow"/>
          <w:sz w:val="22"/>
          <w:szCs w:val="24"/>
        </w:rPr>
        <w:t>Vláda SR uznesením č. 606 z 10. septembra 2008  súhlasi</w:t>
      </w:r>
      <w:r w:rsidR="003E39F7">
        <w:rPr>
          <w:rFonts w:ascii="Arial Narrow" w:hAnsi="Arial Narrow" w:cs="Arial Narrow"/>
          <w:sz w:val="22"/>
          <w:szCs w:val="24"/>
        </w:rPr>
        <w:t>la s uzatvorením Záručnej zmluvy</w:t>
      </w:r>
      <w:r>
        <w:rPr>
          <w:rFonts w:ascii="Arial Narrow" w:hAnsi="Arial Narrow" w:cs="Arial Narrow"/>
          <w:sz w:val="22"/>
          <w:szCs w:val="24"/>
        </w:rPr>
        <w:t xml:space="preserve"> medzi členskými štátmi EIB a EIB ohľadom úverov, ktoré poskytne EIB v prospech investičných projektov v štátoch Afriky, Karibiku a Pacifiku a v zámorských krajinách a územiach. Na základe tejto záručnej zmluvy SR poskytne záruku v prospech EIB. Očakávaná čistá angažovanosť SR z titulu uplatnených záruk v EUR predstavuje čiastky vo výške 107,</w:t>
      </w:r>
      <w:r w:rsidR="00A70AF6">
        <w:rPr>
          <w:rFonts w:ascii="Arial Narrow" w:hAnsi="Arial Narrow" w:cs="Arial Narrow"/>
          <w:sz w:val="22"/>
          <w:szCs w:val="24"/>
        </w:rPr>
        <w:t>8</w:t>
      </w:r>
      <w:r>
        <w:rPr>
          <w:rFonts w:ascii="Arial Narrow" w:hAnsi="Arial Narrow" w:cs="Arial Narrow"/>
          <w:sz w:val="22"/>
          <w:szCs w:val="24"/>
        </w:rPr>
        <w:t xml:space="preserve"> tis. eur v roku 2010,  186,2 tis. eur v roku 2011 a 285,5 tis. eur v roku 2012. Konkrétne výdavky budú realizované v závislosti od toho, či EIB vyzve SR na úhradu za dlžníka. Tieto prostriedky predstavujú aktíva SR a budú úročené do okamihu uplatnenia záruky. </w:t>
      </w:r>
    </w:p>
    <w:p w:rsidR="00F734B1" w:rsidP="00F734B1">
      <w:pPr>
        <w:jc w:val="both"/>
        <w:rPr>
          <w:rFonts w:ascii="Arial Narrow" w:hAnsi="Arial Narrow" w:cs="Arial Narrow"/>
          <w:sz w:val="22"/>
          <w:szCs w:val="24"/>
        </w:rPr>
      </w:pPr>
    </w:p>
    <w:p w:rsidR="00F734B1" w:rsidRPr="00567C63" w:rsidP="00F734B1">
      <w:pPr>
        <w:jc w:val="both"/>
        <w:rPr>
          <w:rFonts w:ascii="Arial Narrow" w:hAnsi="Arial Narrow" w:cs="Arial Narrow"/>
          <w:sz w:val="22"/>
          <w:szCs w:val="24"/>
        </w:rPr>
      </w:pPr>
      <w:bookmarkStart w:id="77" w:name="_Toc148255263"/>
      <w:r w:rsidRPr="00DF0A80">
        <w:rPr>
          <w:rFonts w:ascii="Arial Narrow" w:hAnsi="Arial Narrow" w:cs="Arial Narrow"/>
          <w:sz w:val="22"/>
          <w:szCs w:val="24"/>
        </w:rPr>
        <w:t>5.2.4.   Vláda SR svojim uznesením č. 1174 z 8. decembra 2004 k návrhu konečnej podoby zmluvných dokumentov súvisiacich s privatizáciou Slovenských elektrární, a. s v bode A. 2. schválila ukončenie činnosti Združenia Dunaj a vysporiadanie pohľadávky SE, a. s. vo výške 113,85 mil. eur, ktorú SE, a. s. vykazujú voči Združeniu Dunaj, a to z výnosu z privatizácie SE, a. s.</w:t>
      </w:r>
      <w:bookmarkEnd w:id="77"/>
    </w:p>
    <w:p w:rsidR="00F734B1" w:rsidRPr="00567C63" w:rsidP="00F734B1">
      <w:pPr>
        <w:pStyle w:val="BodyText"/>
        <w:widowControl w:val="0"/>
        <w:outlineLvl w:val="0"/>
        <w:rPr>
          <w:rFonts w:ascii="Arial Narrow" w:hAnsi="Arial Narrow" w:cs="Arial Narrow"/>
          <w:sz w:val="22"/>
          <w:szCs w:val="24"/>
        </w:rPr>
      </w:pPr>
    </w:p>
    <w:p w:rsidR="00F734B1" w:rsidP="00F734B1">
      <w:pPr>
        <w:jc w:val="both"/>
        <w:rPr>
          <w:rFonts w:ascii="Arial Narrow" w:hAnsi="Arial Narrow" w:cs="Arial Narrow"/>
          <w:sz w:val="22"/>
          <w:szCs w:val="24"/>
        </w:rPr>
      </w:pPr>
      <w:bookmarkStart w:id="78" w:name="_Toc141529503"/>
      <w:bookmarkStart w:id="79" w:name="_Toc143348617"/>
      <w:bookmarkStart w:id="80" w:name="_Toc148255264"/>
      <w:bookmarkStart w:id="81" w:name="_Toc174871979"/>
      <w:bookmarkStart w:id="82" w:name="_Toc206478414"/>
      <w:r>
        <w:rPr>
          <w:rFonts w:ascii="Arial Narrow" w:hAnsi="Arial Narrow" w:cs="Arial Narrow"/>
          <w:sz w:val="22"/>
          <w:szCs w:val="24"/>
        </w:rPr>
        <w:t>5.2.5.</w:t>
        <w:tab/>
        <w:t xml:space="preserve">Uznesením vlády SR č. 1088 z 19. decembra 2007 bol schválený návrh inštitucionalizácie systému podpory exportu v Slovenskej republike, ktorý zadefinoval potrebu zdrojového posilnenia EXIMBANKY SR, a to </w:t>
      </w:r>
      <w:r w:rsidRPr="004C2D5D">
        <w:rPr>
          <w:rFonts w:ascii="Arial Narrow" w:hAnsi="Arial Narrow" w:cs="Arial Narrow"/>
          <w:sz w:val="22"/>
          <w:szCs w:val="24"/>
        </w:rPr>
        <w:t>vkladom do základného imania</w:t>
      </w:r>
      <w:r>
        <w:rPr>
          <w:rFonts w:ascii="Arial Narrow" w:hAnsi="Arial Narrow" w:cs="Arial Narrow"/>
          <w:sz w:val="22"/>
          <w:szCs w:val="24"/>
        </w:rPr>
        <w:t>. P</w:t>
      </w:r>
      <w:r w:rsidRPr="004C2D5D">
        <w:rPr>
          <w:rFonts w:ascii="Arial Narrow" w:hAnsi="Arial Narrow" w:cs="Arial Narrow"/>
          <w:sz w:val="22"/>
          <w:szCs w:val="24"/>
        </w:rPr>
        <w:t>osilnenie zdrojových možností banky</w:t>
      </w:r>
      <w:r>
        <w:rPr>
          <w:rFonts w:ascii="Arial Narrow" w:hAnsi="Arial Narrow" w:cs="Arial Narrow"/>
          <w:sz w:val="22"/>
          <w:szCs w:val="24"/>
        </w:rPr>
        <w:t xml:space="preserve"> </w:t>
      </w:r>
      <w:r w:rsidRPr="004C2D5D">
        <w:rPr>
          <w:rFonts w:ascii="Arial Narrow" w:hAnsi="Arial Narrow" w:cs="Arial Narrow"/>
          <w:sz w:val="22"/>
          <w:szCs w:val="24"/>
        </w:rPr>
        <w:t xml:space="preserve">bude mať pozitívny vplyv na </w:t>
      </w:r>
      <w:r>
        <w:rPr>
          <w:rFonts w:ascii="Arial Narrow" w:hAnsi="Arial Narrow" w:cs="Arial Narrow"/>
          <w:sz w:val="22"/>
          <w:szCs w:val="24"/>
        </w:rPr>
        <w:t xml:space="preserve">dosiahnutie definovaných cieľov proexportnej politiky EXIMBANKY SR. </w:t>
      </w:r>
    </w:p>
    <w:p w:rsidR="00F734B1" w:rsidP="00F734B1">
      <w:pPr>
        <w:jc w:val="both"/>
        <w:rPr>
          <w:rFonts w:ascii="Arial Narrow" w:hAnsi="Arial Narrow" w:cs="Arial Narrow"/>
          <w:sz w:val="22"/>
          <w:szCs w:val="24"/>
        </w:rPr>
      </w:pPr>
    </w:p>
    <w:p w:rsidR="00F734B1" w:rsidP="00F734B1">
      <w:pPr>
        <w:pStyle w:val="BodyText"/>
        <w:widowControl w:val="0"/>
        <w:rPr>
          <w:rFonts w:ascii="Arial Narrow" w:hAnsi="Arial Narrow" w:cs="Arial Narrow"/>
          <w:sz w:val="22"/>
          <w:szCs w:val="24"/>
        </w:rPr>
      </w:pPr>
      <w:r w:rsidRPr="00B86813">
        <w:rPr>
          <w:rFonts w:ascii="Arial Narrow" w:hAnsi="Arial Narrow" w:cs="Arial Narrow"/>
          <w:sz w:val="22"/>
          <w:szCs w:val="24"/>
        </w:rPr>
        <w:t>5.2.6.</w:t>
        <w:tab/>
        <w:t>Uznesením vlády SR č. 705 z 01. októbra 2008 bol schválený vklad do základného imania Letiska M. R. Štefánika – Airport Bratislava, a. s. (BTS)</w:t>
      </w:r>
      <w:r>
        <w:rPr>
          <w:rFonts w:ascii="Arial Narrow" w:hAnsi="Arial Narrow" w:cs="Arial Narrow"/>
          <w:sz w:val="22"/>
          <w:szCs w:val="24"/>
        </w:rPr>
        <w:t xml:space="preserve"> </w:t>
      </w:r>
      <w:r w:rsidRPr="00B86813">
        <w:rPr>
          <w:rFonts w:ascii="Arial Narrow" w:hAnsi="Arial Narrow" w:cs="Arial Narrow"/>
          <w:sz w:val="22"/>
          <w:szCs w:val="24"/>
        </w:rPr>
        <w:t>na rozvoj a rozšírenie prepravovacích kapacít letiska.</w:t>
      </w:r>
    </w:p>
    <w:p w:rsidR="00F734B1" w:rsidRPr="004C2D5D" w:rsidP="00F734B1">
      <w:pPr>
        <w:pStyle w:val="BodyText"/>
        <w:widowControl w:val="0"/>
        <w:rPr>
          <w:rFonts w:ascii="Arial Narrow" w:hAnsi="Arial Narrow" w:cs="Arial Narrow"/>
          <w:sz w:val="22"/>
          <w:szCs w:val="24"/>
        </w:rPr>
      </w:pPr>
    </w:p>
    <w:p w:rsidR="00F734B1" w:rsidRPr="003B2DEA" w:rsidP="00F734B1">
      <w:pPr>
        <w:pStyle w:val="Heading1"/>
        <w:spacing w:after="0"/>
        <w:rPr>
          <w:rFonts w:ascii="Arial Narrow" w:hAnsi="Arial Narrow" w:cs="Arial Narrow"/>
          <w:sz w:val="28"/>
          <w:szCs w:val="24"/>
        </w:rPr>
      </w:pPr>
      <w:bookmarkStart w:id="83" w:name="_Toc241846652"/>
      <w:r w:rsidRPr="003B2DEA">
        <w:rPr>
          <w:rFonts w:ascii="Arial Narrow" w:hAnsi="Arial Narrow" w:cs="Arial Narrow"/>
          <w:sz w:val="28"/>
          <w:szCs w:val="24"/>
        </w:rPr>
        <w:t>6. Štátny rozpočet v metodike ESA 95</w:t>
      </w:r>
      <w:bookmarkEnd w:id="76"/>
      <w:bookmarkEnd w:id="78"/>
      <w:bookmarkEnd w:id="79"/>
      <w:bookmarkEnd w:id="80"/>
      <w:bookmarkEnd w:id="81"/>
      <w:bookmarkEnd w:id="82"/>
      <w:bookmarkEnd w:id="83"/>
    </w:p>
    <w:p w:rsidR="00F734B1" w:rsidRPr="00362451" w:rsidP="00F734B1">
      <w:pPr>
        <w:jc w:val="both"/>
        <w:rPr>
          <w:rFonts w:ascii="Arial Narrow" w:hAnsi="Arial Narrow" w:cs="Arial Narrow"/>
          <w:sz w:val="22"/>
          <w:szCs w:val="24"/>
        </w:rPr>
      </w:pPr>
    </w:p>
    <w:p w:rsidR="00F734B1" w:rsidP="00F734B1">
      <w:pPr>
        <w:pStyle w:val="BodyText2"/>
        <w:spacing w:after="0" w:line="240" w:lineRule="auto"/>
        <w:ind w:firstLine="709"/>
        <w:jc w:val="both"/>
        <w:rPr>
          <w:rFonts w:ascii="Arial Narrow" w:hAnsi="Arial Narrow" w:cs="Arial Narrow"/>
          <w:sz w:val="22"/>
          <w:szCs w:val="24"/>
        </w:rPr>
      </w:pPr>
      <w:r>
        <w:rPr>
          <w:rFonts w:ascii="Arial Narrow" w:hAnsi="Arial Narrow" w:cs="Arial Narrow"/>
          <w:sz w:val="22"/>
          <w:szCs w:val="24"/>
        </w:rPr>
        <w:t xml:space="preserve">Na schodok štátneho rozpočtu na hotovostnom princípe majú vplyv modifikujúce faktory, ktoré predstavujú rozdiel medzi rozpočtovaním na hotovostnom a na akruálnom princípe (metodika ESA 95). Súčasťou modifikujúcich faktorov štátneho rozpočtu na roky 2010 až 2012 je saldo rozpočtových operácií štátnych finančných aktív bez finančných operácií a zahrnutie položiek časového rozlíšenia ako aj výdavky určené na </w:t>
      </w:r>
      <w:r w:rsidRPr="00DF0A80">
        <w:rPr>
          <w:rFonts w:ascii="Arial Narrow" w:hAnsi="Arial Narrow" w:cs="Arial Narrow"/>
          <w:sz w:val="22"/>
          <w:szCs w:val="24"/>
        </w:rPr>
        <w:t>verejnoprospešný účel (bližšie v časti 3.2. Akruálne dane pre rozpočet verejnej správy na roky  2010 až 2012).</w:t>
      </w:r>
      <w:r>
        <w:rPr>
          <w:rFonts w:ascii="Arial Narrow" w:hAnsi="Arial Narrow" w:cs="Arial Narrow"/>
          <w:sz w:val="22"/>
          <w:szCs w:val="24"/>
        </w:rPr>
        <w:t xml:space="preserve"> </w:t>
      </w:r>
    </w:p>
    <w:p w:rsidR="00F734B1" w:rsidP="00F734B1">
      <w:pPr>
        <w:pStyle w:val="BodyText2"/>
        <w:spacing w:after="0" w:line="240" w:lineRule="auto"/>
        <w:ind w:firstLine="709"/>
        <w:jc w:val="both"/>
        <w:rPr>
          <w:rFonts w:ascii="Arial Narrow" w:hAnsi="Arial Narrow" w:cs="Arial Narrow"/>
          <w:sz w:val="22"/>
          <w:szCs w:val="24"/>
        </w:rPr>
      </w:pPr>
    </w:p>
    <w:tbl>
      <w:tblPr>
        <w:tblStyle w:val="TableNormal"/>
        <w:tblW w:w="7920" w:type="dxa"/>
        <w:jc w:val="center"/>
        <w:tblInd w:w="0" w:type="dxa"/>
        <w:tblCellMar>
          <w:left w:w="70" w:type="dxa"/>
          <w:right w:w="70" w:type="dxa"/>
        </w:tblCellMar>
      </w:tblPr>
      <w:tblGrid>
        <w:gridCol w:w="3440"/>
        <w:gridCol w:w="1120"/>
        <w:gridCol w:w="1120"/>
        <w:gridCol w:w="1120"/>
        <w:gridCol w:w="1120"/>
      </w:tblGrid>
      <w:tr>
        <w:tblPrEx>
          <w:tblW w:w="7920" w:type="dxa"/>
          <w:jc w:val="center"/>
          <w:tblInd w:w="0" w:type="dxa"/>
          <w:tblCellMar>
            <w:left w:w="70" w:type="dxa"/>
            <w:right w:w="70" w:type="dxa"/>
          </w:tblCellMar>
        </w:tblPrEx>
        <w:trPr>
          <w:trHeight w:val="360"/>
          <w:jc w:val="center"/>
        </w:trPr>
        <w:tc>
          <w:tcPr>
            <w:tcW w:w="3440" w:type="dxa"/>
            <w:tcBorders>
              <w:top w:val="single" w:sz="8" w:space="0" w:color="auto"/>
              <w:left w:val="single" w:sz="8" w:space="0" w:color="auto"/>
              <w:bottom w:val="single" w:sz="8" w:space="0" w:color="auto"/>
              <w:right w:val="single" w:sz="4" w:space="0" w:color="auto"/>
            </w:tcBorders>
            <w:shd w:val="clear" w:color="auto" w:fill="000000"/>
            <w:noWrap/>
            <w:textDirection w:val="lrTb"/>
            <w:vAlign w:val="top"/>
          </w:tcPr>
          <w:p w:rsidR="00F734B1" w:rsidRPr="007449F1" w:rsidP="009324C7">
            <w:pPr>
              <w:rPr>
                <w:rFonts w:ascii="Arial Narrow" w:hAnsi="Arial Narrow" w:cs="Arial Narrow"/>
                <w:color w:val="FFFFFF"/>
                <w:sz w:val="16"/>
                <w:szCs w:val="24"/>
                <w:lang w:eastAsia="sk-SK"/>
              </w:rPr>
            </w:pPr>
            <w:r w:rsidRPr="007449F1">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2012</w:t>
            </w:r>
          </w:p>
        </w:tc>
      </w:tr>
      <w:tr>
        <w:tblPrEx>
          <w:tblW w:w="7920" w:type="dxa"/>
          <w:jc w:val="center"/>
          <w:tblInd w:w="0" w:type="dxa"/>
          <w:tblCellMar>
            <w:left w:w="70" w:type="dxa"/>
            <w:right w:w="70" w:type="dxa"/>
          </w:tblCellMar>
        </w:tblPrEx>
        <w:trPr>
          <w:trHeight w:val="540"/>
          <w:jc w:val="center"/>
        </w:trPr>
        <w:tc>
          <w:tcPr>
            <w:tcW w:w="3440" w:type="dxa"/>
            <w:tcBorders>
              <w:top w:val="nil"/>
              <w:left w:val="single" w:sz="8" w:space="0" w:color="auto"/>
              <w:bottom w:val="single" w:sz="8" w:space="0" w:color="auto"/>
              <w:right w:val="single" w:sz="4" w:space="0" w:color="auto"/>
            </w:tcBorders>
            <w:shd w:val="clear" w:color="auto" w:fill="C0C0C0"/>
            <w:noWrap/>
            <w:textDirection w:val="lrTb"/>
            <w:vAlign w:val="center"/>
          </w:tcPr>
          <w:p w:rsidR="00F734B1" w:rsidRPr="007449F1" w:rsidP="009324C7">
            <w:pPr>
              <w:rPr>
                <w:rFonts w:ascii="Arial Narrow" w:hAnsi="Arial Narrow" w:cs="Arial Narrow"/>
                <w:b/>
                <w:sz w:val="20"/>
                <w:szCs w:val="24"/>
                <w:lang w:eastAsia="sk-SK"/>
              </w:rPr>
            </w:pPr>
            <w:r w:rsidRPr="007449F1">
              <w:rPr>
                <w:rFonts w:ascii="Arial Narrow" w:hAnsi="Arial Narrow" w:cs="Arial Narrow"/>
                <w:b/>
                <w:sz w:val="20"/>
                <w:szCs w:val="24"/>
                <w:lang w:eastAsia="sk-SK"/>
              </w:rPr>
              <w:t>Modifikujúce faktory</w:t>
            </w:r>
            <w:r w:rsidRPr="007449F1">
              <w:rPr>
                <w:rFonts w:ascii="Arial Narrow" w:hAnsi="Arial Narrow" w:cs="Arial Narrow"/>
                <w:sz w:val="20"/>
                <w:szCs w:val="24"/>
                <w:lang w:eastAsia="sk-SK"/>
              </w:rPr>
              <w:t>, z toho:</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-802 781</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-127 077</w:t>
            </w:r>
          </w:p>
        </w:tc>
        <w:tc>
          <w:tcPr>
            <w:tcW w:w="1120" w:type="dxa"/>
            <w:tcBorders>
              <w:top w:val="nil"/>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-122 148</w:t>
            </w:r>
          </w:p>
        </w:tc>
        <w:tc>
          <w:tcPr>
            <w:tcW w:w="1120" w:type="dxa"/>
            <w:tcBorders>
              <w:top w:val="nil"/>
              <w:left w:val="nil"/>
              <w:bottom w:val="single" w:sz="8" w:space="0" w:color="auto"/>
              <w:right w:val="single" w:sz="8"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39 615</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1. saldo rozp. operácíí ŠFA bez FO</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-477 097</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-48 056</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0</w:t>
            </w:r>
          </w:p>
        </w:tc>
        <w:tc>
          <w:tcPr>
            <w:tcW w:w="1120" w:type="dxa"/>
            <w:tcBorders>
              <w:top w:val="nil"/>
              <w:left w:val="nil"/>
              <w:bottom w:val="single" w:sz="4"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0</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2. vplyv čas. rozlíšenia platených úrokov</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-101 225</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-142 866</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-261 551</w:t>
            </w:r>
          </w:p>
        </w:tc>
        <w:tc>
          <w:tcPr>
            <w:tcW w:w="1120" w:type="dxa"/>
            <w:tcBorders>
              <w:top w:val="nil"/>
              <w:left w:val="nil"/>
              <w:bottom w:val="single" w:sz="4"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-92 320</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3. medziročná zmena stavu pohľadávok EÚ</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-207</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43 526</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-13 777</w:t>
            </w:r>
          </w:p>
        </w:tc>
        <w:tc>
          <w:tcPr>
            <w:tcW w:w="1120" w:type="dxa"/>
            <w:tcBorders>
              <w:top w:val="nil"/>
              <w:left w:val="nil"/>
              <w:bottom w:val="single" w:sz="4"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-46 644</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4. časové rozlíšenie daňových príjmov</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-170 577</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67 239</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191 828</w:t>
            </w:r>
          </w:p>
        </w:tc>
        <w:tc>
          <w:tcPr>
            <w:tcW w:w="1120" w:type="dxa"/>
            <w:tcBorders>
              <w:top w:val="nil"/>
              <w:left w:val="nil"/>
              <w:bottom w:val="single" w:sz="4"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222 619</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8"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5. výdavky na VPÚ</w:t>
            </w:r>
          </w:p>
        </w:tc>
        <w:tc>
          <w:tcPr>
            <w:tcW w:w="1120" w:type="dxa"/>
            <w:tcBorders>
              <w:top w:val="nil"/>
              <w:left w:val="nil"/>
              <w:bottom w:val="single" w:sz="8"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-53 675</w:t>
            </w:r>
          </w:p>
        </w:tc>
        <w:tc>
          <w:tcPr>
            <w:tcW w:w="1120" w:type="dxa"/>
            <w:tcBorders>
              <w:top w:val="nil"/>
              <w:left w:val="nil"/>
              <w:bottom w:val="single" w:sz="8"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-46 920</w:t>
            </w:r>
          </w:p>
        </w:tc>
        <w:tc>
          <w:tcPr>
            <w:tcW w:w="1120" w:type="dxa"/>
            <w:tcBorders>
              <w:top w:val="nil"/>
              <w:left w:val="nil"/>
              <w:bottom w:val="single" w:sz="8"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-38 648</w:t>
            </w:r>
          </w:p>
        </w:tc>
        <w:tc>
          <w:tcPr>
            <w:tcW w:w="1120" w:type="dxa"/>
            <w:tcBorders>
              <w:top w:val="nil"/>
              <w:left w:val="nil"/>
              <w:bottom w:val="single" w:sz="8"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-44 040</w:t>
            </w:r>
          </w:p>
        </w:tc>
      </w:tr>
    </w:tbl>
    <w:p w:rsidR="00F734B1" w:rsidP="00F734B1">
      <w:pPr>
        <w:jc w:val="both"/>
        <w:rPr>
          <w:rFonts w:ascii="Arial Narrow" w:hAnsi="Arial Narrow" w:cs="Arial Narrow"/>
          <w:sz w:val="22"/>
          <w:szCs w:val="24"/>
        </w:rPr>
      </w:pPr>
    </w:p>
    <w:p w:rsidR="00F734B1" w:rsidP="00F734B1">
      <w:pPr>
        <w:jc w:val="both"/>
        <w:rPr>
          <w:rFonts w:ascii="Arial Narrow" w:hAnsi="Arial Narrow" w:cs="Arial Narrow"/>
          <w:sz w:val="22"/>
          <w:szCs w:val="24"/>
        </w:rPr>
      </w:pPr>
      <w:r>
        <w:rPr>
          <w:rFonts w:ascii="Arial Narrow" w:hAnsi="Arial Narrow" w:cs="Arial Narrow"/>
          <w:sz w:val="22"/>
          <w:szCs w:val="24"/>
        </w:rPr>
        <w:t>6.1.</w:t>
        <w:tab/>
        <w:t>Saldo rozpočtových operácií štátnych finančných aktív bez finančných operácií je uvedené v predchádzajúcej časti 5. Štátne finančné aktíva.</w:t>
      </w:r>
    </w:p>
    <w:p w:rsidR="00F734B1" w:rsidP="00F734B1">
      <w:pPr>
        <w:ind w:firstLine="708"/>
        <w:jc w:val="both"/>
        <w:rPr>
          <w:rFonts w:ascii="Arial Narrow" w:hAnsi="Arial Narrow" w:cs="Arial Narrow"/>
          <w:sz w:val="22"/>
          <w:szCs w:val="24"/>
        </w:rPr>
      </w:pPr>
    </w:p>
    <w:p w:rsidR="00F734B1" w:rsidP="00F734B1">
      <w:pPr>
        <w:jc w:val="both"/>
        <w:rPr>
          <w:rFonts w:ascii="Arial Narrow" w:hAnsi="Arial Narrow" w:cs="Arial Narrow"/>
          <w:sz w:val="22"/>
          <w:szCs w:val="24"/>
        </w:rPr>
      </w:pPr>
      <w:r w:rsidRPr="00DF0A80">
        <w:rPr>
          <w:rFonts w:ascii="Arial Narrow" w:hAnsi="Arial Narrow" w:cs="Arial Narrow"/>
          <w:sz w:val="22"/>
          <w:szCs w:val="24"/>
        </w:rPr>
        <w:t>6.2.</w:t>
        <w:tab/>
        <w:t>Položky časového rozlíšenia štátneho rozpočtu obsahujú vplyv časového rozlíšenia platených úrokov</w:t>
      </w:r>
      <w:r>
        <w:rPr>
          <w:rFonts w:ascii="Arial Narrow" w:hAnsi="Arial Narrow" w:cs="Arial Narrow"/>
          <w:sz w:val="22"/>
          <w:szCs w:val="24"/>
        </w:rPr>
        <w:t xml:space="preserve"> (rozdiel medzi objemom hotovostných a akruálnych úrokov) súvisiacich so štátnym dlhom. Očakávaný vývoj platených úrokov zobrazuje nasledovná tabuľka. </w:t>
      </w:r>
    </w:p>
    <w:p w:rsidR="00F734B1" w:rsidP="00F734B1">
      <w:pPr>
        <w:jc w:val="both"/>
        <w:rPr>
          <w:rFonts w:ascii="Arial Narrow" w:hAnsi="Arial Narrow" w:cs="Arial Narrow"/>
          <w:sz w:val="22"/>
          <w:szCs w:val="24"/>
        </w:rPr>
      </w:pPr>
    </w:p>
    <w:tbl>
      <w:tblPr>
        <w:tblStyle w:val="TableNormal"/>
        <w:tblW w:w="7920" w:type="dxa"/>
        <w:jc w:val="center"/>
        <w:tblInd w:w="0" w:type="dxa"/>
        <w:tblCellMar>
          <w:left w:w="70" w:type="dxa"/>
          <w:right w:w="70" w:type="dxa"/>
        </w:tblCellMar>
      </w:tblPr>
      <w:tblGrid>
        <w:gridCol w:w="3440"/>
        <w:gridCol w:w="1120"/>
        <w:gridCol w:w="1120"/>
        <w:gridCol w:w="1120"/>
        <w:gridCol w:w="1120"/>
      </w:tblGrid>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000000"/>
            <w:textDirection w:val="lrTb"/>
            <w:vAlign w:val="center"/>
          </w:tcPr>
          <w:p w:rsidR="00F734B1" w:rsidRPr="00BF2FA6" w:rsidP="009324C7">
            <w:pPr>
              <w:rPr>
                <w:rFonts w:ascii="Arial Narrow" w:hAnsi="Arial Narrow" w:cs="Arial Narrow"/>
                <w:b/>
                <w:color w:val="FFFFFF"/>
                <w:sz w:val="20"/>
                <w:szCs w:val="24"/>
                <w:lang w:eastAsia="sk-SK"/>
              </w:rPr>
            </w:pPr>
            <w:r w:rsidRPr="00BF2FA6">
              <w:rPr>
                <w:rFonts w:ascii="Arial Narrow" w:hAnsi="Arial Narrow" w:cs="Arial Narrow"/>
                <w:b/>
                <w:color w:val="FFFFFF"/>
                <w:sz w:val="20"/>
                <w:szCs w:val="24"/>
                <w:lang w:eastAsia="sk-SK"/>
              </w:rPr>
              <w:t>Platené úroky</w:t>
              <w:br/>
            </w:r>
            <w:r w:rsidRPr="00BF2FA6">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F2FA6" w:rsidP="009324C7">
            <w:pPr>
              <w:jc w:val="center"/>
              <w:rPr>
                <w:rFonts w:ascii="Arial Narrow" w:hAnsi="Arial Narrow" w:cs="Arial Narrow"/>
                <w:b/>
                <w:color w:val="FFFFFF"/>
                <w:sz w:val="20"/>
                <w:szCs w:val="24"/>
                <w:lang w:eastAsia="sk-SK"/>
              </w:rPr>
            </w:pPr>
            <w:r w:rsidRPr="00BF2FA6">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F2FA6" w:rsidP="009324C7">
            <w:pPr>
              <w:jc w:val="center"/>
              <w:rPr>
                <w:rFonts w:ascii="Arial Narrow" w:hAnsi="Arial Narrow" w:cs="Arial Narrow"/>
                <w:b/>
                <w:color w:val="FFFFFF"/>
                <w:sz w:val="20"/>
                <w:szCs w:val="24"/>
                <w:lang w:eastAsia="sk-SK"/>
              </w:rPr>
            </w:pPr>
            <w:r w:rsidRPr="00BF2FA6">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BF2FA6" w:rsidP="009324C7">
            <w:pPr>
              <w:jc w:val="center"/>
              <w:rPr>
                <w:rFonts w:ascii="Arial Narrow" w:hAnsi="Arial Narrow" w:cs="Arial Narrow"/>
                <w:b/>
                <w:color w:val="FFFFFF"/>
                <w:sz w:val="20"/>
                <w:szCs w:val="24"/>
                <w:lang w:eastAsia="sk-SK"/>
              </w:rPr>
            </w:pPr>
            <w:r w:rsidRPr="00BF2FA6">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BF2FA6" w:rsidP="009324C7">
            <w:pPr>
              <w:jc w:val="center"/>
              <w:rPr>
                <w:rFonts w:ascii="Arial Narrow" w:hAnsi="Arial Narrow" w:cs="Arial Narrow"/>
                <w:b/>
                <w:color w:val="FFFFFF"/>
                <w:sz w:val="20"/>
                <w:szCs w:val="24"/>
                <w:lang w:eastAsia="sk-SK"/>
              </w:rPr>
            </w:pPr>
            <w:r w:rsidRPr="00BF2FA6">
              <w:rPr>
                <w:rFonts w:ascii="Arial Narrow" w:hAnsi="Arial Narrow" w:cs="Arial Narrow"/>
                <w:b/>
                <w:color w:val="FFFFFF"/>
                <w:sz w:val="20"/>
                <w:szCs w:val="24"/>
                <w:lang w:eastAsia="sk-SK"/>
              </w:rPr>
              <w:t>2012</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BF2FA6" w:rsidP="009324C7">
            <w:pPr>
              <w:rPr>
                <w:rFonts w:ascii="Arial Narrow" w:hAnsi="Arial Narrow" w:cs="Arial Narrow"/>
                <w:sz w:val="20"/>
                <w:szCs w:val="24"/>
                <w:lang w:eastAsia="sk-SK"/>
              </w:rPr>
            </w:pPr>
            <w:r w:rsidRPr="00BF2FA6">
              <w:rPr>
                <w:rFonts w:ascii="Arial Narrow" w:hAnsi="Arial Narrow" w:cs="Arial Narrow"/>
                <w:sz w:val="20"/>
                <w:szCs w:val="24"/>
                <w:lang w:eastAsia="sk-SK"/>
              </w:rPr>
              <w:t>Hotovostný princíp</w:t>
            </w:r>
          </w:p>
        </w:tc>
        <w:tc>
          <w:tcPr>
            <w:tcW w:w="1120" w:type="dxa"/>
            <w:tcBorders>
              <w:top w:val="nil"/>
              <w:left w:val="nil"/>
              <w:bottom w:val="single" w:sz="4" w:space="0" w:color="auto"/>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998 453</w:t>
            </w:r>
          </w:p>
        </w:tc>
        <w:tc>
          <w:tcPr>
            <w:tcW w:w="1120" w:type="dxa"/>
            <w:tcBorders>
              <w:top w:val="nil"/>
              <w:left w:val="nil"/>
              <w:bottom w:val="single" w:sz="4" w:space="0" w:color="auto"/>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1 144 250</w:t>
            </w:r>
          </w:p>
        </w:tc>
        <w:tc>
          <w:tcPr>
            <w:tcW w:w="1120" w:type="dxa"/>
            <w:tcBorders>
              <w:top w:val="nil"/>
              <w:left w:val="nil"/>
              <w:bottom w:val="single" w:sz="4" w:space="0" w:color="auto"/>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1 105 745</w:t>
            </w:r>
          </w:p>
        </w:tc>
        <w:tc>
          <w:tcPr>
            <w:tcW w:w="1120" w:type="dxa"/>
            <w:tcBorders>
              <w:top w:val="nil"/>
              <w:left w:val="nil"/>
              <w:bottom w:val="single" w:sz="4" w:space="0" w:color="auto"/>
              <w:right w:val="single" w:sz="8"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1 386 423</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nil"/>
              <w:right w:val="single" w:sz="4" w:space="0" w:color="auto"/>
            </w:tcBorders>
            <w:noWrap/>
            <w:textDirection w:val="lrTb"/>
            <w:vAlign w:val="center"/>
          </w:tcPr>
          <w:p w:rsidR="00F734B1" w:rsidRPr="00BF2FA6" w:rsidP="009324C7">
            <w:pPr>
              <w:rPr>
                <w:rFonts w:ascii="Arial Narrow" w:hAnsi="Arial Narrow" w:cs="Arial Narrow"/>
                <w:sz w:val="20"/>
                <w:szCs w:val="24"/>
                <w:lang w:eastAsia="sk-SK"/>
              </w:rPr>
            </w:pPr>
            <w:r w:rsidRPr="00BF2FA6">
              <w:rPr>
                <w:rFonts w:ascii="Arial Narrow" w:hAnsi="Arial Narrow" w:cs="Arial Narrow"/>
                <w:sz w:val="20"/>
                <w:szCs w:val="24"/>
                <w:lang w:eastAsia="sk-SK"/>
              </w:rPr>
              <w:t>Akruálny princíp</w:t>
            </w:r>
          </w:p>
        </w:tc>
        <w:tc>
          <w:tcPr>
            <w:tcW w:w="1120" w:type="dxa"/>
            <w:tcBorders>
              <w:top w:val="nil"/>
              <w:left w:val="nil"/>
              <w:bottom w:val="nil"/>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1 099 678</w:t>
            </w:r>
          </w:p>
        </w:tc>
        <w:tc>
          <w:tcPr>
            <w:tcW w:w="1120" w:type="dxa"/>
            <w:tcBorders>
              <w:top w:val="nil"/>
              <w:left w:val="nil"/>
              <w:bottom w:val="nil"/>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1 287 116</w:t>
            </w:r>
          </w:p>
        </w:tc>
        <w:tc>
          <w:tcPr>
            <w:tcW w:w="1120" w:type="dxa"/>
            <w:tcBorders>
              <w:top w:val="nil"/>
              <w:left w:val="nil"/>
              <w:bottom w:val="nil"/>
              <w:right w:val="single" w:sz="4"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1 367 296</w:t>
            </w:r>
          </w:p>
        </w:tc>
        <w:tc>
          <w:tcPr>
            <w:tcW w:w="1120" w:type="dxa"/>
            <w:tcBorders>
              <w:top w:val="nil"/>
              <w:left w:val="nil"/>
              <w:bottom w:val="nil"/>
              <w:right w:val="single" w:sz="8" w:space="0" w:color="auto"/>
            </w:tcBorders>
            <w:noWrap/>
            <w:textDirection w:val="lrTb"/>
            <w:vAlign w:val="center"/>
          </w:tcPr>
          <w:p w:rsidR="00F734B1" w:rsidRPr="00BF2FA6" w:rsidP="009324C7">
            <w:pPr>
              <w:jc w:val="right"/>
              <w:rPr>
                <w:rFonts w:ascii="Arial Narrow" w:hAnsi="Arial Narrow" w:cs="Arial Narrow"/>
                <w:sz w:val="20"/>
                <w:szCs w:val="24"/>
                <w:lang w:eastAsia="sk-SK"/>
              </w:rPr>
            </w:pPr>
            <w:r w:rsidRPr="00BF2FA6">
              <w:rPr>
                <w:rFonts w:ascii="Arial Narrow" w:hAnsi="Arial Narrow" w:cs="Arial Narrow"/>
                <w:sz w:val="20"/>
                <w:szCs w:val="24"/>
                <w:lang w:eastAsia="sk-SK"/>
              </w:rPr>
              <w:t>1 478 743</w:t>
            </w:r>
          </w:p>
        </w:tc>
      </w:tr>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F734B1" w:rsidRPr="00BF2FA6" w:rsidP="009324C7">
            <w:pPr>
              <w:rPr>
                <w:rFonts w:ascii="Arial Narrow" w:hAnsi="Arial Narrow" w:cs="Arial Narrow"/>
                <w:b/>
                <w:sz w:val="20"/>
                <w:szCs w:val="24"/>
                <w:lang w:eastAsia="sk-SK"/>
              </w:rPr>
            </w:pPr>
            <w:r w:rsidRPr="00BF2FA6">
              <w:rPr>
                <w:rFonts w:ascii="Arial Narrow" w:hAnsi="Arial Narrow" w:cs="Arial Narrow"/>
                <w:b/>
                <w:sz w:val="20"/>
                <w:szCs w:val="24"/>
                <w:lang w:eastAsia="sk-SK"/>
              </w:rPr>
              <w:t>Rozdiel</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F2FA6" w:rsidP="009324C7">
            <w:pPr>
              <w:jc w:val="right"/>
              <w:rPr>
                <w:rFonts w:ascii="Arial Narrow" w:hAnsi="Arial Narrow" w:cs="Arial Narrow"/>
                <w:b/>
                <w:sz w:val="20"/>
                <w:szCs w:val="24"/>
                <w:lang w:eastAsia="sk-SK"/>
              </w:rPr>
            </w:pPr>
            <w:r w:rsidRPr="00BF2FA6">
              <w:rPr>
                <w:rFonts w:ascii="Arial Narrow" w:hAnsi="Arial Narrow" w:cs="Arial Narrow"/>
                <w:b/>
                <w:sz w:val="20"/>
                <w:szCs w:val="24"/>
                <w:lang w:eastAsia="sk-SK"/>
              </w:rPr>
              <w:t>-101 225</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F2FA6" w:rsidP="009324C7">
            <w:pPr>
              <w:jc w:val="right"/>
              <w:rPr>
                <w:rFonts w:ascii="Arial Narrow" w:hAnsi="Arial Narrow" w:cs="Arial Narrow"/>
                <w:b/>
                <w:sz w:val="20"/>
                <w:szCs w:val="24"/>
                <w:lang w:eastAsia="sk-SK"/>
              </w:rPr>
            </w:pPr>
            <w:r w:rsidRPr="00BF2FA6">
              <w:rPr>
                <w:rFonts w:ascii="Arial Narrow" w:hAnsi="Arial Narrow" w:cs="Arial Narrow"/>
                <w:b/>
                <w:sz w:val="20"/>
                <w:szCs w:val="24"/>
                <w:lang w:eastAsia="sk-SK"/>
              </w:rPr>
              <w:t>-142 866</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BF2FA6" w:rsidP="009324C7">
            <w:pPr>
              <w:jc w:val="right"/>
              <w:rPr>
                <w:rFonts w:ascii="Arial Narrow" w:hAnsi="Arial Narrow" w:cs="Arial Narrow"/>
                <w:b/>
                <w:sz w:val="20"/>
                <w:szCs w:val="24"/>
                <w:lang w:eastAsia="sk-SK"/>
              </w:rPr>
            </w:pPr>
            <w:r w:rsidRPr="00BF2FA6">
              <w:rPr>
                <w:rFonts w:ascii="Arial Narrow" w:hAnsi="Arial Narrow" w:cs="Arial Narrow"/>
                <w:b/>
                <w:sz w:val="20"/>
                <w:szCs w:val="24"/>
                <w:lang w:eastAsia="sk-SK"/>
              </w:rPr>
              <w:t>-261 551</w:t>
            </w:r>
          </w:p>
        </w:tc>
        <w:tc>
          <w:tcPr>
            <w:tcW w:w="11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BF2FA6" w:rsidP="009324C7">
            <w:pPr>
              <w:jc w:val="right"/>
              <w:rPr>
                <w:rFonts w:ascii="Arial Narrow" w:hAnsi="Arial Narrow" w:cs="Arial Narrow"/>
                <w:b/>
                <w:sz w:val="20"/>
                <w:szCs w:val="24"/>
                <w:lang w:eastAsia="sk-SK"/>
              </w:rPr>
            </w:pPr>
            <w:r w:rsidRPr="00BF2FA6">
              <w:rPr>
                <w:rFonts w:ascii="Arial Narrow" w:hAnsi="Arial Narrow" w:cs="Arial Narrow"/>
                <w:b/>
                <w:sz w:val="20"/>
                <w:szCs w:val="24"/>
                <w:lang w:eastAsia="sk-SK"/>
              </w:rPr>
              <w:t>-92 320</w:t>
            </w:r>
          </w:p>
        </w:tc>
      </w:tr>
    </w:tbl>
    <w:p w:rsidR="00F734B1" w:rsidP="00F734B1">
      <w:pPr>
        <w:jc w:val="both"/>
        <w:rPr>
          <w:rFonts w:ascii="Arial Narrow" w:hAnsi="Arial Narrow" w:cs="Arial Narrow"/>
          <w:sz w:val="22"/>
          <w:szCs w:val="24"/>
        </w:rPr>
      </w:pPr>
    </w:p>
    <w:p w:rsidR="00F734B1" w:rsidRPr="00DF0A80" w:rsidP="00F734B1">
      <w:pPr>
        <w:jc w:val="both"/>
        <w:rPr>
          <w:rFonts w:ascii="Arial Narrow" w:hAnsi="Arial Narrow" w:cs="Arial Narrow"/>
          <w:sz w:val="22"/>
          <w:szCs w:val="24"/>
        </w:rPr>
      </w:pPr>
      <w:r>
        <w:rPr>
          <w:rFonts w:ascii="Arial Narrow" w:hAnsi="Arial Narrow" w:cs="Arial Narrow"/>
          <w:sz w:val="22"/>
          <w:szCs w:val="24"/>
        </w:rPr>
        <w:t>6.3.</w:t>
        <w:tab/>
        <w:t xml:space="preserve">Medziročnú zmenu stavu pohľadávok voči EÚ tvoria pohľadávky na priame platby, predvstupový fond </w:t>
      </w:r>
      <w:r w:rsidRPr="00DF0A80">
        <w:rPr>
          <w:rFonts w:ascii="Arial Narrow" w:hAnsi="Arial Narrow" w:cs="Arial Narrow"/>
          <w:sz w:val="22"/>
          <w:szCs w:val="24"/>
        </w:rPr>
        <w:t>ISPA a na štrukturálne fondy (bližšie v prílohe 2. Rozpočtové vzťahy SR a EÚ).</w:t>
      </w:r>
    </w:p>
    <w:p w:rsidR="00F734B1" w:rsidRPr="00DF0A80" w:rsidP="00F734B1">
      <w:pPr>
        <w:ind w:firstLine="708"/>
        <w:jc w:val="both"/>
        <w:rPr>
          <w:rFonts w:ascii="Arial Narrow" w:hAnsi="Arial Narrow" w:cs="Arial Narrow"/>
          <w:sz w:val="22"/>
          <w:szCs w:val="24"/>
        </w:rPr>
      </w:pPr>
    </w:p>
    <w:p w:rsidR="00F734B1" w:rsidP="00F734B1">
      <w:pPr>
        <w:jc w:val="both"/>
        <w:rPr>
          <w:rFonts w:ascii="Arial Narrow" w:hAnsi="Arial Narrow" w:cs="Arial Narrow"/>
          <w:sz w:val="22"/>
          <w:szCs w:val="24"/>
        </w:rPr>
      </w:pPr>
      <w:r w:rsidRPr="00DF0A80">
        <w:rPr>
          <w:rFonts w:ascii="Arial Narrow" w:hAnsi="Arial Narrow" w:cs="Arial Narrow"/>
          <w:sz w:val="22"/>
          <w:szCs w:val="24"/>
        </w:rPr>
        <w:t>6.4.</w:t>
        <w:tab/>
        <w:t>Časové rozlíšenie daňových príjmov (časť 3.2. Akruálne dane pre rozpočet verejnej správy na roky 2010 až 2012) je ďalším faktorom, ktorý ovplyvňuje schodok štátneho rozpočtu. Ide o rozdiel hotovostných a akruálnych daní.</w:t>
      </w:r>
      <w:r>
        <w:rPr>
          <w:rFonts w:ascii="Arial Narrow" w:hAnsi="Arial Narrow" w:cs="Arial Narrow"/>
          <w:sz w:val="22"/>
          <w:szCs w:val="24"/>
        </w:rPr>
        <w:t xml:space="preserve"> </w:t>
      </w:r>
    </w:p>
    <w:p w:rsidR="00F734B1" w:rsidP="00F734B1">
      <w:pPr>
        <w:jc w:val="both"/>
        <w:rPr>
          <w:rFonts w:ascii="Arial Narrow" w:hAnsi="Arial Narrow" w:cs="Arial Narrow"/>
          <w:sz w:val="22"/>
          <w:szCs w:val="24"/>
        </w:rPr>
      </w:pPr>
    </w:p>
    <w:tbl>
      <w:tblPr>
        <w:tblStyle w:val="TableNormal"/>
        <w:tblW w:w="7920" w:type="dxa"/>
        <w:jc w:val="center"/>
        <w:tblInd w:w="0" w:type="dxa"/>
        <w:tblCellMar>
          <w:left w:w="70" w:type="dxa"/>
          <w:right w:w="70" w:type="dxa"/>
        </w:tblCellMar>
      </w:tblPr>
      <w:tblGrid>
        <w:gridCol w:w="3440"/>
        <w:gridCol w:w="1120"/>
        <w:gridCol w:w="1120"/>
        <w:gridCol w:w="1120"/>
        <w:gridCol w:w="1120"/>
      </w:tblGrid>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000000"/>
            <w:textDirection w:val="lrTb"/>
            <w:vAlign w:val="center"/>
          </w:tcPr>
          <w:p w:rsidR="00F734B1" w:rsidRPr="007449F1" w:rsidP="009324C7">
            <w:pP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Daňové príjmy štátneho rozpočtu</w:t>
              <w:br/>
            </w:r>
            <w:r w:rsidRPr="007449F1">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7449F1" w:rsidP="009324C7">
            <w:pPr>
              <w:jc w:val="center"/>
              <w:rPr>
                <w:rFonts w:ascii="Arial Narrow" w:hAnsi="Arial Narrow" w:cs="Arial Narrow"/>
                <w:b/>
                <w:color w:val="FFFFFF"/>
                <w:sz w:val="20"/>
                <w:szCs w:val="24"/>
                <w:lang w:eastAsia="sk-SK"/>
              </w:rPr>
            </w:pPr>
            <w:r w:rsidRPr="007449F1">
              <w:rPr>
                <w:rFonts w:ascii="Arial Narrow" w:hAnsi="Arial Narrow" w:cs="Arial Narrow"/>
                <w:b/>
                <w:color w:val="FFFFFF"/>
                <w:sz w:val="20"/>
                <w:szCs w:val="24"/>
                <w:lang w:eastAsia="sk-SK"/>
              </w:rPr>
              <w:t>2012</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Akruálny princíp</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9 715 099</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8 687 208</w:t>
            </w:r>
          </w:p>
        </w:tc>
        <w:tc>
          <w:tcPr>
            <w:tcW w:w="1120" w:type="dxa"/>
            <w:tcBorders>
              <w:top w:val="nil"/>
              <w:left w:val="nil"/>
              <w:bottom w:val="single" w:sz="4" w:space="0" w:color="auto"/>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9 243 494</w:t>
            </w:r>
          </w:p>
        </w:tc>
        <w:tc>
          <w:tcPr>
            <w:tcW w:w="1120" w:type="dxa"/>
            <w:tcBorders>
              <w:top w:val="nil"/>
              <w:left w:val="nil"/>
              <w:bottom w:val="single" w:sz="4" w:space="0" w:color="auto"/>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9 943 380</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nil"/>
              <w:right w:val="single" w:sz="4" w:space="0" w:color="auto"/>
            </w:tcBorders>
            <w:noWrap/>
            <w:textDirection w:val="lrTb"/>
            <w:vAlign w:val="center"/>
          </w:tcPr>
          <w:p w:rsidR="00F734B1" w:rsidRPr="007449F1" w:rsidP="009324C7">
            <w:pPr>
              <w:rPr>
                <w:rFonts w:ascii="Arial Narrow" w:hAnsi="Arial Narrow" w:cs="Arial Narrow"/>
                <w:sz w:val="20"/>
                <w:szCs w:val="24"/>
                <w:lang w:eastAsia="sk-SK"/>
              </w:rPr>
            </w:pPr>
            <w:r w:rsidRPr="007449F1">
              <w:rPr>
                <w:rFonts w:ascii="Arial Narrow" w:hAnsi="Arial Narrow" w:cs="Arial Narrow"/>
                <w:sz w:val="20"/>
                <w:szCs w:val="24"/>
                <w:lang w:eastAsia="sk-SK"/>
              </w:rPr>
              <w:t>Hotovostný princíp</w:t>
            </w:r>
          </w:p>
        </w:tc>
        <w:tc>
          <w:tcPr>
            <w:tcW w:w="1120" w:type="dxa"/>
            <w:tcBorders>
              <w:top w:val="nil"/>
              <w:left w:val="nil"/>
              <w:bottom w:val="nil"/>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9 885 676</w:t>
            </w:r>
          </w:p>
        </w:tc>
        <w:tc>
          <w:tcPr>
            <w:tcW w:w="1120" w:type="dxa"/>
            <w:tcBorders>
              <w:top w:val="nil"/>
              <w:left w:val="nil"/>
              <w:bottom w:val="nil"/>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8 619 969</w:t>
            </w:r>
          </w:p>
        </w:tc>
        <w:tc>
          <w:tcPr>
            <w:tcW w:w="1120" w:type="dxa"/>
            <w:tcBorders>
              <w:top w:val="nil"/>
              <w:left w:val="nil"/>
              <w:bottom w:val="nil"/>
              <w:right w:val="single" w:sz="4"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9 051 666</w:t>
            </w:r>
          </w:p>
        </w:tc>
        <w:tc>
          <w:tcPr>
            <w:tcW w:w="1120" w:type="dxa"/>
            <w:tcBorders>
              <w:top w:val="nil"/>
              <w:left w:val="nil"/>
              <w:bottom w:val="nil"/>
              <w:right w:val="single" w:sz="8" w:space="0" w:color="auto"/>
            </w:tcBorders>
            <w:noWrap/>
            <w:textDirection w:val="lrTb"/>
            <w:vAlign w:val="center"/>
          </w:tcPr>
          <w:p w:rsidR="00F734B1" w:rsidRPr="007449F1" w:rsidP="009324C7">
            <w:pPr>
              <w:jc w:val="right"/>
              <w:rPr>
                <w:rFonts w:ascii="Arial Narrow" w:hAnsi="Arial Narrow" w:cs="Arial Narrow"/>
                <w:sz w:val="20"/>
                <w:szCs w:val="24"/>
                <w:lang w:eastAsia="sk-SK"/>
              </w:rPr>
            </w:pPr>
            <w:r w:rsidRPr="007449F1">
              <w:rPr>
                <w:rFonts w:ascii="Arial Narrow" w:hAnsi="Arial Narrow" w:cs="Arial Narrow"/>
                <w:sz w:val="20"/>
                <w:szCs w:val="24"/>
                <w:lang w:eastAsia="sk-SK"/>
              </w:rPr>
              <w:t>9 720 761</w:t>
            </w:r>
          </w:p>
        </w:tc>
      </w:tr>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F734B1" w:rsidRPr="007449F1" w:rsidP="009324C7">
            <w:pPr>
              <w:rPr>
                <w:rFonts w:ascii="Arial Narrow" w:hAnsi="Arial Narrow" w:cs="Arial Narrow"/>
                <w:b/>
                <w:sz w:val="20"/>
                <w:szCs w:val="24"/>
                <w:lang w:eastAsia="sk-SK"/>
              </w:rPr>
            </w:pPr>
            <w:r w:rsidRPr="007449F1">
              <w:rPr>
                <w:rFonts w:ascii="Arial Narrow" w:hAnsi="Arial Narrow" w:cs="Arial Narrow"/>
                <w:b/>
                <w:sz w:val="20"/>
                <w:szCs w:val="24"/>
                <w:lang w:eastAsia="sk-SK"/>
              </w:rPr>
              <w:t>Rozdiel</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-170 577</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67 239</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191 828</w:t>
            </w:r>
          </w:p>
        </w:tc>
        <w:tc>
          <w:tcPr>
            <w:tcW w:w="11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7449F1" w:rsidP="009324C7">
            <w:pPr>
              <w:jc w:val="right"/>
              <w:rPr>
                <w:rFonts w:ascii="Arial Narrow" w:hAnsi="Arial Narrow" w:cs="Arial Narrow"/>
                <w:b/>
                <w:sz w:val="20"/>
                <w:szCs w:val="24"/>
                <w:lang w:eastAsia="sk-SK"/>
              </w:rPr>
            </w:pPr>
            <w:r w:rsidRPr="007449F1">
              <w:rPr>
                <w:rFonts w:ascii="Arial Narrow" w:hAnsi="Arial Narrow" w:cs="Arial Narrow"/>
                <w:b/>
                <w:sz w:val="20"/>
                <w:szCs w:val="24"/>
                <w:lang w:eastAsia="sk-SK"/>
              </w:rPr>
              <w:t>222 619</w:t>
            </w:r>
          </w:p>
        </w:tc>
      </w:tr>
    </w:tbl>
    <w:p w:rsidR="00F734B1" w:rsidP="00F734B1">
      <w:pPr>
        <w:jc w:val="both"/>
        <w:rPr>
          <w:rFonts w:ascii="Arial Narrow" w:hAnsi="Arial Narrow" w:cs="Arial Narrow"/>
          <w:sz w:val="22"/>
          <w:szCs w:val="24"/>
        </w:rPr>
      </w:pPr>
    </w:p>
    <w:p w:rsidR="00F734B1" w:rsidP="00F734B1">
      <w:pPr>
        <w:jc w:val="both"/>
        <w:rPr>
          <w:rFonts w:ascii="Arial Narrow" w:hAnsi="Arial Narrow" w:cs="Arial Narrow"/>
          <w:sz w:val="22"/>
          <w:szCs w:val="24"/>
        </w:rPr>
      </w:pPr>
      <w:r>
        <w:rPr>
          <w:rFonts w:ascii="Arial Narrow" w:hAnsi="Arial Narrow" w:cs="Arial Narrow"/>
          <w:sz w:val="22"/>
          <w:szCs w:val="24"/>
        </w:rPr>
        <w:t xml:space="preserve">6.5.      Posledným z modifikujúcich faktorov sú výdavky na verejnoprospešný účel. </w:t>
      </w:r>
    </w:p>
    <w:p w:rsidR="00F734B1" w:rsidP="00F734B1">
      <w:pPr>
        <w:ind w:firstLine="708"/>
        <w:jc w:val="both"/>
        <w:rPr>
          <w:rFonts w:ascii="Arial Narrow" w:hAnsi="Arial Narrow" w:cs="Arial Narrow"/>
          <w:sz w:val="22"/>
          <w:szCs w:val="24"/>
        </w:rPr>
      </w:pPr>
    </w:p>
    <w:p w:rsidR="00F734B1" w:rsidP="00F734B1">
      <w:pPr>
        <w:jc w:val="both"/>
        <w:rPr>
          <w:rFonts w:ascii="Arial Narrow" w:hAnsi="Arial Narrow" w:cs="Arial Narrow"/>
          <w:sz w:val="22"/>
          <w:szCs w:val="24"/>
        </w:rPr>
      </w:pPr>
      <w:r>
        <w:rPr>
          <w:rFonts w:ascii="Arial Narrow" w:hAnsi="Arial Narrow" w:cs="Arial Narrow"/>
          <w:sz w:val="22"/>
          <w:szCs w:val="24"/>
        </w:rPr>
        <w:t xml:space="preserve">           Akrualizácia štátneho rozpočtu je ďalej vykonaná za predpokladu:</w:t>
      </w:r>
    </w:p>
    <w:p w:rsidR="00F734B1" w:rsidP="00F734B1">
      <w:pPr>
        <w:numPr>
          <w:numId w:val="11"/>
        </w:numPr>
        <w:tabs>
          <w:tab w:val="num" w:pos="540"/>
          <w:tab w:val="clear" w:pos="2160"/>
        </w:tabs>
        <w:ind w:left="540" w:hanging="540"/>
        <w:jc w:val="both"/>
        <w:rPr>
          <w:rFonts w:ascii="Arial Narrow" w:hAnsi="Arial Narrow" w:cs="Arial Narrow"/>
          <w:sz w:val="22"/>
          <w:szCs w:val="24"/>
        </w:rPr>
      </w:pPr>
      <w:r>
        <w:rPr>
          <w:rFonts w:ascii="Arial Narrow" w:hAnsi="Arial Narrow" w:cs="Arial Narrow"/>
          <w:sz w:val="22"/>
          <w:szCs w:val="24"/>
        </w:rPr>
        <w:t xml:space="preserve">nulovej zmeny stavu pohľadávok a záväzkov rozpočtových organizácií, </w:t>
      </w:r>
    </w:p>
    <w:p w:rsidR="00F734B1" w:rsidP="00F734B1">
      <w:pPr>
        <w:numPr>
          <w:numId w:val="10"/>
        </w:numPr>
        <w:tabs>
          <w:tab w:val="clear" w:pos="420"/>
          <w:tab w:val="num" w:pos="540"/>
        </w:tabs>
        <w:ind w:left="540" w:hanging="540"/>
        <w:jc w:val="both"/>
        <w:rPr>
          <w:rFonts w:ascii="Arial Narrow" w:hAnsi="Arial Narrow" w:cs="Arial Narrow"/>
          <w:sz w:val="22"/>
          <w:szCs w:val="24"/>
        </w:rPr>
      </w:pPr>
      <w:r>
        <w:rPr>
          <w:rFonts w:ascii="Arial Narrow" w:hAnsi="Arial Narrow" w:cs="Arial Narrow"/>
          <w:sz w:val="22"/>
          <w:szCs w:val="24"/>
        </w:rPr>
        <w:t xml:space="preserve">nulovej zmeny stavu mimorozpočtových účtov štátnych rozpočtových organizácií, </w:t>
      </w:r>
    </w:p>
    <w:p w:rsidR="00F734B1" w:rsidP="00F734B1">
      <w:pPr>
        <w:numPr>
          <w:numId w:val="10"/>
        </w:numPr>
        <w:tabs>
          <w:tab w:val="clear" w:pos="420"/>
          <w:tab w:val="num" w:pos="540"/>
        </w:tabs>
        <w:ind w:left="540" w:hanging="540"/>
        <w:jc w:val="both"/>
        <w:rPr>
          <w:rFonts w:ascii="Arial Narrow" w:hAnsi="Arial Narrow" w:cs="Arial Narrow"/>
          <w:sz w:val="22"/>
          <w:szCs w:val="24"/>
        </w:rPr>
      </w:pPr>
      <w:r>
        <w:rPr>
          <w:rFonts w:ascii="Arial Narrow" w:hAnsi="Arial Narrow" w:cs="Arial Narrow"/>
          <w:sz w:val="22"/>
          <w:szCs w:val="24"/>
        </w:rPr>
        <w:t>nerealizovania tovarových deblokácií,</w:t>
      </w:r>
    </w:p>
    <w:p w:rsidR="00F734B1" w:rsidP="00F734B1">
      <w:pPr>
        <w:numPr>
          <w:numId w:val="10"/>
        </w:numPr>
        <w:tabs>
          <w:tab w:val="clear" w:pos="420"/>
          <w:tab w:val="num" w:pos="540"/>
        </w:tabs>
        <w:ind w:left="540" w:hanging="540"/>
        <w:jc w:val="both"/>
        <w:rPr>
          <w:rFonts w:ascii="Arial Narrow" w:hAnsi="Arial Narrow" w:cs="Arial Narrow"/>
          <w:sz w:val="22"/>
          <w:szCs w:val="24"/>
        </w:rPr>
      </w:pPr>
      <w:r>
        <w:rPr>
          <w:rFonts w:ascii="Arial Narrow" w:hAnsi="Arial Narrow" w:cs="Arial Narrow"/>
          <w:sz w:val="22"/>
          <w:szCs w:val="24"/>
        </w:rPr>
        <w:t xml:space="preserve">neodpúšťania pohľadávok voči zahraničiu. </w:t>
      </w:r>
    </w:p>
    <w:p w:rsidR="00F734B1" w:rsidP="00F734B1">
      <w:pPr>
        <w:jc w:val="both"/>
        <w:rPr>
          <w:rFonts w:ascii="Arial Narrow" w:hAnsi="Arial Narrow" w:cs="Arial Narrow"/>
          <w:sz w:val="22"/>
          <w:szCs w:val="24"/>
        </w:rPr>
      </w:pPr>
    </w:p>
    <w:p w:rsidR="00F734B1" w:rsidP="00F734B1">
      <w:pPr>
        <w:pStyle w:val="BodyText"/>
        <w:ind w:firstLine="709"/>
        <w:rPr>
          <w:rFonts w:ascii="Arial Narrow" w:hAnsi="Arial Narrow" w:cs="Arial Narrow"/>
          <w:sz w:val="22"/>
          <w:szCs w:val="24"/>
        </w:rPr>
      </w:pPr>
      <w:r>
        <w:rPr>
          <w:rFonts w:ascii="Arial Narrow" w:hAnsi="Arial Narrow" w:cs="Arial Narrow"/>
          <w:b/>
          <w:sz w:val="22"/>
          <w:szCs w:val="24"/>
        </w:rPr>
        <w:t>Schodok štátneho rozpočtu na hotovostnom princípe upravený o modifikujúce faktory predstavuje schodok štátneho rozpočtu v metodike ESA 95</w:t>
      </w:r>
      <w:r>
        <w:rPr>
          <w:rFonts w:ascii="Arial Narrow" w:hAnsi="Arial Narrow" w:cs="Arial Narrow"/>
          <w:sz w:val="22"/>
          <w:szCs w:val="24"/>
        </w:rPr>
        <w:t xml:space="preserve"> a v rokoch 2010 až 2012 sa predpokladá nasledovne.</w:t>
      </w:r>
    </w:p>
    <w:p w:rsidR="00F734B1" w:rsidRPr="00B7325C" w:rsidP="00F734B1">
      <w:pPr>
        <w:pStyle w:val="BodyText"/>
        <w:ind w:firstLine="709"/>
        <w:rPr>
          <w:rFonts w:ascii="Arial Narrow" w:hAnsi="Arial Narrow" w:cs="Arial Narrow"/>
          <w:sz w:val="22"/>
          <w:szCs w:val="24"/>
        </w:rPr>
      </w:pPr>
    </w:p>
    <w:tbl>
      <w:tblPr>
        <w:tblStyle w:val="TableNormal"/>
        <w:tblW w:w="7920" w:type="dxa"/>
        <w:jc w:val="center"/>
        <w:tblInd w:w="0" w:type="dxa"/>
        <w:tblCellMar>
          <w:left w:w="70" w:type="dxa"/>
          <w:right w:w="70" w:type="dxa"/>
        </w:tblCellMar>
      </w:tblPr>
      <w:tblGrid>
        <w:gridCol w:w="3440"/>
        <w:gridCol w:w="1120"/>
        <w:gridCol w:w="1120"/>
        <w:gridCol w:w="1120"/>
        <w:gridCol w:w="1120"/>
      </w:tblGrid>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000000"/>
            <w:noWrap/>
            <w:textDirection w:val="lrTb"/>
            <w:vAlign w:val="top"/>
          </w:tcPr>
          <w:p w:rsidR="00F734B1" w:rsidRPr="00DF0A80" w:rsidP="009324C7">
            <w:pPr>
              <w:rPr>
                <w:rFonts w:ascii="Arial Narrow" w:hAnsi="Arial Narrow" w:cs="Arial Narrow"/>
                <w:color w:val="FFFFFF"/>
                <w:sz w:val="16"/>
                <w:szCs w:val="24"/>
                <w:lang w:eastAsia="sk-SK"/>
              </w:rPr>
            </w:pPr>
            <w:r w:rsidRPr="00DF0A80">
              <w:rPr>
                <w:rFonts w:ascii="Arial Narrow" w:hAnsi="Arial Narrow" w:cs="Arial Narrow"/>
                <w:color w:val="FFFFFF"/>
                <w:sz w:val="16"/>
                <w:szCs w:val="24"/>
                <w:lang w:eastAsia="sk-SK"/>
              </w:rPr>
              <w:t>(v tis. eur)</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DF0A80" w:rsidP="009324C7">
            <w:pPr>
              <w:jc w:val="center"/>
              <w:rPr>
                <w:rFonts w:ascii="Arial Narrow" w:hAnsi="Arial Narrow" w:cs="Arial Narrow"/>
                <w:b/>
                <w:color w:val="FFFFFF"/>
                <w:sz w:val="20"/>
                <w:szCs w:val="24"/>
                <w:lang w:eastAsia="sk-SK"/>
              </w:rPr>
            </w:pPr>
            <w:r w:rsidRPr="00DF0A80">
              <w:rPr>
                <w:rFonts w:ascii="Arial Narrow" w:hAnsi="Arial Narrow" w:cs="Arial Narrow"/>
                <w:b/>
                <w:color w:val="FFFFFF"/>
                <w:sz w:val="20"/>
                <w:szCs w:val="24"/>
                <w:lang w:eastAsia="sk-SK"/>
              </w:rPr>
              <w:t>2009</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DF0A80" w:rsidP="009324C7">
            <w:pPr>
              <w:jc w:val="center"/>
              <w:rPr>
                <w:rFonts w:ascii="Arial Narrow" w:hAnsi="Arial Narrow" w:cs="Arial Narrow"/>
                <w:b/>
                <w:color w:val="FFFFFF"/>
                <w:sz w:val="20"/>
                <w:szCs w:val="24"/>
                <w:lang w:eastAsia="sk-SK"/>
              </w:rPr>
            </w:pPr>
            <w:r w:rsidRPr="00DF0A80">
              <w:rPr>
                <w:rFonts w:ascii="Arial Narrow" w:hAnsi="Arial Narrow" w:cs="Arial Narrow"/>
                <w:b/>
                <w:color w:val="FFFFFF"/>
                <w:sz w:val="20"/>
                <w:szCs w:val="24"/>
                <w:lang w:eastAsia="sk-SK"/>
              </w:rPr>
              <w:t>2010</w:t>
            </w:r>
          </w:p>
        </w:tc>
        <w:tc>
          <w:tcPr>
            <w:tcW w:w="1120" w:type="dxa"/>
            <w:tcBorders>
              <w:top w:val="single" w:sz="8" w:space="0" w:color="auto"/>
              <w:left w:val="nil"/>
              <w:bottom w:val="single" w:sz="8" w:space="0" w:color="auto"/>
              <w:right w:val="single" w:sz="4" w:space="0" w:color="auto"/>
            </w:tcBorders>
            <w:shd w:val="clear" w:color="auto" w:fill="000000"/>
            <w:noWrap/>
            <w:textDirection w:val="lrTb"/>
            <w:vAlign w:val="center"/>
          </w:tcPr>
          <w:p w:rsidR="00F734B1" w:rsidRPr="00DF0A80" w:rsidP="009324C7">
            <w:pPr>
              <w:jc w:val="center"/>
              <w:rPr>
                <w:rFonts w:ascii="Arial Narrow" w:hAnsi="Arial Narrow" w:cs="Arial Narrow"/>
                <w:b/>
                <w:color w:val="FFFFFF"/>
                <w:sz w:val="20"/>
                <w:szCs w:val="24"/>
                <w:lang w:eastAsia="sk-SK"/>
              </w:rPr>
            </w:pPr>
            <w:r w:rsidRPr="00DF0A80">
              <w:rPr>
                <w:rFonts w:ascii="Arial Narrow" w:hAnsi="Arial Narrow" w:cs="Arial Narrow"/>
                <w:b/>
                <w:color w:val="FFFFFF"/>
                <w:sz w:val="20"/>
                <w:szCs w:val="24"/>
                <w:lang w:eastAsia="sk-SK"/>
              </w:rPr>
              <w:t>2011</w:t>
            </w:r>
          </w:p>
        </w:tc>
        <w:tc>
          <w:tcPr>
            <w:tcW w:w="1120" w:type="dxa"/>
            <w:tcBorders>
              <w:top w:val="single" w:sz="8" w:space="0" w:color="auto"/>
              <w:left w:val="nil"/>
              <w:bottom w:val="single" w:sz="8" w:space="0" w:color="auto"/>
              <w:right w:val="single" w:sz="8" w:space="0" w:color="auto"/>
            </w:tcBorders>
            <w:shd w:val="clear" w:color="auto" w:fill="000000"/>
            <w:noWrap/>
            <w:textDirection w:val="lrTb"/>
            <w:vAlign w:val="center"/>
          </w:tcPr>
          <w:p w:rsidR="00F734B1" w:rsidRPr="00DF0A80" w:rsidP="009324C7">
            <w:pPr>
              <w:jc w:val="center"/>
              <w:rPr>
                <w:rFonts w:ascii="Arial Narrow" w:hAnsi="Arial Narrow" w:cs="Arial Narrow"/>
                <w:b/>
                <w:color w:val="FFFFFF"/>
                <w:sz w:val="20"/>
                <w:szCs w:val="24"/>
                <w:lang w:eastAsia="sk-SK"/>
              </w:rPr>
            </w:pPr>
            <w:r w:rsidRPr="00DF0A80">
              <w:rPr>
                <w:rFonts w:ascii="Arial Narrow" w:hAnsi="Arial Narrow" w:cs="Arial Narrow"/>
                <w:b/>
                <w:color w:val="FFFFFF"/>
                <w:sz w:val="20"/>
                <w:szCs w:val="24"/>
                <w:lang w:eastAsia="sk-SK"/>
              </w:rPr>
              <w:t>2012</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single" w:sz="4" w:space="0" w:color="auto"/>
              <w:right w:val="single" w:sz="4" w:space="0" w:color="auto"/>
            </w:tcBorders>
            <w:shd w:val="clear" w:color="auto" w:fill="C0C0C0"/>
            <w:noWrap/>
            <w:textDirection w:val="lrTb"/>
            <w:vAlign w:val="center"/>
          </w:tcPr>
          <w:p w:rsidR="00F734B1" w:rsidRPr="00DF0A80" w:rsidP="009324C7">
            <w:pPr>
              <w:rPr>
                <w:rFonts w:ascii="Arial Narrow" w:hAnsi="Arial Narrow" w:cs="Arial Narrow"/>
                <w:b/>
                <w:sz w:val="20"/>
                <w:szCs w:val="24"/>
                <w:lang w:eastAsia="sk-SK"/>
              </w:rPr>
            </w:pPr>
            <w:r w:rsidRPr="00DF0A80">
              <w:rPr>
                <w:rFonts w:ascii="Arial Narrow" w:hAnsi="Arial Narrow" w:cs="Arial Narrow"/>
                <w:b/>
                <w:sz w:val="20"/>
                <w:szCs w:val="24"/>
                <w:lang w:eastAsia="sk-SK"/>
              </w:rPr>
              <w:t>Schodok ŠR na hot. princípe</w:t>
            </w:r>
          </w:p>
        </w:tc>
        <w:tc>
          <w:tcPr>
            <w:tcW w:w="1120" w:type="dxa"/>
            <w:tcBorders>
              <w:top w:val="nil"/>
              <w:left w:val="nil"/>
              <w:bottom w:val="single" w:sz="4"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-1 009 422</w:t>
            </w:r>
          </w:p>
        </w:tc>
        <w:tc>
          <w:tcPr>
            <w:tcW w:w="1120" w:type="dxa"/>
            <w:tcBorders>
              <w:top w:val="nil"/>
              <w:left w:val="nil"/>
              <w:bottom w:val="single" w:sz="4"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-3 746 048</w:t>
            </w:r>
          </w:p>
        </w:tc>
        <w:tc>
          <w:tcPr>
            <w:tcW w:w="1120" w:type="dxa"/>
            <w:tcBorders>
              <w:top w:val="nil"/>
              <w:left w:val="nil"/>
              <w:bottom w:val="single" w:sz="4"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-3 133 402</w:t>
            </w:r>
          </w:p>
        </w:tc>
        <w:tc>
          <w:tcPr>
            <w:tcW w:w="1120" w:type="dxa"/>
            <w:tcBorders>
              <w:top w:val="nil"/>
              <w:left w:val="nil"/>
              <w:bottom w:val="single" w:sz="4" w:space="0" w:color="auto"/>
              <w:right w:val="single" w:sz="8"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-2 566 087</w:t>
            </w:r>
          </w:p>
        </w:tc>
      </w:tr>
      <w:tr>
        <w:tblPrEx>
          <w:tblW w:w="7920" w:type="dxa"/>
          <w:jc w:val="center"/>
          <w:tblInd w:w="0" w:type="dxa"/>
          <w:tblCellMar>
            <w:left w:w="70" w:type="dxa"/>
            <w:right w:w="70" w:type="dxa"/>
          </w:tblCellMar>
        </w:tblPrEx>
        <w:trPr>
          <w:trHeight w:val="360"/>
          <w:jc w:val="center"/>
        </w:trPr>
        <w:tc>
          <w:tcPr>
            <w:tcW w:w="3440" w:type="dxa"/>
            <w:tcBorders>
              <w:top w:val="nil"/>
              <w:left w:val="single" w:sz="8" w:space="0" w:color="auto"/>
              <w:bottom w:val="nil"/>
              <w:right w:val="single" w:sz="4" w:space="0" w:color="auto"/>
            </w:tcBorders>
            <w:noWrap/>
            <w:textDirection w:val="lrTb"/>
            <w:vAlign w:val="center"/>
          </w:tcPr>
          <w:p w:rsidR="00F734B1" w:rsidRPr="00DF0A80" w:rsidP="009324C7">
            <w:pPr>
              <w:rPr>
                <w:rFonts w:ascii="Arial Narrow" w:hAnsi="Arial Narrow" w:cs="Arial Narrow"/>
                <w:b/>
                <w:sz w:val="20"/>
                <w:szCs w:val="24"/>
                <w:lang w:eastAsia="sk-SK"/>
              </w:rPr>
            </w:pPr>
            <w:r w:rsidRPr="00DF0A80">
              <w:rPr>
                <w:rFonts w:ascii="Arial Narrow" w:hAnsi="Arial Narrow" w:cs="Arial Narrow"/>
                <w:b/>
                <w:sz w:val="20"/>
                <w:szCs w:val="24"/>
                <w:lang w:eastAsia="sk-SK"/>
              </w:rPr>
              <w:t>Modifikujúce faktory</w:t>
            </w:r>
          </w:p>
        </w:tc>
        <w:tc>
          <w:tcPr>
            <w:tcW w:w="1120" w:type="dxa"/>
            <w:tcBorders>
              <w:top w:val="nil"/>
              <w:left w:val="nil"/>
              <w:bottom w:val="nil"/>
              <w:right w:val="single" w:sz="4" w:space="0" w:color="auto"/>
            </w:tcBorders>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-802 781</w:t>
            </w:r>
          </w:p>
        </w:tc>
        <w:tc>
          <w:tcPr>
            <w:tcW w:w="1120" w:type="dxa"/>
            <w:tcBorders>
              <w:top w:val="nil"/>
              <w:left w:val="nil"/>
              <w:bottom w:val="nil"/>
              <w:right w:val="single" w:sz="4" w:space="0" w:color="auto"/>
            </w:tcBorders>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-127 077</w:t>
            </w:r>
          </w:p>
        </w:tc>
        <w:tc>
          <w:tcPr>
            <w:tcW w:w="1120" w:type="dxa"/>
            <w:tcBorders>
              <w:top w:val="nil"/>
              <w:left w:val="nil"/>
              <w:bottom w:val="nil"/>
              <w:right w:val="single" w:sz="4" w:space="0" w:color="auto"/>
            </w:tcBorders>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-122 148</w:t>
            </w:r>
          </w:p>
        </w:tc>
        <w:tc>
          <w:tcPr>
            <w:tcW w:w="1120" w:type="dxa"/>
            <w:tcBorders>
              <w:top w:val="nil"/>
              <w:left w:val="nil"/>
              <w:bottom w:val="nil"/>
              <w:right w:val="single" w:sz="8" w:space="0" w:color="auto"/>
            </w:tcBorders>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39 615</w:t>
            </w:r>
          </w:p>
        </w:tc>
      </w:tr>
      <w:tr>
        <w:tblPrEx>
          <w:tblW w:w="7920" w:type="dxa"/>
          <w:jc w:val="center"/>
          <w:tblInd w:w="0" w:type="dxa"/>
          <w:tblCellMar>
            <w:left w:w="70" w:type="dxa"/>
            <w:right w:w="70" w:type="dxa"/>
          </w:tblCellMar>
        </w:tblPrEx>
        <w:trPr>
          <w:trHeight w:val="540"/>
          <w:jc w:val="center"/>
        </w:trPr>
        <w:tc>
          <w:tcPr>
            <w:tcW w:w="344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F734B1" w:rsidRPr="00DF0A80" w:rsidP="009324C7">
            <w:pPr>
              <w:rPr>
                <w:rFonts w:ascii="Arial Narrow" w:hAnsi="Arial Narrow" w:cs="Arial Narrow"/>
                <w:b/>
                <w:sz w:val="20"/>
                <w:szCs w:val="24"/>
                <w:lang w:eastAsia="sk-SK"/>
              </w:rPr>
            </w:pPr>
            <w:r w:rsidRPr="00DF0A80">
              <w:rPr>
                <w:rFonts w:ascii="Arial Narrow" w:hAnsi="Arial Narrow" w:cs="Arial Narrow"/>
                <w:b/>
                <w:sz w:val="20"/>
                <w:szCs w:val="24"/>
                <w:lang w:eastAsia="sk-SK"/>
              </w:rPr>
              <w:t>Schodok ŠR (ESA 95)</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-1 812 203</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-3 873 125</w:t>
            </w:r>
          </w:p>
        </w:tc>
        <w:tc>
          <w:tcPr>
            <w:tcW w:w="1120" w:type="dxa"/>
            <w:tcBorders>
              <w:top w:val="single" w:sz="8" w:space="0" w:color="auto"/>
              <w:left w:val="nil"/>
              <w:bottom w:val="single" w:sz="8" w:space="0" w:color="auto"/>
              <w:right w:val="single" w:sz="4"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-3 255 550</w:t>
            </w:r>
          </w:p>
        </w:tc>
        <w:tc>
          <w:tcPr>
            <w:tcW w:w="1120" w:type="dxa"/>
            <w:tcBorders>
              <w:top w:val="single" w:sz="8" w:space="0" w:color="auto"/>
              <w:left w:val="nil"/>
              <w:bottom w:val="single" w:sz="8" w:space="0" w:color="auto"/>
              <w:right w:val="single" w:sz="8" w:space="0" w:color="auto"/>
            </w:tcBorders>
            <w:shd w:val="clear" w:color="auto" w:fill="C0C0C0"/>
            <w:noWrap/>
            <w:textDirection w:val="lrTb"/>
            <w:vAlign w:val="center"/>
          </w:tcPr>
          <w:p w:rsidR="00F734B1" w:rsidRPr="00DF0A80" w:rsidP="009324C7">
            <w:pPr>
              <w:jc w:val="right"/>
              <w:rPr>
                <w:rFonts w:ascii="Arial Narrow" w:hAnsi="Arial Narrow" w:cs="Arial Narrow"/>
                <w:b/>
                <w:sz w:val="20"/>
                <w:szCs w:val="24"/>
                <w:lang w:eastAsia="sk-SK"/>
              </w:rPr>
            </w:pPr>
            <w:r w:rsidRPr="00DF0A80">
              <w:rPr>
                <w:rFonts w:ascii="Arial Narrow" w:hAnsi="Arial Narrow" w:cs="Arial Narrow"/>
                <w:b/>
                <w:sz w:val="20"/>
                <w:szCs w:val="24"/>
                <w:lang w:eastAsia="sk-SK"/>
              </w:rPr>
              <w:t>-2 526 472</w:t>
            </w:r>
          </w:p>
        </w:tc>
      </w:tr>
    </w:tbl>
    <w:p w:rsidR="00F734B1" w:rsidP="00F734B1">
      <w:pPr>
        <w:rPr>
          <w:szCs w:val="24"/>
        </w:rPr>
      </w:pPr>
    </w:p>
    <w:p w:rsidR="00F734B1" w:rsidP="00F734B1">
      <w:pPr>
        <w:rPr>
          <w:szCs w:val="24"/>
        </w:rPr>
      </w:pPr>
    </w:p>
    <w:p w:rsidR="00F734B1" w:rsidP="00F734B1">
      <w:pPr>
        <w:rPr>
          <w:szCs w:val="24"/>
        </w:rPr>
      </w:pPr>
    </w:p>
    <w:p w:rsidR="00F734B1" w:rsidRPr="00BC1617">
      <w:pPr>
        <w:rPr>
          <w:szCs w:val="24"/>
        </w:rPr>
      </w:pPr>
    </w:p>
    <w:sectPr w:rsidSect="007A0A10">
      <w:footerReference w:type="default" r:id="rId9"/>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ˇ¦||||ˇ¦||ˇ¦|ˇ§ˇěˇ¦||ˇ¦ˇě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ˇ§ˇěˇ¦||ˇ¦ˇě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3050705020303"/>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0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0000400000000000000"/>
    <w:charset w:val="00"/>
    <w:family w:val="auto"/>
    <w:pitch w:val="variable"/>
    <w:sig w:usb0="00000000" w:usb1="00000000" w:usb2="00000000" w:usb3="00000000" w:csb0="00000001" w:csb1="00000000"/>
  </w:font>
  <w:font w:name="Shruti">
    <w:panose1 w:val="000004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00004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la Edessa">
    <w:panose1 w:val="00000000000000000000"/>
    <w:charset w:val="01"/>
    <w:family w:val="roman"/>
    <w:pitch w:val="variable"/>
    <w:sig w:usb0="00000000" w:usb1="00000000" w:usb2="00000000" w:usb3="00000000" w:csb0="00000000" w:csb1="00000000"/>
  </w:font>
  <w:font w:name="Arial Unicode MS">
    <w:panose1 w:val="00000000000000000000"/>
    <w:charset w:val="00"/>
    <w:family w:val="roman"/>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charset w:val="00"/>
    <w:family w:val="script"/>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Kartika">
    <w:panose1 w:val="02020503030404060203"/>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03" w:csb1="00000000"/>
  </w:font>
  <w:font w:name="TimesNewRoman">
    <w:altName w:val="Times New Roman"/>
    <w:panose1 w:val="00000000000000000000"/>
    <w:charset w:val="00"/>
    <w:family w:val="auto"/>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Promocyja">
    <w:panose1 w:val="00000000000000000000"/>
    <w:charset w:val="00"/>
    <w:family w:val="roman"/>
    <w:pitch w:val="default"/>
    <w:sig w:usb0="00000000" w:usb1="00000000" w:usb2="00000000" w:usb3="00000000" w:csb0="00000001" w:csb1="00000000"/>
  </w:font>
  <w:font w:name="TimesNewRomanPSMT">
    <w:panose1 w:val="00000000000000000000"/>
    <w:charset w:val="EE"/>
    <w:family w:val="auto"/>
    <w:pitch w:val="default"/>
    <w:sig w:usb0="00000000" w:usb1="00000000" w:usb2="00000000" w:usb3="00000000" w:csb0="00000002" w:csb1="00000000"/>
  </w:font>
  <w:font w:name="Microsoft Sans Serif (Vietnames">
    <w:panose1 w:val="00000000000000000000"/>
    <w:charset w:val="A3"/>
    <w:family w:val="swiss"/>
    <w:pitch w:val="variable"/>
    <w:sig w:usb0="00000000" w:usb1="00000000" w:usb2="00000000" w:usb3="00000000" w:csb0="00000100" w:csb1="00000000"/>
  </w:font>
  <w:font w:name="ArialNarrow">
    <w:altName w:val="Arial"/>
    <w:panose1 w:val="00000000000000000000"/>
    <w:charset w:val="EE"/>
    <w:family w:val="swiss"/>
    <w:pitch w:val="default"/>
    <w:sig w:usb0="00000000" w:usb1="00000000" w:usb2="00000000" w:usb3="00000000" w:csb0="00000003" w:csb1="00000000"/>
  </w:font>
  <w:font w:name="Cambria Math Cyr">
    <w:panose1 w:val="00000000000000000000"/>
    <w:charset w:val="CC"/>
    <w:family w:val="roman"/>
    <w:pitch w:val="variable"/>
    <w:sig w:usb0="00000000" w:usb1="00000000" w:usb2="00000000" w:usb3="00000000" w:csb0="00000004" w:csb1="00000000"/>
  </w:font>
  <w:font w:name="Cambria Math Greek">
    <w:panose1 w:val="00000000000000000000"/>
    <w:charset w:val="A1"/>
    <w:family w:val="roman"/>
    <w:pitch w:val="variable"/>
    <w:sig w:usb0="00000000" w:usb1="00000000" w:usb2="00000000" w:usb3="00000000" w:csb0="00000008" w:csb1="00000000"/>
  </w:font>
  <w:font w:name="Cambria Math Tur">
    <w:panose1 w:val="00000000000000000000"/>
    <w:charset w:val="A2"/>
    <w:family w:val="roman"/>
    <w:pitch w:val="variable"/>
    <w:sig w:usb0="00000000" w:usb1="00000000" w:usb2="00000000" w:usb3="00000000" w:csb0="00000010" w:csb1="00000000"/>
  </w:font>
  <w:font w:name="Cambria Math Baltic">
    <w:panose1 w:val="00000000000000000000"/>
    <w:charset w:val="BA"/>
    <w:family w:val="roman"/>
    <w:pitch w:val="variable"/>
    <w:sig w:usb0="00000000" w:usb1="00000000" w:usb2="00000000" w:usb3="00000000" w:csb0="00000080" w:csb1="00000000"/>
  </w:font>
  <w:font w:name="Cambria Cyr">
    <w:panose1 w:val="00000000000000000000"/>
    <w:charset w:val="CC"/>
    <w:family w:val="roman"/>
    <w:pitch w:val="variable"/>
    <w:sig w:usb0="00000000" w:usb1="00000000" w:usb2="00000000" w:usb3="00000000" w:csb0="00000004" w:csb1="00000000"/>
  </w:font>
  <w:font w:name="Cambria Greek">
    <w:panose1 w:val="00000000000000000000"/>
    <w:charset w:val="A1"/>
    <w:family w:val="roman"/>
    <w:pitch w:val="variable"/>
    <w:sig w:usb0="00000000" w:usb1="00000000" w:usb2="00000000" w:usb3="00000000" w:csb0="00000008" w:csb1="00000000"/>
  </w:font>
  <w:font w:name="Cambria Tur">
    <w:panose1 w:val="00000000000000000000"/>
    <w:charset w:val="A2"/>
    <w:family w:val="roman"/>
    <w:pitch w:val="variable"/>
    <w:sig w:usb0="00000000" w:usb1="00000000" w:usb2="00000000" w:usb3="00000000" w:csb0="00000010" w:csb1="00000000"/>
  </w:font>
  <w:font w:name="Cambria Baltic">
    <w:panose1 w:val="00000000000000000000"/>
    <w:charset w:val="BA"/>
    <w:family w:val="roman"/>
    <w:pitch w:val="variable"/>
    <w:sig w:usb0="00000000" w:usb1="00000000" w:usb2="00000000" w:usb3="00000000" w:csb0="00000080" w:csb1="00000000"/>
  </w:font>
  <w:font w:name="Calibri Cyr">
    <w:altName w:val="Century Gothic"/>
    <w:panose1 w:val="00000000000000000000"/>
    <w:charset w:val="CC"/>
    <w:family w:val="swiss"/>
    <w:pitch w:val="variable"/>
    <w:sig w:usb0="00000000" w:usb1="00000000" w:usb2="00000000" w:usb3="00000000" w:csb0="00000004" w:csb1="00000000"/>
  </w:font>
  <w:font w:name="Calibri Greek">
    <w:altName w:val="Century Gothic"/>
    <w:panose1 w:val="00000000000000000000"/>
    <w:charset w:val="A1"/>
    <w:family w:val="swiss"/>
    <w:pitch w:val="variable"/>
    <w:sig w:usb0="00000000" w:usb1="00000000" w:usb2="00000000" w:usb3="00000000" w:csb0="00000008" w:csb1="00000000"/>
  </w:font>
  <w:font w:name="Calibri Tur">
    <w:altName w:val="Century Gothic"/>
    <w:panose1 w:val="00000000000000000000"/>
    <w:charset w:val="A2"/>
    <w:family w:val="swiss"/>
    <w:pitch w:val="variable"/>
    <w:sig w:usb0="00000000" w:usb1="00000000" w:usb2="00000000" w:usb3="00000000" w:csb0="00000010" w:csb1="00000000"/>
  </w:font>
  <w:font w:name="Calibri Baltic">
    <w:altName w:val="Century Gothic"/>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0" w:rsidP="00A533F4">
    <w:pPr>
      <w:pStyle w:val="Footer"/>
      <w:framePr w:vAnchor="text" w:hAnchor="margin" w:xAlign="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D061D1">
      <w:rPr>
        <w:rStyle w:val="PageNumber"/>
        <w:noProof/>
        <w:szCs w:val="24"/>
      </w:rPr>
      <w:t>62</w:t>
    </w:r>
    <w:r>
      <w:rPr>
        <w:rStyle w:val="PageNumber"/>
        <w:szCs w:val="24"/>
      </w:rPr>
      <w:fldChar w:fldCharType="end"/>
    </w:r>
  </w:p>
  <w:p w:rsidR="00B22BF0">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F0">
      <w:pPr>
        <w:rPr>
          <w:szCs w:val="24"/>
        </w:rPr>
      </w:pPr>
      <w:r>
        <w:rPr>
          <w:szCs w:val="24"/>
        </w:rPr>
        <w:separator/>
      </w:r>
    </w:p>
  </w:footnote>
  <w:footnote w:type="continuationSeparator" w:id="1">
    <w:p w:rsidR="00B22BF0">
      <w:pPr>
        <w:rPr>
          <w:szCs w:val="24"/>
        </w:rPr>
      </w:pPr>
      <w:r>
        <w:rPr>
          <w:szCs w:val="24"/>
        </w:rPr>
        <w:continuationSeparator/>
      </w:r>
    </w:p>
  </w:footnote>
  <w:footnote w:id="2">
    <w:p w:rsidP="00C52ECF">
      <w:pPr>
        <w:pStyle w:val="FootnoteText"/>
        <w:rPr>
          <w:szCs w:val="24"/>
        </w:rPr>
      </w:pPr>
      <w:r w:rsidR="00B22BF0">
        <w:rPr>
          <w:rStyle w:val="FootnoteReference"/>
          <w:szCs w:val="24"/>
        </w:rPr>
        <w:footnoteRef/>
      </w:r>
      <w:r w:rsidR="00B22BF0">
        <w:rPr>
          <w:szCs w:val="24"/>
        </w:rPr>
        <w:t xml:space="preserve"> </w:t>
      </w:r>
      <w:r w:rsidRPr="00AB6AD9" w:rsidR="00B22BF0">
        <w:rPr>
          <w:rFonts w:ascii="Arial Narrow" w:hAnsi="Arial Narrow" w:cs="Arial Narrow"/>
          <w:sz w:val="18"/>
          <w:szCs w:val="24"/>
        </w:rPr>
        <w:t>Ministerstvo financií SR</w:t>
      </w:r>
      <w:r w:rsidR="00B22BF0">
        <w:rPr>
          <w:rFonts w:ascii="Arial Narrow" w:hAnsi="Arial Narrow" w:cs="Arial Narrow"/>
          <w:sz w:val="18"/>
          <w:szCs w:val="24"/>
        </w:rPr>
        <w:t xml:space="preserve"> vychádza z jarných prognóz Európskej komisie (máj 2009).   </w:t>
      </w:r>
    </w:p>
  </w:footnote>
  <w:footnote w:id="3">
    <w:p w:rsidP="00FC15CD">
      <w:pPr>
        <w:pStyle w:val="FootnoteText"/>
        <w:ind w:left="180" w:hanging="180"/>
        <w:jc w:val="both"/>
        <w:rPr>
          <w:szCs w:val="24"/>
        </w:rPr>
      </w:pPr>
      <w:r w:rsidRPr="00DD5735" w:rsidR="00B22BF0">
        <w:rPr>
          <w:rStyle w:val="FootnoteReference"/>
          <w:rFonts w:ascii="Arial Narrow" w:hAnsi="Arial Narrow" w:cs="Arial Narrow"/>
          <w:sz w:val="18"/>
          <w:szCs w:val="24"/>
        </w:rPr>
        <w:footnoteRef/>
      </w:r>
      <w:r w:rsidRPr="00DD5735" w:rsidR="00B22BF0">
        <w:rPr>
          <w:rFonts w:ascii="Arial Narrow" w:hAnsi="Arial Narrow" w:cs="Arial Narrow"/>
          <w:sz w:val="18"/>
          <w:szCs w:val="24"/>
        </w:rPr>
        <w:t xml:space="preserve"> </w:t>
        <w:tab/>
        <w:t xml:space="preserve">Všetky uvádzané hodnoty sú počítané v metodike, ktorá sa používa pri posudzovaní plnenia maastrichtského kritéria pre výšku hrubého dlhu verejnej správy – tzv. maastrichtský hrubý dlh verejnej správy.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B97"/>
    <w:multiLevelType w:val="hybridMultilevel"/>
    <w:tmpl w:val="942617C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26B74D5"/>
    <w:multiLevelType w:val="hybridMultilevel"/>
    <w:tmpl w:val="D7A6BE08"/>
    <w:lvl w:ilvl="0">
      <w:start w:val="0"/>
      <w:numFmt w:val="bullet"/>
      <w:lvlText w:val="-"/>
      <w:lvlJc w:val="left"/>
      <w:pPr>
        <w:tabs>
          <w:tab w:val="num" w:pos="2160"/>
        </w:tabs>
        <w:ind w:left="216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73A39"/>
    <w:multiLevelType w:val="hybridMultilevel"/>
    <w:tmpl w:val="A9A0F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EF7DA8"/>
    <w:multiLevelType w:val="hybridMultilevel"/>
    <w:tmpl w:val="3C5846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696D14"/>
    <w:multiLevelType w:val="hybridMultilevel"/>
    <w:tmpl w:val="738ADEC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2"/>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81D42D9"/>
    <w:multiLevelType w:val="hybridMultilevel"/>
    <w:tmpl w:val="8C4CCE6C"/>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202F66"/>
    <w:multiLevelType w:val="hybridMultilevel"/>
    <w:tmpl w:val="0DF82F4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0"/>
      <w:numFmt w:val="bullet"/>
      <w:lvlText w:val="-"/>
      <w:lvlJc w:val="left"/>
      <w:pPr>
        <w:tabs>
          <w:tab w:val="num" w:pos="1800"/>
        </w:tabs>
        <w:ind w:left="180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E07EC0"/>
    <w:multiLevelType w:val="hybridMultilevel"/>
    <w:tmpl w:val="AF284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1379C8"/>
    <w:multiLevelType w:val="multilevel"/>
    <w:tmpl w:val="6D026046"/>
    <w:lvl w:ilvl="0">
      <w:start w:val="1"/>
      <w:numFmt w:val="bullet"/>
      <w:lvlText w:val="-"/>
      <w:lvlJc w:val="left"/>
      <w:pPr>
        <w:tabs>
          <w:tab w:val="num" w:pos="397"/>
        </w:tabs>
        <w:ind w:left="397" w:hanging="397"/>
      </w:pPr>
      <w:rPr>
        <w:rFonts w:ascii="Book Antiqua"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993547"/>
    <w:multiLevelType w:val="hybridMultilevel"/>
    <w:tmpl w:val="ECEC9A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23930700"/>
    <w:multiLevelType w:val="hybridMultilevel"/>
    <w:tmpl w:val="6D026046"/>
    <w:lvl w:ilvl="0">
      <w:start w:val="1"/>
      <w:numFmt w:val="bullet"/>
      <w:lvlText w:val="-"/>
      <w:lvlJc w:val="left"/>
      <w:pPr>
        <w:tabs>
          <w:tab w:val="num" w:pos="397"/>
        </w:tabs>
        <w:ind w:left="397" w:hanging="397"/>
      </w:pPr>
      <w:rPr>
        <w:rFonts w:ascii="Book Antiqua"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7A6565C"/>
    <w:multiLevelType w:val="hybridMultilevel"/>
    <w:tmpl w:val="CEECB70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82A1C9E"/>
    <w:multiLevelType w:val="hybridMultilevel"/>
    <w:tmpl w:val="187822B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6A2EF4"/>
    <w:multiLevelType w:val="hybridMultilevel"/>
    <w:tmpl w:val="D32004A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8C631BE"/>
    <w:multiLevelType w:val="hybridMultilevel"/>
    <w:tmpl w:val="F2565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C666024"/>
    <w:multiLevelType w:val="hybridMultilevel"/>
    <w:tmpl w:val="6CCEBDB6"/>
    <w:lvl w:ilvl="0">
      <w:start w:val="1"/>
      <w:numFmt w:val="bullet"/>
      <w:lvlText w:val=""/>
      <w:lvlJc w:val="left"/>
      <w:pPr>
        <w:tabs>
          <w:tab w:val="num" w:pos="289"/>
        </w:tabs>
        <w:ind w:left="289" w:hanging="28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D3F5E22"/>
    <w:multiLevelType w:val="hybridMultilevel"/>
    <w:tmpl w:val="F07EB1A0"/>
    <w:lvl w:ilvl="0">
      <w:start w:va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6773DD"/>
    <w:multiLevelType w:val="hybridMultilevel"/>
    <w:tmpl w:val="D5BABE14"/>
    <w:lvl w:ilvl="0">
      <w:start w:val="609"/>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3B5332"/>
    <w:multiLevelType w:val="hybridMultilevel"/>
    <w:tmpl w:val="D2269E9A"/>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F581C1B"/>
    <w:multiLevelType w:val="hybridMultilevel"/>
    <w:tmpl w:val="879AA0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B714442"/>
    <w:multiLevelType w:val="hybridMultilevel"/>
    <w:tmpl w:val="218C78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2727C1"/>
    <w:multiLevelType w:val="hybridMultilevel"/>
    <w:tmpl w:val="9F946F7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F9444FA"/>
    <w:multiLevelType w:val="hybridMultilevel"/>
    <w:tmpl w:val="D70C8F16"/>
    <w:lvl w:ilvl="0">
      <w:start w:val="1"/>
      <w:numFmt w:val="bullet"/>
      <w:lvlText w:val="•"/>
      <w:lvlJc w:val="left"/>
      <w:pPr>
        <w:tabs>
          <w:tab w:val="num" w:pos="720"/>
        </w:tabs>
        <w:ind w:left="720" w:hanging="360"/>
      </w:pPr>
      <w:rPr>
        <w:rFonts w:ascii="Book Antiqua" w:hAnsi="Book Antiqua" w:hint="default"/>
      </w:rPr>
    </w:lvl>
    <w:lvl w:ilvl="1">
      <w:start w:val="1"/>
      <w:numFmt w:val="bullet"/>
      <w:lvlText w:val="•"/>
      <w:lvlJc w:val="left"/>
      <w:pPr>
        <w:tabs>
          <w:tab w:val="num" w:pos="1440"/>
        </w:tabs>
        <w:ind w:left="1440" w:hanging="360"/>
      </w:pPr>
      <w:rPr>
        <w:rFonts w:ascii="Book Antiqua" w:hAnsi="Book Antiqua" w:hint="default"/>
      </w:rPr>
    </w:lvl>
    <w:lvl w:ilvl="2">
      <w:start w:val="1"/>
      <w:numFmt w:val="bullet"/>
      <w:lvlText w:val="•"/>
      <w:lvlJc w:val="left"/>
      <w:pPr>
        <w:tabs>
          <w:tab w:val="num" w:pos="2160"/>
        </w:tabs>
        <w:ind w:left="2160" w:hanging="360"/>
      </w:pPr>
      <w:rPr>
        <w:rFonts w:ascii="Book Antiqua" w:hAnsi="Book Antiqua" w:hint="default"/>
      </w:rPr>
    </w:lvl>
    <w:lvl w:ilvl="3">
      <w:start w:val="1"/>
      <w:numFmt w:val="bullet"/>
      <w:lvlText w:val="•"/>
      <w:lvlJc w:val="left"/>
      <w:pPr>
        <w:tabs>
          <w:tab w:val="num" w:pos="2880"/>
        </w:tabs>
        <w:ind w:left="2880" w:hanging="360"/>
      </w:pPr>
      <w:rPr>
        <w:rFonts w:ascii="Book Antiqua" w:hAnsi="Book Antiqua" w:hint="default"/>
      </w:rPr>
    </w:lvl>
    <w:lvl w:ilvl="4">
      <w:start w:val="1"/>
      <w:numFmt w:val="bullet"/>
      <w:lvlText w:val="•"/>
      <w:lvlJc w:val="left"/>
      <w:pPr>
        <w:tabs>
          <w:tab w:val="num" w:pos="3600"/>
        </w:tabs>
        <w:ind w:left="3600" w:hanging="360"/>
      </w:pPr>
      <w:rPr>
        <w:rFonts w:ascii="Book Antiqua" w:hAnsi="Book Antiqua" w:hint="default"/>
      </w:rPr>
    </w:lvl>
    <w:lvl w:ilvl="5">
      <w:start w:val="1"/>
      <w:numFmt w:val="bullet"/>
      <w:lvlText w:val="•"/>
      <w:lvlJc w:val="left"/>
      <w:pPr>
        <w:tabs>
          <w:tab w:val="num" w:pos="4320"/>
        </w:tabs>
        <w:ind w:left="4320" w:hanging="360"/>
      </w:pPr>
      <w:rPr>
        <w:rFonts w:ascii="Book Antiqua" w:hAnsi="Book Antiqua" w:hint="default"/>
      </w:rPr>
    </w:lvl>
    <w:lvl w:ilvl="6">
      <w:start w:val="1"/>
      <w:numFmt w:val="bullet"/>
      <w:lvlText w:val="•"/>
      <w:lvlJc w:val="left"/>
      <w:pPr>
        <w:tabs>
          <w:tab w:val="num" w:pos="5040"/>
        </w:tabs>
        <w:ind w:left="5040" w:hanging="360"/>
      </w:pPr>
      <w:rPr>
        <w:rFonts w:ascii="Book Antiqua" w:hAnsi="Book Antiqua" w:hint="default"/>
      </w:rPr>
    </w:lvl>
    <w:lvl w:ilvl="7">
      <w:start w:val="1"/>
      <w:numFmt w:val="bullet"/>
      <w:lvlText w:val="•"/>
      <w:lvlJc w:val="left"/>
      <w:pPr>
        <w:tabs>
          <w:tab w:val="num" w:pos="5760"/>
        </w:tabs>
        <w:ind w:left="5760" w:hanging="360"/>
      </w:pPr>
      <w:rPr>
        <w:rFonts w:ascii="Book Antiqua" w:hAnsi="Book Antiqua" w:hint="default"/>
      </w:rPr>
    </w:lvl>
    <w:lvl w:ilvl="8">
      <w:start w:val="1"/>
      <w:numFmt w:val="bullet"/>
      <w:lvlText w:val="•"/>
      <w:lvlJc w:val="left"/>
      <w:pPr>
        <w:tabs>
          <w:tab w:val="num" w:pos="6480"/>
        </w:tabs>
        <w:ind w:left="6480" w:hanging="360"/>
      </w:pPr>
      <w:rPr>
        <w:rFonts w:ascii="Book Antiqua" w:hAnsi="Book Antiqua" w:hint="default"/>
      </w:rPr>
    </w:lvl>
  </w:abstractNum>
  <w:abstractNum w:abstractNumId="23">
    <w:nsid w:val="71187D77"/>
    <w:multiLevelType w:val="hybridMultilevel"/>
    <w:tmpl w:val="2DB87498"/>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F652CAB"/>
    <w:multiLevelType w:val="hybridMultilevel"/>
    <w:tmpl w:val="C9426D80"/>
    <w:lvl w:ilvl="0">
      <w:start w:val="1"/>
      <w:numFmt w:val="bullet"/>
      <w:lvlText w:val=""/>
      <w:lvlJc w:val="left"/>
      <w:pPr>
        <w:ind w:left="885" w:hanging="360"/>
      </w:pPr>
      <w:rPr>
        <w:rFonts w:ascii="Wingdings" w:hAnsi="Wingdings" w:hint="default"/>
      </w:rPr>
    </w:lvl>
    <w:lvl w:ilvl="1">
      <w:start w:val="1"/>
      <w:numFmt w:val="bullet"/>
      <w:lvlText w:val="o"/>
      <w:lvlJc w:val="left"/>
      <w:pPr>
        <w:ind w:left="1605" w:hanging="360"/>
      </w:pPr>
      <w:rPr>
        <w:rFonts w:ascii="Courier New" w:hAnsi="Courier New" w:hint="default"/>
      </w:rPr>
    </w:lvl>
    <w:lvl w:ilvl="2">
      <w:start w:val="1"/>
      <w:numFmt w:val="bullet"/>
      <w:lvlText w:val=""/>
      <w:lvlJc w:val="left"/>
      <w:pPr>
        <w:ind w:left="2325" w:hanging="360"/>
      </w:pPr>
      <w:rPr>
        <w:rFonts w:ascii="Wingdings" w:hAnsi="Wingdings" w:hint="default"/>
      </w:rPr>
    </w:lvl>
    <w:lvl w:ilvl="3">
      <w:start w:val="1"/>
      <w:numFmt w:val="bullet"/>
      <w:lvlText w:val=""/>
      <w:lvlJc w:val="left"/>
      <w:pPr>
        <w:ind w:left="3045" w:hanging="360"/>
      </w:pPr>
      <w:rPr>
        <w:rFonts w:ascii="Symbol" w:hAnsi="Symbol" w:hint="default"/>
      </w:rPr>
    </w:lvl>
    <w:lvl w:ilvl="4">
      <w:start w:val="1"/>
      <w:numFmt w:val="bullet"/>
      <w:lvlText w:val="o"/>
      <w:lvlJc w:val="left"/>
      <w:pPr>
        <w:ind w:left="3765" w:hanging="360"/>
      </w:pPr>
      <w:rPr>
        <w:rFonts w:ascii="Courier New" w:hAnsi="Courier New" w:hint="default"/>
      </w:rPr>
    </w:lvl>
    <w:lvl w:ilvl="5">
      <w:start w:val="1"/>
      <w:numFmt w:val="bullet"/>
      <w:lvlText w:val=""/>
      <w:lvlJc w:val="left"/>
      <w:pPr>
        <w:ind w:left="4485" w:hanging="360"/>
      </w:pPr>
      <w:rPr>
        <w:rFonts w:ascii="Wingdings" w:hAnsi="Wingdings" w:hint="default"/>
      </w:rPr>
    </w:lvl>
    <w:lvl w:ilvl="6">
      <w:start w:val="1"/>
      <w:numFmt w:val="bullet"/>
      <w:lvlText w:val=""/>
      <w:lvlJc w:val="left"/>
      <w:pPr>
        <w:ind w:left="5205" w:hanging="360"/>
      </w:pPr>
      <w:rPr>
        <w:rFonts w:ascii="Symbol" w:hAnsi="Symbol" w:hint="default"/>
      </w:rPr>
    </w:lvl>
    <w:lvl w:ilvl="7">
      <w:start w:val="1"/>
      <w:numFmt w:val="bullet"/>
      <w:lvlText w:val="o"/>
      <w:lvlJc w:val="left"/>
      <w:pPr>
        <w:ind w:left="5925" w:hanging="360"/>
      </w:pPr>
      <w:rPr>
        <w:rFonts w:ascii="Courier New" w:hAnsi="Courier New" w:hint="default"/>
      </w:rPr>
    </w:lvl>
    <w:lvl w:ilvl="8">
      <w:start w:val="1"/>
      <w:numFmt w:val="bullet"/>
      <w:lvlText w:val=""/>
      <w:lvlJc w:val="left"/>
      <w:pPr>
        <w:ind w:left="6645" w:hanging="360"/>
      </w:pPr>
      <w:rPr>
        <w:rFonts w:ascii="Wingdings" w:hAnsi="Wingdings" w:hint="default"/>
      </w:rPr>
    </w:lvl>
  </w:abstractNum>
  <w:num w:numId="1">
    <w:abstractNumId w:val="17"/>
  </w:num>
  <w:num w:numId="2">
    <w:abstractNumId w:val="22"/>
  </w:num>
  <w:num w:numId="3">
    <w:abstractNumId w:val="4"/>
  </w:num>
  <w:num w:numId="4">
    <w:abstractNumId w:val="10"/>
  </w:num>
  <w:num w:numId="5">
    <w:abstractNumId w:val="8"/>
  </w:num>
  <w:num w:numId="6">
    <w:abstractNumId w:val="15"/>
  </w:num>
  <w:num w:numId="7">
    <w:abstractNumId w:val="5"/>
  </w:num>
  <w:num w:numId="8">
    <w:abstractNumId w:val="18"/>
  </w:num>
  <w:num w:numId="9">
    <w:abstractNumId w:val="23"/>
  </w:num>
  <w:num w:numId="10">
    <w:abstractNumId w:val="16"/>
  </w:num>
  <w:num w:numId="11">
    <w:abstractNumId w:val="1"/>
  </w:num>
  <w:num w:numId="12">
    <w:abstractNumId w:val="12"/>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19"/>
  </w:num>
  <w:num w:numId="18">
    <w:abstractNumId w:val="13"/>
  </w:num>
  <w:num w:numId="19">
    <w:abstractNumId w:val="9"/>
  </w:num>
  <w:num w:numId="20">
    <w:abstractNumId w:val="7"/>
  </w:num>
  <w:num w:numId="21">
    <w:abstractNumId w:val="24"/>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0"/>
  </w:num>
  <w:num w:numId="26">
    <w:abstractNumId w:val="14"/>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9B0704"/>
    <w:rsid w:val="0000001F"/>
    <w:rsid w:val="000045C9"/>
    <w:rsid w:val="00006F79"/>
    <w:rsid w:val="00007DFA"/>
    <w:rsid w:val="00010E39"/>
    <w:rsid w:val="00012DD6"/>
    <w:rsid w:val="00014B3C"/>
    <w:rsid w:val="00017A0F"/>
    <w:rsid w:val="000200E7"/>
    <w:rsid w:val="0003625D"/>
    <w:rsid w:val="0004161D"/>
    <w:rsid w:val="00045E3D"/>
    <w:rsid w:val="00047D1A"/>
    <w:rsid w:val="000522B4"/>
    <w:rsid w:val="00052718"/>
    <w:rsid w:val="00061A30"/>
    <w:rsid w:val="00080CEB"/>
    <w:rsid w:val="0008605E"/>
    <w:rsid w:val="00091201"/>
    <w:rsid w:val="00091889"/>
    <w:rsid w:val="000A0F2A"/>
    <w:rsid w:val="000A2234"/>
    <w:rsid w:val="000A301E"/>
    <w:rsid w:val="000A3519"/>
    <w:rsid w:val="000A3E21"/>
    <w:rsid w:val="000A6556"/>
    <w:rsid w:val="000B51C0"/>
    <w:rsid w:val="000C1243"/>
    <w:rsid w:val="000C5450"/>
    <w:rsid w:val="000E21F3"/>
    <w:rsid w:val="000E77B2"/>
    <w:rsid w:val="000F2C05"/>
    <w:rsid w:val="000F375B"/>
    <w:rsid w:val="000F41ED"/>
    <w:rsid w:val="0011044E"/>
    <w:rsid w:val="001156C8"/>
    <w:rsid w:val="00123748"/>
    <w:rsid w:val="0012379F"/>
    <w:rsid w:val="00125926"/>
    <w:rsid w:val="00132117"/>
    <w:rsid w:val="001330FD"/>
    <w:rsid w:val="001366FE"/>
    <w:rsid w:val="00137107"/>
    <w:rsid w:val="00140E1D"/>
    <w:rsid w:val="00140F6D"/>
    <w:rsid w:val="001433B3"/>
    <w:rsid w:val="001479D4"/>
    <w:rsid w:val="00152079"/>
    <w:rsid w:val="00153E46"/>
    <w:rsid w:val="001567FF"/>
    <w:rsid w:val="00156985"/>
    <w:rsid w:val="00162220"/>
    <w:rsid w:val="00167B4F"/>
    <w:rsid w:val="00171F0A"/>
    <w:rsid w:val="0018345F"/>
    <w:rsid w:val="00183C84"/>
    <w:rsid w:val="00186155"/>
    <w:rsid w:val="001900A1"/>
    <w:rsid w:val="00195DFF"/>
    <w:rsid w:val="001A0C2B"/>
    <w:rsid w:val="001A0C6D"/>
    <w:rsid w:val="001A2AD9"/>
    <w:rsid w:val="001A652B"/>
    <w:rsid w:val="001A79ED"/>
    <w:rsid w:val="001B6B83"/>
    <w:rsid w:val="001B72B3"/>
    <w:rsid w:val="001C4AEA"/>
    <w:rsid w:val="001D7103"/>
    <w:rsid w:val="001E0718"/>
    <w:rsid w:val="001E0BA2"/>
    <w:rsid w:val="001E4D63"/>
    <w:rsid w:val="001E70C4"/>
    <w:rsid w:val="001F21DD"/>
    <w:rsid w:val="001F3142"/>
    <w:rsid w:val="002020CE"/>
    <w:rsid w:val="00213A52"/>
    <w:rsid w:val="002144A1"/>
    <w:rsid w:val="00215294"/>
    <w:rsid w:val="00217D9B"/>
    <w:rsid w:val="00220276"/>
    <w:rsid w:val="00225872"/>
    <w:rsid w:val="00236978"/>
    <w:rsid w:val="002379FE"/>
    <w:rsid w:val="002401EB"/>
    <w:rsid w:val="0024598E"/>
    <w:rsid w:val="0025332E"/>
    <w:rsid w:val="00260972"/>
    <w:rsid w:val="002629A1"/>
    <w:rsid w:val="002635D2"/>
    <w:rsid w:val="0026655D"/>
    <w:rsid w:val="00267942"/>
    <w:rsid w:val="00270749"/>
    <w:rsid w:val="00270961"/>
    <w:rsid w:val="002710B5"/>
    <w:rsid w:val="00271F94"/>
    <w:rsid w:val="00272CC4"/>
    <w:rsid w:val="00274F1D"/>
    <w:rsid w:val="00276114"/>
    <w:rsid w:val="00276B7D"/>
    <w:rsid w:val="002837D9"/>
    <w:rsid w:val="00284C5F"/>
    <w:rsid w:val="0028799D"/>
    <w:rsid w:val="002A2011"/>
    <w:rsid w:val="002A4A3A"/>
    <w:rsid w:val="002A4DD2"/>
    <w:rsid w:val="002B3F91"/>
    <w:rsid w:val="002B6579"/>
    <w:rsid w:val="002C0507"/>
    <w:rsid w:val="002C1940"/>
    <w:rsid w:val="002D340C"/>
    <w:rsid w:val="002F23EC"/>
    <w:rsid w:val="002F3DFD"/>
    <w:rsid w:val="002F5AD4"/>
    <w:rsid w:val="002F72E5"/>
    <w:rsid w:val="00301A94"/>
    <w:rsid w:val="003037D8"/>
    <w:rsid w:val="00311DA0"/>
    <w:rsid w:val="00312541"/>
    <w:rsid w:val="00312A6A"/>
    <w:rsid w:val="0031328A"/>
    <w:rsid w:val="00320621"/>
    <w:rsid w:val="003212E4"/>
    <w:rsid w:val="003241C3"/>
    <w:rsid w:val="003248B4"/>
    <w:rsid w:val="00330116"/>
    <w:rsid w:val="00331C6B"/>
    <w:rsid w:val="00331DFF"/>
    <w:rsid w:val="00332E24"/>
    <w:rsid w:val="00335AD8"/>
    <w:rsid w:val="003360A5"/>
    <w:rsid w:val="00340883"/>
    <w:rsid w:val="00341EB6"/>
    <w:rsid w:val="00342188"/>
    <w:rsid w:val="00351D57"/>
    <w:rsid w:val="0035271C"/>
    <w:rsid w:val="0035367F"/>
    <w:rsid w:val="00355CD9"/>
    <w:rsid w:val="003567B1"/>
    <w:rsid w:val="00361258"/>
    <w:rsid w:val="00362451"/>
    <w:rsid w:val="00362A71"/>
    <w:rsid w:val="00365053"/>
    <w:rsid w:val="00377C2F"/>
    <w:rsid w:val="00382090"/>
    <w:rsid w:val="00392235"/>
    <w:rsid w:val="0039307E"/>
    <w:rsid w:val="003A3E94"/>
    <w:rsid w:val="003A43C5"/>
    <w:rsid w:val="003A7796"/>
    <w:rsid w:val="003B069F"/>
    <w:rsid w:val="003B097E"/>
    <w:rsid w:val="003B2263"/>
    <w:rsid w:val="003B2DEA"/>
    <w:rsid w:val="003B5EAD"/>
    <w:rsid w:val="003B614B"/>
    <w:rsid w:val="003C0DEA"/>
    <w:rsid w:val="003C37E9"/>
    <w:rsid w:val="003C5E94"/>
    <w:rsid w:val="003D06B2"/>
    <w:rsid w:val="003D2F51"/>
    <w:rsid w:val="003D4829"/>
    <w:rsid w:val="003E39F7"/>
    <w:rsid w:val="003E6D94"/>
    <w:rsid w:val="003F081B"/>
    <w:rsid w:val="003F11C4"/>
    <w:rsid w:val="003F4735"/>
    <w:rsid w:val="003F5E5F"/>
    <w:rsid w:val="003F702E"/>
    <w:rsid w:val="00403A9F"/>
    <w:rsid w:val="00404A75"/>
    <w:rsid w:val="00410D11"/>
    <w:rsid w:val="0041370A"/>
    <w:rsid w:val="00417604"/>
    <w:rsid w:val="004226C0"/>
    <w:rsid w:val="004273AE"/>
    <w:rsid w:val="00434F7A"/>
    <w:rsid w:val="00440338"/>
    <w:rsid w:val="00442F85"/>
    <w:rsid w:val="004430CB"/>
    <w:rsid w:val="0044618F"/>
    <w:rsid w:val="00451F07"/>
    <w:rsid w:val="00452D6D"/>
    <w:rsid w:val="00453364"/>
    <w:rsid w:val="00453D14"/>
    <w:rsid w:val="0045463B"/>
    <w:rsid w:val="00475175"/>
    <w:rsid w:val="00483008"/>
    <w:rsid w:val="0048657D"/>
    <w:rsid w:val="00487FC4"/>
    <w:rsid w:val="00492B1C"/>
    <w:rsid w:val="00495032"/>
    <w:rsid w:val="00496D91"/>
    <w:rsid w:val="004A0822"/>
    <w:rsid w:val="004A3238"/>
    <w:rsid w:val="004B04C7"/>
    <w:rsid w:val="004B0772"/>
    <w:rsid w:val="004B0D35"/>
    <w:rsid w:val="004B5FB5"/>
    <w:rsid w:val="004C2D5D"/>
    <w:rsid w:val="004C51AF"/>
    <w:rsid w:val="004D044F"/>
    <w:rsid w:val="004D25EB"/>
    <w:rsid w:val="004D2732"/>
    <w:rsid w:val="004D53A1"/>
    <w:rsid w:val="004D5404"/>
    <w:rsid w:val="004D7A0E"/>
    <w:rsid w:val="005023E7"/>
    <w:rsid w:val="00504DBA"/>
    <w:rsid w:val="00511906"/>
    <w:rsid w:val="00512FEC"/>
    <w:rsid w:val="00513FFB"/>
    <w:rsid w:val="00514B77"/>
    <w:rsid w:val="0051597B"/>
    <w:rsid w:val="00515CCC"/>
    <w:rsid w:val="00530D23"/>
    <w:rsid w:val="005408A2"/>
    <w:rsid w:val="00542EC0"/>
    <w:rsid w:val="0054345C"/>
    <w:rsid w:val="0054548B"/>
    <w:rsid w:val="00552652"/>
    <w:rsid w:val="00554655"/>
    <w:rsid w:val="00555783"/>
    <w:rsid w:val="0056346E"/>
    <w:rsid w:val="00567C63"/>
    <w:rsid w:val="00571936"/>
    <w:rsid w:val="00571A99"/>
    <w:rsid w:val="005804FA"/>
    <w:rsid w:val="005811B5"/>
    <w:rsid w:val="00581272"/>
    <w:rsid w:val="005821D8"/>
    <w:rsid w:val="00582A96"/>
    <w:rsid w:val="005834F3"/>
    <w:rsid w:val="005879A3"/>
    <w:rsid w:val="00590D6F"/>
    <w:rsid w:val="005A7C86"/>
    <w:rsid w:val="005B0A55"/>
    <w:rsid w:val="005B25F9"/>
    <w:rsid w:val="005B5768"/>
    <w:rsid w:val="005C5D3D"/>
    <w:rsid w:val="005C7EBC"/>
    <w:rsid w:val="005D365D"/>
    <w:rsid w:val="005D53B0"/>
    <w:rsid w:val="005D702C"/>
    <w:rsid w:val="005E01C7"/>
    <w:rsid w:val="005E2A99"/>
    <w:rsid w:val="005E3FDD"/>
    <w:rsid w:val="005F1148"/>
    <w:rsid w:val="005F3CD0"/>
    <w:rsid w:val="005F6BC7"/>
    <w:rsid w:val="006037E4"/>
    <w:rsid w:val="006144DC"/>
    <w:rsid w:val="0061616E"/>
    <w:rsid w:val="0062217B"/>
    <w:rsid w:val="00625B4E"/>
    <w:rsid w:val="006263EE"/>
    <w:rsid w:val="006307D4"/>
    <w:rsid w:val="006345F1"/>
    <w:rsid w:val="00637CAE"/>
    <w:rsid w:val="00637D84"/>
    <w:rsid w:val="00644926"/>
    <w:rsid w:val="00650A8F"/>
    <w:rsid w:val="006561AB"/>
    <w:rsid w:val="00656402"/>
    <w:rsid w:val="00656C18"/>
    <w:rsid w:val="00663A5C"/>
    <w:rsid w:val="00670E9D"/>
    <w:rsid w:val="00671AFA"/>
    <w:rsid w:val="00674EF9"/>
    <w:rsid w:val="006947D3"/>
    <w:rsid w:val="0069777F"/>
    <w:rsid w:val="006A1681"/>
    <w:rsid w:val="006A53C0"/>
    <w:rsid w:val="006B3382"/>
    <w:rsid w:val="006B3C13"/>
    <w:rsid w:val="006B5B52"/>
    <w:rsid w:val="006B6D82"/>
    <w:rsid w:val="006C21E7"/>
    <w:rsid w:val="006D2393"/>
    <w:rsid w:val="006D706B"/>
    <w:rsid w:val="006E18D5"/>
    <w:rsid w:val="006E2DC1"/>
    <w:rsid w:val="006E4045"/>
    <w:rsid w:val="006E5AEF"/>
    <w:rsid w:val="006E6ACF"/>
    <w:rsid w:val="006F0ED8"/>
    <w:rsid w:val="006F5C6E"/>
    <w:rsid w:val="00713174"/>
    <w:rsid w:val="007173EA"/>
    <w:rsid w:val="007251E8"/>
    <w:rsid w:val="007265B4"/>
    <w:rsid w:val="0073047B"/>
    <w:rsid w:val="00741CB4"/>
    <w:rsid w:val="00743333"/>
    <w:rsid w:val="007449F1"/>
    <w:rsid w:val="00751EE8"/>
    <w:rsid w:val="00752B85"/>
    <w:rsid w:val="00764860"/>
    <w:rsid w:val="00764ACA"/>
    <w:rsid w:val="00773BA8"/>
    <w:rsid w:val="007775A4"/>
    <w:rsid w:val="00780FA6"/>
    <w:rsid w:val="007819CB"/>
    <w:rsid w:val="00781A2C"/>
    <w:rsid w:val="00782282"/>
    <w:rsid w:val="007835F8"/>
    <w:rsid w:val="00790C9C"/>
    <w:rsid w:val="00791610"/>
    <w:rsid w:val="00795632"/>
    <w:rsid w:val="007A0A10"/>
    <w:rsid w:val="007A6189"/>
    <w:rsid w:val="007B2577"/>
    <w:rsid w:val="007E4E12"/>
    <w:rsid w:val="007E72A2"/>
    <w:rsid w:val="007F6F02"/>
    <w:rsid w:val="0080590C"/>
    <w:rsid w:val="0080765E"/>
    <w:rsid w:val="008076AF"/>
    <w:rsid w:val="00810E43"/>
    <w:rsid w:val="008112A0"/>
    <w:rsid w:val="0081154C"/>
    <w:rsid w:val="008128F4"/>
    <w:rsid w:val="0081571E"/>
    <w:rsid w:val="008226C3"/>
    <w:rsid w:val="00824E54"/>
    <w:rsid w:val="00830307"/>
    <w:rsid w:val="0083082A"/>
    <w:rsid w:val="00833441"/>
    <w:rsid w:val="00837F70"/>
    <w:rsid w:val="00845B1A"/>
    <w:rsid w:val="00846A90"/>
    <w:rsid w:val="0085629A"/>
    <w:rsid w:val="00860164"/>
    <w:rsid w:val="00862695"/>
    <w:rsid w:val="0086568C"/>
    <w:rsid w:val="0086697E"/>
    <w:rsid w:val="0087062F"/>
    <w:rsid w:val="00872CE5"/>
    <w:rsid w:val="008743FF"/>
    <w:rsid w:val="00874B04"/>
    <w:rsid w:val="00875385"/>
    <w:rsid w:val="00880BC3"/>
    <w:rsid w:val="00886BDE"/>
    <w:rsid w:val="008A1CF7"/>
    <w:rsid w:val="008A498B"/>
    <w:rsid w:val="008B7210"/>
    <w:rsid w:val="008C1301"/>
    <w:rsid w:val="008C1E7A"/>
    <w:rsid w:val="008C21BB"/>
    <w:rsid w:val="008C4668"/>
    <w:rsid w:val="008C58D9"/>
    <w:rsid w:val="008C5F17"/>
    <w:rsid w:val="008D0767"/>
    <w:rsid w:val="008D78D9"/>
    <w:rsid w:val="008E6FB5"/>
    <w:rsid w:val="008F77E6"/>
    <w:rsid w:val="00907D7F"/>
    <w:rsid w:val="009137FD"/>
    <w:rsid w:val="0091460B"/>
    <w:rsid w:val="0091540E"/>
    <w:rsid w:val="009220F7"/>
    <w:rsid w:val="009241F7"/>
    <w:rsid w:val="00931AB5"/>
    <w:rsid w:val="009324C7"/>
    <w:rsid w:val="00934A7B"/>
    <w:rsid w:val="00935ABF"/>
    <w:rsid w:val="00944406"/>
    <w:rsid w:val="00951CC4"/>
    <w:rsid w:val="0095586E"/>
    <w:rsid w:val="009675E1"/>
    <w:rsid w:val="009756FA"/>
    <w:rsid w:val="0097777D"/>
    <w:rsid w:val="00981D4F"/>
    <w:rsid w:val="009836E4"/>
    <w:rsid w:val="00985C1E"/>
    <w:rsid w:val="00995E34"/>
    <w:rsid w:val="00997400"/>
    <w:rsid w:val="009A24FB"/>
    <w:rsid w:val="009B0704"/>
    <w:rsid w:val="009B763B"/>
    <w:rsid w:val="009B7DA0"/>
    <w:rsid w:val="009C0380"/>
    <w:rsid w:val="009C06A8"/>
    <w:rsid w:val="009C09FA"/>
    <w:rsid w:val="009C4242"/>
    <w:rsid w:val="009C5636"/>
    <w:rsid w:val="009D5730"/>
    <w:rsid w:val="009F3467"/>
    <w:rsid w:val="009F659D"/>
    <w:rsid w:val="00A003A3"/>
    <w:rsid w:val="00A03BE1"/>
    <w:rsid w:val="00A0628B"/>
    <w:rsid w:val="00A110FE"/>
    <w:rsid w:val="00A15281"/>
    <w:rsid w:val="00A1658B"/>
    <w:rsid w:val="00A24303"/>
    <w:rsid w:val="00A2729F"/>
    <w:rsid w:val="00A427BC"/>
    <w:rsid w:val="00A43C11"/>
    <w:rsid w:val="00A45CBA"/>
    <w:rsid w:val="00A4728B"/>
    <w:rsid w:val="00A533F4"/>
    <w:rsid w:val="00A664B2"/>
    <w:rsid w:val="00A70AF6"/>
    <w:rsid w:val="00A76C1C"/>
    <w:rsid w:val="00A81E1E"/>
    <w:rsid w:val="00A822E4"/>
    <w:rsid w:val="00A847B3"/>
    <w:rsid w:val="00A969CB"/>
    <w:rsid w:val="00A97FD4"/>
    <w:rsid w:val="00AA224D"/>
    <w:rsid w:val="00AA2F04"/>
    <w:rsid w:val="00AA460D"/>
    <w:rsid w:val="00AA50C9"/>
    <w:rsid w:val="00AA5E00"/>
    <w:rsid w:val="00AA66FD"/>
    <w:rsid w:val="00AB6AD9"/>
    <w:rsid w:val="00AC678D"/>
    <w:rsid w:val="00AD7E50"/>
    <w:rsid w:val="00AE2DA8"/>
    <w:rsid w:val="00AE4ACC"/>
    <w:rsid w:val="00AE4E33"/>
    <w:rsid w:val="00AF2330"/>
    <w:rsid w:val="00AF6615"/>
    <w:rsid w:val="00B00EBC"/>
    <w:rsid w:val="00B0152A"/>
    <w:rsid w:val="00B06E95"/>
    <w:rsid w:val="00B10AE9"/>
    <w:rsid w:val="00B1233B"/>
    <w:rsid w:val="00B13A0D"/>
    <w:rsid w:val="00B17F0D"/>
    <w:rsid w:val="00B22A31"/>
    <w:rsid w:val="00B22BF0"/>
    <w:rsid w:val="00B231EF"/>
    <w:rsid w:val="00B25893"/>
    <w:rsid w:val="00B272EA"/>
    <w:rsid w:val="00B40316"/>
    <w:rsid w:val="00B4586E"/>
    <w:rsid w:val="00B46D1E"/>
    <w:rsid w:val="00B57DB6"/>
    <w:rsid w:val="00B6013B"/>
    <w:rsid w:val="00B62AED"/>
    <w:rsid w:val="00B647EF"/>
    <w:rsid w:val="00B70FAD"/>
    <w:rsid w:val="00B718F0"/>
    <w:rsid w:val="00B7325C"/>
    <w:rsid w:val="00B77B8A"/>
    <w:rsid w:val="00B77BFB"/>
    <w:rsid w:val="00B80F08"/>
    <w:rsid w:val="00B8666A"/>
    <w:rsid w:val="00B86813"/>
    <w:rsid w:val="00B8746E"/>
    <w:rsid w:val="00B875CB"/>
    <w:rsid w:val="00B87F6C"/>
    <w:rsid w:val="00B95E43"/>
    <w:rsid w:val="00BA5D92"/>
    <w:rsid w:val="00BA7187"/>
    <w:rsid w:val="00BA7585"/>
    <w:rsid w:val="00BB5C1C"/>
    <w:rsid w:val="00BB77C0"/>
    <w:rsid w:val="00BB7A78"/>
    <w:rsid w:val="00BC1617"/>
    <w:rsid w:val="00BC43AA"/>
    <w:rsid w:val="00BC499A"/>
    <w:rsid w:val="00BD1713"/>
    <w:rsid w:val="00BD3B02"/>
    <w:rsid w:val="00BD5B8C"/>
    <w:rsid w:val="00BD7B6D"/>
    <w:rsid w:val="00BF2FA6"/>
    <w:rsid w:val="00BF315D"/>
    <w:rsid w:val="00BF4CC2"/>
    <w:rsid w:val="00BF54BA"/>
    <w:rsid w:val="00BF59BC"/>
    <w:rsid w:val="00BF7260"/>
    <w:rsid w:val="00C03EB8"/>
    <w:rsid w:val="00C05316"/>
    <w:rsid w:val="00C05E12"/>
    <w:rsid w:val="00C07A49"/>
    <w:rsid w:val="00C17EC2"/>
    <w:rsid w:val="00C23E07"/>
    <w:rsid w:val="00C244A4"/>
    <w:rsid w:val="00C25512"/>
    <w:rsid w:val="00C318D6"/>
    <w:rsid w:val="00C31B30"/>
    <w:rsid w:val="00C31BF6"/>
    <w:rsid w:val="00C34F8A"/>
    <w:rsid w:val="00C3523E"/>
    <w:rsid w:val="00C379EE"/>
    <w:rsid w:val="00C430EA"/>
    <w:rsid w:val="00C446DA"/>
    <w:rsid w:val="00C47447"/>
    <w:rsid w:val="00C5171C"/>
    <w:rsid w:val="00C52ECF"/>
    <w:rsid w:val="00C563A9"/>
    <w:rsid w:val="00C67C16"/>
    <w:rsid w:val="00C77794"/>
    <w:rsid w:val="00C84EFE"/>
    <w:rsid w:val="00C85B85"/>
    <w:rsid w:val="00C86668"/>
    <w:rsid w:val="00C8714E"/>
    <w:rsid w:val="00C91EDA"/>
    <w:rsid w:val="00CA0EBD"/>
    <w:rsid w:val="00CA34B4"/>
    <w:rsid w:val="00CA5050"/>
    <w:rsid w:val="00CA539E"/>
    <w:rsid w:val="00CA6451"/>
    <w:rsid w:val="00CB6123"/>
    <w:rsid w:val="00CB7D3E"/>
    <w:rsid w:val="00CB7DB0"/>
    <w:rsid w:val="00CE117B"/>
    <w:rsid w:val="00CE2200"/>
    <w:rsid w:val="00CE2DEF"/>
    <w:rsid w:val="00CF08BA"/>
    <w:rsid w:val="00CF22D5"/>
    <w:rsid w:val="00CF5D38"/>
    <w:rsid w:val="00CF6D48"/>
    <w:rsid w:val="00CF7377"/>
    <w:rsid w:val="00CF7EA5"/>
    <w:rsid w:val="00D056F9"/>
    <w:rsid w:val="00D061D1"/>
    <w:rsid w:val="00D077AE"/>
    <w:rsid w:val="00D11B68"/>
    <w:rsid w:val="00D16010"/>
    <w:rsid w:val="00D25CB5"/>
    <w:rsid w:val="00D31406"/>
    <w:rsid w:val="00D3488D"/>
    <w:rsid w:val="00D37490"/>
    <w:rsid w:val="00D42829"/>
    <w:rsid w:val="00D43B68"/>
    <w:rsid w:val="00D448E2"/>
    <w:rsid w:val="00D52AD0"/>
    <w:rsid w:val="00D55228"/>
    <w:rsid w:val="00D57374"/>
    <w:rsid w:val="00D610A1"/>
    <w:rsid w:val="00D62634"/>
    <w:rsid w:val="00D662BF"/>
    <w:rsid w:val="00D67E8B"/>
    <w:rsid w:val="00D71078"/>
    <w:rsid w:val="00D72525"/>
    <w:rsid w:val="00D73C03"/>
    <w:rsid w:val="00D743BE"/>
    <w:rsid w:val="00D76F19"/>
    <w:rsid w:val="00D7753F"/>
    <w:rsid w:val="00D77EAB"/>
    <w:rsid w:val="00D8040E"/>
    <w:rsid w:val="00D810DB"/>
    <w:rsid w:val="00D822E6"/>
    <w:rsid w:val="00D84B74"/>
    <w:rsid w:val="00D87144"/>
    <w:rsid w:val="00D876F3"/>
    <w:rsid w:val="00D91F03"/>
    <w:rsid w:val="00D935C5"/>
    <w:rsid w:val="00D97078"/>
    <w:rsid w:val="00DA1681"/>
    <w:rsid w:val="00DB00DA"/>
    <w:rsid w:val="00DB03E8"/>
    <w:rsid w:val="00DC052F"/>
    <w:rsid w:val="00DC0C04"/>
    <w:rsid w:val="00DC4A60"/>
    <w:rsid w:val="00DD1124"/>
    <w:rsid w:val="00DD136C"/>
    <w:rsid w:val="00DD172F"/>
    <w:rsid w:val="00DD38DB"/>
    <w:rsid w:val="00DD3C26"/>
    <w:rsid w:val="00DD3F86"/>
    <w:rsid w:val="00DD5735"/>
    <w:rsid w:val="00DE0BED"/>
    <w:rsid w:val="00DE11B8"/>
    <w:rsid w:val="00DE43BA"/>
    <w:rsid w:val="00DE4AA5"/>
    <w:rsid w:val="00DE5023"/>
    <w:rsid w:val="00DE74B6"/>
    <w:rsid w:val="00DE7E95"/>
    <w:rsid w:val="00DF0A80"/>
    <w:rsid w:val="00DF45EC"/>
    <w:rsid w:val="00E00263"/>
    <w:rsid w:val="00E05707"/>
    <w:rsid w:val="00E06216"/>
    <w:rsid w:val="00E062F2"/>
    <w:rsid w:val="00E071A9"/>
    <w:rsid w:val="00E0720E"/>
    <w:rsid w:val="00E17621"/>
    <w:rsid w:val="00E17852"/>
    <w:rsid w:val="00E17961"/>
    <w:rsid w:val="00E2361F"/>
    <w:rsid w:val="00E26E05"/>
    <w:rsid w:val="00E32587"/>
    <w:rsid w:val="00E35E41"/>
    <w:rsid w:val="00E36682"/>
    <w:rsid w:val="00E37867"/>
    <w:rsid w:val="00E411EC"/>
    <w:rsid w:val="00E4729B"/>
    <w:rsid w:val="00E51AAD"/>
    <w:rsid w:val="00E5341F"/>
    <w:rsid w:val="00E560E1"/>
    <w:rsid w:val="00E56BC0"/>
    <w:rsid w:val="00E57AF8"/>
    <w:rsid w:val="00E67D86"/>
    <w:rsid w:val="00E739FA"/>
    <w:rsid w:val="00E82406"/>
    <w:rsid w:val="00E86C64"/>
    <w:rsid w:val="00E92826"/>
    <w:rsid w:val="00EA35DB"/>
    <w:rsid w:val="00EB55FD"/>
    <w:rsid w:val="00EB712C"/>
    <w:rsid w:val="00EC3A72"/>
    <w:rsid w:val="00ED1191"/>
    <w:rsid w:val="00ED2A90"/>
    <w:rsid w:val="00ED6379"/>
    <w:rsid w:val="00ED680D"/>
    <w:rsid w:val="00EF219E"/>
    <w:rsid w:val="00F01F53"/>
    <w:rsid w:val="00F06F66"/>
    <w:rsid w:val="00F07C8D"/>
    <w:rsid w:val="00F16E0A"/>
    <w:rsid w:val="00F17097"/>
    <w:rsid w:val="00F176F5"/>
    <w:rsid w:val="00F238BB"/>
    <w:rsid w:val="00F23C0C"/>
    <w:rsid w:val="00F270DB"/>
    <w:rsid w:val="00F315AD"/>
    <w:rsid w:val="00F31A90"/>
    <w:rsid w:val="00F34284"/>
    <w:rsid w:val="00F35CD7"/>
    <w:rsid w:val="00F456D7"/>
    <w:rsid w:val="00F5568D"/>
    <w:rsid w:val="00F66708"/>
    <w:rsid w:val="00F734B1"/>
    <w:rsid w:val="00F739A0"/>
    <w:rsid w:val="00F751DC"/>
    <w:rsid w:val="00F76C72"/>
    <w:rsid w:val="00F7780D"/>
    <w:rsid w:val="00F8232E"/>
    <w:rsid w:val="00F8290F"/>
    <w:rsid w:val="00F838E3"/>
    <w:rsid w:val="00F90138"/>
    <w:rsid w:val="00F930C1"/>
    <w:rsid w:val="00F968EF"/>
    <w:rsid w:val="00F97501"/>
    <w:rsid w:val="00FA2474"/>
    <w:rsid w:val="00FA6BF2"/>
    <w:rsid w:val="00FB3B03"/>
    <w:rsid w:val="00FB57DA"/>
    <w:rsid w:val="00FB702E"/>
    <w:rsid w:val="00FC0513"/>
    <w:rsid w:val="00FC15CD"/>
    <w:rsid w:val="00FC5EB8"/>
    <w:rsid w:val="00FC698A"/>
    <w:rsid w:val="00FC6F05"/>
    <w:rsid w:val="00FD2A3C"/>
    <w:rsid w:val="00FE58A9"/>
    <w:rsid w:val="00FE58F4"/>
    <w:rsid w:val="00FF159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B0704"/>
    <w:pPr>
      <w:widowControl/>
      <w:autoSpaceDE/>
      <w:autoSpaceDN/>
      <w:adjustRightInd/>
      <w:ind w:left="0" w:right="0"/>
      <w:jc w:val="left"/>
      <w:textAlignment w:val="auto"/>
    </w:pPr>
    <w:rPr>
      <w:rFonts w:ascii="Courier" w:hAnsi="Courier" w:cs="Courier"/>
      <w:sz w:val="24"/>
      <w:lang w:val="sk-SK" w:eastAsia="cs-CZ"/>
    </w:rPr>
  </w:style>
  <w:style w:type="paragraph" w:styleId="Heading1">
    <w:name w:val="heading 1"/>
    <w:aliases w:val="Char5"/>
    <w:basedOn w:val="Normal"/>
    <w:next w:val="Normal"/>
    <w:link w:val="Char5Char"/>
    <w:uiPriority w:val="99"/>
    <w:rsid w:val="00C52ECF"/>
    <w:pPr>
      <w:keepNext/>
      <w:spacing w:before="240" w:after="60"/>
      <w:jc w:val="left"/>
      <w:outlineLvl w:val="0"/>
    </w:pPr>
    <w:rPr>
      <w:rFonts w:ascii="Arial" w:hAnsi="Arial" w:cs="Arial"/>
      <w:b/>
      <w:kern w:val="32"/>
      <w:sz w:val="32"/>
    </w:rPr>
  </w:style>
  <w:style w:type="paragraph" w:styleId="Heading2">
    <w:name w:val="heading 2"/>
    <w:basedOn w:val="Normal"/>
    <w:next w:val="Normal"/>
    <w:uiPriority w:val="99"/>
    <w:rsid w:val="009B0704"/>
    <w:pPr>
      <w:keepNext/>
      <w:spacing w:before="240" w:after="60"/>
      <w:jc w:val="left"/>
      <w:outlineLvl w:val="1"/>
    </w:pPr>
    <w:rPr>
      <w:rFonts w:ascii="Arial" w:hAnsi="Arial" w:cs="Arial"/>
      <w:b/>
      <w:i/>
      <w:sz w:val="28"/>
    </w:rPr>
  </w:style>
  <w:style w:type="paragraph" w:styleId="Heading3">
    <w:name w:val="heading 3"/>
    <w:aliases w:val="Char4"/>
    <w:basedOn w:val="Normal"/>
    <w:next w:val="Normal"/>
    <w:link w:val="Char4Char"/>
    <w:uiPriority w:val="99"/>
    <w:rsid w:val="00F930C1"/>
    <w:pPr>
      <w:keepNext/>
      <w:spacing w:before="240" w:after="60"/>
      <w:jc w:val="left"/>
      <w:outlineLvl w:val="2"/>
    </w:pPr>
    <w:rPr>
      <w:rFonts w:ascii="Arial" w:hAnsi="Arial" w:cs="Arial"/>
      <w:b/>
      <w:sz w:val="26"/>
    </w:rPr>
  </w:style>
  <w:style w:type="paragraph" w:styleId="Heading4">
    <w:name w:val="heading 4"/>
    <w:aliases w:val="Char"/>
    <w:basedOn w:val="Normal"/>
    <w:next w:val="Normal"/>
    <w:link w:val="CharChar"/>
    <w:uiPriority w:val="99"/>
    <w:rsid w:val="00DD172F"/>
    <w:pPr>
      <w:keepNext/>
      <w:jc w:val="both"/>
      <w:outlineLvl w:val="3"/>
    </w:pPr>
    <w:rPr>
      <w:rFonts w:ascii="Arial" w:hAnsi="Arial" w:cs="Arial"/>
      <w:b/>
      <w:sz w:val="20"/>
      <w:lang w:eastAsia="sk-SK"/>
    </w:rPr>
  </w:style>
  <w:style w:type="character" w:default="1" w:styleId="DefaultParagraphFont">
    <w:name w:val="Default Paragraph Font"/>
    <w:aliases w:val="Char Char Char Char"/>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CharChar">
    <w:name w:val="Char Char"/>
    <w:basedOn w:val="DefaultParagraphFont"/>
    <w:link w:val="Heading4"/>
    <w:uiPriority w:val="99"/>
    <w:rsid w:val="00DD172F"/>
    <w:rPr>
      <w:rFonts w:ascii="Arial" w:hAnsi="Arial" w:cs="Arial"/>
      <w:b/>
      <w:sz w:val="24"/>
    </w:rPr>
  </w:style>
  <w:style w:type="paragraph" w:customStyle="1" w:styleId="CharChar2">
    <w:name w:val="Char Char2"/>
    <w:basedOn w:val="Normal"/>
    <w:uiPriority w:val="99"/>
    <w:rsid w:val="009B0704"/>
    <w:pPr>
      <w:spacing w:after="160" w:line="240" w:lineRule="exact"/>
      <w:jc w:val="left"/>
    </w:pPr>
    <w:rPr>
      <w:rFonts w:ascii="Tahoma" w:hAnsi="Tahoma" w:cs="Tahoma"/>
      <w:sz w:val="20"/>
      <w:lang w:val="en-US" w:eastAsia="en-US"/>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uiPriority w:val="99"/>
    <w:semiHidden/>
    <w:rsid w:val="009B0704"/>
    <w:pPr>
      <w:jc w:val="left"/>
    </w:pPr>
  </w:style>
  <w:style w:type="character" w:styleId="FootnoteReference">
    <w:name w:val="footnote reference"/>
    <w:basedOn w:val="DefaultParagraphFont"/>
    <w:uiPriority w:val="99"/>
    <w:semiHidden/>
    <w:rsid w:val="009B0704"/>
    <w:rPr>
      <w:vertAlign w:val="superscript"/>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uiPriority w:val="99"/>
    <w:rsid w:val="006D2393"/>
    <w:pPr>
      <w:spacing w:after="160" w:line="240" w:lineRule="exact"/>
      <w:jc w:val="left"/>
    </w:pPr>
    <w:rPr>
      <w:rFonts w:ascii="Tahoma" w:hAnsi="Tahoma" w:cs="Tahoma"/>
      <w:sz w:val="20"/>
      <w:lang w:val="en-US" w:eastAsia="en-US"/>
    </w:rPr>
  </w:style>
  <w:style w:type="paragraph" w:styleId="BodyText">
    <w:name w:val="Body Text"/>
    <w:aliases w:val="Char14"/>
    <w:basedOn w:val="Normal"/>
    <w:link w:val="Char14Char"/>
    <w:uiPriority w:val="99"/>
    <w:rsid w:val="00DD172F"/>
    <w:pPr>
      <w:jc w:val="both"/>
    </w:pPr>
    <w:rPr>
      <w:lang w:eastAsia="sk-SK"/>
    </w:rPr>
  </w:style>
  <w:style w:type="character" w:customStyle="1" w:styleId="Char14Char">
    <w:name w:val="Char14 Char"/>
    <w:basedOn w:val="DefaultParagraphFont"/>
    <w:link w:val="BodyText"/>
    <w:uiPriority w:val="99"/>
    <w:rsid w:val="00DD172F"/>
    <w:rPr>
      <w:sz w:val="24"/>
    </w:rPr>
  </w:style>
  <w:style w:type="paragraph" w:styleId="BalloonText">
    <w:name w:val="Balloon Text"/>
    <w:aliases w:val="Char13"/>
    <w:basedOn w:val="Normal"/>
    <w:link w:val="Char13Char"/>
    <w:uiPriority w:val="99"/>
    <w:semiHidden/>
    <w:rsid w:val="00DD172F"/>
    <w:pPr>
      <w:jc w:val="left"/>
    </w:pPr>
    <w:rPr>
      <w:rFonts w:ascii="Tahoma" w:hAnsi="Tahoma" w:cs="Tahoma"/>
      <w:sz w:val="16"/>
      <w:lang w:eastAsia="sk-SK"/>
    </w:rPr>
  </w:style>
  <w:style w:type="character" w:customStyle="1" w:styleId="Char13Char">
    <w:name w:val="Char13 Char"/>
    <w:basedOn w:val="DefaultParagraphFont"/>
    <w:link w:val="BalloonText"/>
    <w:uiPriority w:val="99"/>
    <w:rsid w:val="00DD172F"/>
    <w:rPr>
      <w:rFonts w:ascii="Tahoma" w:hAnsi="Tahoma" w:cs="Tahoma"/>
      <w:sz w:val="16"/>
    </w:rPr>
  </w:style>
  <w:style w:type="paragraph" w:styleId="BodyText2">
    <w:name w:val="Body Text 2"/>
    <w:aliases w:val="Char8"/>
    <w:basedOn w:val="Normal"/>
    <w:link w:val="Char8Char"/>
    <w:uiPriority w:val="99"/>
    <w:rsid w:val="00DD172F"/>
    <w:pPr>
      <w:spacing w:after="120" w:line="480" w:lineRule="auto"/>
      <w:jc w:val="left"/>
    </w:pPr>
    <w:rPr>
      <w:lang w:eastAsia="sk-SK"/>
    </w:rPr>
  </w:style>
  <w:style w:type="character" w:customStyle="1" w:styleId="Char12">
    <w:name w:val="Char12"/>
    <w:basedOn w:val="DefaultParagraphFont"/>
    <w:link w:val="BodyText2"/>
    <w:uiPriority w:val="99"/>
    <w:rsid w:val="00DD172F"/>
    <w:rPr>
      <w:sz w:val="24"/>
    </w:rPr>
  </w:style>
  <w:style w:type="paragraph" w:styleId="Footer">
    <w:name w:val="footer"/>
    <w:aliases w:val="Char11"/>
    <w:basedOn w:val="Normal"/>
    <w:link w:val="Char11Char"/>
    <w:uiPriority w:val="99"/>
    <w:rsid w:val="00DD172F"/>
    <w:pPr>
      <w:tabs>
        <w:tab w:val="center" w:pos="4536"/>
        <w:tab w:val="right" w:pos="9072"/>
      </w:tabs>
      <w:jc w:val="left"/>
    </w:pPr>
    <w:rPr>
      <w:lang w:eastAsia="sk-SK"/>
    </w:rPr>
  </w:style>
  <w:style w:type="character" w:customStyle="1" w:styleId="Char11Char">
    <w:name w:val="Char11 Char"/>
    <w:basedOn w:val="DefaultParagraphFont"/>
    <w:link w:val="Footer"/>
    <w:uiPriority w:val="99"/>
    <w:rsid w:val="00DD172F"/>
    <w:rPr>
      <w:sz w:val="24"/>
    </w:rPr>
  </w:style>
  <w:style w:type="character" w:styleId="PageNumber">
    <w:name w:val="page number"/>
    <w:basedOn w:val="DefaultParagraphFont"/>
    <w:uiPriority w:val="99"/>
    <w:rsid w:val="00DD172F"/>
  </w:style>
  <w:style w:type="paragraph" w:styleId="BodyTextIndent2">
    <w:name w:val="Body Text Indent 2"/>
    <w:aliases w:val="Char10"/>
    <w:basedOn w:val="Normal"/>
    <w:link w:val="Char10Char"/>
    <w:uiPriority w:val="99"/>
    <w:rsid w:val="00DD172F"/>
    <w:pPr>
      <w:spacing w:after="120" w:line="480" w:lineRule="auto"/>
      <w:ind w:left="283"/>
      <w:jc w:val="left"/>
    </w:pPr>
    <w:rPr>
      <w:lang w:eastAsia="sk-SK"/>
    </w:rPr>
  </w:style>
  <w:style w:type="character" w:customStyle="1" w:styleId="Char10Char">
    <w:name w:val="Char10 Char"/>
    <w:basedOn w:val="DefaultParagraphFont"/>
    <w:link w:val="BodyTextIndent2"/>
    <w:uiPriority w:val="99"/>
    <w:rsid w:val="00DD172F"/>
    <w:rPr>
      <w:sz w:val="24"/>
    </w:rPr>
  </w:style>
  <w:style w:type="paragraph" w:styleId="DocumentMap">
    <w:name w:val="Document Map"/>
    <w:aliases w:val="Char9"/>
    <w:basedOn w:val="Normal"/>
    <w:link w:val="Char9Char"/>
    <w:uiPriority w:val="99"/>
    <w:semiHidden/>
    <w:rsid w:val="00DD172F"/>
    <w:pPr>
      <w:shd w:val="clear" w:color="auto" w:fill="000080"/>
      <w:jc w:val="left"/>
    </w:pPr>
    <w:rPr>
      <w:rFonts w:ascii="Tahoma" w:hAnsi="Tahoma" w:cs="Tahoma"/>
      <w:lang w:eastAsia="sk-SK"/>
    </w:rPr>
  </w:style>
  <w:style w:type="character" w:customStyle="1" w:styleId="Char9Char">
    <w:name w:val="Char9 Char"/>
    <w:basedOn w:val="DefaultParagraphFont"/>
    <w:link w:val="DocumentMap"/>
    <w:uiPriority w:val="99"/>
    <w:rsid w:val="00DD172F"/>
    <w:rPr>
      <w:rFonts w:ascii="Tahoma" w:hAnsi="Tahoma" w:cs="Tahoma"/>
      <w:sz w:val="24"/>
      <w:shd w:val="clear" w:color="auto" w:fill="000080"/>
    </w:rPr>
  </w:style>
  <w:style w:type="character" w:customStyle="1" w:styleId="Char8Char">
    <w:name w:val="Char8 Char"/>
    <w:basedOn w:val="DefaultParagraphFont"/>
    <w:link w:val="BodyText2"/>
    <w:uiPriority w:val="99"/>
    <w:rsid w:val="00DD172F"/>
    <w:rPr>
      <w:sz w:val="24"/>
    </w:rPr>
  </w:style>
  <w:style w:type="paragraph" w:customStyle="1" w:styleId="INGBodyText">
    <w:name w:val="ING Body Text"/>
    <w:basedOn w:val="Normal"/>
    <w:uiPriority w:val="99"/>
    <w:rsid w:val="00DD172F"/>
    <w:pPr>
      <w:spacing w:after="160" w:line="280" w:lineRule="exact"/>
      <w:jc w:val="both"/>
    </w:pPr>
    <w:rPr>
      <w:rFonts w:ascii="Arial" w:hAnsi="Arial" w:cs="Arial"/>
      <w:color w:val="000000"/>
      <w:sz w:val="19"/>
      <w:lang w:val="en-GB" w:eastAsia="en-US"/>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al"/>
    <w:uiPriority w:val="99"/>
    <w:rsid w:val="00DD172F"/>
    <w:pPr>
      <w:spacing w:after="160" w:line="240" w:lineRule="exact"/>
      <w:jc w:val="left"/>
    </w:pPr>
    <w:rPr>
      <w:rFonts w:ascii="Tahoma" w:hAnsi="Tahoma" w:cs="Tahoma"/>
      <w:sz w:val="20"/>
      <w:lang w:val="en-US" w:eastAsia="en-US"/>
    </w:rPr>
  </w:style>
  <w:style w:type="paragraph" w:customStyle="1" w:styleId="CharCharChar2CharCharCharCharCharCharCharCharCharCharChar">
    <w:name w:val="Char Char Char2 Char Char Char Char Char Char Char Char Char Char Char"/>
    <w:basedOn w:val="Normal"/>
    <w:uiPriority w:val="99"/>
    <w:rsid w:val="00DD172F"/>
    <w:pPr>
      <w:spacing w:after="160" w:line="240" w:lineRule="exact"/>
      <w:jc w:val="left"/>
    </w:pPr>
    <w:rPr>
      <w:rFonts w:ascii="Tahoma" w:hAnsi="Tahoma" w:cs="Tahoma"/>
      <w:sz w:val="20"/>
      <w:lang w:val="en-US" w:eastAsia="en-US"/>
    </w:rPr>
  </w:style>
  <w:style w:type="paragraph" w:customStyle="1" w:styleId="CharCharChar2CharCharCharCharCharChar">
    <w:name w:val="Char Char Char2 Char Char Char Char Char Char"/>
    <w:basedOn w:val="Normal"/>
    <w:uiPriority w:val="99"/>
    <w:rsid w:val="00DD172F"/>
    <w:pPr>
      <w:spacing w:after="160" w:line="240" w:lineRule="exact"/>
      <w:jc w:val="left"/>
    </w:pPr>
    <w:rPr>
      <w:rFonts w:ascii="Tahoma" w:hAnsi="Tahoma" w:cs="Tahoma"/>
      <w:sz w:val="20"/>
      <w:lang w:val="en-US" w:eastAsia="en-US"/>
    </w:rPr>
  </w:style>
  <w:style w:type="character" w:styleId="CommentReference">
    <w:name w:val="annotation reference"/>
    <w:basedOn w:val="DefaultParagraphFont"/>
    <w:uiPriority w:val="99"/>
    <w:semiHidden/>
    <w:rsid w:val="00DD172F"/>
    <w:rPr>
      <w:sz w:val="16"/>
    </w:rPr>
  </w:style>
  <w:style w:type="paragraph" w:styleId="CommentText">
    <w:name w:val="annotation text"/>
    <w:aliases w:val="Char7"/>
    <w:basedOn w:val="Normal"/>
    <w:link w:val="Char7Char"/>
    <w:uiPriority w:val="99"/>
    <w:semiHidden/>
    <w:rsid w:val="00DD172F"/>
    <w:pPr>
      <w:jc w:val="left"/>
    </w:pPr>
    <w:rPr>
      <w:sz w:val="20"/>
      <w:lang w:eastAsia="sk-SK"/>
    </w:rPr>
  </w:style>
  <w:style w:type="character" w:customStyle="1" w:styleId="Char7Char">
    <w:name w:val="Char7 Char"/>
    <w:basedOn w:val="DefaultParagraphFont"/>
    <w:link w:val="CommentText"/>
    <w:uiPriority w:val="99"/>
    <w:rsid w:val="00DD172F"/>
  </w:style>
  <w:style w:type="paragraph" w:styleId="CommentSubject">
    <w:name w:val="annotation subject"/>
    <w:aliases w:val="Char6"/>
    <w:basedOn w:val="CommentText"/>
    <w:next w:val="CommentText"/>
    <w:link w:val="Char6Char"/>
    <w:uiPriority w:val="99"/>
    <w:semiHidden/>
    <w:rsid w:val="00DD172F"/>
    <w:pPr>
      <w:jc w:val="left"/>
    </w:pPr>
    <w:rPr>
      <w:b/>
    </w:rPr>
  </w:style>
  <w:style w:type="character" w:customStyle="1" w:styleId="Char6Char">
    <w:name w:val="Char6 Char"/>
    <w:basedOn w:val="Char7Char"/>
    <w:link w:val="CommentSubject"/>
    <w:uiPriority w:val="99"/>
    <w:rsid w:val="00DD172F"/>
    <w:rPr>
      <w:b/>
    </w:rPr>
  </w:style>
  <w:style w:type="paragraph" w:customStyle="1" w:styleId="CharCharCharCharCharCharCharCharChar">
    <w:name w:val="Char Char Char Char Char Char Char Char Char"/>
    <w:basedOn w:val="Normal"/>
    <w:uiPriority w:val="99"/>
    <w:rsid w:val="00DD172F"/>
    <w:pPr>
      <w:spacing w:after="160" w:line="240" w:lineRule="exact"/>
      <w:jc w:val="left"/>
    </w:pPr>
    <w:rPr>
      <w:rFonts w:ascii="Tahoma" w:hAnsi="Tahoma" w:cs="Tahoma"/>
      <w:sz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rsid w:val="00DD172F"/>
    <w:pPr>
      <w:spacing w:after="160" w:line="240" w:lineRule="exact"/>
      <w:jc w:val="left"/>
    </w:pPr>
    <w:rPr>
      <w:rFonts w:ascii="Tahoma" w:hAnsi="Tahoma" w:cs="Tahoma"/>
      <w:sz w:val="20"/>
      <w:lang w:val="en-US" w:eastAsia="en-US"/>
    </w:rPr>
  </w:style>
  <w:style w:type="paragraph" w:customStyle="1" w:styleId="CharCharCharCharCharCharCharCharCharCharCharCharCharCharChar">
    <w:name w:val="Char Char Char Char Char Char Char Char Char Char Char Char Char Char Char"/>
    <w:basedOn w:val="Normal"/>
    <w:uiPriority w:val="99"/>
    <w:rsid w:val="00DD172F"/>
    <w:pPr>
      <w:spacing w:after="160" w:line="240" w:lineRule="exact"/>
      <w:jc w:val="left"/>
    </w:pPr>
    <w:rPr>
      <w:rFonts w:ascii="Tahoma" w:hAnsi="Tahoma" w:cs="Tahoma"/>
      <w:sz w:val="20"/>
      <w:lang w:val="en-US" w:eastAsia="en-US"/>
    </w:rPr>
  </w:style>
  <w:style w:type="paragraph" w:customStyle="1" w:styleId="Default">
    <w:name w:val="Default"/>
    <w:uiPriority w:val="99"/>
    <w:rsid w:val="00DD172F"/>
    <w:pPr>
      <w:widowControl/>
      <w:autoSpaceDE w:val="0"/>
      <w:autoSpaceDN w:val="0"/>
      <w:adjustRightInd w:val="0"/>
      <w:ind w:left="0" w:right="0"/>
      <w:jc w:val="left"/>
      <w:textAlignment w:val="auto"/>
    </w:pPr>
    <w:rPr>
      <w:rFonts w:ascii="Book Antiqua" w:hAnsi="Book Antiqua" w:cs="Book Antiqua"/>
      <w:color w:val="000000"/>
      <w:sz w:val="24"/>
      <w:lang w:val="sk-SK" w:eastAsia="sk-SK"/>
    </w:rPr>
  </w:style>
  <w:style w:type="character" w:customStyle="1" w:styleId="Char5Char">
    <w:name w:val="Char5 Char"/>
    <w:basedOn w:val="DefaultParagraphFont"/>
    <w:link w:val="Heading1"/>
    <w:uiPriority w:val="99"/>
    <w:rsid w:val="00C52ECF"/>
    <w:rPr>
      <w:rFonts w:ascii="Arial" w:hAnsi="Arial" w:cs="Arial"/>
      <w:b/>
      <w:kern w:val="32"/>
      <w:sz w:val="32"/>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rsid w:val="00F734B1"/>
    <w:pPr>
      <w:spacing w:after="160" w:line="240" w:lineRule="exact"/>
      <w:jc w:val="left"/>
    </w:pPr>
    <w:rPr>
      <w:rFonts w:ascii="Tahoma" w:hAnsi="Tahoma" w:cs="Tahoma"/>
      <w:sz w:val="20"/>
      <w:lang w:val="en-US" w:eastAsia="en-US"/>
    </w:rPr>
  </w:style>
  <w:style w:type="character" w:customStyle="1" w:styleId="Char4Char">
    <w:name w:val="Char4 Char"/>
    <w:basedOn w:val="DefaultParagraphFont"/>
    <w:link w:val="Heading3"/>
    <w:uiPriority w:val="99"/>
    <w:rsid w:val="00F930C1"/>
    <w:rPr>
      <w:rFonts w:ascii="Arial" w:hAnsi="Arial" w:cs="Arial"/>
      <w:b/>
      <w:sz w:val="26"/>
      <w:lang w:val="x-none" w:eastAsia="cs-CZ"/>
    </w:rPr>
  </w:style>
  <w:style w:type="paragraph" w:customStyle="1" w:styleId="Char3">
    <w:name w:val="Char3"/>
    <w:basedOn w:val="Normal"/>
    <w:uiPriority w:val="99"/>
    <w:rsid w:val="00F930C1"/>
    <w:pPr>
      <w:spacing w:after="160" w:line="240" w:lineRule="exact"/>
      <w:jc w:val="left"/>
    </w:pPr>
    <w:rPr>
      <w:rFonts w:ascii="Tahoma" w:hAnsi="Tahoma" w:cs="Tahoma"/>
      <w:sz w:val="20"/>
      <w:lang w:val="en-US" w:eastAsia="en-US"/>
    </w:rPr>
  </w:style>
  <w:style w:type="paragraph" w:styleId="BodyTextIndent3">
    <w:name w:val="Body Text Indent 3"/>
    <w:aliases w:val="Char2"/>
    <w:basedOn w:val="Normal"/>
    <w:link w:val="Char2Char"/>
    <w:uiPriority w:val="99"/>
    <w:rsid w:val="00F930C1"/>
    <w:pPr>
      <w:spacing w:after="120"/>
      <w:ind w:left="283"/>
      <w:jc w:val="left"/>
    </w:pPr>
    <w:rPr>
      <w:sz w:val="16"/>
    </w:rPr>
  </w:style>
  <w:style w:type="character" w:customStyle="1" w:styleId="Char2Char">
    <w:name w:val="Char2 Char"/>
    <w:basedOn w:val="DefaultParagraphFont"/>
    <w:link w:val="BodyTextIndent3"/>
    <w:uiPriority w:val="99"/>
    <w:rsid w:val="00F930C1"/>
    <w:rPr>
      <w:rFonts w:ascii="Courier" w:hAnsi="Courier" w:cs="Courier"/>
      <w:sz w:val="16"/>
      <w:lang w:val="x-none" w:eastAsia="cs-CZ"/>
    </w:rPr>
  </w:style>
  <w:style w:type="paragraph" w:customStyle="1" w:styleId="CharChar1">
    <w:name w:val="Char Char1"/>
    <w:basedOn w:val="Normal"/>
    <w:uiPriority w:val="99"/>
    <w:rsid w:val="00F930C1"/>
    <w:pPr>
      <w:spacing w:after="160" w:line="240" w:lineRule="exact"/>
      <w:jc w:val="left"/>
    </w:pPr>
    <w:rPr>
      <w:rFonts w:ascii="Tahoma" w:hAnsi="Tahoma" w:cs="Tahoma"/>
      <w:sz w:val="20"/>
      <w:lang w:val="en-US" w:eastAsia="en-US"/>
    </w:rPr>
  </w:style>
  <w:style w:type="paragraph" w:customStyle="1" w:styleId="Char1">
    <w:name w:val="Char1"/>
    <w:basedOn w:val="Normal"/>
    <w:uiPriority w:val="99"/>
    <w:rsid w:val="00F930C1"/>
    <w:pPr>
      <w:spacing w:after="160" w:line="240" w:lineRule="exact"/>
      <w:jc w:val="left"/>
    </w:pPr>
    <w:rPr>
      <w:rFonts w:ascii="Tahoma" w:hAnsi="Tahoma" w:cs="Tahoma"/>
      <w:sz w:val="20"/>
      <w:lang w:val="en-US" w:eastAsia="en-US"/>
    </w:rPr>
  </w:style>
  <w:style w:type="paragraph" w:styleId="TOC1">
    <w:name w:val="toc 1"/>
    <w:basedOn w:val="Normal"/>
    <w:next w:val="Normal"/>
    <w:autoRedefine/>
    <w:uiPriority w:val="99"/>
    <w:semiHidden/>
    <w:rsid w:val="00513FFB"/>
    <w:pPr>
      <w:tabs>
        <w:tab w:val="right" w:leader="dot" w:pos="9062"/>
      </w:tabs>
      <w:spacing w:before="120"/>
      <w:jc w:val="left"/>
    </w:pPr>
    <w:rPr>
      <w:rFonts w:ascii="Arial Narrow" w:hAnsi="Arial Narrow" w:cs="Arial Narrow"/>
      <w:b/>
      <w:noProof/>
    </w:rPr>
  </w:style>
  <w:style w:type="paragraph" w:styleId="TOC2">
    <w:name w:val="toc 2"/>
    <w:basedOn w:val="Normal"/>
    <w:next w:val="Normal"/>
    <w:autoRedefine/>
    <w:uiPriority w:val="99"/>
    <w:semiHidden/>
    <w:rsid w:val="00513FFB"/>
    <w:pPr>
      <w:tabs>
        <w:tab w:val="right" w:leader="dot" w:pos="9062"/>
      </w:tabs>
      <w:spacing w:before="120"/>
      <w:ind w:left="238"/>
      <w:jc w:val="left"/>
    </w:pPr>
    <w:rPr>
      <w:rFonts w:ascii="Arial Narrow" w:hAnsi="Arial Narrow" w:cs="Arial Narrow"/>
      <w:noProof/>
      <w:sz w:val="22"/>
    </w:rPr>
  </w:style>
  <w:style w:type="character" w:styleId="Hyperlink">
    <w:name w:val="Hyperlink"/>
    <w:basedOn w:val="DefaultParagraphFont"/>
    <w:uiPriority w:val="99"/>
    <w:rsid w:val="00CA0EB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xls" /><Relationship Id="rId7" Type="http://schemas.openxmlformats.org/officeDocument/2006/relationships/image" Target="media/image2.png" /><Relationship Id="rId8" Type="http://schemas.openxmlformats.org/officeDocument/2006/relationships/hyperlink" Target="http://www.antimon.gov.sk/?c=189"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62</Pages>
  <Words>29333</Words>
  <Characters>167204</Characters>
  <Application>Microsoft Office Word</Application>
  <DocSecurity>0</DocSecurity>
  <Lines>0</Lines>
  <Paragraphs>0</Paragraphs>
  <ScaleCrop>false</ScaleCrop>
  <Company>mfsr</Company>
  <LinksUpToDate>false</LinksUpToDate>
  <CharactersWithSpaces>196145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Administrator</dc:creator>
  <cp:lastModifiedBy>Administrator</cp:lastModifiedBy>
  <cp:revision>2</cp:revision>
  <cp:lastPrinted>2009-09-29T11:12:00Z</cp:lastPrinted>
  <dcterms:created xsi:type="dcterms:W3CDTF">2009-09-30T14:17:00Z</dcterms:created>
  <dcterms:modified xsi:type="dcterms:W3CDTF">2009-09-30T14:17:00Z</dcterms:modified>
</cp:coreProperties>
</file>