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7A5" w:rsidP="002027A5">
      <w:pPr>
        <w:pStyle w:val="Title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DOLOŽKA ZLUČITEĽNOSTI</w:t>
      </w:r>
    </w:p>
    <w:p w:rsidR="00847373" w:rsidP="002027A5">
      <w:pPr>
        <w:pBdr>
          <w:bottom w:val="single" w:sz="6" w:space="1" w:color="auto"/>
        </w:pBdr>
        <w:jc w:val="center"/>
        <w:rPr>
          <w:rFonts w:ascii="Arial Narrow" w:hAnsi="Arial Narrow" w:cs="Arial Narrow"/>
          <w:sz w:val="22"/>
          <w:szCs w:val="24"/>
        </w:rPr>
      </w:pPr>
      <w:r w:rsidR="00447DAC">
        <w:rPr>
          <w:rFonts w:ascii="Arial Narrow" w:hAnsi="Arial Narrow" w:cs="Arial Narrow"/>
          <w:sz w:val="22"/>
          <w:szCs w:val="24"/>
        </w:rPr>
        <w:t>n</w:t>
      </w:r>
      <w:r w:rsidRPr="002027A5" w:rsidR="002027A5">
        <w:rPr>
          <w:rFonts w:ascii="Arial Narrow" w:hAnsi="Arial Narrow" w:cs="Arial Narrow"/>
          <w:sz w:val="22"/>
          <w:szCs w:val="24"/>
        </w:rPr>
        <w:t>ávrh</w:t>
      </w:r>
      <w:r w:rsidR="00447DAC">
        <w:rPr>
          <w:rFonts w:ascii="Arial Narrow" w:hAnsi="Arial Narrow" w:cs="Arial Narrow"/>
          <w:sz w:val="22"/>
          <w:szCs w:val="24"/>
        </w:rPr>
        <w:t>u</w:t>
      </w:r>
      <w:r w:rsidRPr="002027A5" w:rsidR="002027A5">
        <w:rPr>
          <w:rFonts w:ascii="Arial Narrow" w:hAnsi="Arial Narrow" w:cs="Arial Narrow"/>
          <w:sz w:val="22"/>
          <w:szCs w:val="24"/>
        </w:rPr>
        <w:t xml:space="preserve"> zákona</w:t>
      </w:r>
      <w:r w:rsidR="00661F82">
        <w:rPr>
          <w:rFonts w:ascii="Arial Narrow" w:hAnsi="Arial Narrow" w:cs="Arial Narrow"/>
          <w:sz w:val="22"/>
          <w:szCs w:val="24"/>
        </w:rPr>
        <w:t xml:space="preserve"> o </w:t>
      </w:r>
      <w:r>
        <w:rPr>
          <w:rFonts w:ascii="Arial Narrow" w:hAnsi="Arial Narrow" w:cs="Arial Narrow"/>
          <w:sz w:val="22"/>
          <w:szCs w:val="24"/>
        </w:rPr>
        <w:t>štátn</w:t>
      </w:r>
      <w:r w:rsidR="00661F82">
        <w:rPr>
          <w:rFonts w:ascii="Arial Narrow" w:hAnsi="Arial Narrow" w:cs="Arial Narrow"/>
          <w:sz w:val="22"/>
          <w:szCs w:val="24"/>
        </w:rPr>
        <w:t>om rozpočte na rok 20</w:t>
      </w:r>
      <w:r w:rsidR="00AF7C3D">
        <w:rPr>
          <w:rFonts w:ascii="Arial Narrow" w:hAnsi="Arial Narrow" w:cs="Arial Narrow"/>
          <w:sz w:val="22"/>
          <w:szCs w:val="24"/>
        </w:rPr>
        <w:t>10</w:t>
      </w:r>
    </w:p>
    <w:p w:rsidR="002027A5" w:rsidRPr="002027A5" w:rsidP="002027A5">
      <w:pPr>
        <w:pBdr>
          <w:bottom w:val="single" w:sz="6" w:space="1" w:color="auto"/>
        </w:pBdr>
        <w:jc w:val="center"/>
        <w:rPr>
          <w:rFonts w:ascii="Arial Narrow" w:hAnsi="Arial Narrow" w:cs="Arial Narrow"/>
          <w:sz w:val="22"/>
          <w:szCs w:val="24"/>
        </w:rPr>
      </w:pPr>
      <w:r w:rsidRPr="002027A5">
        <w:rPr>
          <w:rFonts w:ascii="Arial Narrow" w:hAnsi="Arial Narrow" w:cs="Arial Narrow"/>
          <w:sz w:val="22"/>
          <w:szCs w:val="24"/>
        </w:rPr>
        <w:t>s právom Európskych spoločenstiev a právom Európskej únie</w:t>
      </w:r>
    </w:p>
    <w:p w:rsidR="002027A5" w:rsidP="002027A5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2027A5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>Predkladateľ zákona:</w:t>
      </w:r>
    </w:p>
    <w:p w:rsidR="002027A5" w:rsidP="002027A5">
      <w:pPr>
        <w:ind w:firstLine="425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Vláda Slovenskej republiky</w:t>
      </w:r>
      <w:r w:rsidR="00D17398">
        <w:rPr>
          <w:rFonts w:ascii="Arial Narrow" w:hAnsi="Arial Narrow" w:cs="Arial Narrow"/>
          <w:sz w:val="22"/>
          <w:szCs w:val="24"/>
        </w:rPr>
        <w:t>.</w:t>
      </w:r>
      <w:r>
        <w:rPr>
          <w:rFonts w:ascii="Arial Narrow" w:hAnsi="Arial Narrow" w:cs="Arial Narrow"/>
          <w:sz w:val="22"/>
          <w:szCs w:val="24"/>
        </w:rPr>
        <w:t xml:space="preserve"> </w:t>
      </w:r>
    </w:p>
    <w:p w:rsidR="002027A5" w:rsidP="002027A5">
      <w:pPr>
        <w:jc w:val="both"/>
        <w:rPr>
          <w:rFonts w:ascii="Arial Narrow" w:hAnsi="Arial Narrow" w:cs="Arial Narrow"/>
          <w:b/>
          <w:sz w:val="22"/>
          <w:szCs w:val="24"/>
        </w:rPr>
      </w:pPr>
    </w:p>
    <w:p w:rsidR="002027A5" w:rsidRPr="002027A5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b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>Názov návrhu zákona:</w:t>
      </w:r>
    </w:p>
    <w:p w:rsidR="002027A5" w:rsidP="002027A5">
      <w:pPr>
        <w:ind w:left="425"/>
        <w:jc w:val="both"/>
        <w:rPr>
          <w:rFonts w:ascii="Arial Narrow" w:hAnsi="Arial Narrow" w:cs="Arial Narrow"/>
          <w:b/>
          <w:sz w:val="22"/>
          <w:szCs w:val="24"/>
        </w:rPr>
      </w:pPr>
      <w:r w:rsidR="00C63798">
        <w:rPr>
          <w:rFonts w:ascii="Arial Narrow" w:hAnsi="Arial Narrow" w:cs="Arial Narrow"/>
          <w:sz w:val="22"/>
          <w:szCs w:val="24"/>
        </w:rPr>
        <w:t>N</w:t>
      </w:r>
      <w:r w:rsidRPr="002027A5" w:rsidR="00C63798">
        <w:rPr>
          <w:rFonts w:ascii="Arial Narrow" w:hAnsi="Arial Narrow" w:cs="Arial Narrow"/>
          <w:sz w:val="22"/>
          <w:szCs w:val="24"/>
        </w:rPr>
        <w:t>ávrh zákona</w:t>
      </w:r>
      <w:r w:rsidR="00661F82">
        <w:rPr>
          <w:rFonts w:ascii="Arial Narrow" w:hAnsi="Arial Narrow" w:cs="Arial Narrow"/>
          <w:sz w:val="22"/>
          <w:szCs w:val="24"/>
        </w:rPr>
        <w:t xml:space="preserve"> o štátnom rozpočte na rok 20</w:t>
      </w:r>
      <w:r w:rsidR="00AF7C3D">
        <w:rPr>
          <w:rFonts w:ascii="Arial Narrow" w:hAnsi="Arial Narrow" w:cs="Arial Narrow"/>
          <w:sz w:val="22"/>
          <w:szCs w:val="24"/>
        </w:rPr>
        <w:t>10</w:t>
      </w:r>
      <w:r w:rsidR="00F56102">
        <w:rPr>
          <w:rFonts w:ascii="Arial Narrow" w:hAnsi="Arial Narrow" w:cs="Arial Narrow"/>
          <w:sz w:val="22"/>
          <w:szCs w:val="24"/>
        </w:rPr>
        <w:t>.</w:t>
      </w:r>
    </w:p>
    <w:p w:rsidR="002027A5" w:rsidP="002027A5">
      <w:pPr>
        <w:jc w:val="both"/>
        <w:rPr>
          <w:rFonts w:ascii="Arial Narrow" w:hAnsi="Arial Narrow" w:cs="Arial Narrow"/>
          <w:b/>
          <w:sz w:val="22"/>
          <w:szCs w:val="24"/>
        </w:rPr>
      </w:pPr>
    </w:p>
    <w:p w:rsidR="002027A5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b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 xml:space="preserve">Problematika návrhu zákona: </w:t>
      </w:r>
    </w:p>
    <w:p w:rsidR="002027A5" w:rsidP="008C7DE7">
      <w:pPr>
        <w:pStyle w:val="BodyText"/>
        <w:numPr>
          <w:ilvl w:val="1"/>
          <w:numId w:val="1"/>
        </w:numPr>
        <w:spacing w:after="0"/>
        <w:ind w:left="360" w:hanging="36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je upravená v práve Európskych spoločenstiev:</w:t>
      </w:r>
    </w:p>
    <w:p w:rsidR="002027A5" w:rsidRPr="002027A5" w:rsidP="004D2419">
      <w:pPr>
        <w:pStyle w:val="BodyText"/>
        <w:spacing w:before="120"/>
        <w:ind w:left="357"/>
        <w:rPr>
          <w:rFonts w:ascii="Arial Narrow" w:hAnsi="Arial Narrow" w:cs="Arial Narrow"/>
          <w:b/>
          <w:i/>
          <w:sz w:val="22"/>
          <w:szCs w:val="24"/>
        </w:rPr>
      </w:pPr>
      <w:r w:rsidR="00EC571D">
        <w:rPr>
          <w:rFonts w:ascii="Arial Narrow" w:hAnsi="Arial Narrow" w:cs="Arial Narrow"/>
          <w:b/>
          <w:i/>
          <w:sz w:val="22"/>
          <w:szCs w:val="24"/>
        </w:rPr>
        <w:t>v p</w:t>
      </w:r>
      <w:r w:rsidRPr="002027A5">
        <w:rPr>
          <w:rFonts w:ascii="Arial Narrow" w:hAnsi="Arial Narrow" w:cs="Arial Narrow"/>
          <w:b/>
          <w:i/>
          <w:sz w:val="22"/>
          <w:szCs w:val="24"/>
        </w:rPr>
        <w:t>rimárn</w:t>
      </w:r>
      <w:r w:rsidR="00EC571D">
        <w:rPr>
          <w:rFonts w:ascii="Arial Narrow" w:hAnsi="Arial Narrow" w:cs="Arial Narrow"/>
          <w:b/>
          <w:i/>
          <w:sz w:val="22"/>
          <w:szCs w:val="24"/>
        </w:rPr>
        <w:t>om</w:t>
      </w:r>
      <w:r w:rsidRPr="002027A5">
        <w:rPr>
          <w:rFonts w:ascii="Arial Narrow" w:hAnsi="Arial Narrow" w:cs="Arial Narrow"/>
          <w:b/>
          <w:i/>
          <w:sz w:val="22"/>
          <w:szCs w:val="24"/>
        </w:rPr>
        <w:t xml:space="preserve"> práve: </w:t>
      </w:r>
    </w:p>
    <w:p w:rsidR="00661F82" w:rsidRPr="008C7DE7" w:rsidP="008C7DE7">
      <w:pPr>
        <w:pStyle w:val="BodyText"/>
        <w:numPr>
          <w:numId w:val="3"/>
        </w:numPr>
        <w:tabs>
          <w:tab w:val="clear" w:pos="900"/>
        </w:tabs>
        <w:spacing w:after="0"/>
        <w:ind w:left="360"/>
        <w:jc w:val="both"/>
        <w:rPr>
          <w:rFonts w:ascii="Arial Narrow" w:hAnsi="Arial Narrow" w:cs="Arial Narrow"/>
          <w:sz w:val="22"/>
          <w:szCs w:val="24"/>
        </w:rPr>
      </w:pPr>
      <w:r w:rsidR="00E023C6">
        <w:rPr>
          <w:rFonts w:ascii="Arial Narrow" w:hAnsi="Arial Narrow" w:cs="Arial Narrow"/>
          <w:sz w:val="22"/>
          <w:szCs w:val="24"/>
        </w:rPr>
        <w:t>čl. 104</w:t>
      </w:r>
      <w:r w:rsidRPr="00845E02">
        <w:rPr>
          <w:rFonts w:ascii="Arial Narrow" w:hAnsi="Arial Narrow" w:cs="Arial Narrow"/>
          <w:sz w:val="22"/>
          <w:szCs w:val="24"/>
        </w:rPr>
        <w:t xml:space="preserve"> Zmluvy o založení Európskeho spoločenstva</w:t>
      </w:r>
      <w:r w:rsidRPr="00661F82">
        <w:rPr>
          <w:rFonts w:ascii="Arial Narrow" w:hAnsi="Arial Narrow" w:cs="Arial Narrow"/>
          <w:sz w:val="22"/>
          <w:szCs w:val="24"/>
        </w:rPr>
        <w:t xml:space="preserve"> a </w:t>
      </w:r>
      <w:r>
        <w:rPr>
          <w:rFonts w:ascii="Arial Narrow" w:hAnsi="Arial Narrow" w:cs="Arial Narrow"/>
          <w:sz w:val="22"/>
          <w:szCs w:val="24"/>
        </w:rPr>
        <w:t>Protokol</w:t>
      </w:r>
      <w:r w:rsidRPr="00661F82">
        <w:rPr>
          <w:rFonts w:ascii="Arial Narrow" w:hAnsi="Arial Narrow" w:cs="Arial Narrow"/>
          <w:sz w:val="22"/>
          <w:szCs w:val="24"/>
        </w:rPr>
        <w:t xml:space="preserve"> o  postupe pri nadmernom deficite.</w:t>
      </w:r>
    </w:p>
    <w:p w:rsidR="008C7DE7" w:rsidRPr="008C7DE7" w:rsidP="004D2419">
      <w:pPr>
        <w:pStyle w:val="Zkladntext"/>
        <w:ind w:firstLine="900"/>
        <w:jc w:val="both"/>
        <w:rPr>
          <w:rFonts w:ascii="Arial Narrow" w:hAnsi="Arial Narrow" w:cs="Arial Narrow"/>
          <w:sz w:val="22"/>
          <w:szCs w:val="24"/>
        </w:rPr>
      </w:pPr>
    </w:p>
    <w:p w:rsidR="008C7DE7" w:rsidRPr="008C7DE7" w:rsidP="004D2419">
      <w:pPr>
        <w:pStyle w:val="Zkladntext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>V zmysle čl. 104 Zmluvy o založení ES Komisia usmerňuje vývoj rozpočtovej situácie a výšku verejného zadĺženia v členských štátoch s cieľom odhaliť hrubé chyby. Skúma najmä dodržiavanie rozpočtovej disciplíny na základe dvoch nasledujúcich kritérií:</w:t>
      </w:r>
    </w:p>
    <w:p w:rsidR="008C7DE7" w:rsidRPr="008C7DE7" w:rsidP="004D2419">
      <w:pPr>
        <w:pStyle w:val="Zkladntext"/>
        <w:jc w:val="both"/>
        <w:rPr>
          <w:rFonts w:ascii="Arial Narrow" w:hAnsi="Arial Narrow" w:cs="Arial Narrow"/>
          <w:sz w:val="22"/>
          <w:szCs w:val="24"/>
        </w:rPr>
      </w:pPr>
    </w:p>
    <w:p w:rsidR="008C7DE7" w:rsidRPr="008C7DE7" w:rsidP="00025EB1">
      <w:pPr>
        <w:pStyle w:val="Zkladntext"/>
        <w:numPr>
          <w:numId w:val="7"/>
        </w:numPr>
        <w:tabs>
          <w:tab w:val="num" w:pos="360"/>
          <w:tab w:val="clear" w:pos="720"/>
        </w:tabs>
        <w:ind w:left="360" w:firstLine="0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>či pomer plánovaného alebo skutočného deficitu verejných finančných  prostriedkov  k  hrubému  domácemu  produktu neprekračuje odporúčanú hodnotu, okrem prípadov, ak:</w:t>
      </w:r>
    </w:p>
    <w:p w:rsidR="008C7DE7" w:rsidRPr="008C7DE7" w:rsidP="00025EB1">
      <w:pPr>
        <w:pStyle w:val="Zkladntext"/>
        <w:ind w:left="360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 xml:space="preserve">- tento pomer podstatne klesol alebo ak sa neustále znižuje a  dosahuje úroveň, ktorá sa približuje odporúčanej hodnote, alebo </w:t>
      </w:r>
    </w:p>
    <w:p w:rsidR="008C7DE7" w:rsidRPr="008C7DE7" w:rsidP="00025EB1">
      <w:pPr>
        <w:pStyle w:val="Zkladntext"/>
        <w:ind w:left="360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>- alternatívne prekročenie nad odporúčanú hodnotu je len výnimočné a dočasné a tento pomer sa pohybuje tesne pri odporúčanej hodnote;</w:t>
      </w:r>
    </w:p>
    <w:p w:rsidR="008C7DE7" w:rsidRPr="008C7DE7" w:rsidP="004D2419">
      <w:pPr>
        <w:pStyle w:val="Zkladntext"/>
        <w:ind w:left="900" w:firstLine="900"/>
        <w:jc w:val="both"/>
        <w:rPr>
          <w:rFonts w:ascii="Arial Narrow" w:hAnsi="Arial Narrow" w:cs="Arial Narrow"/>
          <w:sz w:val="22"/>
          <w:szCs w:val="24"/>
        </w:rPr>
      </w:pPr>
    </w:p>
    <w:p w:rsidR="008C7DE7" w:rsidRPr="008C7DE7" w:rsidP="00025EB1">
      <w:pPr>
        <w:pStyle w:val="Zkladntext"/>
        <w:numPr>
          <w:numId w:val="7"/>
        </w:numPr>
        <w:tabs>
          <w:tab w:val="left" w:pos="360"/>
          <w:tab w:val="clear" w:pos="720"/>
        </w:tabs>
        <w:ind w:left="360" w:firstLine="0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>či pomer verejného zadĺženia k hrubému domácemu produktu neprekračuje odporúčanú hodnotu, okrem prípadov, ak sa tento pomer dostatočne znižuje a vyhovujúcim  tempom  sa  približuje odporúčanej hodnote.</w:t>
      </w:r>
    </w:p>
    <w:p w:rsidR="008C7DE7" w:rsidRPr="008C7DE7" w:rsidP="004D2419">
      <w:pPr>
        <w:pStyle w:val="Zkladntext"/>
        <w:ind w:left="720" w:firstLine="900"/>
        <w:jc w:val="both"/>
        <w:rPr>
          <w:rFonts w:ascii="Arial Narrow" w:hAnsi="Arial Narrow" w:cs="Arial Narrow"/>
          <w:sz w:val="22"/>
          <w:szCs w:val="24"/>
        </w:rPr>
      </w:pPr>
    </w:p>
    <w:p w:rsidR="008C7DE7" w:rsidRPr="008C7DE7" w:rsidP="004D2419">
      <w:pPr>
        <w:pStyle w:val="Zkladntext"/>
        <w:jc w:val="both"/>
        <w:rPr>
          <w:rFonts w:ascii="Arial Narrow" w:hAnsi="Arial Narrow" w:cs="Arial Narrow"/>
          <w:sz w:val="22"/>
          <w:szCs w:val="24"/>
        </w:rPr>
      </w:pPr>
      <w:r w:rsidRPr="008C7DE7">
        <w:rPr>
          <w:rFonts w:ascii="Arial Narrow" w:hAnsi="Arial Narrow" w:cs="Arial Narrow"/>
          <w:sz w:val="22"/>
          <w:szCs w:val="24"/>
        </w:rPr>
        <w:t>Odporúčané hodnoty sú vymedzené v Protokole o postupe pri nadmernom deficite, ktorý je pripojený k  tejto zmluve.</w:t>
      </w:r>
    </w:p>
    <w:p w:rsidR="008C7DE7" w:rsidRPr="00661F82" w:rsidP="008C7DE7">
      <w:pPr>
        <w:pStyle w:val="BodyText"/>
        <w:spacing w:after="0"/>
        <w:jc w:val="both"/>
        <w:rPr>
          <w:rFonts w:ascii="Arial Narrow" w:hAnsi="Arial Narrow" w:cs="Arial Narrow"/>
          <w:sz w:val="22"/>
          <w:szCs w:val="24"/>
        </w:rPr>
      </w:pPr>
    </w:p>
    <w:p w:rsidR="002027A5" w:rsidP="004D2419">
      <w:pPr>
        <w:pStyle w:val="BodyText"/>
        <w:numPr>
          <w:ilvl w:val="1"/>
          <w:numId w:val="1"/>
        </w:numPr>
        <w:spacing w:after="0"/>
        <w:ind w:left="360" w:hanging="36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nie je upravená v práve Európskej únie </w:t>
      </w:r>
    </w:p>
    <w:p w:rsidR="002027A5" w:rsidRPr="00512966" w:rsidP="000D1C04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ind w:left="357" w:hanging="357"/>
        <w:jc w:val="both"/>
        <w:rPr>
          <w:rFonts w:ascii="Arial Narrow" w:hAnsi="Arial Narrow" w:cs="Arial Narrow"/>
          <w:sz w:val="22"/>
          <w:szCs w:val="24"/>
        </w:rPr>
      </w:pPr>
      <w:r w:rsidR="00661F82">
        <w:rPr>
          <w:rFonts w:ascii="Arial Narrow" w:hAnsi="Arial Narrow" w:cs="Arial Narrow"/>
          <w:sz w:val="22"/>
          <w:szCs w:val="24"/>
        </w:rPr>
        <w:t xml:space="preserve">nie </w:t>
      </w:r>
      <w:r w:rsidRPr="00512966">
        <w:rPr>
          <w:rFonts w:ascii="Arial Narrow" w:hAnsi="Arial Narrow" w:cs="Arial Narrow"/>
          <w:sz w:val="22"/>
          <w:szCs w:val="24"/>
        </w:rPr>
        <w:t>je obsiahnutá v judikatúre Súdneho dvora Európskych spoločenstiev alebo Súdu prvého stupňa Európskych spoločenstiev:</w:t>
      </w:r>
    </w:p>
    <w:p w:rsidR="002027A5" w:rsidP="002027A5">
      <w:pPr>
        <w:pStyle w:val="BodyText"/>
        <w:spacing w:after="0"/>
        <w:ind w:left="425"/>
        <w:rPr>
          <w:rFonts w:ascii="Arial Narrow" w:hAnsi="Arial Narrow" w:cs="Arial Narrow"/>
          <w:sz w:val="22"/>
          <w:szCs w:val="24"/>
        </w:rPr>
      </w:pPr>
    </w:p>
    <w:p w:rsidR="002027A5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b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>Záväzky Slovenskej republiky vo vzťahu k Európskym spoločenstvám a Európskej únii:</w:t>
      </w:r>
    </w:p>
    <w:p w:rsidR="003700FF" w:rsidRPr="00824E82" w:rsidP="00B571C4">
      <w:pPr>
        <w:numPr>
          <w:ilvl w:val="1"/>
          <w:numId w:val="1"/>
        </w:numPr>
        <w:tabs>
          <w:tab w:val="left" w:pos="360"/>
        </w:tabs>
        <w:spacing w:after="120"/>
        <w:ind w:hanging="850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Bezpredmetné</w:t>
      </w:r>
      <w:r w:rsidRPr="00824E82">
        <w:rPr>
          <w:rFonts w:ascii="Arial Narrow" w:hAnsi="Arial Narrow" w:cs="Arial Narrow"/>
          <w:sz w:val="22"/>
          <w:szCs w:val="24"/>
        </w:rPr>
        <w:t>.</w:t>
      </w:r>
    </w:p>
    <w:p w:rsidR="003700FF" w:rsidRPr="00824E82" w:rsidP="00B571C4">
      <w:pPr>
        <w:numPr>
          <w:ilvl w:val="1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Arial Narrow" w:hAnsi="Arial Narrow" w:cs="Arial Narrow"/>
          <w:sz w:val="22"/>
          <w:szCs w:val="24"/>
        </w:rPr>
      </w:pPr>
      <w:r w:rsidRPr="00824E82">
        <w:rPr>
          <w:rFonts w:ascii="Arial Narrow" w:hAnsi="Arial Narrow" w:cs="Arial Narrow"/>
          <w:sz w:val="22"/>
          <w:szCs w:val="24"/>
        </w:rPr>
        <w:t>Proti SR nebolo začaté konanie o porušení Zmluvy o založení Európskych</w:t>
      </w:r>
      <w:r w:rsidR="000D1C04">
        <w:rPr>
          <w:rFonts w:ascii="Arial Narrow" w:hAnsi="Arial Narrow" w:cs="Arial Narrow"/>
          <w:sz w:val="22"/>
          <w:szCs w:val="24"/>
        </w:rPr>
        <w:t xml:space="preserve"> spoločenstiev podľa čl. 226 až </w:t>
      </w:r>
      <w:r w:rsidRPr="00824E82">
        <w:rPr>
          <w:rFonts w:ascii="Arial Narrow" w:hAnsi="Arial Narrow" w:cs="Arial Narrow"/>
          <w:sz w:val="22"/>
          <w:szCs w:val="24"/>
        </w:rPr>
        <w:t>228 Zmluvy o založení Európskych spoločenstiev v platnom znení.</w:t>
      </w:r>
    </w:p>
    <w:p w:rsidR="003700FF" w:rsidRPr="00804690" w:rsidP="00B571C4">
      <w:pPr>
        <w:numPr>
          <w:ilvl w:val="1"/>
          <w:numId w:val="1"/>
        </w:numPr>
        <w:tabs>
          <w:tab w:val="left" w:pos="360"/>
        </w:tabs>
        <w:ind w:left="540" w:hanging="540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Bezpredmetné.</w:t>
      </w:r>
    </w:p>
    <w:p w:rsidR="003700FF" w:rsidP="005160C2">
      <w:pPr>
        <w:pStyle w:val="BodyTextIndent2"/>
        <w:tabs>
          <w:tab w:val="num" w:pos="360"/>
        </w:tabs>
        <w:spacing w:after="120"/>
        <w:ind w:left="360"/>
        <w:jc w:val="both"/>
        <w:rPr>
          <w:rFonts w:ascii="Arial Narrow" w:hAnsi="Arial Narrow" w:cs="Arial Narrow"/>
          <w:sz w:val="22"/>
          <w:szCs w:val="24"/>
        </w:rPr>
      </w:pPr>
    </w:p>
    <w:p w:rsidR="00CE1C89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b/>
          <w:sz w:val="22"/>
          <w:szCs w:val="24"/>
        </w:rPr>
      </w:pPr>
      <w:r w:rsidR="002027A5">
        <w:rPr>
          <w:rFonts w:ascii="Arial Narrow" w:hAnsi="Arial Narrow" w:cs="Arial Narrow"/>
          <w:b/>
          <w:sz w:val="22"/>
          <w:szCs w:val="24"/>
        </w:rPr>
        <w:t xml:space="preserve">Stupeň zlučiteľnosti návrhu </w:t>
      </w:r>
      <w:r w:rsidR="009041B5">
        <w:rPr>
          <w:rFonts w:ascii="Arial Narrow" w:hAnsi="Arial Narrow" w:cs="Arial Narrow"/>
          <w:b/>
          <w:sz w:val="22"/>
          <w:szCs w:val="24"/>
        </w:rPr>
        <w:t>zákona</w:t>
      </w:r>
      <w:r w:rsidR="002027A5">
        <w:rPr>
          <w:rFonts w:ascii="Arial Narrow" w:hAnsi="Arial Narrow" w:cs="Arial Narrow"/>
          <w:b/>
          <w:sz w:val="22"/>
          <w:szCs w:val="24"/>
        </w:rPr>
        <w:t xml:space="preserve"> s právom Európskych spoločenstiev a právom Európskej únie:</w:t>
      </w:r>
    </w:p>
    <w:p w:rsidR="000E1E4C" w:rsidP="00CE1C89">
      <w:pPr>
        <w:spacing w:after="120"/>
        <w:ind w:left="360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- </w:t>
      </w:r>
      <w:r w:rsidR="00E023C6">
        <w:rPr>
          <w:rFonts w:ascii="Arial Narrow" w:hAnsi="Arial Narrow" w:cs="Arial Narrow"/>
          <w:sz w:val="22"/>
          <w:szCs w:val="24"/>
        </w:rPr>
        <w:t>úplný</w:t>
      </w:r>
    </w:p>
    <w:p w:rsidR="002027A5" w:rsidRPr="000E1E4C" w:rsidP="00CE1C89">
      <w:pPr>
        <w:spacing w:after="120"/>
        <w:ind w:left="360"/>
        <w:jc w:val="both"/>
        <w:rPr>
          <w:rFonts w:ascii="Arial Narrow" w:hAnsi="Arial Narrow" w:cs="Arial Narrow"/>
          <w:b/>
          <w:sz w:val="22"/>
          <w:szCs w:val="24"/>
        </w:rPr>
      </w:pPr>
      <w:r w:rsidRPr="000E1E4C" w:rsidR="000E1E4C">
        <w:rPr>
          <w:rFonts w:ascii="Arial Narrow" w:hAnsi="Arial Narrow" w:cs="Arial Narrow"/>
          <w:sz w:val="22"/>
          <w:szCs w:val="24"/>
        </w:rPr>
        <w:t>Návrh zákona o štátnom rozpočte na rok 20</w:t>
      </w:r>
      <w:r w:rsidR="00AF7C3D">
        <w:rPr>
          <w:rFonts w:ascii="Arial Narrow" w:hAnsi="Arial Narrow" w:cs="Arial Narrow"/>
          <w:sz w:val="22"/>
          <w:szCs w:val="24"/>
        </w:rPr>
        <w:t>10</w:t>
      </w:r>
      <w:r w:rsidRPr="000E1E4C" w:rsidR="000E1E4C">
        <w:rPr>
          <w:rFonts w:ascii="Arial Narrow" w:hAnsi="Arial Narrow" w:cs="Arial Narrow"/>
          <w:sz w:val="22"/>
          <w:szCs w:val="24"/>
        </w:rPr>
        <w:t xml:space="preserve"> je </w:t>
      </w:r>
      <w:r w:rsidR="00E023C6">
        <w:rPr>
          <w:rFonts w:ascii="Arial Narrow" w:hAnsi="Arial Narrow" w:cs="Arial Narrow"/>
          <w:sz w:val="22"/>
          <w:szCs w:val="24"/>
        </w:rPr>
        <w:t>úplne</w:t>
      </w:r>
      <w:r w:rsidRPr="000E1E4C" w:rsidR="000E1E4C">
        <w:rPr>
          <w:rFonts w:ascii="Arial Narrow" w:hAnsi="Arial Narrow" w:cs="Arial Narrow"/>
          <w:sz w:val="22"/>
          <w:szCs w:val="24"/>
        </w:rPr>
        <w:t xml:space="preserve"> v súlade s princípmi stanovenými čl. 104 Zmluvy o založení ES a v Protokole o postupe pri nadmernom deficite</w:t>
      </w:r>
      <w:r w:rsidR="000E1E4C">
        <w:rPr>
          <w:rFonts w:ascii="Arial Narrow" w:hAnsi="Arial Narrow" w:cs="Arial Narrow"/>
          <w:sz w:val="22"/>
          <w:szCs w:val="24"/>
        </w:rPr>
        <w:t>.</w:t>
      </w:r>
      <w:r w:rsidRPr="000E1E4C" w:rsidR="000E1E4C">
        <w:rPr>
          <w:rFonts w:ascii="Arial Narrow" w:hAnsi="Arial Narrow" w:cs="Arial Narrow"/>
          <w:sz w:val="22"/>
          <w:szCs w:val="24"/>
        </w:rPr>
        <w:t xml:space="preserve"> </w:t>
      </w:r>
    </w:p>
    <w:p w:rsidR="00CE1C89" w:rsidP="00CE1C89">
      <w:pPr>
        <w:numPr>
          <w:numId w:val="1"/>
        </w:numPr>
        <w:spacing w:after="120"/>
        <w:jc w:val="both"/>
        <w:rPr>
          <w:rFonts w:ascii="Arial Narrow" w:hAnsi="Arial Narrow" w:cs="Arial Narrow"/>
          <w:b/>
          <w:sz w:val="22"/>
          <w:szCs w:val="24"/>
        </w:rPr>
      </w:pPr>
      <w:r w:rsidR="002027A5">
        <w:rPr>
          <w:rFonts w:ascii="Arial Narrow" w:hAnsi="Arial Narrow" w:cs="Arial Narrow"/>
          <w:b/>
          <w:sz w:val="22"/>
          <w:szCs w:val="24"/>
        </w:rPr>
        <w:t xml:space="preserve">Gestor </w:t>
      </w:r>
      <w:r w:rsidR="00D8728C">
        <w:rPr>
          <w:rFonts w:ascii="Arial Narrow" w:hAnsi="Arial Narrow" w:cs="Arial Narrow"/>
          <w:b/>
          <w:sz w:val="22"/>
          <w:szCs w:val="24"/>
        </w:rPr>
        <w:t xml:space="preserve">a </w:t>
      </w:r>
      <w:r w:rsidR="002027A5">
        <w:rPr>
          <w:rFonts w:ascii="Arial Narrow" w:hAnsi="Arial Narrow" w:cs="Arial Narrow"/>
          <w:b/>
          <w:sz w:val="22"/>
          <w:szCs w:val="24"/>
        </w:rPr>
        <w:t xml:space="preserve">spolupracujúce rezorty: </w:t>
      </w:r>
    </w:p>
    <w:p w:rsidR="002027A5" w:rsidP="00CE1C89">
      <w:pPr>
        <w:spacing w:after="120"/>
        <w:ind w:left="360"/>
        <w:jc w:val="both"/>
        <w:rPr>
          <w:rFonts w:ascii="Arial Narrow" w:hAnsi="Arial Narrow" w:cs="Arial Narrow"/>
          <w:b/>
          <w:sz w:val="22"/>
          <w:szCs w:val="24"/>
        </w:rPr>
      </w:pPr>
      <w:r w:rsidRPr="002D2D98" w:rsidR="009041B5">
        <w:rPr>
          <w:rFonts w:ascii="Arial Narrow" w:hAnsi="Arial Narrow" w:cs="Arial Narrow"/>
          <w:sz w:val="22"/>
          <w:szCs w:val="24"/>
        </w:rPr>
        <w:t>Ministerstvo financií</w:t>
      </w:r>
      <w:r w:rsidRPr="002D2D98">
        <w:rPr>
          <w:rFonts w:ascii="Arial Narrow" w:hAnsi="Arial Narrow" w:cs="Arial Narrow"/>
          <w:sz w:val="22"/>
          <w:szCs w:val="24"/>
        </w:rPr>
        <w:t xml:space="preserve"> Slovenskej republiky</w:t>
      </w:r>
      <w:r w:rsidR="002D2D98">
        <w:rPr>
          <w:rFonts w:ascii="Arial Narrow" w:hAnsi="Arial Narrow" w:cs="Arial Narrow"/>
          <w:sz w:val="22"/>
          <w:szCs w:val="24"/>
        </w:rPr>
        <w:t>.</w:t>
      </w:r>
    </w:p>
    <w:sectPr w:rsidSect="000B0FC8">
      <w:pgSz w:w="11906" w:h="16838"/>
      <w:pgMar w:top="1134" w:right="1418" w:bottom="1134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4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9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B77D4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1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6214B"/>
    <w:rsid w:val="000B0FC8"/>
    <w:rsid w:val="000D1C04"/>
    <w:rsid w:val="000E0B40"/>
    <w:rsid w:val="000E1E4C"/>
    <w:rsid w:val="00114285"/>
    <w:rsid w:val="00170AC0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D98"/>
    <w:rsid w:val="003700FF"/>
    <w:rsid w:val="003C21FE"/>
    <w:rsid w:val="003C3818"/>
    <w:rsid w:val="003E05F8"/>
    <w:rsid w:val="00430F89"/>
    <w:rsid w:val="00447DAC"/>
    <w:rsid w:val="00454A3D"/>
    <w:rsid w:val="0046444F"/>
    <w:rsid w:val="004A0774"/>
    <w:rsid w:val="004B0E16"/>
    <w:rsid w:val="004D2419"/>
    <w:rsid w:val="00504BF9"/>
    <w:rsid w:val="00512966"/>
    <w:rsid w:val="005160C2"/>
    <w:rsid w:val="00547955"/>
    <w:rsid w:val="005751FC"/>
    <w:rsid w:val="005A16E3"/>
    <w:rsid w:val="0063228F"/>
    <w:rsid w:val="00643CC8"/>
    <w:rsid w:val="00661F82"/>
    <w:rsid w:val="00676395"/>
    <w:rsid w:val="00690CD5"/>
    <w:rsid w:val="006C79C5"/>
    <w:rsid w:val="006D50A2"/>
    <w:rsid w:val="006E4997"/>
    <w:rsid w:val="006F5CBD"/>
    <w:rsid w:val="00804690"/>
    <w:rsid w:val="00813957"/>
    <w:rsid w:val="00824E82"/>
    <w:rsid w:val="00825818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84E76"/>
    <w:rsid w:val="009B3E02"/>
    <w:rsid w:val="009D472C"/>
    <w:rsid w:val="00A14220"/>
    <w:rsid w:val="00A82A91"/>
    <w:rsid w:val="00AA1076"/>
    <w:rsid w:val="00AF7C3D"/>
    <w:rsid w:val="00B03445"/>
    <w:rsid w:val="00B242F5"/>
    <w:rsid w:val="00B250D2"/>
    <w:rsid w:val="00B514EF"/>
    <w:rsid w:val="00B52001"/>
    <w:rsid w:val="00B571C4"/>
    <w:rsid w:val="00B962B4"/>
    <w:rsid w:val="00C257FC"/>
    <w:rsid w:val="00C477F5"/>
    <w:rsid w:val="00C63798"/>
    <w:rsid w:val="00CD3529"/>
    <w:rsid w:val="00CE1C89"/>
    <w:rsid w:val="00D17398"/>
    <w:rsid w:val="00D54BE7"/>
    <w:rsid w:val="00D83561"/>
    <w:rsid w:val="00D8728C"/>
    <w:rsid w:val="00D87351"/>
    <w:rsid w:val="00DB51BF"/>
    <w:rsid w:val="00DC1C3F"/>
    <w:rsid w:val="00E023C6"/>
    <w:rsid w:val="00E42C25"/>
    <w:rsid w:val="00E62192"/>
    <w:rsid w:val="00E72CE3"/>
    <w:rsid w:val="00E7527A"/>
    <w:rsid w:val="00E975A5"/>
    <w:rsid w:val="00EB14A2"/>
    <w:rsid w:val="00EC571D"/>
    <w:rsid w:val="00F47182"/>
    <w:rsid w:val="00F561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027A5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2027A5"/>
    <w:pPr>
      <w:jc w:val="center"/>
    </w:pPr>
    <w:rPr>
      <w:b/>
    </w:rPr>
  </w:style>
  <w:style w:type="paragraph" w:styleId="BodyText">
    <w:name w:val="Body Text"/>
    <w:basedOn w:val="Normal"/>
    <w:uiPriority w:val="99"/>
    <w:rsid w:val="002027A5"/>
    <w:pPr>
      <w:spacing w:after="120"/>
      <w:jc w:val="left"/>
    </w:pPr>
    <w:rPr>
      <w:lang w:eastAsia="cs-CZ"/>
    </w:rPr>
  </w:style>
  <w:style w:type="paragraph" w:styleId="BodyText2">
    <w:name w:val="Body Text 2"/>
    <w:basedOn w:val="Normal"/>
    <w:uiPriority w:val="99"/>
    <w:rsid w:val="002027A5"/>
    <w:pPr>
      <w:autoSpaceDE w:val="0"/>
      <w:autoSpaceDN w:val="0"/>
      <w:adjustRightInd w:val="0"/>
      <w:ind w:left="720"/>
      <w:jc w:val="left"/>
    </w:pPr>
  </w:style>
  <w:style w:type="paragraph" w:styleId="BodyTextIndent2">
    <w:name w:val="Body Text Indent 2"/>
    <w:basedOn w:val="Normal"/>
    <w:uiPriority w:val="99"/>
    <w:rsid w:val="002027A5"/>
    <w:pPr>
      <w:adjustRightInd w:val="0"/>
      <w:ind w:left="540"/>
      <w:jc w:val="left"/>
    </w:pPr>
    <w:rPr>
      <w:color w:val="000000"/>
    </w:rPr>
  </w:style>
  <w:style w:type="paragraph" w:customStyle="1" w:styleId="Normlnywebov8">
    <w:name w:val="Normálny (webový)8"/>
    <w:basedOn w:val="Normal"/>
    <w:uiPriority w:val="99"/>
    <w:rsid w:val="0063228F"/>
    <w:pPr>
      <w:spacing w:before="75" w:after="75"/>
      <w:ind w:left="225" w:right="225"/>
      <w:jc w:val="left"/>
    </w:pPr>
    <w:rPr>
      <w:sz w:val="22"/>
    </w:rPr>
  </w:style>
  <w:style w:type="character" w:styleId="Emphasis">
    <w:name w:val="Emphasis"/>
    <w:basedOn w:val="DefaultParagraphFont"/>
    <w:uiPriority w:val="99"/>
    <w:rsid w:val="00C257FC"/>
    <w:rPr>
      <w:i/>
    </w:rPr>
  </w:style>
  <w:style w:type="paragraph" w:customStyle="1" w:styleId="Zkladntext">
    <w:name w:val="Základní text"/>
    <w:uiPriority w:val="99"/>
    <w:rsid w:val="008C7DE7"/>
    <w:pPr>
      <w:widowControl w:val="0"/>
      <w:autoSpaceDE/>
      <w:autoSpaceDN/>
      <w:adjustRightInd/>
      <w:snapToGrid w:val="0"/>
      <w:ind w:left="0" w:right="0"/>
      <w:jc w:val="left"/>
      <w:textAlignment w:val="auto"/>
    </w:pPr>
    <w:rPr>
      <w:color w:val="000000"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331</Words>
  <Characters>1888</Characters>
  <Application>Microsoft Office Word</Application>
  <DocSecurity>0</DocSecurity>
  <Lines>0</Lines>
  <Paragraphs>0</Paragraphs>
  <ScaleCrop>false</ScaleCrop>
  <Company>MFSR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mstepanovska</dc:creator>
  <cp:lastModifiedBy>Administrator</cp:lastModifiedBy>
  <cp:revision>2</cp:revision>
  <cp:lastPrinted>2008-10-10T13:49:00Z</cp:lastPrinted>
  <dcterms:created xsi:type="dcterms:W3CDTF">2009-09-30T14:02:00Z</dcterms:created>
  <dcterms:modified xsi:type="dcterms:W3CDTF">2009-09-30T14:02:00Z</dcterms:modified>
</cp:coreProperties>
</file>