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24CFD" w:rsidRPr="000A1FB1" w:rsidP="00BE2F03">
      <w:pPr>
        <w:jc w:val="center"/>
        <w:outlineLvl w:val="0"/>
        <w:rPr>
          <w:rFonts w:ascii="Times New Roman" w:hAnsi="Times New Roman" w:cs="Times New Roman"/>
          <w:b/>
          <w:bCs/>
        </w:rPr>
      </w:pPr>
      <w:r w:rsidRPr="000A1FB1">
        <w:rPr>
          <w:rFonts w:ascii="Times New Roman" w:hAnsi="Times New Roman" w:cs="Times New Roman"/>
          <w:b/>
          <w:bCs/>
        </w:rPr>
        <w:t xml:space="preserve">D ô v o d o v á  </w:t>
      </w:r>
      <w:r w:rsidRPr="000A1FB1" w:rsidR="00AA736A">
        <w:rPr>
          <w:rFonts w:ascii="Times New Roman" w:hAnsi="Times New Roman" w:cs="Times New Roman"/>
          <w:b/>
          <w:bCs/>
        </w:rPr>
        <w:t xml:space="preserve">  </w:t>
      </w:r>
      <w:r w:rsidRPr="000A1FB1">
        <w:rPr>
          <w:rFonts w:ascii="Times New Roman" w:hAnsi="Times New Roman" w:cs="Times New Roman"/>
          <w:b/>
          <w:bCs/>
        </w:rPr>
        <w:t>s p r  á  v a</w:t>
      </w:r>
    </w:p>
    <w:p w:rsidR="00DC4F38" w:rsidRPr="000A1FB1" w:rsidP="00BE2F03">
      <w:pPr>
        <w:outlineLvl w:val="0"/>
        <w:rPr>
          <w:rFonts w:ascii="Times New Roman" w:hAnsi="Times New Roman" w:cs="Times New Roman"/>
          <w:b/>
          <w:bCs/>
        </w:rPr>
      </w:pPr>
    </w:p>
    <w:p w:rsidR="00724CFD" w:rsidRPr="000A1FB1" w:rsidP="00BE2F03">
      <w:pPr>
        <w:outlineLvl w:val="0"/>
        <w:rPr>
          <w:rFonts w:ascii="Times New Roman" w:hAnsi="Times New Roman" w:cs="Times New Roman"/>
          <w:b/>
          <w:bCs/>
          <w:u w:val="single"/>
        </w:rPr>
      </w:pPr>
      <w:r w:rsidRPr="000A1FB1">
        <w:rPr>
          <w:rFonts w:ascii="Times New Roman" w:hAnsi="Times New Roman" w:cs="Times New Roman"/>
          <w:b/>
          <w:bCs/>
          <w:u w:val="single"/>
        </w:rPr>
        <w:t xml:space="preserve">Všeobecná časť  </w:t>
      </w:r>
    </w:p>
    <w:p w:rsidR="00724CFD" w:rsidRPr="000A1FB1" w:rsidP="00BE2F03">
      <w:pPr>
        <w:jc w:val="both"/>
        <w:rPr>
          <w:rFonts w:ascii="Times New Roman" w:hAnsi="Times New Roman" w:cs="Times New Roman"/>
        </w:rPr>
      </w:pPr>
    </w:p>
    <w:p w:rsidR="005E4D9D" w:rsidRPr="000A1FB1" w:rsidP="00BE2F03">
      <w:pPr>
        <w:jc w:val="both"/>
        <w:rPr>
          <w:rFonts w:ascii="Times New Roman" w:hAnsi="Times New Roman" w:cs="Times New Roman"/>
        </w:rPr>
      </w:pPr>
      <w:r w:rsidRPr="000A1FB1">
        <w:rPr>
          <w:rFonts w:ascii="Times New Roman" w:hAnsi="Times New Roman" w:cs="Times New Roman"/>
        </w:rPr>
        <w:t>Ministerstvo financií Slovenskej republiky predkladá na rokovanie vlády Slovenskej republiky návrh zákona, ktorým sa mení a dopĺňa zákon č. 595/2003 Z. z. o dani z príjmov v znení neskorších predpisov a o</w:t>
      </w:r>
      <w:r w:rsidRPr="000A1FB1">
        <w:rPr>
          <w:rFonts w:ascii="Times New Roman" w:hAnsi="Times New Roman" w:cs="Times New Roman"/>
        </w:rPr>
        <w:t xml:space="preserve"> zmene a doplnení niektorých zákonov. </w:t>
      </w:r>
    </w:p>
    <w:p w:rsidR="005E4D9D" w:rsidRPr="000A1FB1" w:rsidP="00BE2F03">
      <w:pPr>
        <w:ind w:firstLine="708"/>
        <w:jc w:val="both"/>
        <w:rPr>
          <w:rFonts w:ascii="Times New Roman" w:hAnsi="Times New Roman" w:cs="Times New Roman"/>
        </w:rPr>
      </w:pPr>
    </w:p>
    <w:p w:rsidR="00DC4F38" w:rsidRPr="000A1FB1" w:rsidP="00BE2F03">
      <w:pPr>
        <w:jc w:val="both"/>
        <w:rPr>
          <w:rFonts w:ascii="Times New Roman" w:hAnsi="Times New Roman" w:cs="Times New Roman"/>
        </w:rPr>
      </w:pPr>
      <w:r w:rsidRPr="000A1FB1" w:rsidR="005E4D9D">
        <w:rPr>
          <w:rFonts w:ascii="Times New Roman" w:hAnsi="Times New Roman" w:cs="Times New Roman"/>
          <w:b/>
        </w:rPr>
        <w:t>V článku I</w:t>
      </w:r>
      <w:r w:rsidRPr="000A1FB1" w:rsidR="005E4D9D">
        <w:rPr>
          <w:rFonts w:ascii="Times New Roman" w:hAnsi="Times New Roman" w:cs="Times New Roman"/>
        </w:rPr>
        <w:t> </w:t>
      </w:r>
      <w:r w:rsidRPr="000A1FB1" w:rsidR="00154007">
        <w:rPr>
          <w:rFonts w:ascii="Times New Roman" w:hAnsi="Times New Roman" w:cs="Times New Roman"/>
        </w:rPr>
        <w:t xml:space="preserve"> </w:t>
      </w:r>
      <w:r w:rsidRPr="000A1FB1" w:rsidR="005E4D9D">
        <w:rPr>
          <w:rFonts w:ascii="Times New Roman" w:hAnsi="Times New Roman" w:cs="Times New Roman"/>
        </w:rPr>
        <w:t>sa mení a dopĺňa zákon č. 595/2003 Z. z. o dani z príjmov v znení neskorších predpisov na základe Plánu legislatívnych úloh vlády Slovenskej republiky na rok 2009</w:t>
      </w:r>
      <w:r w:rsidRPr="000A1FB1">
        <w:rPr>
          <w:rFonts w:ascii="Times New Roman" w:hAnsi="Times New Roman" w:cs="Times New Roman"/>
        </w:rPr>
        <w:t xml:space="preserve">. Zámerom predkladaného materiálu je </w:t>
      </w:r>
      <w:r w:rsidRPr="000A1FB1" w:rsidR="005E4D9D">
        <w:rPr>
          <w:rFonts w:ascii="Times New Roman" w:hAnsi="Times New Roman" w:cs="Times New Roman"/>
        </w:rPr>
        <w:t>najmä</w:t>
      </w:r>
      <w:r w:rsidRPr="000A1FB1" w:rsidR="005E4D9D">
        <w:rPr>
          <w:rFonts w:ascii="Times New Roman" w:hAnsi="Times New Roman" w:cs="Times New Roman"/>
        </w:rPr>
        <w:t xml:space="preserve"> </w:t>
      </w:r>
    </w:p>
    <w:p w:rsidR="00F45EDE" w:rsidRPr="000A1FB1" w:rsidP="00BE2F03">
      <w:pPr>
        <w:ind w:firstLine="360"/>
        <w:jc w:val="both"/>
        <w:rPr>
          <w:rFonts w:ascii="Times New Roman" w:hAnsi="Times New Roman" w:cs="Times New Roman"/>
        </w:rPr>
      </w:pPr>
      <w:r w:rsidRPr="000A1FB1" w:rsidR="00D67007">
        <w:rPr>
          <w:rFonts w:ascii="Times New Roman" w:hAnsi="Times New Roman" w:cs="Times New Roman"/>
        </w:rPr>
        <w:t xml:space="preserve">- </w:t>
      </w:r>
      <w:r w:rsidRPr="000A1FB1">
        <w:rPr>
          <w:rFonts w:ascii="Times New Roman" w:hAnsi="Times New Roman" w:cs="Times New Roman"/>
        </w:rPr>
        <w:t>ú</w:t>
      </w:r>
      <w:r w:rsidRPr="000A1FB1">
        <w:rPr>
          <w:rFonts w:ascii="Times New Roman" w:hAnsi="Times New Roman" w:cs="Times New Roman"/>
          <w:bCs/>
          <w:color w:val="000000"/>
          <w:lang w:eastAsia="sk-SK"/>
        </w:rPr>
        <w:t>prav</w:t>
      </w:r>
      <w:r w:rsidRPr="000A1FB1" w:rsidR="00834739">
        <w:rPr>
          <w:rFonts w:ascii="Times New Roman" w:hAnsi="Times New Roman" w:cs="Times New Roman"/>
          <w:bCs/>
          <w:color w:val="000000"/>
          <w:lang w:eastAsia="sk-SK"/>
        </w:rPr>
        <w:t>a</w:t>
      </w:r>
      <w:r w:rsidRPr="000A1FB1">
        <w:rPr>
          <w:rFonts w:ascii="Times New Roman" w:hAnsi="Times New Roman" w:cs="Times New Roman"/>
          <w:bCs/>
          <w:color w:val="000000"/>
          <w:lang w:eastAsia="sk-SK"/>
        </w:rPr>
        <w:t xml:space="preserve"> základu dane pri predaji podniku alebo jeho časti, nepeňažnom vklade a zlúčení, splynutí, rozdelení obchodných spoločností alebo družstiev (podnikové kombinácie). Zámerom navrhovanej úpravy je zabezpečiť právnu istotu pri realizácii podnikových kombinácií; možnosť zvoliť si spôsob ocenenia takto nadobudnutého majetku reálnou hodnotou alebo pôvodnými cenami. V závislosti od zvoleného spôsobu ocenenia sa upravuje daňové vysporiadanie rezerv, opravných položiek, výpočet daňových odpisov, zahrnovanie alebo nezahrnovanie goodwillu alebo záporného goodwillu do základu dane, zahrnovanie alebo nezahrnovanie oceňovacích rozdielov pri nepeňažnom vklade a oceňovacích rozdielov pri zlúčení, splynutí alebo rozdelení spoločností do základu </w:t>
      </w:r>
      <w:r w:rsidRPr="000A1FB1">
        <w:rPr>
          <w:rFonts w:ascii="Times New Roman" w:hAnsi="Times New Roman" w:cs="Times New Roman"/>
          <w:bCs/>
          <w:lang w:eastAsia="sk-SK"/>
        </w:rPr>
        <w:t>dane</w:t>
      </w:r>
      <w:r w:rsidRPr="000A1FB1">
        <w:rPr>
          <w:rFonts w:ascii="Times New Roman" w:hAnsi="Times New Roman" w:cs="Times New Roman"/>
          <w:bCs/>
          <w:color w:val="000000"/>
          <w:lang w:eastAsia="sk-SK"/>
        </w:rPr>
        <w:t xml:space="preserve">, </w:t>
      </w:r>
    </w:p>
    <w:p w:rsidR="005E4D9D" w:rsidRPr="000A1FB1" w:rsidP="00BE2F03">
      <w:pPr>
        <w:ind w:firstLine="360"/>
        <w:jc w:val="both"/>
        <w:rPr>
          <w:rFonts w:ascii="Times New Roman" w:hAnsi="Times New Roman" w:cs="Times New Roman"/>
          <w:color w:val="000000"/>
          <w:lang w:eastAsia="sk-SK"/>
        </w:rPr>
      </w:pPr>
      <w:r w:rsidRPr="000A1FB1" w:rsidR="00405C6F">
        <w:rPr>
          <w:rFonts w:ascii="Times New Roman" w:hAnsi="Times New Roman" w:cs="Times New Roman"/>
        </w:rPr>
        <w:t>- ú</w:t>
      </w:r>
      <w:r w:rsidRPr="000A1FB1">
        <w:rPr>
          <w:rFonts w:ascii="Times New Roman" w:hAnsi="Times New Roman" w:cs="Times New Roman"/>
          <w:bCs/>
          <w:color w:val="000000"/>
          <w:lang w:eastAsia="sk-SK"/>
        </w:rPr>
        <w:t>prav</w:t>
      </w:r>
      <w:r w:rsidRPr="000A1FB1" w:rsidR="00DC4F38">
        <w:rPr>
          <w:rFonts w:ascii="Times New Roman" w:hAnsi="Times New Roman" w:cs="Times New Roman"/>
          <w:bCs/>
          <w:color w:val="000000"/>
          <w:lang w:eastAsia="sk-SK"/>
        </w:rPr>
        <w:t>a</w:t>
      </w:r>
      <w:r w:rsidRPr="000A1FB1">
        <w:rPr>
          <w:rFonts w:ascii="Times New Roman" w:hAnsi="Times New Roman" w:cs="Times New Roman"/>
          <w:bCs/>
          <w:color w:val="000000"/>
          <w:lang w:eastAsia="sk-SK"/>
        </w:rPr>
        <w:t xml:space="preserve"> daňov</w:t>
      </w:r>
      <w:r w:rsidRPr="000A1FB1">
        <w:rPr>
          <w:rFonts w:ascii="Times New Roman" w:hAnsi="Times New Roman" w:cs="Times New Roman"/>
          <w:bCs/>
          <w:color w:val="000000"/>
          <w:lang w:eastAsia="sk-SK"/>
        </w:rPr>
        <w:t>ej asignácie</w:t>
      </w:r>
      <w:r w:rsidRPr="000A1FB1">
        <w:rPr>
          <w:rFonts w:ascii="Times New Roman" w:hAnsi="Times New Roman" w:cs="Times New Roman"/>
          <w:color w:val="000000"/>
          <w:lang w:eastAsia="sk-SK"/>
        </w:rPr>
        <w:t xml:space="preserve"> - </w:t>
      </w:r>
      <w:r w:rsidRPr="000A1FB1" w:rsidR="00AC4263">
        <w:rPr>
          <w:rFonts w:ascii="Times New Roman" w:hAnsi="Times New Roman" w:cs="Times New Roman"/>
          <w:color w:val="000000"/>
          <w:lang w:eastAsia="sk-SK"/>
        </w:rPr>
        <w:t>u</w:t>
      </w:r>
      <w:r w:rsidRPr="000A1FB1">
        <w:rPr>
          <w:rFonts w:ascii="Times New Roman" w:hAnsi="Times New Roman" w:cs="Times New Roman"/>
          <w:color w:val="000000"/>
          <w:lang w:eastAsia="sk-SK"/>
        </w:rPr>
        <w:t xml:space="preserve">  daňovníkov, ktorí sú právnickými osobami, sa navrhuje postupné znižovanie poukazovaného podielu zaplatenej dane do roku 2018 až na pol percenta. Ustanovuje sa, že táto právnická osoba okrem podielu zaplatenej dane musí poskytnúť aj dar prijímateľom (prijímateľovi) v sume zodpovedajúcej ustanovenému percentu zaplatenej dane, a ak túto podmienku nesplní, podiel zaplatenej dane poukazovaný správcom dane sa zníži ešte o pol percenta (napr. v rokoch 2011 a 2012 je podiel zaplatenej dane vo výške 2 % za predpokladu, že daňovník poskytne prijímateľovi dar vo výške zodpovedajúcej 0,5 % daňovej povinnosti; ak </w:t>
      </w:r>
      <w:r w:rsidRPr="000A1FB1" w:rsidR="00834739">
        <w:rPr>
          <w:rFonts w:ascii="Times New Roman" w:hAnsi="Times New Roman" w:cs="Times New Roman"/>
          <w:color w:val="000000"/>
          <w:lang w:eastAsia="sk-SK"/>
        </w:rPr>
        <w:t xml:space="preserve">daňovník </w:t>
      </w:r>
      <w:r w:rsidRPr="000A1FB1">
        <w:rPr>
          <w:rFonts w:ascii="Times New Roman" w:hAnsi="Times New Roman" w:cs="Times New Roman"/>
          <w:color w:val="000000"/>
          <w:lang w:eastAsia="sk-SK"/>
        </w:rPr>
        <w:t>dar neposkytne, správca dane zníži poukazovaný podiel zaplatenej dane na 1,5 %). Tiež sa ustanovuje, že prijatý podiel zaplatenej dane prijímateľ môže poskytnúť aj inej právnickej osobe, ktorá nie je zverejnená v zozname prijímateľov vydanom Notárskou komorou Slovenskej republiky, ale prijímateľ zodpovedná za to, že tieto finančné prostriedky iná právnická osoba použije na ustanovené účely a preukáže to potrebnými dokladmi. Od 1. januára 2010 sa za porušenie použitia tohto podielu bude považovať aj vynaloženie týchto prostriedkov na obstaranie nehnuteľnosti a na reklamu</w:t>
      </w:r>
      <w:r w:rsidRPr="000A1FB1" w:rsidR="00DC4F38">
        <w:rPr>
          <w:rFonts w:ascii="Times New Roman" w:hAnsi="Times New Roman" w:cs="Times New Roman"/>
          <w:color w:val="000000"/>
          <w:lang w:eastAsia="sk-SK"/>
        </w:rPr>
        <w:t>,</w:t>
      </w:r>
    </w:p>
    <w:p w:rsidR="00DC4F38" w:rsidRPr="000A1FB1" w:rsidP="00BE2F03">
      <w:pPr>
        <w:ind w:firstLine="360"/>
        <w:jc w:val="both"/>
        <w:rPr>
          <w:rFonts w:ascii="Times New Roman" w:hAnsi="Times New Roman" w:cs="Times New Roman"/>
        </w:rPr>
      </w:pPr>
      <w:r w:rsidRPr="000A1FB1">
        <w:rPr>
          <w:rFonts w:ascii="Times New Roman" w:hAnsi="Times New Roman" w:cs="Times New Roman"/>
        </w:rPr>
        <w:t>- z</w:t>
      </w:r>
      <w:r w:rsidRPr="000A1FB1" w:rsidR="005E4D9D">
        <w:rPr>
          <w:rFonts w:ascii="Times New Roman" w:hAnsi="Times New Roman" w:cs="Times New Roman"/>
        </w:rPr>
        <w:t>ásad</w:t>
      </w:r>
      <w:r w:rsidRPr="000A1FB1">
        <w:rPr>
          <w:rFonts w:ascii="Times New Roman" w:hAnsi="Times New Roman" w:cs="Times New Roman"/>
        </w:rPr>
        <w:t>a</w:t>
      </w:r>
      <w:r w:rsidRPr="000A1FB1" w:rsidR="005E4D9D">
        <w:rPr>
          <w:rFonts w:ascii="Times New Roman" w:hAnsi="Times New Roman" w:cs="Times New Roman"/>
        </w:rPr>
        <w:t xml:space="preserve"> nediskriminácie daňovníka z obmedzenou daňovou povinnosťou - navrhované legislatívne úpravy vyplynuli z upozornení Európskej komisie. Ide najmä o použitie rovnakého postupu pri zdaňovaní príjmov za poskytnutie práva na použitie alebo za použitie práva aj pre daňovníka s obmedzenou daňovou povinnosťou (pri vysporiadaní daňovej povinnosti môže podať daňové priznanie rovnako, ako daňovník s neobmedzenou daňovou povinnosťou)</w:t>
      </w:r>
      <w:r w:rsidRPr="000A1FB1">
        <w:rPr>
          <w:rFonts w:ascii="Times New Roman" w:hAnsi="Times New Roman" w:cs="Times New Roman"/>
        </w:rPr>
        <w:t>,</w:t>
      </w:r>
    </w:p>
    <w:p w:rsidR="005E4D9D" w:rsidRPr="000A1FB1" w:rsidP="00BE2F03">
      <w:pPr>
        <w:ind w:firstLine="360"/>
        <w:jc w:val="both"/>
        <w:rPr>
          <w:rFonts w:ascii="Times New Roman" w:hAnsi="Times New Roman" w:cs="Times New Roman"/>
        </w:rPr>
      </w:pPr>
      <w:r w:rsidRPr="000A1FB1" w:rsidR="00DC4F38">
        <w:rPr>
          <w:rFonts w:ascii="Times New Roman" w:hAnsi="Times New Roman" w:cs="Times New Roman"/>
        </w:rPr>
        <w:t>- o</w:t>
      </w:r>
      <w:r w:rsidRPr="000A1FB1">
        <w:rPr>
          <w:rFonts w:ascii="Times New Roman" w:hAnsi="Times New Roman" w:cs="Times New Roman"/>
        </w:rPr>
        <w:t xml:space="preserve">statné úpravy </w:t>
      </w:r>
      <w:r w:rsidRPr="000A1FB1" w:rsidR="00DC4F38">
        <w:rPr>
          <w:rFonts w:ascii="Times New Roman" w:hAnsi="Times New Roman" w:cs="Times New Roman"/>
        </w:rPr>
        <w:t>sa týkajú l</w:t>
      </w:r>
      <w:r w:rsidRPr="000A1FB1">
        <w:rPr>
          <w:rFonts w:ascii="Times New Roman" w:hAnsi="Times New Roman" w:cs="Times New Roman"/>
        </w:rPr>
        <w:t>egislatívne</w:t>
      </w:r>
      <w:r w:rsidRPr="000A1FB1" w:rsidR="00DC4F38">
        <w:rPr>
          <w:rFonts w:ascii="Times New Roman" w:hAnsi="Times New Roman" w:cs="Times New Roman"/>
        </w:rPr>
        <w:t xml:space="preserve">ho spresnenia ustanovení </w:t>
      </w:r>
      <w:r w:rsidRPr="000A1FB1" w:rsidR="00AC4263">
        <w:rPr>
          <w:rFonts w:ascii="Times New Roman" w:hAnsi="Times New Roman" w:cs="Times New Roman"/>
        </w:rPr>
        <w:t xml:space="preserve">zákona </w:t>
      </w:r>
      <w:r w:rsidRPr="000A1FB1" w:rsidR="00826667">
        <w:rPr>
          <w:rFonts w:ascii="Times New Roman" w:hAnsi="Times New Roman" w:cs="Times New Roman"/>
        </w:rPr>
        <w:t xml:space="preserve">aj </w:t>
      </w:r>
      <w:r w:rsidRPr="000A1FB1">
        <w:rPr>
          <w:rFonts w:ascii="Times New Roman" w:hAnsi="Times New Roman" w:cs="Times New Roman"/>
        </w:rPr>
        <w:t>v nadväznosti na zmenu v iných všeobecne záväzných právnych predpisoch a zmeny vyplývajúce z aplikačnej praxe.</w:t>
      </w:r>
    </w:p>
    <w:p w:rsidR="005E4D9D" w:rsidRPr="000A1FB1" w:rsidP="00BE2F03">
      <w:pPr>
        <w:tabs>
          <w:tab w:val="left" w:pos="8280"/>
        </w:tabs>
        <w:jc w:val="both"/>
        <w:rPr>
          <w:rFonts w:ascii="Times New Roman" w:hAnsi="Times New Roman" w:cs="Times New Roman"/>
        </w:rPr>
      </w:pPr>
    </w:p>
    <w:p w:rsidR="003A01A3" w:rsidRPr="000A1FB1" w:rsidP="00BE2F03">
      <w:pPr>
        <w:pStyle w:val="BodyTextIndent"/>
        <w:spacing w:after="0"/>
        <w:ind w:left="0"/>
        <w:jc w:val="both"/>
        <w:rPr>
          <w:rFonts w:ascii="Times New Roman" w:hAnsi="Times New Roman" w:cs="Times New Roman"/>
          <w:bCs/>
        </w:rPr>
      </w:pPr>
      <w:r w:rsidRPr="000A1FB1">
        <w:rPr>
          <w:rFonts w:ascii="Times New Roman" w:hAnsi="Times New Roman" w:cs="Times New Roman"/>
          <w:b/>
          <w:bCs/>
        </w:rPr>
        <w:t>V článku II</w:t>
      </w:r>
      <w:r w:rsidRPr="000A1FB1">
        <w:rPr>
          <w:rFonts w:ascii="Times New Roman" w:hAnsi="Times New Roman" w:cs="Times New Roman"/>
          <w:bCs/>
        </w:rPr>
        <w:t xml:space="preserve"> sa mení  a dopĺňa  zákon SNR č. 511/1992 Zb.  o správe daní a poplatkov a o zmenách v sústave územných finančných orgánov v znení neskorších predpisov. Navrhuje sa zmena týkajúca sa určenia splnomocneného zástupcu na doručovanie písomností, a to v prípade, ak fyzická osoba alebo právnická osoba má sídlo alebo trvalý pobyt na území tretích štátov, rozširuje sa registračná a oznamovacia povinnosť aj na prenájom časti bytu, nebytového priestoru alebo nehnuteľnosti, navrhuje sa minimálna výška ročnej úrokovej sadzby pre výpočet pokuty, sankčného úroku a úroku z dôvodu, že sadzba Európskej centrálnej banky má v roku 2009 klesajúcu tendenciu, pričom rovnaký postup sa navrhuje uplatniť aj v prípadoch, keď je povinný platiť sankčný úrok a úrok správca dane. Z dôvodu jednoznačnosti sa navrhuje, aby správca dane vydával rozhodnutie v každom prípade, keď bude podaná žiadosť o predĺženie lehoty na podanie daňového priznania, ustanovuje sa, aby v upovedomení o daňovej kontrole vykonávanej na zistenie oprávnenosti nadmerného odpočtu bol určený deň začatia daňovej kontroly a aby podanie námietok bolo možné len v tých prípadoch, v ktorých to ustanovuje zákon. Doterajšie sumy uvedené v Sk  sa navrhujú uvádzať v eurách.</w:t>
      </w:r>
    </w:p>
    <w:p w:rsidR="003A01A3" w:rsidRPr="000A1FB1" w:rsidP="00BE2F03">
      <w:pPr>
        <w:pStyle w:val="BodyTextIndent"/>
        <w:spacing w:after="0"/>
        <w:ind w:left="0"/>
        <w:jc w:val="both"/>
        <w:rPr>
          <w:rFonts w:ascii="Times New Roman" w:hAnsi="Times New Roman" w:cs="Times New Roman"/>
          <w:bCs/>
        </w:rPr>
      </w:pPr>
      <w:r w:rsidRPr="000A1FB1">
        <w:rPr>
          <w:rFonts w:ascii="Times New Roman" w:hAnsi="Times New Roman" w:cs="Times New Roman"/>
          <w:bCs/>
        </w:rPr>
        <w:t>Ďalšie legislatívne úpravy sa navrhujú v nadväznosti na nové ustanovenie § 17b ods. 2 a 7 zákona č. 595/2003 Z. z. o dani z príjmov v znení neskorších predpisov, a to tak, že sa rozširuje sankcia o prípad, ak nebude podľa tohto ustanovenia splnená oznamovacia povinnosť, nadväzne na predĺženie lehoty na odpočítanie daňovej straty sa navrhuje upraviť lehota pre zánik práva vyrubiť  daň alebo rozdiel dane. V súvislosti s novým znením § 4b zákona č. 222/2004 Z. z. o dani z pridanej hodnoty v znení neskorších predpisov sa navrhuje upraviť použitie nadmerného odpočtu, ktorý uplatňuje skupina, na úhradu prípadných nedoplatkov na iných daniach u jednotlivých členov skupiny.</w:t>
      </w:r>
    </w:p>
    <w:p w:rsidR="001530EF" w:rsidRPr="000A1FB1" w:rsidP="00BE2F03">
      <w:pPr>
        <w:pStyle w:val="BodyTextIndent"/>
        <w:spacing w:after="0"/>
        <w:ind w:left="0"/>
        <w:jc w:val="both"/>
        <w:rPr>
          <w:rFonts w:ascii="Times New Roman" w:hAnsi="Times New Roman" w:cs="Times New Roman"/>
          <w:bCs/>
        </w:rPr>
      </w:pPr>
    </w:p>
    <w:p w:rsidR="005E4D9D" w:rsidRPr="000A1FB1" w:rsidP="00BE2F03">
      <w:pPr>
        <w:jc w:val="both"/>
        <w:rPr>
          <w:rFonts w:ascii="Times New Roman" w:hAnsi="Times New Roman" w:cs="Times New Roman"/>
        </w:rPr>
      </w:pPr>
      <w:r w:rsidRPr="000A1FB1">
        <w:rPr>
          <w:rFonts w:ascii="Times New Roman" w:hAnsi="Times New Roman" w:cs="Times New Roman"/>
          <w:b/>
        </w:rPr>
        <w:t>V článku II</w:t>
      </w:r>
      <w:r w:rsidRPr="000A1FB1" w:rsidR="0078548B">
        <w:rPr>
          <w:rFonts w:ascii="Times New Roman" w:hAnsi="Times New Roman" w:cs="Times New Roman"/>
          <w:b/>
        </w:rPr>
        <w:t>I</w:t>
      </w:r>
      <w:r w:rsidRPr="000A1FB1">
        <w:rPr>
          <w:rFonts w:ascii="Times New Roman" w:hAnsi="Times New Roman" w:cs="Times New Roman"/>
        </w:rPr>
        <w:t> sa mení a dopĺňa zákon č. 431/2002 Z. z. o účtovníctve v znení neskorších predpisov, ktorý je vypracovaný ako iniciatívny. Návrhom zákona sa upravuje deň zrušenia účtovnej jednotky bez likvidácie a predkladanie účtovných závierok do zbierky listín v nadväznosti na Obchodný zákonník.</w:t>
      </w:r>
    </w:p>
    <w:p w:rsidR="005E4D9D" w:rsidRPr="000A1FB1" w:rsidP="00BE2F03">
      <w:pPr>
        <w:ind w:firstLine="360"/>
        <w:jc w:val="both"/>
        <w:rPr>
          <w:rFonts w:ascii="Times New Roman" w:hAnsi="Times New Roman" w:cs="Times New Roman"/>
        </w:rPr>
      </w:pPr>
      <w:r w:rsidRPr="000A1FB1">
        <w:rPr>
          <w:rFonts w:ascii="Times New Roman" w:hAnsi="Times New Roman" w:cs="Times New Roman"/>
        </w:rPr>
        <w:t xml:space="preserve"> </w:t>
      </w:r>
    </w:p>
    <w:p w:rsidR="00532E09" w:rsidRPr="000A1FB1" w:rsidP="00BE2F03">
      <w:pPr>
        <w:autoSpaceDE/>
        <w:autoSpaceDN/>
        <w:jc w:val="both"/>
        <w:rPr>
          <w:rFonts w:ascii="Times New Roman" w:hAnsi="Times New Roman" w:cs="Times New Roman"/>
        </w:rPr>
      </w:pPr>
      <w:r w:rsidRPr="000A1FB1" w:rsidR="005E4D9D">
        <w:rPr>
          <w:rFonts w:ascii="Times New Roman" w:hAnsi="Times New Roman" w:cs="Times New Roman"/>
          <w:b/>
        </w:rPr>
        <w:t>V článku I</w:t>
      </w:r>
      <w:r w:rsidRPr="000A1FB1" w:rsidR="0078548B">
        <w:rPr>
          <w:rFonts w:ascii="Times New Roman" w:hAnsi="Times New Roman" w:cs="Times New Roman"/>
          <w:b/>
        </w:rPr>
        <w:t>V</w:t>
      </w:r>
      <w:r w:rsidRPr="000A1FB1" w:rsidR="005E4D9D">
        <w:rPr>
          <w:rFonts w:ascii="Times New Roman" w:hAnsi="Times New Roman" w:cs="Times New Roman"/>
        </w:rPr>
        <w:t xml:space="preserve"> sa mení a dopĺňa zákon č. 540/2007 Z. z. o audítoroch, audite a dohľade nad výkonom auditu a o zmene a doplnení zákona č. 431/2002 Z. z. o účtovníctve v znení neskorších predpisov, ktorý je vypracovaný ako iniciatívny. Spresňujú sa ním niektoré ustanovenia pôvodného zákona a zabezpečuje sa zapracovanie záverov z bilaterálneho mítingu s predsedom Výboru pre audit a dohľad nad audítorskou profesiou Európskej komisie, ktorý sa konal  30. </w:t>
      </w:r>
      <w:r w:rsidRPr="000A1FB1" w:rsidR="00D04F22">
        <w:rPr>
          <w:rFonts w:ascii="Times New Roman" w:hAnsi="Times New Roman" w:cs="Times New Roman"/>
        </w:rPr>
        <w:t>júna</w:t>
      </w:r>
      <w:r w:rsidRPr="000A1FB1" w:rsidR="005E4D9D">
        <w:rPr>
          <w:rFonts w:ascii="Times New Roman" w:hAnsi="Times New Roman" w:cs="Times New Roman"/>
        </w:rPr>
        <w:t xml:space="preserve"> 2008. </w:t>
      </w:r>
      <w:r w:rsidRPr="000A1FB1">
        <w:rPr>
          <w:rFonts w:ascii="Times New Roman" w:hAnsi="Times New Roman" w:cs="Times New Roman"/>
        </w:rPr>
        <w:t>Samosprávnym krajom a obciam nevzniknú žiadne náklady, vzhľadom na to, že predkladaný návrh zákona im nezveruje žiadne úlohy. Rovnako návrh zákona nebude mať žiadny dopad na životné prostredie.</w:t>
      </w:r>
    </w:p>
    <w:p w:rsidR="0074041F" w:rsidP="0074041F">
      <w:pPr>
        <w:pStyle w:val="BodyTextIndent"/>
        <w:spacing w:after="0"/>
        <w:ind w:left="0"/>
        <w:jc w:val="both"/>
        <w:rPr>
          <w:rFonts w:ascii="Times New Roman" w:hAnsi="Times New Roman" w:cs="Times New Roman"/>
          <w:lang w:eastAsia="cs-CZ"/>
        </w:rPr>
      </w:pPr>
    </w:p>
    <w:p w:rsidR="0016450C" w:rsidP="0074041F">
      <w:pPr>
        <w:pStyle w:val="BodyTextIndent"/>
        <w:spacing w:after="0"/>
        <w:ind w:left="0"/>
        <w:jc w:val="both"/>
        <w:rPr>
          <w:rFonts w:ascii="Times New Roman" w:hAnsi="Times New Roman" w:cs="Times New Roman"/>
        </w:rPr>
      </w:pPr>
      <w:r w:rsidRPr="000A1FB1" w:rsidR="005E4D9D">
        <w:rPr>
          <w:rFonts w:ascii="Times New Roman" w:hAnsi="Times New Roman" w:cs="Times New Roman"/>
        </w:rPr>
        <w:t>Návrh zákona, ktorým sa mení a dopĺňa zákon č. 595/2003 Z. z. o dani z príjmov v znení neskorších predpisov a o zmene a doplnení niektorých zákonov, je v súlade s Ú</w:t>
      </w:r>
      <w:r w:rsidRPr="000A1FB1" w:rsidR="005E4D9D">
        <w:rPr>
          <w:rFonts w:ascii="Times New Roman" w:hAnsi="Times New Roman" w:cs="Times New Roman"/>
        </w:rPr>
        <w:t>stavou Slovenskej republiky, inými zákonmi a ostatnými všeobecne záväznými právnymi predpismi a medzinárodnými zmluvami, ktorými je Slovenská republika viazaná.</w:t>
      </w:r>
    </w:p>
    <w:p w:rsidR="00057A7B" w:rsidP="0074041F">
      <w:pPr>
        <w:pStyle w:val="BodyTextIndent"/>
        <w:spacing w:after="0"/>
        <w:ind w:left="0"/>
        <w:jc w:val="both"/>
        <w:rPr>
          <w:rFonts w:ascii="Times New Roman" w:hAnsi="Times New Roman" w:cs="Times New Roman"/>
        </w:rPr>
      </w:pPr>
    </w:p>
    <w:p w:rsidR="00057A7B" w:rsidP="0074041F">
      <w:pPr>
        <w:pStyle w:val="BodyTextIndent"/>
        <w:spacing w:after="0"/>
        <w:ind w:left="0"/>
        <w:jc w:val="both"/>
        <w:rPr>
          <w:rFonts w:ascii="Times New Roman" w:hAnsi="Times New Roman" w:cs="Times New Roman"/>
        </w:rPr>
      </w:pPr>
    </w:p>
    <w:p w:rsidR="00057A7B" w:rsidP="0074041F">
      <w:pPr>
        <w:pStyle w:val="BodyTextIndent"/>
        <w:spacing w:after="0"/>
        <w:ind w:left="0"/>
        <w:jc w:val="both"/>
        <w:rPr>
          <w:rFonts w:ascii="Times New Roman" w:hAnsi="Times New Roman" w:cs="Times New Roman"/>
        </w:rPr>
      </w:pPr>
    </w:p>
    <w:p w:rsidR="00057A7B" w:rsidP="0074041F">
      <w:pPr>
        <w:pStyle w:val="BodyTextIndent"/>
        <w:spacing w:after="0"/>
        <w:ind w:left="0"/>
        <w:jc w:val="both"/>
        <w:rPr>
          <w:rFonts w:ascii="Times New Roman" w:hAnsi="Times New Roman" w:cs="Times New Roman"/>
        </w:rPr>
      </w:pPr>
    </w:p>
    <w:p w:rsidR="00057A7B" w:rsidP="0074041F">
      <w:pPr>
        <w:pStyle w:val="BodyTextIndent"/>
        <w:spacing w:after="0"/>
        <w:ind w:left="0"/>
        <w:jc w:val="both"/>
        <w:rPr>
          <w:rFonts w:ascii="Times New Roman" w:hAnsi="Times New Roman" w:cs="Times New Roman"/>
        </w:rPr>
      </w:pPr>
    </w:p>
    <w:p w:rsidR="00057A7B" w:rsidP="0074041F">
      <w:pPr>
        <w:pStyle w:val="BodyTextIndent"/>
        <w:spacing w:after="0"/>
        <w:ind w:left="0"/>
        <w:jc w:val="both"/>
        <w:rPr>
          <w:rFonts w:ascii="Times New Roman" w:hAnsi="Times New Roman" w:cs="Times New Roman"/>
        </w:rPr>
      </w:pPr>
    </w:p>
    <w:p w:rsidR="00057A7B" w:rsidP="0074041F">
      <w:pPr>
        <w:pStyle w:val="BodyTextIndent"/>
        <w:spacing w:after="0"/>
        <w:ind w:left="0"/>
        <w:jc w:val="both"/>
        <w:rPr>
          <w:rFonts w:ascii="Times New Roman" w:hAnsi="Times New Roman" w:cs="Times New Roman"/>
        </w:rPr>
      </w:pPr>
    </w:p>
    <w:p w:rsidR="00057A7B" w:rsidP="0074041F">
      <w:pPr>
        <w:pStyle w:val="BodyTextIndent"/>
        <w:spacing w:after="0"/>
        <w:ind w:left="0"/>
        <w:jc w:val="both"/>
        <w:rPr>
          <w:rFonts w:ascii="Times New Roman" w:hAnsi="Times New Roman" w:cs="Times New Roman"/>
        </w:rPr>
      </w:pPr>
    </w:p>
    <w:p w:rsidR="00057A7B" w:rsidP="0074041F">
      <w:pPr>
        <w:pStyle w:val="BodyTextIndent"/>
        <w:spacing w:after="0"/>
        <w:ind w:left="0"/>
        <w:jc w:val="both"/>
        <w:rPr>
          <w:rFonts w:ascii="Times New Roman" w:hAnsi="Times New Roman" w:cs="Times New Roman"/>
        </w:rPr>
      </w:pPr>
    </w:p>
    <w:p w:rsidR="00057A7B" w:rsidP="0074041F">
      <w:pPr>
        <w:pStyle w:val="BodyTextIndent"/>
        <w:spacing w:after="0"/>
        <w:ind w:left="0"/>
        <w:jc w:val="both"/>
        <w:rPr>
          <w:rFonts w:ascii="Times New Roman" w:hAnsi="Times New Roman" w:cs="Times New Roman"/>
        </w:rPr>
      </w:pPr>
    </w:p>
    <w:p w:rsidR="00057A7B" w:rsidP="0074041F">
      <w:pPr>
        <w:pStyle w:val="BodyTextIndent"/>
        <w:spacing w:after="0"/>
        <w:ind w:left="0"/>
        <w:jc w:val="both"/>
        <w:rPr>
          <w:rFonts w:ascii="Times New Roman" w:hAnsi="Times New Roman" w:cs="Times New Roman"/>
        </w:rPr>
      </w:pPr>
    </w:p>
    <w:p w:rsidR="00057A7B" w:rsidP="0074041F">
      <w:pPr>
        <w:pStyle w:val="BodyTextIndent"/>
        <w:spacing w:after="0"/>
        <w:ind w:left="0"/>
        <w:jc w:val="both"/>
        <w:rPr>
          <w:rFonts w:ascii="Times New Roman" w:hAnsi="Times New Roman" w:cs="Times New Roman"/>
        </w:rPr>
      </w:pPr>
    </w:p>
    <w:p w:rsidR="00057A7B" w:rsidP="0074041F">
      <w:pPr>
        <w:pStyle w:val="BodyTextIndent"/>
        <w:spacing w:after="0"/>
        <w:ind w:left="0"/>
        <w:jc w:val="both"/>
        <w:rPr>
          <w:rFonts w:ascii="Times New Roman" w:hAnsi="Times New Roman" w:cs="Times New Roman"/>
        </w:rPr>
      </w:pPr>
    </w:p>
    <w:p w:rsidR="00057A7B" w:rsidP="0074041F">
      <w:pPr>
        <w:pStyle w:val="BodyTextIndent"/>
        <w:spacing w:after="0"/>
        <w:ind w:left="0"/>
        <w:jc w:val="both"/>
        <w:rPr>
          <w:rFonts w:ascii="Times New Roman" w:hAnsi="Times New Roman" w:cs="Times New Roman"/>
        </w:rPr>
      </w:pPr>
    </w:p>
    <w:p w:rsidR="00057A7B" w:rsidRPr="00450630" w:rsidP="00057A7B">
      <w:pPr>
        <w:pBdr>
          <w:bottom w:val="single" w:sz="12" w:space="1" w:color="auto"/>
        </w:pBdr>
        <w:jc w:val="center"/>
        <w:rPr>
          <w:rFonts w:ascii="Times New Roman" w:hAnsi="Times New Roman" w:cs="Times New Roman"/>
          <w:b/>
          <w:bCs/>
        </w:rPr>
      </w:pPr>
      <w:r w:rsidRPr="00450630">
        <w:rPr>
          <w:rFonts w:ascii="Times New Roman" w:hAnsi="Times New Roman" w:cs="Times New Roman"/>
          <w:b/>
          <w:bCs/>
        </w:rPr>
        <w:t>Doložka finančných, ekonomických, environmentálnych vplyvov, vplyvov na zamestnanosť a podnikateľské prostredie</w:t>
      </w:r>
    </w:p>
    <w:p w:rsidR="00057A7B" w:rsidRPr="00450630" w:rsidP="00057A7B">
      <w:pPr>
        <w:jc w:val="center"/>
        <w:rPr>
          <w:rFonts w:ascii="Times New Roman" w:hAnsi="Times New Roman" w:cs="Times New Roman"/>
          <w:b/>
          <w:bCs/>
        </w:rPr>
      </w:pPr>
    </w:p>
    <w:p w:rsidR="00057A7B" w:rsidRPr="00450630" w:rsidP="00057A7B">
      <w:pPr>
        <w:jc w:val="both"/>
        <w:rPr>
          <w:rFonts w:ascii="Times New Roman" w:hAnsi="Times New Roman" w:cs="Times New Roman"/>
          <w:b/>
          <w:bCs/>
          <w:u w:val="single"/>
        </w:rPr>
      </w:pPr>
      <w:r w:rsidRPr="00450630">
        <w:rPr>
          <w:rFonts w:ascii="Times New Roman" w:hAnsi="Times New Roman" w:cs="Times New Roman"/>
          <w:b/>
          <w:bCs/>
        </w:rPr>
        <w:t xml:space="preserve">I. </w:t>
      </w:r>
      <w:r w:rsidRPr="00450630">
        <w:rPr>
          <w:rFonts w:ascii="Times New Roman" w:hAnsi="Times New Roman" w:cs="Times New Roman"/>
          <w:b/>
          <w:bCs/>
          <w:u w:val="single"/>
        </w:rPr>
        <w:t>Odhad vplyvu na verejné financie</w:t>
      </w:r>
    </w:p>
    <w:p w:rsidR="00057A7B" w:rsidP="00057A7B">
      <w:pPr>
        <w:jc w:val="both"/>
        <w:rPr>
          <w:rFonts w:ascii="Times New Roman" w:hAnsi="Times New Roman" w:cs="Times New Roman"/>
        </w:rPr>
      </w:pPr>
      <w:r w:rsidRPr="00450630">
        <w:rPr>
          <w:rFonts w:ascii="Times New Roman" w:hAnsi="Times New Roman" w:cs="Times New Roman"/>
        </w:rPr>
        <w:tab/>
      </w:r>
      <w:r w:rsidRPr="007D42C5">
        <w:rPr>
          <w:rFonts w:ascii="Times New Roman" w:hAnsi="Times New Roman" w:cs="Times New Roman"/>
        </w:rPr>
        <w:t xml:space="preserve">Návrh zákona bude mať negatívny vplyv na výnos dane z príjmov právnických osôb v roku 2010 a pozitívny vplyv v nasledujúcich rokoch. Zároveň bude mať vplyv na zvýšenie úrokových výdavkov </w:t>
      </w:r>
      <w:r w:rsidRPr="007D42C5">
        <w:rPr>
          <w:rFonts w:ascii="Times New Roman" w:hAnsi="Times New Roman" w:cs="Times New Roman"/>
        </w:rPr>
        <w:t>ŠR.</w:t>
      </w:r>
      <w:r>
        <w:rPr>
          <w:rFonts w:ascii="Times New Roman" w:hAnsi="Times New Roman" w:cs="Times New Roman"/>
        </w:rPr>
        <w:t xml:space="preserve"> </w:t>
      </w:r>
      <w:r w:rsidRPr="00450630">
        <w:rPr>
          <w:rFonts w:ascii="Times New Roman" w:hAnsi="Times New Roman" w:cs="Times New Roman"/>
        </w:rPr>
        <w:t xml:space="preserve"> </w:t>
      </w:r>
    </w:p>
    <w:p w:rsidR="00057A7B" w:rsidRPr="00450630" w:rsidP="00057A7B">
      <w:pPr>
        <w:jc w:val="both"/>
        <w:rPr>
          <w:rFonts w:ascii="Times New Roman" w:hAnsi="Times New Roman" w:cs="Times New Roman"/>
        </w:rPr>
      </w:pPr>
    </w:p>
    <w:tbl>
      <w:tblPr>
        <w:tblW w:w="8680" w:type="dxa"/>
        <w:jc w:val="center"/>
        <w:tblCellMar>
          <w:left w:w="70" w:type="dxa"/>
          <w:right w:w="70" w:type="dxa"/>
        </w:tblCellMar>
      </w:tblPr>
      <w:tblGrid>
        <w:gridCol w:w="4865"/>
        <w:gridCol w:w="755"/>
        <w:gridCol w:w="1020"/>
        <w:gridCol w:w="1020"/>
        <w:gridCol w:w="1020"/>
      </w:tblGrid>
      <w:tr>
        <w:tblPrEx>
          <w:tblW w:w="8680" w:type="dxa"/>
          <w:jc w:val="center"/>
          <w:tblCellMar>
            <w:left w:w="70" w:type="dxa"/>
            <w:right w:w="70" w:type="dxa"/>
          </w:tblCellMar>
        </w:tblPrEx>
        <w:trPr>
          <w:trHeight w:val="340"/>
          <w:jc w:val="center"/>
        </w:trPr>
        <w:tc>
          <w:tcPr>
            <w:tcW w:w="8680" w:type="dxa"/>
            <w:gridSpan w:val="5"/>
            <w:tcBorders>
              <w:top w:val="single" w:sz="4" w:space="0" w:color="auto"/>
              <w:left w:val="single" w:sz="4" w:space="0" w:color="auto"/>
              <w:bottom w:val="nil"/>
              <w:right w:val="single" w:sz="4" w:space="0" w:color="000000"/>
              <w:tl2br w:val="nil"/>
              <w:tr2bl w:val="nil"/>
            </w:tcBorders>
            <w:shd w:val="clear" w:color="auto" w:fill="000000"/>
            <w:noWrap/>
            <w:textDirection w:val="lrTb"/>
            <w:vAlign w:val="center"/>
          </w:tcPr>
          <w:p w:rsidR="00057A7B" w:rsidP="00C22376">
            <w:pPr>
              <w:rPr>
                <w:rFonts w:ascii="Times New Roman" w:hAnsi="Times New Roman" w:cs="Times New Roman"/>
                <w:b/>
                <w:bCs/>
                <w:color w:val="FFFFFF"/>
              </w:rPr>
            </w:pPr>
            <w:r w:rsidRPr="00987D72">
              <w:rPr>
                <w:rFonts w:ascii="Times New Roman" w:hAnsi="Times New Roman" w:cs="Times New Roman"/>
                <w:b/>
                <w:bCs/>
                <w:color w:val="FFFFFF"/>
              </w:rPr>
              <w:t>Vplyv jednotlivých zmien v novele zákona o dani z</w:t>
            </w:r>
            <w:r>
              <w:rPr>
                <w:rFonts w:ascii="Times New Roman" w:hAnsi="Times New Roman" w:cs="Times New Roman"/>
                <w:b/>
                <w:bCs/>
                <w:color w:val="FFFFFF"/>
              </w:rPr>
              <w:t> </w:t>
            </w:r>
            <w:r w:rsidRPr="00987D72">
              <w:rPr>
                <w:rFonts w:ascii="Times New Roman" w:hAnsi="Times New Roman" w:cs="Times New Roman"/>
                <w:b/>
                <w:bCs/>
                <w:color w:val="FFFFFF"/>
              </w:rPr>
              <w:t>príjmu</w:t>
            </w:r>
            <w:r>
              <w:rPr>
                <w:rFonts w:ascii="Times New Roman" w:hAnsi="Times New Roman" w:cs="Times New Roman"/>
                <w:b/>
                <w:bCs/>
                <w:color w:val="FFFFFF"/>
              </w:rPr>
              <w:t xml:space="preserve"> na daňové príjmy</w:t>
            </w:r>
            <w:r w:rsidRPr="00987D72">
              <w:rPr>
                <w:rFonts w:ascii="Times New Roman" w:hAnsi="Times New Roman" w:cs="Times New Roman"/>
                <w:b/>
                <w:bCs/>
                <w:color w:val="FFFFFF"/>
              </w:rPr>
              <w:t xml:space="preserve"> </w:t>
            </w:r>
          </w:p>
          <w:p w:rsidR="00057A7B" w:rsidRPr="00987D72" w:rsidP="00C22376">
            <w:pPr>
              <w:rPr>
                <w:rFonts w:ascii="Times New Roman" w:hAnsi="Times New Roman" w:cs="Times New Roman"/>
                <w:b/>
                <w:bCs/>
                <w:color w:val="FFFFFF"/>
              </w:rPr>
            </w:pPr>
            <w:r w:rsidRPr="00987D72">
              <w:rPr>
                <w:rFonts w:ascii="Times New Roman" w:hAnsi="Times New Roman" w:cs="Times New Roman"/>
                <w:b/>
                <w:bCs/>
                <w:color w:val="FFFFFF"/>
              </w:rPr>
              <w:t>(ESA 95, tis. EUR)</w:t>
            </w:r>
          </w:p>
        </w:tc>
      </w:tr>
      <w:tr>
        <w:tblPrEx>
          <w:tblW w:w="8680" w:type="dxa"/>
          <w:jc w:val="center"/>
          <w:tblCellMar>
            <w:left w:w="70" w:type="dxa"/>
            <w:right w:w="70" w:type="dxa"/>
          </w:tblCellMar>
        </w:tblPrEx>
        <w:trPr>
          <w:trHeight w:val="255"/>
          <w:jc w:val="center"/>
        </w:trPr>
        <w:tc>
          <w:tcPr>
            <w:tcW w:w="4865" w:type="dxa"/>
            <w:tcBorders>
              <w:top w:val="nil"/>
              <w:left w:val="single" w:sz="4" w:space="0" w:color="auto"/>
              <w:bottom w:val="nil"/>
              <w:right w:val="single" w:sz="4" w:space="0" w:color="auto"/>
              <w:tl2br w:val="nil"/>
              <w:tr2bl w:val="nil"/>
            </w:tcBorders>
            <w:shd w:val="clear" w:color="auto" w:fill="969696"/>
            <w:textDirection w:val="lrTb"/>
            <w:vAlign w:val="center"/>
          </w:tcPr>
          <w:p w:rsidR="00057A7B" w:rsidRPr="00987D72" w:rsidP="00C22376">
            <w:pPr>
              <w:jc w:val="both"/>
              <w:rPr>
                <w:rFonts w:ascii="Times New Roman" w:hAnsi="Times New Roman" w:cs="Times New Roman"/>
                <w:b/>
                <w:bCs/>
              </w:rPr>
            </w:pPr>
            <w:r w:rsidRPr="00987D72">
              <w:rPr>
                <w:rFonts w:ascii="Times New Roman" w:hAnsi="Times New Roman" w:cs="Times New Roman"/>
                <w:b/>
                <w:bCs/>
              </w:rPr>
              <w:t> </w:t>
            </w:r>
          </w:p>
        </w:tc>
        <w:tc>
          <w:tcPr>
            <w:tcW w:w="755" w:type="dxa"/>
            <w:tcBorders>
              <w:top w:val="nil"/>
              <w:left w:val="single" w:sz="4" w:space="0" w:color="auto"/>
              <w:bottom w:val="nil"/>
              <w:right w:val="nil"/>
              <w:tl2br w:val="nil"/>
              <w:tr2bl w:val="nil"/>
            </w:tcBorders>
            <w:shd w:val="clear" w:color="auto" w:fill="969696"/>
            <w:textDirection w:val="lrTb"/>
            <w:vAlign w:val="center"/>
          </w:tcPr>
          <w:p w:rsidR="00057A7B" w:rsidRPr="00987D72" w:rsidP="00C22376">
            <w:pPr>
              <w:jc w:val="both"/>
              <w:rPr>
                <w:rFonts w:ascii="Times New Roman" w:hAnsi="Times New Roman" w:cs="Times New Roman"/>
                <w:b/>
                <w:bCs/>
              </w:rPr>
            </w:pPr>
            <w:r w:rsidRPr="00987D72">
              <w:rPr>
                <w:rFonts w:ascii="Times New Roman" w:hAnsi="Times New Roman" w:cs="Times New Roman"/>
                <w:b/>
                <w:bCs/>
              </w:rPr>
              <w:t> </w:t>
            </w:r>
          </w:p>
        </w:tc>
        <w:tc>
          <w:tcPr>
            <w:tcW w:w="1020" w:type="dxa"/>
            <w:tcBorders>
              <w:top w:val="nil"/>
              <w:left w:val="nil"/>
              <w:bottom w:val="nil"/>
              <w:right w:val="nil"/>
              <w:tl2br w:val="nil"/>
              <w:tr2bl w:val="nil"/>
            </w:tcBorders>
            <w:shd w:val="clear" w:color="auto" w:fill="969696"/>
            <w:textDirection w:val="lrTb"/>
            <w:vAlign w:val="center"/>
          </w:tcPr>
          <w:p w:rsidR="00057A7B" w:rsidRPr="00987D72" w:rsidP="00C22376">
            <w:pPr>
              <w:jc w:val="center"/>
              <w:rPr>
                <w:rFonts w:ascii="Times New Roman" w:hAnsi="Times New Roman" w:cs="Times New Roman"/>
                <w:b/>
                <w:bCs/>
              </w:rPr>
            </w:pPr>
            <w:r w:rsidRPr="00987D72">
              <w:rPr>
                <w:rFonts w:ascii="Times New Roman" w:hAnsi="Times New Roman" w:cs="Times New Roman"/>
                <w:b/>
                <w:bCs/>
              </w:rPr>
              <w:t>2010</w:t>
            </w:r>
          </w:p>
        </w:tc>
        <w:tc>
          <w:tcPr>
            <w:tcW w:w="1020" w:type="dxa"/>
            <w:tcBorders>
              <w:top w:val="nil"/>
              <w:left w:val="nil"/>
              <w:bottom w:val="nil"/>
              <w:right w:val="nil"/>
              <w:tl2br w:val="nil"/>
              <w:tr2bl w:val="nil"/>
            </w:tcBorders>
            <w:shd w:val="clear" w:color="auto" w:fill="969696"/>
            <w:textDirection w:val="lrTb"/>
            <w:vAlign w:val="center"/>
          </w:tcPr>
          <w:p w:rsidR="00057A7B" w:rsidRPr="00987D72" w:rsidP="00C22376">
            <w:pPr>
              <w:jc w:val="center"/>
              <w:rPr>
                <w:rFonts w:ascii="Times New Roman" w:hAnsi="Times New Roman" w:cs="Times New Roman"/>
                <w:b/>
                <w:bCs/>
              </w:rPr>
            </w:pPr>
            <w:r w:rsidRPr="00987D72">
              <w:rPr>
                <w:rFonts w:ascii="Times New Roman" w:hAnsi="Times New Roman" w:cs="Times New Roman"/>
                <w:b/>
                <w:bCs/>
              </w:rPr>
              <w:t>2011</w:t>
            </w:r>
          </w:p>
        </w:tc>
        <w:tc>
          <w:tcPr>
            <w:tcW w:w="1020" w:type="dxa"/>
            <w:tcBorders>
              <w:top w:val="nil"/>
              <w:left w:val="nil"/>
              <w:bottom w:val="nil"/>
              <w:right w:val="single" w:sz="4" w:space="0" w:color="auto"/>
              <w:tl2br w:val="nil"/>
              <w:tr2bl w:val="nil"/>
            </w:tcBorders>
            <w:shd w:val="clear" w:color="auto" w:fill="969696"/>
            <w:textDirection w:val="lrTb"/>
            <w:vAlign w:val="center"/>
          </w:tcPr>
          <w:p w:rsidR="00057A7B" w:rsidRPr="00987D72" w:rsidP="00C22376">
            <w:pPr>
              <w:jc w:val="center"/>
              <w:rPr>
                <w:rFonts w:ascii="Times New Roman" w:hAnsi="Times New Roman" w:cs="Times New Roman"/>
                <w:b/>
                <w:bCs/>
              </w:rPr>
            </w:pPr>
            <w:r w:rsidRPr="00987D72">
              <w:rPr>
                <w:rFonts w:ascii="Times New Roman" w:hAnsi="Times New Roman" w:cs="Times New Roman"/>
                <w:b/>
                <w:bCs/>
              </w:rPr>
              <w:t>2012</w:t>
            </w:r>
          </w:p>
        </w:tc>
      </w:tr>
      <w:tr>
        <w:tblPrEx>
          <w:tblW w:w="8680" w:type="dxa"/>
          <w:jc w:val="center"/>
          <w:tblCellMar>
            <w:left w:w="70" w:type="dxa"/>
            <w:right w:w="70" w:type="dxa"/>
          </w:tblCellMar>
        </w:tblPrEx>
        <w:trPr>
          <w:trHeight w:val="270"/>
          <w:jc w:val="center"/>
        </w:trPr>
        <w:tc>
          <w:tcPr>
            <w:tcW w:w="4865" w:type="dxa"/>
            <w:tcBorders>
              <w:top w:val="nil"/>
              <w:left w:val="single" w:sz="4" w:space="0" w:color="auto"/>
              <w:bottom w:val="single" w:sz="4" w:space="0" w:color="auto"/>
              <w:right w:val="single" w:sz="4" w:space="0" w:color="auto"/>
              <w:tl2br w:val="nil"/>
              <w:tr2bl w:val="nil"/>
            </w:tcBorders>
            <w:noWrap/>
            <w:textDirection w:val="lrTb"/>
            <w:vAlign w:val="center"/>
          </w:tcPr>
          <w:p w:rsidR="00057A7B" w:rsidRPr="00987D72" w:rsidP="00C22376">
            <w:pPr>
              <w:rPr>
                <w:rFonts w:ascii="Times New Roman" w:hAnsi="Times New Roman" w:cs="Times New Roman"/>
              </w:rPr>
            </w:pPr>
            <w:r>
              <w:rPr>
                <w:rFonts w:ascii="Times New Roman" w:hAnsi="Times New Roman" w:cs="Times New Roman"/>
              </w:rPr>
              <w:t>Oslobodenie svedočného od dane z príjmov</w:t>
            </w:r>
          </w:p>
        </w:tc>
        <w:tc>
          <w:tcPr>
            <w:tcW w:w="755" w:type="dxa"/>
            <w:tcBorders>
              <w:top w:val="nil"/>
              <w:left w:val="single" w:sz="4" w:space="0" w:color="auto"/>
              <w:bottom w:val="single" w:sz="4" w:space="0" w:color="auto"/>
              <w:right w:val="nil"/>
              <w:tl2br w:val="nil"/>
              <w:tr2bl w:val="nil"/>
            </w:tcBorders>
            <w:noWrap/>
            <w:textDirection w:val="lrTb"/>
            <w:vAlign w:val="center"/>
          </w:tcPr>
          <w:p w:rsidR="00057A7B" w:rsidRPr="00987D72" w:rsidP="00C22376">
            <w:pPr>
              <w:jc w:val="center"/>
              <w:rPr>
                <w:rFonts w:ascii="Times New Roman" w:hAnsi="Times New Roman" w:cs="Times New Roman"/>
              </w:rPr>
            </w:pPr>
            <w:r>
              <w:rPr>
                <w:rFonts w:ascii="Times New Roman" w:hAnsi="Times New Roman" w:cs="Times New Roman"/>
              </w:rPr>
              <w:t>FO</w:t>
            </w:r>
          </w:p>
        </w:tc>
        <w:tc>
          <w:tcPr>
            <w:tcW w:w="1020" w:type="dxa"/>
            <w:tcBorders>
              <w:top w:val="nil"/>
              <w:left w:val="nil"/>
              <w:bottom w:val="single" w:sz="4" w:space="0" w:color="auto"/>
              <w:right w:val="nil"/>
              <w:tl2br w:val="nil"/>
              <w:tr2bl w:val="nil"/>
            </w:tcBorders>
            <w:noWrap/>
            <w:textDirection w:val="lrTb"/>
            <w:vAlign w:val="center"/>
          </w:tcPr>
          <w:p w:rsidR="00057A7B" w:rsidRPr="00FF5D22" w:rsidP="00C22376">
            <w:pPr>
              <w:rPr>
                <w:rFonts w:ascii="Times New Roman" w:hAnsi="Times New Roman" w:cs="Times New Roman"/>
                <w:b/>
                <w:bCs/>
              </w:rPr>
            </w:pPr>
            <w:r>
              <w:rPr>
                <w:rFonts w:ascii="Times New Roman" w:hAnsi="Times New Roman" w:cs="Times New Roman"/>
                <w:b/>
                <w:bCs/>
              </w:rPr>
              <w:t xml:space="preserve">         </w:t>
            </w:r>
            <w:r w:rsidRPr="00FF5D22">
              <w:rPr>
                <w:rFonts w:ascii="Times New Roman" w:hAnsi="Times New Roman" w:cs="Times New Roman"/>
                <w:b/>
                <w:bCs/>
              </w:rPr>
              <w:t>-40</w:t>
            </w:r>
          </w:p>
        </w:tc>
        <w:tc>
          <w:tcPr>
            <w:tcW w:w="1020" w:type="dxa"/>
            <w:tcBorders>
              <w:top w:val="nil"/>
              <w:left w:val="nil"/>
              <w:bottom w:val="single" w:sz="4" w:space="0" w:color="auto"/>
              <w:right w:val="nil"/>
              <w:tl2br w:val="nil"/>
              <w:tr2bl w:val="nil"/>
            </w:tcBorders>
            <w:noWrap/>
            <w:textDirection w:val="lrTb"/>
            <w:vAlign w:val="center"/>
          </w:tcPr>
          <w:p w:rsidR="00057A7B" w:rsidRPr="00987D72" w:rsidP="00C22376">
            <w:pPr>
              <w:jc w:val="right"/>
              <w:rPr>
                <w:rFonts w:ascii="Times New Roman" w:hAnsi="Times New Roman" w:cs="Times New Roman"/>
                <w:b/>
                <w:bCs/>
              </w:rPr>
            </w:pPr>
            <w:r>
              <w:rPr>
                <w:rFonts w:ascii="Times New Roman" w:hAnsi="Times New Roman" w:cs="Times New Roman"/>
                <w:b/>
                <w:bCs/>
              </w:rPr>
              <w:t>-40</w:t>
            </w:r>
          </w:p>
        </w:tc>
        <w:tc>
          <w:tcPr>
            <w:tcW w:w="1020" w:type="dxa"/>
            <w:tcBorders>
              <w:top w:val="nil"/>
              <w:left w:val="nil"/>
              <w:bottom w:val="single" w:sz="4" w:space="0" w:color="auto"/>
              <w:right w:val="single" w:sz="4" w:space="0" w:color="auto"/>
              <w:tl2br w:val="nil"/>
              <w:tr2bl w:val="nil"/>
            </w:tcBorders>
            <w:noWrap/>
            <w:textDirection w:val="lrTb"/>
            <w:vAlign w:val="center"/>
          </w:tcPr>
          <w:p w:rsidR="00057A7B" w:rsidRPr="00987D72" w:rsidP="00C22376">
            <w:pPr>
              <w:jc w:val="right"/>
              <w:rPr>
                <w:rFonts w:ascii="Times New Roman" w:hAnsi="Times New Roman" w:cs="Times New Roman"/>
                <w:b/>
                <w:bCs/>
              </w:rPr>
            </w:pPr>
            <w:r>
              <w:rPr>
                <w:rFonts w:ascii="Times New Roman" w:hAnsi="Times New Roman" w:cs="Times New Roman"/>
                <w:b/>
                <w:bCs/>
              </w:rPr>
              <w:t>-40</w:t>
            </w:r>
          </w:p>
        </w:tc>
      </w:tr>
      <w:tr>
        <w:tblPrEx>
          <w:tblW w:w="8680" w:type="dxa"/>
          <w:jc w:val="center"/>
          <w:tblCellMar>
            <w:left w:w="70" w:type="dxa"/>
            <w:right w:w="70" w:type="dxa"/>
          </w:tblCellMar>
        </w:tblPrEx>
        <w:trPr>
          <w:trHeight w:val="270"/>
          <w:jc w:val="center"/>
        </w:trPr>
        <w:tc>
          <w:tcPr>
            <w:tcW w:w="4865" w:type="dxa"/>
            <w:tcBorders>
              <w:top w:val="nil"/>
              <w:left w:val="single" w:sz="4" w:space="0" w:color="auto"/>
              <w:bottom w:val="single" w:sz="4" w:space="0" w:color="auto"/>
              <w:right w:val="single" w:sz="4" w:space="0" w:color="auto"/>
              <w:tl2br w:val="nil"/>
              <w:tr2bl w:val="nil"/>
            </w:tcBorders>
            <w:noWrap/>
            <w:textDirection w:val="lrTb"/>
            <w:vAlign w:val="center"/>
          </w:tcPr>
          <w:p w:rsidR="00057A7B" w:rsidRPr="00987D72" w:rsidP="00C22376">
            <w:pPr>
              <w:rPr>
                <w:rFonts w:ascii="Times New Roman" w:hAnsi="Times New Roman" w:cs="Times New Roman"/>
              </w:rPr>
            </w:pPr>
            <w:r w:rsidRPr="00987D72">
              <w:rPr>
                <w:rFonts w:ascii="Times New Roman" w:hAnsi="Times New Roman" w:cs="Times New Roman"/>
              </w:rPr>
              <w:t>Uznanie odpisu nesplatenej pohľadávky uznanej SR do daň.</w:t>
            </w:r>
            <w:r>
              <w:rPr>
                <w:rFonts w:ascii="Times New Roman" w:hAnsi="Times New Roman" w:cs="Times New Roman"/>
              </w:rPr>
              <w:t xml:space="preserve"> </w:t>
            </w:r>
            <w:r w:rsidRPr="00987D72">
              <w:rPr>
                <w:rFonts w:ascii="Times New Roman" w:hAnsi="Times New Roman" w:cs="Times New Roman"/>
              </w:rPr>
              <w:t>výdavkov</w:t>
            </w:r>
          </w:p>
        </w:tc>
        <w:tc>
          <w:tcPr>
            <w:tcW w:w="755" w:type="dxa"/>
            <w:tcBorders>
              <w:top w:val="single" w:sz="4" w:space="0" w:color="auto"/>
              <w:left w:val="single" w:sz="4" w:space="0" w:color="auto"/>
              <w:bottom w:val="nil"/>
              <w:right w:val="nil"/>
              <w:tl2br w:val="nil"/>
              <w:tr2bl w:val="nil"/>
            </w:tcBorders>
            <w:noWrap/>
            <w:textDirection w:val="lrTb"/>
            <w:vAlign w:val="center"/>
          </w:tcPr>
          <w:p w:rsidR="00057A7B" w:rsidRPr="00987D72" w:rsidP="00C22376">
            <w:pPr>
              <w:jc w:val="center"/>
              <w:rPr>
                <w:rFonts w:ascii="Times New Roman" w:hAnsi="Times New Roman" w:cs="Times New Roman"/>
              </w:rPr>
            </w:pPr>
            <w:r w:rsidRPr="00987D72">
              <w:rPr>
                <w:rFonts w:ascii="Times New Roman" w:hAnsi="Times New Roman" w:cs="Times New Roman"/>
              </w:rPr>
              <w:t xml:space="preserve"> </w:t>
            </w:r>
            <w:r>
              <w:rPr>
                <w:rFonts w:ascii="Times New Roman" w:hAnsi="Times New Roman" w:cs="Times New Roman"/>
              </w:rPr>
              <w:t>P</w:t>
            </w:r>
            <w:r w:rsidRPr="00987D72">
              <w:rPr>
                <w:rFonts w:ascii="Times New Roman" w:hAnsi="Times New Roman" w:cs="Times New Roman"/>
              </w:rPr>
              <w:t>O</w:t>
            </w:r>
          </w:p>
        </w:tc>
        <w:tc>
          <w:tcPr>
            <w:tcW w:w="1020" w:type="dxa"/>
            <w:tcBorders>
              <w:top w:val="single" w:sz="4" w:space="0" w:color="auto"/>
              <w:left w:val="nil"/>
              <w:bottom w:val="nil"/>
              <w:right w:val="nil"/>
              <w:tl2br w:val="nil"/>
              <w:tr2bl w:val="nil"/>
            </w:tcBorders>
            <w:noWrap/>
            <w:textDirection w:val="lrTb"/>
            <w:vAlign w:val="center"/>
          </w:tcPr>
          <w:p w:rsidR="00057A7B" w:rsidRPr="00987D72" w:rsidP="00C22376">
            <w:pPr>
              <w:jc w:val="right"/>
              <w:rPr>
                <w:rFonts w:ascii="Times New Roman" w:hAnsi="Times New Roman" w:cs="Times New Roman"/>
                <w:b/>
                <w:bCs/>
              </w:rPr>
            </w:pPr>
            <w:r w:rsidRPr="00987D72">
              <w:rPr>
                <w:rFonts w:ascii="Times New Roman" w:hAnsi="Times New Roman" w:cs="Times New Roman"/>
                <w:b/>
                <w:bCs/>
              </w:rPr>
              <w:t>-21 632</w:t>
            </w:r>
          </w:p>
        </w:tc>
        <w:tc>
          <w:tcPr>
            <w:tcW w:w="1020" w:type="dxa"/>
            <w:tcBorders>
              <w:top w:val="single" w:sz="4" w:space="0" w:color="auto"/>
              <w:left w:val="nil"/>
              <w:bottom w:val="nil"/>
              <w:right w:val="nil"/>
              <w:tl2br w:val="nil"/>
              <w:tr2bl w:val="nil"/>
            </w:tcBorders>
            <w:noWrap/>
            <w:textDirection w:val="lrTb"/>
            <w:vAlign w:val="center"/>
          </w:tcPr>
          <w:p w:rsidR="00057A7B" w:rsidRPr="00987D72" w:rsidP="00C22376">
            <w:pPr>
              <w:jc w:val="right"/>
              <w:rPr>
                <w:rFonts w:ascii="Times New Roman" w:hAnsi="Times New Roman" w:cs="Times New Roman"/>
                <w:b/>
                <w:bCs/>
              </w:rPr>
            </w:pPr>
            <w:r w:rsidRPr="00987D72">
              <w:rPr>
                <w:rFonts w:ascii="Times New Roman" w:hAnsi="Times New Roman" w:cs="Times New Roman"/>
                <w:b/>
                <w:bCs/>
              </w:rPr>
              <w:t>0</w:t>
            </w:r>
          </w:p>
        </w:tc>
        <w:tc>
          <w:tcPr>
            <w:tcW w:w="1020" w:type="dxa"/>
            <w:tcBorders>
              <w:top w:val="single" w:sz="4" w:space="0" w:color="auto"/>
              <w:left w:val="nil"/>
              <w:bottom w:val="nil"/>
              <w:right w:val="single" w:sz="4" w:space="0" w:color="auto"/>
              <w:tl2br w:val="nil"/>
              <w:tr2bl w:val="nil"/>
            </w:tcBorders>
            <w:noWrap/>
            <w:textDirection w:val="lrTb"/>
            <w:vAlign w:val="center"/>
          </w:tcPr>
          <w:p w:rsidR="00057A7B" w:rsidRPr="00987D72" w:rsidP="00C22376">
            <w:pPr>
              <w:jc w:val="right"/>
              <w:rPr>
                <w:rFonts w:ascii="Times New Roman" w:hAnsi="Times New Roman" w:cs="Times New Roman"/>
                <w:b/>
                <w:bCs/>
              </w:rPr>
            </w:pPr>
            <w:r w:rsidRPr="00987D72">
              <w:rPr>
                <w:rFonts w:ascii="Times New Roman" w:hAnsi="Times New Roman" w:cs="Times New Roman"/>
                <w:b/>
                <w:bCs/>
              </w:rPr>
              <w:t>0</w:t>
            </w:r>
          </w:p>
        </w:tc>
      </w:tr>
      <w:tr>
        <w:tblPrEx>
          <w:tblW w:w="8680" w:type="dxa"/>
          <w:jc w:val="center"/>
          <w:tblCellMar>
            <w:left w:w="70" w:type="dxa"/>
            <w:right w:w="70" w:type="dxa"/>
          </w:tblCellMar>
        </w:tblPrEx>
        <w:trPr>
          <w:trHeight w:val="270"/>
          <w:jc w:val="center"/>
        </w:trPr>
        <w:tc>
          <w:tcPr>
            <w:tcW w:w="4865" w:type="dxa"/>
            <w:tcBorders>
              <w:top w:val="nil"/>
              <w:left w:val="single" w:sz="4" w:space="0" w:color="auto"/>
              <w:bottom w:val="nil"/>
              <w:right w:val="single" w:sz="4" w:space="0" w:color="auto"/>
              <w:tl2br w:val="nil"/>
              <w:tr2bl w:val="nil"/>
            </w:tcBorders>
            <w:noWrap/>
            <w:textDirection w:val="lrTb"/>
            <w:vAlign w:val="center"/>
          </w:tcPr>
          <w:p w:rsidR="00057A7B" w:rsidRPr="00987D72" w:rsidP="00C22376">
            <w:pPr>
              <w:rPr>
                <w:rFonts w:ascii="Times New Roman" w:hAnsi="Times New Roman" w:cs="Times New Roman"/>
              </w:rPr>
            </w:pPr>
            <w:r>
              <w:rPr>
                <w:rFonts w:ascii="Times New Roman" w:hAnsi="Times New Roman" w:cs="Times New Roman"/>
              </w:rPr>
              <w:t>Úprava</w:t>
            </w:r>
            <w:r w:rsidRPr="00987D72">
              <w:rPr>
                <w:rFonts w:ascii="Times New Roman" w:hAnsi="Times New Roman" w:cs="Times New Roman"/>
              </w:rPr>
              <w:t xml:space="preserve"> podmienok pre asignáciu dane </w:t>
            </w:r>
          </w:p>
        </w:tc>
        <w:tc>
          <w:tcPr>
            <w:tcW w:w="755" w:type="dxa"/>
            <w:tcBorders>
              <w:top w:val="single" w:sz="4" w:space="0" w:color="auto"/>
              <w:left w:val="single" w:sz="4" w:space="0" w:color="auto"/>
              <w:bottom w:val="nil"/>
              <w:right w:val="nil"/>
              <w:tl2br w:val="nil"/>
              <w:tr2bl w:val="nil"/>
            </w:tcBorders>
            <w:noWrap/>
            <w:textDirection w:val="lrTb"/>
            <w:vAlign w:val="center"/>
          </w:tcPr>
          <w:p w:rsidR="00057A7B" w:rsidRPr="00987D72" w:rsidP="00C22376">
            <w:pPr>
              <w:jc w:val="center"/>
              <w:rPr>
                <w:rFonts w:ascii="Times New Roman" w:hAnsi="Times New Roman" w:cs="Times New Roman"/>
              </w:rPr>
            </w:pPr>
            <w:r w:rsidRPr="00987D72">
              <w:rPr>
                <w:rFonts w:ascii="Times New Roman" w:hAnsi="Times New Roman" w:cs="Times New Roman"/>
              </w:rPr>
              <w:t>PO</w:t>
            </w:r>
          </w:p>
        </w:tc>
        <w:tc>
          <w:tcPr>
            <w:tcW w:w="1020" w:type="dxa"/>
            <w:tcBorders>
              <w:top w:val="single" w:sz="4" w:space="0" w:color="auto"/>
              <w:left w:val="nil"/>
              <w:bottom w:val="nil"/>
              <w:right w:val="nil"/>
              <w:tl2br w:val="nil"/>
              <w:tr2bl w:val="nil"/>
            </w:tcBorders>
            <w:noWrap/>
            <w:textDirection w:val="lrTb"/>
            <w:vAlign w:val="center"/>
          </w:tcPr>
          <w:p w:rsidR="00057A7B" w:rsidRPr="00987D72" w:rsidP="00C22376">
            <w:pPr>
              <w:jc w:val="right"/>
              <w:rPr>
                <w:rFonts w:ascii="Times New Roman" w:hAnsi="Times New Roman" w:cs="Times New Roman"/>
                <w:b/>
                <w:bCs/>
              </w:rPr>
            </w:pPr>
            <w:r w:rsidRPr="00987D72">
              <w:rPr>
                <w:rFonts w:ascii="Times New Roman" w:hAnsi="Times New Roman" w:cs="Times New Roman"/>
                <w:b/>
                <w:bCs/>
              </w:rPr>
              <w:t>0</w:t>
            </w:r>
          </w:p>
        </w:tc>
        <w:tc>
          <w:tcPr>
            <w:tcW w:w="1020" w:type="dxa"/>
            <w:tcBorders>
              <w:top w:val="single" w:sz="4" w:space="0" w:color="auto"/>
              <w:left w:val="nil"/>
              <w:bottom w:val="nil"/>
              <w:right w:val="nil"/>
              <w:tl2br w:val="nil"/>
              <w:tr2bl w:val="nil"/>
            </w:tcBorders>
            <w:noWrap/>
            <w:textDirection w:val="lrTb"/>
            <w:vAlign w:val="center"/>
          </w:tcPr>
          <w:p w:rsidR="00057A7B" w:rsidRPr="00987D72" w:rsidP="00C22376">
            <w:pPr>
              <w:jc w:val="right"/>
              <w:rPr>
                <w:rFonts w:ascii="Times New Roman" w:hAnsi="Times New Roman" w:cs="Times New Roman"/>
                <w:b/>
                <w:bCs/>
              </w:rPr>
            </w:pPr>
            <w:r w:rsidRPr="00987D72">
              <w:rPr>
                <w:rFonts w:ascii="Times New Roman" w:hAnsi="Times New Roman" w:cs="Times New Roman"/>
                <w:b/>
                <w:bCs/>
              </w:rPr>
              <w:t>6 738</w:t>
            </w:r>
          </w:p>
        </w:tc>
        <w:tc>
          <w:tcPr>
            <w:tcW w:w="1020" w:type="dxa"/>
            <w:tcBorders>
              <w:top w:val="single" w:sz="4" w:space="0" w:color="auto"/>
              <w:left w:val="nil"/>
              <w:bottom w:val="nil"/>
              <w:right w:val="single" w:sz="4" w:space="0" w:color="auto"/>
              <w:tl2br w:val="nil"/>
              <w:tr2bl w:val="nil"/>
            </w:tcBorders>
            <w:noWrap/>
            <w:textDirection w:val="lrTb"/>
            <w:vAlign w:val="center"/>
          </w:tcPr>
          <w:p w:rsidR="00057A7B" w:rsidRPr="00987D72" w:rsidP="00C22376">
            <w:pPr>
              <w:jc w:val="right"/>
              <w:rPr>
                <w:rFonts w:ascii="Times New Roman" w:hAnsi="Times New Roman" w:cs="Times New Roman"/>
                <w:b/>
                <w:bCs/>
              </w:rPr>
            </w:pPr>
            <w:r w:rsidRPr="00987D72">
              <w:rPr>
                <w:rFonts w:ascii="Times New Roman" w:hAnsi="Times New Roman" w:cs="Times New Roman"/>
                <w:b/>
                <w:bCs/>
              </w:rPr>
              <w:t>7 325</w:t>
            </w:r>
          </w:p>
        </w:tc>
      </w:tr>
      <w:tr>
        <w:tblPrEx>
          <w:tblW w:w="8680" w:type="dxa"/>
          <w:jc w:val="center"/>
          <w:tblCellMar>
            <w:left w:w="70" w:type="dxa"/>
            <w:right w:w="70" w:type="dxa"/>
          </w:tblCellMar>
        </w:tblPrEx>
        <w:trPr>
          <w:trHeight w:val="270"/>
          <w:jc w:val="center"/>
        </w:trPr>
        <w:tc>
          <w:tcPr>
            <w:tcW w:w="8680" w:type="dxa"/>
            <w:gridSpan w:val="5"/>
            <w:tcBorders>
              <w:top w:val="nil"/>
              <w:left w:val="single" w:sz="4" w:space="0" w:color="auto"/>
              <w:bottom w:val="single" w:sz="4" w:space="0" w:color="000000"/>
              <w:right w:val="single" w:sz="4" w:space="0" w:color="auto"/>
              <w:tl2br w:val="nil"/>
              <w:tr2bl w:val="nil"/>
            </w:tcBorders>
            <w:shd w:val="clear" w:color="auto" w:fill="000000"/>
            <w:noWrap/>
            <w:textDirection w:val="lrTb"/>
            <w:vAlign w:val="center"/>
          </w:tcPr>
          <w:p w:rsidR="00057A7B" w:rsidRPr="00D43245" w:rsidP="00C22376">
            <w:pPr>
              <w:rPr>
                <w:rFonts w:ascii="Times New Roman" w:hAnsi="Times New Roman" w:cs="Times New Roman"/>
                <w:b/>
                <w:bCs/>
                <w:color w:val="FFFFFF"/>
              </w:rPr>
            </w:pPr>
            <w:r w:rsidRPr="00987D72">
              <w:rPr>
                <w:rFonts w:ascii="Times New Roman" w:hAnsi="Times New Roman" w:cs="Times New Roman"/>
                <w:b/>
                <w:bCs/>
                <w:color w:val="FFFFFF"/>
              </w:rPr>
              <w:t>Vplyv jednotlivých zmien v novele zákona o dani z</w:t>
            </w:r>
            <w:r>
              <w:rPr>
                <w:rFonts w:ascii="Times New Roman" w:hAnsi="Times New Roman" w:cs="Times New Roman"/>
                <w:b/>
                <w:bCs/>
                <w:color w:val="FFFFFF"/>
              </w:rPr>
              <w:t> </w:t>
            </w:r>
            <w:r w:rsidRPr="00987D72">
              <w:rPr>
                <w:rFonts w:ascii="Times New Roman" w:hAnsi="Times New Roman" w:cs="Times New Roman"/>
                <w:b/>
                <w:bCs/>
                <w:color w:val="FFFFFF"/>
              </w:rPr>
              <w:t>príjmu</w:t>
            </w:r>
            <w:r>
              <w:rPr>
                <w:rFonts w:ascii="Times New Roman" w:hAnsi="Times New Roman" w:cs="Times New Roman"/>
                <w:b/>
                <w:bCs/>
                <w:color w:val="FFFFFF"/>
              </w:rPr>
              <w:t xml:space="preserve"> na úrokové výdavky ŠR </w:t>
            </w:r>
            <w:r w:rsidRPr="00987D72">
              <w:rPr>
                <w:rFonts w:ascii="Times New Roman" w:hAnsi="Times New Roman" w:cs="Times New Roman"/>
                <w:b/>
                <w:bCs/>
                <w:color w:val="FFFFFF"/>
              </w:rPr>
              <w:t>(ESA 95, tis. EUR)</w:t>
            </w:r>
          </w:p>
        </w:tc>
      </w:tr>
      <w:tr>
        <w:tblPrEx>
          <w:tblW w:w="8680" w:type="dxa"/>
          <w:jc w:val="center"/>
          <w:tblCellMar>
            <w:left w:w="70" w:type="dxa"/>
            <w:right w:w="70" w:type="dxa"/>
          </w:tblCellMar>
        </w:tblPrEx>
        <w:trPr>
          <w:trHeight w:val="270"/>
          <w:jc w:val="center"/>
        </w:trPr>
        <w:tc>
          <w:tcPr>
            <w:tcW w:w="4865" w:type="dxa"/>
            <w:vMerge w:val="restart"/>
            <w:tcBorders>
              <w:top w:val="nil"/>
              <w:left w:val="single" w:sz="4" w:space="0" w:color="auto"/>
              <w:bottom w:val="single" w:sz="4" w:space="0" w:color="000000"/>
              <w:right w:val="single" w:sz="4" w:space="0" w:color="auto"/>
              <w:tl2br w:val="nil"/>
              <w:tr2bl w:val="nil"/>
            </w:tcBorders>
            <w:noWrap/>
            <w:textDirection w:val="lrTb"/>
            <w:vAlign w:val="center"/>
          </w:tcPr>
          <w:p w:rsidR="00057A7B" w:rsidRPr="00987D72" w:rsidP="00C22376">
            <w:pPr>
              <w:rPr>
                <w:rFonts w:ascii="Times New Roman" w:hAnsi="Times New Roman" w:cs="Times New Roman"/>
              </w:rPr>
            </w:pPr>
            <w:r w:rsidRPr="00987D72">
              <w:rPr>
                <w:rFonts w:ascii="Times New Roman" w:hAnsi="Times New Roman" w:cs="Times New Roman"/>
              </w:rPr>
              <w:t>Posun lehôt na podanie da</w:t>
            </w:r>
            <w:r>
              <w:rPr>
                <w:rFonts w:ascii="Times New Roman" w:hAnsi="Times New Roman" w:cs="Times New Roman"/>
              </w:rPr>
              <w:t>ňových priznaní</w:t>
            </w:r>
          </w:p>
        </w:tc>
        <w:tc>
          <w:tcPr>
            <w:tcW w:w="755" w:type="dxa"/>
            <w:tcBorders>
              <w:top w:val="single" w:sz="4" w:space="0" w:color="auto"/>
              <w:left w:val="single" w:sz="4" w:space="0" w:color="auto"/>
              <w:bottom w:val="single" w:sz="4" w:space="0" w:color="auto"/>
              <w:right w:val="nil"/>
              <w:tl2br w:val="nil"/>
              <w:tr2bl w:val="nil"/>
            </w:tcBorders>
            <w:noWrap/>
            <w:textDirection w:val="lrTb"/>
            <w:vAlign w:val="center"/>
          </w:tcPr>
          <w:p w:rsidR="00057A7B" w:rsidRPr="00987D72" w:rsidP="00C22376">
            <w:pPr>
              <w:jc w:val="center"/>
              <w:rPr>
                <w:rFonts w:ascii="Times New Roman" w:hAnsi="Times New Roman" w:cs="Times New Roman"/>
              </w:rPr>
            </w:pPr>
            <w:r>
              <w:rPr>
                <w:rFonts w:ascii="Times New Roman" w:hAnsi="Times New Roman" w:cs="Times New Roman"/>
              </w:rPr>
              <w:t xml:space="preserve">u </w:t>
            </w:r>
            <w:r w:rsidRPr="00987D72">
              <w:rPr>
                <w:rFonts w:ascii="Times New Roman" w:hAnsi="Times New Roman" w:cs="Times New Roman"/>
              </w:rPr>
              <w:t>PO</w:t>
            </w:r>
          </w:p>
        </w:tc>
        <w:tc>
          <w:tcPr>
            <w:tcW w:w="1020" w:type="dxa"/>
            <w:tcBorders>
              <w:top w:val="single" w:sz="4" w:space="0" w:color="auto"/>
              <w:left w:val="nil"/>
              <w:bottom w:val="single" w:sz="4" w:space="0" w:color="auto"/>
              <w:right w:val="nil"/>
              <w:tl2br w:val="nil"/>
              <w:tr2bl w:val="nil"/>
            </w:tcBorders>
            <w:noWrap/>
            <w:textDirection w:val="lrTb"/>
            <w:vAlign w:val="center"/>
          </w:tcPr>
          <w:p w:rsidR="00057A7B" w:rsidRPr="00987D72" w:rsidP="00C22376">
            <w:pPr>
              <w:jc w:val="right"/>
              <w:rPr>
                <w:rFonts w:ascii="Times New Roman" w:hAnsi="Times New Roman" w:cs="Times New Roman"/>
                <w:b/>
                <w:bCs/>
              </w:rPr>
            </w:pPr>
            <w:r w:rsidRPr="00987D72">
              <w:rPr>
                <w:rFonts w:ascii="Times New Roman" w:hAnsi="Times New Roman" w:cs="Times New Roman"/>
                <w:b/>
                <w:bCs/>
              </w:rPr>
              <w:t>-4 498</w:t>
            </w:r>
          </w:p>
        </w:tc>
        <w:tc>
          <w:tcPr>
            <w:tcW w:w="1020" w:type="dxa"/>
            <w:tcBorders>
              <w:top w:val="single" w:sz="4" w:space="0" w:color="auto"/>
              <w:left w:val="nil"/>
              <w:bottom w:val="single" w:sz="4" w:space="0" w:color="auto"/>
              <w:right w:val="nil"/>
              <w:tl2br w:val="nil"/>
              <w:tr2bl w:val="nil"/>
            </w:tcBorders>
            <w:noWrap/>
            <w:textDirection w:val="lrTb"/>
            <w:vAlign w:val="center"/>
          </w:tcPr>
          <w:p w:rsidR="00057A7B" w:rsidRPr="00987D72" w:rsidP="00C22376">
            <w:pPr>
              <w:jc w:val="right"/>
              <w:rPr>
                <w:rFonts w:ascii="Times New Roman" w:hAnsi="Times New Roman" w:cs="Times New Roman"/>
                <w:b/>
                <w:bCs/>
              </w:rPr>
            </w:pPr>
            <w:r w:rsidRPr="00987D72">
              <w:rPr>
                <w:rFonts w:ascii="Times New Roman" w:hAnsi="Times New Roman" w:cs="Times New Roman"/>
                <w:b/>
                <w:bCs/>
              </w:rPr>
              <w:t>-4 723</w:t>
            </w:r>
          </w:p>
        </w:tc>
        <w:tc>
          <w:tcPr>
            <w:tcW w:w="1020" w:type="dxa"/>
            <w:tcBorders>
              <w:top w:val="single" w:sz="4" w:space="0" w:color="auto"/>
              <w:left w:val="nil"/>
              <w:bottom w:val="single" w:sz="4" w:space="0" w:color="auto"/>
              <w:right w:val="single" w:sz="4" w:space="0" w:color="auto"/>
              <w:tl2br w:val="nil"/>
              <w:tr2bl w:val="nil"/>
            </w:tcBorders>
            <w:noWrap/>
            <w:textDirection w:val="lrTb"/>
            <w:vAlign w:val="center"/>
          </w:tcPr>
          <w:p w:rsidR="00057A7B" w:rsidRPr="00987D72" w:rsidP="00C22376">
            <w:pPr>
              <w:jc w:val="right"/>
              <w:rPr>
                <w:rFonts w:ascii="Times New Roman" w:hAnsi="Times New Roman" w:cs="Times New Roman"/>
                <w:b/>
                <w:bCs/>
              </w:rPr>
            </w:pPr>
            <w:r w:rsidRPr="00987D72">
              <w:rPr>
                <w:rFonts w:ascii="Times New Roman" w:hAnsi="Times New Roman" w:cs="Times New Roman"/>
                <w:b/>
                <w:bCs/>
              </w:rPr>
              <w:t>-4 959</w:t>
            </w:r>
          </w:p>
        </w:tc>
      </w:tr>
      <w:tr>
        <w:tblPrEx>
          <w:tblW w:w="8680" w:type="dxa"/>
          <w:jc w:val="center"/>
          <w:tblCellMar>
            <w:left w:w="70" w:type="dxa"/>
            <w:right w:w="70" w:type="dxa"/>
          </w:tblCellMar>
        </w:tblPrEx>
        <w:trPr>
          <w:trHeight w:val="270"/>
          <w:jc w:val="center"/>
        </w:trPr>
        <w:tc>
          <w:tcPr>
            <w:tcW w:w="4865" w:type="dxa"/>
            <w:vMerge/>
            <w:tcBorders>
              <w:top w:val="nil"/>
              <w:left w:val="single" w:sz="4" w:space="0" w:color="auto"/>
              <w:bottom w:val="single" w:sz="4" w:space="0" w:color="auto"/>
              <w:right w:val="single" w:sz="4" w:space="0" w:color="auto"/>
              <w:tl2br w:val="nil"/>
              <w:tr2bl w:val="nil"/>
            </w:tcBorders>
            <w:textDirection w:val="lrTb"/>
            <w:vAlign w:val="center"/>
          </w:tcPr>
          <w:p w:rsidR="00057A7B" w:rsidRPr="00987D72" w:rsidP="00C22376">
            <w:pPr>
              <w:rPr>
                <w:rFonts w:ascii="Times New Roman" w:hAnsi="Times New Roman" w:cs="Times New Roman"/>
              </w:rPr>
            </w:pPr>
          </w:p>
        </w:tc>
        <w:tc>
          <w:tcPr>
            <w:tcW w:w="755" w:type="dxa"/>
            <w:tcBorders>
              <w:top w:val="nil"/>
              <w:left w:val="single" w:sz="4" w:space="0" w:color="auto"/>
              <w:bottom w:val="single" w:sz="4" w:space="0" w:color="auto"/>
              <w:right w:val="nil"/>
              <w:tl2br w:val="nil"/>
              <w:tr2bl w:val="nil"/>
            </w:tcBorders>
            <w:noWrap/>
            <w:textDirection w:val="lrTb"/>
            <w:vAlign w:val="center"/>
          </w:tcPr>
          <w:p w:rsidR="00057A7B" w:rsidRPr="00987D72" w:rsidP="00C22376">
            <w:pPr>
              <w:jc w:val="center"/>
              <w:rPr>
                <w:rFonts w:ascii="Times New Roman" w:hAnsi="Times New Roman" w:cs="Times New Roman"/>
              </w:rPr>
            </w:pPr>
            <w:r>
              <w:rPr>
                <w:rFonts w:ascii="Times New Roman" w:hAnsi="Times New Roman" w:cs="Times New Roman"/>
              </w:rPr>
              <w:t xml:space="preserve">u </w:t>
            </w:r>
            <w:r w:rsidRPr="00987D72">
              <w:rPr>
                <w:rFonts w:ascii="Times New Roman" w:hAnsi="Times New Roman" w:cs="Times New Roman"/>
              </w:rPr>
              <w:t>FO</w:t>
            </w:r>
          </w:p>
        </w:tc>
        <w:tc>
          <w:tcPr>
            <w:tcW w:w="1020" w:type="dxa"/>
            <w:tcBorders>
              <w:top w:val="nil"/>
              <w:left w:val="nil"/>
              <w:bottom w:val="single" w:sz="4" w:space="0" w:color="auto"/>
              <w:right w:val="nil"/>
              <w:tl2br w:val="nil"/>
              <w:tr2bl w:val="nil"/>
            </w:tcBorders>
            <w:noWrap/>
            <w:textDirection w:val="lrTb"/>
            <w:vAlign w:val="center"/>
          </w:tcPr>
          <w:p w:rsidR="00057A7B" w:rsidRPr="00987D72" w:rsidP="00C22376">
            <w:pPr>
              <w:jc w:val="right"/>
              <w:rPr>
                <w:rFonts w:ascii="Times New Roman" w:hAnsi="Times New Roman" w:cs="Times New Roman"/>
                <w:b/>
                <w:bCs/>
              </w:rPr>
            </w:pPr>
            <w:r>
              <w:rPr>
                <w:rFonts w:ascii="Times New Roman" w:hAnsi="Times New Roman" w:cs="Times New Roman"/>
                <w:b/>
                <w:bCs/>
              </w:rPr>
              <w:t>0</w:t>
            </w:r>
          </w:p>
        </w:tc>
        <w:tc>
          <w:tcPr>
            <w:tcW w:w="1020" w:type="dxa"/>
            <w:tcBorders>
              <w:top w:val="nil"/>
              <w:left w:val="nil"/>
              <w:bottom w:val="single" w:sz="4" w:space="0" w:color="auto"/>
              <w:right w:val="nil"/>
              <w:tl2br w:val="nil"/>
              <w:tr2bl w:val="nil"/>
            </w:tcBorders>
            <w:noWrap/>
            <w:textDirection w:val="lrTb"/>
            <w:vAlign w:val="center"/>
          </w:tcPr>
          <w:p w:rsidR="00057A7B" w:rsidRPr="00987D72" w:rsidP="00C22376">
            <w:pPr>
              <w:jc w:val="right"/>
              <w:rPr>
                <w:rFonts w:ascii="Times New Roman" w:hAnsi="Times New Roman" w:cs="Times New Roman"/>
                <w:b/>
                <w:bCs/>
              </w:rPr>
            </w:pPr>
            <w:r w:rsidRPr="00987D72">
              <w:rPr>
                <w:rFonts w:ascii="Times New Roman" w:hAnsi="Times New Roman" w:cs="Times New Roman"/>
                <w:b/>
                <w:bCs/>
              </w:rPr>
              <w:t>-1 526</w:t>
            </w:r>
          </w:p>
        </w:tc>
        <w:tc>
          <w:tcPr>
            <w:tcW w:w="1020" w:type="dxa"/>
            <w:tcBorders>
              <w:top w:val="nil"/>
              <w:left w:val="nil"/>
              <w:bottom w:val="single" w:sz="4" w:space="0" w:color="auto"/>
              <w:right w:val="single" w:sz="4" w:space="0" w:color="auto"/>
              <w:tl2br w:val="nil"/>
              <w:tr2bl w:val="nil"/>
            </w:tcBorders>
            <w:noWrap/>
            <w:textDirection w:val="lrTb"/>
            <w:vAlign w:val="center"/>
          </w:tcPr>
          <w:p w:rsidR="00057A7B" w:rsidRPr="00987D72" w:rsidP="00C22376">
            <w:pPr>
              <w:jc w:val="right"/>
              <w:rPr>
                <w:rFonts w:ascii="Times New Roman" w:hAnsi="Times New Roman" w:cs="Times New Roman"/>
                <w:b/>
                <w:bCs/>
              </w:rPr>
            </w:pPr>
            <w:r w:rsidRPr="00987D72">
              <w:rPr>
                <w:rFonts w:ascii="Times New Roman" w:hAnsi="Times New Roman" w:cs="Times New Roman"/>
                <w:b/>
                <w:bCs/>
              </w:rPr>
              <w:t>-1 6</w:t>
            </w:r>
            <w:r w:rsidRPr="00987D72">
              <w:rPr>
                <w:rFonts w:ascii="Times New Roman" w:hAnsi="Times New Roman" w:cs="Times New Roman"/>
                <w:b/>
                <w:bCs/>
              </w:rPr>
              <w:t>02</w:t>
            </w:r>
          </w:p>
        </w:tc>
      </w:tr>
      <w:tr>
        <w:tblPrEx>
          <w:tblW w:w="8680" w:type="dxa"/>
          <w:jc w:val="center"/>
          <w:tblCellMar>
            <w:left w:w="70" w:type="dxa"/>
            <w:right w:w="70" w:type="dxa"/>
          </w:tblCellMar>
        </w:tblPrEx>
        <w:trPr>
          <w:trHeight w:val="255"/>
          <w:jc w:val="center"/>
        </w:trPr>
        <w:tc>
          <w:tcPr>
            <w:tcW w:w="4865"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057A7B" w:rsidRPr="00987D72" w:rsidP="00C22376">
            <w:pPr>
              <w:rPr>
                <w:rFonts w:ascii="Times New Roman" w:hAnsi="Times New Roman" w:cs="Times New Roman"/>
                <w:b/>
                <w:bCs/>
              </w:rPr>
            </w:pPr>
            <w:r w:rsidRPr="00987D72">
              <w:rPr>
                <w:rFonts w:ascii="Times New Roman" w:hAnsi="Times New Roman" w:cs="Times New Roman"/>
                <w:b/>
                <w:bCs/>
              </w:rPr>
              <w:t xml:space="preserve">Spolu </w:t>
            </w:r>
          </w:p>
        </w:tc>
        <w:tc>
          <w:tcPr>
            <w:tcW w:w="755" w:type="dxa"/>
            <w:tcBorders>
              <w:top w:val="single" w:sz="4" w:space="0" w:color="auto"/>
              <w:left w:val="single" w:sz="4" w:space="0" w:color="auto"/>
              <w:bottom w:val="single" w:sz="4" w:space="0" w:color="auto"/>
              <w:right w:val="nil"/>
              <w:tl2br w:val="nil"/>
              <w:tr2bl w:val="nil"/>
            </w:tcBorders>
            <w:noWrap/>
            <w:textDirection w:val="lrTb"/>
            <w:vAlign w:val="center"/>
          </w:tcPr>
          <w:p w:rsidR="00057A7B" w:rsidRPr="00987D72" w:rsidP="00C22376">
            <w:pPr>
              <w:rPr>
                <w:rFonts w:ascii="Times New Roman" w:hAnsi="Times New Roman" w:cs="Times New Roman"/>
                <w:b/>
                <w:bCs/>
              </w:rPr>
            </w:pPr>
            <w:r w:rsidRPr="00987D72">
              <w:rPr>
                <w:rFonts w:ascii="Times New Roman" w:hAnsi="Times New Roman" w:cs="Times New Roman"/>
                <w:b/>
                <w:bCs/>
              </w:rPr>
              <w:t> </w:t>
            </w:r>
          </w:p>
        </w:tc>
        <w:tc>
          <w:tcPr>
            <w:tcW w:w="1020" w:type="dxa"/>
            <w:tcBorders>
              <w:top w:val="single" w:sz="4" w:space="0" w:color="auto"/>
              <w:left w:val="nil"/>
              <w:bottom w:val="single" w:sz="4" w:space="0" w:color="auto"/>
              <w:right w:val="nil"/>
              <w:tl2br w:val="nil"/>
              <w:tr2bl w:val="nil"/>
            </w:tcBorders>
            <w:noWrap/>
            <w:textDirection w:val="lrTb"/>
            <w:vAlign w:val="center"/>
          </w:tcPr>
          <w:p w:rsidR="00057A7B" w:rsidRPr="00987D72" w:rsidP="00C22376">
            <w:pPr>
              <w:jc w:val="right"/>
              <w:rPr>
                <w:rFonts w:ascii="Times New Roman" w:hAnsi="Times New Roman" w:cs="Times New Roman"/>
                <w:b/>
                <w:bCs/>
              </w:rPr>
            </w:pPr>
            <w:r w:rsidRPr="00987D72">
              <w:rPr>
                <w:rFonts w:ascii="Times New Roman" w:hAnsi="Times New Roman" w:cs="Times New Roman"/>
                <w:b/>
                <w:bCs/>
              </w:rPr>
              <w:t>-</w:t>
            </w:r>
            <w:r>
              <w:rPr>
                <w:rFonts w:ascii="Times New Roman" w:hAnsi="Times New Roman" w:cs="Times New Roman"/>
                <w:b/>
                <w:bCs/>
              </w:rPr>
              <w:t>26 170</w:t>
            </w:r>
          </w:p>
        </w:tc>
        <w:tc>
          <w:tcPr>
            <w:tcW w:w="1020" w:type="dxa"/>
            <w:tcBorders>
              <w:top w:val="single" w:sz="4" w:space="0" w:color="auto"/>
              <w:left w:val="nil"/>
              <w:bottom w:val="single" w:sz="4" w:space="0" w:color="auto"/>
              <w:right w:val="nil"/>
              <w:tl2br w:val="nil"/>
              <w:tr2bl w:val="nil"/>
            </w:tcBorders>
            <w:noWrap/>
            <w:textDirection w:val="lrTb"/>
            <w:vAlign w:val="center"/>
          </w:tcPr>
          <w:p w:rsidR="00057A7B" w:rsidRPr="00987D72" w:rsidP="00C22376">
            <w:pPr>
              <w:jc w:val="right"/>
              <w:rPr>
                <w:rFonts w:ascii="Times New Roman" w:hAnsi="Times New Roman" w:cs="Times New Roman"/>
                <w:b/>
                <w:bCs/>
              </w:rPr>
            </w:pPr>
            <w:r>
              <w:rPr>
                <w:rFonts w:ascii="Times New Roman" w:hAnsi="Times New Roman" w:cs="Times New Roman"/>
                <w:b/>
                <w:bCs/>
              </w:rPr>
              <w:t>+ 449</w:t>
            </w:r>
          </w:p>
        </w:tc>
        <w:tc>
          <w:tcPr>
            <w:tcW w:w="1020" w:type="dxa"/>
            <w:tcBorders>
              <w:top w:val="single" w:sz="4" w:space="0" w:color="auto"/>
              <w:left w:val="nil"/>
              <w:bottom w:val="single" w:sz="4" w:space="0" w:color="auto"/>
              <w:right w:val="single" w:sz="4" w:space="0" w:color="auto"/>
              <w:tl2br w:val="nil"/>
              <w:tr2bl w:val="nil"/>
            </w:tcBorders>
            <w:noWrap/>
            <w:textDirection w:val="lrTb"/>
            <w:vAlign w:val="center"/>
          </w:tcPr>
          <w:p w:rsidR="00057A7B" w:rsidRPr="00987D72" w:rsidP="00C22376">
            <w:pPr>
              <w:jc w:val="right"/>
              <w:rPr>
                <w:rFonts w:ascii="Times New Roman" w:hAnsi="Times New Roman" w:cs="Times New Roman"/>
                <w:b/>
                <w:bCs/>
              </w:rPr>
            </w:pPr>
            <w:r>
              <w:rPr>
                <w:rFonts w:ascii="Times New Roman" w:hAnsi="Times New Roman" w:cs="Times New Roman"/>
                <w:b/>
                <w:bCs/>
              </w:rPr>
              <w:t>+ 724</w:t>
            </w:r>
          </w:p>
        </w:tc>
      </w:tr>
    </w:tbl>
    <w:p w:rsidR="00057A7B" w:rsidP="00057A7B">
      <w:pPr>
        <w:jc w:val="both"/>
        <w:rPr>
          <w:rFonts w:ascii="Times New Roman" w:hAnsi="Times New Roman" w:cs="Times New Roman"/>
        </w:rPr>
      </w:pPr>
    </w:p>
    <w:p w:rsidR="00057A7B" w:rsidP="00057A7B">
      <w:pPr>
        <w:ind w:firstLine="540"/>
        <w:jc w:val="both"/>
        <w:rPr>
          <w:rFonts w:ascii="Times New Roman" w:hAnsi="Times New Roman" w:cs="Times New Roman"/>
        </w:rPr>
      </w:pPr>
      <w:r>
        <w:rPr>
          <w:rFonts w:ascii="Times New Roman" w:hAnsi="Times New Roman" w:cs="Times New Roman"/>
        </w:rPr>
        <w:t>Návrh na rozšírenie okruhu predmetov považovaných za reklamné predmety, ktoré budú posudzované ako daňové výdavky, predpokladá negatívny dopad na rozpočet verejných financií avšak jeho výšku nie je možné kvantifikovať.</w:t>
      </w:r>
    </w:p>
    <w:p w:rsidR="00057A7B" w:rsidRPr="00450630" w:rsidP="00057A7B">
      <w:pPr>
        <w:jc w:val="both"/>
        <w:rPr>
          <w:rFonts w:ascii="Times New Roman" w:hAnsi="Times New Roman" w:cs="Times New Roman"/>
        </w:rPr>
      </w:pPr>
    </w:p>
    <w:p w:rsidR="00057A7B" w:rsidP="00057A7B">
      <w:pPr>
        <w:ind w:left="540" w:hanging="540"/>
        <w:jc w:val="both"/>
        <w:rPr>
          <w:rFonts w:ascii="Times New Roman" w:hAnsi="Times New Roman" w:cs="Times New Roman"/>
          <w:b/>
          <w:bCs/>
          <w:u w:val="single"/>
        </w:rPr>
      </w:pPr>
      <w:r w:rsidRPr="00450630">
        <w:rPr>
          <w:rFonts w:ascii="Times New Roman" w:hAnsi="Times New Roman" w:cs="Times New Roman"/>
          <w:b/>
          <w:bCs/>
        </w:rPr>
        <w:t>I</w:t>
      </w:r>
      <w:r w:rsidRPr="00450630">
        <w:rPr>
          <w:rFonts w:ascii="Times New Roman" w:hAnsi="Times New Roman" w:cs="Times New Roman"/>
          <w:b/>
          <w:bCs/>
        </w:rPr>
        <w:t xml:space="preserve">I. </w:t>
      </w:r>
      <w:r w:rsidRPr="00450630">
        <w:rPr>
          <w:rFonts w:ascii="Times New Roman" w:hAnsi="Times New Roman" w:cs="Times New Roman"/>
          <w:b/>
          <w:bCs/>
          <w:u w:val="single"/>
        </w:rPr>
        <w:t>Odhad vplyvov na obyvateľov, hospodárenie podnikateľskej sféry a iných  právnických osôb</w:t>
      </w:r>
    </w:p>
    <w:p w:rsidR="00057A7B" w:rsidP="00057A7B">
      <w:pPr>
        <w:jc w:val="both"/>
        <w:rPr>
          <w:rFonts w:ascii="Times New Roman" w:hAnsi="Times New Roman" w:cs="Times New Roman"/>
        </w:rPr>
      </w:pPr>
      <w:r w:rsidRPr="001F12B6">
        <w:rPr>
          <w:rFonts w:ascii="Times New Roman" w:hAnsi="Times New Roman" w:cs="Times New Roman"/>
        </w:rPr>
        <w:tab/>
        <w:t>Návrh zákona predpokladá pozitívny vplyv na hospodárenie podni</w:t>
      </w:r>
      <w:r>
        <w:rPr>
          <w:rFonts w:ascii="Times New Roman" w:hAnsi="Times New Roman" w:cs="Times New Roman"/>
        </w:rPr>
        <w:t>ka</w:t>
      </w:r>
      <w:r w:rsidRPr="001F12B6">
        <w:rPr>
          <w:rFonts w:ascii="Times New Roman" w:hAnsi="Times New Roman" w:cs="Times New Roman"/>
        </w:rPr>
        <w:t xml:space="preserve">teľskej sféry, t.j. právnických osôb a fyzických osôb – podnikateľov. </w:t>
      </w:r>
      <w:r>
        <w:rPr>
          <w:rFonts w:ascii="Times New Roman" w:hAnsi="Times New Roman" w:cs="Times New Roman"/>
        </w:rPr>
        <w:t>Navrhované zmeny zákona dávajú podnikateľským subjektom možnosť odpočtu daňovej straty počas dlhšieho časového obdobia, možnosť predĺženia lehoty na podanie daňového priznania na základe oznámenia príslušnému správcovi dane a možnosť podania dodatočného daňového priznania v prípade sú</w:t>
      </w:r>
      <w:r>
        <w:rPr>
          <w:rFonts w:ascii="Times New Roman" w:hAnsi="Times New Roman" w:cs="Times New Roman"/>
        </w:rPr>
        <w:t>dneho rozhodnutia o zaplatení alebo prijatí náhrady v súvislosti s podnikaním.</w:t>
      </w:r>
    </w:p>
    <w:p w:rsidR="00057A7B" w:rsidRPr="00450630" w:rsidP="00057A7B">
      <w:pPr>
        <w:ind w:left="540" w:hanging="540"/>
        <w:jc w:val="both"/>
        <w:rPr>
          <w:rFonts w:ascii="Times New Roman" w:hAnsi="Times New Roman" w:cs="Times New Roman"/>
        </w:rPr>
      </w:pPr>
    </w:p>
    <w:p w:rsidR="00057A7B" w:rsidRPr="00450630" w:rsidP="00057A7B">
      <w:pPr>
        <w:ind w:left="540" w:hanging="540"/>
        <w:jc w:val="both"/>
        <w:rPr>
          <w:rFonts w:ascii="Times New Roman" w:hAnsi="Times New Roman" w:cs="Times New Roman"/>
          <w:b/>
          <w:bCs/>
          <w:u w:val="single"/>
        </w:rPr>
      </w:pPr>
      <w:r w:rsidRPr="00450630">
        <w:rPr>
          <w:rFonts w:ascii="Times New Roman" w:hAnsi="Times New Roman" w:cs="Times New Roman"/>
          <w:b/>
          <w:bCs/>
        </w:rPr>
        <w:t xml:space="preserve">III. </w:t>
      </w:r>
      <w:r w:rsidRPr="00450630">
        <w:rPr>
          <w:rFonts w:ascii="Times New Roman" w:hAnsi="Times New Roman" w:cs="Times New Roman"/>
          <w:b/>
          <w:bCs/>
          <w:u w:val="single"/>
        </w:rPr>
        <w:t>Odhad vplyvov na životné prostredie</w:t>
      </w:r>
    </w:p>
    <w:p w:rsidR="00057A7B" w:rsidRPr="00450630" w:rsidP="00057A7B">
      <w:pPr>
        <w:ind w:left="540" w:hanging="540"/>
        <w:jc w:val="both"/>
        <w:rPr>
          <w:rFonts w:ascii="Times New Roman" w:hAnsi="Times New Roman" w:cs="Times New Roman"/>
        </w:rPr>
      </w:pPr>
      <w:r w:rsidRPr="00450630">
        <w:rPr>
          <w:rFonts w:ascii="Times New Roman" w:hAnsi="Times New Roman" w:cs="Times New Roman"/>
        </w:rPr>
        <w:tab/>
        <w:t>Návrh zákona nemá priamy vplyv na životné prostredie.</w:t>
      </w:r>
    </w:p>
    <w:p w:rsidR="00057A7B" w:rsidRPr="00450630" w:rsidP="00057A7B">
      <w:pPr>
        <w:ind w:left="540" w:hanging="540"/>
        <w:jc w:val="both"/>
        <w:rPr>
          <w:rFonts w:ascii="Times New Roman" w:hAnsi="Times New Roman" w:cs="Times New Roman"/>
        </w:rPr>
      </w:pPr>
    </w:p>
    <w:p w:rsidR="00057A7B" w:rsidP="00057A7B">
      <w:pPr>
        <w:ind w:left="540" w:hanging="540"/>
        <w:jc w:val="both"/>
        <w:rPr>
          <w:rFonts w:ascii="Times New Roman" w:hAnsi="Times New Roman" w:cs="Times New Roman"/>
          <w:b/>
          <w:bCs/>
          <w:u w:val="single"/>
        </w:rPr>
      </w:pPr>
      <w:r w:rsidRPr="00450630">
        <w:rPr>
          <w:rFonts w:ascii="Times New Roman" w:hAnsi="Times New Roman" w:cs="Times New Roman"/>
          <w:b/>
          <w:bCs/>
        </w:rPr>
        <w:t xml:space="preserve">IV. </w:t>
      </w:r>
      <w:r w:rsidRPr="00450630">
        <w:rPr>
          <w:rFonts w:ascii="Times New Roman" w:hAnsi="Times New Roman" w:cs="Times New Roman"/>
          <w:b/>
          <w:bCs/>
          <w:u w:val="single"/>
        </w:rPr>
        <w:t>Odhad vplyvov na zamestnanosť</w:t>
      </w:r>
    </w:p>
    <w:p w:rsidR="00057A7B" w:rsidRPr="00B47CA0" w:rsidP="00057A7B">
      <w:pPr>
        <w:ind w:left="540"/>
        <w:jc w:val="both"/>
        <w:rPr>
          <w:rFonts w:ascii="Times New Roman" w:hAnsi="Times New Roman" w:cs="Times New Roman"/>
        </w:rPr>
      </w:pPr>
      <w:r w:rsidRPr="00B47CA0">
        <w:rPr>
          <w:rFonts w:ascii="Times New Roman" w:hAnsi="Times New Roman" w:cs="Times New Roman"/>
        </w:rPr>
        <w:t>Návrh zákona nem</w:t>
      </w:r>
      <w:r>
        <w:rPr>
          <w:rFonts w:ascii="Times New Roman" w:hAnsi="Times New Roman" w:cs="Times New Roman"/>
        </w:rPr>
        <w:t>á</w:t>
      </w:r>
      <w:r w:rsidRPr="00B47CA0">
        <w:rPr>
          <w:rFonts w:ascii="Times New Roman" w:hAnsi="Times New Roman" w:cs="Times New Roman"/>
        </w:rPr>
        <w:t xml:space="preserve"> negatívny vplyv na zamestnanosť a tvorbu pracovných miest.</w:t>
      </w:r>
    </w:p>
    <w:p w:rsidR="00057A7B" w:rsidRPr="00450630" w:rsidP="00057A7B">
      <w:pPr>
        <w:jc w:val="both"/>
        <w:rPr>
          <w:rFonts w:ascii="Times New Roman" w:hAnsi="Times New Roman" w:cs="Times New Roman"/>
        </w:rPr>
      </w:pPr>
      <w:r w:rsidRPr="00450630">
        <w:rPr>
          <w:rFonts w:ascii="Times New Roman" w:hAnsi="Times New Roman" w:cs="Times New Roman"/>
        </w:rPr>
        <w:tab/>
      </w:r>
    </w:p>
    <w:p w:rsidR="00057A7B" w:rsidRPr="00450630" w:rsidP="00057A7B">
      <w:pPr>
        <w:ind w:left="540" w:hanging="540"/>
        <w:jc w:val="both"/>
        <w:rPr>
          <w:rFonts w:ascii="Times New Roman" w:hAnsi="Times New Roman" w:cs="Times New Roman"/>
          <w:b/>
          <w:bCs/>
          <w:u w:val="single"/>
        </w:rPr>
      </w:pPr>
      <w:r w:rsidRPr="00450630">
        <w:rPr>
          <w:rFonts w:ascii="Times New Roman" w:hAnsi="Times New Roman" w:cs="Times New Roman"/>
          <w:b/>
          <w:bCs/>
        </w:rPr>
        <w:t xml:space="preserve">V. </w:t>
      </w:r>
      <w:r w:rsidRPr="00450630">
        <w:rPr>
          <w:rFonts w:ascii="Times New Roman" w:hAnsi="Times New Roman" w:cs="Times New Roman"/>
          <w:b/>
          <w:bCs/>
          <w:u w:val="single"/>
        </w:rPr>
        <w:t>Odhad vplyvov na podnikateľské prostredie</w:t>
      </w:r>
    </w:p>
    <w:p w:rsidR="00057A7B" w:rsidP="00057A7B">
      <w:pPr>
        <w:ind w:firstLine="540"/>
        <w:jc w:val="both"/>
        <w:rPr>
          <w:rFonts w:ascii="Times New Roman" w:hAnsi="Times New Roman" w:cs="Times New Roman"/>
        </w:rPr>
      </w:pPr>
      <w:r>
        <w:rPr>
          <w:rFonts w:ascii="Times New Roman" w:hAnsi="Times New Roman" w:cs="Times New Roman"/>
        </w:rPr>
        <w:t>Navrhovaný zákon vytvára podmienky právnej istoty pri predaji podniku alebo jeho časti, nepeňažnom vklade a zlúčení, splynutí alebo rozdelení spoločností a tým prispieva k skvalitneniu podnikateľského prostredia.</w:t>
      </w:r>
    </w:p>
    <w:p w:rsidR="00057A7B" w:rsidP="00057A7B">
      <w:pPr>
        <w:ind w:left="360"/>
        <w:jc w:val="both"/>
        <w:rPr>
          <w:rFonts w:ascii="Times New Roman" w:hAnsi="Times New Roman" w:cs="Times New Roman"/>
        </w:rPr>
      </w:pPr>
    </w:p>
    <w:p w:rsidR="00057A7B" w:rsidRPr="009D0B67" w:rsidP="00057A7B">
      <w:pPr>
        <w:ind w:left="360" w:hanging="360"/>
        <w:jc w:val="both"/>
        <w:rPr>
          <w:rFonts w:ascii="Times New Roman" w:hAnsi="Times New Roman" w:cs="Times New Roman"/>
          <w:b/>
          <w:u w:val="single"/>
        </w:rPr>
      </w:pPr>
      <w:r>
        <w:rPr>
          <w:rFonts w:ascii="Times New Roman" w:hAnsi="Times New Roman" w:cs="Times New Roman"/>
          <w:b/>
        </w:rPr>
        <w:t xml:space="preserve">VI. </w:t>
      </w:r>
      <w:r w:rsidRPr="009D0B67">
        <w:rPr>
          <w:rFonts w:ascii="Times New Roman" w:hAnsi="Times New Roman" w:cs="Times New Roman"/>
          <w:b/>
          <w:u w:val="single"/>
        </w:rPr>
        <w:t>Odhad vplyvov na informatizáciu spoločnosti</w:t>
      </w:r>
    </w:p>
    <w:p w:rsidR="00057A7B" w:rsidP="00057A7B">
      <w:pPr>
        <w:ind w:firstLine="360"/>
        <w:jc w:val="both"/>
        <w:rPr>
          <w:rFonts w:ascii="Times New Roman" w:hAnsi="Times New Roman" w:cs="Times New Roman"/>
        </w:rPr>
      </w:pPr>
      <w:r w:rsidRPr="00384879">
        <w:rPr>
          <w:rFonts w:ascii="Times New Roman" w:hAnsi="Times New Roman" w:cs="Times New Roman"/>
        </w:rPr>
        <w:t>Návrh zákona nebude mať žiadny vplyv na informatizáciu spoločnosti.</w:t>
      </w:r>
    </w:p>
    <w:p w:rsidR="00057A7B" w:rsidP="00057A7B">
      <w:pPr>
        <w:ind w:left="360"/>
        <w:jc w:val="both"/>
        <w:rPr>
          <w:rFonts w:ascii="Times New Roman" w:hAnsi="Times New Roman" w:cs="Times New Roman"/>
          <w:b/>
          <w:u w:val="single"/>
        </w:rPr>
      </w:pPr>
    </w:p>
    <w:p w:rsidR="0037714F" w:rsidRPr="009D0B67" w:rsidP="00057A7B">
      <w:pPr>
        <w:ind w:left="360"/>
        <w:jc w:val="both"/>
        <w:rPr>
          <w:rFonts w:ascii="Times New Roman" w:hAnsi="Times New Roman" w:cs="Times New Roman"/>
          <w:b/>
          <w:u w:val="single"/>
        </w:rPr>
      </w:pPr>
    </w:p>
    <w:p w:rsidR="00057A7B" w:rsidP="0074041F">
      <w:pPr>
        <w:pStyle w:val="BodyTextIndent"/>
        <w:spacing w:after="0"/>
        <w:ind w:left="0"/>
        <w:jc w:val="both"/>
        <w:rPr>
          <w:rFonts w:ascii="Times New Roman" w:hAnsi="Times New Roman" w:cs="Times New Roman"/>
        </w:rPr>
      </w:pPr>
    </w:p>
    <w:p w:rsidR="00C22376" w:rsidRPr="00415EAE" w:rsidP="00C22376">
      <w:pPr>
        <w:jc w:val="center"/>
        <w:rPr>
          <w:rFonts w:ascii="Times New Roman" w:hAnsi="Times New Roman" w:cs="Times New Roman"/>
          <w:b/>
          <w:bCs/>
        </w:rPr>
      </w:pPr>
      <w:r w:rsidRPr="00415EAE">
        <w:rPr>
          <w:rFonts w:ascii="Times New Roman" w:hAnsi="Times New Roman" w:cs="Times New Roman"/>
          <w:b/>
          <w:bCs/>
        </w:rPr>
        <w:t>DOLOŽKA ZLUČITEĽNOSTI</w:t>
      </w:r>
    </w:p>
    <w:p w:rsidR="00C22376" w:rsidRPr="00415EAE" w:rsidP="00C22376">
      <w:pPr>
        <w:pBdr>
          <w:bottom w:val="single" w:sz="6" w:space="1" w:color="auto"/>
        </w:pBdr>
        <w:jc w:val="center"/>
        <w:rPr>
          <w:rFonts w:ascii="Times New Roman" w:hAnsi="Times New Roman" w:cs="Times New Roman"/>
          <w:b/>
          <w:bCs/>
        </w:rPr>
      </w:pPr>
      <w:r w:rsidRPr="00415EAE">
        <w:rPr>
          <w:rFonts w:ascii="Times New Roman" w:hAnsi="Times New Roman" w:cs="Times New Roman"/>
          <w:b/>
          <w:bCs/>
        </w:rPr>
        <w:t xml:space="preserve">návrhu zákona, </w:t>
      </w:r>
      <w:r w:rsidRPr="00415EAE">
        <w:rPr>
          <w:rFonts w:ascii="Times New Roman" w:hAnsi="Times New Roman" w:cs="Times New Roman"/>
          <w:b/>
        </w:rPr>
        <w:t>ktorým sa mení a dopĺňa zákon č. 595/2003 Z. z. o dani z príjmo</w:t>
      </w:r>
      <w:r w:rsidRPr="00415EAE">
        <w:rPr>
          <w:rFonts w:ascii="Times New Roman" w:hAnsi="Times New Roman" w:cs="Times New Roman"/>
          <w:b/>
        </w:rPr>
        <w:t>v v znení neskorších predpisov a o zmene a doplnení niektorých zákonov</w:t>
      </w:r>
    </w:p>
    <w:p w:rsidR="00C22376" w:rsidRPr="00415EAE" w:rsidP="00C22376">
      <w:pPr>
        <w:pBdr>
          <w:bottom w:val="single" w:sz="6" w:space="1" w:color="auto"/>
        </w:pBdr>
        <w:jc w:val="center"/>
        <w:rPr>
          <w:rFonts w:ascii="Times New Roman" w:hAnsi="Times New Roman" w:cs="Times New Roman"/>
          <w:b/>
          <w:bCs/>
        </w:rPr>
      </w:pPr>
      <w:r w:rsidRPr="00415EAE">
        <w:rPr>
          <w:rFonts w:ascii="Times New Roman" w:hAnsi="Times New Roman" w:cs="Times New Roman"/>
          <w:b/>
          <w:bCs/>
        </w:rPr>
        <w:t>s právom Európskych spoločenstiev a právom Európskej únie</w:t>
      </w:r>
    </w:p>
    <w:p w:rsidR="00C22376" w:rsidRPr="00415EAE" w:rsidP="00C22376">
      <w:pPr>
        <w:rPr>
          <w:rFonts w:ascii="Times New Roman" w:hAnsi="Times New Roman" w:cs="Times New Roman"/>
          <w:b/>
          <w:bCs/>
        </w:rPr>
      </w:pPr>
    </w:p>
    <w:p w:rsidR="00C22376" w:rsidRPr="00415EAE" w:rsidP="00C22376">
      <w:pPr>
        <w:numPr>
          <w:ilvl w:val="0"/>
          <w:numId w:val="1"/>
        </w:numPr>
        <w:spacing w:after="120"/>
        <w:jc w:val="both"/>
        <w:rPr>
          <w:rFonts w:ascii="Times New Roman" w:hAnsi="Times New Roman" w:cs="Times New Roman"/>
        </w:rPr>
      </w:pPr>
      <w:r w:rsidRPr="00415EAE">
        <w:rPr>
          <w:rFonts w:ascii="Times New Roman" w:hAnsi="Times New Roman" w:cs="Times New Roman"/>
          <w:b/>
          <w:bCs/>
        </w:rPr>
        <w:t>Predkladateľ zákona:</w:t>
      </w:r>
    </w:p>
    <w:p w:rsidR="00C22376" w:rsidRPr="00415EAE" w:rsidP="00C22376">
      <w:pPr>
        <w:ind w:firstLine="425"/>
        <w:jc w:val="both"/>
        <w:rPr>
          <w:rFonts w:ascii="Times New Roman" w:hAnsi="Times New Roman" w:cs="Times New Roman"/>
        </w:rPr>
      </w:pPr>
      <w:r w:rsidRPr="00415EAE">
        <w:rPr>
          <w:rFonts w:ascii="Times New Roman" w:hAnsi="Times New Roman" w:cs="Times New Roman"/>
        </w:rPr>
        <w:t xml:space="preserve">Vláda Slovenskej republiky. </w:t>
      </w:r>
    </w:p>
    <w:p w:rsidR="00C22376" w:rsidRPr="00415EAE" w:rsidP="00C22376">
      <w:pPr>
        <w:jc w:val="both"/>
        <w:rPr>
          <w:rFonts w:ascii="Times New Roman" w:hAnsi="Times New Roman" w:cs="Times New Roman"/>
          <w:b/>
          <w:bCs/>
        </w:rPr>
      </w:pPr>
    </w:p>
    <w:p w:rsidR="00C22376" w:rsidRPr="00415EAE" w:rsidP="00C22376">
      <w:pPr>
        <w:numPr>
          <w:ilvl w:val="0"/>
          <w:numId w:val="1"/>
        </w:numPr>
        <w:spacing w:after="120"/>
        <w:jc w:val="both"/>
        <w:rPr>
          <w:rFonts w:ascii="Times New Roman" w:hAnsi="Times New Roman" w:cs="Times New Roman"/>
          <w:b/>
          <w:bCs/>
        </w:rPr>
      </w:pPr>
      <w:r w:rsidRPr="00415EAE">
        <w:rPr>
          <w:rFonts w:ascii="Times New Roman" w:hAnsi="Times New Roman" w:cs="Times New Roman"/>
          <w:b/>
          <w:bCs/>
        </w:rPr>
        <w:t>Názov návrhu zákona:</w:t>
      </w:r>
    </w:p>
    <w:p w:rsidR="00C22376" w:rsidRPr="00415EAE" w:rsidP="00C22376">
      <w:pPr>
        <w:ind w:left="425"/>
        <w:jc w:val="both"/>
        <w:rPr>
          <w:rFonts w:ascii="Times New Roman" w:hAnsi="Times New Roman" w:cs="Times New Roman"/>
          <w:b/>
          <w:bCs/>
        </w:rPr>
      </w:pPr>
      <w:r w:rsidRPr="00415EAE">
        <w:rPr>
          <w:rFonts w:ascii="Times New Roman" w:hAnsi="Times New Roman" w:cs="Times New Roman"/>
        </w:rPr>
        <w:t>Návrh zákona, ktorým sa mení a dopĺňa zákon č. 595/200</w:t>
      </w:r>
      <w:r w:rsidRPr="00415EAE">
        <w:rPr>
          <w:rFonts w:ascii="Times New Roman" w:hAnsi="Times New Roman" w:cs="Times New Roman"/>
        </w:rPr>
        <w:t>3 Z. z. o dani z príjmov v znení neskorších predpisov a o zmene a doplnení niektorých zákonov.</w:t>
      </w:r>
    </w:p>
    <w:p w:rsidR="00C22376" w:rsidRPr="00415EAE" w:rsidP="00C22376">
      <w:pPr>
        <w:jc w:val="both"/>
        <w:rPr>
          <w:rFonts w:ascii="Times New Roman" w:hAnsi="Times New Roman" w:cs="Times New Roman"/>
          <w:b/>
          <w:bCs/>
        </w:rPr>
      </w:pPr>
    </w:p>
    <w:p w:rsidR="00C22376" w:rsidRPr="00415EAE" w:rsidP="00C22376">
      <w:pPr>
        <w:numPr>
          <w:ilvl w:val="0"/>
          <w:numId w:val="1"/>
        </w:numPr>
        <w:spacing w:after="120"/>
        <w:jc w:val="both"/>
        <w:rPr>
          <w:rFonts w:ascii="Times New Roman" w:hAnsi="Times New Roman" w:cs="Times New Roman"/>
          <w:b/>
          <w:bCs/>
        </w:rPr>
      </w:pPr>
      <w:r w:rsidRPr="00415EAE">
        <w:rPr>
          <w:rFonts w:ascii="Times New Roman" w:hAnsi="Times New Roman" w:cs="Times New Roman"/>
          <w:b/>
          <w:bCs/>
        </w:rPr>
        <w:t xml:space="preserve">Problematika návrhu zákona: </w:t>
      </w:r>
    </w:p>
    <w:p w:rsidR="00C22376" w:rsidRPr="00415EAE" w:rsidP="00C22376">
      <w:pPr>
        <w:numPr>
          <w:ilvl w:val="1"/>
          <w:numId w:val="1"/>
        </w:numPr>
        <w:spacing w:after="120"/>
        <w:rPr>
          <w:rFonts w:ascii="Times New Roman" w:hAnsi="Times New Roman" w:cs="Times New Roman"/>
        </w:rPr>
      </w:pPr>
      <w:r w:rsidRPr="00415EAE">
        <w:rPr>
          <w:rFonts w:ascii="Times New Roman" w:hAnsi="Times New Roman" w:cs="Times New Roman"/>
        </w:rPr>
        <w:t>je upravená v práve Európskych spoločenstiev:</w:t>
      </w:r>
    </w:p>
    <w:p w:rsidR="00C22376" w:rsidRPr="00415EAE" w:rsidP="00C22376">
      <w:pPr>
        <w:spacing w:after="120"/>
        <w:ind w:left="900" w:hanging="425"/>
        <w:rPr>
          <w:rFonts w:ascii="Times New Roman" w:hAnsi="Times New Roman" w:cs="Times New Roman"/>
          <w:b/>
          <w:bCs/>
          <w:iCs/>
        </w:rPr>
      </w:pPr>
      <w:r w:rsidRPr="00415EAE">
        <w:rPr>
          <w:rFonts w:ascii="Times New Roman" w:hAnsi="Times New Roman" w:cs="Times New Roman"/>
          <w:b/>
          <w:bCs/>
          <w:iCs/>
        </w:rPr>
        <w:t xml:space="preserve">Primárne právo: </w:t>
      </w:r>
    </w:p>
    <w:p w:rsidR="00C22376" w:rsidRPr="00415EAE" w:rsidP="00C22376">
      <w:pPr>
        <w:numPr>
          <w:ilvl w:val="0"/>
          <w:numId w:val="2"/>
        </w:numPr>
        <w:tabs>
          <w:tab w:val="left" w:pos="900"/>
        </w:tabs>
        <w:spacing w:after="120"/>
        <w:rPr>
          <w:rFonts w:ascii="Times New Roman" w:hAnsi="Times New Roman" w:cs="Times New Roman"/>
        </w:rPr>
      </w:pPr>
      <w:r w:rsidRPr="00415EAE">
        <w:rPr>
          <w:rFonts w:ascii="Times New Roman" w:hAnsi="Times New Roman" w:cs="Times New Roman"/>
        </w:rPr>
        <w:t>čl. 90 až 93 Zmluvy o založení Európskeho spoločenstva v platnom zne</w:t>
      </w:r>
      <w:r w:rsidRPr="00415EAE">
        <w:rPr>
          <w:rFonts w:ascii="Times New Roman" w:hAnsi="Times New Roman" w:cs="Times New Roman"/>
        </w:rPr>
        <w:t xml:space="preserve">ní, </w:t>
      </w:r>
    </w:p>
    <w:p w:rsidR="00C22376" w:rsidRPr="00415EAE" w:rsidP="00C22376">
      <w:pPr>
        <w:spacing w:after="120"/>
        <w:ind w:firstLine="471"/>
        <w:jc w:val="both"/>
        <w:rPr>
          <w:rFonts w:ascii="Times New Roman" w:hAnsi="Times New Roman" w:cs="Times New Roman"/>
          <w:b/>
          <w:bCs/>
          <w:iCs/>
        </w:rPr>
      </w:pPr>
      <w:r w:rsidRPr="00415EAE">
        <w:rPr>
          <w:rFonts w:ascii="Times New Roman" w:hAnsi="Times New Roman" w:cs="Times New Roman"/>
          <w:b/>
          <w:bCs/>
          <w:iCs/>
        </w:rPr>
        <w:t xml:space="preserve">Sekundárne právo: </w:t>
      </w:r>
    </w:p>
    <w:p w:rsidR="00C22376" w:rsidRPr="00415EAE" w:rsidP="00C22376">
      <w:pPr>
        <w:numPr>
          <w:ilvl w:val="0"/>
          <w:numId w:val="3"/>
        </w:numPr>
        <w:tabs>
          <w:tab w:val="left" w:pos="900"/>
        </w:tabs>
        <w:spacing w:after="120"/>
        <w:jc w:val="both"/>
        <w:rPr>
          <w:rFonts w:ascii="Times New Roman" w:hAnsi="Times New Roman" w:cs="Times New Roman"/>
        </w:rPr>
      </w:pPr>
      <w:r w:rsidRPr="00415EAE">
        <w:rPr>
          <w:rFonts w:ascii="Times New Roman" w:hAnsi="Times New Roman" w:cs="Times New Roman"/>
        </w:rPr>
        <w:t xml:space="preserve">smernica Rady 90/434/EHS z 23. júla 1990 o spoločnom systéme zdaňovania pri zlúčeniach, rozdeleniach, prevodoch majetku a výmene akcií týkajúcich sa spoločností rôznych členských štátov v platnom znení </w:t>
      </w:r>
      <w:r w:rsidRPr="00415EAE">
        <w:rPr>
          <w:rFonts w:ascii="Times New Roman" w:hAnsi="Times New Roman" w:cs="Times New Roman"/>
          <w:color w:val="000000"/>
        </w:rPr>
        <w:t>(</w:t>
      </w:r>
      <w:r w:rsidRPr="00415EAE">
        <w:rPr>
          <w:rFonts w:ascii="Times New Roman" w:hAnsi="Times New Roman" w:cs="Times New Roman"/>
        </w:rPr>
        <w:t xml:space="preserve">Mimoriadne vydanie </w:t>
      </w:r>
      <w:r w:rsidRPr="00415EAE">
        <w:rPr>
          <w:rFonts w:ascii="Times New Roman" w:hAnsi="Times New Roman" w:cs="Times New Roman"/>
          <w:color w:val="000000"/>
        </w:rPr>
        <w:t>Ú.v.</w:t>
      </w:r>
      <w:r w:rsidRPr="00415EAE">
        <w:rPr>
          <w:rFonts w:ascii="Times New Roman" w:hAnsi="Times New Roman" w:cs="Times New Roman"/>
          <w:i/>
          <w:iCs/>
          <w:color w:val="000000"/>
        </w:rPr>
        <w:t xml:space="preserve"> </w:t>
      </w:r>
      <w:r w:rsidRPr="00415EAE">
        <w:rPr>
          <w:rFonts w:ascii="Times New Roman" w:hAnsi="Times New Roman" w:cs="Times New Roman"/>
        </w:rPr>
        <w:t>EÚ, k</w:t>
      </w:r>
      <w:r w:rsidRPr="00415EAE">
        <w:rPr>
          <w:rFonts w:ascii="Times New Roman" w:hAnsi="Times New Roman" w:cs="Times New Roman"/>
        </w:rPr>
        <w:t>ap.  9/ zv. 1),</w:t>
      </w:r>
    </w:p>
    <w:p w:rsidR="00C22376" w:rsidRPr="00415EAE" w:rsidP="00C22376">
      <w:pPr>
        <w:numPr>
          <w:ilvl w:val="0"/>
          <w:numId w:val="4"/>
        </w:numPr>
        <w:tabs>
          <w:tab w:val="left" w:pos="870"/>
        </w:tabs>
        <w:spacing w:after="120"/>
        <w:jc w:val="both"/>
        <w:rPr>
          <w:rFonts w:ascii="Times New Roman" w:hAnsi="Times New Roman" w:cs="Times New Roman"/>
        </w:rPr>
      </w:pPr>
      <w:r w:rsidRPr="00415EAE">
        <w:rPr>
          <w:rFonts w:ascii="Times New Roman" w:hAnsi="Times New Roman" w:cs="Times New Roman"/>
        </w:rPr>
        <w:t xml:space="preserve">smernica Rady 90/435/EHS z 23. júla 1990 o spoločnom systéme zdaňovania uplatňovanom v prípade materských spoločností a dcérskych spoločností v rozličných členských štátoch v platnom znení </w:t>
      </w:r>
      <w:r w:rsidRPr="00415EAE">
        <w:rPr>
          <w:rFonts w:ascii="Times New Roman" w:hAnsi="Times New Roman" w:cs="Times New Roman"/>
          <w:color w:val="000000"/>
        </w:rPr>
        <w:t>(</w:t>
      </w:r>
      <w:r w:rsidRPr="00415EAE">
        <w:rPr>
          <w:rFonts w:ascii="Times New Roman" w:hAnsi="Times New Roman" w:cs="Times New Roman"/>
        </w:rPr>
        <w:t xml:space="preserve">Mimoriadne vydanie </w:t>
      </w:r>
      <w:r w:rsidRPr="00415EAE">
        <w:rPr>
          <w:rFonts w:ascii="Times New Roman" w:hAnsi="Times New Roman" w:cs="Times New Roman"/>
          <w:color w:val="000000"/>
        </w:rPr>
        <w:t>Ú.v.</w:t>
      </w:r>
      <w:r w:rsidRPr="00415EAE">
        <w:rPr>
          <w:rFonts w:ascii="Times New Roman" w:hAnsi="Times New Roman" w:cs="Times New Roman"/>
          <w:i/>
          <w:iCs/>
          <w:color w:val="000000"/>
        </w:rPr>
        <w:t xml:space="preserve"> </w:t>
      </w:r>
      <w:r w:rsidRPr="00415EAE">
        <w:rPr>
          <w:rFonts w:ascii="Times New Roman" w:hAnsi="Times New Roman" w:cs="Times New Roman"/>
        </w:rPr>
        <w:t>EÚ, kap.  9/ zv. 1),</w:t>
      </w:r>
    </w:p>
    <w:p w:rsidR="00C22376" w:rsidRPr="00415EAE" w:rsidP="00C22376">
      <w:pPr>
        <w:numPr>
          <w:ilvl w:val="0"/>
          <w:numId w:val="5"/>
        </w:numPr>
        <w:tabs>
          <w:tab w:val="left" w:pos="870"/>
        </w:tabs>
        <w:spacing w:after="120"/>
        <w:jc w:val="both"/>
        <w:rPr>
          <w:rFonts w:ascii="Times New Roman" w:hAnsi="Times New Roman" w:cs="Times New Roman"/>
        </w:rPr>
      </w:pPr>
      <w:r w:rsidRPr="00415EAE">
        <w:rPr>
          <w:rFonts w:ascii="Times New Roman" w:hAnsi="Times New Roman" w:cs="Times New Roman"/>
          <w:bCs/>
        </w:rPr>
        <w:t>smern</w:t>
      </w:r>
      <w:r w:rsidRPr="00415EAE">
        <w:rPr>
          <w:rFonts w:ascii="Times New Roman" w:hAnsi="Times New Roman" w:cs="Times New Roman"/>
          <w:bCs/>
        </w:rPr>
        <w:t xml:space="preserve">ica Rady 2003/48/ES z 3. júna 2003 </w:t>
      </w:r>
      <w:r w:rsidRPr="00415EAE">
        <w:rPr>
          <w:rFonts w:ascii="Times New Roman" w:hAnsi="Times New Roman" w:cs="Times New Roman"/>
        </w:rPr>
        <w:t xml:space="preserve">o zdaňovaní príjmu z úspor v podobe výplaty úrokov v platnom znení </w:t>
      </w:r>
      <w:r w:rsidRPr="00415EAE">
        <w:rPr>
          <w:rFonts w:ascii="Times New Roman" w:hAnsi="Times New Roman" w:cs="Times New Roman"/>
          <w:color w:val="000000"/>
        </w:rPr>
        <w:t>(</w:t>
      </w:r>
      <w:r w:rsidRPr="00415EAE">
        <w:rPr>
          <w:rFonts w:ascii="Times New Roman" w:hAnsi="Times New Roman" w:cs="Times New Roman"/>
        </w:rPr>
        <w:t xml:space="preserve">Mimoriadne vydanie </w:t>
      </w:r>
      <w:r w:rsidRPr="00415EAE">
        <w:rPr>
          <w:rFonts w:ascii="Times New Roman" w:hAnsi="Times New Roman" w:cs="Times New Roman"/>
          <w:color w:val="000000"/>
        </w:rPr>
        <w:t>Ú.v.</w:t>
      </w:r>
      <w:r w:rsidRPr="00415EAE">
        <w:rPr>
          <w:rFonts w:ascii="Times New Roman" w:hAnsi="Times New Roman" w:cs="Times New Roman"/>
          <w:i/>
          <w:iCs/>
          <w:color w:val="000000"/>
        </w:rPr>
        <w:t xml:space="preserve"> </w:t>
      </w:r>
      <w:r w:rsidRPr="00415EAE">
        <w:rPr>
          <w:rFonts w:ascii="Times New Roman" w:hAnsi="Times New Roman" w:cs="Times New Roman"/>
        </w:rPr>
        <w:t>EÚ, kap.  9/ zv. 1),</w:t>
      </w:r>
    </w:p>
    <w:p w:rsidR="00C22376" w:rsidRPr="00415EAE" w:rsidP="00C22376">
      <w:pPr>
        <w:numPr>
          <w:ilvl w:val="0"/>
          <w:numId w:val="6"/>
        </w:numPr>
        <w:tabs>
          <w:tab w:val="left" w:pos="870"/>
        </w:tabs>
        <w:spacing w:after="120"/>
        <w:jc w:val="both"/>
        <w:rPr>
          <w:rFonts w:ascii="Times New Roman" w:hAnsi="Times New Roman" w:cs="Times New Roman"/>
        </w:rPr>
      </w:pPr>
      <w:r w:rsidRPr="00415EAE">
        <w:rPr>
          <w:rFonts w:ascii="Times New Roman" w:hAnsi="Times New Roman" w:cs="Times New Roman"/>
          <w:bCs/>
        </w:rPr>
        <w:t xml:space="preserve">smernica Rady 2003/49/ES z 3. júna 2003 o spoločnom systéme zdaňovania uplatňovanom na výplaty úrokov a licenčných poplatkov medzi združenými spoločnosťami rôznych členských štátov v platnom znení </w:t>
      </w:r>
      <w:r w:rsidRPr="00415EAE">
        <w:rPr>
          <w:rFonts w:ascii="Times New Roman" w:hAnsi="Times New Roman" w:cs="Times New Roman"/>
          <w:color w:val="000000"/>
        </w:rPr>
        <w:t>(</w:t>
      </w:r>
      <w:r w:rsidRPr="00415EAE">
        <w:rPr>
          <w:rFonts w:ascii="Times New Roman" w:hAnsi="Times New Roman" w:cs="Times New Roman"/>
        </w:rPr>
        <w:t xml:space="preserve">Mimoriadne vydanie </w:t>
      </w:r>
      <w:r w:rsidRPr="00415EAE">
        <w:rPr>
          <w:rFonts w:ascii="Times New Roman" w:hAnsi="Times New Roman" w:cs="Times New Roman"/>
          <w:color w:val="000000"/>
        </w:rPr>
        <w:t>Ú.v.</w:t>
      </w:r>
      <w:r w:rsidRPr="00415EAE">
        <w:rPr>
          <w:rFonts w:ascii="Times New Roman" w:hAnsi="Times New Roman" w:cs="Times New Roman"/>
          <w:i/>
          <w:iCs/>
          <w:color w:val="000000"/>
        </w:rPr>
        <w:t xml:space="preserve"> </w:t>
      </w:r>
      <w:r w:rsidRPr="00415EAE">
        <w:rPr>
          <w:rFonts w:ascii="Times New Roman" w:hAnsi="Times New Roman" w:cs="Times New Roman"/>
        </w:rPr>
        <w:t>EÚ, kap. 9/ zv. 1),</w:t>
      </w:r>
    </w:p>
    <w:p w:rsidR="00C22376" w:rsidRPr="00415EAE" w:rsidP="00C22376">
      <w:pPr>
        <w:numPr>
          <w:ilvl w:val="0"/>
          <w:numId w:val="6"/>
        </w:numPr>
        <w:tabs>
          <w:tab w:val="left" w:pos="870"/>
        </w:tabs>
        <w:spacing w:after="120"/>
        <w:jc w:val="both"/>
        <w:rPr>
          <w:rStyle w:val="Emphasis"/>
          <w:rFonts w:ascii="Times New Roman" w:hAnsi="Times New Roman" w:cs="Times New Roman"/>
          <w:iCs w:val="0"/>
        </w:rPr>
      </w:pPr>
      <w:r w:rsidRPr="00415EAE">
        <w:rPr>
          <w:rStyle w:val="Emphasis"/>
          <w:rFonts w:ascii="Times New Roman" w:hAnsi="Times New Roman" w:cs="Times New Roman"/>
        </w:rPr>
        <w:t xml:space="preserve">štvrtá smernica Rady 78/660/EHS </w:t>
      </w:r>
      <w:r w:rsidRPr="00415EAE">
        <w:rPr>
          <w:rFonts w:ascii="Times New Roman" w:hAnsi="Times New Roman" w:cs="Times New Roman"/>
        </w:rPr>
        <w:t>z 25. júla 1978 o ročnej účtovnej závierke niektorých typov spoločností, vychádzajúca z čl</w:t>
      </w:r>
      <w:r w:rsidRPr="00415EAE">
        <w:rPr>
          <w:rFonts w:ascii="Times New Roman" w:hAnsi="Times New Roman" w:cs="Times New Roman"/>
        </w:rPr>
        <w:t xml:space="preserve">ánku 54 ods. 3 písm. g) zmluvy (Mimoriadne vydanie </w:t>
      </w:r>
      <w:r w:rsidRPr="00415EAE">
        <w:rPr>
          <w:rFonts w:ascii="Times New Roman" w:hAnsi="Times New Roman" w:cs="Times New Roman"/>
          <w:color w:val="000000"/>
        </w:rPr>
        <w:t>Ú.v.</w:t>
      </w:r>
      <w:r w:rsidRPr="00415EAE">
        <w:rPr>
          <w:rFonts w:ascii="Times New Roman" w:hAnsi="Times New Roman" w:cs="Times New Roman"/>
          <w:i/>
          <w:iCs/>
          <w:color w:val="000000"/>
        </w:rPr>
        <w:t xml:space="preserve"> </w:t>
      </w:r>
      <w:r w:rsidRPr="00415EAE">
        <w:rPr>
          <w:rFonts w:ascii="Times New Roman" w:hAnsi="Times New Roman" w:cs="Times New Roman"/>
        </w:rPr>
        <w:t>EÚ, kap.  17/ zv. 1),</w:t>
      </w:r>
    </w:p>
    <w:p w:rsidR="00C22376" w:rsidRPr="00415EAE" w:rsidP="00C22376">
      <w:pPr>
        <w:numPr>
          <w:ilvl w:val="0"/>
          <w:numId w:val="6"/>
        </w:numPr>
        <w:tabs>
          <w:tab w:val="left" w:pos="870"/>
        </w:tabs>
        <w:spacing w:after="120"/>
        <w:jc w:val="both"/>
        <w:rPr>
          <w:rFonts w:ascii="Times New Roman" w:hAnsi="Times New Roman" w:cs="Times New Roman"/>
          <w:i/>
        </w:rPr>
      </w:pPr>
      <w:r w:rsidRPr="00415EAE">
        <w:rPr>
          <w:rStyle w:val="Emphasis"/>
          <w:rFonts w:ascii="Times New Roman" w:hAnsi="Times New Roman" w:cs="Times New Roman"/>
        </w:rPr>
        <w:t xml:space="preserve">smernica Európskeho parlamentu a Rady 2006/43/ES </w:t>
      </w:r>
      <w:r w:rsidRPr="00415EAE">
        <w:rPr>
          <w:rFonts w:ascii="Times New Roman" w:hAnsi="Times New Roman" w:cs="Times New Roman"/>
        </w:rPr>
        <w:t>zo 17. mája 2006 o štatutárnom audite ročných účtovných závierok a konsolidovaných účtovných závierok, ktorou sa menia a dopĺňajú</w:t>
      </w:r>
      <w:r w:rsidRPr="00415EAE">
        <w:rPr>
          <w:rFonts w:ascii="Times New Roman" w:hAnsi="Times New Roman" w:cs="Times New Roman"/>
        </w:rPr>
        <w:t xml:space="preserve"> smernice Rady 78/660/EHS a 83/349/EHS a ktorou sa zrušuje smernica Rady 84/253/EHS ( Ú.v. EÚ</w:t>
      </w:r>
      <w:r w:rsidRPr="00415EAE">
        <w:rPr>
          <w:rFonts w:ascii="Times New Roman" w:hAnsi="Times New Roman" w:cs="Times New Roman"/>
          <w:i/>
        </w:rPr>
        <w:t xml:space="preserve"> </w:t>
      </w:r>
      <w:r w:rsidRPr="00415EAE">
        <w:rPr>
          <w:rStyle w:val="Emphasis"/>
          <w:rFonts w:ascii="Times New Roman" w:hAnsi="Times New Roman" w:cs="Times New Roman"/>
        </w:rPr>
        <w:t>L 157, 9.6.2006).</w:t>
      </w:r>
      <w:r w:rsidRPr="00415EAE">
        <w:rPr>
          <w:rFonts w:ascii="Times New Roman" w:hAnsi="Times New Roman" w:cs="Times New Roman"/>
        </w:rPr>
        <w:t xml:space="preserve"> </w:t>
      </w:r>
    </w:p>
    <w:p w:rsidR="00C22376" w:rsidRPr="00415EAE" w:rsidP="00C22376">
      <w:pPr>
        <w:numPr>
          <w:ilvl w:val="1"/>
          <w:numId w:val="1"/>
        </w:numPr>
        <w:spacing w:after="120"/>
        <w:rPr>
          <w:rFonts w:ascii="Times New Roman" w:hAnsi="Times New Roman" w:cs="Times New Roman"/>
        </w:rPr>
      </w:pPr>
      <w:r w:rsidRPr="00415EAE">
        <w:rPr>
          <w:rFonts w:ascii="Times New Roman" w:hAnsi="Times New Roman" w:cs="Times New Roman"/>
        </w:rPr>
        <w:t xml:space="preserve">nie je upravená v práve Európskej únie. </w:t>
      </w:r>
    </w:p>
    <w:p w:rsidR="00C22376" w:rsidRPr="00415EAE" w:rsidP="00C22376">
      <w:pPr>
        <w:numPr>
          <w:ilvl w:val="1"/>
          <w:numId w:val="1"/>
        </w:numPr>
        <w:spacing w:after="120"/>
        <w:jc w:val="both"/>
        <w:rPr>
          <w:rFonts w:ascii="Times New Roman" w:hAnsi="Times New Roman" w:cs="Times New Roman"/>
        </w:rPr>
      </w:pPr>
      <w:r w:rsidRPr="00415EAE">
        <w:rPr>
          <w:rFonts w:ascii="Times New Roman" w:hAnsi="Times New Roman" w:cs="Times New Roman"/>
        </w:rPr>
        <w:t>je obsiahnutá v judikatúre Súdneho dvora Európskych spoločenstiev alebo Súdu prvého stupňa Európskych spoločenstiev:</w:t>
      </w:r>
    </w:p>
    <w:p w:rsidR="00C22376" w:rsidRPr="00415EAE" w:rsidP="00C22376">
      <w:pPr>
        <w:numPr>
          <w:ilvl w:val="0"/>
          <w:numId w:val="7"/>
        </w:numPr>
        <w:tabs>
          <w:tab w:val="left" w:pos="870"/>
        </w:tabs>
        <w:spacing w:after="120"/>
        <w:jc w:val="both"/>
        <w:rPr>
          <w:rFonts w:ascii="Times New Roman" w:hAnsi="Times New Roman" w:cs="Times New Roman"/>
          <w:color w:val="000000"/>
          <w:lang w:val="cs-CZ"/>
        </w:rPr>
      </w:pPr>
      <w:r w:rsidRPr="00415EAE">
        <w:rPr>
          <w:rFonts w:ascii="Times New Roman" w:hAnsi="Times New Roman" w:cs="Times New Roman"/>
          <w:color w:val="000000"/>
          <w:lang w:val="cs-CZ"/>
        </w:rPr>
        <w:t xml:space="preserve">rozhodnutie Súdneho dvora Európskych spoločenstiev vo veci C - 28/95, </w:t>
      </w:r>
      <w:r w:rsidRPr="00415EAE">
        <w:rPr>
          <w:rFonts w:ascii="Times New Roman" w:hAnsi="Times New Roman" w:cs="Times New Roman"/>
          <w:bCs/>
          <w:color w:val="000000"/>
          <w:lang w:val="cs-CZ"/>
        </w:rPr>
        <w:t>A. Leur-Bloem v. Inspecteur der Belastingdienst/Ondernemingen Amsterdam 2</w:t>
      </w:r>
      <w:r w:rsidRPr="00415EAE">
        <w:rPr>
          <w:rFonts w:ascii="Times New Roman" w:hAnsi="Times New Roman" w:cs="Times New Roman"/>
          <w:color w:val="000000"/>
          <w:lang w:val="cs-CZ"/>
        </w:rPr>
        <w:t>, rok 1997,  Zb.roz. ESD ( I-04161),</w:t>
      </w:r>
    </w:p>
    <w:p w:rsidR="00C22376" w:rsidRPr="00415EAE" w:rsidP="00C22376">
      <w:pPr>
        <w:numPr>
          <w:ilvl w:val="0"/>
          <w:numId w:val="8"/>
        </w:numPr>
        <w:tabs>
          <w:tab w:val="left" w:pos="870"/>
        </w:tabs>
        <w:spacing w:after="120"/>
        <w:jc w:val="both"/>
        <w:rPr>
          <w:rFonts w:ascii="Times New Roman" w:hAnsi="Times New Roman" w:cs="Times New Roman"/>
          <w:color w:val="000000"/>
          <w:lang w:val="cs-CZ"/>
        </w:rPr>
      </w:pPr>
      <w:r w:rsidRPr="00415EAE">
        <w:rPr>
          <w:rFonts w:ascii="Times New Roman" w:hAnsi="Times New Roman" w:cs="Times New Roman"/>
          <w:color w:val="000000"/>
          <w:lang w:val="cs-CZ"/>
        </w:rPr>
        <w:t xml:space="preserve">rozhodnutie Súdneho dvora Európskych spoločenstiev vo veci C </w:t>
      </w:r>
      <w:r w:rsidRPr="00415EAE">
        <w:rPr>
          <w:rFonts w:ascii="Times New Roman" w:hAnsi="Times New Roman" w:cs="Times New Roman"/>
          <w:color w:val="000000"/>
          <w:lang w:val="cs-CZ"/>
        </w:rPr>
        <w:t>- 43/2000, Andersen og Jensen ApS v. Skatteministeriet, rok 2002,  Zb.roz. ESD ( I- 00379),</w:t>
      </w:r>
    </w:p>
    <w:p w:rsidR="00C22376" w:rsidRPr="00415EAE" w:rsidP="00C22376">
      <w:pPr>
        <w:numPr>
          <w:ilvl w:val="0"/>
          <w:numId w:val="9"/>
        </w:numPr>
        <w:tabs>
          <w:tab w:val="left" w:pos="870"/>
        </w:tabs>
        <w:spacing w:after="120"/>
        <w:jc w:val="both"/>
        <w:rPr>
          <w:rFonts w:ascii="Times New Roman" w:hAnsi="Times New Roman" w:cs="Times New Roman"/>
          <w:color w:val="000000"/>
          <w:lang w:val="cs-CZ"/>
        </w:rPr>
      </w:pPr>
      <w:r w:rsidRPr="00415EAE">
        <w:rPr>
          <w:rFonts w:ascii="Times New Roman" w:hAnsi="Times New Roman" w:cs="Times New Roman"/>
          <w:color w:val="000000"/>
          <w:lang w:val="cs-CZ"/>
        </w:rPr>
        <w:t>rozhodnutie Súdneho dvora Európskych spoločenstiev vo veci C - 375/98, Ministério Público and Fazenda Pública v. Epson Europe BV, rok  2000,  Zb.roz. ESD ( I- 04243</w:t>
      </w:r>
      <w:r w:rsidRPr="00415EAE">
        <w:rPr>
          <w:rFonts w:ascii="Times New Roman" w:hAnsi="Times New Roman" w:cs="Times New Roman"/>
          <w:color w:val="000000"/>
          <w:lang w:val="cs-CZ"/>
        </w:rPr>
        <w:t>),</w:t>
      </w:r>
    </w:p>
    <w:p w:rsidR="00C22376" w:rsidRPr="00415EAE" w:rsidP="00C22376">
      <w:pPr>
        <w:numPr>
          <w:ilvl w:val="0"/>
          <w:numId w:val="10"/>
        </w:numPr>
        <w:tabs>
          <w:tab w:val="left" w:pos="870"/>
        </w:tabs>
        <w:spacing w:after="120"/>
        <w:jc w:val="both"/>
        <w:rPr>
          <w:rFonts w:ascii="Times New Roman" w:hAnsi="Times New Roman" w:cs="Times New Roman"/>
          <w:color w:val="000000"/>
          <w:lang w:val="cs-CZ"/>
        </w:rPr>
      </w:pPr>
      <w:r w:rsidRPr="00415EAE">
        <w:rPr>
          <w:rFonts w:ascii="Times New Roman" w:hAnsi="Times New Roman" w:cs="Times New Roman"/>
          <w:color w:val="000000"/>
          <w:lang w:val="cs-CZ"/>
        </w:rPr>
        <w:t>rozhodnutie Súdneho dvora Európskych spoločenstiev vo veci C - 294/99, Athinaïki Zythopoiia AE v. Elliniko Dimosio, rok  2001,  Zb.roz. ESD ( I- 06797).</w:t>
      </w:r>
    </w:p>
    <w:p w:rsidR="00C22376" w:rsidRPr="00415EAE" w:rsidP="00C22376">
      <w:pPr>
        <w:numPr>
          <w:ilvl w:val="0"/>
          <w:numId w:val="10"/>
        </w:numPr>
        <w:tabs>
          <w:tab w:val="left" w:pos="870"/>
        </w:tabs>
        <w:spacing w:after="120"/>
        <w:jc w:val="both"/>
        <w:rPr>
          <w:rFonts w:ascii="Times New Roman" w:hAnsi="Times New Roman" w:cs="Times New Roman"/>
          <w:color w:val="000000"/>
          <w:lang w:val="cs-CZ"/>
        </w:rPr>
      </w:pPr>
      <w:r w:rsidRPr="00415EAE">
        <w:rPr>
          <w:rFonts w:ascii="Times New Roman" w:hAnsi="Times New Roman" w:cs="Times New Roman"/>
          <w:color w:val="000000"/>
          <w:lang w:val="cs-CZ"/>
        </w:rPr>
        <w:t xml:space="preserve">rozhodnutie Súdneho dvora Európskych spoločenstiev vo veci C - 386/04, </w:t>
      </w:r>
      <w:r w:rsidRPr="00415EAE">
        <w:rPr>
          <w:rFonts w:ascii="Times New Roman" w:hAnsi="Times New Roman" w:cs="Times New Roman"/>
          <w:bCs/>
        </w:rPr>
        <w:t xml:space="preserve">Centro di Musicologia Walter </w:t>
      </w:r>
      <w:r w:rsidRPr="00415EAE">
        <w:rPr>
          <w:rFonts w:ascii="Times New Roman" w:hAnsi="Times New Roman" w:cs="Times New Roman"/>
          <w:bCs/>
        </w:rPr>
        <w:t xml:space="preserve">Stauffer v. Finanzamt München für Körperschaften, rok 2006, </w:t>
      </w:r>
      <w:r w:rsidRPr="00415EAE">
        <w:rPr>
          <w:rFonts w:ascii="Times New Roman" w:hAnsi="Times New Roman" w:cs="Times New Roman"/>
          <w:color w:val="000000"/>
          <w:lang w:val="cs-CZ"/>
        </w:rPr>
        <w:t>Zb.roz. ESD ( I -08203),</w:t>
      </w:r>
    </w:p>
    <w:p w:rsidR="00C22376" w:rsidRPr="00415EAE" w:rsidP="00C22376">
      <w:pPr>
        <w:numPr>
          <w:ilvl w:val="0"/>
          <w:numId w:val="10"/>
        </w:numPr>
        <w:tabs>
          <w:tab w:val="left" w:pos="870"/>
        </w:tabs>
        <w:spacing w:after="120"/>
        <w:jc w:val="both"/>
        <w:rPr>
          <w:rFonts w:ascii="Times New Roman" w:hAnsi="Times New Roman" w:cs="Times New Roman"/>
          <w:color w:val="000000"/>
          <w:lang w:val="cs-CZ"/>
        </w:rPr>
      </w:pPr>
      <w:r w:rsidRPr="00415EAE">
        <w:rPr>
          <w:rFonts w:ascii="Times New Roman" w:hAnsi="Times New Roman" w:cs="Times New Roman"/>
          <w:color w:val="000000"/>
          <w:lang w:val="cs-CZ"/>
        </w:rPr>
        <w:t xml:space="preserve">rozhodnutie Súdneho dvora Európskych spoločenstiev vo veci C - 27/07, </w:t>
      </w:r>
      <w:r w:rsidRPr="00415EAE">
        <w:rPr>
          <w:rFonts w:ascii="Times New Roman" w:hAnsi="Times New Roman" w:cs="Times New Roman"/>
        </w:rPr>
        <w:t>Banque Fédérative du Crédit Mutuel v. Ministre de l’Économie, des Finances et de l’Industrie, rok 200</w:t>
      </w:r>
      <w:r w:rsidRPr="00415EAE">
        <w:rPr>
          <w:rFonts w:ascii="Times New Roman" w:hAnsi="Times New Roman" w:cs="Times New Roman"/>
        </w:rPr>
        <w:t xml:space="preserve">8, </w:t>
      </w:r>
      <w:r w:rsidRPr="00415EAE">
        <w:rPr>
          <w:rFonts w:ascii="Times New Roman" w:hAnsi="Times New Roman" w:cs="Times New Roman"/>
          <w:color w:val="000000"/>
          <w:lang w:val="cs-CZ"/>
        </w:rPr>
        <w:t>Zb.roz. ESD ( I - 02067).</w:t>
      </w:r>
    </w:p>
    <w:p w:rsidR="00C22376" w:rsidRPr="00415EAE" w:rsidP="00C22376">
      <w:pPr>
        <w:ind w:left="425"/>
        <w:rPr>
          <w:rFonts w:ascii="Times New Roman" w:hAnsi="Times New Roman" w:cs="Times New Roman"/>
        </w:rPr>
      </w:pPr>
    </w:p>
    <w:p w:rsidR="00C22376" w:rsidRPr="00415EAE" w:rsidP="00C22376">
      <w:pPr>
        <w:numPr>
          <w:ilvl w:val="0"/>
          <w:numId w:val="1"/>
        </w:numPr>
        <w:spacing w:after="120"/>
        <w:jc w:val="both"/>
        <w:rPr>
          <w:rFonts w:ascii="Times New Roman" w:hAnsi="Times New Roman" w:cs="Times New Roman"/>
          <w:b/>
          <w:bCs/>
        </w:rPr>
      </w:pPr>
      <w:r w:rsidRPr="00415EAE">
        <w:rPr>
          <w:rFonts w:ascii="Times New Roman" w:hAnsi="Times New Roman" w:cs="Times New Roman"/>
          <w:b/>
          <w:bCs/>
        </w:rPr>
        <w:t>Záväzky Slovenskej republiky vo vzťahu k Európskym spoločenstvám a Európskej únii:</w:t>
      </w:r>
    </w:p>
    <w:p w:rsidR="00C22376" w:rsidRPr="00415EAE" w:rsidP="00C22376">
      <w:pPr>
        <w:numPr>
          <w:ilvl w:val="0"/>
          <w:numId w:val="11"/>
        </w:numPr>
        <w:tabs>
          <w:tab w:val="left" w:pos="425"/>
          <w:tab w:val="clear" w:pos="720"/>
        </w:tabs>
        <w:spacing w:after="120"/>
        <w:ind w:left="425" w:hanging="425"/>
        <w:jc w:val="both"/>
        <w:rPr>
          <w:rFonts w:ascii="Times New Roman" w:hAnsi="Times New Roman" w:cs="Times New Roman"/>
        </w:rPr>
      </w:pPr>
      <w:r w:rsidRPr="00415EAE">
        <w:rPr>
          <w:rFonts w:ascii="Times New Roman" w:hAnsi="Times New Roman" w:cs="Times New Roman"/>
        </w:rPr>
        <w:t>Lehota na prebratie smernice podľa určenia gestorských ústredných orgánov štátnej správy zodpovedných za prebratie smerníc a vypracovanie tabul</w:t>
      </w:r>
      <w:r w:rsidRPr="00415EAE">
        <w:rPr>
          <w:rFonts w:ascii="Times New Roman" w:hAnsi="Times New Roman" w:cs="Times New Roman"/>
        </w:rPr>
        <w:t>iek zhody k návrhom všeobecne záväzných právnych predpisov: bezpredmetné.</w:t>
      </w:r>
    </w:p>
    <w:p w:rsidR="00C22376" w:rsidRPr="00415EAE" w:rsidP="00C22376">
      <w:pPr>
        <w:numPr>
          <w:ilvl w:val="0"/>
          <w:numId w:val="11"/>
        </w:numPr>
        <w:tabs>
          <w:tab w:val="left" w:pos="425"/>
          <w:tab w:val="clear" w:pos="720"/>
        </w:tabs>
        <w:spacing w:after="120"/>
        <w:ind w:left="425" w:hanging="425"/>
        <w:jc w:val="both"/>
        <w:rPr>
          <w:rFonts w:ascii="Times New Roman" w:hAnsi="Times New Roman" w:cs="Times New Roman"/>
        </w:rPr>
      </w:pPr>
      <w:r w:rsidRPr="00415EAE">
        <w:rPr>
          <w:rFonts w:ascii="Times New Roman" w:hAnsi="Times New Roman" w:cs="Times New Roman"/>
        </w:rPr>
        <w:t>Proti SR boli začaté konania o porušení Zmluvy o založení Európskych spoločenstiev podľa čl. 226 až 228 Zmluvy o založení Európskych spoločenstiev v platnom znení a to konania č. 200</w:t>
      </w:r>
      <w:r w:rsidRPr="00415EAE">
        <w:rPr>
          <w:rFonts w:ascii="Times New Roman" w:hAnsi="Times New Roman" w:cs="Times New Roman"/>
        </w:rPr>
        <w:t>8/2058, 2008/2059, 2008/2238 a 2008/2308.</w:t>
      </w:r>
    </w:p>
    <w:p w:rsidR="00C22376" w:rsidRPr="00415EAE" w:rsidP="00C22376">
      <w:pPr>
        <w:numPr>
          <w:ilvl w:val="0"/>
          <w:numId w:val="11"/>
        </w:numPr>
        <w:tabs>
          <w:tab w:val="left" w:pos="425"/>
          <w:tab w:val="clear" w:pos="720"/>
        </w:tabs>
        <w:ind w:left="425" w:hanging="425"/>
        <w:jc w:val="both"/>
        <w:rPr>
          <w:rFonts w:ascii="Times New Roman" w:hAnsi="Times New Roman" w:cs="Times New Roman"/>
        </w:rPr>
      </w:pPr>
      <w:r w:rsidRPr="00415EAE">
        <w:rPr>
          <w:rFonts w:ascii="Times New Roman" w:hAnsi="Times New Roman" w:cs="Times New Roman"/>
        </w:rPr>
        <w:t>Smernica 2004/66/ES bola za MF SR úplne prebratá do zákona č. 8/2008 Z.z. o poisťovníctve a o zmene a doplnení niektorých zákonov v znení neskorších predpisov a do zákona č. 222/2004 Z.z. o dani z pridanej hodnoty v znení neskorších predpisov. Smernica 2006/98/ES bola prebratá do zákona č. 222/2004 Z.z. o dani z pridanej hodnoty v znení neskorších predpisov.</w:t>
      </w:r>
    </w:p>
    <w:p w:rsidR="00C22376" w:rsidRPr="00415EAE" w:rsidP="00C22376">
      <w:pPr>
        <w:tabs>
          <w:tab w:val="left" w:pos="425"/>
        </w:tabs>
        <w:ind w:left="425"/>
        <w:jc w:val="both"/>
        <w:rPr>
          <w:rFonts w:ascii="Times New Roman" w:hAnsi="Times New Roman" w:cs="Times New Roman"/>
        </w:rPr>
      </w:pPr>
    </w:p>
    <w:p w:rsidR="00C22376" w:rsidRPr="00415EAE" w:rsidP="00C22376">
      <w:pPr>
        <w:tabs>
          <w:tab w:val="left" w:pos="425"/>
        </w:tabs>
        <w:ind w:left="425"/>
        <w:jc w:val="both"/>
        <w:rPr>
          <w:rFonts w:ascii="Times New Roman" w:hAnsi="Times New Roman" w:cs="Times New Roman"/>
        </w:rPr>
      </w:pPr>
      <w:r w:rsidRPr="00415EAE">
        <w:rPr>
          <w:rFonts w:ascii="Times New Roman" w:hAnsi="Times New Roman" w:cs="Times New Roman"/>
        </w:rPr>
        <w:t xml:space="preserve">Smernice 90/434/EHS a 90/435/EHS boli prebraté do zákona č. 595//2003 Z. z. o dani z príjmov v znení neskorších predpisov. Smernica 78/660/EHS bola prebratá do zákona č. 431/2002 Z.z. o účtovníctve v  znení neskorších predpisov. </w:t>
      </w:r>
    </w:p>
    <w:p w:rsidR="00C22376" w:rsidRPr="00415EAE" w:rsidP="00C22376">
      <w:pPr>
        <w:tabs>
          <w:tab w:val="left" w:pos="425"/>
        </w:tabs>
        <w:ind w:left="425"/>
        <w:jc w:val="both"/>
        <w:rPr>
          <w:rFonts w:ascii="Times New Roman" w:hAnsi="Times New Roman" w:cs="Times New Roman"/>
        </w:rPr>
      </w:pPr>
    </w:p>
    <w:p w:rsidR="00C22376" w:rsidRPr="00415EAE" w:rsidP="00C22376">
      <w:pPr>
        <w:tabs>
          <w:tab w:val="left" w:pos="425"/>
        </w:tabs>
        <w:ind w:left="425"/>
        <w:jc w:val="both"/>
        <w:rPr>
          <w:rFonts w:ascii="Times New Roman" w:hAnsi="Times New Roman" w:cs="Times New Roman"/>
        </w:rPr>
      </w:pPr>
      <w:r w:rsidRPr="00415EAE">
        <w:rPr>
          <w:rFonts w:ascii="Times New Roman" w:hAnsi="Times New Roman" w:cs="Times New Roman"/>
        </w:rPr>
        <w:t>Smernica 2006/43/ES bola prebratá do zákona č. 431/2002 Z.z. o účtovníctve v  znení neskorších predpisov a do zákona č. 540/2007 Z.z. o audítoroch, audite a dohľade nad výkonom auditu a o zmene a doplnení zákona č. 431/2002 Z.z. o účtovníctve v znení neskorších predpisov.</w:t>
      </w:r>
    </w:p>
    <w:p w:rsidR="00C22376" w:rsidRPr="00415EAE" w:rsidP="00C22376">
      <w:pPr>
        <w:spacing w:after="120"/>
        <w:ind w:left="357" w:hanging="357"/>
        <w:jc w:val="both"/>
        <w:rPr>
          <w:rFonts w:ascii="Times New Roman" w:hAnsi="Times New Roman" w:cs="Times New Roman"/>
        </w:rPr>
      </w:pPr>
    </w:p>
    <w:p w:rsidR="00C22376" w:rsidRPr="00415EAE" w:rsidP="00C22376">
      <w:pPr>
        <w:numPr>
          <w:ilvl w:val="0"/>
          <w:numId w:val="1"/>
        </w:numPr>
        <w:spacing w:after="120"/>
        <w:jc w:val="both"/>
        <w:rPr>
          <w:rFonts w:ascii="Times New Roman" w:hAnsi="Times New Roman" w:cs="Times New Roman"/>
          <w:b/>
          <w:bCs/>
        </w:rPr>
      </w:pPr>
      <w:r w:rsidRPr="00415EAE">
        <w:rPr>
          <w:rFonts w:ascii="Times New Roman" w:hAnsi="Times New Roman" w:cs="Times New Roman"/>
          <w:b/>
          <w:bCs/>
        </w:rPr>
        <w:t>Stupeň zlučiteľnosti návrhu zákona s právom Európskych spoločenstiev a právom Európskej únie:</w:t>
      </w:r>
    </w:p>
    <w:p w:rsidR="00C22376" w:rsidRPr="00415EAE" w:rsidP="00C22376">
      <w:pPr>
        <w:spacing w:after="120"/>
        <w:ind w:left="425" w:hanging="425"/>
        <w:jc w:val="both"/>
        <w:rPr>
          <w:rFonts w:ascii="Times New Roman" w:hAnsi="Times New Roman" w:cs="Times New Roman"/>
        </w:rPr>
      </w:pPr>
      <w:r w:rsidRPr="00415EAE">
        <w:rPr>
          <w:rFonts w:ascii="Times New Roman" w:hAnsi="Times New Roman" w:cs="Times New Roman"/>
        </w:rPr>
        <w:tab/>
        <w:t>Úplný.</w:t>
      </w:r>
    </w:p>
    <w:p w:rsidR="00C22376" w:rsidRPr="00415EAE" w:rsidP="00C22376">
      <w:pPr>
        <w:numPr>
          <w:ilvl w:val="0"/>
          <w:numId w:val="1"/>
        </w:numPr>
        <w:spacing w:after="120"/>
        <w:jc w:val="both"/>
        <w:rPr>
          <w:rFonts w:ascii="Times New Roman" w:hAnsi="Times New Roman" w:cs="Times New Roman"/>
          <w:b/>
          <w:bCs/>
        </w:rPr>
      </w:pPr>
      <w:r w:rsidRPr="00415EAE">
        <w:rPr>
          <w:rFonts w:ascii="Times New Roman" w:hAnsi="Times New Roman" w:cs="Times New Roman"/>
          <w:b/>
          <w:bCs/>
        </w:rPr>
        <w:t>Gestor a spol</w:t>
      </w:r>
      <w:r w:rsidRPr="00415EAE">
        <w:rPr>
          <w:rFonts w:ascii="Times New Roman" w:hAnsi="Times New Roman" w:cs="Times New Roman"/>
          <w:b/>
          <w:bCs/>
        </w:rPr>
        <w:t xml:space="preserve">upracujúce rezorty: </w:t>
      </w:r>
    </w:p>
    <w:p w:rsidR="00C22376" w:rsidRPr="00415EAE" w:rsidP="00C22376">
      <w:pPr>
        <w:spacing w:after="120"/>
        <w:ind w:left="360"/>
        <w:jc w:val="both"/>
        <w:rPr>
          <w:rFonts w:ascii="Times New Roman" w:hAnsi="Times New Roman" w:cs="Times New Roman"/>
          <w:b/>
          <w:bCs/>
        </w:rPr>
      </w:pPr>
      <w:r w:rsidRPr="00415EAE">
        <w:rPr>
          <w:rFonts w:ascii="Times New Roman" w:hAnsi="Times New Roman" w:cs="Times New Roman"/>
        </w:rPr>
        <w:t xml:space="preserve"> Ministerstvo financií Slovenskej republiky.</w:t>
      </w:r>
    </w:p>
    <w:p w:rsidR="00C22376" w:rsidP="00C22376">
      <w:pPr>
        <w:jc w:val="both"/>
        <w:rPr>
          <w:rFonts w:ascii="Times New Roman" w:hAnsi="Times New Roman" w:cs="Times New Roman"/>
        </w:rPr>
      </w:pPr>
    </w:p>
    <w:p w:rsidR="00C22376" w:rsidP="00C22376">
      <w:pPr>
        <w:jc w:val="both"/>
        <w:rPr>
          <w:rFonts w:ascii="Times New Roman" w:hAnsi="Times New Roman" w:cs="Times New Roman"/>
        </w:rPr>
      </w:pPr>
    </w:p>
    <w:p w:rsidR="00C22376" w:rsidRPr="00415EAE" w:rsidP="00C22376">
      <w:pPr>
        <w:jc w:val="both"/>
        <w:rPr>
          <w:rFonts w:ascii="Times New Roman" w:hAnsi="Times New Roman" w:cs="Times New Roman"/>
        </w:rPr>
      </w:pPr>
    </w:p>
    <w:p w:rsidR="00C22376" w:rsidRPr="00AE204D" w:rsidP="00C22376">
      <w:pPr>
        <w:rPr>
          <w:rFonts w:ascii="Times New Roman" w:hAnsi="Times New Roman" w:cs="Times New Roman"/>
          <w:b/>
          <w:u w:val="single"/>
        </w:rPr>
      </w:pPr>
      <w:r w:rsidRPr="00AE204D">
        <w:rPr>
          <w:rFonts w:ascii="Times New Roman" w:hAnsi="Times New Roman" w:cs="Times New Roman"/>
          <w:b/>
          <w:u w:val="single"/>
        </w:rPr>
        <w:t xml:space="preserve">Osobitná časť </w:t>
      </w:r>
    </w:p>
    <w:p w:rsidR="00C22376" w:rsidRPr="00AE204D" w:rsidP="00C22376">
      <w:pPr>
        <w:jc w:val="both"/>
        <w:rPr>
          <w:rFonts w:ascii="Times New Roman" w:hAnsi="Times New Roman" w:cs="Times New Roman"/>
          <w:b/>
        </w:rPr>
      </w:pPr>
    </w:p>
    <w:p w:rsidR="00C22376" w:rsidRPr="00AE204D" w:rsidP="00C22376">
      <w:pPr>
        <w:rPr>
          <w:rFonts w:ascii="Times New Roman" w:hAnsi="Times New Roman" w:cs="Times New Roman"/>
          <w:b/>
        </w:rPr>
      </w:pPr>
      <w:r w:rsidRPr="00AE204D">
        <w:rPr>
          <w:rFonts w:ascii="Times New Roman" w:hAnsi="Times New Roman" w:cs="Times New Roman"/>
          <w:b/>
        </w:rPr>
        <w:t>K čl. I</w:t>
      </w: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1 </w:t>
      </w:r>
      <w:r w:rsidRPr="00AE204D">
        <w:rPr>
          <w:rFonts w:ascii="Times New Roman" w:hAnsi="Times New Roman" w:cs="Times New Roman"/>
        </w:rPr>
        <w:t>-  § 5 ods. 3 písm. b):</w:t>
      </w:r>
    </w:p>
    <w:p w:rsidR="00C22376" w:rsidRPr="00AE204D" w:rsidP="00C22376">
      <w:pPr>
        <w:tabs>
          <w:tab w:val="left" w:pos="360"/>
        </w:tabs>
        <w:jc w:val="both"/>
        <w:rPr>
          <w:rFonts w:ascii="Times New Roman" w:hAnsi="Times New Roman" w:cs="Times New Roman"/>
        </w:rPr>
      </w:pPr>
      <w:r w:rsidRPr="00AE204D">
        <w:rPr>
          <w:rFonts w:ascii="Times New Roman" w:hAnsi="Times New Roman" w:cs="Times New Roman"/>
        </w:rPr>
        <w:t>Zamestnanecká opcia predstavuje právo zamestnanca na nákup zamestnaneckej akcie. V súčasnosti k zdaniteľnému príjmu zamestnanca prichádza v prvý deň možnosti realizácie takejto opcie, t.j. v prvý deň, kedy je možné vymeniť zamestnaneckú opciu za zamestnaneckú akciu (vesting) bez ohľadu na to, či v skutočnosti zamestnanec opciu v tento deň realizoval alebo jej realizácia nastane v neskoršom období (výmena opcie za zamestnaneckú akciu). Ustanovenie je upravené tak, aby  zdanenie príjmu u zamestnanca nastalo až v deň skutočnej výmeny zamestnaneckej opcie za akciu.</w:t>
      </w:r>
    </w:p>
    <w:p w:rsidR="00C22376" w:rsidRPr="00AE204D" w:rsidP="00C22376">
      <w:pPr>
        <w:jc w:val="both"/>
        <w:rPr>
          <w:rFonts w:ascii="Times New Roman" w:hAnsi="Times New Roman" w:cs="Times New Roman"/>
        </w:rPr>
      </w:pPr>
    </w:p>
    <w:p w:rsidR="00C22376" w:rsidRPr="00AE204D" w:rsidP="00C22376">
      <w:pPr>
        <w:rPr>
          <w:rFonts w:ascii="Times New Roman" w:hAnsi="Times New Roman" w:cs="Times New Roman"/>
        </w:rPr>
      </w:pPr>
      <w:r w:rsidRPr="00AE204D">
        <w:rPr>
          <w:rFonts w:ascii="Times New Roman" w:hAnsi="Times New Roman" w:cs="Times New Roman"/>
          <w:b/>
        </w:rPr>
        <w:t xml:space="preserve">K bodu 2 </w:t>
      </w:r>
      <w:r w:rsidRPr="00AE204D">
        <w:rPr>
          <w:rFonts w:ascii="Times New Roman" w:hAnsi="Times New Roman" w:cs="Times New Roman"/>
        </w:rPr>
        <w:t>-  § 5 ods. 7 písm. e):</w:t>
      </w:r>
    </w:p>
    <w:p w:rsidR="00C22376" w:rsidRPr="00AE204D" w:rsidP="00C22376">
      <w:pPr>
        <w:jc w:val="both"/>
        <w:rPr>
          <w:rFonts w:ascii="Times New Roman" w:hAnsi="Times New Roman" w:cs="Times New Roman"/>
        </w:rPr>
      </w:pPr>
      <w:r w:rsidRPr="00AE204D">
        <w:rPr>
          <w:rFonts w:ascii="Times New Roman" w:hAnsi="Times New Roman" w:cs="Times New Roman"/>
        </w:rPr>
        <w:t>Z dôvodu právnej istoty sa spresňuje toto ustanovenie tak, aby bolo zrejmé, že oslobodené od dane sú pre zamestnanca aj sumy poistného a príspevkov na zahraničné poistenie, ktoré je povinný platiť zamestnávateľ za zamestnanca.</w:t>
      </w:r>
    </w:p>
    <w:p w:rsidR="00C22376" w:rsidRPr="00AE204D" w:rsidP="00C22376">
      <w:pPr>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3 </w:t>
      </w:r>
      <w:r w:rsidRPr="00AE204D">
        <w:rPr>
          <w:rFonts w:ascii="Times New Roman" w:hAnsi="Times New Roman" w:cs="Times New Roman"/>
        </w:rPr>
        <w:t>-  § 5 ods. 7 písm. j):</w:t>
      </w:r>
    </w:p>
    <w:p w:rsidR="00C22376" w:rsidRPr="000F1F0B" w:rsidP="00C22376">
      <w:pPr>
        <w:jc w:val="both"/>
        <w:rPr>
          <w:rFonts w:ascii="Times New Roman" w:hAnsi="Times New Roman" w:cs="Times New Roman"/>
        </w:rPr>
      </w:pPr>
      <w:r w:rsidRPr="000F1F0B">
        <w:rPr>
          <w:rFonts w:ascii="Times New Roman" w:hAnsi="Times New Roman" w:cs="Times New Roman"/>
        </w:rPr>
        <w:t xml:space="preserve">Pôvodné znenie ustanovenia písmena j) sa vypúšťa z dôvodu úpravy vykonanej týmto zákonom v § 5 ods. 3 písm. b) a nahrádza sa novým znením. </w:t>
      </w:r>
      <w:r>
        <w:rPr>
          <w:rFonts w:ascii="Times New Roman" w:hAnsi="Times New Roman" w:cs="Times New Roman"/>
        </w:rPr>
        <w:t>Podľa nového znenia písmena j) sa oslobodzuje od dane</w:t>
      </w:r>
      <w:r w:rsidRPr="000F1F0B">
        <w:rPr>
          <w:rFonts w:ascii="Times New Roman" w:hAnsi="Times New Roman" w:cs="Times New Roman"/>
        </w:rPr>
        <w:t xml:space="preserve"> náhrad</w:t>
      </w:r>
      <w:r>
        <w:rPr>
          <w:rFonts w:ascii="Times New Roman" w:hAnsi="Times New Roman" w:cs="Times New Roman"/>
        </w:rPr>
        <w:t>a</w:t>
      </w:r>
      <w:r w:rsidRPr="000F1F0B">
        <w:rPr>
          <w:rFonts w:ascii="Times New Roman" w:hAnsi="Times New Roman" w:cs="Times New Roman"/>
        </w:rPr>
        <w:t xml:space="preserve"> </w:t>
      </w:r>
      <w:r>
        <w:rPr>
          <w:rFonts w:ascii="Times New Roman" w:hAnsi="Times New Roman" w:cs="Times New Roman"/>
        </w:rPr>
        <w:t>z</w:t>
      </w:r>
      <w:r w:rsidRPr="000F1F0B">
        <w:rPr>
          <w:rFonts w:ascii="Times New Roman" w:hAnsi="Times New Roman" w:cs="Times New Roman"/>
        </w:rPr>
        <w:t xml:space="preserve">a stratu na zárobku </w:t>
      </w:r>
      <w:r>
        <w:rPr>
          <w:rFonts w:ascii="Times New Roman" w:hAnsi="Times New Roman" w:cs="Times New Roman"/>
        </w:rPr>
        <w:t xml:space="preserve">vyplatená zamestnancovi podľa osobitného predpisu, ktorá sa </w:t>
      </w:r>
      <w:r w:rsidRPr="000F1F0B">
        <w:rPr>
          <w:rFonts w:ascii="Times New Roman" w:hAnsi="Times New Roman" w:cs="Times New Roman"/>
        </w:rPr>
        <w:t xml:space="preserve">vypočíta </w:t>
      </w:r>
      <w:r>
        <w:rPr>
          <w:rFonts w:ascii="Times New Roman" w:hAnsi="Times New Roman" w:cs="Times New Roman"/>
        </w:rPr>
        <w:t xml:space="preserve">z priemerného mesačného čistého zárobku tohto zamestnanca. Ide o tzv. svedočné vyplácané podľa </w:t>
      </w:r>
      <w:r w:rsidRPr="00AE204D">
        <w:rPr>
          <w:rFonts w:ascii="Times New Roman" w:hAnsi="Times New Roman" w:cs="Times New Roman"/>
        </w:rPr>
        <w:t xml:space="preserve">§ 72 </w:t>
      </w:r>
      <w:r>
        <w:rPr>
          <w:rFonts w:ascii="Times New Roman" w:hAnsi="Times New Roman" w:cs="Times New Roman"/>
        </w:rPr>
        <w:t xml:space="preserve">ods. 2 </w:t>
      </w:r>
      <w:r w:rsidRPr="00AE204D">
        <w:rPr>
          <w:rFonts w:ascii="Times New Roman" w:hAnsi="Times New Roman" w:cs="Times New Roman"/>
        </w:rPr>
        <w:t xml:space="preserve">vyhlášky Ministerstva spravodlivosti Slovenskej republiky č. 543/2005 Z. z. </w:t>
      </w:r>
      <w:r>
        <w:rPr>
          <w:rFonts w:ascii="Times New Roman" w:hAnsi="Times New Roman" w:cs="Times New Roman"/>
        </w:rPr>
        <w:t xml:space="preserve">o Spravovacom a </w:t>
      </w:r>
      <w:r w:rsidRPr="00AE204D">
        <w:rPr>
          <w:rFonts w:ascii="Times New Roman" w:hAnsi="Times New Roman" w:cs="Times New Roman"/>
        </w:rPr>
        <w:t>kancelárskom poriadku pre okresné súdy, krajské súdy, Špe</w:t>
      </w:r>
      <w:r w:rsidRPr="00AE204D">
        <w:rPr>
          <w:rFonts w:ascii="Times New Roman" w:hAnsi="Times New Roman" w:cs="Times New Roman"/>
        </w:rPr>
        <w:t>ciálny súd a vojenské súdy v znení neskorších predpisov</w:t>
      </w:r>
      <w:r>
        <w:rPr>
          <w:rFonts w:ascii="Times New Roman" w:hAnsi="Times New Roman" w:cs="Times New Roman"/>
        </w:rPr>
        <w:t xml:space="preserve">. Ak sa ale náhrada na zárobku vypočíta a vyplatí z priemerného mesačného hrubého zárobku zamestnanca, potom takáto náhrada u zamestnanca sa zdaní podľa § 43 ods. 3 písm. m) tejto novely zákona zrážkovou daňou a zároveň podľa § 43 ods. 6 tohto zákona bude takto vybraná daň považovaná za vysporiadanú.  </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w:t>
      </w: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4 </w:t>
      </w:r>
      <w:r w:rsidRPr="00AE204D">
        <w:rPr>
          <w:rFonts w:ascii="Times New Roman" w:hAnsi="Times New Roman" w:cs="Times New Roman"/>
        </w:rPr>
        <w:t>-  § 6 ods. 5 písm. c):</w:t>
      </w:r>
    </w:p>
    <w:p w:rsidR="00C22376" w:rsidRPr="00AE204D" w:rsidP="00C22376">
      <w:pPr>
        <w:jc w:val="both"/>
        <w:rPr>
          <w:rFonts w:ascii="Times New Roman" w:hAnsi="Times New Roman" w:cs="Times New Roman"/>
        </w:rPr>
      </w:pPr>
      <w:r w:rsidRPr="00AE204D">
        <w:rPr>
          <w:rFonts w:ascii="Times New Roman" w:hAnsi="Times New Roman" w:cs="Times New Roman"/>
        </w:rPr>
        <w:t>Táto úprava nadväzuje na zmenu ustanovenia § 17 ods. 11 a doplnenia nového ustanovenia o predaji podniku podľa § 17a t</w:t>
      </w:r>
      <w:r w:rsidRPr="00AE204D">
        <w:rPr>
          <w:rFonts w:ascii="Times New Roman" w:hAnsi="Times New Roman" w:cs="Times New Roman"/>
        </w:rPr>
        <w:t>ejto novely zákona.</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5  </w:t>
      </w:r>
      <w:r w:rsidRPr="00AE204D">
        <w:rPr>
          <w:rFonts w:ascii="Times New Roman" w:hAnsi="Times New Roman" w:cs="Times New Roman"/>
        </w:rPr>
        <w:t>- § 8  ods. 2:</w:t>
      </w:r>
    </w:p>
    <w:p w:rsidR="00C22376" w:rsidRPr="00AE204D" w:rsidP="00C22376">
      <w:pPr>
        <w:jc w:val="both"/>
        <w:rPr>
          <w:rFonts w:ascii="Times New Roman" w:hAnsi="Times New Roman" w:cs="Times New Roman"/>
          <w:b/>
        </w:rPr>
      </w:pPr>
      <w:r w:rsidRPr="00AE204D">
        <w:rPr>
          <w:rFonts w:ascii="Times New Roman" w:hAnsi="Times New Roman" w:cs="Times New Roman"/>
        </w:rPr>
        <w:t xml:space="preserve">V § 8 ods. 2 sa upravuje spôsob výpočtu základu dane u fyzickej osoby – vkladateľa pri nepeňažnom vklade do základného imania obchodnej spoločnosti alebo družstva, pričom výnimku tvorí majetok, pri ktorom príjmy z jeho predaja by boli oslobodené od dane podľa § 9 ods. 1 písm. a) až e) a j). Do základu dane sa zahŕňa rozdiel vzniknutý z ocenenia nepeňažného vkladu a jeho uznaného ocenenia na účely vkladu jednorazovo alebo postupne, najdlhšie počas siedmich bezprostredne po sebe nasledujúcich zdaňovacích období, najmenej vo výške 1/7 počnúc tým zdaňovacím obdobím, v ktorom bol nepeňažný vklad splatený, pričom pri tejto úprave je vkladateľ povinný dodržať podmienky, že počas tohto obdobia nemôže odpredať alebo vyradiť cenné papiere a obchodné podiely spojené s vkladom a prijímateľ nepeňažného vkladu nemôže odpredať alebo vyradiť viac ako 50 % reálnej hodnoty hmotného majetku a nehmotného majetku nadobudnutého nepeňažným vkladom. Pri porušení podmienky predaja cenných papierov a obchodného podielu spojeného s nepeňažným vkladom je vkladateľ povinný celú zostávajúcu časť oceňovacieho rozdielu jednorazovo zahrnúť do základu dane v tom zdaňovacom období, v ktorom došlo k nedodržaniu tejto podmienky. Ak sa vkladateľ nepeňažného vkladu rozhodne oceňovací rozdiel do základu dane zahrnúť jednorazovo, je povinný oznámiť prijímateľovi nepeňažného vkladu túto skutočnosť podľa § 17b ods. 2 a prijímateľ môže pokračovať v odpisovaní majetku z reálnej hodnoty ako v ďalších rokoch odpisovania. Ak prijímateľ nepeňažného vkladu odpredá alebo inak vyradí viac ako 50 % reálnej hodnoty hmotného majetku a nehmotného majetku nadobudnutého nepeňažným vkladom, je povinný túto skutočnosť oznámiť vkladateľovi tohto vkladu podľa § 17b ods. 7 a tento je povinný zostávajúcu časť oceňovacieho rozdielu zahrnúť do základu dane v tom zdaňovacom období, v ktorom došlo k tejto skutočnosti. </w:t>
      </w:r>
    </w:p>
    <w:p w:rsidR="00C22376" w:rsidRPr="00AE204D"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6 </w:t>
      </w:r>
      <w:r w:rsidRPr="00AE204D">
        <w:rPr>
          <w:rFonts w:ascii="Times New Roman" w:hAnsi="Times New Roman" w:cs="Times New Roman"/>
        </w:rPr>
        <w:t>- § 17 ods. 1 písm. d):</w:t>
      </w:r>
    </w:p>
    <w:p w:rsidR="00C22376" w:rsidRPr="00AE204D" w:rsidP="00C22376">
      <w:pPr>
        <w:autoSpaceDE/>
        <w:autoSpaceDN/>
        <w:jc w:val="both"/>
        <w:rPr>
          <w:rFonts w:ascii="Times New Roman" w:hAnsi="Times New Roman" w:cs="Times New Roman"/>
        </w:rPr>
      </w:pPr>
      <w:r w:rsidRPr="00AE204D">
        <w:rPr>
          <w:rFonts w:ascii="Times New Roman" w:hAnsi="Times New Roman" w:cs="Times New Roman"/>
        </w:rPr>
        <w:t>Najmä vo vzťahu k nerezidentom, ktorí sú právnickými osobami a ktorí nevedú na území SR účtovníctvo podľa účtovných predpisov platných na našom území a tiež vo vzťahu k tým</w:t>
      </w:r>
      <w:r w:rsidRPr="00AE204D">
        <w:rPr>
          <w:rFonts w:ascii="Times New Roman" w:hAnsi="Times New Roman" w:cs="Times New Roman"/>
          <w:b/>
        </w:rPr>
        <w:t xml:space="preserve"> </w:t>
      </w:r>
      <w:r w:rsidRPr="00AE204D">
        <w:rPr>
          <w:rFonts w:ascii="Times New Roman" w:hAnsi="Times New Roman" w:cs="Times New Roman"/>
        </w:rPr>
        <w:t xml:space="preserve">druhom príjmov, ktoré nie sú súčasťou základu dane stálej prevádzkarne, z ktorých sa daň nevyberá zrážkou podľa § 43 alebo z ktorých vybraním dane zrážkou nie je splnená daňová povinnosť, sa vymedzuje zistenie základu dane takéhoto daňovníka na území SR. </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7  </w:t>
      </w:r>
      <w:r w:rsidRPr="00AE204D">
        <w:rPr>
          <w:rFonts w:ascii="Times New Roman" w:hAnsi="Times New Roman" w:cs="Times New Roman"/>
        </w:rPr>
        <w:t xml:space="preserve">- § 17 ods. 10 a 11: </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Podľa odseku 10 sa rozdiel zo vzájomného započítania pohľadávok a záväzkov pri zlúčení alebo splynutí obchodných spoločností alebo družstiev účtovaný na účet  nerozdelený zisk alebo neuhradená strata minulých rokov zahrnie do základu dane právneho nástupcu daňovníka zrušeného bez likvidácie v zdaňovacom období, ktoré nasleduje po rozhodnom dni. Podľa odseku 11 sa pri predaji a kúpe podniku alebo jeho časti, pri nepeňažnom vklade, pri zlúčení, splynutí alebo rozdelení obchodných spoločností alebo družstiev uplatňuje postup podľa § 17a až § 17e v závislosti od použitého ocenenia majetku. </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8 </w:t>
      </w:r>
      <w:r w:rsidRPr="00AE204D">
        <w:rPr>
          <w:rFonts w:ascii="Times New Roman" w:hAnsi="Times New Roman" w:cs="Times New Roman"/>
        </w:rPr>
        <w:t>- § 17 ods. 12 písm. a):</w:t>
      </w:r>
    </w:p>
    <w:p w:rsidR="00C22376" w:rsidRPr="00AE204D" w:rsidP="00C22376">
      <w:pPr>
        <w:jc w:val="both"/>
        <w:rPr>
          <w:rFonts w:ascii="Times New Roman" w:hAnsi="Times New Roman" w:cs="Times New Roman"/>
        </w:rPr>
      </w:pPr>
      <w:r w:rsidRPr="00AE204D">
        <w:rPr>
          <w:rFonts w:ascii="Times New Roman" w:hAnsi="Times New Roman" w:cs="Times New Roman"/>
        </w:rPr>
        <w:t>Táto úprava je vyvolaná novým ustanovením o nepeňažnom vklade v § 17b  a 17d tejto novely zákona.</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9 </w:t>
      </w:r>
      <w:r w:rsidRPr="00AE204D">
        <w:rPr>
          <w:rFonts w:ascii="Times New Roman" w:hAnsi="Times New Roman" w:cs="Times New Roman"/>
        </w:rPr>
        <w:t>- § 17 ods. 13:</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O zmluvné pokuty, poplatky a úroky z omeškania zaúčtované daňovníkom predávajúcim podnik, vkladateľom nepeňažného vkladu a daňovníkom zrušeným bez likvidácie, sa základ dane neupravuje v čase predaja podniku alebo jeho časti, nepeňažného vkladu alebo pri zlúčení, splynutí, rozdelení obchodných spoločností alebo družstiev. Tieto sa zahrnujú do základu dane u daňovníka kupujúceho podnik alebo jeho časť, prijímateľa nepeňažného vkladu alebo právneho nástupcu daňovníka zrušeného bez likvidácie po prijatí úhrady alebo po ich zaplatení. Rovnako sa postupuje v prípade nájomného, odplát a provízií uhrádzaných fyzickej osobe. </w:t>
      </w:r>
    </w:p>
    <w:p w:rsidR="00C22376" w:rsidRPr="00AE204D"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10 </w:t>
      </w:r>
      <w:r w:rsidRPr="00AE204D">
        <w:rPr>
          <w:rFonts w:ascii="Times New Roman" w:hAnsi="Times New Roman" w:cs="Times New Roman"/>
        </w:rPr>
        <w:t>- § 17 ods. 14:</w:t>
      </w:r>
    </w:p>
    <w:p w:rsidR="00C22376" w:rsidRPr="00AE204D" w:rsidP="00C22376">
      <w:pPr>
        <w:jc w:val="both"/>
        <w:rPr>
          <w:rFonts w:ascii="Times New Roman" w:hAnsi="Times New Roman" w:cs="Times New Roman"/>
        </w:rPr>
      </w:pPr>
      <w:r w:rsidRPr="00AE204D">
        <w:rPr>
          <w:rFonts w:ascii="Times New Roman" w:hAnsi="Times New Roman" w:cs="Times New Roman"/>
        </w:rPr>
        <w:t>Súčasťou základu dane daňovníka s neobmedzenou daňovou povinnosťou je aj daňová strata jeho stálej prevádzkarne umiestnenej mimo územia SR. Súčasne sa ustanovuje, že rovnako postupuje aj daňovník, ktorý premiestnil sídlo alebo miesto skutočného vedenia obchodnej spoločnosti alebo družstva zo zahraničia na územie Slovenskej republiky, pričom stála prevádzkareň ostáva mimo územia SR.</w:t>
      </w:r>
    </w:p>
    <w:p w:rsidR="00C22376" w:rsidRPr="00AE204D"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11 </w:t>
      </w:r>
      <w:r w:rsidRPr="00AE204D">
        <w:rPr>
          <w:rFonts w:ascii="Times New Roman" w:hAnsi="Times New Roman" w:cs="Times New Roman"/>
        </w:rPr>
        <w:t>- § 17 ods. 18 a 19:</w:t>
      </w:r>
    </w:p>
    <w:p w:rsidR="00C22376" w:rsidRPr="00AE204D" w:rsidP="00C22376">
      <w:pPr>
        <w:jc w:val="both"/>
        <w:rPr>
          <w:rFonts w:ascii="Times New Roman" w:hAnsi="Times New Roman" w:cs="Times New Roman"/>
        </w:rPr>
      </w:pPr>
      <w:r w:rsidRPr="00AE204D">
        <w:rPr>
          <w:rFonts w:ascii="Times New Roman" w:hAnsi="Times New Roman" w:cs="Times New Roman"/>
        </w:rPr>
        <w:t>Ustanovenia sa vypúšťajú z dôvodu, že tieto sú zapracované v § 17a až § 17e. Zároveň sa doterajšie odseky 20 až 31 označujú ako odseky 18 až 29.</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12</w:t>
      </w:r>
      <w:r w:rsidRPr="00AE204D">
        <w:rPr>
          <w:rFonts w:ascii="Times New Roman" w:hAnsi="Times New Roman" w:cs="Times New Roman"/>
        </w:rPr>
        <w:t xml:space="preserve"> - § 17 ods. 26:</w:t>
      </w:r>
    </w:p>
    <w:p w:rsidR="00C22376" w:rsidRPr="00AE204D" w:rsidP="00C22376">
      <w:pPr>
        <w:jc w:val="both"/>
        <w:rPr>
          <w:rFonts w:ascii="Times New Roman" w:hAnsi="Times New Roman" w:cs="Times New Roman"/>
        </w:rPr>
      </w:pPr>
      <w:r w:rsidRPr="00AE204D">
        <w:rPr>
          <w:rFonts w:ascii="Times New Roman" w:hAnsi="Times New Roman" w:cs="Times New Roman"/>
        </w:rPr>
        <w:t>Dochádza k spresneniu tohto ustanovenia tak, že sa uplatní rovnaký postup, ako pri zrušení daňovníka bez likvidácie so sídlom na území SR, ak právnym nástupcom je daňovník so sídlom mimo územia SR. Postupuje sa podľa  § 17e ods. 8 písm. a) zákona.</w:t>
      </w:r>
    </w:p>
    <w:p w:rsidR="00C22376" w:rsidP="00C22376">
      <w:pPr>
        <w:jc w:val="both"/>
        <w:rPr>
          <w:rFonts w:ascii="Times New Roman" w:hAnsi="Times New Roman" w:cs="Times New Roman"/>
          <w:b/>
        </w:rPr>
      </w:pPr>
    </w:p>
    <w:p w:rsidR="00C22376" w:rsidRPr="00AE204D" w:rsidP="00C22376">
      <w:pPr>
        <w:jc w:val="both"/>
        <w:rPr>
          <w:rFonts w:ascii="Times New Roman" w:hAnsi="Times New Roman" w:cs="Times New Roman"/>
          <w:b/>
        </w:rPr>
      </w:pPr>
      <w:r w:rsidRPr="00AE204D">
        <w:rPr>
          <w:rFonts w:ascii="Times New Roman" w:hAnsi="Times New Roman" w:cs="Times New Roman"/>
          <w:b/>
        </w:rPr>
        <w:t xml:space="preserve">K bodu 13 </w:t>
      </w:r>
      <w:r w:rsidRPr="00AE204D">
        <w:rPr>
          <w:rFonts w:ascii="Times New Roman" w:hAnsi="Times New Roman" w:cs="Times New Roman"/>
        </w:rPr>
        <w:t>- § 17a až  17e:</w:t>
      </w: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 17a </w:t>
      </w:r>
      <w:r w:rsidRPr="00AE204D">
        <w:rPr>
          <w:rFonts w:ascii="Times New Roman" w:hAnsi="Times New Roman" w:cs="Times New Roman"/>
        </w:rPr>
        <w:t>-</w:t>
      </w:r>
      <w:r w:rsidRPr="00AE204D">
        <w:rPr>
          <w:rFonts w:ascii="Times New Roman" w:hAnsi="Times New Roman" w:cs="Times New Roman"/>
          <w:b/>
        </w:rPr>
        <w:tab/>
      </w:r>
      <w:r w:rsidRPr="00AE204D">
        <w:rPr>
          <w:rFonts w:ascii="Times New Roman" w:hAnsi="Times New Roman" w:cs="Times New Roman"/>
        </w:rPr>
        <w:t xml:space="preserve">Odsek 1 obsahuje úpravu základu dane pri predaji podniku alebo jeho časti u daňovníka účtujúceho v sústave jednoduchého účtovníctva. Pri zisťovaní základu dane daňovníka predávajúceho podnik alebo jeho časť sa vychádza z kladného alebo záporného rozdielu medzi príjmami a výdavkami. Možnosť umorovať stratu podľa § 30 zákona pri predaji podniku alebo jeho časti má iba daňovník, u ktorého bola táto strata vykázaná.   Podľa odseku 2  daňovník, ktorý účtuje v sústave jednoduchého účtovníctva oceňuje majetok pri kúpe podniku alebo jeho časti reálnou hodnotou. Majetok nadobudnutý kúpou podniku alebo jeho časti sa odpisuje ako novoobstaraný majetok. Opravná položka k nadobudnutému majetku sa u daňovníka kupujúceho podnik alebo jeho časť odpisuje v súlade s účtovníctvom. Pri pohľadávke nadobudnutej kúpou podniku alebo jeho časti sa postupuje podľa § 17 ods. 12 písm. d) zákona. Záväzky nadobudnuté kúpou podniku alebo jeho časti sa zahrnú do daňových výdavkov (za predpokladu, že sú považované za daňové výdavky) až po ich skutočnom zaplatení daňovníkom, ktorý nadobudol podnik alebo jeho časť kúpou. Odsek 3 ustanovuje úpravu základu dane pri predaji podniku alebo jeho časti u daňovníka účtujúceho v sústave podvojného účtovníctva. Pri zisťovaní základu dane daňovníka predávajúceho podnik alebo jeho časť sa vychádza z výsledku hospodárenia zisteného v účtovníctve, t.j. zo zisku alebo zo straty. Možnosť umorovať stratu podľa § 30 zákona pri predaji podniku alebo jeho časti má iba daňovník, u ktorého bola táto strata vykázaná. Odsek 4 upravuje vplyv rezerv na základ dane predávajúceho pri predaji podniku alebo jeho časti tým spôsobom, že predávajúci základ dane zníži o sumu rezervy, ktorej tvorba nebola uznaným daňovým výdavkom. Do základu dane sa zahrnie celý rozdiel, o ktorý opravné položky vytvorené v účtovníctve prevyšujú sumu opravných položiek už zahrnutých do základu dane. Do základu dane sa nezahrnú len opravné položky k dlhodobému hmotnému majetku a dlhodobému nehmotnému majetku. Základ dane predávajúceho sa zníži aj o sumu záväzkov po lehote splatnosti 36 mesiacov, o ktoré zvýšil základ dane podľa § 17 ods. 27 (do 31. decembra 2009 podľa § 17 ods. 29). Podľa odseku 5 pri predaji podniku alebo jeho časti sa aj na daňové účely majetok a záväzky oceňujú reálnou hodnotou v súlade so zákonom č. 431/2002 Z. z. o účtovníctve v znení neskorších predpisov. Odpisovaný majetok sa zaradí do príslušnej odpisovej skupiny a odpisuje sa z reálnej hodnoty ako v prvom roku odpisovania. Goodwill, resp. záporný goodwill vznikajúci pri kúpe podniku alebo jeho časti sa zahrnie do základu dane najdlhšie počas bezprostredne nasledujúcich siedmich zdaňovacích období, po prvýkrát v zdaňovacom období, v ktorom nadobudla účinnosť zmluva o kúpe podniku alebo jeho časti, najmenej však vo výške 1/7 vyčísleného goodwillu, resp. záporného goodwillu.  Zároveň sa upravuje zahrnovanie goodwillu alebo záporného goodwillu do základu dane, ak sa daňovník zrušuje s likvidáciou, bez likvidácie, je na neho vyhlásený konkurz, dôjde k opätovnému predaju podniku alebo bude podnik predmetom nepeňažného vkladu. V odseku 6 sa upravuje zúčtovanie rezervy u kupujúceho tak, že do základu dane kupujúceho vstupuje len rozdiel medzi výškou prevzatej rezervy a výškou skutočnej úhrady záväzku, ku ktorému bola tvorená táto rezerva, ak pôjde o daňový výdavok. Ak pôjde o takto nadobudnutú rezervu, ktorú daňovník nepoužije ale ju zruší, potom táto rezerva sa zahrnuje do základu dane v súlade s účtovníctvom. Pri ďalšej tvorbe rezerv kupujúcim a ich zúčtovaní kupujúci uplatní postup podľa § 17 ods. 23 a § 20 zákona. Podľa odseku 7, ak dôjde k postúpeniu nepremlčanej pohľadávky ocenenej v reálnej hodnote, pričom táto hodnota nemôže byť vyššia ako menovitá hodnota pohľadávky bez príslušenstva, daňovým výdavkom bude reálna hodnota pohľadávky bez príslušenstva najviac do výšky príjmu z jej postúpenia, alebo daňovým výdavkom bude suma v ustanovenom rozsahu a v závislosti od uplynutia lehoty od nadobudnutia tejto pohľadávky. Ak dôjde k odpisu nepremlčanej pohľadávky ocenenej v reálnej hodnote, pričom táto hodnota nemôže byť vyššia ako menovitá hodnota pohľadávky bez príslušenstva, daňovým výdavkom bude suma v ustanovenom rozsahu a v závislosti od uplynutia lehoty od nadobudnutia tejto pohľadávky. Podľa odseku 8 sa úprava základu dane pri predaji podniku alebo jeho časti vykoná v tom zdaňovacom období, v ktorom nadobudne účinnosť zmluva o predaji podniku alebo jeho časti. Z odseku 9 vyplýva, že na uplatnenie daňových výdavkov pri majetku a záväzkoch nadobudnutých kúpou podniku alebo jeho časti, sa na účely tohto zákona vychádza z reálnej hodnoty majetku a záväzkov podľa odseku 5 [napr. pri predaji cenných papierov sa na uplatnenie výdavku podľa § 19 ods. 2 písm. f) nebude vychádzať z obstarávacej ceny cenných papierov, ale z  reálnej hodnoty].  </w:t>
      </w: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 17b </w:t>
      </w:r>
      <w:r w:rsidRPr="00AE204D">
        <w:rPr>
          <w:rFonts w:ascii="Times New Roman" w:hAnsi="Times New Roman" w:cs="Times New Roman"/>
        </w:rPr>
        <w:t>-</w:t>
        <w:tab/>
        <w:t>Vplyv nepeňažného vkladu na základ dane do 31. decembra 2009 je vymedzený</w:t>
      </w:r>
      <w:r w:rsidRPr="00AE204D">
        <w:rPr>
          <w:rFonts w:ascii="Times New Roman" w:hAnsi="Times New Roman" w:cs="Times New Roman"/>
          <w:b/>
        </w:rPr>
        <w:t xml:space="preserve"> </w:t>
      </w:r>
      <w:r w:rsidRPr="00AE204D">
        <w:rPr>
          <w:rFonts w:ascii="Times New Roman" w:hAnsi="Times New Roman" w:cs="Times New Roman"/>
        </w:rPr>
        <w:t>v § 17 ods. 19 zákona.  Pri zisťovaní základu dane vkladateľa nepeňažného vkladu sa od roku 2010 vychádza z výsledku hospodárenia zisteného v účtovníctve, t.j. zo zisku alebo zo straty. Možnosť umorovať stratu podľa § 30 zákona pri nepeňažnom vklade má iba daňovník, u ktorého bola táto strata vykázaná. V odseku 1 sa upravuje výpočet základu dane u vkladateľa nepeňažného vkladu, účtujúceho v sústave podvojného účtovníctva, pričom rozdiel vzniknutý z účtovného ocenenia nepeňažného vkladu a jeho uznaného ocenenia na účely vkladu sa zahrnie do základu dane jednorazovo (t.j. rozdiel medzi účtovným ocenením majetku a jeho uznanou hodnotou na účely nepeňažného vkladu účtovaný na účet nákladov alebo výnosov bude súčasťou výsledku hospodárenia a tým aj základu dane). Súčasne sa však daňovníkovi umožňuje rozhodnúť sa aj pre druhý postup, kedy celý rozdiel vzniknutý z účtovného ocenenia nepeňažného vkladu a jeho uznaného ocenenia na účely vkladu, sa zahrnie do základu dane najdlhšie počas siedmich bezprostredne po sebe nasledujúcich zdaňovacích období, najmenej vo výške 1/7 počnúc tým zdaňovacím obdobím, v ktorom došlo k splateniu nepeňažného vkladu (t.j. rozdiel zaúčtovaný na účet nákladov alebo výnosov sa vylúči z výsledku hospodárenia a zahrnie sa do základu dane postupne najmenej vo výške 1/7 počas najdlhšie siedmich zdaňovacích období), pričom pri tejto úprave je potrebné dodržať podmienky</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vkladateľ nepeňažného vkladu počas tohto obdobia môže odpredať alebo vyradiť z celkovej hodnoty cenných papierov a obchodného podielu evidovaných voči prijímateľovi nepeňažného vkladu len takú hodnotu, aby zostatková hodnota týchto cenných papierov a obchodného podielu nepoklesla pod hodnotu cenných papierov a obchodného podielu nadobudnutých nepeňažných vkladom,</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prijímateľ nepeňažného vkladu nemôže odpredať viac, ako 50 % reálnej hodnoty hmotného majetku a nehmotného majetku nadobudnutého nepeňažným vkladom.</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Pri porušení týchto podmienok je vkladateľ povinný celú zostávajúcu časť oceňovacieho rozdielu jednorazovo zahrnúť do základu dane v tom zdaňovacom období, v ktorom došlo k nedodržaniu týchto podmienok. Zároveň sa upravuje zahrnovanie vykázaného rozdielu do základu dane, ak sa daňovník zrušuje s likvidáciou, bez likvidácie alebo je na neho vyhlásený konkurz. Základ dane sa </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upraví o rozdiel medzi účtovnou zostatkovou cenou vloženého odpisovaného majetku a jeho daňovou zostatkovou cenou,</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upraví o rozdiel medzi reprodukčnou obstarávacou cenou neodpisovaného majetku a jeho vstupnou cenou (majetok nadobudnutý darom, resp. vkladom do 31. decembra 2009), </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zníži o sumu nedaňových rezerv, ktoré sú súčasťou nepeňažného vkladu podniku alebo jeho časti,</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zníži o rozdiel vytvorených opravných položiek v súlade s účtovníctvom, s výnimkou opravnej položky k dlhodobému hmotnému a nehmotnému majetku,</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zníži o sumu záväzkov, o ktoré po lehote splatnosti 36 mesiacov zvýšil základ dane podľa § 17 ods. 27 (do 31. decembra 2009 podľa § 17 ods. 29). </w:t>
      </w:r>
    </w:p>
    <w:p w:rsidR="00C22376" w:rsidRPr="00AE204D" w:rsidP="00C22376">
      <w:pPr>
        <w:jc w:val="both"/>
        <w:rPr>
          <w:rFonts w:ascii="Times New Roman" w:hAnsi="Times New Roman" w:cs="Times New Roman"/>
        </w:rPr>
      </w:pPr>
      <w:r w:rsidRPr="00AE204D">
        <w:rPr>
          <w:rFonts w:ascii="Times New Roman" w:hAnsi="Times New Roman" w:cs="Times New Roman"/>
        </w:rPr>
        <w:t>Podľa odseku 2 skutočnosť o jednorazovom zahrnutí vykázaného rozdielu z ocenenia  nepeňažného vkladu do základu dane je vkladateľ povinný oznámiť prijímateľovi nepeňažného vkladu do 30 dní od splatenia nepeňažného vkladu. Podľa odseku 3 sa majetok a záväzky nadobudnuté nepeňažným vkladom oceňujú reálnou hodnotou rovnako ako podľa zákona o účtovníctve alebo v prípade individuálne vloženého majetku uznanou hodnotou započítanou na vklad spoločníka. Podľa odseku 4 prijímateľ nepeňažného vkladu odpisuje majetok z reálnej hodnoty alebo z hodnoty nepeňažného vkladu započítanej na vklad spoločníka ako v prvom roku odpisovania, alebo ak vkladateľ nepeňažného vkladu zahrnie rozdiel medzi uznanou hodnotou nepeňažného vkladu započítanou na vklad spoločníka a hodnotou nepeňažného vkladu v účtovníctve do základu dane jednorazovo, potom prijímateľ nepeňažného vkladu môže odpisovať majetok z reálnej hodnoty alebo z hodnoty započítanej na vklad spoločníka, pričom pri rovnomernom odpisovaní sa doba odpisovania predĺži o dobu vyplývajúcu zo spôsobu výpočtu podľa § 27 a pri zrýchlenom odpisovaní sa majetok odpisuje podľa § 28 ako v ďalších rokoch odpisovania, a to počas zostávajúcej doby odpisovania zistenej u vkladateľa (§ 26). Podľa odseku 5 sa u prijímateľa nepeňažného vkladu do základu dane zahrnuje len rozdiel medzi výškou prevzatej rezervy a výškou skutočnej úhrady záväzku, ku ktorému bola tvorená táto rezerva, ak náklad vzťahujúci sa k tejto rezerve by bol daňovým výdavkom. Zrušenie rezervy nadobudnutej nepeňažným vkladom sa zahrnuje do základu dane podľa účtovníctva. Pri ďalšej tvorbe rezerv prijímateľ nepeňažného vkladu uplatní postup podľa  § 17 ods. 23 a § 20 zákona. Goodwill, resp. záporný goodwill vykázaný u prijímateľa nepeňažného vkladu podniku alebo jeho časti sa zahrnie do základu dane postupne počas najviac siedmich zdaňovacích období, po prvýkrát v zdaňovacom období, v ktorom došlo k splateniu nepeňažného vkladu, najmenej však vo výške 1/7 vyčísleného goodwillu, resp. záporného goodwillu. Zároveň sa upravuje zahrnovanie goodwillu alebo záporného goodwillu do základu dane, ak sa daňovník zrušuje s likvidáciou, bez likvidácie, pri vyhlásení konkurzu, pri predaji podniku alebo pri nepeňažnom vklade. Podľa odseku 6, ak dôjde k postúpeniu nepremlčanej pohľadávky ocenenej v reálnej hodnote, pričom táto hodnota nemôže byť vyššia ako menovitá hodnota pohľadávky bez príslušenstva, daňovým výdavkom bude reálna hodnota pohľadávky bez príslušenstva najviac do výšky príjmu z jej postúpenia, alebo daňovým výdavkom bude suma v ustanovenom rozsahu a v závislosti od uplynutia lehoty od nadobudnutia tejto pohľadávky. Ak dôjde k odpisu nepremlčanej pohľadávky ocenenej v reálnej hodnote, pričom táto hodnota nemôže byť vyššia ako menovitá hodnota pohľadávky bez príslušenstva, daňovým výdavkom bude suma v ustanovenom rozsahu a v závislosti od uplynutia lehoty od nadobudnutia tejto pohľadávky. Podľa odseku 7 sa ustanovuje pre prijímateľa nepeňažného vkladu povinnosť oznámiť</w:t>
      </w:r>
      <w:r w:rsidRPr="00AE204D">
        <w:rPr>
          <w:rFonts w:ascii="Times New Roman" w:hAnsi="Times New Roman" w:cs="Times New Roman"/>
          <w:b/>
        </w:rPr>
        <w:t xml:space="preserve"> </w:t>
      </w:r>
      <w:r w:rsidRPr="00AE204D">
        <w:rPr>
          <w:rFonts w:ascii="Times New Roman" w:hAnsi="Times New Roman" w:cs="Times New Roman"/>
        </w:rPr>
        <w:t xml:space="preserve">vkladateľovi skutočnosť, že predal alebo vyradil viac ako 50 % reálnej hodnoty majetku nadobudnutého nepeňažným vkladom do ustanovenej lehoty. Podľa odseku 8, ak vkladateľ vloží nepeňažný vklad, ktorým je individuálne vložený majetok do subjektu so sídlom mimo územia Slovenskej republiky, uplatní sa postup podľa odseku 1 písm. a). Tento vkladateľ môže vykázaný rozdiel zahrnúť do základu dane aj postupne podľa odseku 1 písm. b), ak zabezpečí splnenie podmienok podľa odseku 7. Rovnako sa postupuje, ak vkladateľom nepeňažného vkladu je daňovník s obmedzenou daňovou povinnosťou [§ 2 písm. e)] pri individuálne vloženom majetku. Podľa odseku 9, ak prijímateľom nepeňažného vkladu je daňovník so sídlom mimo územia Slovenskej republiky, ktorému na území Slovenskej republiky zostáva stála prevádzkareň, môže majetok oceniť reálnou hodnotou, ak nepoužije postup podľa § 17d. Podľa odseku 10, ak vkladateľom je daňovník mimo územia Slovenskej republiky, môže prijímateľ nepeňažného vkladu (daňovník Slovenskej republiky) oceniť majetok reálnou hodnotou, ak preukáže, že rozdiel medzi uznanou hodnotou a účtovnou hodnotou bol u vkladateľa preukázateľne zdanený a prijímateľ neuplatnil postup podľa § 17d. Podľa odseku 11 u vkladateľa, ktorý účtuje v sústave jednoduchého účtovníctva sa primerane uplatní postup podľa odsekov 1 a 2. Ak vkladateľom je fyzická osoba, ktorá o majetku neúčtuje, uplatní sa postup podľa § 8 ods. 2. Z odseku 12 vyplýva, že na uplatnenie daňových výdavkov pri majetku a záväzkoch nadobudnutých nepeňažným vkladom, sa na účely tohto zákona vychádza z  hodnoty majetku a záväzkov podľa odseku 3, t.j. z reálnej hodnoty (napr. pri predaji cenných papierov sa na uplatnenie výdavku podľa § 19 ods. 2 písm. f) bude vychádzať z  reálnej hodnoty).    </w:t>
      </w:r>
    </w:p>
    <w:p w:rsidR="00C22376" w:rsidRPr="00AE204D" w:rsidP="00C22376">
      <w:pPr>
        <w:autoSpaceDE/>
        <w:autoSpaceDN/>
        <w:jc w:val="both"/>
        <w:rPr>
          <w:rFonts w:ascii="Times New Roman" w:hAnsi="Times New Roman" w:cs="Times New Roman"/>
        </w:rPr>
      </w:pPr>
      <w:r w:rsidRPr="00AE204D">
        <w:rPr>
          <w:rFonts w:ascii="Times New Roman" w:hAnsi="Times New Roman" w:cs="Times New Roman"/>
        </w:rPr>
        <w:t xml:space="preserve"> </w:t>
      </w:r>
      <w:r w:rsidRPr="00AE204D">
        <w:rPr>
          <w:rFonts w:ascii="Times New Roman" w:hAnsi="Times New Roman" w:cs="Times New Roman"/>
          <w:b/>
        </w:rPr>
        <w:t>§ 17c</w:t>
      </w:r>
      <w:r w:rsidRPr="00AE204D">
        <w:rPr>
          <w:rFonts w:ascii="Times New Roman" w:hAnsi="Times New Roman" w:cs="Times New Roman"/>
        </w:rPr>
        <w:t xml:space="preserve"> –</w:t>
      </w:r>
      <w:r>
        <w:rPr>
          <w:rFonts w:ascii="Times New Roman" w:hAnsi="Times New Roman" w:cs="Times New Roman"/>
        </w:rPr>
        <w:t xml:space="preserve"> </w:t>
      </w:r>
      <w:r w:rsidRPr="00AE204D">
        <w:rPr>
          <w:rFonts w:ascii="Times New Roman" w:hAnsi="Times New Roman" w:cs="Times New Roman"/>
        </w:rPr>
        <w:t>Podľa odseku 1 daňovník zrušený bez likvidácie základ dane</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upraví o oceňovacie rozdiely z precenenia pri zlúčení, splynutí a rozdelení, vykázané na účte 416  - Oceňovacie rozdiely z precenenia pri zlúčení, sp</w:t>
      </w:r>
      <w:r w:rsidRPr="00AE204D">
        <w:rPr>
          <w:rFonts w:ascii="Times New Roman" w:hAnsi="Times New Roman" w:cs="Times New Roman"/>
        </w:rPr>
        <w:t>lynutí a rozdelení jednorazovo, ak ich nezahrnuje do základu dane právny nástupca,</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upraví o rozdiel medzi účtovnou zostatkovou cenou odpisovaného majetku a jeho daňovou zostatkovou cenou,</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upraví o rozdiel medzi reprodukčnou obstarávacou cenou</w:t>
      </w:r>
      <w:r w:rsidRPr="00AE204D">
        <w:rPr>
          <w:rFonts w:ascii="Times New Roman" w:hAnsi="Times New Roman" w:cs="Times New Roman"/>
        </w:rPr>
        <w:t xml:space="preserve"> neodpisovaného majetku a jeho vstupnou cenou (majetok nadobudnutý darom, resp. vkladom do 31. decembra 2009),</w:t>
      </w:r>
    </w:p>
    <w:p w:rsidR="00C22376" w:rsidRPr="00AE204D" w:rsidP="00C22376">
      <w:pPr>
        <w:tabs>
          <w:tab w:val="left" w:pos="4662"/>
        </w:tabs>
        <w:autoSpaceDE/>
        <w:autoSpaceDN/>
        <w:jc w:val="both"/>
        <w:rPr>
          <w:rFonts w:ascii="Times New Roman" w:hAnsi="Times New Roman" w:cs="Times New Roman"/>
        </w:rPr>
      </w:pPr>
      <w:r w:rsidRPr="00AE204D">
        <w:rPr>
          <w:rFonts w:ascii="Times New Roman" w:hAnsi="Times New Roman" w:cs="Times New Roman"/>
        </w:rPr>
        <w:t xml:space="preserve">     - </w:t>
      </w:r>
      <w:r>
        <w:rPr>
          <w:rFonts w:ascii="Times New Roman" w:hAnsi="Times New Roman" w:cs="Times New Roman"/>
        </w:rPr>
        <w:t xml:space="preserve"> </w:t>
      </w:r>
      <w:r w:rsidRPr="00AE204D">
        <w:rPr>
          <w:rFonts w:ascii="Times New Roman" w:hAnsi="Times New Roman" w:cs="Times New Roman"/>
        </w:rPr>
        <w:t xml:space="preserve">upraví o daňovú zostatkovú hodnotu goodwillu alebo záporného goodwillu, </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zníži o sumu nedaňových rezerv, ktoré preberá právny nás</w:t>
      </w:r>
      <w:r w:rsidRPr="00AE204D">
        <w:rPr>
          <w:rFonts w:ascii="Times New Roman" w:hAnsi="Times New Roman" w:cs="Times New Roman"/>
        </w:rPr>
        <w:t>tupca,</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zníži o opravné položky vytvorené v súlade s účtovníctvom, s výnimkou opravnej položky k dlhodobému hmotnému a nehmotnému majetku,</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zníži o sumu záväzkov, o ktoré po lehote splatnosti 36 mesiacov zvýšil základ dane podľa § 17 ods. 27 (do 31. decembra 2009 podľa § 17 ods. 29 zákona). </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Podľa odseku 2 právny nástupca oceňuje majetok a záväzky reálnou hodnotou podľa účtovníctva. Právny nástupca odpisuje tento majetok z reálnej hodnoty ako v prvom roku odpisovania. Ak sa oceňovacie rozdiely z precenenia pri zlúčení, splynutí alebo rozdelení obchodných spoločností alebo družstiev zahrnú do základu dane jednorazovo, potom právny nástupca daňovníka zrušeného bez likvidácie môže odpisovať hmotný majetok z reálnej hodnoty alebo z hodnoty započítanej na vklad spoločníka, pričom pri rovnomernom odpisovaní sa doba odpisovania predĺži o dobu vyplývajúcu zo spôsobu výpočtu podľa § 27 a pri zrýchlenom odpisovaní sa hmotný majetok odpisuje podľa § 28 ako v ďalších rokoch odpisovania, a to počas zostávajúcej doby odpisovania  zistenej u daňovníka zrušeného bez likvidácie (§ 26). Podľa odseku 3 právny nástupca daňovníka zrušeného bez likvidácie zahrnie  oceňovacie rozdiely do základu dane jednorazovo alebo  môže využiť  alternatívny postup ich zahrnutia  do základu dane počas najviac siedmich rokov, najmenej vo výške 1/7 rozdielu, pričom v tomto prípade právny nástupca musí splniť ustanovené podmienky a pri ich nedodržaní je povinný upraviť základ dane jednorazovo o zostatkovú sumu týchto oceňovacích rozdielov v tom zdaňovacom období, v ktorom dôjde k ich nedodržaniu. Zároveň sa upravuje zahrnovanie tohto rozdielu do základu dane, ak sa daňovník zrušuje s likvidáciou, bez likvidácie, je na neho vyhlásený konkurz, dôjde k predaju podniku alebo bude podnik predmetom nepeňažného vkladu. Do základu dane zahrnuje právny nástupca len rozdiel medzi výškou prevzatej rezervy a výškou skutočnej úhrady záväzku, ku ktorému bola tvorená táto rezerva, ak náklad vzťahujúci sa k tejto rezerve by bol daňovým výdavkom. Ak pôjde o takto nadobudnutú rezervu, ktorú daňovník nepoužije, ale ju zruší, potom táto rezerva sa zahrnuje do základu dane v súlade s účtovníctvom. Pri ďalšej tvorbe rezerv právny nástupca uplatní postup podľa § 17 ods. 23 a § 20 zákona. Goodwill, resp. záporný goodwill vykázaný u právneho nástupcu sa do základu dane nezahrnuje. Podľa odseku 4, ak dôjde k postúpeniu nepremlčanej pohľadávky ocenenej v reálnej hodnote, pričom táto hodnota nemôže byť vyššia ako menovitá hodnota pohľadávky bez príslušenstva, daňovým výdavkom bude reálna hodnota pohľadávky bez príslušenstva najviac do výšky príjmu z jej postúpenia, alebo daňovým výdavkom bude suma v ustanovenom rozsahu a v závislosti od uplynutia lehoty od nadobudnutia tejto pohľadávky. Ak dôjde k odpisu nepremlčanej pohľadávky ocenenej v reálnej hodnote, pričom táto hodnota nemôže byť vyššia ako menovitá hodnota pohľadávky bez príslušenstva, daňovým výdavkom bude suma v ustanovenom rozsahu a v závislosti od uplynutia lehoty od nadobudnutia tejto pohľadávky. Podľa odseku 5 pri odpočítavaní daňovej straty právnym nástupcom sa postupuje podľa § 30 zákona. Podľa odseku 6, ak právnym nástupcom daňovníka so sídlom na území SR zrušeného bez likvidácie je daňovník so sídlom mimo územia SR, pričom na území Slovenskej republiky mu zostáva stála prevádzkareň, potom táto stála prevádzkareň môže oceniť majetok reálnou hodnotou, ak nepoužije postup podľa § 17e, pričom právny nástupca môže odpočítavať daňovú stratu podľa § 30, ak sa viaže k stálej prevádzkarni. Odsek 7 upravuje postup pri zrušení daňovníka bez likvidácie so sídlom mimo územia Slovenskej republiky, ak jeho právnym nástupcom je daňovník so sídlom na území Slovenskej republiky, a ak tomuto právnemu nástupcovi zostáva mimo územia Slovenskej republiky stála prevádzkareň, môže oceniť majetok reálnou hodnotou a nesmie uplatniť postup podľa § 17e. Podľa odseku 8 sa na uplatnenie daňových výdavkov pri majetku a záväzkoch nadobudnutých pri zlúčení, splynutí alebo rozdelení  obchodných spoločností alebo družstiev, na účely tohto zákona vychádza z reálnej hodnoty majetku a záväzkov podľa odseku 2, t.j. z reálnej hodnoty [napr. pri predaji cenných papierov sa na uplatnenie výdavku podľa § 19 ods. 2 písm. f) bude vychádzať z  reálnej hodnoty].    </w:t>
      </w:r>
    </w:p>
    <w:p w:rsidR="00C22376" w:rsidRPr="00AE204D" w:rsidP="00C22376">
      <w:pPr>
        <w:autoSpaceDE/>
        <w:autoSpaceDN/>
        <w:jc w:val="both"/>
        <w:rPr>
          <w:rFonts w:ascii="Times New Roman" w:hAnsi="Times New Roman" w:cs="Times New Roman"/>
        </w:rPr>
      </w:pPr>
      <w:r w:rsidRPr="00AE204D">
        <w:rPr>
          <w:rFonts w:ascii="Times New Roman" w:hAnsi="Times New Roman" w:cs="Times New Roman"/>
          <w:b/>
          <w:bCs/>
        </w:rPr>
        <w:t xml:space="preserve">§ 17d </w:t>
      </w:r>
      <w:r w:rsidRPr="00AE204D">
        <w:rPr>
          <w:rFonts w:ascii="Times New Roman" w:hAnsi="Times New Roman" w:cs="Times New Roman"/>
          <w:bCs/>
        </w:rPr>
        <w:t>-</w:t>
      </w:r>
      <w:r w:rsidRPr="00AE204D">
        <w:rPr>
          <w:rFonts w:ascii="Times New Roman" w:hAnsi="Times New Roman" w:cs="Times New Roman"/>
          <w:b/>
          <w:bCs/>
        </w:rPr>
        <w:t xml:space="preserve"> </w:t>
      </w:r>
      <w:r w:rsidRPr="00AE204D">
        <w:rPr>
          <w:rFonts w:ascii="Times New Roman" w:hAnsi="Times New Roman" w:cs="Times New Roman"/>
        </w:rPr>
        <w:t>Podľa odseku 1 sa do základu dane vkladateľa nepeňažného vkladu, ktorý účtuje v sústave podvojného účtovníctva</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nezahrnuje rozdiel vzniknutý z účtovného ocenenia nepeňažného vkladu a jeho uznaného ocenenia na účely nepeňažného vkladu, pričom prijímateľ nepeňažného vkladu preberá daňové hodnoty od vkladateľa v pôvodných cenách,</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nezahrnujú opravné položky k zásobám, cenným papierom a k dlhodobému hmotnému majetku a dlhodobému nehmotnému majetku, ak prijímateľ nepeňažného vkladu prevezme pôvodné ceny zásob a cenných papierov,</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zahrnujú rezervy podľa § 20,</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zahrnujú opravné položky k pohľadávkam v rozsahu najviac podľa § 20 a právny nástupca môže pokračovať v tvorbe opravných položiek  podľa § 20. </w:t>
      </w:r>
    </w:p>
    <w:p w:rsidR="00C22376" w:rsidRPr="00AE204D" w:rsidP="00C22376">
      <w:pPr>
        <w:jc w:val="both"/>
        <w:rPr>
          <w:rFonts w:ascii="Times New Roman" w:hAnsi="Times New Roman" w:cs="Times New Roman"/>
        </w:rPr>
      </w:pPr>
      <w:r w:rsidRPr="00AE204D">
        <w:rPr>
          <w:rFonts w:ascii="Times New Roman" w:hAnsi="Times New Roman" w:cs="Times New Roman"/>
        </w:rPr>
        <w:t>Podľa odseku 2 prijímateľ nepeňažného vkladu zahrnie do základu dane len rozdiel medzi sumou prevzatej rezervy a výškou skutočnej úhrady záväzku. Rezerva, ktorej tvorba nie je uznaná za daňový výdavok, nie je  zahrnovaná  do základu dane vkladateľa, pričom náklad, ku ktorému bola tvorená sa zahrnie do základu dane v tom zdaňovacom období, v ktorom dôjde k použitiu tejto rezervy u prijímateľa nepeňažného vkladu, pričom obdobne sa postupuje aj pri opravnej položke. Goodwill alebo záporný goodwill sa do základu dane nezahrnuje (s výnimkou goodwillu alebo záporného goodwillu nadobudnutého kúpou podniku, alebo jeho časti, alebo jeho nepeňažným vkladom, ktorý je povinný zahrnúť do základu dane daňovník zrušený bez likvidácie). Podľa odseku 3 prijímateľ nepeňažného vkladu za účelom pokračovania v tvorbe opravnej položky k pohľadávke podľa § 20 je povinný prevziať požadované údaje o tejto pohľadávke. Podľa odseku 4 si vkladateľ nepeňažného vkladu uplatní pomernú časť ročného odpisu vkladaného majetku. Napríklad, ak bol nepeňažný vklad uskutočnený 15. mája, vkladateľ nepeňažného vkladu si môže uplatniť daňový odpis vloženého majetku za mesiace január až apríl. Podľa odseku 5 prijímateľ nepeňažného vkladu pokračuje v odpisovaní hmotného majetku a nehmotného majetku a na tento účel preberá od vkladateľa pôvodné ceny majetku, uplatnené daňové odpisy a zostatkové ceny podľa § 25 ods. 3 zákona. Ďalej je upravený spôsob zahrnutia pomernej časti odpisu u prijímateľa nepeňažného vkladu. Podľa odseku 6 je prijímateľ nepeňažného vkladu povinný evidovať pôvodné hodnoty majetku najmenej počas lehoty pr</w:t>
      </w:r>
      <w:r w:rsidRPr="00AE204D">
        <w:rPr>
          <w:rFonts w:ascii="Times New Roman" w:hAnsi="Times New Roman" w:cs="Times New Roman"/>
        </w:rPr>
        <w:t xml:space="preserve">e zánik práva </w:t>
      </w:r>
      <w:r w:rsidRPr="005309B8">
        <w:rPr>
          <w:rFonts w:ascii="Times New Roman" w:hAnsi="Times New Roman" w:cs="Times New Roman"/>
        </w:rPr>
        <w:t xml:space="preserve">vyrubiť daň. </w:t>
      </w:r>
      <w:r w:rsidRPr="005309B8">
        <w:rPr>
          <w:rFonts w:ascii="Times New Roman" w:hAnsi="Times New Roman" w:cs="Times New Roman"/>
          <w:color w:val="000000"/>
        </w:rPr>
        <w:t>Odsek 7 ustanovuje zodpovednosť vkladateľa nepeňažného vkladu, ktorý vloží individuálny majetok mimo územia Slovenskej republiky, aby v prípade, ak uplatní postup podľa odseku 1, zabezpečil údaje o tom, že prijímateľ nepeňažného vkladu v zahraničí prevzal pôvodné ceny vloženého majetku.</w:t>
      </w:r>
      <w:r>
        <w:rPr>
          <w:rFonts w:ascii="Times New Roman" w:hAnsi="Times New Roman" w:cs="Times New Roman"/>
          <w:color w:val="000000"/>
        </w:rPr>
        <w:t xml:space="preserve"> </w:t>
      </w:r>
      <w:r w:rsidRPr="005309B8">
        <w:rPr>
          <w:rFonts w:ascii="Times New Roman" w:hAnsi="Times New Roman" w:cs="Times New Roman"/>
        </w:rPr>
        <w:t>Za účelom stanovenia jednotných  podmienok, resp. výhod pre vklady subjektom so sídlom</w:t>
      </w:r>
      <w:r w:rsidRPr="00AE204D">
        <w:rPr>
          <w:rFonts w:ascii="Times New Roman" w:hAnsi="Times New Roman" w:cs="Times New Roman"/>
        </w:rPr>
        <w:t xml:space="preserve"> na území Slovenskej republiky a mimo územia Slovenskej republiky, sa  podľa odseku </w:t>
      </w:r>
      <w:r>
        <w:rPr>
          <w:rFonts w:ascii="Times New Roman" w:hAnsi="Times New Roman" w:cs="Times New Roman"/>
        </w:rPr>
        <w:t>8</w:t>
      </w:r>
      <w:r w:rsidRPr="00AE204D">
        <w:rPr>
          <w:rFonts w:ascii="Times New Roman" w:hAnsi="Times New Roman" w:cs="Times New Roman"/>
        </w:rPr>
        <w:t xml:space="preserve"> uplatní rovnaký spôsob vplyvu vykázaného rozdielu na základ dane vkladateľa aj pri nepeňažnom </w:t>
      </w:r>
      <w:r w:rsidRPr="00AE204D">
        <w:rPr>
          <w:rFonts w:ascii="Times New Roman" w:hAnsi="Times New Roman" w:cs="Times New Roman"/>
        </w:rPr>
        <w:t xml:space="preserve">vklade mimo územia Slovenskej republiky. Tento postup sa uplatní, ak je nepeňažný vklad súčasťou majetku stálej prevádzkarne umiestnenej na území Slovenskej republiky, pričom na ocenenie majetku stálej prevádzkarne použil prijímateľ nepeňažného vkladu pôvodné ocenenie majetku evidované u vkladateľa nepeňažného vkladu. Odsek </w:t>
      </w:r>
      <w:r>
        <w:rPr>
          <w:rFonts w:ascii="Times New Roman" w:hAnsi="Times New Roman" w:cs="Times New Roman"/>
        </w:rPr>
        <w:t>9</w:t>
      </w:r>
      <w:r w:rsidRPr="00AE204D">
        <w:rPr>
          <w:rFonts w:ascii="Times New Roman" w:hAnsi="Times New Roman" w:cs="Times New Roman"/>
        </w:rPr>
        <w:t xml:space="preserve"> ukladá použiť obdobné ocenenie majetku (pôvodné ocenenie  evidované u vkladateľa) pri vkladoch na územie Slovenskej republiky, ktoré sú súčasťou stálej prevádzkarne umiestnenej mimo územia Slovenskej republiky. Podľa odseku </w:t>
      </w:r>
      <w:r>
        <w:rPr>
          <w:rFonts w:ascii="Times New Roman" w:hAnsi="Times New Roman" w:cs="Times New Roman"/>
        </w:rPr>
        <w:t>10</w:t>
      </w:r>
      <w:r w:rsidRPr="00AE204D">
        <w:rPr>
          <w:rFonts w:ascii="Times New Roman" w:hAnsi="Times New Roman" w:cs="Times New Roman"/>
        </w:rPr>
        <w:t xml:space="preserve"> u vkladateľa, ktorý účtuje v sústave jednoduchého účtovníctva sa primerane uplatní postup podľa § 17d ods. 1 a 4. Odsek 1</w:t>
      </w:r>
      <w:r>
        <w:rPr>
          <w:rFonts w:ascii="Times New Roman" w:hAnsi="Times New Roman" w:cs="Times New Roman"/>
        </w:rPr>
        <w:t>1</w:t>
      </w:r>
      <w:r w:rsidRPr="00AE204D">
        <w:rPr>
          <w:rFonts w:ascii="Times New Roman" w:hAnsi="Times New Roman" w:cs="Times New Roman"/>
        </w:rPr>
        <w:t xml:space="preserve"> definuje, čo sa na daňové účely pokladá za pôvodnú cenu.</w:t>
      </w:r>
    </w:p>
    <w:p w:rsidR="00C22376" w:rsidRPr="00AE204D" w:rsidP="00C22376">
      <w:pPr>
        <w:autoSpaceDE/>
        <w:autoSpaceDN/>
        <w:jc w:val="both"/>
        <w:rPr>
          <w:rFonts w:ascii="Times New Roman" w:hAnsi="Times New Roman" w:cs="Times New Roman"/>
          <w:b/>
          <w:bCs/>
        </w:rPr>
      </w:pPr>
      <w:r w:rsidRPr="00AE204D">
        <w:rPr>
          <w:rFonts w:ascii="Times New Roman" w:hAnsi="Times New Roman" w:cs="Times New Roman"/>
          <w:b/>
          <w:bCs/>
        </w:rPr>
        <w:t xml:space="preserve">§ 17e </w:t>
      </w:r>
      <w:r w:rsidRPr="00AE204D">
        <w:rPr>
          <w:rFonts w:ascii="Times New Roman" w:hAnsi="Times New Roman" w:cs="Times New Roman"/>
          <w:bCs/>
        </w:rPr>
        <w:t xml:space="preserve">- </w:t>
      </w:r>
      <w:r w:rsidRPr="00AE204D">
        <w:rPr>
          <w:rFonts w:ascii="Times New Roman" w:hAnsi="Times New Roman" w:cs="Times New Roman"/>
        </w:rPr>
        <w:t>Podľa odseku 1 sa do základu dane daňovníka zrušeného bez likvidácie</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     - nezahrnuje suma oceňovacích rozdielov z precenenia pri zlúčení, splynutí alebo rozdelení obchodných spoločností alebo družstiev vykázaná na účte 416, ak právny nástupca prevezme majetok a záväzky v pôvodných cenách a u hmotného a nehmotného majetku v ocenení podľa § 25,</w:t>
      </w:r>
    </w:p>
    <w:p w:rsidR="00C22376" w:rsidRPr="00AE204D" w:rsidP="00C22376">
      <w:pPr>
        <w:autoSpaceDE/>
        <w:autoSpaceDN/>
        <w:jc w:val="both"/>
        <w:rPr>
          <w:rFonts w:ascii="Times New Roman" w:hAnsi="Times New Roman" w:cs="Times New Roman"/>
        </w:rPr>
      </w:pPr>
      <w:r w:rsidRPr="00AE204D">
        <w:rPr>
          <w:rFonts w:ascii="Times New Roman" w:hAnsi="Times New Roman" w:cs="Times New Roman"/>
        </w:rPr>
        <w:t xml:space="preserve">     - nezahrnujú opravné položky k zásobám, cenným papierom a k dlhodobému hmotnému majetku a dlhodobému nehmotnému majetku, ak právny nástupca prevezme pôvodné ceny zásob a cenných papierov,</w:t>
      </w:r>
    </w:p>
    <w:p w:rsidR="00C22376" w:rsidRPr="00AE204D" w:rsidP="00C22376">
      <w:pPr>
        <w:jc w:val="both"/>
        <w:rPr>
          <w:rFonts w:ascii="Times New Roman" w:hAnsi="Times New Roman" w:cs="Times New Roman"/>
        </w:rPr>
      </w:pPr>
      <w:r w:rsidRPr="00AE204D">
        <w:rPr>
          <w:rFonts w:ascii="Times New Roman" w:hAnsi="Times New Roman" w:cs="Times New Roman"/>
          <w:bCs/>
        </w:rPr>
        <w:t xml:space="preserve">     - </w:t>
      </w:r>
      <w:r w:rsidRPr="00AE204D">
        <w:rPr>
          <w:rFonts w:ascii="Times New Roman" w:hAnsi="Times New Roman" w:cs="Times New Roman"/>
        </w:rPr>
        <w:t>zahrnujú rezervy podľa § 20 a opravné položky k pohľadávkam v rozsahu najviac podľa § 20 a právny nástupca môže pokračovať v tvorbe opravných položiek  podľa § 20.</w:t>
      </w:r>
    </w:p>
    <w:p w:rsidR="00C22376" w:rsidRPr="00AE204D" w:rsidP="00C22376">
      <w:pPr>
        <w:autoSpaceDE/>
        <w:autoSpaceDN/>
        <w:jc w:val="both"/>
        <w:rPr>
          <w:rFonts w:ascii="Times New Roman" w:hAnsi="Times New Roman" w:cs="Times New Roman"/>
        </w:rPr>
      </w:pPr>
      <w:r w:rsidRPr="00AE204D">
        <w:rPr>
          <w:rFonts w:ascii="Times New Roman" w:hAnsi="Times New Roman" w:cs="Times New Roman"/>
          <w:bCs/>
        </w:rPr>
        <w:t>Podľa odseku 2</w:t>
      </w:r>
      <w:r w:rsidRPr="00AE204D">
        <w:rPr>
          <w:rFonts w:ascii="Times New Roman" w:hAnsi="Times New Roman" w:cs="Times New Roman"/>
        </w:rPr>
        <w:t xml:space="preserve"> právny nástupca zahrnie do základu dane len rozdiel medzi sumou prevzatej rezervy a výškou skutočnej úhrady záväzku. Rezerva, ktorej tvorba nie je uznaná za daňový výdavok,  nie je  zahrnovaná do základu dane daňovníka zrušeného bez likvidácie, pričom náklad, ku ktorému bola tvorená sa zahrnie do základu dane v tom zdaňovacom období, v ktorom dôjde k použitiu tejto rezervy u právneho nástupcu tohto daňovníka. Obdobne sa postupuje aj pri opravnej položke. Goodwill alebo záporný goodwill sa do základu dane nezahrnuje (s výnimkou goodwillu alebo záporného goodwillu nadobudnutého kúpou podniku alebo jeho časti alebo jeho nepeňažným vkladom, ktorý je povinný zahrnúť do základu dane daňovník zrušený bez likvidácie). Podľa odseku 3 právny nástupca za účelom pokračovania v tvorbe opravnej položky k pohľadávke podľa § 20 je povinný prevziať požadované údaje o tejto pohľadávke. Podľa odseku 4 uplatňuje pomernú časť ročného odpisu z majetku daňovník zrušený bez likvidácie. Podľa odseku 5 právny nástupca pokračuje v odpisovaní hmotného a nehmotného majetku a na tento účel preberá od vkladateľa pôvodné ceny majetku, uplatnené daňové odpisy a zostatkové ceny podľa § 25 ods. 3. Ďalej je upravený spôsob zahrnutia pomernej časti odpisu u právneho nástupcu. Podľa odseku 6 je právny nástupca povinný evidovať pôvodné ceny majetku najmenej počas lehoty pre zánik práva vyrubiť daň. Podľa odseku 7 právny nástupca postupuje pri odpočítavaní daňovej straty podľa § 30. Za účelom určenia jednotných podmienok, resp. výhod z uplatnenia postupu pri preberanom pôvodnom ocenení majetku právnym nástupcom subjektu, sídlo ktorého je mimo územia Slovenskej republiky, sa podľa odseku 8 uplatní rovnaký spôsob vplyvu oceňovacích rozdielov z precenenia na základ dane ako u daňovníka so sídlom na území Slovenskej republiky. Tento postup sa  uplatní, ak majetok právneho nástupcu je súčasťou majetku stálej prevádzkarne umiestnenej na území Slovenskej republiky, pričom na ocenenie majetku stálej prevádzkarne použil právny nástupca pôvodné ocenenie majetku evidované daňovníkom zrušeným bez likvidácie. Odsek 9 ukladá použiť obdobné ocenenie majetku (pôvodné ocenenie evidované daňovníkom zrušeným bez likvidácie) pri zrušení daňovníka bez likvidácie mimo územia Slovenskej republiky, ak jeho právnym nástupcom je daňovník so sídlom na území Slovenskej republiky, pričom majetok zrušeného daňovníka bez likvidácie je súčasťou stálej prevádzkarne umiestnenej  mimo územia Slovenskej republiky a pokračovať v tvorbe rezerv, opravných položiek a účtov časového rozlíšenia, ak sa vzťahujú k majetku a záväzkom tejto stálej prevádzkarne.  V odseku 10 sa definuje na tento účel pôvodná cena. </w:t>
      </w:r>
    </w:p>
    <w:p w:rsidR="00C22376" w:rsidRPr="00AE204D"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14 </w:t>
      </w:r>
      <w:r w:rsidRPr="00AE204D">
        <w:rPr>
          <w:rFonts w:ascii="Times New Roman" w:hAnsi="Times New Roman" w:cs="Times New Roman"/>
        </w:rPr>
        <w:t>-</w:t>
      </w:r>
      <w:r w:rsidRPr="00AE204D">
        <w:rPr>
          <w:rFonts w:ascii="Times New Roman" w:hAnsi="Times New Roman" w:cs="Times New Roman"/>
          <w:b/>
        </w:rPr>
        <w:t xml:space="preserve"> </w:t>
      </w:r>
      <w:r w:rsidRPr="00AE204D">
        <w:rPr>
          <w:rFonts w:ascii="Times New Roman" w:hAnsi="Times New Roman" w:cs="Times New Roman"/>
        </w:rPr>
        <w:t xml:space="preserve">§ 19 ods. 2 písm. h): </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Upravené ustanovenie z dôvodu prečíslovania odsekov v § 17 (vypúšťajú sa v § 17 ods. 18 a 19). </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15 </w:t>
      </w:r>
      <w:r w:rsidRPr="00AE204D">
        <w:rPr>
          <w:rFonts w:ascii="Times New Roman" w:hAnsi="Times New Roman" w:cs="Times New Roman"/>
        </w:rPr>
        <w:t>- § 19 ods. 3 písm. t):</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Uvedené ustanovenie umožňuje uznať za daňový výdavok odpis menovitej hodnoty pohľadávky alebo jej nesplatenej časti bez príslušenstva, ktorú daňovník eviduje voči Slovenskej republike. Daňovník odpis takejto pohľadávky zahrnie do daňových výdavkov v tom zdaňovacom období, v ktorom upustil od jej vymáhania. Podľa tohto ustanovenia je možno odpísať len takú pohľadávku, ktorá zo strany Slovenskej republiky bola uznaným záväzkom, pričom toto ustanovenie sa použije už pri podávaní daňového priznania po 31. decembri 2009, t.j. za zdaňovacie obdobie končiace 31. decembra 2009 (§ 52h ods. 5).  </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16</w:t>
      </w:r>
      <w:r w:rsidRPr="00AE204D">
        <w:rPr>
          <w:rFonts w:ascii="Times New Roman" w:hAnsi="Times New Roman" w:cs="Times New Roman"/>
        </w:rPr>
        <w:t xml:space="preserve"> - § 21 ods. 1 písm. h):</w:t>
      </w:r>
    </w:p>
    <w:p w:rsidR="00C22376" w:rsidRPr="00AE204D" w:rsidP="00C22376">
      <w:pPr>
        <w:jc w:val="both"/>
        <w:rPr>
          <w:rFonts w:ascii="Times New Roman" w:hAnsi="Times New Roman" w:cs="Times New Roman"/>
        </w:rPr>
      </w:pPr>
      <w:r w:rsidRPr="00AE204D">
        <w:rPr>
          <w:rFonts w:ascii="Times New Roman" w:hAnsi="Times New Roman" w:cs="Times New Roman"/>
        </w:rPr>
        <w:t>Ustanovenie sa upravuje z dôvodu zjednotenia definovania reklamných predmetov v zákone v znení neskorších predpisov so zákonom č. 222/2004 Z. z. o dani z pridanej hodnoty v znení neskorších predpisov.</w:t>
      </w:r>
    </w:p>
    <w:p w:rsidR="00C22376" w:rsidRPr="00AE204D"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17 </w:t>
      </w:r>
      <w:r w:rsidRPr="00AE204D">
        <w:rPr>
          <w:rFonts w:ascii="Times New Roman" w:hAnsi="Times New Roman" w:cs="Times New Roman"/>
        </w:rPr>
        <w:t>– § 21 ods. 2 písm. k)</w:t>
      </w:r>
    </w:p>
    <w:p w:rsidR="00C22376" w:rsidRPr="00AE204D" w:rsidP="00C22376">
      <w:pPr>
        <w:jc w:val="both"/>
        <w:rPr>
          <w:rFonts w:ascii="Times New Roman" w:hAnsi="Times New Roman" w:cs="Times New Roman"/>
        </w:rPr>
      </w:pPr>
      <w:r w:rsidRPr="00AE204D">
        <w:rPr>
          <w:rFonts w:ascii="Times New Roman" w:hAnsi="Times New Roman" w:cs="Times New Roman"/>
        </w:rPr>
        <w:t>Toto ustanovenie, ktoré malo nadobudnúť účinnosť 1. januára 2010, sa zo zákona vypúšťa s účinnosťou od 1. januára 2010. Je to z dôvodu finančnej a hospodárskej krízy.</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18 </w:t>
      </w:r>
      <w:r w:rsidRPr="00AE204D">
        <w:rPr>
          <w:rFonts w:ascii="Times New Roman" w:hAnsi="Times New Roman" w:cs="Times New Roman"/>
        </w:rPr>
        <w:t>- § 22 ods. 9:</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Táto zmena sa vykonala v nadväznosti na doplnenie ustanovenia § 30b do zákona o dani z príjmov zákonom </w:t>
      </w:r>
    </w:p>
    <w:p w:rsidR="00C22376" w:rsidRPr="00AE204D" w:rsidP="00C22376">
      <w:pPr>
        <w:jc w:val="both"/>
        <w:rPr>
          <w:rFonts w:ascii="Times New Roman" w:hAnsi="Times New Roman" w:cs="Times New Roman"/>
        </w:rPr>
      </w:pPr>
      <w:r w:rsidRPr="00AE204D">
        <w:rPr>
          <w:rFonts w:ascii="Times New Roman" w:hAnsi="Times New Roman" w:cs="Times New Roman"/>
        </w:rPr>
        <w:t>č. 185/2009 Z. z.</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bodom 19 a 20 </w:t>
      </w:r>
      <w:r w:rsidRPr="00AE204D">
        <w:rPr>
          <w:rFonts w:ascii="Times New Roman" w:hAnsi="Times New Roman" w:cs="Times New Roman"/>
        </w:rPr>
        <w:t xml:space="preserve">- § 22 ods. 13 a poznámka pod čiarou k odkazu 112: </w:t>
      </w:r>
    </w:p>
    <w:p w:rsidR="00C22376" w:rsidRPr="00AE204D" w:rsidP="00C22376">
      <w:pPr>
        <w:jc w:val="both"/>
        <w:rPr>
          <w:rFonts w:ascii="Times New Roman" w:hAnsi="Times New Roman" w:cs="Times New Roman"/>
        </w:rPr>
      </w:pPr>
      <w:r w:rsidRPr="00AE204D">
        <w:rPr>
          <w:rFonts w:ascii="Times New Roman" w:hAnsi="Times New Roman" w:cs="Times New Roman"/>
        </w:rPr>
        <w:t>V nadväznosti na úpravu ustanovení v § 17d ods. 4 a 5 a § 17e ods. 4 a 5 zákona sa vypúšťa spôsob uplatnenia daňových odpisov pri zrušení daňovníka bez likvidácie. Toto ustanovenie upravuje počnúc rokom 2010 len postup uplatňovania daňových odpisov pri prevode správy majetku štátu, obce alebo vyššieho územného celku. Zároveň sa z dôvodu úpravy § 22 ods. 13 vypúšťa poznámka pod čiarou k odkazu 112 (ďalej sa v ustanoveniach zákona nenachádza).</w:t>
      </w:r>
    </w:p>
    <w:p w:rsidR="00C22376" w:rsidRPr="00AE204D"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bodom 21 a 22 </w:t>
      </w:r>
      <w:r w:rsidRPr="00AE204D">
        <w:rPr>
          <w:rFonts w:ascii="Times New Roman" w:hAnsi="Times New Roman" w:cs="Times New Roman"/>
        </w:rPr>
        <w:t>-</w:t>
      </w:r>
      <w:r w:rsidRPr="00AE204D">
        <w:rPr>
          <w:rFonts w:ascii="Times New Roman" w:hAnsi="Times New Roman" w:cs="Times New Roman"/>
          <w:b/>
        </w:rPr>
        <w:t xml:space="preserve"> </w:t>
      </w:r>
      <w:r w:rsidRPr="00AE204D">
        <w:rPr>
          <w:rFonts w:ascii="Times New Roman" w:hAnsi="Times New Roman" w:cs="Times New Roman"/>
        </w:rPr>
        <w:t>§ 25 ods. 1 písm. a), f) a g):</w:t>
      </w:r>
    </w:p>
    <w:p w:rsidR="00C22376" w:rsidRPr="00AE204D" w:rsidP="00C22376">
      <w:pPr>
        <w:jc w:val="both"/>
        <w:rPr>
          <w:rFonts w:ascii="Times New Roman" w:hAnsi="Times New Roman" w:cs="Times New Roman"/>
        </w:rPr>
      </w:pPr>
      <w:r w:rsidRPr="00AE204D">
        <w:rPr>
          <w:rFonts w:ascii="Times New Roman" w:hAnsi="Times New Roman" w:cs="Times New Roman"/>
        </w:rPr>
        <w:t>Táto úprava vyplynula zo zmeny oceňovania majetku nadobudnutého nepeňažným vkladom podľa § 17b a § 17d.</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23 </w:t>
      </w:r>
      <w:r w:rsidRPr="00AE204D">
        <w:rPr>
          <w:rFonts w:ascii="Times New Roman" w:hAnsi="Times New Roman" w:cs="Times New Roman"/>
        </w:rPr>
        <w:t>-</w:t>
      </w:r>
      <w:r w:rsidRPr="00AE204D">
        <w:rPr>
          <w:rFonts w:ascii="Times New Roman" w:hAnsi="Times New Roman" w:cs="Times New Roman"/>
          <w:b/>
        </w:rPr>
        <w:t xml:space="preserve"> </w:t>
      </w:r>
      <w:r w:rsidRPr="00AE204D">
        <w:rPr>
          <w:rFonts w:ascii="Times New Roman" w:hAnsi="Times New Roman" w:cs="Times New Roman"/>
        </w:rPr>
        <w:t>§ 26 ods. 3:</w:t>
      </w:r>
    </w:p>
    <w:p w:rsidR="00C22376" w:rsidRPr="00AE204D" w:rsidP="00C22376">
      <w:pPr>
        <w:jc w:val="both"/>
        <w:rPr>
          <w:rFonts w:ascii="Times New Roman" w:hAnsi="Times New Roman" w:cs="Times New Roman"/>
          <w:b/>
        </w:rPr>
      </w:pPr>
      <w:r w:rsidRPr="00AE204D">
        <w:rPr>
          <w:rFonts w:ascii="Times New Roman" w:hAnsi="Times New Roman" w:cs="Times New Roman"/>
        </w:rPr>
        <w:t>V nadväznosti na úpravu ustanovení v § 17c a v § 17e zákona sa vypúšťa posledná veta.</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24 </w:t>
      </w:r>
      <w:r w:rsidRPr="00AE204D">
        <w:rPr>
          <w:rFonts w:ascii="Times New Roman" w:hAnsi="Times New Roman" w:cs="Times New Roman"/>
        </w:rPr>
        <w:t xml:space="preserve">- § 30 ods. 1: </w:t>
      </w:r>
    </w:p>
    <w:p w:rsidR="00C22376" w:rsidRPr="00AE204D" w:rsidP="00C22376">
      <w:pPr>
        <w:jc w:val="both"/>
        <w:rPr>
          <w:rFonts w:ascii="Times New Roman" w:hAnsi="Times New Roman" w:cs="Times New Roman"/>
        </w:rPr>
      </w:pPr>
      <w:r w:rsidRPr="00AE204D">
        <w:rPr>
          <w:rFonts w:ascii="Times New Roman" w:hAnsi="Times New Roman" w:cs="Times New Roman"/>
        </w:rPr>
        <w:t>Lehota na odpočet daňovej straty od základu dane sa predlžuje zo súčasných piatich rokov na sedem rokov. Predĺžením lehoty sa daňovníkovi dáva z pohľadu úpravy základu dane možnosť odpočítať vykázanú daňovú stratu až v období siedmich po sebe nasledujúcich zdaňovacích obdobiach.</w:t>
      </w:r>
    </w:p>
    <w:p w:rsidR="00C22376" w:rsidRPr="00AE204D" w:rsidP="00C22376">
      <w:pPr>
        <w:rPr>
          <w:rFonts w:ascii="Times New Roman" w:hAnsi="Times New Roman" w:cs="Times New Roman"/>
          <w:b/>
        </w:rPr>
      </w:pPr>
    </w:p>
    <w:p w:rsidR="00C22376" w:rsidRPr="00AE204D" w:rsidP="00C22376">
      <w:pPr>
        <w:rPr>
          <w:rFonts w:ascii="Times New Roman" w:hAnsi="Times New Roman" w:cs="Times New Roman"/>
          <w:b/>
        </w:rPr>
      </w:pPr>
      <w:r w:rsidRPr="00AE204D">
        <w:rPr>
          <w:rFonts w:ascii="Times New Roman" w:hAnsi="Times New Roman" w:cs="Times New Roman"/>
          <w:b/>
        </w:rPr>
        <w:t xml:space="preserve">K bodu 25 </w:t>
      </w:r>
      <w:r w:rsidRPr="00AE204D">
        <w:rPr>
          <w:rFonts w:ascii="Times New Roman" w:hAnsi="Times New Roman" w:cs="Times New Roman"/>
        </w:rPr>
        <w:t>- § 32 ods. 12:</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V praxi sa vyskytli prípady, keď napr. podnikajúca fyzická osoba až po skončení podnikania bola zaviazaná zaplatiť náhradu v súvislosti s podnikaním, resp. jemu zaplatená takáto náhrada, pričom zákon špecificky takéto prípady v súčasnosti nerieši. Navrhovaná zmena dáva daňovníkovi možnosť aj v nadväznosti na § 2 zákona SNR č. 511/1992 Zb. o správe daní a poplatkov a o zmenách v sústave územných finančných orgánov vysporiadať si spravodlivo daňovú povinnosť podaním dodatočného daňového priznania za zdaňovacie obdobie, v ktorom skončil podnikanie, inú samostatnú zárobkovú činnosť alebo prenájom (§ 6 zákona). Postup vyplývajúci z tohto ustanovenia môže uplatniť aj daňovník pri iných príjmoch, ako pri príjmoch podľa § 6 zákona (okrem príjmov podľa § 5 zákona). Zároveň sa navrhuje, aby sa pre takéto prípady neaplikoval sankčný postih podľa zákona SNR č. 511/2001 Z. z. v znení neskorších predpisov. </w:t>
      </w:r>
    </w:p>
    <w:p w:rsidR="00C22376" w:rsidRPr="00AE204D"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26 </w:t>
      </w:r>
      <w:r w:rsidRPr="00AE204D">
        <w:rPr>
          <w:rFonts w:ascii="Times New Roman" w:hAnsi="Times New Roman" w:cs="Times New Roman"/>
        </w:rPr>
        <w:t xml:space="preserve">- § 43 ods. 3 písm. g): </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Prijaté sankčné úroky a pokuty súvisiace s prenájmom nebytových priestorov, spoločných častí domu a spoločných zariadení domu vlastníkov bytov a nebytových priestorov sú rovnako príjmom fondu prevádzky, údržby a opráv ako aj takýto prenájom a vybraná daň zrážkou by sa aj pre tento príjem považovala za daň vysporiadanú. </w:t>
      </w:r>
    </w:p>
    <w:p w:rsidR="00C22376" w:rsidRPr="00AE204D"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bodom 27 a 28 </w:t>
      </w:r>
      <w:r w:rsidRPr="00AE204D">
        <w:rPr>
          <w:rFonts w:ascii="Times New Roman" w:hAnsi="Times New Roman" w:cs="Times New Roman"/>
        </w:rPr>
        <w:t>- § 43 ods. 3 písm. m) a § 43 ods. 6:</w:t>
      </w:r>
    </w:p>
    <w:p w:rsidR="00C22376" w:rsidRPr="00AE204D" w:rsidP="00C22376">
      <w:pPr>
        <w:jc w:val="both"/>
        <w:rPr>
          <w:rFonts w:ascii="Times New Roman" w:hAnsi="Times New Roman" w:cs="Times New Roman"/>
          <w:b/>
        </w:rPr>
      </w:pPr>
      <w:r w:rsidRPr="00AE204D">
        <w:rPr>
          <w:rFonts w:ascii="Times New Roman" w:hAnsi="Times New Roman" w:cs="Times New Roman"/>
        </w:rPr>
        <w:t>Podľa § 43 ods. 3 písm. m) sa navrhuje zdaňovať zrážkovou daňou náhrada za stratu na zárobku</w:t>
      </w:r>
      <w:r>
        <w:rPr>
          <w:rFonts w:ascii="Times New Roman" w:hAnsi="Times New Roman" w:cs="Times New Roman"/>
        </w:rPr>
        <w:t>, ktorá je</w:t>
      </w:r>
      <w:r w:rsidRPr="00AE204D">
        <w:rPr>
          <w:rFonts w:ascii="Times New Roman" w:hAnsi="Times New Roman" w:cs="Times New Roman"/>
        </w:rPr>
        <w:t xml:space="preserve"> vyplatená podľa § 72 vyhlášky Ministerstva spravodlivosti Slovenskej republiky č. 543/2005 Z. z. </w:t>
      </w:r>
      <w:r>
        <w:rPr>
          <w:rFonts w:ascii="Times New Roman" w:hAnsi="Times New Roman" w:cs="Times New Roman"/>
        </w:rPr>
        <w:t xml:space="preserve">o Spravovacom a </w:t>
      </w:r>
      <w:r w:rsidRPr="00AE204D">
        <w:rPr>
          <w:rFonts w:ascii="Times New Roman" w:hAnsi="Times New Roman" w:cs="Times New Roman"/>
        </w:rPr>
        <w:t>kancelárskom poriadku pre okresné súdy, krajské súdy, Špeciálny súd a vojenské súdy v znení neskorších predpisov</w:t>
      </w:r>
      <w:r>
        <w:rPr>
          <w:rFonts w:ascii="Times New Roman" w:hAnsi="Times New Roman" w:cs="Times New Roman"/>
        </w:rPr>
        <w:t>, a to len v tom prípade, keď takáto náhrada je vypočítaná a vyplatená z priemerného mesačného hrubého zárobku zamestnanca</w:t>
      </w:r>
      <w:r w:rsidRPr="00AE204D">
        <w:rPr>
          <w:rFonts w:ascii="Times New Roman" w:hAnsi="Times New Roman" w:cs="Times New Roman"/>
        </w:rPr>
        <w:t>. Ide o tzv. svedočné</w:t>
      </w:r>
      <w:r>
        <w:rPr>
          <w:rFonts w:ascii="Times New Roman" w:hAnsi="Times New Roman" w:cs="Times New Roman"/>
        </w:rPr>
        <w:t xml:space="preserve">, pričom </w:t>
      </w:r>
      <w:r w:rsidRPr="00AE204D">
        <w:rPr>
          <w:rFonts w:ascii="Times New Roman" w:hAnsi="Times New Roman" w:cs="Times New Roman"/>
        </w:rPr>
        <w:t xml:space="preserve">zároveň v odseku 6 sa navrhuje, aby takýto príjem bol považovaný vybraním dane zrážkou za vysporiadaný. </w:t>
      </w:r>
      <w:r>
        <w:rPr>
          <w:rFonts w:ascii="Times New Roman" w:hAnsi="Times New Roman" w:cs="Times New Roman"/>
        </w:rPr>
        <w:t xml:space="preserve">Ak je vypočítaná z priemerného mesačného čistého zárobku zamestnanca, táto náhrada je podľa § 5 ods. 5 písm. j) tejto novely zákona oslobodená od dane. </w:t>
      </w:r>
      <w:r w:rsidRPr="00AE204D">
        <w:rPr>
          <w:rFonts w:ascii="Times New Roman" w:hAnsi="Times New Roman" w:cs="Times New Roman"/>
        </w:rPr>
        <w:t xml:space="preserve">Takáto úprava znamená nielen zníženie administratívy, ale je aj pre daňovníka výhodnejšia. Úprava § 43 ods. 6 sa tiež navrhuje v nadväznosti na upozornenie Komisie európskych spoločenstiev ohľadom možnej nezlučiteľnosti ustanovení zákona o dani z príjmov s právom Európskej únie. Na základe uvedeného upozornenia uplatnenie rozdielnych pravidiel zdanenia príjmov podľa § 16 ods. 1 písm. e) prvého až štvrtého bodu rezidentov členských štátov Európskej únie alebo ďalších štátov, ktoré tvoria Európsky hospodársky priestor (t.j. Nórsko, Lichtenštajnsko a Island), v porovnaní so slovenskými rezidentami možno považovať za diskriminačné. Z uvedeného dôvodu sa navrhuje aj pre rezidentov členských štátov Európskej únie alebo rezidentov ďalších štátov, ktoré tvoria Európsky hospodársky priestor, ktorým plynú príjmy zo zdrojov na území Slovenskej republiky podľa § 16 ods. 1 písm. e) prvého až štvrtého bodu, vysporiadať si daň rovnakým spôsobom, ako </w:t>
      </w:r>
      <w:r>
        <w:rPr>
          <w:rFonts w:ascii="Times New Roman" w:hAnsi="Times New Roman" w:cs="Times New Roman"/>
        </w:rPr>
        <w:t xml:space="preserve">je to </w:t>
      </w:r>
      <w:r w:rsidRPr="00AE204D">
        <w:rPr>
          <w:rFonts w:ascii="Times New Roman" w:hAnsi="Times New Roman" w:cs="Times New Roman"/>
        </w:rPr>
        <w:t>v prípade takýchto príjmov plynúcich daňovníkom s neobmedzenou daňovou povinnosťou, podaním daňového priznania.</w:t>
      </w:r>
    </w:p>
    <w:p w:rsidR="00C22376" w:rsidRPr="00AE204D" w:rsidP="00C22376">
      <w:pPr>
        <w:autoSpaceDE/>
        <w:autoSpaceDN/>
        <w:jc w:val="both"/>
        <w:rPr>
          <w:rFonts w:ascii="Times New Roman" w:hAnsi="Times New Roman" w:cs="Times New Roman"/>
          <w:b/>
          <w:bCs/>
        </w:rPr>
      </w:pPr>
    </w:p>
    <w:p w:rsidR="00C22376" w:rsidRPr="00AE204D" w:rsidP="00C22376">
      <w:pPr>
        <w:autoSpaceDE/>
        <w:autoSpaceDN/>
        <w:jc w:val="both"/>
        <w:rPr>
          <w:rFonts w:ascii="Times New Roman" w:hAnsi="Times New Roman" w:cs="Times New Roman"/>
          <w:bCs/>
        </w:rPr>
      </w:pPr>
      <w:r w:rsidRPr="00AE204D">
        <w:rPr>
          <w:rFonts w:ascii="Times New Roman" w:hAnsi="Times New Roman" w:cs="Times New Roman"/>
          <w:b/>
          <w:bCs/>
        </w:rPr>
        <w:t xml:space="preserve">K bodu 29 </w:t>
      </w:r>
      <w:r w:rsidRPr="00AE204D">
        <w:rPr>
          <w:rFonts w:ascii="Times New Roman" w:hAnsi="Times New Roman" w:cs="Times New Roman"/>
          <w:bCs/>
        </w:rPr>
        <w:t>- § 45 ods. 1:</w:t>
      </w:r>
    </w:p>
    <w:p w:rsidR="00C22376" w:rsidRPr="00AE204D" w:rsidP="00C22376">
      <w:pPr>
        <w:autoSpaceDE/>
        <w:autoSpaceDN/>
        <w:jc w:val="both"/>
        <w:rPr>
          <w:rFonts w:ascii="Times New Roman" w:hAnsi="Times New Roman" w:cs="Times New Roman"/>
          <w:bCs/>
        </w:rPr>
      </w:pPr>
      <w:r w:rsidRPr="00AE204D">
        <w:rPr>
          <w:rFonts w:ascii="Times New Roman" w:hAnsi="Times New Roman" w:cs="Times New Roman"/>
          <w:bCs/>
        </w:rPr>
        <w:t xml:space="preserve">Ustanovenie sa legislatívne spresňuje z dôvodu zmeny vykonanej v § 45 ods. 3 zákonom </w:t>
      </w:r>
      <w:r>
        <w:rPr>
          <w:rFonts w:ascii="Times New Roman" w:hAnsi="Times New Roman" w:cs="Times New Roman"/>
          <w:bCs/>
        </w:rPr>
        <w:t xml:space="preserve">      </w:t>
      </w:r>
      <w:r w:rsidRPr="00AE204D">
        <w:rPr>
          <w:rFonts w:ascii="Times New Roman" w:hAnsi="Times New Roman" w:cs="Times New Roman"/>
          <w:bCs/>
        </w:rPr>
        <w:t xml:space="preserve">č. 60/2009 Z. z. s účinnosťou od 1. marca 2009 doplnením písmena c).  </w:t>
      </w:r>
    </w:p>
    <w:p w:rsidR="00C22376" w:rsidRPr="00AE204D" w:rsidP="00C22376">
      <w:pPr>
        <w:autoSpaceDE/>
        <w:autoSpaceDN/>
        <w:jc w:val="both"/>
        <w:rPr>
          <w:rFonts w:ascii="Times New Roman" w:hAnsi="Times New Roman" w:cs="Times New Roman"/>
          <w:b/>
          <w:bCs/>
        </w:rPr>
      </w:pPr>
    </w:p>
    <w:p w:rsidR="00C22376"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30  </w:t>
      </w:r>
      <w:r w:rsidRPr="00AE204D">
        <w:rPr>
          <w:rFonts w:ascii="Times New Roman" w:hAnsi="Times New Roman" w:cs="Times New Roman"/>
        </w:rPr>
        <w:t xml:space="preserve">- § 49 ods. 3:  </w:t>
      </w:r>
    </w:p>
    <w:p w:rsidR="00C22376" w:rsidRPr="00AE204D" w:rsidP="00C22376">
      <w:pPr>
        <w:jc w:val="both"/>
        <w:rPr>
          <w:rFonts w:ascii="Times New Roman" w:hAnsi="Times New Roman" w:cs="Times New Roman"/>
        </w:rPr>
      </w:pPr>
      <w:r w:rsidRPr="00AE204D">
        <w:rPr>
          <w:rFonts w:ascii="Times New Roman" w:hAnsi="Times New Roman" w:cs="Times New Roman"/>
        </w:rPr>
        <w:t>Z dôvodu obmedzenia subjektívneho rozhodovania správcom dane v súvislosti s predlžovaním lehôt na podanie daňových priznaní, snahou o zníženie administratívneho zaťaženia spojeného s vybavovaním množstva žiadostí, ako aj spracovaním daňových priznaní v jednom termíne sa upravujú lehoty na podanie daňových priznaní. Tieto sa budú predlžovať len na základe oznámenia podaného daňovníkom príslušnému správcovi dane najneskôr v posledný deň lehoty na podanie daňového priznania. Takýmto oznámením si môže daňovník sám predĺžiť lehotu na podanie daňového priznania, najviac však o tri celé kalendárne mesiace, pričom ak ide o daňovníka, ktorého súčasťou príjmov sú príjmy plynúce zo zdrojov v zahraničí táto lehota sa predĺži podaním oznámenia najviac o šesť celých kalendárnych mesiacov za predpokladu, že daňovník túto skutočnosť uvedie v oznámení o predĺžení lehoty na podanie daňového priznania. Ak v podanom daňovom priznaní daňovník neuvedie príjmy plynúce zo zdrojov v zahraničí, správca dane musí uplatniť postup podľa zákona o správe daní a poplatkov. Výnimku však tvorí daňovník v konkurze alebo v likvidácii, ktorému ak podá žiadosť správcovi dane najneskôr 15 dní pred uplynutím lehoty na podanie daňového priznania o predĺženie ustanovenej lehoty, môže správca dane  rozhodnutím predĺžiť lehotu na podanie daňového priznania najviac o tri kalendárne mesiace, pričom proti rozhodnutiu o predĺžení lehoty na podanie daňového priznania sa nemožno odvolať.</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31 </w:t>
      </w:r>
      <w:r w:rsidRPr="00AE204D">
        <w:rPr>
          <w:rFonts w:ascii="Times New Roman" w:hAnsi="Times New Roman" w:cs="Times New Roman"/>
        </w:rPr>
        <w:t>- § 49 ods. 6 a 7:</w:t>
      </w:r>
    </w:p>
    <w:p w:rsidR="00C22376" w:rsidRPr="00AE204D" w:rsidP="00C22376">
      <w:pPr>
        <w:jc w:val="both"/>
        <w:rPr>
          <w:rFonts w:ascii="Times New Roman" w:hAnsi="Times New Roman" w:cs="Times New Roman"/>
        </w:rPr>
      </w:pPr>
      <w:r w:rsidRPr="00AE204D">
        <w:rPr>
          <w:rFonts w:ascii="Times New Roman" w:hAnsi="Times New Roman" w:cs="Times New Roman"/>
        </w:rPr>
        <w:t>V súlade s vykonanou zmenou v zákone o účtovníctve, účtovná jednotka, ktorá sa zrušuje bez likvidácie vedie účtovníctvo  do „rozhodného dňa“. V nadväznosti na uvedené sa upravuje § 49 ods. 6 zákona tak, že za zdaňovanie obdobie končiace dňom predchádzajúcim rozhodnému dňu, podáva  daňové priznanie daňovník zrušený bez likvidácie alebo jeho právny nástupca. Ak právny nástupca k rozhodnému dňu ešte nevznikol, podáva daňové priznanie daňovník zrušený bez likvidácie za zdaňovacie obdobie začínajúce rozhodným dňom a končiace posledným dňom nasledujúceho kalendárneho roka v zákonom ustanovenej lehote. V odseku 7 sa upravuje lehota na podanie daňového priznania pre daňovníka s obmedzenou daňovou povinnosťou, ak tento zrušuje stálu prevádzkareň umiestnenú na území SR. Zároveň sa umožňuje podať daňové priznanie do troch mesiacov od zrušenia stálej prevádzkarne len na tie prípady, keď daňovníkovi s obmedzenou daňovou povinnosťou, ktorý zrušuje stálu prevádzkareň na území SR, neplynú iné zdaniteľné príjmy s výnimkou príjmov, z ktorých je vybraním dane zrážkou daň vysporiadaná. Ak daňovníkovi s obmedzenou daňovou povinnosťou, ktorý zrušuje stálu prevádzkareň na území SR, plynú zo zdrojov na území SR aj iné zdaniteľné príjmy, podáva daňové priznanie v lehote podľa § 49 ods. 2 zákona.</w:t>
      </w:r>
    </w:p>
    <w:p w:rsidR="00C22376" w:rsidRPr="00AE204D" w:rsidP="00C22376">
      <w:pPr>
        <w:jc w:val="both"/>
        <w:rPr>
          <w:rFonts w:ascii="Times New Roman" w:hAnsi="Times New Roman" w:cs="Times New Roman"/>
        </w:rPr>
      </w:pPr>
    </w:p>
    <w:p w:rsidR="00C22376" w:rsidRPr="00AE204D" w:rsidP="00C22376">
      <w:pPr>
        <w:rPr>
          <w:rFonts w:ascii="Times New Roman" w:hAnsi="Times New Roman" w:cs="Times New Roman"/>
        </w:rPr>
      </w:pPr>
      <w:r w:rsidRPr="00AE204D">
        <w:rPr>
          <w:rFonts w:ascii="Times New Roman" w:hAnsi="Times New Roman" w:cs="Times New Roman"/>
          <w:b/>
        </w:rPr>
        <w:t xml:space="preserve">K bodom 32 až 38 </w:t>
      </w:r>
      <w:r w:rsidRPr="00AE204D">
        <w:rPr>
          <w:rFonts w:ascii="Times New Roman" w:hAnsi="Times New Roman" w:cs="Times New Roman"/>
        </w:rPr>
        <w:t>- § 50 ods. 1 písm. b),</w:t>
      </w:r>
      <w:r w:rsidRPr="00AE204D">
        <w:rPr>
          <w:rFonts w:ascii="Times New Roman" w:hAnsi="Times New Roman" w:cs="Times New Roman"/>
          <w:b/>
        </w:rPr>
        <w:t xml:space="preserve"> </w:t>
      </w:r>
      <w:r w:rsidRPr="00AE204D">
        <w:rPr>
          <w:rFonts w:ascii="Times New Roman" w:hAnsi="Times New Roman" w:cs="Times New Roman"/>
        </w:rPr>
        <w:t>ods. 5 písm. b),</w:t>
      </w:r>
      <w:r w:rsidRPr="00AE204D">
        <w:rPr>
          <w:rFonts w:ascii="Times New Roman" w:hAnsi="Times New Roman" w:cs="Times New Roman"/>
          <w:b/>
        </w:rPr>
        <w:t xml:space="preserve"> </w:t>
      </w:r>
      <w:r w:rsidRPr="00AE204D">
        <w:rPr>
          <w:rFonts w:ascii="Times New Roman" w:hAnsi="Times New Roman" w:cs="Times New Roman"/>
        </w:rPr>
        <w:t>ods. 9 až 13:</w:t>
      </w:r>
    </w:p>
    <w:p w:rsidR="00C22376" w:rsidRPr="00AE204D" w:rsidP="00C22376">
      <w:pPr>
        <w:pStyle w:val="BodyText2"/>
        <w:spacing w:after="0" w:line="240" w:lineRule="auto"/>
        <w:jc w:val="both"/>
        <w:rPr>
          <w:rFonts w:ascii="Times New Roman" w:hAnsi="Times New Roman" w:cs="Times New Roman"/>
        </w:rPr>
      </w:pPr>
      <w:r w:rsidRPr="00AE204D">
        <w:rPr>
          <w:rFonts w:ascii="Times New Roman" w:hAnsi="Times New Roman" w:cs="Times New Roman"/>
        </w:rPr>
        <w:t>U daňovníkov, ktorí sú právnickými osobami, sa navrhuje postupné znižovanie poukazovania podielu zaplatenej dane do roku 2018. V prvej etape úpravy § 50 zákona sa navrhuje pre zdaňovacie obdobia končiace najneskôr 2010 a 2011 u daňovníkov, ktorí sú právnickými osobami zníženie podielu zaplatenej dane z  2 % na 1,5 %</w:t>
      </w:r>
      <w:r w:rsidR="00726304">
        <w:rPr>
          <w:rFonts w:ascii="Times New Roman" w:hAnsi="Times New Roman" w:cs="Times New Roman"/>
        </w:rPr>
        <w:t>,</w:t>
      </w:r>
      <w:r w:rsidRPr="00AE204D">
        <w:rPr>
          <w:rFonts w:ascii="Times New Roman" w:hAnsi="Times New Roman" w:cs="Times New Roman"/>
        </w:rPr>
        <w:t xml:space="preserve"> </w:t>
      </w:r>
      <w:r w:rsidR="00726304">
        <w:rPr>
          <w:rFonts w:ascii="Times New Roman" w:hAnsi="Times New Roman" w:cs="Times New Roman"/>
        </w:rPr>
        <w:t xml:space="preserve">ak </w:t>
      </w:r>
      <w:r w:rsidRPr="00AE204D">
        <w:rPr>
          <w:rFonts w:ascii="Times New Roman" w:hAnsi="Times New Roman" w:cs="Times New Roman"/>
        </w:rPr>
        <w:t xml:space="preserve">táto právnická osoba </w:t>
      </w:r>
      <w:r w:rsidR="00726304">
        <w:rPr>
          <w:rFonts w:ascii="Times New Roman" w:hAnsi="Times New Roman" w:cs="Times New Roman"/>
        </w:rPr>
        <w:t>ne</w:t>
      </w:r>
      <w:r w:rsidRPr="00AE204D">
        <w:rPr>
          <w:rFonts w:ascii="Times New Roman" w:hAnsi="Times New Roman" w:cs="Times New Roman"/>
        </w:rPr>
        <w:t>darovala finančné prostriedky najmenej vo výške zodpovedajúcej 0,5 % zaplatenej dane do lehoty na podanie daňového priznania na vymedzené účely v § 50 ods. 5 zákona, ktorého súčasťou je vyhlásenie podľa § 50 zákona. V odseku 5 sa mení písmeno b), podľa ktorého sa podiel zaplatenej dane môže použiť na podporu a rozvoj telesnej kultúry bez vekového obmedzenia. Telesná kultúra je organizovaná alebo neorganizovaná, individuálna alebo skupinová činnosť súvisiaca s telovýchovnou, turistickou, športovou a pohybovo-rekreačnou aktivitou. Odsek 10 sa dopĺňa podmienkou, podľa ktorej prijatý podiel zaplatenej dane prijímateľ môže poskytnúť aj inej právnickej osobe, ktorá nie je zverejnená v zozname prijímateľov podľa odseku 4, ale prijímateľ je zodpovedný za to, že tieto finančné prostriedky právnická osoba použije na vymedzené účely podľa odseku 5, preukáže to potrebnými dokladmi a zároveň táto právnická osoba musí použiť prijaté finančné prostriedky v lehote, ktorá sa vzťahuje na prvotného prijímateľa podielu zaplatenej dane. Podľa odseku 12 v ročnom prehľade prijímateľov DR SR uvádza názov prijímateľa, jeho sídlo, súhrn podielov zaplatenej dane, ktoré boli prijímateľovi poskytnuté a od 1. januára 2010 sa tieto údaje rozšíria aj o identifikačné číslo organizácie. V odseku 13 z dôvodu prehľadnosti sa navrhuje od 1. januára 2010, aby prijímateľ, u ktorého presiahne v kalendárnom roku prijatie podielu zaplatenej dane sumu 33 000 eur, zriadil osobitný účet len na tento účel. Zákon ustanovuje použitie podielu zaplatenej dane na taxatívne vymedzené účely a od 1. januára 2010 sa podľa odseku 11 za porušenie použitia tohto podielu bude považovať aj vynaloženie týchto prostriedkov na obstaranie nehnuteľnosti a na reklamu, ktoré nebudú využívané na účely vymedzené v odseku 5.</w:t>
      </w:r>
    </w:p>
    <w:p w:rsidR="00C22376" w:rsidRPr="00AE204D" w:rsidP="00C22376">
      <w:pPr>
        <w:rPr>
          <w:rFonts w:ascii="Times New Roman" w:hAnsi="Times New Roman" w:cs="Times New Roman"/>
          <w:b/>
        </w:rPr>
      </w:pPr>
    </w:p>
    <w:p w:rsidR="00C22376" w:rsidRPr="00AE204D" w:rsidP="00C22376">
      <w:pPr>
        <w:rPr>
          <w:rFonts w:ascii="Times New Roman" w:hAnsi="Times New Roman" w:cs="Times New Roman"/>
        </w:rPr>
      </w:pPr>
      <w:r w:rsidRPr="00AE204D">
        <w:rPr>
          <w:rFonts w:ascii="Times New Roman" w:hAnsi="Times New Roman" w:cs="Times New Roman"/>
          <w:b/>
        </w:rPr>
        <w:t xml:space="preserve">K bodu 39 </w:t>
      </w:r>
      <w:r w:rsidRPr="00AE204D">
        <w:rPr>
          <w:rFonts w:ascii="Times New Roman" w:hAnsi="Times New Roman" w:cs="Times New Roman"/>
        </w:rPr>
        <w:t>- § 51a ods. 3 až  7:</w:t>
      </w:r>
    </w:p>
    <w:p w:rsidR="00C22376" w:rsidRPr="00AE204D" w:rsidP="00C22376">
      <w:pPr>
        <w:pStyle w:val="BodyText"/>
        <w:spacing w:after="0"/>
        <w:jc w:val="both"/>
        <w:rPr>
          <w:rFonts w:ascii="Times New Roman" w:hAnsi="Times New Roman" w:cs="Times New Roman"/>
        </w:rPr>
      </w:pPr>
      <w:r w:rsidRPr="00AE204D">
        <w:rPr>
          <w:rFonts w:ascii="Times New Roman" w:hAnsi="Times New Roman" w:cs="Times New Roman"/>
        </w:rPr>
        <w:t xml:space="preserve">Podľa odseku 3 sa upravuje základ dane u daňovníka, ktorý prechádza zo sústavy jednoduchého účtovníctva na daňovú evidenciu podľa § 6 ods. 14 zákona. Základ dane sa zvýši o zostatky vytvorených rezerv podľa § 20 ods. 9 písm. b), d) až f) zákona v tom zdaňovacom období, v ktorom dochádza k tejto zmene. Ak daňovník  prechádza z daňovej evidencie podľa § 6 ods. 14 na jednoduché účtovníctvo, tak sa neupravuje základ dane. Podľa odseku 4 sa upravuje základ dane u daňovníka, ktorý prechádza zo sústavy podvojného účtovníctva na uplatňovanie výdavkov percentom z príjmov (§ 6 ods. 10 zákona) a naopak. Základ dane sa upravuje v tom zdaňovacom období, v ktorom dochádza k tejto zmene, a to v súlade s § 17 ods. 8 písm. b) alebo c) zákona. Podľa odseku 5 daňovník, ktorý začne viesť evidenciu podľa § 6 ods. 10 bezprostredne po období, v ktorom účtoval v sústave jednoduchého účtovníctva, základ dane zvýši o zostatky vytvorených rezerv podľa § 20 ods. 9 písm. b), d) až f) v zdaňovacom období, v ktorom došlo k tejto zmene, podľa stavu zisteného k začiatku zdaňovacieho obdobia, v ktorom začne viesť evidenciu podľa § 6 ods. 10 (tzv. paušálne výdavky). Odseky 6 a 7 riešia problematiku zahrnovania opravnej položky k nadobudnutému majetku u daňovníkov, ktorý začnú viesť evidenciu podľa § 6 ods. 10 alebo § 6 ods. 14 po účtovnom období.   </w:t>
      </w:r>
    </w:p>
    <w:p w:rsidR="00C22376" w:rsidRPr="00AE204D" w:rsidP="00C22376">
      <w:pPr>
        <w:jc w:val="both"/>
        <w:rPr>
          <w:rFonts w:ascii="Times New Roman" w:hAnsi="Times New Roman" w:cs="Times New Roman"/>
          <w:b/>
        </w:rPr>
      </w:pPr>
    </w:p>
    <w:p w:rsidR="00C22376" w:rsidP="00C22376">
      <w:pPr>
        <w:jc w:val="both"/>
        <w:rPr>
          <w:rFonts w:ascii="Times New Roman" w:hAnsi="Times New Roman" w:cs="Times New Roman"/>
        </w:rPr>
      </w:pPr>
      <w:r w:rsidRPr="00AE204D">
        <w:rPr>
          <w:rFonts w:ascii="Times New Roman" w:hAnsi="Times New Roman" w:cs="Times New Roman"/>
          <w:b/>
        </w:rPr>
        <w:t xml:space="preserve">K bodu 40 </w:t>
      </w:r>
      <w:r>
        <w:rPr>
          <w:rFonts w:ascii="Times New Roman" w:hAnsi="Times New Roman" w:cs="Times New Roman"/>
        </w:rPr>
        <w:t xml:space="preserve">- </w:t>
      </w:r>
      <w:r w:rsidRPr="00455CAA">
        <w:rPr>
          <w:rFonts w:ascii="Times New Roman" w:hAnsi="Times New Roman" w:cs="Times New Roman"/>
          <w:b/>
        </w:rPr>
        <w:t>§ 52h</w:t>
      </w:r>
      <w:r>
        <w:rPr>
          <w:rFonts w:ascii="Times New Roman" w:hAnsi="Times New Roman" w:cs="Times New Roman"/>
        </w:rPr>
        <w:t xml:space="preserve"> - prechodné ustanovenie</w:t>
      </w:r>
      <w:r w:rsidRPr="00AE204D">
        <w:rPr>
          <w:rFonts w:ascii="Times New Roman" w:hAnsi="Times New Roman" w:cs="Times New Roman"/>
        </w:rPr>
        <w:t xml:space="preserve"> k úpr</w:t>
      </w:r>
      <w:r>
        <w:rPr>
          <w:rFonts w:ascii="Times New Roman" w:hAnsi="Times New Roman" w:cs="Times New Roman"/>
        </w:rPr>
        <w:t>avám účinným od 1. januára 2010</w:t>
      </w:r>
      <w:r w:rsidRPr="00AE204D">
        <w:rPr>
          <w:rFonts w:ascii="Times New Roman" w:hAnsi="Times New Roman" w:cs="Times New Roman"/>
        </w:rPr>
        <w:t>:</w:t>
      </w:r>
    </w:p>
    <w:p w:rsidR="00C22376" w:rsidRPr="00AE204D" w:rsidP="00C22376">
      <w:pPr>
        <w:jc w:val="both"/>
        <w:rPr>
          <w:rFonts w:ascii="Times New Roman" w:hAnsi="Times New Roman" w:cs="Times New Roman"/>
        </w:rPr>
      </w:pPr>
      <w:r w:rsidRPr="00AE204D">
        <w:rPr>
          <w:rFonts w:ascii="Times New Roman" w:hAnsi="Times New Roman" w:cs="Times New Roman"/>
        </w:rPr>
        <w:t>Odsek 1 - ustanovenie § 5 ods. 3 písm. b) v znení účinnom od 1. januára 2010 sa prvýkrát použije na zamestnaneckú opciu poskytnutú zamestnávateľom na nákup zamestnaneckej akcie po 31. decembri 2009.</w:t>
      </w:r>
    </w:p>
    <w:p w:rsidR="00C22376" w:rsidRPr="00AE204D" w:rsidP="00C22376">
      <w:pPr>
        <w:pStyle w:val="BodyText"/>
        <w:spacing w:after="0"/>
        <w:jc w:val="both"/>
        <w:rPr>
          <w:rFonts w:ascii="Times New Roman" w:hAnsi="Times New Roman" w:cs="Times New Roman"/>
        </w:rPr>
      </w:pPr>
      <w:r w:rsidRPr="00AE204D">
        <w:rPr>
          <w:rFonts w:ascii="Times New Roman" w:hAnsi="Times New Roman" w:cs="Times New Roman"/>
        </w:rPr>
        <w:t xml:space="preserve">Odsek  2- ustanovenie § 17 ods. 14 v znení účinnom od 1. januára 2010 sa prvýkrát použije na daňovú stratu stálej prevádzkarne umiestnenej v zahraničí vykázanú po 31. decembri 2009.  </w:t>
      </w:r>
    </w:p>
    <w:p w:rsidR="00C22376" w:rsidRPr="00AE204D" w:rsidP="00C22376">
      <w:pPr>
        <w:pStyle w:val="BodyText"/>
        <w:spacing w:after="0"/>
        <w:jc w:val="both"/>
        <w:rPr>
          <w:rFonts w:ascii="Times New Roman" w:hAnsi="Times New Roman" w:cs="Times New Roman"/>
        </w:rPr>
      </w:pPr>
      <w:r w:rsidRPr="00AE204D">
        <w:rPr>
          <w:rFonts w:ascii="Times New Roman" w:hAnsi="Times New Roman" w:cs="Times New Roman"/>
        </w:rPr>
        <w:t>Odsek  3 - toto ustanovenia rieši použitie  § 19 ods. 3 písm. t) a § 51a ods. 3 až  7 zákona v znení účinných od 1. januára 2010 už pri podávaní daňového priznania po 1. januári 2010.</w:t>
      </w:r>
    </w:p>
    <w:p w:rsidR="00C22376" w:rsidRPr="00AE204D" w:rsidP="00C22376">
      <w:pPr>
        <w:pStyle w:val="BodyText"/>
        <w:spacing w:after="0"/>
        <w:jc w:val="both"/>
        <w:rPr>
          <w:rFonts w:ascii="Times New Roman" w:hAnsi="Times New Roman" w:cs="Times New Roman"/>
        </w:rPr>
      </w:pPr>
      <w:r w:rsidRPr="00AE204D">
        <w:rPr>
          <w:rFonts w:ascii="Times New Roman" w:hAnsi="Times New Roman" w:cs="Times New Roman"/>
        </w:rPr>
        <w:t xml:space="preserve">Odseky 4 a 5 - goodwill alebo záporný goodwill vykázaný v dôsledku kúpy podniku alebo jeho časti alebo nepeňažného vkladu podniku alebo jeho časti, pričom ku kúpe podniku alebo jeho časti alebo jeho nepeňažného vkladu došlo po 31. decembri 2009, sa zahrnie do základu dane v súlade s § 17a ods. 5 a § 17b ods. 5 písm. b). Na odpisy goodwillu alebo záporného goodwillu vykázaného v dôsledku kúpy podniku alebo jeho časti alebo nepeňažného vkladu podniku alebo jeho časti, pričom ku kúpe podniku alebo jeho časti alebo jeho nepeňažného vkladu došlo pred 1. januárom 2010, sa použije ustanovenie § 17 ods. 18 platné do 31. decembra 2009, t.j. naďalej sa tieto odpisy nezahŕňajú do základu dane. Na oceňovacie rozdiely z kapitálových účastí vzťahujúce sa k nepeňažným vkladom vykonaným do 31. decembra 2009 sa použije ustanovenie § 17 ods. 19 platné do 31. decembra 2009 aj po tomto období.  </w:t>
      </w:r>
    </w:p>
    <w:p w:rsidR="00C22376" w:rsidRPr="00AE204D" w:rsidP="00C22376">
      <w:pPr>
        <w:jc w:val="both"/>
        <w:rPr>
          <w:rFonts w:ascii="Times New Roman" w:hAnsi="Times New Roman" w:cs="Times New Roman"/>
        </w:rPr>
      </w:pPr>
      <w:r w:rsidRPr="00AE204D">
        <w:rPr>
          <w:rFonts w:ascii="Times New Roman" w:hAnsi="Times New Roman" w:cs="Times New Roman"/>
        </w:rPr>
        <w:t>Odsek 6 - nová úprava uvedená v § 17c  vzťahujúca sa k úprave základu dane pri  zlúčení, splynutí  a rozdelení, sa použije po nadobudnutí účinnosti  tejto novely zákona.</w:t>
      </w:r>
    </w:p>
    <w:p w:rsidR="00C22376" w:rsidRPr="00AE204D" w:rsidP="00C22376">
      <w:pPr>
        <w:jc w:val="both"/>
        <w:rPr>
          <w:rFonts w:ascii="Times New Roman" w:hAnsi="Times New Roman" w:cs="Times New Roman"/>
          <w:iCs/>
        </w:rPr>
      </w:pPr>
      <w:r w:rsidRPr="00AE204D">
        <w:rPr>
          <w:rFonts w:ascii="Times New Roman" w:hAnsi="Times New Roman" w:cs="Times New Roman"/>
          <w:iCs/>
        </w:rPr>
        <w:t>Odsek 7 - ustanovenie § 25 ods. 1 písm. f) a g) v znení účinnom do 31. decembra 2009 sa použije pri uplatnení daňových výdavkov u majetku nadobudnutého nepeňažným vkladom, oceneného obstarávacou cenou alebo zostatkovou cenou zistenou u vkladateľa, na účely vysporiadania účtovnej a daňovej obstarávacej (zostatkovej) ceny majetku vrátane § 17a až 17c a rovnako aj na účely prevzatia pôvodnej ceny majetku podľa § 17d a § 17e, aj po 31. decembri 2009.</w:t>
      </w:r>
    </w:p>
    <w:p w:rsidR="00C22376" w:rsidRPr="00AE204D" w:rsidP="00C22376">
      <w:pPr>
        <w:autoSpaceDE/>
        <w:autoSpaceDN/>
        <w:jc w:val="both"/>
        <w:rPr>
          <w:rFonts w:ascii="Times New Roman" w:hAnsi="Times New Roman" w:cs="Times New Roman"/>
        </w:rPr>
      </w:pPr>
      <w:r w:rsidRPr="00AE204D">
        <w:rPr>
          <w:rFonts w:ascii="Times New Roman" w:hAnsi="Times New Roman" w:cs="Times New Roman"/>
        </w:rPr>
        <w:t xml:space="preserve">Odsek 8 – Odpočet daňovej straty sa v § 30 ods. 1 predlžuje z piatich bezprostredne po sebe nasledujúcich zdaňovacích  období na sedem bezprostredne po sebe nasledujúcich zdaňovacích období. Podľa tohto odseku  sa úprava § 30 ods. 1 použije na daňovú stratu vykázanú až  po 31. decembri 2009. Z uvedeného vyplýva, že ak napr. daňovník vykázal  daňové straty počas šiestich zdaňovacích  období (každoročne od roku 2005, t.j. vrátane roka 2010),  daňové straty vykázané do 31. decembra 2009 bude odpočítavať počas piatich zdaňovacích  období podľa § 30 ods. 1 v znení účinnom do 31. decembra 2009. Až daňovú stratu vykázanú v roku  2010  bude  odpočítavať počas siedmich zdaňovacích období. </w:t>
      </w:r>
    </w:p>
    <w:p w:rsidR="00C22376" w:rsidRPr="00AE204D" w:rsidP="00C22376">
      <w:pPr>
        <w:jc w:val="both"/>
        <w:rPr>
          <w:rFonts w:ascii="Times New Roman" w:hAnsi="Times New Roman" w:cs="Times New Roman"/>
          <w:iCs/>
        </w:rPr>
      </w:pPr>
      <w:r w:rsidRPr="00AE204D">
        <w:rPr>
          <w:rFonts w:ascii="Times New Roman" w:hAnsi="Times New Roman" w:cs="Times New Roman"/>
        </w:rPr>
        <w:t>Odsek 9 - U</w:t>
      </w:r>
      <w:r w:rsidRPr="00AE204D">
        <w:rPr>
          <w:rFonts w:ascii="Times New Roman" w:hAnsi="Times New Roman" w:cs="Times New Roman"/>
          <w:iCs/>
        </w:rPr>
        <w:t xml:space="preserve">stanovenie o lehotách na podanie daňového priznania na základe oznámenia daňovníkom správcovi dane </w:t>
      </w:r>
      <w:r w:rsidRPr="00AE204D">
        <w:rPr>
          <w:rFonts w:ascii="Times New Roman" w:hAnsi="Times New Roman" w:cs="Times New Roman"/>
        </w:rPr>
        <w:t xml:space="preserve">v znení účinnom od 1. januára 2010 sa môže použiť po prvýkrát pri podávaní daňového priznania k dani z príjmov právnickej osoby za zdaňovacie obdobie končiace najskôr 31. decembra 2009 a pri podávaní daňového priznania k dani z príjmov fyzickej osoby  až za zdaňovacie obdobie končiace najskôr 31. decembra 2010. </w:t>
      </w:r>
    </w:p>
    <w:p w:rsidR="00C22376" w:rsidP="00C22376">
      <w:pPr>
        <w:jc w:val="both"/>
        <w:rPr>
          <w:rFonts w:ascii="Times New Roman" w:hAnsi="Times New Roman" w:cs="Times New Roman"/>
        </w:rPr>
      </w:pPr>
      <w:r w:rsidRPr="00455CAA">
        <w:rPr>
          <w:rFonts w:ascii="Times New Roman" w:hAnsi="Times New Roman" w:cs="Times New Roman"/>
          <w:b/>
        </w:rPr>
        <w:t>- § 52i</w:t>
      </w:r>
      <w:r>
        <w:rPr>
          <w:rFonts w:ascii="Times New Roman" w:hAnsi="Times New Roman" w:cs="Times New Roman"/>
        </w:rPr>
        <w:t xml:space="preserve"> - prechodné ustanovenie</w:t>
      </w:r>
      <w:r w:rsidRPr="00AE204D">
        <w:rPr>
          <w:rFonts w:ascii="Times New Roman" w:hAnsi="Times New Roman" w:cs="Times New Roman"/>
        </w:rPr>
        <w:t xml:space="preserve"> k úpr</w:t>
      </w:r>
      <w:r>
        <w:rPr>
          <w:rFonts w:ascii="Times New Roman" w:hAnsi="Times New Roman" w:cs="Times New Roman"/>
        </w:rPr>
        <w:t>avám účinným od 1. januára 2011</w:t>
      </w:r>
      <w:r w:rsidRPr="00AE204D">
        <w:rPr>
          <w:rFonts w:ascii="Times New Roman" w:hAnsi="Times New Roman" w:cs="Times New Roman"/>
        </w:rPr>
        <w:t>:</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Odseky  1 až </w:t>
      </w:r>
      <w:r>
        <w:rPr>
          <w:rFonts w:ascii="Times New Roman" w:hAnsi="Times New Roman" w:cs="Times New Roman"/>
        </w:rPr>
        <w:t>4</w:t>
      </w:r>
      <w:r w:rsidRPr="00AE204D">
        <w:rPr>
          <w:rFonts w:ascii="Times New Roman" w:hAnsi="Times New Roman" w:cs="Times New Roman"/>
        </w:rPr>
        <w:t xml:space="preserve"> – v roku 2011 pri podávaní daňového priznania za zdaňovacie obdobie končiace 31. decembra 2010 sa po prvýkrát uplatní postup podľa § 50 ods. 1 písm. b) zákona v znení účinnom 1. januára 2011 a aj v roku 2011 a v ďalších etapách úpravy § 50 zákona, konkrétne pre roky 2012 až 2014 daňovník, ktorý je právnickou osobou, bude oprávnený vyhlásiť v daňovom priznaní v lehote na podanie daňového priznania, že podiel zaplatenej dane do výšky 1,5 % sa má poukázať ním určeným prijímateľom podľa § 50 ods. 4 zákona, za podmienky, že daňovník daroval finančné prostriedky najmenej vo výške zodpovedajúcej 1 % zaplatenej dane v zdaňovacom období, ktorého sa vyhlásenie bude týkať, ním určeným prijímateľom na účely vymedzené v § 50 ods. 5 zákona. Ak daňovník neposkytne tieto prostriedky ako dar, je oprávnený vyhlásiť v daňovom priznaní v lehote na podanie daňového priznania, že podiel zaplatenej dane sa má poukázať ním určeným prijímateľom len do výšky 1 % zaplatenej dane. V rokoch 2015 až 2018 sa podiel zaplatenej dane zníži do výšky 1 % za predpokladu, že daňovník daroval finančné prostriedky zodpovedajúce  1,5 % zaplatenej dane ním určeným prijímateľom, inak podiel zaplatenej dane bude poukázaný len do výšky 0,5 % zaplatenej dane. Od roku 2019 podiel zaplatenej dane u daňovníka, ktorý je právnickou osobou, je do výšky 0,5 %zaplatenej dane bez ustanovenej podmienky poskytnutia finančných prostriedkov ako dar.</w:t>
      </w:r>
    </w:p>
    <w:p w:rsidR="00C22376" w:rsidRPr="00AE204D" w:rsidP="00C22376">
      <w:pPr>
        <w:jc w:val="both"/>
        <w:rPr>
          <w:rFonts w:ascii="Times New Roman" w:hAnsi="Times New Roman" w:cs="Times New Roman"/>
        </w:rPr>
      </w:pPr>
    </w:p>
    <w:p w:rsidR="00C22376" w:rsidRPr="00AE204D" w:rsidP="00C22376">
      <w:pPr>
        <w:pStyle w:val="Heading6"/>
        <w:rPr>
          <w:rFonts w:ascii="Times New Roman" w:hAnsi="Times New Roman" w:cs="Times New Roman"/>
        </w:rPr>
      </w:pPr>
      <w:r w:rsidRPr="00AE204D">
        <w:rPr>
          <w:rFonts w:ascii="Times New Roman" w:hAnsi="Times New Roman" w:cs="Times New Roman"/>
        </w:rPr>
        <w:t>K čl. II</w:t>
      </w:r>
    </w:p>
    <w:p w:rsidR="00C22376" w:rsidRPr="00AE204D" w:rsidP="00C22376">
      <w:pPr>
        <w:rPr>
          <w:rFonts w:ascii="Times New Roman" w:hAnsi="Times New Roman" w:cs="Times New Roman"/>
          <w:bCs/>
        </w:rPr>
      </w:pPr>
      <w:r w:rsidRPr="00AE204D">
        <w:rPr>
          <w:rFonts w:ascii="Times New Roman" w:hAnsi="Times New Roman" w:cs="Times New Roman"/>
          <w:b/>
          <w:bCs/>
        </w:rPr>
        <w:t xml:space="preserve">K bodu 1 </w:t>
      </w:r>
      <w:r w:rsidRPr="00AE204D">
        <w:rPr>
          <w:rFonts w:ascii="Times New Roman" w:hAnsi="Times New Roman" w:cs="Times New Roman"/>
          <w:bCs/>
        </w:rPr>
        <w:t>– § 13a:</w:t>
      </w:r>
    </w:p>
    <w:p w:rsidR="00C22376" w:rsidRPr="00AE204D" w:rsidP="00C22376">
      <w:pPr>
        <w:jc w:val="both"/>
        <w:rPr>
          <w:rFonts w:ascii="Times New Roman" w:hAnsi="Times New Roman" w:cs="Times New Roman"/>
          <w:bCs/>
        </w:rPr>
      </w:pPr>
      <w:r w:rsidRPr="00AE204D">
        <w:rPr>
          <w:rFonts w:ascii="Times New Roman" w:hAnsi="Times New Roman" w:cs="Times New Roman"/>
          <w:bCs/>
        </w:rPr>
        <w:t>Navrhovanou úpravou sa ustanovuje, aby správca dane o každej žiadosti o predĺženie lehoty vydal rozhodnutie.</w:t>
      </w:r>
    </w:p>
    <w:p w:rsidR="00C22376" w:rsidRPr="00AE204D" w:rsidP="00C22376">
      <w:pPr>
        <w:jc w:val="both"/>
        <w:rPr>
          <w:rFonts w:ascii="Times New Roman" w:hAnsi="Times New Roman" w:cs="Times New Roman"/>
          <w:bCs/>
        </w:rPr>
      </w:pPr>
    </w:p>
    <w:p w:rsidR="00C22376" w:rsidRPr="00AE204D" w:rsidP="00C22376">
      <w:pPr>
        <w:jc w:val="both"/>
        <w:rPr>
          <w:rFonts w:ascii="Times New Roman" w:hAnsi="Times New Roman" w:cs="Times New Roman"/>
          <w:bCs/>
        </w:rPr>
      </w:pPr>
      <w:r w:rsidRPr="00AE204D">
        <w:rPr>
          <w:rFonts w:ascii="Times New Roman" w:hAnsi="Times New Roman" w:cs="Times New Roman"/>
          <w:b/>
          <w:bCs/>
        </w:rPr>
        <w:t xml:space="preserve">K bodu 2 - </w:t>
      </w:r>
      <w:r w:rsidRPr="00AE204D">
        <w:rPr>
          <w:rFonts w:ascii="Times New Roman" w:hAnsi="Times New Roman" w:cs="Times New Roman"/>
          <w:bCs/>
        </w:rPr>
        <w:t>§ 15 ods. 14:</w:t>
      </w:r>
    </w:p>
    <w:p w:rsidR="00C22376" w:rsidRPr="00AE204D" w:rsidP="00C22376">
      <w:pPr>
        <w:jc w:val="both"/>
        <w:rPr>
          <w:rFonts w:ascii="Times New Roman" w:hAnsi="Times New Roman" w:cs="Times New Roman"/>
          <w:bCs/>
        </w:rPr>
      </w:pPr>
      <w:r w:rsidRPr="00AE204D">
        <w:rPr>
          <w:rFonts w:ascii="Times New Roman" w:hAnsi="Times New Roman" w:cs="Times New Roman"/>
          <w:bCs/>
        </w:rPr>
        <w:t>Navrhuje sa z dôvodu jednoznačnosti v upovedomení o daňovej kontrole ustanoviť deň, kedy začína daňová kontrola.</w:t>
      </w:r>
    </w:p>
    <w:p w:rsidR="00C22376" w:rsidRPr="00AE204D" w:rsidP="00C22376">
      <w:pPr>
        <w:jc w:val="both"/>
        <w:rPr>
          <w:rFonts w:ascii="Times New Roman" w:hAnsi="Times New Roman" w:cs="Times New Roman"/>
          <w:bCs/>
        </w:rPr>
      </w:pPr>
      <w:r w:rsidRPr="00AE204D">
        <w:rPr>
          <w:rFonts w:ascii="Times New Roman" w:hAnsi="Times New Roman" w:cs="Times New Roman"/>
          <w:b/>
          <w:bCs/>
        </w:rPr>
        <w:t>K bodu 3</w:t>
      </w:r>
      <w:r w:rsidRPr="00AE204D">
        <w:rPr>
          <w:rFonts w:ascii="Times New Roman" w:hAnsi="Times New Roman" w:cs="Times New Roman"/>
          <w:bCs/>
        </w:rPr>
        <w:t xml:space="preserve"> - § 31 ods. 2 písm. a) a b): </w:t>
      </w:r>
    </w:p>
    <w:p w:rsidR="00C22376" w:rsidRPr="00AE204D" w:rsidP="00C22376">
      <w:pPr>
        <w:jc w:val="both"/>
        <w:rPr>
          <w:rFonts w:ascii="Times New Roman" w:hAnsi="Times New Roman" w:cs="Times New Roman"/>
          <w:bCs/>
        </w:rPr>
      </w:pPr>
      <w:r w:rsidRPr="00AE204D">
        <w:rPr>
          <w:rFonts w:ascii="Times New Roman" w:hAnsi="Times New Roman" w:cs="Times New Roman"/>
          <w:bCs/>
        </w:rPr>
        <w:t>Ustanovenie sa navrhuje spresniť tak, aby bolo zrejmé, že registračná a oznamovacia povinnosť sa vzťahuje na osoby, ktoré prenajímajú iba časť bytu, nebytového priestoru alebo časť nehnuteľnosti.</w:t>
      </w:r>
    </w:p>
    <w:p w:rsidR="00C22376" w:rsidRPr="00AE204D" w:rsidP="00C22376">
      <w:pPr>
        <w:rPr>
          <w:rFonts w:ascii="Times New Roman" w:hAnsi="Times New Roman" w:cs="Times New Roman"/>
          <w:bCs/>
        </w:rPr>
      </w:pPr>
    </w:p>
    <w:p w:rsidR="00C22376" w:rsidRPr="00AE204D" w:rsidP="00C22376">
      <w:pPr>
        <w:rPr>
          <w:rFonts w:ascii="Times New Roman" w:hAnsi="Times New Roman" w:cs="Times New Roman"/>
          <w:bCs/>
        </w:rPr>
      </w:pPr>
      <w:r w:rsidRPr="00AE204D">
        <w:rPr>
          <w:rFonts w:ascii="Times New Roman" w:hAnsi="Times New Roman" w:cs="Times New Roman"/>
          <w:b/>
          <w:bCs/>
        </w:rPr>
        <w:t>K bodu 4</w:t>
      </w:r>
      <w:r w:rsidRPr="00AE204D">
        <w:rPr>
          <w:rFonts w:ascii="Times New Roman" w:hAnsi="Times New Roman" w:cs="Times New Roman"/>
          <w:bCs/>
        </w:rPr>
        <w:t xml:space="preserve"> - § 31 ods. 6:</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Ide o návrh nového znenia  tohto ustanovenia a to z dôvodu, že  povinnosť ustanoviť si  svojho zástupcu  na doručovanie písomností  na území Slovenskej republiky sa bude vzťahovať len na fyzické osoby alebo právnické osoby s trvalým pobytom alebo sídlom na území tretích štátov, t.j. mimo územia Európskej únie alebo Európskeho hospodárskeho priestoru. Táto navrhovaná  úprava  je  vykonaná na základe  výhrady Európskej komisie, ktorá   postup podľa  súčasne platného znenia posúdila ako  prekážku v podnikaní  fyzických osôb alebo právnických osôb z členských štátov Európskej únie a zvýšenú administratívnu zaťaženosť týchto osôb pri podnikaní.  </w:t>
      </w:r>
    </w:p>
    <w:p w:rsidR="00C22376"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5 </w:t>
      </w:r>
      <w:r w:rsidRPr="00AE204D">
        <w:rPr>
          <w:rFonts w:ascii="Times New Roman" w:hAnsi="Times New Roman" w:cs="Times New Roman"/>
        </w:rPr>
        <w:t>- § 35 ods. 2:</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Navrhuje sa ustanoviť výpočet výšky pokuty  podľa § 35 ods. 1 tak, že ak trojnásobok základnej úrokovej sadzby Európskej centrálnej banky nedosiahne výšku 10 %, pri výpočte pokuty sa použije namiesto trojnásobku základnej úrokovej Európskej centrálnej banky sadzba 10 %. </w:t>
      </w:r>
    </w:p>
    <w:p w:rsidR="00C22376" w:rsidRPr="00AE204D" w:rsidP="00C22376">
      <w:pPr>
        <w:rPr>
          <w:rFonts w:ascii="Times New Roman" w:hAnsi="Times New Roman" w:cs="Times New Roman"/>
          <w:b/>
          <w:bCs/>
        </w:rPr>
      </w:pPr>
    </w:p>
    <w:p w:rsidR="00C22376" w:rsidRPr="00AE204D" w:rsidP="00C22376">
      <w:pPr>
        <w:rPr>
          <w:rFonts w:ascii="Times New Roman" w:hAnsi="Times New Roman" w:cs="Times New Roman"/>
          <w:b/>
          <w:bCs/>
        </w:rPr>
      </w:pPr>
      <w:r w:rsidRPr="00AE204D">
        <w:rPr>
          <w:rFonts w:ascii="Times New Roman" w:hAnsi="Times New Roman" w:cs="Times New Roman"/>
          <w:b/>
          <w:bCs/>
        </w:rPr>
        <w:t>K bodom  6 a 7</w:t>
      </w:r>
      <w:r w:rsidRPr="00AE204D">
        <w:rPr>
          <w:rFonts w:ascii="Times New Roman" w:hAnsi="Times New Roman" w:cs="Times New Roman"/>
          <w:bCs/>
        </w:rPr>
        <w:t xml:space="preserve"> -</w:t>
      </w:r>
      <w:r w:rsidRPr="00AE204D">
        <w:rPr>
          <w:rFonts w:ascii="Times New Roman" w:hAnsi="Times New Roman" w:cs="Times New Roman"/>
          <w:b/>
          <w:bCs/>
        </w:rPr>
        <w:t xml:space="preserve"> </w:t>
      </w:r>
      <w:r w:rsidRPr="00AE204D">
        <w:rPr>
          <w:rFonts w:ascii="Times New Roman" w:hAnsi="Times New Roman" w:cs="Times New Roman"/>
          <w:bCs/>
        </w:rPr>
        <w:t>§</w:t>
      </w:r>
      <w:r w:rsidRPr="00AE204D">
        <w:rPr>
          <w:rFonts w:ascii="Times New Roman" w:hAnsi="Times New Roman" w:cs="Times New Roman"/>
        </w:rPr>
        <w:t xml:space="preserve"> </w:t>
      </w:r>
      <w:r w:rsidRPr="00AE204D">
        <w:rPr>
          <w:rFonts w:ascii="Times New Roman" w:hAnsi="Times New Roman" w:cs="Times New Roman"/>
          <w:bCs/>
        </w:rPr>
        <w:t>35 ods. 7 písm.  b) a d):</w:t>
      </w:r>
      <w:r w:rsidRPr="00AE204D">
        <w:rPr>
          <w:rFonts w:ascii="Times New Roman" w:hAnsi="Times New Roman" w:cs="Times New Roman"/>
          <w:b/>
          <w:bCs/>
        </w:rPr>
        <w:t xml:space="preserve">  </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Ustanovenie § 35 ods. 7 sa navrhuje rozšíriť o nové znenie  písmena d), podľa ktorého   správca dane uloží pokutu  osobe  - vkladateľovi nepeňažného vkladu alebo  prijímateľovi nepeňažného vkladu, ktorá neoznámi v lehote podľa osobitného predpisu (§ 17b ods. 2 a  7 zákona o dani z príjmov) inej osobe - prijímateľovi nepeňažného vkladu alebo vkladateľovi nepeňažného vkladu informáciu, napr. o predaji tohto nepeňažného vkladu vo výške podľa osobitného predpisu, na účely jeho zahrnutia do základu dane v príslušnom zdaňovacom období podľa osobitného predpisu; v týchto prípadoch správca dane uloží tejto osobe pokutu najviac do výšky   33 190 eur. Pri uložení pokuty správca dane prihliada na závažnosť, trvanie a následky protiprávneho stavu.  Znenie písmena b) sa navrhuje  doplniť nadväzne na navrhované znenie písmena d).  </w:t>
      </w:r>
    </w:p>
    <w:p w:rsidR="00C22376" w:rsidRPr="00AE204D" w:rsidP="00C22376">
      <w:pPr>
        <w:jc w:val="both"/>
        <w:rPr>
          <w:rFonts w:ascii="Times New Roman" w:hAnsi="Times New Roman" w:cs="Times New Roman"/>
        </w:rPr>
      </w:pPr>
    </w:p>
    <w:p w:rsidR="00C22376" w:rsidRPr="00AE204D" w:rsidP="00C22376">
      <w:pPr>
        <w:pStyle w:val="Heading2"/>
        <w:spacing w:before="0" w:after="0"/>
        <w:rPr>
          <w:rFonts w:ascii="Times New Roman" w:hAnsi="Times New Roman" w:cs="Times New Roman"/>
          <w:b w:val="0"/>
          <w:i w:val="0"/>
          <w:sz w:val="24"/>
          <w:szCs w:val="24"/>
        </w:rPr>
      </w:pPr>
      <w:r w:rsidRPr="00AE204D">
        <w:rPr>
          <w:rFonts w:ascii="Times New Roman" w:hAnsi="Times New Roman" w:cs="Times New Roman"/>
          <w:i w:val="0"/>
          <w:sz w:val="24"/>
          <w:szCs w:val="24"/>
        </w:rPr>
        <w:t xml:space="preserve">K bodom 8 až  18  </w:t>
      </w:r>
      <w:r w:rsidRPr="00AE204D">
        <w:rPr>
          <w:rFonts w:ascii="Times New Roman" w:hAnsi="Times New Roman" w:cs="Times New Roman"/>
          <w:b w:val="0"/>
          <w:i w:val="0"/>
          <w:sz w:val="24"/>
          <w:szCs w:val="24"/>
        </w:rPr>
        <w:t xml:space="preserve">- § 35 ods.  8 až 11 a ods. 13: </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Nadväzne  na  zákon  č. 659/2007 Z. z. o zavedení meny  euro v Slovenskej republike  a o zmene a doplnení niektorých zákonov v znení neskorších predpisov sa navrhuje sumy v slovenských korunách uvedených v predmetných ustanoveniach prepočítať na eurá konverzným kurzom  (30,1260 SKK/EUR)  a zaokrúhliť  nadol v prospech  osoby, ktorá  bude znášať úhradu tejto platby. </w:t>
      </w:r>
    </w:p>
    <w:p w:rsidR="00C22376" w:rsidRPr="00AE204D" w:rsidP="00C22376">
      <w:pPr>
        <w:rPr>
          <w:rFonts w:ascii="Times New Roman" w:hAnsi="Times New Roman" w:cs="Times New Roman"/>
        </w:rPr>
      </w:pPr>
    </w:p>
    <w:p w:rsidR="00C22376" w:rsidRPr="00AE204D" w:rsidP="00C22376">
      <w:pPr>
        <w:rPr>
          <w:rFonts w:ascii="Times New Roman" w:hAnsi="Times New Roman" w:cs="Times New Roman"/>
        </w:rPr>
      </w:pPr>
      <w:r w:rsidRPr="00AE204D">
        <w:rPr>
          <w:rFonts w:ascii="Times New Roman" w:hAnsi="Times New Roman" w:cs="Times New Roman"/>
          <w:b/>
        </w:rPr>
        <w:t xml:space="preserve">K bodu 19 </w:t>
      </w:r>
      <w:r w:rsidRPr="00AE204D">
        <w:rPr>
          <w:rFonts w:ascii="Times New Roman" w:hAnsi="Times New Roman" w:cs="Times New Roman"/>
        </w:rPr>
        <w:t>- § 35 ods. 19:</w:t>
      </w:r>
    </w:p>
    <w:p w:rsidR="00C22376" w:rsidRPr="00AE204D" w:rsidP="00C22376">
      <w:pPr>
        <w:rPr>
          <w:rFonts w:ascii="Times New Roman" w:hAnsi="Times New Roman" w:cs="Times New Roman"/>
        </w:rPr>
      </w:pPr>
      <w:r w:rsidRPr="00AE204D">
        <w:rPr>
          <w:rFonts w:ascii="Times New Roman" w:hAnsi="Times New Roman" w:cs="Times New Roman"/>
        </w:rPr>
        <w:t>Z dôvodu spresnenia sa navrhuje ustanovenie doplniť o dodatočné hlásenie, od podania ktorého sa počíta lehota na uloženie pokuty.</w:t>
      </w:r>
    </w:p>
    <w:p w:rsidR="00C22376" w:rsidRPr="00AE204D" w:rsidP="00C22376">
      <w:pPr>
        <w:rPr>
          <w:rFonts w:ascii="Times New Roman" w:hAnsi="Times New Roman" w:cs="Times New Roman"/>
        </w:rPr>
      </w:pPr>
    </w:p>
    <w:p w:rsidR="00C22376" w:rsidRPr="00AE204D" w:rsidP="00C22376">
      <w:pPr>
        <w:jc w:val="both"/>
        <w:rPr>
          <w:rFonts w:ascii="Times New Roman" w:hAnsi="Times New Roman" w:cs="Times New Roman"/>
          <w:bCs/>
        </w:rPr>
      </w:pPr>
      <w:r w:rsidRPr="00AE204D">
        <w:rPr>
          <w:rFonts w:ascii="Times New Roman" w:hAnsi="Times New Roman" w:cs="Times New Roman"/>
          <w:b/>
          <w:bCs/>
        </w:rPr>
        <w:t xml:space="preserve">K bodu 20 </w:t>
      </w:r>
      <w:r w:rsidRPr="00AE204D">
        <w:rPr>
          <w:rFonts w:ascii="Times New Roman" w:hAnsi="Times New Roman" w:cs="Times New Roman"/>
          <w:bCs/>
        </w:rPr>
        <w:t xml:space="preserve">- § 35  ods. 21: </w:t>
      </w:r>
    </w:p>
    <w:p w:rsidR="00C22376" w:rsidRPr="00AE204D" w:rsidP="00C22376">
      <w:pPr>
        <w:jc w:val="both"/>
        <w:rPr>
          <w:rFonts w:ascii="Times New Roman" w:hAnsi="Times New Roman" w:cs="Times New Roman"/>
        </w:rPr>
      </w:pPr>
      <w:r w:rsidRPr="00AE204D">
        <w:rPr>
          <w:rFonts w:ascii="Times New Roman" w:hAnsi="Times New Roman" w:cs="Times New Roman"/>
        </w:rPr>
        <w:t>Legislatívnou úpravou sa spresnilo číselné označenie ustanovenia z odseku 12 na odsek 13, ktorým je ustanovená horná hranica pokuty.</w:t>
      </w:r>
    </w:p>
    <w:p w:rsidR="00C22376" w:rsidRPr="00AE204D" w:rsidP="00C22376">
      <w:pPr>
        <w:rPr>
          <w:rFonts w:ascii="Times New Roman" w:hAnsi="Times New Roman" w:cs="Times New Roman"/>
          <w:b/>
          <w:bCs/>
        </w:rPr>
      </w:pPr>
    </w:p>
    <w:p w:rsidR="00C22376" w:rsidP="00C22376">
      <w:pPr>
        <w:jc w:val="both"/>
        <w:rPr>
          <w:rFonts w:ascii="Times New Roman" w:hAnsi="Times New Roman" w:cs="Times New Roman"/>
          <w:b/>
        </w:rPr>
      </w:pPr>
    </w:p>
    <w:p w:rsidR="00C22376"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21 </w:t>
      </w:r>
      <w:r w:rsidRPr="00AE204D">
        <w:rPr>
          <w:rFonts w:ascii="Times New Roman" w:hAnsi="Times New Roman" w:cs="Times New Roman"/>
        </w:rPr>
        <w:t>- § 35b ods. 2 a 6:</w:t>
      </w:r>
    </w:p>
    <w:p w:rsidR="00C22376" w:rsidRPr="00AE204D" w:rsidP="00C22376">
      <w:pPr>
        <w:jc w:val="both"/>
        <w:rPr>
          <w:rFonts w:ascii="Times New Roman" w:hAnsi="Times New Roman" w:cs="Times New Roman"/>
        </w:rPr>
      </w:pPr>
      <w:r>
        <w:rPr>
          <w:rFonts w:ascii="Times New Roman" w:hAnsi="Times New Roman" w:cs="Times New Roman"/>
        </w:rPr>
        <w:t>A</w:t>
      </w:r>
      <w:r w:rsidRPr="00AE204D">
        <w:rPr>
          <w:rFonts w:ascii="Times New Roman" w:hAnsi="Times New Roman" w:cs="Times New Roman"/>
        </w:rPr>
        <w:t xml:space="preserve">k štvornásobok základnej úrokovej sadzby Európskej centrálnej banky nedosiahne 15 %, navrhuje sa pre výpočet sankčného úroku použiť ročnú úrokovú sadzbu vo výške 15 % namiesto štvornásobku základnej úrokovej sadzby Európskej centrálnej banky. </w:t>
      </w:r>
    </w:p>
    <w:p w:rsidR="00C22376" w:rsidRPr="00AE204D" w:rsidP="00C22376">
      <w:pPr>
        <w:rPr>
          <w:rFonts w:ascii="Times New Roman" w:hAnsi="Times New Roman" w:cs="Times New Roman"/>
          <w:b/>
          <w:bCs/>
        </w:rPr>
      </w:pPr>
    </w:p>
    <w:p w:rsidR="00C22376" w:rsidRPr="00AE204D" w:rsidP="00C22376">
      <w:pPr>
        <w:pStyle w:val="Heading8"/>
        <w:spacing w:before="0" w:after="0"/>
        <w:rPr>
          <w:rFonts w:ascii="Times New Roman" w:hAnsi="Times New Roman" w:cs="Times New Roman"/>
          <w:b/>
          <w:i w:val="0"/>
        </w:rPr>
      </w:pPr>
      <w:r w:rsidRPr="00AE204D">
        <w:rPr>
          <w:rFonts w:ascii="Times New Roman" w:hAnsi="Times New Roman" w:cs="Times New Roman"/>
          <w:b/>
          <w:i w:val="0"/>
        </w:rPr>
        <w:t xml:space="preserve">K bodom 22  a 23 </w:t>
      </w:r>
      <w:r w:rsidRPr="00AE204D">
        <w:rPr>
          <w:rFonts w:ascii="Times New Roman" w:hAnsi="Times New Roman" w:cs="Times New Roman"/>
          <w:i w:val="0"/>
        </w:rPr>
        <w:t>- § 45 ods. 1 a 2:</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Odsek 1 sa upravuje nadväzne na predĺženie lehoty na odpočítanie  daňovej straty. V  prípadoch, ak  daňový subjekt  bude odpočítavať daňovú stratu,  lehota pre zánik práva vyrubiť daň alebo rozdiel dane pri vyrubení dane z príjmov sa navrhuje  na sedem rokov. Pri ostatných druhoch daní, ako aj  pri dani z príjmov,  ak daňový subjekt  neodpočítava daňovú stratu,  lehota pre zánik práva vyrubiť daň alebo rozdiel dane alebo priznanie nároku na vrátenie nadmerného odpočtu alebo vrátenie dane ostáva  súčasná lehota piatich rokov. </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Nadväzne na úpravu odseku 1 bolo potrebné upraviť  odsek 2 v tom zmysle, že obidve lehoty uvedené v    odseku 1  sa vykonaným úkonom smerujúcim na vyrubenie dane alebo rozdielu dane predlžujú,  pričom  lehota  desiatich rokov na vyrubenie dane alebo rozdielu dane  ostáva  pri  obidvoch lehotách zachovaná; rovnako ako aj podmienky  na  predĺženie lehoty na zánik práva  vyrubiť daň alebo rozdiel dane z príjmov  ostávajú nezmenené.       </w:t>
      </w:r>
    </w:p>
    <w:p w:rsidR="00C22376"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Pr>
          <w:rFonts w:ascii="Times New Roman" w:hAnsi="Times New Roman" w:cs="Times New Roman"/>
          <w:b/>
        </w:rPr>
        <w:t>K bodom</w:t>
      </w:r>
      <w:r w:rsidRPr="00AE204D">
        <w:rPr>
          <w:rFonts w:ascii="Times New Roman" w:hAnsi="Times New Roman" w:cs="Times New Roman"/>
          <w:b/>
        </w:rPr>
        <w:t xml:space="preserve"> 24</w:t>
      </w:r>
      <w:r>
        <w:rPr>
          <w:rFonts w:ascii="Times New Roman" w:hAnsi="Times New Roman" w:cs="Times New Roman"/>
          <w:b/>
        </w:rPr>
        <w:t xml:space="preserve"> a 25</w:t>
      </w:r>
      <w:r w:rsidRPr="00AE204D">
        <w:rPr>
          <w:rFonts w:ascii="Times New Roman" w:hAnsi="Times New Roman" w:cs="Times New Roman"/>
          <w:b/>
        </w:rPr>
        <w:t xml:space="preserve"> </w:t>
      </w:r>
      <w:r w:rsidRPr="00AE204D">
        <w:rPr>
          <w:rFonts w:ascii="Times New Roman" w:hAnsi="Times New Roman" w:cs="Times New Roman"/>
        </w:rPr>
        <w:t>-  § 50</w:t>
      </w:r>
      <w:r>
        <w:rPr>
          <w:rFonts w:ascii="Times New Roman" w:hAnsi="Times New Roman" w:cs="Times New Roman"/>
        </w:rPr>
        <w:t xml:space="preserve"> ods. 1 a 3</w:t>
      </w:r>
      <w:r w:rsidRPr="00AE204D">
        <w:rPr>
          <w:rFonts w:ascii="Times New Roman" w:hAnsi="Times New Roman" w:cs="Times New Roman"/>
        </w:rPr>
        <w:t>:</w:t>
      </w:r>
    </w:p>
    <w:p w:rsidR="00C22376" w:rsidRPr="00AE204D" w:rsidP="00C22376">
      <w:pPr>
        <w:jc w:val="both"/>
        <w:rPr>
          <w:rFonts w:ascii="Times New Roman" w:hAnsi="Times New Roman" w:cs="Times New Roman"/>
        </w:rPr>
      </w:pPr>
      <w:r w:rsidRPr="00AE204D">
        <w:rPr>
          <w:rFonts w:ascii="Times New Roman" w:hAnsi="Times New Roman" w:cs="Times New Roman"/>
        </w:rPr>
        <w:t>Navrhuje sa aby daňový subjekt mohol uplatniť námietku len v prípadoch, keď to ustanovuje zákon.</w:t>
      </w:r>
      <w:r>
        <w:rPr>
          <w:rFonts w:ascii="Times New Roman" w:hAnsi="Times New Roman" w:cs="Times New Roman"/>
        </w:rPr>
        <w:t xml:space="preserve"> V nadväznosti na zmenu v odseku 1 je potrebné upraviť aj znenie odseku 3.</w:t>
      </w:r>
      <w:r w:rsidRPr="00AE204D">
        <w:rPr>
          <w:rFonts w:ascii="Times New Roman" w:hAnsi="Times New Roman" w:cs="Times New Roman"/>
        </w:rPr>
        <w:t xml:space="preserve">  </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2</w:t>
      </w:r>
      <w:r>
        <w:rPr>
          <w:rFonts w:ascii="Times New Roman" w:hAnsi="Times New Roman" w:cs="Times New Roman"/>
          <w:b/>
        </w:rPr>
        <w:t>6</w:t>
      </w:r>
      <w:r w:rsidRPr="00AE204D">
        <w:rPr>
          <w:rFonts w:ascii="Times New Roman" w:hAnsi="Times New Roman" w:cs="Times New Roman"/>
        </w:rPr>
        <w:t xml:space="preserve"> -</w:t>
      </w:r>
      <w:r w:rsidRPr="00AE204D">
        <w:rPr>
          <w:rFonts w:ascii="Times New Roman" w:hAnsi="Times New Roman" w:cs="Times New Roman"/>
          <w:b/>
        </w:rPr>
        <w:t xml:space="preserve"> </w:t>
      </w:r>
      <w:r w:rsidRPr="00AE204D">
        <w:rPr>
          <w:rFonts w:ascii="Times New Roman" w:hAnsi="Times New Roman" w:cs="Times New Roman"/>
        </w:rPr>
        <w:t>§ 59  ods. 7:</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Pri výpočte úroku z odkladu platenia dane alebo platenia dane v splátkach sa navrhuje, aby sa v prípade, ak trojnásobok základnej úrokovej sadzby Európskej centrálnej banky nedosiahne 10 %, použila ročná úroková sadzba vo výške 10 %  namiesto trojnásobku základnej úrokovej Európskej centrálnej banky. </w:t>
      </w:r>
    </w:p>
    <w:p w:rsidR="00C22376" w:rsidRPr="00AE204D"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2</w:t>
      </w:r>
      <w:r>
        <w:rPr>
          <w:rFonts w:ascii="Times New Roman" w:hAnsi="Times New Roman" w:cs="Times New Roman"/>
          <w:b/>
        </w:rPr>
        <w:t>7</w:t>
      </w:r>
      <w:r w:rsidRPr="00AE204D">
        <w:rPr>
          <w:rFonts w:ascii="Times New Roman" w:hAnsi="Times New Roman" w:cs="Times New Roman"/>
          <w:b/>
        </w:rPr>
        <w:t xml:space="preserve"> </w:t>
      </w:r>
      <w:r w:rsidRPr="00AE204D">
        <w:rPr>
          <w:rFonts w:ascii="Times New Roman" w:hAnsi="Times New Roman" w:cs="Times New Roman"/>
        </w:rPr>
        <w:t>-</w:t>
      </w:r>
      <w:r w:rsidRPr="00AE204D">
        <w:rPr>
          <w:rFonts w:ascii="Times New Roman" w:hAnsi="Times New Roman" w:cs="Times New Roman"/>
          <w:b/>
        </w:rPr>
        <w:t xml:space="preserve"> </w:t>
      </w:r>
      <w:r w:rsidRPr="00AE204D">
        <w:rPr>
          <w:rFonts w:ascii="Times New Roman" w:hAnsi="Times New Roman" w:cs="Times New Roman"/>
        </w:rPr>
        <w:t>§ 60 ods. 2:</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V prípade oneskoreného prevodu finančných prostriedkov na účet správcu dane sa pri výpočte sankcie navrhuje použiť ročnú úroková sadzbu vo výške 10 % namiesto trojnásobku základnej úrokovej sadzby Európskej centrálnej banky, ak tento nedosiahne 10 %. </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2</w:t>
      </w:r>
      <w:r>
        <w:rPr>
          <w:rFonts w:ascii="Times New Roman" w:hAnsi="Times New Roman" w:cs="Times New Roman"/>
          <w:b/>
        </w:rPr>
        <w:t>8</w:t>
      </w:r>
      <w:r w:rsidRPr="00AE204D">
        <w:rPr>
          <w:rFonts w:ascii="Times New Roman" w:hAnsi="Times New Roman" w:cs="Times New Roman"/>
          <w:b/>
        </w:rPr>
        <w:t xml:space="preserve"> </w:t>
      </w:r>
      <w:r w:rsidRPr="00AE204D">
        <w:rPr>
          <w:rFonts w:ascii="Times New Roman" w:hAnsi="Times New Roman" w:cs="Times New Roman"/>
        </w:rPr>
        <w:t>-</w:t>
      </w:r>
      <w:r w:rsidRPr="00AE204D">
        <w:rPr>
          <w:rFonts w:ascii="Times New Roman" w:hAnsi="Times New Roman" w:cs="Times New Roman"/>
          <w:b/>
        </w:rPr>
        <w:t xml:space="preserve"> </w:t>
      </w:r>
      <w:r w:rsidRPr="00AE204D">
        <w:rPr>
          <w:rFonts w:ascii="Times New Roman" w:hAnsi="Times New Roman" w:cs="Times New Roman"/>
        </w:rPr>
        <w:t>§ 63 ods. 6:</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Rovnaký  postup ako v bodoch 21 a 22 sa navrhuje uplatniť aj pri výpočte úroku, ktorý platí správca dane za oneskorené vrátenie preplatku na dani. </w:t>
      </w:r>
    </w:p>
    <w:p w:rsidR="00C22376" w:rsidRPr="00AE204D"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2</w:t>
      </w:r>
      <w:r>
        <w:rPr>
          <w:rFonts w:ascii="Times New Roman" w:hAnsi="Times New Roman" w:cs="Times New Roman"/>
          <w:b/>
        </w:rPr>
        <w:t>9</w:t>
      </w:r>
      <w:r w:rsidRPr="00AE204D">
        <w:rPr>
          <w:rFonts w:ascii="Times New Roman" w:hAnsi="Times New Roman" w:cs="Times New Roman"/>
        </w:rPr>
        <w:t xml:space="preserve"> - § 63 ods. 8: </w:t>
      </w:r>
    </w:p>
    <w:p w:rsidR="00C22376" w:rsidRPr="00AE204D" w:rsidP="00C22376">
      <w:pPr>
        <w:jc w:val="both"/>
        <w:rPr>
          <w:rFonts w:ascii="Times New Roman" w:hAnsi="Times New Roman" w:cs="Times New Roman"/>
        </w:rPr>
      </w:pPr>
      <w:r w:rsidRPr="00AE204D">
        <w:rPr>
          <w:rFonts w:ascii="Times New Roman" w:hAnsi="Times New Roman" w:cs="Times New Roman"/>
        </w:rPr>
        <w:t>Nadväzne na novelu zákona o dani z priadnej hodnoty sa navrhuje upraviť ustanovenie tak, aby nadmerný odpočet, ktorý uplatňuje skupina, mohol správca dane použiť na úhradu prípadných nedoplatkov na iných daniach u jednotlivých členov tejto skupiny.</w:t>
      </w:r>
    </w:p>
    <w:p w:rsidR="00C22376" w:rsidRPr="00AE204D" w:rsidP="00C22376">
      <w:pPr>
        <w:rPr>
          <w:rFonts w:ascii="Times New Roman" w:hAnsi="Times New Roman" w:cs="Times New Roman"/>
          <w:b/>
          <w:bCs/>
        </w:rPr>
      </w:pPr>
    </w:p>
    <w:p w:rsidR="00C22376" w:rsidRPr="00AE204D" w:rsidP="00C22376">
      <w:pPr>
        <w:rPr>
          <w:rStyle w:val="PlaceholderText"/>
          <w:color w:val="000000"/>
        </w:rPr>
      </w:pPr>
      <w:r w:rsidRPr="00AE204D">
        <w:rPr>
          <w:rStyle w:val="PlaceholderText"/>
          <w:b/>
          <w:bCs/>
          <w:color w:val="000000"/>
        </w:rPr>
        <w:t>K čl. III</w:t>
      </w:r>
    </w:p>
    <w:p w:rsidR="00C22376" w:rsidRPr="00AE204D" w:rsidP="00C22376">
      <w:pPr>
        <w:jc w:val="both"/>
        <w:rPr>
          <w:rStyle w:val="PlaceholderText"/>
          <w:color w:val="000000"/>
        </w:rPr>
      </w:pPr>
      <w:r w:rsidRPr="00AE204D">
        <w:rPr>
          <w:rStyle w:val="PlaceholderText"/>
          <w:b/>
          <w:bCs/>
          <w:color w:val="000000"/>
        </w:rPr>
        <w:t xml:space="preserve">K bodom 1, 3 až  6 </w:t>
      </w:r>
      <w:r w:rsidRPr="00AE204D">
        <w:rPr>
          <w:rStyle w:val="PlaceholderText"/>
          <w:color w:val="000000"/>
        </w:rPr>
        <w:t>- § 4 ods. 3, § 16 ods. 1 písm. e), § 16 ods. 2, § 16 ods. 4 písm. c) a § 17 ods. 6:</w:t>
      </w:r>
    </w:p>
    <w:p w:rsidR="00C22376" w:rsidRPr="00AE204D" w:rsidP="00C22376">
      <w:pPr>
        <w:jc w:val="both"/>
        <w:rPr>
          <w:rStyle w:val="PlaceholderText"/>
          <w:color w:val="000000"/>
        </w:rPr>
      </w:pPr>
      <w:r w:rsidRPr="00AE204D">
        <w:rPr>
          <w:rStyle w:val="PlaceholderText"/>
          <w:color w:val="000000"/>
        </w:rPr>
        <w:t>Na účely účtovníctva účtovná jednotka, ktorá sa zrušuje bez likvidácie vedie účtovníctvo do dňa, ktorý predchádza rozhodnému dňu. Rozhodným dňom na účely účtovníctva je deň  určený  v zmluve o zlúčení alebo splynutí alebo  deň určený v projekte rozdelenia ako deň,  od ktorého sa úkony zanikajúcej obchodnej spoločnosti alebo družstva považujú z hľadiska účtovníctva  za úkony vykonané  na účet  nástupníckej obchodnej spoločnosti alebo  inej  právnickej osoby podľa § 69 ods. 6 písmeno d) Obchodného zákonníka.  Tento deň sa nesmie určiť po dni  nadobudnutia účinkov splynutia, zlúčenia alebo rozdelenia podľa  § 69a Obchodného zákonníka.  V deň, ktorý predchádza rozhodnému dňu zanikajúca účtovná jednotka ukončí vedenie účtovníctva a zostaví účtovnú závierku, v ktorej majetok a záväzky ocení podľa § 27 ods. 1 písm. d) zákona o účtovníctve. Od rozhodného dňa skutočnosti, ktoré sú  predmetom účtovníctva zanikajúcej   obchodnej spoločnosti alebo inej právnickej osoby  sú súčasťou účtovníctva nástupníckej účtovnej jednotky. Pri splynutí alebo rozdelení, kedy prechádza imanie na novozaloženú obchodnú spoločnosť alebo inú právnickú osobu  a nástupnícka účtovná jednotka ešte nevznikla, vedie účtovníctvo a zostaví otváraciu súvahu za nástupnícku účtovnú jednotku zanikajúca  obchodná  spoločnosť alebo iná právnická osoba. Nástupnícka účtovná jednotka odo dňa svojho vzniku pokračuje vo vedení účtovníctva. Pre prípad, ak by nenastali účinky zlúčenia, splynutia alebo rozdelenia, t.j. výmaz zanikajúcej obchodnej spoločnosti alebo inej právnickej osoby z obchodného registra  a zápis nástupcu do obchodného registra, sa vedie účtovníctvo tak, aby bolo možné jednoznačne vyčísliť majetok, záväzky a výsledok hospodárenia zanikajúcej  obchodnej spoločnosti alebo inej právnickej osoby.</w:t>
      </w:r>
    </w:p>
    <w:p w:rsidR="00C22376" w:rsidRPr="00AE204D" w:rsidP="00C22376">
      <w:pPr>
        <w:jc w:val="both"/>
        <w:rPr>
          <w:rStyle w:val="PlaceholderText"/>
          <w:color w:val="000000"/>
        </w:rPr>
      </w:pPr>
      <w:r w:rsidRPr="00AE204D">
        <w:rPr>
          <w:rStyle w:val="PlaceholderText"/>
          <w:color w:val="000000"/>
        </w:rPr>
        <w:t>Ku dňu predchádzajúcemu rozhodnému dňu sa uzavrú účtovné knihy a zostaví sa účtovná závierka zanikajúcej účtovnej jednotky. Pri zlúčení nástupnícka účtovná jednotka nezostavuje účtovnú závierku ku dňu, ktorý  predchádza rozhodnému dňu, ale na účely zostavenia otváracej súvahy len zisťuje  konečné  stavy účtov.</w:t>
      </w:r>
      <w:r>
        <w:rPr>
          <w:rStyle w:val="PlaceholderText"/>
          <w:color w:val="000000"/>
        </w:rPr>
        <w:t xml:space="preserve"> </w:t>
      </w:r>
      <w:r w:rsidRPr="00AE204D">
        <w:rPr>
          <w:rStyle w:val="PlaceholderText"/>
          <w:color w:val="000000"/>
        </w:rPr>
        <w:t xml:space="preserve">V § 17 ods. 6  sa upravuje  zostavenie a označenie účtovných závierok v prípadoch, ak sú totožné dni rôznych účtovných závierok. Priebežná účtovná závierka sa nezostavuje, ak jej deň je totožný s dňom riadnej alebo mimoriadnej účtovnej závierky. Ako riadna účtovná závierka sa označuje účtovná závierka, ak deň mimoriadnej účtovnej závierky je totožný s dňom riadnej účtovnej závierky. </w:t>
      </w:r>
    </w:p>
    <w:p w:rsidR="00C22376" w:rsidRPr="00AE204D" w:rsidP="00C22376">
      <w:pPr>
        <w:jc w:val="both"/>
        <w:rPr>
          <w:rStyle w:val="PlaceholderText"/>
          <w:color w:val="000000"/>
        </w:rPr>
      </w:pPr>
    </w:p>
    <w:p w:rsidR="00C22376" w:rsidRPr="00AE204D" w:rsidP="00C22376">
      <w:pPr>
        <w:jc w:val="both"/>
        <w:rPr>
          <w:rStyle w:val="PlaceholderText"/>
          <w:color w:val="000000"/>
        </w:rPr>
      </w:pPr>
      <w:r w:rsidRPr="00AE204D">
        <w:rPr>
          <w:rStyle w:val="PlaceholderText"/>
          <w:b/>
          <w:color w:val="000000"/>
        </w:rPr>
        <w:t>K bodu 2</w:t>
      </w:r>
      <w:r w:rsidRPr="00AE204D">
        <w:rPr>
          <w:rStyle w:val="PlaceholderText"/>
          <w:color w:val="000000"/>
        </w:rPr>
        <w:t xml:space="preserve"> - § 9 ods.2 písm. c):</w:t>
      </w:r>
    </w:p>
    <w:p w:rsidR="00C22376" w:rsidRPr="00AE204D" w:rsidP="00C22376">
      <w:pPr>
        <w:autoSpaceDE/>
        <w:autoSpaceDN/>
        <w:jc w:val="both"/>
        <w:rPr>
          <w:rFonts w:ascii="Times New Roman" w:hAnsi="Times New Roman" w:cs="Times New Roman"/>
          <w:color w:val="000000"/>
        </w:rPr>
      </w:pPr>
      <w:r w:rsidRPr="00AE204D">
        <w:rPr>
          <w:rFonts w:ascii="Times New Roman" w:hAnsi="Times New Roman" w:cs="Times New Roman"/>
          <w:color w:val="000000"/>
        </w:rPr>
        <w:t>Občianske združenia registrované na výkon práva poľovníctva podľa zákona č. 83/1990 Zb. o združovaní občanov v znení neskorších predpisov sa v súlade so zákonom č. 274/2009 Z. z. o poľovníctve a o zmene a doplnení niektorých zákonov stanú od 1. septembra 2009 poľovníckou organizáciou. Ide o organizácie svojim rozsahom menšie, ktoré môžu viesť jednoduché účtovníctvo, ak  nepodnikajú a ak ich príjmy za bezprostredne predchádzajúce  účtovné obdobie  nedosiahli 200 000 eur.</w:t>
      </w:r>
    </w:p>
    <w:p w:rsidR="00C22376" w:rsidRPr="00AE204D" w:rsidP="00C22376">
      <w:pPr>
        <w:jc w:val="both"/>
        <w:rPr>
          <w:rStyle w:val="PlaceholderText"/>
          <w:color w:val="000000"/>
        </w:rPr>
      </w:pPr>
    </w:p>
    <w:p w:rsidR="00C22376" w:rsidRPr="00AE204D" w:rsidP="00C22376">
      <w:pPr>
        <w:jc w:val="both"/>
        <w:rPr>
          <w:rStyle w:val="PlaceholderText"/>
          <w:color w:val="000000"/>
        </w:rPr>
      </w:pPr>
      <w:r w:rsidRPr="00AE204D">
        <w:rPr>
          <w:rStyle w:val="PlaceholderText"/>
          <w:b/>
          <w:bCs/>
          <w:color w:val="000000"/>
        </w:rPr>
        <w:t>K bodu  7</w:t>
      </w:r>
      <w:r w:rsidRPr="00AE204D">
        <w:rPr>
          <w:rStyle w:val="PlaceholderText"/>
          <w:color w:val="000000"/>
        </w:rPr>
        <w:t xml:space="preserve"> - § 17 ods. 7:</w:t>
      </w:r>
    </w:p>
    <w:p w:rsidR="00C22376" w:rsidRPr="00AE204D" w:rsidP="00C22376">
      <w:pPr>
        <w:jc w:val="both"/>
        <w:rPr>
          <w:rStyle w:val="PlaceholderText"/>
          <w:color w:val="000000"/>
        </w:rPr>
      </w:pPr>
      <w:r w:rsidRPr="00AE204D">
        <w:rPr>
          <w:rStyle w:val="PlaceholderText"/>
          <w:color w:val="000000"/>
        </w:rPr>
        <w:t xml:space="preserve">Ustanovuje sa zostavenie otváracej súvahy. Otváracia súvaha sa zostavuje ku  dňu vzniku účtovnej jednotky, ku dňu vstupu do likvidácie, ku dňu účinnosti vyhlásenia konkurzu a k rozhodnému dňu. </w:t>
      </w:r>
    </w:p>
    <w:p w:rsidR="00C22376" w:rsidRPr="00AE204D" w:rsidP="00C22376">
      <w:pPr>
        <w:jc w:val="both"/>
        <w:rPr>
          <w:rStyle w:val="PlaceholderText"/>
          <w:color w:val="000000"/>
        </w:rPr>
      </w:pPr>
      <w:r w:rsidRPr="00AE204D">
        <w:rPr>
          <w:rStyle w:val="PlaceholderText"/>
          <w:color w:val="000000"/>
        </w:rPr>
        <w:t xml:space="preserve">K rozhodnému dňu zostavuje nástupnícka účtovná jednotka otváraciu súvahu aj ak tento predchádza samotnému dňu  vzniku obchodnej spoločnosti alebo inej právnickej osoby. Následne v deň vzniku obchodnej spoločnosti alebo inej právnickej osoby  sa otváracia súvaha nezostavuje.  </w:t>
      </w:r>
    </w:p>
    <w:p w:rsidR="00C22376" w:rsidRPr="00AE204D" w:rsidP="00C22376">
      <w:pPr>
        <w:jc w:val="both"/>
        <w:rPr>
          <w:rStyle w:val="PlaceholderText"/>
          <w:b/>
          <w:bCs/>
          <w:color w:val="000000"/>
        </w:rPr>
      </w:pPr>
    </w:p>
    <w:p w:rsidR="00C22376" w:rsidRPr="00AE204D" w:rsidP="00C22376">
      <w:pPr>
        <w:jc w:val="both"/>
        <w:rPr>
          <w:rStyle w:val="PlaceholderText"/>
          <w:color w:val="000000"/>
        </w:rPr>
      </w:pPr>
      <w:r w:rsidRPr="00AE204D">
        <w:rPr>
          <w:rStyle w:val="PlaceholderText"/>
          <w:b/>
          <w:bCs/>
          <w:color w:val="000000"/>
        </w:rPr>
        <w:t>K bodom 8 a  10</w:t>
      </w:r>
      <w:r w:rsidRPr="00AE204D">
        <w:rPr>
          <w:rStyle w:val="PlaceholderText"/>
          <w:color w:val="000000"/>
        </w:rPr>
        <w:t> -  poznámky pod čiarou k odkazom 22a a 22ac:</w:t>
      </w:r>
    </w:p>
    <w:p w:rsidR="00C22376" w:rsidRPr="00AE204D" w:rsidP="00C22376">
      <w:pPr>
        <w:jc w:val="both"/>
        <w:rPr>
          <w:rStyle w:val="PlaceholderText"/>
          <w:color w:val="000000"/>
        </w:rPr>
      </w:pPr>
      <w:r w:rsidRPr="00AE204D">
        <w:rPr>
          <w:rStyle w:val="PlaceholderText"/>
          <w:color w:val="000000"/>
        </w:rPr>
        <w:t>Upravujú sa poznámky pod čiarou z dôvodu zrušenia Nariadenia Komisie (ES) č. 1725/2003 z 29. septembra 2003 o prijatí určitých medzinárodných účtovných noriem v súlade s nariadením Európskeho parlamentu a Rady (ES) a jeho nahradenia novým nariadením Komisie.</w:t>
      </w:r>
    </w:p>
    <w:p w:rsidR="0037714F" w:rsidP="00C22376">
      <w:pPr>
        <w:jc w:val="both"/>
        <w:rPr>
          <w:rStyle w:val="PlaceholderText"/>
          <w:b/>
          <w:bCs/>
          <w:color w:val="000000"/>
        </w:rPr>
      </w:pPr>
    </w:p>
    <w:p w:rsidR="0037714F" w:rsidP="00C22376">
      <w:pPr>
        <w:jc w:val="both"/>
        <w:rPr>
          <w:rStyle w:val="PlaceholderText"/>
          <w:b/>
          <w:bCs/>
          <w:color w:val="000000"/>
        </w:rPr>
      </w:pPr>
    </w:p>
    <w:p w:rsidR="0037714F" w:rsidP="00C22376">
      <w:pPr>
        <w:jc w:val="both"/>
        <w:rPr>
          <w:rStyle w:val="PlaceholderText"/>
          <w:b/>
          <w:bCs/>
          <w:color w:val="000000"/>
        </w:rPr>
      </w:pPr>
    </w:p>
    <w:p w:rsidR="00C22376" w:rsidRPr="00AE204D" w:rsidP="00C22376">
      <w:pPr>
        <w:jc w:val="both"/>
        <w:rPr>
          <w:rStyle w:val="PlaceholderText"/>
          <w:color w:val="000000"/>
        </w:rPr>
      </w:pPr>
      <w:r w:rsidRPr="00AE204D">
        <w:rPr>
          <w:rStyle w:val="PlaceholderText"/>
          <w:b/>
          <w:bCs/>
          <w:color w:val="000000"/>
        </w:rPr>
        <w:t xml:space="preserve">K bodu  9 </w:t>
      </w:r>
      <w:r w:rsidRPr="00AE204D">
        <w:rPr>
          <w:rStyle w:val="PlaceholderText"/>
          <w:color w:val="000000"/>
        </w:rPr>
        <w:t>- § 17a ods. 2 písm. b):</w:t>
      </w:r>
    </w:p>
    <w:p w:rsidR="00C22376" w:rsidRPr="00AE204D" w:rsidP="00C22376">
      <w:pPr>
        <w:jc w:val="both"/>
        <w:rPr>
          <w:rStyle w:val="PlaceholderText"/>
          <w:color w:val="000000"/>
        </w:rPr>
      </w:pPr>
      <w:r w:rsidRPr="00AE204D">
        <w:rPr>
          <w:rStyle w:val="PlaceholderText"/>
          <w:color w:val="000000"/>
        </w:rPr>
        <w:t>Na účely  § 17a sa definuje čistý obrat, ktoré je totožný s definíciou  čistého obratu v § 19 zákona účtovníctve.</w:t>
      </w:r>
    </w:p>
    <w:p w:rsidR="00C22376" w:rsidRPr="00AE204D" w:rsidP="00C22376">
      <w:pPr>
        <w:jc w:val="both"/>
        <w:rPr>
          <w:rStyle w:val="PlaceholderText"/>
          <w:b/>
          <w:bCs/>
          <w:color w:val="000000"/>
        </w:rPr>
      </w:pPr>
    </w:p>
    <w:p w:rsidR="00C22376" w:rsidRPr="00AE204D" w:rsidP="00C22376">
      <w:pPr>
        <w:jc w:val="both"/>
        <w:rPr>
          <w:rStyle w:val="PlaceholderText"/>
          <w:color w:val="000000"/>
        </w:rPr>
      </w:pPr>
      <w:r w:rsidRPr="00AE204D">
        <w:rPr>
          <w:rStyle w:val="PlaceholderText"/>
          <w:b/>
          <w:bCs/>
          <w:color w:val="000000"/>
        </w:rPr>
        <w:t xml:space="preserve">K bodu 11 </w:t>
      </w:r>
      <w:r w:rsidRPr="00AE204D">
        <w:rPr>
          <w:rStyle w:val="PlaceholderText"/>
          <w:color w:val="000000"/>
        </w:rPr>
        <w:t>- § 18 ods.6:</w:t>
      </w:r>
    </w:p>
    <w:p w:rsidR="00C22376" w:rsidRPr="00AE204D" w:rsidP="00C22376">
      <w:pPr>
        <w:jc w:val="both"/>
        <w:rPr>
          <w:rStyle w:val="PlaceholderText"/>
          <w:color w:val="000000"/>
        </w:rPr>
      </w:pPr>
      <w:r w:rsidRPr="00AE204D">
        <w:rPr>
          <w:rStyle w:val="PlaceholderText"/>
          <w:color w:val="000000"/>
        </w:rPr>
        <w:t xml:space="preserve">V § 18 ods. 6 používaná terminológia zákona o účtovníctve sa  dáva do súladu  s terminológiu používanou  v zákone  č. 540/2007 Z. z. o audítoroch, audite a  dohľade nad  výkonom auditu a o zmene a doplnení  zákona č. 431/2002 Z. z. o účtovníctve v znení  neskorších predpisov (zákon o audítoroch). Pod pojmom  audítor sa rozumie audítor – fyzická osoba alebo audítorská spoločnosť. Náklady vzniknuté účtovnej jednotke voči audítorovi za účtovné obdobie, za ktoré sa zostavuje účtovná závierka  sa členia  podľa  tohto zákona.. </w:t>
      </w:r>
    </w:p>
    <w:p w:rsidR="00C22376" w:rsidRPr="00AE204D" w:rsidP="00C22376">
      <w:pPr>
        <w:jc w:val="both"/>
        <w:rPr>
          <w:rStyle w:val="PlaceholderText"/>
          <w:color w:val="000000"/>
        </w:rPr>
      </w:pPr>
    </w:p>
    <w:p w:rsidR="00C22376" w:rsidRPr="00AE204D" w:rsidP="00C22376">
      <w:pPr>
        <w:jc w:val="both"/>
        <w:rPr>
          <w:rStyle w:val="PlaceholderText"/>
          <w:color w:val="000000"/>
        </w:rPr>
      </w:pPr>
      <w:r w:rsidRPr="00AE204D">
        <w:rPr>
          <w:rStyle w:val="PlaceholderText"/>
          <w:b/>
          <w:color w:val="000000"/>
        </w:rPr>
        <w:t>K bodu 12</w:t>
      </w:r>
      <w:r w:rsidRPr="00AE204D">
        <w:rPr>
          <w:rStyle w:val="PlaceholderText"/>
          <w:color w:val="000000"/>
        </w:rPr>
        <w:t xml:space="preserve"> - § 19 odsek 2:</w:t>
      </w:r>
    </w:p>
    <w:p w:rsidR="00C22376" w:rsidRPr="00AE204D" w:rsidP="00C22376">
      <w:pPr>
        <w:jc w:val="both"/>
        <w:rPr>
          <w:rStyle w:val="PlaceholderText"/>
          <w:color w:val="000000"/>
        </w:rPr>
      </w:pPr>
      <w:r w:rsidRPr="00AE204D">
        <w:rPr>
          <w:rStyle w:val="PlaceholderText"/>
          <w:color w:val="000000"/>
        </w:rPr>
        <w:t>Legislatívnou úpravou  zavedenia  legislatívnej skratky  „audítor“ pre audítora a audítorskú spoločnosť  v  § 18 ods. 6  zákona sa v § 19 odsek 2 vypúšťajú slová „audítorská spoločnosť“.</w:t>
      </w:r>
    </w:p>
    <w:p w:rsidR="00C22376" w:rsidP="00C22376">
      <w:pPr>
        <w:jc w:val="both"/>
        <w:rPr>
          <w:rStyle w:val="PlaceholderText"/>
          <w:color w:val="000000"/>
        </w:rPr>
      </w:pPr>
    </w:p>
    <w:p w:rsidR="00C22376" w:rsidRPr="00AE204D" w:rsidP="00C22376">
      <w:pPr>
        <w:jc w:val="both"/>
        <w:rPr>
          <w:rStyle w:val="PlaceholderText"/>
          <w:color w:val="000000"/>
        </w:rPr>
      </w:pPr>
      <w:r w:rsidRPr="00AE204D">
        <w:rPr>
          <w:rStyle w:val="PlaceholderText"/>
          <w:b/>
          <w:bCs/>
          <w:color w:val="000000"/>
        </w:rPr>
        <w:t xml:space="preserve">K bodom 13  a 14 </w:t>
      </w:r>
      <w:r w:rsidRPr="00AE204D">
        <w:rPr>
          <w:rStyle w:val="PlaceholderText"/>
          <w:color w:val="000000"/>
        </w:rPr>
        <w:t>- § 20 ods. 6 písm. f) a § 20 ods. 7 písm. e):</w:t>
      </w:r>
    </w:p>
    <w:p w:rsidR="00C22376" w:rsidRPr="00AE204D" w:rsidP="00C22376">
      <w:pPr>
        <w:jc w:val="both"/>
        <w:rPr>
          <w:rStyle w:val="PlaceholderText"/>
          <w:color w:val="000000"/>
        </w:rPr>
      </w:pPr>
      <w:r w:rsidRPr="00AE204D">
        <w:rPr>
          <w:rStyle w:val="PlaceholderText"/>
          <w:color w:val="000000"/>
        </w:rPr>
        <w:t>Predmetné zmeny navrhlo Ministerstvo spravodlivosti SR vzhľadom na možnosť alternatívnej správy a riadenia pri európskych formách spoločností (európske spoločnosti a európske družstvo). Použitie špecifického pojmu „predstavenstvo“ nepokrýva jednostupňový systém riadenia týchto spoločností, preto sa navrhuje všeobecnejšia formulácia. Súčasne sa vypúšťa odkaz na zamestnanecké akcie z dôvodu, že tieto sú v Slovenskej republike už zrušené.</w:t>
      </w:r>
    </w:p>
    <w:p w:rsidR="00C22376" w:rsidRPr="00AE204D" w:rsidP="00C22376">
      <w:pPr>
        <w:jc w:val="both"/>
        <w:rPr>
          <w:rStyle w:val="PlaceholderText"/>
          <w:color w:val="000000"/>
        </w:rPr>
      </w:pPr>
      <w:r w:rsidRPr="00AE204D">
        <w:rPr>
          <w:rStyle w:val="PlaceholderText"/>
          <w:color w:val="000000"/>
        </w:rPr>
        <w:t> </w:t>
      </w:r>
    </w:p>
    <w:p w:rsidR="00C22376" w:rsidRPr="00AE204D" w:rsidP="00C22376">
      <w:pPr>
        <w:jc w:val="both"/>
        <w:rPr>
          <w:rStyle w:val="PlaceholderText"/>
          <w:color w:val="000000"/>
        </w:rPr>
      </w:pPr>
      <w:r w:rsidRPr="00AE204D">
        <w:rPr>
          <w:rStyle w:val="PlaceholderText"/>
          <w:b/>
          <w:bCs/>
          <w:color w:val="000000"/>
        </w:rPr>
        <w:t xml:space="preserve">K bodu  15 </w:t>
      </w:r>
      <w:r w:rsidRPr="00AE204D">
        <w:rPr>
          <w:rStyle w:val="PlaceholderText"/>
          <w:color w:val="000000"/>
        </w:rPr>
        <w:t>- § 21 ods. 1:</w:t>
      </w:r>
    </w:p>
    <w:p w:rsidR="00C22376" w:rsidRPr="00AE204D" w:rsidP="00C22376">
      <w:pPr>
        <w:jc w:val="both"/>
        <w:rPr>
          <w:rStyle w:val="PlaceholderText"/>
          <w:color w:val="000000"/>
        </w:rPr>
      </w:pPr>
      <w:r w:rsidRPr="00AE204D">
        <w:rPr>
          <w:rStyle w:val="PlaceholderText"/>
          <w:color w:val="000000"/>
        </w:rPr>
        <w:t xml:space="preserve">Odstraňuje sa disproporcia, ktorá vznikla medzi zákonom o účtovníctve a obchodným zákonníkom po novele obchodného zákonníka v časti týkajúcej sa predkladania účtovných závierok do zbierky listín obchodného registra. </w:t>
      </w:r>
    </w:p>
    <w:p w:rsidR="00C22376" w:rsidRPr="00AE204D" w:rsidP="00C22376">
      <w:pPr>
        <w:jc w:val="both"/>
        <w:rPr>
          <w:rStyle w:val="PlaceholderText"/>
          <w:color w:val="000000"/>
        </w:rPr>
      </w:pPr>
      <w:r w:rsidRPr="00AE204D">
        <w:rPr>
          <w:rStyle w:val="PlaceholderText"/>
          <w:color w:val="000000"/>
        </w:rPr>
        <w:t> </w:t>
      </w:r>
    </w:p>
    <w:p w:rsidR="00C22376" w:rsidRPr="00AE204D" w:rsidP="00C22376">
      <w:pPr>
        <w:jc w:val="both"/>
        <w:rPr>
          <w:rStyle w:val="PlaceholderText"/>
          <w:bCs/>
          <w:color w:val="000000"/>
        </w:rPr>
      </w:pPr>
      <w:r w:rsidRPr="00AE204D">
        <w:rPr>
          <w:rStyle w:val="PlaceholderText"/>
          <w:b/>
          <w:bCs/>
          <w:color w:val="000000"/>
        </w:rPr>
        <w:t xml:space="preserve">K bodu 16 </w:t>
      </w:r>
      <w:r w:rsidRPr="00AE204D">
        <w:rPr>
          <w:rStyle w:val="PlaceholderText"/>
          <w:bCs/>
          <w:color w:val="000000"/>
        </w:rPr>
        <w:t>-</w:t>
      </w:r>
      <w:r w:rsidRPr="00AE204D">
        <w:rPr>
          <w:rStyle w:val="PlaceholderText"/>
          <w:b/>
          <w:bCs/>
          <w:color w:val="000000"/>
        </w:rPr>
        <w:t xml:space="preserve"> </w:t>
      </w:r>
      <w:r w:rsidRPr="00AE204D">
        <w:rPr>
          <w:rStyle w:val="PlaceholderText"/>
          <w:bCs/>
          <w:color w:val="000000"/>
        </w:rPr>
        <w:t>§ 24 ods.2:</w:t>
      </w:r>
    </w:p>
    <w:p w:rsidR="00C22376" w:rsidRPr="00AE204D" w:rsidP="00C22376">
      <w:pPr>
        <w:jc w:val="both"/>
        <w:rPr>
          <w:rStyle w:val="PlaceholderText"/>
          <w:color w:val="000000"/>
        </w:rPr>
      </w:pPr>
      <w:r w:rsidRPr="00AE204D">
        <w:rPr>
          <w:rStyle w:val="PlaceholderText"/>
          <w:color w:val="000000"/>
        </w:rPr>
        <w:t>Ustanovuje sa prepočet majetku a záväzkov vyjadrené v cudzej mene zahraničnou zanikajúcou obchodnou spoločnosťou alebo družstvom  na eurá, ktoré preberá  nástupnícka účtovnou  jednotka, ktorým je  referenčný výmenný  kurz určený  a vyhlásený  ECB alebo NBS  v rozhodný deň.</w:t>
      </w:r>
    </w:p>
    <w:p w:rsidR="00C22376" w:rsidRPr="00AE204D" w:rsidP="00C22376">
      <w:pPr>
        <w:jc w:val="both"/>
        <w:rPr>
          <w:rStyle w:val="PlaceholderText"/>
          <w:color w:val="000000"/>
        </w:rPr>
      </w:pPr>
    </w:p>
    <w:p w:rsidR="00C22376" w:rsidRPr="00AE204D" w:rsidP="00C22376">
      <w:pPr>
        <w:jc w:val="both"/>
        <w:rPr>
          <w:rStyle w:val="PlaceholderText"/>
          <w:color w:val="000000"/>
        </w:rPr>
      </w:pPr>
      <w:r w:rsidRPr="00AE204D">
        <w:rPr>
          <w:rStyle w:val="PlaceholderText"/>
          <w:b/>
          <w:bCs/>
          <w:color w:val="000000"/>
        </w:rPr>
        <w:t>K bodom 17</w:t>
      </w:r>
      <w:r w:rsidRPr="00AE204D">
        <w:rPr>
          <w:rStyle w:val="PlaceholderText"/>
          <w:b/>
          <w:color w:val="000000"/>
        </w:rPr>
        <w:t xml:space="preserve">  a 18</w:t>
      </w:r>
      <w:r w:rsidRPr="00AE204D">
        <w:rPr>
          <w:rStyle w:val="PlaceholderText"/>
          <w:color w:val="000000"/>
        </w:rPr>
        <w:t xml:space="preserve"> - § 25 ods. 1 písm. e):</w:t>
      </w:r>
    </w:p>
    <w:p w:rsidR="00C22376" w:rsidRPr="00AE204D" w:rsidP="00C22376">
      <w:pPr>
        <w:jc w:val="both"/>
        <w:rPr>
          <w:rStyle w:val="PlaceholderText"/>
          <w:color w:val="000000"/>
        </w:rPr>
      </w:pPr>
      <w:r w:rsidRPr="00AE204D">
        <w:rPr>
          <w:rStyle w:val="PlaceholderText"/>
          <w:color w:val="000000"/>
        </w:rPr>
        <w:t xml:space="preserve">Ustanovuje sa oceňovanie majetku a záväzkov u fyzickej osoby – podnikateľa   účtujúceho v sústave jednoduchého účtovníctva, ktorý kupuje podnik alebo jeho čas. Prijímaný  majetok  a záväzky pri  kúpe podniku alebo  jeho  časti oceňuje  v reálnej hodnote. </w:t>
      </w:r>
    </w:p>
    <w:p w:rsidR="00C22376" w:rsidRPr="00AE204D" w:rsidP="00C22376">
      <w:pPr>
        <w:jc w:val="both"/>
        <w:rPr>
          <w:rStyle w:val="PlaceholderText"/>
          <w:color w:val="000000"/>
        </w:rPr>
      </w:pPr>
      <w:r w:rsidRPr="00AE204D">
        <w:rPr>
          <w:rStyle w:val="PlaceholderText"/>
          <w:color w:val="000000"/>
        </w:rPr>
        <w:t> </w:t>
      </w:r>
    </w:p>
    <w:p w:rsidR="00C22376" w:rsidRPr="00AE204D" w:rsidP="00C22376">
      <w:pPr>
        <w:jc w:val="both"/>
        <w:rPr>
          <w:rStyle w:val="PlaceholderText"/>
          <w:color w:val="000000"/>
        </w:rPr>
      </w:pPr>
      <w:r w:rsidRPr="00AE204D">
        <w:rPr>
          <w:rStyle w:val="PlaceholderText"/>
          <w:b/>
          <w:bCs/>
          <w:color w:val="000000"/>
        </w:rPr>
        <w:t xml:space="preserve">K bodom 19  a  20 </w:t>
      </w:r>
      <w:r w:rsidRPr="00AE204D">
        <w:rPr>
          <w:rStyle w:val="PlaceholderText"/>
          <w:color w:val="000000"/>
        </w:rPr>
        <w:t xml:space="preserve"> - § 25 ods. 1 písm. f), § 25 ods. 2:</w:t>
      </w:r>
    </w:p>
    <w:p w:rsidR="00C22376" w:rsidRPr="00AE204D" w:rsidP="00C22376">
      <w:pPr>
        <w:jc w:val="both"/>
        <w:rPr>
          <w:rStyle w:val="PlaceholderText"/>
          <w:color w:val="000000"/>
        </w:rPr>
      </w:pPr>
      <w:r w:rsidRPr="00AE204D">
        <w:rPr>
          <w:rStyle w:val="PlaceholderText"/>
          <w:color w:val="000000"/>
        </w:rPr>
        <w:t xml:space="preserve">Ustanovuje sa ocenenie majetku a záväzkov prevzatých nástupníckou účtovnou jednotkou od zanikajúcej obchodnej spoločnosti alebo družstva.  Nástupnícka účtovná jednotka prevezme majetok a záväzky ocenené reálnou  hodnotou  u zanikajúcej  obchodnej spoločnosti alebo družstva.  </w:t>
      </w:r>
    </w:p>
    <w:p w:rsidR="00C22376" w:rsidRPr="00AE204D" w:rsidP="00C22376">
      <w:pPr>
        <w:jc w:val="both"/>
        <w:rPr>
          <w:rStyle w:val="PlaceholderText"/>
          <w:color w:val="000000"/>
        </w:rPr>
      </w:pPr>
      <w:r w:rsidRPr="00AE204D">
        <w:rPr>
          <w:rStyle w:val="PlaceholderText"/>
          <w:color w:val="000000"/>
        </w:rPr>
        <w:t xml:space="preserve">Povinnosť ocenenia reálnou  hodnotou má  nástupnícka účtovná jednotka, ak preberá majetok a záväzky od zahraničnej zanikajúcej obchodnej spoločnosti alebo  družstva, ktorá neoceňuje majetok a záväzky reálnou hodnotou podľa  tohto  zákona. </w:t>
      </w:r>
    </w:p>
    <w:p w:rsidR="00C22376" w:rsidP="00C22376">
      <w:pPr>
        <w:jc w:val="both"/>
        <w:rPr>
          <w:rStyle w:val="PlaceholderText"/>
          <w:b/>
          <w:color w:val="000000"/>
        </w:rPr>
      </w:pPr>
    </w:p>
    <w:p w:rsidR="00C22376" w:rsidP="00C22376">
      <w:pPr>
        <w:jc w:val="both"/>
        <w:rPr>
          <w:rStyle w:val="PlaceholderText"/>
          <w:b/>
          <w:color w:val="000000"/>
        </w:rPr>
      </w:pPr>
    </w:p>
    <w:p w:rsidR="0037714F" w:rsidP="00C22376">
      <w:pPr>
        <w:jc w:val="both"/>
        <w:rPr>
          <w:rStyle w:val="PlaceholderText"/>
          <w:b/>
          <w:color w:val="000000"/>
        </w:rPr>
      </w:pPr>
    </w:p>
    <w:p w:rsidR="00C22376" w:rsidRPr="00AE204D" w:rsidP="00C22376">
      <w:pPr>
        <w:jc w:val="both"/>
        <w:rPr>
          <w:rStyle w:val="PlaceholderText"/>
          <w:color w:val="000000"/>
        </w:rPr>
      </w:pPr>
      <w:r w:rsidRPr="00AE204D">
        <w:rPr>
          <w:rStyle w:val="PlaceholderText"/>
          <w:b/>
          <w:color w:val="000000"/>
        </w:rPr>
        <w:t>K bodu</w:t>
      </w:r>
      <w:r w:rsidRPr="00AE204D">
        <w:rPr>
          <w:rStyle w:val="PlaceholderText"/>
          <w:color w:val="000000"/>
        </w:rPr>
        <w:t xml:space="preserve"> </w:t>
      </w:r>
      <w:r w:rsidRPr="00AE204D">
        <w:rPr>
          <w:rStyle w:val="PlaceholderText"/>
          <w:b/>
          <w:color w:val="000000"/>
        </w:rPr>
        <w:t xml:space="preserve">21 </w:t>
      </w:r>
      <w:r w:rsidRPr="00AE204D">
        <w:rPr>
          <w:rStyle w:val="PlaceholderText"/>
          <w:color w:val="000000"/>
        </w:rPr>
        <w:t>-</w:t>
      </w:r>
      <w:r w:rsidRPr="00AE204D">
        <w:rPr>
          <w:rStyle w:val="PlaceholderText"/>
          <w:b/>
          <w:color w:val="000000"/>
        </w:rPr>
        <w:t xml:space="preserve"> </w:t>
      </w:r>
      <w:r w:rsidRPr="00AE204D">
        <w:rPr>
          <w:rStyle w:val="PlaceholderText"/>
          <w:color w:val="000000"/>
        </w:rPr>
        <w:t xml:space="preserve"> § 27 odsek 3:</w:t>
      </w:r>
    </w:p>
    <w:p w:rsidR="00C22376" w:rsidRPr="00AE204D" w:rsidP="00C22376">
      <w:pPr>
        <w:jc w:val="both"/>
        <w:rPr>
          <w:rStyle w:val="PlaceholderText"/>
          <w:color w:val="000000"/>
        </w:rPr>
      </w:pPr>
      <w:r w:rsidRPr="00AE204D">
        <w:rPr>
          <w:rStyle w:val="PlaceholderText"/>
          <w:color w:val="000000"/>
        </w:rPr>
        <w:t xml:space="preserve">Upresňuje sa stanovenie reálnej hodnoty podľa § 27 ods. 3  v nadväznosti na deň ocenenia v  § 24 ods. 1 zákona. Týmto sa zdôrazňuje  ocenenie reálnou hodnotou v súlade s § 25 zákona ku dňu  uskutočnenia účtovného prípadu a tiež k inému dňu v priebehu  účtovného obdobia, ak  to  vyžaduje osobitný predpis. </w:t>
      </w:r>
    </w:p>
    <w:p w:rsidR="00C22376" w:rsidRPr="00AE204D" w:rsidP="00C22376">
      <w:pPr>
        <w:jc w:val="both"/>
        <w:rPr>
          <w:rStyle w:val="PlaceholderText"/>
          <w:color w:val="000000"/>
        </w:rPr>
      </w:pPr>
    </w:p>
    <w:p w:rsidR="00C22376" w:rsidRPr="00AE204D" w:rsidP="00C22376">
      <w:pPr>
        <w:jc w:val="both"/>
        <w:rPr>
          <w:rStyle w:val="PlaceholderText"/>
          <w:color w:val="000000"/>
        </w:rPr>
      </w:pPr>
      <w:r w:rsidRPr="00AE204D">
        <w:rPr>
          <w:rStyle w:val="PlaceholderText"/>
          <w:b/>
          <w:bCs/>
          <w:color w:val="000000"/>
        </w:rPr>
        <w:t xml:space="preserve">K bodu 22 </w:t>
      </w:r>
      <w:r w:rsidRPr="00AE204D">
        <w:rPr>
          <w:rStyle w:val="PlaceholderText"/>
          <w:color w:val="000000"/>
        </w:rPr>
        <w:t>- § 28 ods. 4:</w:t>
      </w:r>
    </w:p>
    <w:p w:rsidR="00C22376" w:rsidRPr="00AE204D" w:rsidP="00C22376">
      <w:pPr>
        <w:jc w:val="both"/>
        <w:rPr>
          <w:rStyle w:val="PlaceholderText"/>
          <w:color w:val="000000"/>
        </w:rPr>
      </w:pPr>
      <w:r w:rsidRPr="00AE204D">
        <w:rPr>
          <w:rStyle w:val="PlaceholderText"/>
          <w:color w:val="000000"/>
        </w:rPr>
        <w:t xml:space="preserve">V súlade s článkom 37 smernice Rady 78/660/EHS  v platnom znení sa  upúšťa od  povinnosti odpísať  goodwill  do piatich rokov od jeho obstarania. Účtovné jednotky si stanovia obdobie, počas ktorého budú goodwill  odpisovať. Ostatné podrobnosti sú </w:t>
      </w:r>
      <w:r>
        <w:rPr>
          <w:rStyle w:val="PlaceholderText"/>
          <w:color w:val="000000"/>
        </w:rPr>
        <w:t>u</w:t>
      </w:r>
      <w:r w:rsidRPr="00AE204D">
        <w:rPr>
          <w:rStyle w:val="PlaceholderText"/>
          <w:color w:val="000000"/>
        </w:rPr>
        <w:t>stanovené  v jednotlivých opatreniach  upravujúcich postupy účtovania.</w:t>
      </w:r>
    </w:p>
    <w:p w:rsidR="00C22376" w:rsidRPr="00AE204D" w:rsidP="00C22376">
      <w:pPr>
        <w:jc w:val="both"/>
        <w:rPr>
          <w:rStyle w:val="PlaceholderText"/>
          <w:color w:val="000000"/>
        </w:rPr>
      </w:pPr>
      <w:r w:rsidRPr="00AE204D">
        <w:rPr>
          <w:rStyle w:val="PlaceholderText"/>
          <w:color w:val="000000"/>
        </w:rPr>
        <w:t> </w:t>
      </w:r>
    </w:p>
    <w:p w:rsidR="00C22376" w:rsidRPr="00AE204D" w:rsidP="00C22376">
      <w:pPr>
        <w:jc w:val="both"/>
        <w:rPr>
          <w:rStyle w:val="PlaceholderText"/>
          <w:color w:val="000000"/>
        </w:rPr>
      </w:pPr>
      <w:r w:rsidRPr="00AE204D">
        <w:rPr>
          <w:rStyle w:val="PlaceholderText"/>
          <w:b/>
          <w:bCs/>
          <w:color w:val="000000"/>
        </w:rPr>
        <w:t>K bodu 23</w:t>
      </w:r>
      <w:r w:rsidRPr="00AE204D">
        <w:rPr>
          <w:rStyle w:val="PlaceholderText"/>
          <w:color w:val="000000"/>
        </w:rPr>
        <w:t xml:space="preserve"> - § 36 ods. 1:</w:t>
      </w:r>
    </w:p>
    <w:p w:rsidR="00C22376" w:rsidRPr="00AE204D" w:rsidP="00C22376">
      <w:pPr>
        <w:jc w:val="both"/>
        <w:rPr>
          <w:rStyle w:val="PlaceholderText"/>
          <w:color w:val="000000"/>
        </w:rPr>
      </w:pPr>
      <w:r w:rsidRPr="00AE204D">
        <w:rPr>
          <w:rStyle w:val="PlaceholderText"/>
          <w:color w:val="000000"/>
        </w:rPr>
        <w:t>Zjednocujú sa lehoty na uchovávanie účtovných záznamov, podľa ktorých sa zisťuje alebo preveruje základ dane s osobitnými predpismi.  </w:t>
      </w:r>
    </w:p>
    <w:p w:rsidR="00C22376" w:rsidP="00C22376">
      <w:pPr>
        <w:jc w:val="both"/>
        <w:rPr>
          <w:rStyle w:val="PlaceholderText"/>
          <w:color w:val="000000"/>
        </w:rPr>
      </w:pPr>
    </w:p>
    <w:p w:rsidR="00C22376" w:rsidRPr="00AE204D" w:rsidP="00C22376">
      <w:pPr>
        <w:jc w:val="both"/>
        <w:rPr>
          <w:rStyle w:val="PlaceholderText"/>
          <w:color w:val="000000"/>
        </w:rPr>
      </w:pPr>
      <w:r w:rsidRPr="00AE204D">
        <w:rPr>
          <w:rStyle w:val="PlaceholderText"/>
          <w:b/>
          <w:color w:val="000000"/>
        </w:rPr>
        <w:t>K bodu 24 -</w:t>
      </w:r>
      <w:r w:rsidRPr="00AE204D">
        <w:rPr>
          <w:rStyle w:val="PlaceholderText"/>
          <w:color w:val="000000"/>
        </w:rPr>
        <w:t xml:space="preserve">  § 39g: </w:t>
      </w:r>
    </w:p>
    <w:p w:rsidR="00C22376" w:rsidRPr="00AE204D" w:rsidP="00C22376">
      <w:pPr>
        <w:jc w:val="both"/>
        <w:rPr>
          <w:rStyle w:val="PlaceholderText"/>
          <w:color w:val="000000"/>
        </w:rPr>
      </w:pPr>
      <w:r w:rsidRPr="00AE204D">
        <w:rPr>
          <w:rStyle w:val="PlaceholderText"/>
          <w:color w:val="000000"/>
        </w:rPr>
        <w:t xml:space="preserve">Prechodnými ustanoveniami  v súlade s novelou zákona o dani  z príjmov sa ustanovuje,  že  na  odpisovanie goodwillu, ktorý  vznikol do 31. decembra 2009 sa použijú ustanovenia zákona v znení  účinnom do 31. decembra 2009. </w:t>
      </w:r>
    </w:p>
    <w:p w:rsidR="00C22376" w:rsidRPr="00AE204D" w:rsidP="00C22376">
      <w:pPr>
        <w:rPr>
          <w:rStyle w:val="PlaceholderText"/>
          <w:color w:val="000000"/>
        </w:rPr>
      </w:pPr>
      <w:r w:rsidRPr="00AE204D">
        <w:rPr>
          <w:rStyle w:val="PlaceholderText"/>
          <w:b/>
          <w:bCs/>
          <w:color w:val="000000"/>
        </w:rPr>
        <w:t>  </w:t>
      </w:r>
    </w:p>
    <w:p w:rsidR="00C22376" w:rsidRPr="00AE204D" w:rsidP="00C22376">
      <w:pPr>
        <w:rPr>
          <w:rFonts w:ascii="Times New Roman" w:hAnsi="Times New Roman" w:cs="Times New Roman"/>
        </w:rPr>
      </w:pPr>
      <w:r w:rsidRPr="00AE204D">
        <w:rPr>
          <w:rFonts w:ascii="Times New Roman" w:hAnsi="Times New Roman" w:cs="Times New Roman"/>
          <w:b/>
        </w:rPr>
        <w:t>K čl. IV</w:t>
      </w:r>
    </w:p>
    <w:p w:rsidR="00C22376" w:rsidRPr="00AE204D" w:rsidP="00C22376">
      <w:pPr>
        <w:rPr>
          <w:rFonts w:ascii="Times New Roman" w:hAnsi="Times New Roman" w:cs="Times New Roman"/>
        </w:rPr>
      </w:pPr>
      <w:r w:rsidRPr="00AE204D">
        <w:rPr>
          <w:rFonts w:ascii="Times New Roman" w:hAnsi="Times New Roman" w:cs="Times New Roman"/>
          <w:b/>
        </w:rPr>
        <w:t>K bodu 1</w:t>
      </w:r>
      <w:r w:rsidRPr="00AE204D">
        <w:rPr>
          <w:rFonts w:ascii="Times New Roman" w:hAnsi="Times New Roman" w:cs="Times New Roman"/>
        </w:rPr>
        <w:t xml:space="preserve"> - § 2 ods. 14:</w:t>
      </w:r>
    </w:p>
    <w:p w:rsidR="00C22376" w:rsidRPr="00AE204D" w:rsidP="00C22376">
      <w:pPr>
        <w:jc w:val="both"/>
        <w:rPr>
          <w:rFonts w:ascii="Times New Roman" w:hAnsi="Times New Roman" w:cs="Times New Roman"/>
        </w:rPr>
      </w:pPr>
      <w:r w:rsidRPr="00AE204D">
        <w:rPr>
          <w:rFonts w:ascii="Times New Roman" w:hAnsi="Times New Roman" w:cs="Times New Roman"/>
        </w:rPr>
        <w:t>Navrhuje sa rozšíriť subjekty verejného záujmu o zdravotné poisťovne a účtovné jednotky, ktoré zostavujú konsolidovanú účtovnú závierku podľa § 22 ods. 3 zákona č. 431/2002 Z. z. o účtovníctve v znení neskorších predpisov.</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2</w:t>
      </w:r>
      <w:r w:rsidRPr="00AE204D">
        <w:rPr>
          <w:rFonts w:ascii="Times New Roman" w:hAnsi="Times New Roman" w:cs="Times New Roman"/>
        </w:rPr>
        <w:t xml:space="preserve"> - § 2 ods. 16:</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Definuje sa Etický kódex audítora, ktorý vydáva Slovenská komora audítorov ako svoj vnútorný predpis, ktorý vychádza z Etického kódexu vydaného Medzinárodnou federáciou účtovníkov (IFAC). </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3 </w:t>
      </w:r>
      <w:r w:rsidRPr="00AE204D">
        <w:rPr>
          <w:rFonts w:ascii="Times New Roman" w:hAnsi="Times New Roman" w:cs="Times New Roman"/>
        </w:rPr>
        <w:t>- § 3 ods. 5:</w:t>
      </w:r>
    </w:p>
    <w:p w:rsidR="00C22376" w:rsidRPr="00AE204D" w:rsidP="00C22376">
      <w:pPr>
        <w:jc w:val="both"/>
        <w:rPr>
          <w:rFonts w:ascii="Times New Roman" w:hAnsi="Times New Roman" w:cs="Times New Roman"/>
        </w:rPr>
      </w:pPr>
      <w:r w:rsidRPr="00AE204D">
        <w:rPr>
          <w:rFonts w:ascii="Times New Roman" w:hAnsi="Times New Roman" w:cs="Times New Roman"/>
        </w:rPr>
        <w:t>Z mítingu s predsedom Výboru pre audit a dohľad nad audítorskou profesiou Európskej komisie 30. 6. 2008 vyplynulo upozornenie, že audítor z tretej krajiny sa môže stať v členskom štáte štatutárnym audítorom, len ak je uzavretá s príslušnou treťou krajinou zmluva o reciprocite, ktorá sa uzatvára v nadväznosti na rozhodnutie Komisie o primeranej úrovni dohľadu nad výkonom auditu v tretích krajinách. Nie je postačujúce, ak audítor z tretej krajiny splní všetky podmienky pre vstup do audítorskej profesie, ktoré sú ustanovené pre audítora z členského štátu. Preto sa navrhuje audítora z tretej krajiny vypustiť z § 3 ods. 5 a nadväzne na to sa § 3 dopĺňa odsekom 6.</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4</w:t>
      </w:r>
      <w:r w:rsidRPr="00AE204D">
        <w:rPr>
          <w:rFonts w:ascii="Times New Roman" w:hAnsi="Times New Roman" w:cs="Times New Roman"/>
        </w:rPr>
        <w:t xml:space="preserve"> - § 3 ods. 6:</w:t>
      </w:r>
    </w:p>
    <w:p w:rsidR="00C22376" w:rsidRPr="00AE204D" w:rsidP="00C22376">
      <w:pPr>
        <w:jc w:val="both"/>
        <w:rPr>
          <w:rFonts w:ascii="Times New Roman" w:hAnsi="Times New Roman" w:cs="Times New Roman"/>
        </w:rPr>
      </w:pPr>
      <w:r w:rsidRPr="00AE204D">
        <w:rPr>
          <w:rFonts w:ascii="Times New Roman" w:hAnsi="Times New Roman" w:cs="Times New Roman"/>
        </w:rPr>
        <w:t>V súlade s predchádzajúcim bodom sa navrhuje vložiť nový odsek 6, v ktorom sa ustanovujú podmienky pre audítora z tretej krajiny, ktoré musia byť splnené,  ak sa chce v SR stať štatutárnym audítorom.</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5</w:t>
      </w:r>
      <w:r w:rsidRPr="00AE204D">
        <w:rPr>
          <w:rFonts w:ascii="Times New Roman" w:hAnsi="Times New Roman" w:cs="Times New Roman"/>
        </w:rPr>
        <w:t xml:space="preserve"> - § 3 ods. 7:</w:t>
      </w:r>
    </w:p>
    <w:p w:rsidR="00C22376" w:rsidRPr="00AE204D" w:rsidP="00C22376">
      <w:pPr>
        <w:jc w:val="both"/>
        <w:rPr>
          <w:rFonts w:ascii="Times New Roman" w:hAnsi="Times New Roman" w:cs="Times New Roman"/>
        </w:rPr>
      </w:pPr>
      <w:r w:rsidRPr="00AE204D">
        <w:rPr>
          <w:rFonts w:ascii="Times New Roman" w:hAnsi="Times New Roman" w:cs="Times New Roman"/>
        </w:rPr>
        <w:t>Podmienky a predpoklady výkonu auditu, ktoré sú ustanovené v § 3 ods. 1 pre tuzemských uchádzačov, v odseku 5 pre uchádzačov z iných členských krajín (euroaudítorov) a v odseku 6 pre uchádzačov z tretích krajín musia byť splnené pred podaním žiadosti na vykonanie audítorskej skúšky alebo skúšky spôsobilosti.</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6</w:t>
      </w:r>
      <w:r w:rsidRPr="00AE204D">
        <w:rPr>
          <w:rFonts w:ascii="Times New Roman" w:hAnsi="Times New Roman" w:cs="Times New Roman"/>
        </w:rPr>
        <w:t xml:space="preserve"> - § 5 ods. 3:</w:t>
      </w:r>
    </w:p>
    <w:p w:rsidR="00C22376" w:rsidRPr="00AE204D" w:rsidP="00C22376">
      <w:pPr>
        <w:jc w:val="both"/>
        <w:rPr>
          <w:rFonts w:ascii="Times New Roman" w:hAnsi="Times New Roman" w:cs="Times New Roman"/>
        </w:rPr>
      </w:pPr>
      <w:r w:rsidRPr="00AE204D">
        <w:rPr>
          <w:rFonts w:ascii="Times New Roman" w:hAnsi="Times New Roman" w:cs="Times New Roman"/>
        </w:rPr>
        <w:t>Ide o zosúladenie pojmov zákona č. 540/2007 Z. z. s 5 ods. 1 zákona č. 530/2003 Z. z.   o Obchodnom registri v z. n. p.</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7</w:t>
      </w:r>
      <w:r w:rsidRPr="00AE204D">
        <w:rPr>
          <w:rFonts w:ascii="Times New Roman" w:hAnsi="Times New Roman" w:cs="Times New Roman"/>
        </w:rPr>
        <w:t xml:space="preserve"> - § 8 ods. 1 písm. c):</w:t>
      </w:r>
    </w:p>
    <w:p w:rsidR="00C22376" w:rsidRPr="00AE204D" w:rsidP="00C22376">
      <w:pPr>
        <w:jc w:val="both"/>
        <w:rPr>
          <w:rFonts w:ascii="Times New Roman" w:hAnsi="Times New Roman" w:cs="Times New Roman"/>
        </w:rPr>
      </w:pPr>
      <w:r w:rsidRPr="00AE204D">
        <w:rPr>
          <w:rFonts w:ascii="Times New Roman" w:hAnsi="Times New Roman" w:cs="Times New Roman"/>
        </w:rPr>
        <w:t>Audítori a audítorské spoločnosti sú povinní podľa § 25 ods. 4 uzavrieť zmluvu o poistení zodpovednosti za škody a zároveň sa im v tomto ustanovení ukladá povinnosť informovať úrad o uzavretí zmluvy.  Navrhuje sa za nesplnenie oznamovacej povinnosti pozastaviť audítorovi alebo audítorskej spoločnosti licenciu do doby, kým si nesplnia oznamovaciu povinnosť voči úradu. Pozastavenie licencie zaznamená úrad podľa § 9 ods. 2 písm. j) v zozname audítorov alebo podľa §10 ods. 2 písm. l) v zozname audítorských spoločností.</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8</w:t>
      </w:r>
      <w:r w:rsidRPr="00AE204D">
        <w:rPr>
          <w:rFonts w:ascii="Times New Roman" w:hAnsi="Times New Roman" w:cs="Times New Roman"/>
        </w:rPr>
        <w:t xml:space="preserve"> - § 11 ods. 2 písm. f):</w:t>
      </w:r>
    </w:p>
    <w:p w:rsidR="00C22376" w:rsidRPr="00AE204D" w:rsidP="00C22376">
      <w:pPr>
        <w:jc w:val="both"/>
        <w:rPr>
          <w:rFonts w:ascii="Times New Roman" w:hAnsi="Times New Roman" w:cs="Times New Roman"/>
        </w:rPr>
      </w:pPr>
      <w:r w:rsidRPr="00AE204D">
        <w:rPr>
          <w:rFonts w:ascii="Times New Roman" w:hAnsi="Times New Roman" w:cs="Times New Roman"/>
        </w:rPr>
        <w:t>Navrhovanou úpravou dôjde k rýchlejšiemu a flexibilnejšiemu postupu zo strany UDVA pri  vybavovaní žiadosti o vyčiarknutie z príslušného  zoznamu.</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9</w:t>
      </w:r>
      <w:r w:rsidRPr="00AE204D">
        <w:rPr>
          <w:rFonts w:ascii="Times New Roman" w:hAnsi="Times New Roman" w:cs="Times New Roman"/>
        </w:rPr>
        <w:t xml:space="preserve"> - § 14 ods. 2 písm. h):</w:t>
      </w:r>
    </w:p>
    <w:p w:rsidR="00C22376" w:rsidRPr="00AE204D" w:rsidP="00C22376">
      <w:pPr>
        <w:jc w:val="both"/>
        <w:rPr>
          <w:rFonts w:ascii="Times New Roman" w:hAnsi="Times New Roman" w:cs="Times New Roman"/>
        </w:rPr>
      </w:pPr>
      <w:r w:rsidRPr="00AE204D">
        <w:rPr>
          <w:rFonts w:ascii="Times New Roman" w:hAnsi="Times New Roman" w:cs="Times New Roman"/>
        </w:rPr>
        <w:t>Uvedenou úpravou sa reaguje na navrhované doplnenie definícií v § 2.</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10 </w:t>
      </w:r>
      <w:r w:rsidRPr="00AE204D">
        <w:rPr>
          <w:rFonts w:ascii="Times New Roman" w:hAnsi="Times New Roman" w:cs="Times New Roman"/>
        </w:rPr>
        <w:t>- § 19 ods. 2 písm. h):</w:t>
      </w:r>
    </w:p>
    <w:p w:rsidR="00C22376" w:rsidRPr="00AE204D" w:rsidP="00C22376">
      <w:pPr>
        <w:jc w:val="both"/>
        <w:rPr>
          <w:rFonts w:ascii="Times New Roman" w:hAnsi="Times New Roman" w:cs="Times New Roman"/>
        </w:rPr>
      </w:pPr>
      <w:r w:rsidRPr="00AE204D">
        <w:rPr>
          <w:rFonts w:ascii="Times New Roman" w:hAnsi="Times New Roman" w:cs="Times New Roman"/>
        </w:rPr>
        <w:t>Zmena vyplýva zo záverov bilaterálneho mítingu s  predsedom Výboru pre audit a dohľad nad audítorskou profesiou Európskej komisie 30. 6. 2008, keď sa požaduje, aby pri hodnotení nezávislosti audítora, ktorý vykonáva audit v účtovnej jednotke bolo prekážkou aj  to, ak je audítor blízkou osobou,  ak vykonáva správcu konkurznej podstaty, likvidátora alebo núteného správcu v účtovnej jednotke, v ktorej vykonáva audit,  ak by poskytoval znalecké služby podľa zákona č. 382/2007 Z. z. v znení neskorších predpisov, alebo ak by účtovná jednotka nezaplatila za vykonaný audit dlhšie ako jeden rok. Návrh bol upravený aj o pripomienku UDVA k tomuto ustanoveniu.</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11</w:t>
      </w:r>
      <w:r w:rsidRPr="00AE204D">
        <w:rPr>
          <w:rFonts w:ascii="Times New Roman" w:hAnsi="Times New Roman" w:cs="Times New Roman"/>
        </w:rPr>
        <w:t xml:space="preserve"> - § 19 ods. 3:</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Ide o upresnenie textu ustanovenia. Audítor alebo audítorská spoločnosť, ktorí vedú v účtovnej jednotke  účtovníctvo a zostavujú účtovnú závierku, nemôžu v nej vykonávať audit, pretože by došlo k ohrozeniu ich nezávislosti. </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12</w:t>
      </w:r>
      <w:r w:rsidRPr="00AE204D">
        <w:rPr>
          <w:rFonts w:ascii="Times New Roman" w:hAnsi="Times New Roman" w:cs="Times New Roman"/>
        </w:rPr>
        <w:t xml:space="preserve"> - § 21 ods. 7:</w:t>
      </w:r>
    </w:p>
    <w:p w:rsidR="00C22376" w:rsidRPr="00AE204D" w:rsidP="00C22376">
      <w:pPr>
        <w:jc w:val="both"/>
        <w:rPr>
          <w:rFonts w:ascii="Times New Roman" w:hAnsi="Times New Roman" w:cs="Times New Roman"/>
        </w:rPr>
      </w:pPr>
      <w:r w:rsidRPr="00AE204D">
        <w:rPr>
          <w:rFonts w:ascii="Times New Roman" w:hAnsi="Times New Roman" w:cs="Times New Roman"/>
        </w:rPr>
        <w:t>Ide o zosúladenie s čl. 25  písm. b) smernice č. 2006/43/ES, podľa ktorého poplatky za audity nemôžu byť založené ani na akejkoľvek forme podmienenosti okrem poskytovania dodatočných  (neaudítorských) služieb auditovanému subjektu.</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13</w:t>
      </w:r>
      <w:r w:rsidRPr="00AE204D">
        <w:rPr>
          <w:rFonts w:ascii="Times New Roman" w:hAnsi="Times New Roman" w:cs="Times New Roman"/>
        </w:rPr>
        <w:t xml:space="preserve"> - § 24 ods. 1 písm. a):</w:t>
      </w:r>
    </w:p>
    <w:p w:rsidR="00C22376" w:rsidRPr="00AE204D" w:rsidP="00C22376">
      <w:pPr>
        <w:jc w:val="both"/>
        <w:rPr>
          <w:rFonts w:ascii="Times New Roman" w:hAnsi="Times New Roman" w:cs="Times New Roman"/>
        </w:rPr>
      </w:pPr>
      <w:r w:rsidRPr="00AE204D">
        <w:rPr>
          <w:rFonts w:ascii="Times New Roman" w:hAnsi="Times New Roman" w:cs="Times New Roman"/>
        </w:rPr>
        <w:t>Ide o úpravu v nadväznosti na  čl. 40 ods. 1 písm. a) smernice č. 2006/43/ES.</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14</w:t>
      </w:r>
      <w:r w:rsidRPr="00AE204D">
        <w:rPr>
          <w:rFonts w:ascii="Times New Roman" w:hAnsi="Times New Roman" w:cs="Times New Roman"/>
        </w:rPr>
        <w:t xml:space="preserve"> - § 24 ods. 1 písm. i):</w:t>
      </w:r>
    </w:p>
    <w:p w:rsidR="00C22376" w:rsidRPr="00AE204D" w:rsidP="00C22376">
      <w:pPr>
        <w:jc w:val="both"/>
        <w:rPr>
          <w:rFonts w:ascii="Times New Roman" w:hAnsi="Times New Roman" w:cs="Times New Roman"/>
        </w:rPr>
      </w:pPr>
      <w:r w:rsidRPr="00AE204D">
        <w:rPr>
          <w:rFonts w:ascii="Times New Roman" w:hAnsi="Times New Roman" w:cs="Times New Roman"/>
        </w:rPr>
        <w:t>Ide o zosúladenie s § 2 ods. 15 zákona.</w:t>
      </w:r>
    </w:p>
    <w:p w:rsidR="00C22376" w:rsidP="00C22376">
      <w:pPr>
        <w:jc w:val="both"/>
        <w:rPr>
          <w:rFonts w:ascii="Times New Roman" w:hAnsi="Times New Roman" w:cs="Times New Roman"/>
          <w:b/>
        </w:rPr>
      </w:pPr>
    </w:p>
    <w:p w:rsidR="00C22376" w:rsidP="00C22376">
      <w:pPr>
        <w:jc w:val="both"/>
        <w:rPr>
          <w:rFonts w:ascii="Times New Roman" w:hAnsi="Times New Roman" w:cs="Times New Roman"/>
          <w:b/>
        </w:rPr>
      </w:pPr>
    </w:p>
    <w:p w:rsidR="00C22376" w:rsidP="00C22376">
      <w:pPr>
        <w:jc w:val="both"/>
        <w:rPr>
          <w:rFonts w:ascii="Times New Roman" w:hAnsi="Times New Roman" w:cs="Times New Roman"/>
          <w:b/>
        </w:rPr>
      </w:pPr>
    </w:p>
    <w:p w:rsidR="00C22376" w:rsidRPr="00AE204D" w:rsidP="00C22376">
      <w:pPr>
        <w:jc w:val="both"/>
        <w:rPr>
          <w:rFonts w:ascii="Times New Roman" w:hAnsi="Times New Roman" w:cs="Times New Roman"/>
        </w:rPr>
      </w:pPr>
      <w:r w:rsidRPr="00AE204D">
        <w:rPr>
          <w:rFonts w:ascii="Times New Roman" w:hAnsi="Times New Roman" w:cs="Times New Roman"/>
          <w:b/>
        </w:rPr>
        <w:t xml:space="preserve">K bodu 15 </w:t>
      </w:r>
      <w:r w:rsidRPr="00AE204D">
        <w:rPr>
          <w:rFonts w:ascii="Times New Roman" w:hAnsi="Times New Roman" w:cs="Times New Roman"/>
        </w:rPr>
        <w:t>- § 33 ods. 8 písm. b):</w:t>
      </w:r>
    </w:p>
    <w:p w:rsidR="00C22376" w:rsidRPr="00AE204D" w:rsidP="00C22376">
      <w:pPr>
        <w:jc w:val="both"/>
        <w:rPr>
          <w:rFonts w:ascii="Times New Roman" w:hAnsi="Times New Roman" w:cs="Times New Roman"/>
        </w:rPr>
      </w:pPr>
      <w:r w:rsidRPr="00AE204D">
        <w:rPr>
          <w:rFonts w:ascii="Times New Roman" w:hAnsi="Times New Roman" w:cs="Times New Roman"/>
        </w:rPr>
        <w:t>Ide o doplnenie ustanovenia v nadväznosti na čl. 47 ods. 1 písm. c) smernice č. 2006/43/ES a v súvislosti s upozornením EK, že  na  posúdenie primeranosť rovnocennosti  pri orgánoch dohľadu z tretích krajín je kompetentná Európska komisia.</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16</w:t>
      </w:r>
      <w:r w:rsidRPr="00AE204D">
        <w:rPr>
          <w:rFonts w:ascii="Times New Roman" w:hAnsi="Times New Roman" w:cs="Times New Roman"/>
        </w:rPr>
        <w:t xml:space="preserve"> - § 41 ods. 2 písm. f):</w:t>
      </w:r>
    </w:p>
    <w:p w:rsidR="00C22376" w:rsidRPr="00AE204D" w:rsidP="00C22376">
      <w:pPr>
        <w:jc w:val="both"/>
        <w:rPr>
          <w:rFonts w:ascii="Times New Roman" w:hAnsi="Times New Roman" w:cs="Times New Roman"/>
        </w:rPr>
      </w:pPr>
      <w:r w:rsidRPr="00AE204D">
        <w:rPr>
          <w:rFonts w:ascii="Times New Roman" w:hAnsi="Times New Roman" w:cs="Times New Roman"/>
        </w:rPr>
        <w:t>Navrhuje sa rozšíriť pôsobnosť dozornej rady SKAU o zasielanie podnetov na disciplinárne konanie aj v prípade ak audítor, audítorská spoločnosť alebo asistent audítora porušili vnútorné predpisy SKAU.</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17</w:t>
      </w:r>
      <w:r w:rsidRPr="00AE204D">
        <w:rPr>
          <w:rFonts w:ascii="Times New Roman" w:hAnsi="Times New Roman" w:cs="Times New Roman"/>
        </w:rPr>
        <w:t xml:space="preserve"> - § 49 ods. 5:</w:t>
      </w:r>
    </w:p>
    <w:p w:rsidR="00C22376" w:rsidRPr="00AE204D" w:rsidP="00C22376">
      <w:pPr>
        <w:jc w:val="both"/>
        <w:rPr>
          <w:rFonts w:ascii="Times New Roman" w:hAnsi="Times New Roman" w:cs="Times New Roman"/>
        </w:rPr>
      </w:pPr>
      <w:r w:rsidRPr="00AE204D">
        <w:rPr>
          <w:rFonts w:ascii="Times New Roman" w:hAnsi="Times New Roman" w:cs="Times New Roman"/>
        </w:rPr>
        <w:t>Vzhľadom na to, že do orgánov rady  jednotlivé orgány nominujú zástupcov, ktorí nie sú ich zamestnancami, bolo potrebné upraviť úhradu cestovných a iných výdavkov a výdavkov za stratu času, ktoré týmto zástupcom vznikajú pri výkone ich funkcie v orgánoch rady. Generálny riaditeľ je zamestnancom UDVA, preto sa na neho úhrada skutočných výdavkov a náhrada času nevzťahujú.</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18</w:t>
      </w:r>
      <w:r w:rsidRPr="00AE204D">
        <w:rPr>
          <w:rFonts w:ascii="Times New Roman" w:hAnsi="Times New Roman" w:cs="Times New Roman"/>
        </w:rPr>
        <w:t xml:space="preserve"> - § 59 ods. 1:</w:t>
      </w:r>
    </w:p>
    <w:p w:rsidR="00C22376" w:rsidRPr="00AE204D" w:rsidP="00C22376">
      <w:pPr>
        <w:jc w:val="both"/>
        <w:rPr>
          <w:rFonts w:ascii="Times New Roman" w:hAnsi="Times New Roman" w:cs="Times New Roman"/>
        </w:rPr>
      </w:pPr>
      <w:r w:rsidRPr="00AE204D">
        <w:rPr>
          <w:rFonts w:ascii="Times New Roman" w:hAnsi="Times New Roman" w:cs="Times New Roman"/>
        </w:rPr>
        <w:t>Ide o odstránenie duplicitného schvaľovania disciplinárneho poriadku SKAU Úradom pre  dohľad nad výkonom auditu.</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19</w:t>
      </w:r>
      <w:r w:rsidRPr="00AE204D">
        <w:rPr>
          <w:rFonts w:ascii="Times New Roman" w:hAnsi="Times New Roman" w:cs="Times New Roman"/>
        </w:rPr>
        <w:t xml:space="preserve"> - § 60 ods. 1 písm. d):</w:t>
      </w:r>
    </w:p>
    <w:p w:rsidR="00C22376" w:rsidRPr="00AE204D" w:rsidP="00C22376">
      <w:pPr>
        <w:jc w:val="both"/>
        <w:rPr>
          <w:rFonts w:ascii="Times New Roman" w:hAnsi="Times New Roman" w:cs="Times New Roman"/>
        </w:rPr>
      </w:pPr>
      <w:r w:rsidRPr="00AE204D">
        <w:rPr>
          <w:rFonts w:ascii="Times New Roman" w:hAnsi="Times New Roman" w:cs="Times New Roman"/>
        </w:rPr>
        <w:t>Ide o upresnenie čerpania prostriedkov príspevku zo štátneho rozpočtu v príslušnom rozpočtovom roku. Príspevok v nadväznosti na zákon o rozpočtových pravidlách podlieha ročnému zúčtovaniu.</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20</w:t>
      </w:r>
      <w:r w:rsidRPr="00AE204D">
        <w:rPr>
          <w:rFonts w:ascii="Times New Roman" w:hAnsi="Times New Roman" w:cs="Times New Roman"/>
        </w:rPr>
        <w:t xml:space="preserve"> - § 63 ods. 2:</w:t>
      </w:r>
    </w:p>
    <w:p w:rsidR="00C22376" w:rsidRPr="00AE204D" w:rsidP="00C22376">
      <w:pPr>
        <w:jc w:val="both"/>
        <w:rPr>
          <w:rFonts w:ascii="Times New Roman" w:hAnsi="Times New Roman" w:cs="Times New Roman"/>
        </w:rPr>
      </w:pPr>
      <w:r w:rsidRPr="00AE204D">
        <w:rPr>
          <w:rFonts w:ascii="Times New Roman" w:hAnsi="Times New Roman" w:cs="Times New Roman"/>
        </w:rPr>
        <w:t>Ide o upresnenie textu.</w:t>
      </w:r>
    </w:p>
    <w:p w:rsidR="00C22376" w:rsidRPr="00AE204D" w:rsidP="00C22376">
      <w:pPr>
        <w:jc w:val="both"/>
        <w:rPr>
          <w:rFonts w:ascii="Times New Roman" w:hAnsi="Times New Roman" w:cs="Times New Roman"/>
        </w:rPr>
      </w:pPr>
    </w:p>
    <w:p w:rsidR="00C22376" w:rsidRPr="00AE204D" w:rsidP="00C22376">
      <w:pPr>
        <w:jc w:val="both"/>
        <w:rPr>
          <w:rFonts w:ascii="Times New Roman" w:hAnsi="Times New Roman" w:cs="Times New Roman"/>
        </w:rPr>
      </w:pPr>
      <w:r w:rsidRPr="00AE204D">
        <w:rPr>
          <w:rFonts w:ascii="Times New Roman" w:hAnsi="Times New Roman" w:cs="Times New Roman"/>
          <w:b/>
        </w:rPr>
        <w:t>K bodu 21</w:t>
      </w:r>
      <w:r w:rsidRPr="00AE204D">
        <w:rPr>
          <w:rFonts w:ascii="Times New Roman" w:hAnsi="Times New Roman" w:cs="Times New Roman"/>
        </w:rPr>
        <w:t xml:space="preserve"> </w:t>
      </w:r>
    </w:p>
    <w:p w:rsidR="00C22376" w:rsidRPr="00AE204D" w:rsidP="00C22376">
      <w:pPr>
        <w:jc w:val="both"/>
        <w:rPr>
          <w:rFonts w:ascii="Times New Roman" w:hAnsi="Times New Roman" w:cs="Times New Roman"/>
        </w:rPr>
      </w:pPr>
      <w:r w:rsidRPr="00AE204D">
        <w:rPr>
          <w:rFonts w:ascii="Times New Roman" w:hAnsi="Times New Roman" w:cs="Times New Roman"/>
        </w:rPr>
        <w:t xml:space="preserve">V nadväznosti na vloženie odseku 16 do § 2, ktorým sa definuje Etický kódex audítora, sa odstraňuje zavedená legislatívna skratka a v nadväznosti na vloženie nového odseku 6 do § 3 a následné prečíslovanie nasledujúcich odsekov, sa upravil  odkaz na ne v celom zákone. </w:t>
      </w:r>
    </w:p>
    <w:p w:rsidR="00C22376" w:rsidRPr="00AE204D" w:rsidP="00C22376">
      <w:pPr>
        <w:pStyle w:val="Heading6"/>
        <w:rPr>
          <w:rFonts w:ascii="Times New Roman" w:hAnsi="Times New Roman" w:cs="Times New Roman"/>
        </w:rPr>
      </w:pPr>
    </w:p>
    <w:p w:rsidR="00C22376" w:rsidP="00C22376">
      <w:pPr>
        <w:pStyle w:val="Heading6"/>
        <w:rPr>
          <w:rFonts w:ascii="Times New Roman" w:hAnsi="Times New Roman" w:cs="Times New Roman"/>
        </w:rPr>
      </w:pPr>
      <w:r w:rsidRPr="00AE204D">
        <w:rPr>
          <w:rFonts w:ascii="Times New Roman" w:hAnsi="Times New Roman" w:cs="Times New Roman"/>
        </w:rPr>
        <w:t>K čl. V</w:t>
      </w:r>
    </w:p>
    <w:p w:rsidR="00C22376" w:rsidRPr="00C22376" w:rsidP="00C22376">
      <w:pPr>
        <w:pStyle w:val="Heading6"/>
        <w:rPr>
          <w:rFonts w:ascii="Times New Roman" w:hAnsi="Times New Roman" w:cs="Times New Roman"/>
        </w:rPr>
      </w:pPr>
      <w:r w:rsidRPr="00AE204D">
        <w:rPr>
          <w:rFonts w:ascii="Times New Roman" w:hAnsi="Times New Roman" w:cs="Times New Roman"/>
          <w:b w:val="0"/>
        </w:rPr>
        <w:t xml:space="preserve">Tento zákon nadobúda účinnosť 1. januára 2010 okrem čl. I bodu 32 [§ 50 ods. 1 písm. b) zákona], ktorý nadobúda účinnosť 1. januára 2011.  </w:t>
      </w:r>
    </w:p>
    <w:p w:rsidR="00C22376" w:rsidP="00C22376">
      <w:pPr>
        <w:rPr>
          <w:rFonts w:ascii="Times New Roman" w:hAnsi="Times New Roman" w:cs="Times New Roman"/>
          <w:lang w:eastAsia="sk-SK"/>
        </w:rPr>
      </w:pPr>
    </w:p>
    <w:p w:rsidR="00C22376" w:rsidP="00C22376">
      <w:pPr>
        <w:rPr>
          <w:rFonts w:ascii="Times New Roman" w:hAnsi="Times New Roman" w:cs="Times New Roman"/>
          <w:lang w:eastAsia="sk-SK"/>
        </w:rPr>
      </w:pPr>
      <w:r w:rsidRPr="00C22376">
        <w:rPr>
          <w:rFonts w:ascii="Times New Roman" w:hAnsi="Times New Roman" w:cs="Times New Roman"/>
          <w:lang w:eastAsia="sk-SK"/>
        </w:rPr>
        <w:t>Schválené uznesením vlády Slovenskej republiky dňa 19. augusta 2009.</w:t>
      </w:r>
    </w:p>
    <w:p w:rsidR="00C22376" w:rsidP="00C22376">
      <w:pPr>
        <w:rPr>
          <w:rFonts w:ascii="Times New Roman" w:hAnsi="Times New Roman" w:cs="Times New Roman"/>
          <w:lang w:eastAsia="sk-SK"/>
        </w:rPr>
      </w:pPr>
    </w:p>
    <w:p w:rsidR="00C22376" w:rsidP="00C22376">
      <w:pPr>
        <w:jc w:val="center"/>
        <w:rPr>
          <w:rFonts w:ascii="Times New Roman" w:hAnsi="Times New Roman" w:cs="Times New Roman"/>
          <w:lang w:eastAsia="sk-SK"/>
        </w:rPr>
      </w:pPr>
      <w:r>
        <w:rPr>
          <w:rFonts w:ascii="Times New Roman" w:hAnsi="Times New Roman" w:cs="Times New Roman"/>
          <w:lang w:eastAsia="sk-SK"/>
        </w:rPr>
        <w:t>Predseda vlády</w:t>
      </w:r>
    </w:p>
    <w:p w:rsidR="00C22376" w:rsidP="00C22376">
      <w:pPr>
        <w:jc w:val="center"/>
        <w:rPr>
          <w:rFonts w:ascii="Times New Roman" w:hAnsi="Times New Roman" w:cs="Times New Roman"/>
          <w:lang w:eastAsia="sk-SK"/>
        </w:rPr>
      </w:pPr>
      <w:r>
        <w:rPr>
          <w:rFonts w:ascii="Times New Roman" w:hAnsi="Times New Roman" w:cs="Times New Roman"/>
          <w:lang w:eastAsia="sk-SK"/>
        </w:rPr>
        <w:t>Slovenskej republiky</w:t>
      </w:r>
    </w:p>
    <w:p w:rsidR="00C22376" w:rsidP="00C22376">
      <w:pPr>
        <w:jc w:val="center"/>
        <w:rPr>
          <w:rFonts w:ascii="Times New Roman" w:hAnsi="Times New Roman" w:cs="Times New Roman"/>
          <w:lang w:eastAsia="sk-SK"/>
        </w:rPr>
      </w:pPr>
    </w:p>
    <w:p w:rsidR="00C22376" w:rsidP="00C22376">
      <w:pPr>
        <w:jc w:val="center"/>
        <w:rPr>
          <w:rFonts w:ascii="Times New Roman" w:hAnsi="Times New Roman" w:cs="Times New Roman"/>
          <w:lang w:eastAsia="sk-SK"/>
        </w:rPr>
      </w:pPr>
      <w:r>
        <w:rPr>
          <w:rFonts w:ascii="Times New Roman" w:hAnsi="Times New Roman" w:cs="Times New Roman"/>
          <w:lang w:eastAsia="sk-SK"/>
        </w:rPr>
        <w:t>Robert  F i c o</w:t>
      </w:r>
      <w:r w:rsidR="007E1F72">
        <w:rPr>
          <w:rFonts w:ascii="Times New Roman" w:hAnsi="Times New Roman" w:cs="Times New Roman"/>
          <w:lang w:eastAsia="sk-SK"/>
        </w:rPr>
        <w:t>, v. r.</w:t>
      </w:r>
      <w:r>
        <w:rPr>
          <w:rFonts w:ascii="Times New Roman" w:hAnsi="Times New Roman" w:cs="Times New Roman"/>
          <w:lang w:eastAsia="sk-SK"/>
        </w:rPr>
        <w:t xml:space="preserve"> </w:t>
      </w:r>
    </w:p>
    <w:p w:rsidR="00C22376" w:rsidP="00C22376">
      <w:pPr>
        <w:jc w:val="center"/>
        <w:rPr>
          <w:rFonts w:ascii="Times New Roman" w:hAnsi="Times New Roman" w:cs="Times New Roman"/>
          <w:lang w:eastAsia="sk-SK"/>
        </w:rPr>
      </w:pPr>
    </w:p>
    <w:p w:rsidR="0037714F" w:rsidP="00C22376">
      <w:pPr>
        <w:jc w:val="center"/>
        <w:rPr>
          <w:rFonts w:ascii="Times New Roman" w:hAnsi="Times New Roman" w:cs="Times New Roman"/>
          <w:lang w:eastAsia="sk-SK"/>
        </w:rPr>
      </w:pPr>
    </w:p>
    <w:p w:rsidR="00C22376" w:rsidP="00C22376">
      <w:pPr>
        <w:jc w:val="center"/>
        <w:rPr>
          <w:rFonts w:ascii="Times New Roman" w:hAnsi="Times New Roman" w:cs="Times New Roman"/>
          <w:lang w:eastAsia="sk-SK"/>
        </w:rPr>
      </w:pPr>
      <w:r>
        <w:rPr>
          <w:rFonts w:ascii="Times New Roman" w:hAnsi="Times New Roman" w:cs="Times New Roman"/>
          <w:lang w:eastAsia="sk-SK"/>
        </w:rPr>
        <w:t>Minister financií</w:t>
      </w:r>
    </w:p>
    <w:p w:rsidR="00C22376" w:rsidP="00C22376">
      <w:pPr>
        <w:jc w:val="center"/>
        <w:rPr>
          <w:rFonts w:ascii="Times New Roman" w:hAnsi="Times New Roman" w:cs="Times New Roman"/>
          <w:lang w:eastAsia="sk-SK"/>
        </w:rPr>
      </w:pPr>
      <w:r>
        <w:rPr>
          <w:rFonts w:ascii="Times New Roman" w:hAnsi="Times New Roman" w:cs="Times New Roman"/>
          <w:lang w:eastAsia="sk-SK"/>
        </w:rPr>
        <w:t>Slovenskej republiky</w:t>
      </w:r>
    </w:p>
    <w:p w:rsidR="00C22376" w:rsidP="00C22376">
      <w:pPr>
        <w:jc w:val="center"/>
        <w:rPr>
          <w:rFonts w:ascii="Times New Roman" w:hAnsi="Times New Roman" w:cs="Times New Roman"/>
          <w:lang w:eastAsia="sk-SK"/>
        </w:rPr>
      </w:pPr>
    </w:p>
    <w:p w:rsidR="00C22376" w:rsidRPr="00C22376" w:rsidP="00C22376">
      <w:pPr>
        <w:jc w:val="center"/>
        <w:rPr>
          <w:rFonts w:ascii="Times New Roman" w:hAnsi="Times New Roman" w:cs="Times New Roman"/>
          <w:lang w:eastAsia="sk-SK"/>
        </w:rPr>
      </w:pPr>
      <w:r>
        <w:rPr>
          <w:rFonts w:ascii="Times New Roman" w:hAnsi="Times New Roman" w:cs="Times New Roman"/>
          <w:lang w:eastAsia="sk-SK"/>
        </w:rPr>
        <w:t>Ján  P o č i a t e k</w:t>
      </w:r>
      <w:r w:rsidR="007E1F72">
        <w:rPr>
          <w:rFonts w:ascii="Times New Roman" w:hAnsi="Times New Roman" w:cs="Times New Roman"/>
          <w:lang w:eastAsia="sk-SK"/>
        </w:rPr>
        <w:t>, v. r.</w:t>
      </w: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Arial Narrow">
    <w:panose1 w:val="020B0606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ambria Math">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304" w:rsidP="00C345B4">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w:t>
    </w:r>
    <w:r>
      <w:rPr>
        <w:rStyle w:val="PageNumber"/>
        <w:rFonts w:ascii="Times New Roman" w:hAnsi="Times New Roman" w:cs="Times New Roman"/>
      </w:rPr>
      <w:fldChar w:fldCharType="end"/>
    </w:r>
  </w:p>
  <w:p w:rsidR="00726304" w:rsidP="00C345B4">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304" w:rsidP="00C345B4">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16</w:t>
    </w:r>
    <w:r>
      <w:rPr>
        <w:rStyle w:val="PageNumber"/>
        <w:rFonts w:ascii="Times New Roman" w:hAnsi="Times New Roman" w:cs="Times New Roman"/>
      </w:rPr>
      <w:fldChar w:fldCharType="end"/>
    </w:r>
  </w:p>
  <w:p w:rsidR="00726304" w:rsidP="00C345B4">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0FCF"/>
    <w:multiLevelType w:val="hybridMultilevel"/>
    <w:tmpl w:val="78608D7E"/>
    <w:lvl w:ilvl="0">
      <w:start w:val="6"/>
      <w:numFmt w:val="bullet"/>
      <w:lvlText w:val="-"/>
      <w:lvlJc w:val="left"/>
      <w:pPr>
        <w:tabs>
          <w:tab w:val="num" w:pos="870"/>
        </w:tabs>
        <w:ind w:left="870" w:hanging="360"/>
      </w:pPr>
      <w:rPr>
        <w:rFonts w:ascii="Times New Roman" w:hAnsi="Times New Roman" w:cs="Times New Roman"/>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cs="Wingdings"/>
        <w:rtl w:val="0"/>
      </w:rPr>
    </w:lvl>
    <w:lvl w:ilvl="3">
      <w:start w:val="1"/>
      <w:numFmt w:val="bullet"/>
      <w:lvlText w:val=""/>
      <w:lvlJc w:val="left"/>
      <w:pPr>
        <w:tabs>
          <w:tab w:val="num" w:pos="3060"/>
        </w:tabs>
        <w:ind w:left="3060" w:hanging="360"/>
      </w:pPr>
      <w:rPr>
        <w:rFonts w:ascii="Symbol" w:hAnsi="Symbol" w:cs="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cs="Wingdings"/>
        <w:rtl w:val="0"/>
      </w:rPr>
    </w:lvl>
    <w:lvl w:ilvl="6">
      <w:start w:val="1"/>
      <w:numFmt w:val="bullet"/>
      <w:lvlText w:val=""/>
      <w:lvlJc w:val="left"/>
      <w:pPr>
        <w:tabs>
          <w:tab w:val="num" w:pos="5220"/>
        </w:tabs>
        <w:ind w:left="5220" w:hanging="360"/>
      </w:pPr>
      <w:rPr>
        <w:rFonts w:ascii="Symbol" w:hAnsi="Symbol" w:cs="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cs="Wingdings"/>
        <w:rtl w:val="0"/>
      </w:rPr>
    </w:lvl>
  </w:abstractNum>
  <w:abstractNum w:abstractNumId="1">
    <w:nsid w:val="186D4C49"/>
    <w:multiLevelType w:val="hybridMultilevel"/>
    <w:tmpl w:val="8658866E"/>
    <w:lvl w:ilvl="0">
      <w:start w:val="6"/>
      <w:numFmt w:val="bullet"/>
      <w:lvlText w:val="-"/>
      <w:lvlJc w:val="left"/>
      <w:pPr>
        <w:tabs>
          <w:tab w:val="num" w:pos="870"/>
        </w:tabs>
        <w:ind w:left="870" w:hanging="360"/>
      </w:pPr>
      <w:rPr>
        <w:rFonts w:ascii="Times New Roman" w:hAnsi="Times New Roman" w:cs="Times New Roman"/>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cs="Wingdings"/>
        <w:rtl w:val="0"/>
      </w:rPr>
    </w:lvl>
    <w:lvl w:ilvl="3">
      <w:start w:val="1"/>
      <w:numFmt w:val="bullet"/>
      <w:lvlText w:val=""/>
      <w:lvlJc w:val="left"/>
      <w:pPr>
        <w:tabs>
          <w:tab w:val="num" w:pos="3060"/>
        </w:tabs>
        <w:ind w:left="3060" w:hanging="360"/>
      </w:pPr>
      <w:rPr>
        <w:rFonts w:ascii="Symbol" w:hAnsi="Symbol" w:cs="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cs="Wingdings"/>
        <w:rtl w:val="0"/>
      </w:rPr>
    </w:lvl>
    <w:lvl w:ilvl="6">
      <w:start w:val="1"/>
      <w:numFmt w:val="bullet"/>
      <w:lvlText w:val=""/>
      <w:lvlJc w:val="left"/>
      <w:pPr>
        <w:tabs>
          <w:tab w:val="num" w:pos="5220"/>
        </w:tabs>
        <w:ind w:left="5220" w:hanging="360"/>
      </w:pPr>
      <w:rPr>
        <w:rFonts w:ascii="Symbol" w:hAnsi="Symbol" w:cs="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cs="Wingdings"/>
        <w:rtl w:val="0"/>
      </w:rPr>
    </w:lvl>
  </w:abstractNum>
  <w:abstractNum w:abstractNumId="2">
    <w:nsid w:val="3F850B32"/>
    <w:multiLevelType w:val="hybridMultilevel"/>
    <w:tmpl w:val="586A431C"/>
    <w:lvl w:ilvl="0">
      <w:start w:val="6"/>
      <w:numFmt w:val="bullet"/>
      <w:lvlText w:val="-"/>
      <w:lvlJc w:val="left"/>
      <w:pPr>
        <w:tabs>
          <w:tab w:val="num" w:pos="870"/>
        </w:tabs>
        <w:ind w:left="870" w:hanging="360"/>
      </w:pPr>
      <w:rPr>
        <w:rFonts w:ascii="Times New Roman" w:hAnsi="Times New Roman" w:cs="Times New Roman"/>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cs="Wingdings"/>
        <w:rtl w:val="0"/>
      </w:rPr>
    </w:lvl>
    <w:lvl w:ilvl="3">
      <w:start w:val="1"/>
      <w:numFmt w:val="bullet"/>
      <w:lvlText w:val=""/>
      <w:lvlJc w:val="left"/>
      <w:pPr>
        <w:tabs>
          <w:tab w:val="num" w:pos="3060"/>
        </w:tabs>
        <w:ind w:left="3060" w:hanging="360"/>
      </w:pPr>
      <w:rPr>
        <w:rFonts w:ascii="Symbol" w:hAnsi="Symbol" w:cs="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cs="Wingdings"/>
        <w:rtl w:val="0"/>
      </w:rPr>
    </w:lvl>
    <w:lvl w:ilvl="6">
      <w:start w:val="1"/>
      <w:numFmt w:val="bullet"/>
      <w:lvlText w:val=""/>
      <w:lvlJc w:val="left"/>
      <w:pPr>
        <w:tabs>
          <w:tab w:val="num" w:pos="5220"/>
        </w:tabs>
        <w:ind w:left="5220" w:hanging="360"/>
      </w:pPr>
      <w:rPr>
        <w:rFonts w:ascii="Symbol" w:hAnsi="Symbol" w:cs="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cs="Wingdings"/>
        <w:rtl w:val="0"/>
      </w:rPr>
    </w:lvl>
  </w:abstractNum>
  <w:abstractNum w:abstractNumId="3">
    <w:nsid w:val="44437644"/>
    <w:multiLevelType w:val="hybridMultilevel"/>
    <w:tmpl w:val="B4BC25C6"/>
    <w:lvl w:ilvl="0">
      <w:start w:val="6"/>
      <w:numFmt w:val="bullet"/>
      <w:lvlText w:val="-"/>
      <w:lvlJc w:val="left"/>
      <w:pPr>
        <w:tabs>
          <w:tab w:val="num" w:pos="870"/>
        </w:tabs>
        <w:ind w:left="870" w:hanging="360"/>
      </w:pPr>
      <w:rPr>
        <w:rFonts w:ascii="Times New Roman" w:hAnsi="Times New Roman" w:cs="Times New Roman"/>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cs="Wingdings"/>
        <w:rtl w:val="0"/>
      </w:rPr>
    </w:lvl>
    <w:lvl w:ilvl="3">
      <w:start w:val="1"/>
      <w:numFmt w:val="bullet"/>
      <w:lvlText w:val=""/>
      <w:lvlJc w:val="left"/>
      <w:pPr>
        <w:tabs>
          <w:tab w:val="num" w:pos="3060"/>
        </w:tabs>
        <w:ind w:left="3060" w:hanging="360"/>
      </w:pPr>
      <w:rPr>
        <w:rFonts w:ascii="Symbol" w:hAnsi="Symbol" w:cs="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cs="Wingdings"/>
        <w:rtl w:val="0"/>
      </w:rPr>
    </w:lvl>
    <w:lvl w:ilvl="6">
      <w:start w:val="1"/>
      <w:numFmt w:val="bullet"/>
      <w:lvlText w:val=""/>
      <w:lvlJc w:val="left"/>
      <w:pPr>
        <w:tabs>
          <w:tab w:val="num" w:pos="5220"/>
        </w:tabs>
        <w:ind w:left="5220" w:hanging="360"/>
      </w:pPr>
      <w:rPr>
        <w:rFonts w:ascii="Symbol" w:hAnsi="Symbol" w:cs="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cs="Wingdings"/>
        <w:rtl w:val="0"/>
      </w:rPr>
    </w:lvl>
  </w:abstractNum>
  <w:abstractNum w:abstractNumId="4">
    <w:nsid w:val="4B6228DB"/>
    <w:multiLevelType w:val="hybridMultilevel"/>
    <w:tmpl w:val="109C6E88"/>
    <w:lvl w:ilvl="0">
      <w:start w:val="6"/>
      <w:numFmt w:val="bullet"/>
      <w:lvlText w:val="-"/>
      <w:lvlJc w:val="left"/>
      <w:pPr>
        <w:tabs>
          <w:tab w:val="num" w:pos="870"/>
        </w:tabs>
        <w:ind w:left="870" w:hanging="360"/>
      </w:pPr>
      <w:rPr>
        <w:rFonts w:ascii="Times New Roman" w:hAnsi="Times New Roman" w:cs="Times New Roman"/>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cs="Wingdings"/>
        <w:rtl w:val="0"/>
      </w:rPr>
    </w:lvl>
    <w:lvl w:ilvl="3">
      <w:start w:val="1"/>
      <w:numFmt w:val="bullet"/>
      <w:lvlText w:val=""/>
      <w:lvlJc w:val="left"/>
      <w:pPr>
        <w:tabs>
          <w:tab w:val="num" w:pos="3060"/>
        </w:tabs>
        <w:ind w:left="3060" w:hanging="360"/>
      </w:pPr>
      <w:rPr>
        <w:rFonts w:ascii="Symbol" w:hAnsi="Symbol" w:cs="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cs="Wingdings"/>
        <w:rtl w:val="0"/>
      </w:rPr>
    </w:lvl>
    <w:lvl w:ilvl="6">
      <w:start w:val="1"/>
      <w:numFmt w:val="bullet"/>
      <w:lvlText w:val=""/>
      <w:lvlJc w:val="left"/>
      <w:pPr>
        <w:tabs>
          <w:tab w:val="num" w:pos="5220"/>
        </w:tabs>
        <w:ind w:left="5220" w:hanging="360"/>
      </w:pPr>
      <w:rPr>
        <w:rFonts w:ascii="Symbol" w:hAnsi="Symbol" w:cs="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cs="Wingdings"/>
        <w:rtl w:val="0"/>
      </w:rPr>
    </w:lvl>
  </w:abstractNum>
  <w:abstractNum w:abstractNumId="5">
    <w:nsid w:val="5ADE45D2"/>
    <w:multiLevelType w:val="hybridMultilevel"/>
    <w:tmpl w:val="B0789A54"/>
    <w:lvl w:ilvl="0">
      <w:start w:val="6"/>
      <w:numFmt w:val="bullet"/>
      <w:lvlText w:val="-"/>
      <w:lvlJc w:val="left"/>
      <w:pPr>
        <w:tabs>
          <w:tab w:val="num" w:pos="870"/>
        </w:tabs>
        <w:ind w:left="870" w:hanging="360"/>
      </w:pPr>
      <w:rPr>
        <w:rFonts w:ascii="Times New Roman" w:hAnsi="Times New Roman" w:cs="Times New Roman"/>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cs="Wingdings"/>
        <w:rtl w:val="0"/>
      </w:rPr>
    </w:lvl>
    <w:lvl w:ilvl="3">
      <w:start w:val="1"/>
      <w:numFmt w:val="bullet"/>
      <w:lvlText w:val=""/>
      <w:lvlJc w:val="left"/>
      <w:pPr>
        <w:tabs>
          <w:tab w:val="num" w:pos="3060"/>
        </w:tabs>
        <w:ind w:left="3060" w:hanging="360"/>
      </w:pPr>
      <w:rPr>
        <w:rFonts w:ascii="Symbol" w:hAnsi="Symbol" w:cs="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cs="Wingdings"/>
        <w:rtl w:val="0"/>
      </w:rPr>
    </w:lvl>
    <w:lvl w:ilvl="6">
      <w:start w:val="1"/>
      <w:numFmt w:val="bullet"/>
      <w:lvlText w:val=""/>
      <w:lvlJc w:val="left"/>
      <w:pPr>
        <w:tabs>
          <w:tab w:val="num" w:pos="5220"/>
        </w:tabs>
        <w:ind w:left="5220" w:hanging="360"/>
      </w:pPr>
      <w:rPr>
        <w:rFonts w:ascii="Symbol" w:hAnsi="Symbol" w:cs="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cs="Wingdings"/>
        <w:rtl w:val="0"/>
      </w:rPr>
    </w:lvl>
  </w:abstractNum>
  <w:abstractNum w:abstractNumId="6">
    <w:nsid w:val="5C9B77D4"/>
    <w:multiLevelType w:val="multilevel"/>
    <w:tmpl w:val="31CA9A1E"/>
    <w:lvl w:ilvl="0">
      <w:start w:val="1"/>
      <w:numFmt w:val="decimal"/>
      <w:lvlText w:val="%1."/>
      <w:legacy w:legacy="1" w:legacySpace="0" w:legacyIndent="425"/>
      <w:lvlJc w:val="left"/>
      <w:pPr>
        <w:ind w:left="425" w:hanging="425"/>
      </w:pPr>
      <w:rPr>
        <w:b/>
        <w:bCs/>
        <w:rtl w:val="0"/>
      </w:rPr>
    </w:lvl>
    <w:lvl w:ilvl="1">
      <w:start w:val="1"/>
      <w:numFmt w:val="lowerLetter"/>
      <w:lvlText w:val="%2)"/>
      <w:legacy w:legacy="1" w:legacySpace="0" w:legacyIndent="425"/>
      <w:lvlJc w:val="left"/>
      <w:pPr>
        <w:ind w:left="850" w:hanging="425"/>
      </w:p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7">
    <w:nsid w:val="5D0B44FF"/>
    <w:multiLevelType w:val="hybridMultilevel"/>
    <w:tmpl w:val="38349D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3DC34B7"/>
    <w:multiLevelType w:val="hybridMultilevel"/>
    <w:tmpl w:val="2C80850C"/>
    <w:lvl w:ilvl="0">
      <w:start w:val="6"/>
      <w:numFmt w:val="bullet"/>
      <w:lvlText w:val="-"/>
      <w:lvlJc w:val="left"/>
      <w:pPr>
        <w:tabs>
          <w:tab w:val="num" w:pos="870"/>
        </w:tabs>
        <w:ind w:left="870" w:hanging="360"/>
      </w:pPr>
      <w:rPr>
        <w:rFonts w:ascii="Times New Roman" w:hAnsi="Times New Roman" w:cs="Times New Roman"/>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cs="Wingdings"/>
        <w:rtl w:val="0"/>
      </w:rPr>
    </w:lvl>
    <w:lvl w:ilvl="3">
      <w:start w:val="1"/>
      <w:numFmt w:val="bullet"/>
      <w:lvlText w:val=""/>
      <w:lvlJc w:val="left"/>
      <w:pPr>
        <w:tabs>
          <w:tab w:val="num" w:pos="3060"/>
        </w:tabs>
        <w:ind w:left="3060" w:hanging="360"/>
      </w:pPr>
      <w:rPr>
        <w:rFonts w:ascii="Symbol" w:hAnsi="Symbol" w:cs="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cs="Wingdings"/>
        <w:rtl w:val="0"/>
      </w:rPr>
    </w:lvl>
    <w:lvl w:ilvl="6">
      <w:start w:val="1"/>
      <w:numFmt w:val="bullet"/>
      <w:lvlText w:val=""/>
      <w:lvlJc w:val="left"/>
      <w:pPr>
        <w:tabs>
          <w:tab w:val="num" w:pos="5220"/>
        </w:tabs>
        <w:ind w:left="5220" w:hanging="360"/>
      </w:pPr>
      <w:rPr>
        <w:rFonts w:ascii="Symbol" w:hAnsi="Symbol" w:cs="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cs="Wingdings"/>
        <w:rtl w:val="0"/>
      </w:rPr>
    </w:lvl>
  </w:abstractNum>
  <w:abstractNum w:abstractNumId="9">
    <w:nsid w:val="67381AF0"/>
    <w:multiLevelType w:val="hybridMultilevel"/>
    <w:tmpl w:val="545C9D60"/>
    <w:lvl w:ilvl="0">
      <w:start w:val="6"/>
      <w:numFmt w:val="bullet"/>
      <w:lvlText w:val="-"/>
      <w:lvlJc w:val="left"/>
      <w:pPr>
        <w:tabs>
          <w:tab w:val="num" w:pos="900"/>
        </w:tabs>
        <w:ind w:left="900" w:hanging="39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10">
    <w:nsid w:val="7C4824F5"/>
    <w:multiLevelType w:val="hybridMultilevel"/>
    <w:tmpl w:val="257E9B6A"/>
    <w:lvl w:ilvl="0">
      <w:start w:val="6"/>
      <w:numFmt w:val="bullet"/>
      <w:lvlText w:val="-"/>
      <w:lvlJc w:val="left"/>
      <w:pPr>
        <w:tabs>
          <w:tab w:val="num" w:pos="900"/>
        </w:tabs>
        <w:ind w:left="900" w:hanging="390"/>
      </w:pPr>
      <w:rPr>
        <w:rFonts w:ascii="Times New Roman" w:hAnsi="Times New Roman" w:cs="Times New Roman"/>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cs="Wingdings"/>
        <w:rtl w:val="0"/>
      </w:rPr>
    </w:lvl>
    <w:lvl w:ilvl="3">
      <w:start w:val="1"/>
      <w:numFmt w:val="bullet"/>
      <w:lvlText w:val=""/>
      <w:lvlJc w:val="left"/>
      <w:pPr>
        <w:tabs>
          <w:tab w:val="num" w:pos="3060"/>
        </w:tabs>
        <w:ind w:left="3060" w:hanging="360"/>
      </w:pPr>
      <w:rPr>
        <w:rFonts w:ascii="Symbol" w:hAnsi="Symbol" w:cs="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cs="Wingdings"/>
        <w:rtl w:val="0"/>
      </w:rPr>
    </w:lvl>
    <w:lvl w:ilvl="6">
      <w:start w:val="1"/>
      <w:numFmt w:val="bullet"/>
      <w:lvlText w:val=""/>
      <w:lvlJc w:val="left"/>
      <w:pPr>
        <w:tabs>
          <w:tab w:val="num" w:pos="5220"/>
        </w:tabs>
        <w:ind w:left="5220" w:hanging="360"/>
      </w:pPr>
      <w:rPr>
        <w:rFonts w:ascii="Symbol" w:hAnsi="Symbol" w:cs="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cs="Wingdings"/>
        <w:rtl w:val="0"/>
      </w:rPr>
    </w:lvl>
  </w:abstractNum>
  <w:num w:numId="1">
    <w:abstractNumId w:val="6"/>
  </w:num>
  <w:num w:numId="2">
    <w:abstractNumId w:val="9"/>
  </w:num>
  <w:num w:numId="3">
    <w:abstractNumId w:val="10"/>
  </w:num>
  <w:num w:numId="4">
    <w:abstractNumId w:val="4"/>
  </w:num>
  <w:num w:numId="5">
    <w:abstractNumId w:val="5"/>
  </w:num>
  <w:num w:numId="6">
    <w:abstractNumId w:val="8"/>
  </w:num>
  <w:num w:numId="7">
    <w:abstractNumId w:val="0"/>
  </w:num>
  <w:num w:numId="8">
    <w:abstractNumId w:val="2"/>
  </w:num>
  <w:num w:numId="9">
    <w:abstractNumId w:val="3"/>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57A7B"/>
    <w:rsid w:val="000A1FB1"/>
    <w:rsid w:val="000F1F0B"/>
    <w:rsid w:val="001530EF"/>
    <w:rsid w:val="00154007"/>
    <w:rsid w:val="0016450C"/>
    <w:rsid w:val="001F12B6"/>
    <w:rsid w:val="0037714F"/>
    <w:rsid w:val="00384879"/>
    <w:rsid w:val="003A01A3"/>
    <w:rsid w:val="00405C6F"/>
    <w:rsid w:val="00415EAE"/>
    <w:rsid w:val="00450630"/>
    <w:rsid w:val="00455CAA"/>
    <w:rsid w:val="005309B8"/>
    <w:rsid w:val="00532E09"/>
    <w:rsid w:val="005E4D9D"/>
    <w:rsid w:val="00724CFD"/>
    <w:rsid w:val="00726304"/>
    <w:rsid w:val="0074041F"/>
    <w:rsid w:val="0078548B"/>
    <w:rsid w:val="007D42C5"/>
    <w:rsid w:val="007E1F72"/>
    <w:rsid w:val="00826667"/>
    <w:rsid w:val="00834739"/>
    <w:rsid w:val="00987D72"/>
    <w:rsid w:val="009D0B67"/>
    <w:rsid w:val="00AA736A"/>
    <w:rsid w:val="00AC4263"/>
    <w:rsid w:val="00AE204D"/>
    <w:rsid w:val="00B47CA0"/>
    <w:rsid w:val="00BE2F03"/>
    <w:rsid w:val="00C22376"/>
    <w:rsid w:val="00C345B4"/>
    <w:rsid w:val="00D04F22"/>
    <w:rsid w:val="00D43245"/>
    <w:rsid w:val="00D67007"/>
    <w:rsid w:val="00DC4F38"/>
    <w:rsid w:val="00F45EDE"/>
    <w:rsid w:val="00FF5D2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D9D"/>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link w:val="Nadpis2Char"/>
    <w:qFormat/>
    <w:rsid w:val="00C22376"/>
    <w:pPr>
      <w:keepNext/>
      <w:spacing w:before="240" w:after="60"/>
      <w:jc w:val="left"/>
      <w:outlineLvl w:val="1"/>
    </w:pPr>
    <w:rPr>
      <w:rFonts w:ascii="Arial" w:hAnsi="Arial" w:cs="Arial"/>
      <w:b/>
      <w:bCs/>
      <w:i/>
      <w:iCs/>
      <w:sz w:val="28"/>
      <w:szCs w:val="28"/>
    </w:rPr>
  </w:style>
  <w:style w:type="paragraph" w:styleId="Heading6">
    <w:name w:val="heading 6"/>
    <w:basedOn w:val="Normal"/>
    <w:next w:val="Normal"/>
    <w:link w:val="Nadpis6Char"/>
    <w:qFormat/>
    <w:rsid w:val="00C22376"/>
    <w:pPr>
      <w:keepNext/>
      <w:jc w:val="left"/>
      <w:outlineLvl w:val="5"/>
    </w:pPr>
    <w:rPr>
      <w:rFonts w:ascii="Arial Narrow" w:hAnsi="Arial Narrow"/>
      <w:b/>
      <w:bCs/>
    </w:rPr>
  </w:style>
  <w:style w:type="paragraph" w:styleId="Heading8">
    <w:name w:val="heading 8"/>
    <w:basedOn w:val="Normal"/>
    <w:next w:val="Normal"/>
    <w:link w:val="Nadpis8Char"/>
    <w:qFormat/>
    <w:rsid w:val="00C22376"/>
    <w:pPr>
      <w:spacing w:before="240" w:after="60"/>
      <w:jc w:val="left"/>
      <w:outlineLvl w:val="7"/>
    </w:pPr>
    <w:rPr>
      <w:i/>
      <w:iCs/>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
    <w:name w:val="Body Text Indent"/>
    <w:aliases w:val="Char"/>
    <w:basedOn w:val="Normal"/>
    <w:rsid w:val="005E4D9D"/>
    <w:pPr>
      <w:spacing w:after="120"/>
      <w:ind w:left="283"/>
      <w:jc w:val="left"/>
    </w:pPr>
  </w:style>
  <w:style w:type="paragraph" w:customStyle="1" w:styleId="CharChar">
    <w:name w:val="Char Char"/>
    <w:basedOn w:val="Normal"/>
    <w:rsid w:val="00724CFD"/>
    <w:pPr>
      <w:spacing w:after="160" w:line="240" w:lineRule="exact"/>
      <w:jc w:val="left"/>
    </w:pPr>
    <w:rPr>
      <w:rFonts w:ascii="Tahoma" w:hAnsi="Tahoma" w:cs="Tahoma"/>
      <w:sz w:val="20"/>
      <w:szCs w:val="20"/>
      <w:lang w:val="en-US"/>
    </w:rPr>
  </w:style>
  <w:style w:type="paragraph" w:styleId="Footer">
    <w:name w:val="footer"/>
    <w:basedOn w:val="Normal"/>
    <w:rsid w:val="00C345B4"/>
    <w:pPr>
      <w:tabs>
        <w:tab w:val="center" w:pos="4536"/>
        <w:tab w:val="right" w:pos="9072"/>
      </w:tabs>
      <w:jc w:val="left"/>
    </w:pPr>
  </w:style>
  <w:style w:type="character" w:styleId="PageNumber">
    <w:name w:val="page number"/>
    <w:basedOn w:val="DefaultParagraphFont"/>
    <w:rsid w:val="00C345B4"/>
  </w:style>
  <w:style w:type="paragraph" w:styleId="BalloonText">
    <w:name w:val="Balloon Text"/>
    <w:basedOn w:val="Normal"/>
    <w:semiHidden/>
    <w:rsid w:val="00FB1F54"/>
    <w:pPr>
      <w:jc w:val="left"/>
    </w:pPr>
    <w:rPr>
      <w:rFonts w:ascii="Tahoma" w:hAnsi="Tahoma" w:cs="Tahoma"/>
      <w:sz w:val="16"/>
      <w:szCs w:val="16"/>
    </w:rPr>
  </w:style>
  <w:style w:type="paragraph" w:customStyle="1" w:styleId="CharCharCharCharCharChar">
    <w:name w:val="Char Char Char Char Char Char"/>
    <w:basedOn w:val="Normal"/>
    <w:rsid w:val="00F45EDE"/>
    <w:pPr>
      <w:spacing w:after="160" w:line="240" w:lineRule="exact"/>
      <w:jc w:val="left"/>
    </w:pPr>
    <w:rPr>
      <w:rFonts w:ascii="Tahoma" w:hAnsi="Tahoma" w:cs="Tahoma"/>
      <w:sz w:val="20"/>
      <w:szCs w:val="20"/>
      <w:lang w:val="en-US"/>
    </w:rPr>
  </w:style>
  <w:style w:type="character" w:styleId="Emphasis">
    <w:name w:val="Emphasis"/>
    <w:basedOn w:val="DefaultParagraphFont"/>
    <w:qFormat/>
    <w:rsid w:val="00C22376"/>
    <w:rPr>
      <w:i/>
      <w:iCs/>
      <w:rtl w:val="0"/>
    </w:rPr>
  </w:style>
  <w:style w:type="character" w:customStyle="1" w:styleId="Nadpis2Char">
    <w:name w:val="Nadpis 2 Char"/>
    <w:basedOn w:val="DefaultParagraphFont"/>
    <w:link w:val="Heading2"/>
    <w:rsid w:val="00C22376"/>
    <w:rPr>
      <w:rFonts w:ascii="Arial" w:hAnsi="Arial" w:cs="Arial"/>
      <w:b/>
      <w:bCs/>
      <w:i/>
      <w:iCs/>
      <w:sz w:val="28"/>
      <w:szCs w:val="28"/>
      <w:rtl w:val="0"/>
    </w:rPr>
  </w:style>
  <w:style w:type="character" w:customStyle="1" w:styleId="Nadpis6Char">
    <w:name w:val="Nadpis 6 Char"/>
    <w:basedOn w:val="DefaultParagraphFont"/>
    <w:link w:val="Heading6"/>
    <w:rsid w:val="00C22376"/>
    <w:rPr>
      <w:rFonts w:ascii="Arial Narrow" w:hAnsi="Arial Narrow"/>
      <w:b/>
      <w:bCs/>
      <w:sz w:val="24"/>
      <w:szCs w:val="24"/>
      <w:rtl w:val="0"/>
    </w:rPr>
  </w:style>
  <w:style w:type="character" w:customStyle="1" w:styleId="Nadpis8Char">
    <w:name w:val="Nadpis 8 Char"/>
    <w:basedOn w:val="DefaultParagraphFont"/>
    <w:link w:val="Heading8"/>
    <w:rsid w:val="00C22376"/>
    <w:rPr>
      <w:i/>
      <w:iCs/>
      <w:sz w:val="24"/>
      <w:szCs w:val="24"/>
      <w:rtl w:val="0"/>
    </w:rPr>
  </w:style>
  <w:style w:type="paragraph" w:styleId="BodyText2">
    <w:name w:val="Body Text 2"/>
    <w:basedOn w:val="Normal"/>
    <w:link w:val="Zkladntext2Char"/>
    <w:rsid w:val="00C22376"/>
    <w:pPr>
      <w:spacing w:after="120" w:line="480" w:lineRule="auto"/>
      <w:jc w:val="left"/>
    </w:pPr>
  </w:style>
  <w:style w:type="character" w:customStyle="1" w:styleId="Zkladntext2Char">
    <w:name w:val="Základný text 2 Char"/>
    <w:basedOn w:val="DefaultParagraphFont"/>
    <w:link w:val="BodyText2"/>
    <w:rsid w:val="00C22376"/>
    <w:rPr>
      <w:sz w:val="24"/>
      <w:szCs w:val="24"/>
      <w:rtl w:val="0"/>
    </w:rPr>
  </w:style>
  <w:style w:type="paragraph" w:styleId="BodyText">
    <w:name w:val="Body Text"/>
    <w:basedOn w:val="Normal"/>
    <w:link w:val="ZkladntextChar"/>
    <w:rsid w:val="00C22376"/>
    <w:pPr>
      <w:spacing w:after="120"/>
      <w:jc w:val="left"/>
    </w:pPr>
  </w:style>
  <w:style w:type="character" w:customStyle="1" w:styleId="ZkladntextChar">
    <w:name w:val="Základný text Char"/>
    <w:basedOn w:val="DefaultParagraphFont"/>
    <w:link w:val="BodyText"/>
    <w:rsid w:val="00C22376"/>
    <w:rPr>
      <w:sz w:val="24"/>
      <w:szCs w:val="24"/>
      <w:rtl w:val="0"/>
    </w:rPr>
  </w:style>
  <w:style w:type="character" w:styleId="PlaceholderText">
    <w:name w:val="Placeholder Text"/>
    <w:basedOn w:val="DefaultParagraphFont"/>
    <w:semiHidden/>
    <w:rsid w:val="00C22376"/>
    <w:rPr>
      <w:rFonts w:ascii="Times New Roman" w:hAnsi="Times New Roman" w:cs="Times New Roman"/>
      <w:color w:val="808080"/>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25</Pages>
  <Words>12152</Words>
  <Characters>69269</Characters>
  <Application>Microsoft Office Word</Application>
  <DocSecurity>0</DocSecurity>
  <Lines>0</Lines>
  <Paragraphs>0</Paragraphs>
  <ScaleCrop>false</ScaleCrop>
  <Company/>
  <LinksUpToDate>false</LinksUpToDate>
  <CharactersWithSpaces>81259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dc:creator>
  <cp:lastModifiedBy>mmurinova</cp:lastModifiedBy>
  <cp:revision>3</cp:revision>
  <cp:lastPrinted>2009-08-19T12:48:00Z</cp:lastPrinted>
  <dcterms:created xsi:type="dcterms:W3CDTF">2009-09-07T12:11:00Z</dcterms:created>
  <dcterms:modified xsi:type="dcterms:W3CDTF">2009-09-07T12:20:00Z</dcterms:modified>
</cp:coreProperties>
</file>