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12AF0" w:rsidP="001C2353">
      <w:pPr>
        <w:jc w:val="center"/>
        <w:rPr>
          <w:rFonts w:ascii="Times New Roman" w:hAnsi="Times New Roman" w:cs="Times New Roman"/>
          <w:b/>
        </w:rPr>
      </w:pPr>
      <w:r w:rsidRPr="001C1FC8" w:rsidR="001C1FC8">
        <w:rPr>
          <w:rFonts w:ascii="Times New Roman" w:hAnsi="Times New Roman" w:cs="Times New Roman"/>
          <w:b/>
        </w:rPr>
        <w:t>Dôvodová správa</w:t>
      </w:r>
    </w:p>
    <w:p w:rsidR="00E93734" w:rsidRPr="001C1FC8" w:rsidP="001C2353">
      <w:pPr>
        <w:jc w:val="center"/>
        <w:rPr>
          <w:rFonts w:ascii="Times New Roman" w:hAnsi="Times New Roman" w:cs="Times New Roman"/>
          <w:b/>
        </w:rPr>
      </w:pPr>
    </w:p>
    <w:p w:rsidR="001C1FC8">
      <w:pPr>
        <w:rPr>
          <w:rFonts w:ascii="Times New Roman" w:hAnsi="Times New Roman" w:cs="Times New Roman"/>
        </w:rPr>
      </w:pPr>
    </w:p>
    <w:p w:rsidR="001C1FC8" w:rsidP="00E93734">
      <w:pPr>
        <w:numPr>
          <w:ilvl w:val="0"/>
          <w:numId w:val="5"/>
        </w:numPr>
        <w:tabs>
          <w:tab w:val="left" w:pos="720"/>
        </w:tabs>
        <w:rPr>
          <w:rFonts w:ascii="Times New Roman" w:hAnsi="Times New Roman" w:cs="Times New Roman"/>
          <w:b/>
          <w:u w:val="single"/>
        </w:rPr>
      </w:pPr>
      <w:r w:rsidRPr="001C1FC8">
        <w:rPr>
          <w:rFonts w:ascii="Times New Roman" w:hAnsi="Times New Roman" w:cs="Times New Roman"/>
          <w:b/>
          <w:u w:val="single"/>
        </w:rPr>
        <w:t>Všeobecná časť:</w:t>
      </w:r>
    </w:p>
    <w:p w:rsidR="00E93734" w:rsidRPr="00525525" w:rsidP="00E71428">
      <w:pPr>
        <w:jc w:val="both"/>
        <w:rPr>
          <w:rFonts w:ascii="Times New Roman" w:hAnsi="Times New Roman" w:cs="Times New Roman"/>
        </w:rPr>
      </w:pPr>
    </w:p>
    <w:p w:rsidR="00E71428" w:rsidRPr="00E71428" w:rsidP="00E71428">
      <w:pPr>
        <w:autoSpaceDE/>
        <w:autoSpaceDN/>
        <w:jc w:val="both"/>
        <w:rPr>
          <w:rFonts w:ascii="Times New Roman" w:hAnsi="Times New Roman" w:cs="Times New Roman"/>
        </w:rPr>
      </w:pPr>
      <w:r w:rsidRPr="00525525" w:rsidR="00525525">
        <w:rPr>
          <w:rFonts w:ascii="Times New Roman" w:hAnsi="Times New Roman" w:cs="Times New Roman"/>
        </w:rPr>
        <w:t xml:space="preserve">Príjem samospráv z výnosu dane z príjmov fyzických osôb je </w:t>
      </w:r>
      <w:r w:rsidR="00525525">
        <w:rPr>
          <w:rFonts w:ascii="Times New Roman" w:hAnsi="Times New Roman" w:cs="Times New Roman"/>
        </w:rPr>
        <w:t>veľmi negatívne zasiahnutý z dvoch dôvodov. Prvým je hospodárska kríza, ktorá spôsobila zníženie zamestnanosti a stagnáciu platov. Druhým dôvodom</w:t>
      </w:r>
      <w:r>
        <w:rPr>
          <w:rFonts w:ascii="Times New Roman" w:hAnsi="Times New Roman" w:cs="Times New Roman"/>
        </w:rPr>
        <w:t xml:space="preserve"> sú</w:t>
      </w:r>
      <w:r w:rsidR="00525525">
        <w:rPr>
          <w:rFonts w:ascii="Times New Roman" w:hAnsi="Times New Roman" w:cs="Times New Roman"/>
        </w:rPr>
        <w:t xml:space="preserve"> legislatívn</w:t>
      </w:r>
      <w:r>
        <w:rPr>
          <w:rFonts w:ascii="Times New Roman" w:hAnsi="Times New Roman" w:cs="Times New Roman"/>
        </w:rPr>
        <w:t xml:space="preserve">e </w:t>
      </w:r>
      <w:r w:rsidR="00525525">
        <w:rPr>
          <w:rFonts w:ascii="Times New Roman" w:hAnsi="Times New Roman" w:cs="Times New Roman"/>
        </w:rPr>
        <w:t>zmen</w:t>
      </w:r>
      <w:r>
        <w:rPr>
          <w:rFonts w:ascii="Times New Roman" w:hAnsi="Times New Roman" w:cs="Times New Roman"/>
        </w:rPr>
        <w:t>y</w:t>
      </w:r>
      <w:r w:rsidRPr="00E71428">
        <w:rPr>
          <w:rFonts w:ascii="Times New Roman" w:hAnsi="Times New Roman" w:cs="Times New Roman"/>
        </w:rPr>
        <w:t>, ktoré prijala vláda v súvislosti s „bojom proti kríze“. Išlo o zvýšenie nezdaniteľnej časti základu dane a o zavedenie zamestnaneckej prémie. Dopady legislatívnych zmien pritom predstavujú až 40% aktuálneho odhadovaného výpadku daňových príjmov.</w:t>
      </w:r>
    </w:p>
    <w:p w:rsidR="00525525" w:rsidP="00E71428">
      <w:pPr>
        <w:autoSpaceDE/>
        <w:autoSpaceDN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71B88" w:rsidP="00E71428">
      <w:pPr>
        <w:autoSpaceDE/>
        <w:autoSpaceDN/>
        <w:jc w:val="both"/>
        <w:rPr>
          <w:rFonts w:ascii="Times New Roman" w:hAnsi="Times New Roman" w:cs="Times New Roman"/>
        </w:rPr>
      </w:pPr>
      <w:r w:rsidRPr="00E71428" w:rsidR="00E71428">
        <w:rPr>
          <w:rFonts w:ascii="Times New Roman" w:hAnsi="Times New Roman" w:cs="Times New Roman"/>
        </w:rPr>
        <w:t>Samosprávy oproti rozpočtu (odhady MF SR z novembra 2008) stratia iba z</w:t>
      </w:r>
      <w:r w:rsidR="00E71428">
        <w:rPr>
          <w:rFonts w:ascii="Times New Roman" w:hAnsi="Times New Roman" w:cs="Times New Roman"/>
        </w:rPr>
        <w:t> </w:t>
      </w:r>
      <w:r w:rsidRPr="00E71428" w:rsidR="00E71428">
        <w:rPr>
          <w:rFonts w:ascii="Times New Roman" w:hAnsi="Times New Roman" w:cs="Times New Roman"/>
        </w:rPr>
        <w:t>titulu</w:t>
      </w:r>
      <w:r w:rsidR="00E71428">
        <w:rPr>
          <w:rFonts w:ascii="Times New Roman" w:hAnsi="Times New Roman" w:cs="Times New Roman"/>
        </w:rPr>
        <w:t xml:space="preserve"> </w:t>
      </w:r>
      <w:r w:rsidRPr="00E71428" w:rsidR="00E71428">
        <w:rPr>
          <w:rFonts w:ascii="Times New Roman" w:hAnsi="Times New Roman" w:cs="Times New Roman"/>
        </w:rPr>
        <w:t xml:space="preserve">legislatívnych zmien v tomto roku takmer 140 mil. € a v budúcom roku to bude až takmer 207 mil. €. </w:t>
      </w:r>
      <w:r w:rsidR="00AE1188">
        <w:rPr>
          <w:rFonts w:ascii="Times New Roman" w:hAnsi="Times New Roman" w:cs="Times New Roman"/>
        </w:rPr>
        <w:t xml:space="preserve">Takéto výrazné zníženie príjmov vážne ohrozuje služby pre občanov, ktoré vykonáva samospráva. Súčasný stav, kedy vláda núti samosprávy výrazne škrtať svoje výdavky a sama pritom v štátnom rozpočte nerobí napriek kríze nijaké úspory a plytvá prostriedkami daňovníkov, je nemorálny a nespravodlivý. </w:t>
      </w:r>
      <w:r w:rsidR="00525525">
        <w:rPr>
          <w:rFonts w:ascii="Times New Roman" w:hAnsi="Times New Roman" w:cs="Times New Roman"/>
        </w:rPr>
        <w:t xml:space="preserve">Predložený návrh </w:t>
      </w:r>
      <w:r w:rsidR="00AE1188">
        <w:rPr>
          <w:rFonts w:ascii="Times New Roman" w:hAnsi="Times New Roman" w:cs="Times New Roman"/>
        </w:rPr>
        <w:t xml:space="preserve">preto </w:t>
      </w:r>
      <w:r w:rsidR="00525525">
        <w:rPr>
          <w:rFonts w:ascii="Times New Roman" w:hAnsi="Times New Roman" w:cs="Times New Roman"/>
        </w:rPr>
        <w:t>aspoň čiastočne</w:t>
      </w:r>
      <w:r w:rsidR="00E71428">
        <w:rPr>
          <w:rFonts w:ascii="Times New Roman" w:hAnsi="Times New Roman" w:cs="Times New Roman"/>
        </w:rPr>
        <w:t xml:space="preserve">, približne spolovice, </w:t>
      </w:r>
      <w:r w:rsidR="00525525">
        <w:rPr>
          <w:rFonts w:ascii="Times New Roman" w:hAnsi="Times New Roman" w:cs="Times New Roman"/>
        </w:rPr>
        <w:t>kompenzuje negatívne dopady, ktoré na hospodárenie samospráv priniesl</w:t>
      </w:r>
      <w:r w:rsidR="00E71428">
        <w:rPr>
          <w:rFonts w:ascii="Times New Roman" w:hAnsi="Times New Roman" w:cs="Times New Roman"/>
        </w:rPr>
        <w:t>i</w:t>
      </w:r>
      <w:r w:rsidR="00525525">
        <w:rPr>
          <w:rFonts w:ascii="Times New Roman" w:hAnsi="Times New Roman" w:cs="Times New Roman"/>
        </w:rPr>
        <w:t xml:space="preserve"> legislatívn</w:t>
      </w:r>
      <w:r w:rsidR="00E71428">
        <w:rPr>
          <w:rFonts w:ascii="Times New Roman" w:hAnsi="Times New Roman" w:cs="Times New Roman"/>
        </w:rPr>
        <w:t>e</w:t>
      </w:r>
      <w:r w:rsidR="00525525">
        <w:rPr>
          <w:rFonts w:ascii="Times New Roman" w:hAnsi="Times New Roman" w:cs="Times New Roman"/>
        </w:rPr>
        <w:t xml:space="preserve"> zmen</w:t>
      </w:r>
      <w:r w:rsidR="00E71428">
        <w:rPr>
          <w:rFonts w:ascii="Times New Roman" w:hAnsi="Times New Roman" w:cs="Times New Roman"/>
        </w:rPr>
        <w:t xml:space="preserve">y. </w:t>
      </w:r>
    </w:p>
    <w:p w:rsidR="00AE1188" w:rsidP="00E71428">
      <w:pPr>
        <w:autoSpaceDE/>
        <w:autoSpaceDN/>
        <w:jc w:val="both"/>
        <w:rPr>
          <w:rFonts w:ascii="Times New Roman" w:hAnsi="Times New Roman" w:cs="Times New Roman"/>
        </w:rPr>
      </w:pPr>
    </w:p>
    <w:p w:rsidR="00A577D7" w:rsidP="00E71428">
      <w:pPr>
        <w:autoSpaceDE/>
        <w:autoSpaceDN/>
        <w:jc w:val="both"/>
        <w:rPr>
          <w:rFonts w:ascii="Times New Roman" w:hAnsi="Times New Roman" w:cs="Times New Roman"/>
        </w:rPr>
      </w:pPr>
      <w:r w:rsidRPr="0075420E" w:rsidR="001C1FC8">
        <w:rPr>
          <w:rFonts w:ascii="Times New Roman" w:hAnsi="Times New Roman" w:cs="Times New Roman"/>
        </w:rPr>
        <w:t>Návrh zákona je v súlade s Ústavou, ústavnými zákonmi a inými zákonmi a medzinárodnými zmluvami a inými medzinárodnými dokumentmi, ktorými j</w:t>
      </w:r>
      <w:r w:rsidRPr="0075420E" w:rsidR="001C1FC8">
        <w:rPr>
          <w:rFonts w:ascii="Times New Roman" w:hAnsi="Times New Roman" w:cs="Times New Roman"/>
        </w:rPr>
        <w:t>e Slovenská republika viazaná.</w:t>
      </w:r>
    </w:p>
    <w:p w:rsidR="00E71428" w:rsidP="009A4A2B">
      <w:pPr>
        <w:ind w:firstLine="708"/>
        <w:jc w:val="both"/>
        <w:rPr>
          <w:rFonts w:ascii="Times New Roman" w:hAnsi="Times New Roman" w:cs="Times New Roman"/>
        </w:rPr>
      </w:pPr>
    </w:p>
    <w:p w:rsidR="00E71428" w:rsidP="00E71428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:rsidR="003C5382" w:rsidP="009A4A2B">
      <w:pPr>
        <w:ind w:firstLine="708"/>
        <w:jc w:val="both"/>
        <w:rPr>
          <w:rFonts w:ascii="Times New Roman" w:hAnsi="Times New Roman" w:cs="Times New Roman"/>
        </w:rPr>
      </w:pPr>
    </w:p>
    <w:p w:rsidR="003C5382" w:rsidRPr="001C1FC8" w:rsidP="003C5382">
      <w:pPr>
        <w:jc w:val="both"/>
        <w:rPr>
          <w:rFonts w:ascii="Times New Roman" w:hAnsi="Times New Roman" w:cs="Times New Roman"/>
          <w:b/>
          <w:u w:val="single"/>
        </w:rPr>
      </w:pPr>
      <w:r w:rsidRPr="001C1FC8">
        <w:rPr>
          <w:rFonts w:ascii="Times New Roman" w:hAnsi="Times New Roman" w:cs="Times New Roman"/>
          <w:b/>
          <w:u w:val="single"/>
        </w:rPr>
        <w:t>B. Osobitná časť:</w:t>
      </w:r>
    </w:p>
    <w:p w:rsidR="003C5382" w:rsidP="003C5382">
      <w:pPr>
        <w:jc w:val="both"/>
        <w:rPr>
          <w:rFonts w:ascii="Times New Roman" w:hAnsi="Times New Roman" w:cs="Times New Roman"/>
        </w:rPr>
      </w:pPr>
    </w:p>
    <w:p w:rsidR="003C5382" w:rsidRPr="00A577D7" w:rsidP="003C538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</w:t>
      </w:r>
    </w:p>
    <w:p w:rsidR="003C5382" w:rsidP="003C5382">
      <w:pPr>
        <w:jc w:val="both"/>
        <w:rPr>
          <w:rFonts w:ascii="Times New Roman" w:hAnsi="Times New Roman" w:cs="Times New Roman"/>
          <w:b/>
        </w:rPr>
      </w:pPr>
      <w:r w:rsidRPr="005572CC">
        <w:rPr>
          <w:rFonts w:ascii="Times New Roman" w:hAnsi="Times New Roman" w:cs="Times New Roman"/>
          <w:b/>
        </w:rPr>
        <w:tab/>
      </w:r>
    </w:p>
    <w:p w:rsidR="003C5382" w:rsidP="003C5382">
      <w:pPr>
        <w:jc w:val="both"/>
        <w:rPr>
          <w:rFonts w:ascii="Times New Roman" w:hAnsi="Times New Roman" w:cs="Times New Roman"/>
          <w:b/>
        </w:rPr>
      </w:pPr>
      <w:r w:rsidRPr="005572CC">
        <w:rPr>
          <w:rFonts w:ascii="Times New Roman" w:hAnsi="Times New Roman" w:cs="Times New Roman"/>
          <w:b/>
        </w:rPr>
        <w:t>K</w:t>
      </w:r>
      <w:r w:rsidR="000B344A">
        <w:rPr>
          <w:rFonts w:ascii="Times New Roman" w:hAnsi="Times New Roman" w:cs="Times New Roman"/>
          <w:b/>
        </w:rPr>
        <w:t> </w:t>
      </w:r>
      <w:r w:rsidRPr="005572CC">
        <w:rPr>
          <w:rFonts w:ascii="Times New Roman" w:hAnsi="Times New Roman" w:cs="Times New Roman"/>
          <w:b/>
        </w:rPr>
        <w:t>bod</w:t>
      </w:r>
      <w:r w:rsidR="000B344A">
        <w:rPr>
          <w:rFonts w:ascii="Times New Roman" w:hAnsi="Times New Roman" w:cs="Times New Roman"/>
          <w:b/>
        </w:rPr>
        <w:t xml:space="preserve">u č.1  </w:t>
      </w:r>
    </w:p>
    <w:p w:rsidR="009D0395" w:rsidP="003C5382">
      <w:pPr>
        <w:jc w:val="both"/>
        <w:rPr>
          <w:rFonts w:ascii="Times New Roman" w:hAnsi="Times New Roman" w:cs="Times New Roman"/>
          <w:b/>
        </w:rPr>
      </w:pPr>
    </w:p>
    <w:p w:rsidR="000B344A" w:rsidP="003C5382">
      <w:pPr>
        <w:jc w:val="both"/>
        <w:rPr>
          <w:rFonts w:ascii="Times New Roman" w:hAnsi="Times New Roman" w:cs="Times New Roman"/>
        </w:rPr>
      </w:pPr>
      <w:r w:rsidRPr="009D0395" w:rsidR="009D0395">
        <w:rPr>
          <w:rFonts w:ascii="Times New Roman" w:hAnsi="Times New Roman" w:cs="Times New Roman"/>
        </w:rPr>
        <w:t>Navrhuje sa zvýšiť podiel obcí na výnose dane z prímu fyzických osôb z 70,3% na 7</w:t>
      </w:r>
      <w:r w:rsidR="000104B5">
        <w:rPr>
          <w:rFonts w:ascii="Times New Roman" w:hAnsi="Times New Roman" w:cs="Times New Roman"/>
        </w:rPr>
        <w:t>5</w:t>
      </w:r>
      <w:r w:rsidRPr="009D0395" w:rsidR="009D0395">
        <w:rPr>
          <w:rFonts w:ascii="Times New Roman" w:hAnsi="Times New Roman" w:cs="Times New Roman"/>
        </w:rPr>
        <w:t>%</w:t>
      </w:r>
      <w:r w:rsidR="009D0395">
        <w:rPr>
          <w:rFonts w:ascii="Times New Roman" w:hAnsi="Times New Roman" w:cs="Times New Roman"/>
        </w:rPr>
        <w:t>.</w:t>
      </w:r>
    </w:p>
    <w:p w:rsidR="009D0395" w:rsidP="003C5382">
      <w:pPr>
        <w:jc w:val="both"/>
        <w:rPr>
          <w:rFonts w:ascii="Times New Roman" w:hAnsi="Times New Roman" w:cs="Times New Roman"/>
        </w:rPr>
      </w:pPr>
    </w:p>
    <w:p w:rsidR="009D0395" w:rsidP="003C5382">
      <w:pPr>
        <w:jc w:val="both"/>
        <w:rPr>
          <w:rFonts w:ascii="Times New Roman" w:hAnsi="Times New Roman" w:cs="Times New Roman"/>
          <w:b/>
        </w:rPr>
      </w:pPr>
      <w:r w:rsidRPr="009D0395">
        <w:rPr>
          <w:rFonts w:ascii="Times New Roman" w:hAnsi="Times New Roman" w:cs="Times New Roman"/>
          <w:b/>
        </w:rPr>
        <w:t>K bodu č. 2</w:t>
      </w:r>
    </w:p>
    <w:p w:rsidR="009D0395" w:rsidP="003C5382">
      <w:pPr>
        <w:jc w:val="both"/>
        <w:rPr>
          <w:rFonts w:ascii="Times New Roman" w:hAnsi="Times New Roman" w:cs="Times New Roman"/>
          <w:b/>
        </w:rPr>
      </w:pPr>
    </w:p>
    <w:p w:rsidR="009D0395" w:rsidRPr="009D0395" w:rsidP="003C5382">
      <w:pPr>
        <w:jc w:val="both"/>
        <w:rPr>
          <w:rFonts w:ascii="Times New Roman" w:hAnsi="Times New Roman" w:cs="Times New Roman"/>
          <w:b/>
          <w:lang w:val="pl-PL"/>
        </w:rPr>
      </w:pPr>
      <w:r w:rsidRPr="009D0395">
        <w:rPr>
          <w:rFonts w:ascii="Times New Roman" w:hAnsi="Times New Roman" w:cs="Times New Roman"/>
        </w:rPr>
        <w:t xml:space="preserve">Navrhuje sa zvýšiť podiel </w:t>
      </w:r>
      <w:r>
        <w:rPr>
          <w:rFonts w:ascii="Times New Roman" w:hAnsi="Times New Roman" w:cs="Times New Roman"/>
        </w:rPr>
        <w:t xml:space="preserve">VÚC na  výnose dane z prímu fyzických osôb z 23,5% na </w:t>
      </w:r>
      <w:r>
        <w:rPr>
          <w:rFonts w:ascii="Times New Roman" w:hAnsi="Times New Roman" w:cs="Times New Roman"/>
        </w:rPr>
        <w:t>25%.</w:t>
      </w:r>
    </w:p>
    <w:p w:rsidR="009D0395" w:rsidP="003C5382">
      <w:pPr>
        <w:jc w:val="both"/>
        <w:rPr>
          <w:rFonts w:ascii="Times New Roman" w:hAnsi="Times New Roman" w:cs="Times New Roman"/>
          <w:b/>
        </w:rPr>
      </w:pPr>
    </w:p>
    <w:p w:rsidR="009D0395" w:rsidRPr="009D0395" w:rsidP="003C5382">
      <w:pPr>
        <w:jc w:val="both"/>
        <w:rPr>
          <w:rFonts w:ascii="Times New Roman" w:hAnsi="Times New Roman" w:cs="Times New Roman"/>
          <w:b/>
        </w:rPr>
      </w:pPr>
    </w:p>
    <w:p w:rsidR="003C5382" w:rsidRPr="009D0395" w:rsidP="003C5382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 Čl. II</w:t>
      </w:r>
    </w:p>
    <w:p w:rsidR="003C5382" w:rsidRPr="00E1748C" w:rsidP="003C5382">
      <w:pPr>
        <w:spacing w:before="120"/>
        <w:jc w:val="both"/>
        <w:rPr>
          <w:rFonts w:ascii="Times New Roman" w:hAnsi="Times New Roman" w:cs="Times New Roman"/>
          <w:b/>
        </w:rPr>
      </w:pPr>
    </w:p>
    <w:p w:rsidR="003C5382" w:rsidP="00AE118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Vzhľadom na dĺžku legislatívneho procesu</w:t>
      </w:r>
      <w:r w:rsidR="000B344A">
        <w:rPr>
          <w:rFonts w:ascii="Times New Roman" w:hAnsi="Times New Roman" w:cs="Times New Roman"/>
        </w:rPr>
        <w:t xml:space="preserve"> a naliehavosť problému, ktorý novela zákona rieši </w:t>
      </w:r>
      <w:r>
        <w:rPr>
          <w:rFonts w:ascii="Times New Roman" w:hAnsi="Times New Roman" w:cs="Times New Roman"/>
        </w:rPr>
        <w:t xml:space="preserve"> sa navrhuje, aby tento zákon nadobudol účinnosť 1. </w:t>
      </w:r>
      <w:r w:rsidR="009D0395">
        <w:rPr>
          <w:rFonts w:ascii="Times New Roman" w:hAnsi="Times New Roman" w:cs="Times New Roman"/>
        </w:rPr>
        <w:t>januára 2010.</w:t>
      </w:r>
    </w:p>
    <w:p w:rsidR="003C5382" w:rsidP="003C5382">
      <w:pPr>
        <w:jc w:val="both"/>
        <w:rPr>
          <w:rFonts w:ascii="Times New Roman" w:hAnsi="Times New Roman" w:cs="Times New Roman"/>
        </w:rPr>
      </w:pPr>
    </w:p>
    <w:p w:rsidR="003C5382" w:rsidP="009A4A2B">
      <w:pPr>
        <w:ind w:firstLine="708"/>
        <w:jc w:val="both"/>
        <w:rPr>
          <w:rFonts w:ascii="Times New Roman" w:hAnsi="Times New Roman" w:cs="Times New Roman"/>
        </w:rPr>
      </w:pPr>
    </w:p>
    <w:p w:rsidR="003C5382" w:rsidRPr="00612B6F" w:rsidP="009A4A2B">
      <w:pPr>
        <w:ind w:firstLine="708"/>
        <w:jc w:val="both"/>
        <w:rPr>
          <w:rFonts w:ascii="Times New Roman" w:hAnsi="Times New Roman" w:cs="Times New Roman"/>
        </w:rPr>
        <w:sectPr>
          <w:pgSz w:w="11906" w:h="16838"/>
          <w:pgMar w:top="1417" w:right="1417" w:bottom="1417" w:left="1417" w:header="708" w:footer="708" w:gutter="0"/>
          <w:cols w:space="708"/>
          <w:bidi w:val="0"/>
          <w:docGrid w:linePitch="360"/>
        </w:sectPr>
      </w:pPr>
    </w:p>
    <w:p w:rsidR="00502B09" w:rsidRPr="004A3C84" w:rsidP="00502B09">
      <w:pPr>
        <w:jc w:val="center"/>
        <w:rPr>
          <w:rFonts w:ascii="Times New Roman" w:hAnsi="Times New Roman" w:cs="Times New Roman"/>
        </w:rPr>
      </w:pPr>
      <w:r w:rsidRPr="004A3C84">
        <w:rPr>
          <w:rFonts w:ascii="Times New Roman" w:hAnsi="Times New Roman" w:cs="Times New Roman"/>
          <w:b/>
          <w:bCs/>
        </w:rPr>
        <w:t>DOLOŽKA</w:t>
      </w:r>
    </w:p>
    <w:p w:rsidR="00502B09" w:rsidRPr="004A3C84" w:rsidP="00502B09">
      <w:pPr>
        <w:rPr>
          <w:rFonts w:ascii="Times New Roman" w:hAnsi="Times New Roman" w:cs="Times New Roman"/>
        </w:rPr>
      </w:pPr>
      <w:r w:rsidRPr="004A3C84">
        <w:rPr>
          <w:rFonts w:ascii="Times New Roman" w:hAnsi="Times New Roman" w:cs="Times New Roman"/>
        </w:rPr>
        <w:t> </w:t>
      </w:r>
    </w:p>
    <w:p w:rsidR="00502B09" w:rsidRPr="004A3C84" w:rsidP="00502B09">
      <w:pPr>
        <w:jc w:val="center"/>
        <w:rPr>
          <w:rFonts w:ascii="Times New Roman" w:hAnsi="Times New Roman" w:cs="Times New Roman"/>
        </w:rPr>
      </w:pPr>
      <w:r w:rsidRPr="004A3C84">
        <w:rPr>
          <w:rFonts w:ascii="Times New Roman" w:hAnsi="Times New Roman" w:cs="Times New Roman"/>
          <w:b/>
          <w:bCs/>
        </w:rPr>
        <w:t xml:space="preserve">finančných, ekonomických, environmentálnych vplyvov, vplyvov na zamestnanosť a podnikateľské prostredie </w:t>
      </w:r>
    </w:p>
    <w:p w:rsidR="00502B09" w:rsidP="00502B09">
      <w:pPr>
        <w:rPr>
          <w:rFonts w:ascii="Times New Roman" w:hAnsi="Times New Roman" w:cs="Times New Roman"/>
          <w:b/>
          <w:bCs/>
        </w:rPr>
      </w:pPr>
      <w:r w:rsidRPr="004A3C84">
        <w:rPr>
          <w:rFonts w:ascii="Times New Roman" w:hAnsi="Times New Roman" w:cs="Times New Roman"/>
          <w:b/>
          <w:bCs/>
        </w:rPr>
        <w:t> </w:t>
      </w:r>
    </w:p>
    <w:p w:rsidR="00502B09" w:rsidRPr="004A3C84" w:rsidP="00502B09">
      <w:pPr>
        <w:rPr>
          <w:rFonts w:ascii="Times New Roman" w:hAnsi="Times New Roman" w:cs="Times New Roman"/>
        </w:rPr>
      </w:pPr>
    </w:p>
    <w:p w:rsidR="00502B09" w:rsidRPr="004A3C84" w:rsidP="00502B09">
      <w:pPr>
        <w:rPr>
          <w:rFonts w:ascii="Times New Roman" w:hAnsi="Times New Roman" w:cs="Times New Roman"/>
        </w:rPr>
      </w:pPr>
      <w:r w:rsidRPr="004A3C84">
        <w:rPr>
          <w:rFonts w:ascii="Times New Roman" w:hAnsi="Times New Roman" w:cs="Times New Roman"/>
          <w:b/>
          <w:bCs/>
        </w:rPr>
        <w:t>1. Odhad vplyvu na verejné financie a zamestnanosť</w:t>
      </w:r>
    </w:p>
    <w:p w:rsidR="00502B09" w:rsidRPr="004A3C84" w:rsidP="00502B09">
      <w:pPr>
        <w:jc w:val="both"/>
        <w:rPr>
          <w:rFonts w:ascii="Times New Roman" w:hAnsi="Times New Roman" w:cs="Times New Roman"/>
        </w:rPr>
      </w:pPr>
      <w:r w:rsidRPr="004A3C84">
        <w:rPr>
          <w:rFonts w:ascii="Times New Roman" w:hAnsi="Times New Roman" w:cs="Times New Roman"/>
        </w:rPr>
        <w:t> </w:t>
      </w:r>
    </w:p>
    <w:p w:rsidR="00502B09" w:rsidRPr="004A3C84" w:rsidP="00502B09">
      <w:pPr>
        <w:ind w:firstLine="708"/>
        <w:jc w:val="both"/>
        <w:rPr>
          <w:rFonts w:ascii="Times New Roman" w:hAnsi="Times New Roman" w:cs="Times New Roman"/>
        </w:rPr>
      </w:pPr>
      <w:r w:rsidRPr="0087614A">
        <w:rPr>
          <w:rFonts w:ascii="Times New Roman" w:hAnsi="Times New Roman" w:cs="Times New Roman"/>
        </w:rPr>
        <w:t xml:space="preserve">Navrhovaná právna úprava </w:t>
      </w:r>
      <w:r w:rsidR="00FB682B">
        <w:rPr>
          <w:rFonts w:ascii="Times New Roman" w:hAnsi="Times New Roman" w:cs="Times New Roman"/>
        </w:rPr>
        <w:t>nebude mať</w:t>
      </w:r>
      <w:r w:rsidRPr="0087614A">
        <w:rPr>
          <w:rFonts w:ascii="Times New Roman" w:hAnsi="Times New Roman" w:cs="Times New Roman"/>
        </w:rPr>
        <w:t xml:space="preserve"> negatívny vplyv na verejné financie. </w:t>
      </w:r>
      <w:r w:rsidR="00FB682B">
        <w:rPr>
          <w:rFonts w:ascii="Times New Roman" w:hAnsi="Times New Roman" w:cs="Times New Roman"/>
        </w:rPr>
        <w:t xml:space="preserve">Bude   však znamenať zmenu v ich štruktúre a to v prospech miest, obcí a VÚC  </w:t>
      </w:r>
      <w:r>
        <w:rPr>
          <w:rFonts w:ascii="Times New Roman" w:hAnsi="Times New Roman" w:cs="Times New Roman"/>
        </w:rPr>
        <w:t xml:space="preserve"> </w:t>
      </w:r>
    </w:p>
    <w:p w:rsidR="00502B09" w:rsidRPr="004A3C84" w:rsidP="00502B09">
      <w:pPr>
        <w:jc w:val="both"/>
        <w:rPr>
          <w:rFonts w:ascii="Times New Roman" w:hAnsi="Times New Roman" w:cs="Times New Roman"/>
        </w:rPr>
      </w:pPr>
    </w:p>
    <w:p w:rsidR="00502B09" w:rsidRPr="004A3C84" w:rsidP="00502B0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Navrhovaná</w:t>
      </w:r>
      <w:r>
        <w:rPr>
          <w:rFonts w:ascii="Times New Roman" w:hAnsi="Times New Roman" w:cs="Times New Roman"/>
        </w:rPr>
        <w:t xml:space="preserve"> právna úprava </w:t>
      </w:r>
      <w:r w:rsidR="003E2CA7">
        <w:rPr>
          <w:rFonts w:ascii="Times New Roman" w:hAnsi="Times New Roman" w:cs="Times New Roman"/>
        </w:rPr>
        <w:t>ne</w:t>
      </w:r>
      <w:r w:rsidRPr="004A3C84">
        <w:rPr>
          <w:rFonts w:ascii="Times New Roman" w:hAnsi="Times New Roman" w:cs="Times New Roman"/>
        </w:rPr>
        <w:t xml:space="preserve">bude mať </w:t>
      </w:r>
      <w:r>
        <w:rPr>
          <w:rFonts w:ascii="Times New Roman" w:hAnsi="Times New Roman" w:cs="Times New Roman"/>
        </w:rPr>
        <w:t>vplyv n</w:t>
      </w:r>
      <w:r w:rsidR="00253B2A">
        <w:rPr>
          <w:rFonts w:ascii="Times New Roman" w:hAnsi="Times New Roman" w:cs="Times New Roman"/>
        </w:rPr>
        <w:t xml:space="preserve">a zamestnanosť. </w:t>
      </w:r>
    </w:p>
    <w:p w:rsidR="00502B09" w:rsidRPr="004A3C84" w:rsidP="00502B09">
      <w:pPr>
        <w:rPr>
          <w:rFonts w:ascii="Times New Roman" w:hAnsi="Times New Roman" w:cs="Times New Roman"/>
        </w:rPr>
      </w:pPr>
      <w:r w:rsidRPr="004A3C84">
        <w:rPr>
          <w:rFonts w:ascii="Times New Roman" w:hAnsi="Times New Roman" w:cs="Times New Roman"/>
          <w:b/>
          <w:bCs/>
        </w:rPr>
        <w:t> </w:t>
      </w:r>
    </w:p>
    <w:p w:rsidR="00502B09" w:rsidP="00502B09">
      <w:pPr>
        <w:rPr>
          <w:rFonts w:ascii="Times New Roman" w:hAnsi="Times New Roman" w:cs="Times New Roman"/>
          <w:b/>
          <w:bCs/>
        </w:rPr>
      </w:pPr>
      <w:r w:rsidRPr="004A3C84">
        <w:rPr>
          <w:rFonts w:ascii="Times New Roman" w:hAnsi="Times New Roman" w:cs="Times New Roman"/>
          <w:b/>
          <w:bCs/>
        </w:rPr>
        <w:t>2. Odhad vplyvu na obyvateľov</w:t>
      </w:r>
    </w:p>
    <w:p w:rsidR="00502B09" w:rsidRPr="004A3C84" w:rsidP="00502B09">
      <w:pPr>
        <w:rPr>
          <w:rFonts w:ascii="Times New Roman" w:hAnsi="Times New Roman" w:cs="Times New Roman"/>
        </w:rPr>
      </w:pPr>
      <w:r w:rsidRPr="004A3C84">
        <w:rPr>
          <w:rFonts w:ascii="Times New Roman" w:hAnsi="Times New Roman" w:cs="Times New Roman"/>
        </w:rPr>
        <w:t>             </w:t>
      </w:r>
    </w:p>
    <w:p w:rsidR="00502B09" w:rsidRPr="0087614A" w:rsidP="00502B09">
      <w:pPr>
        <w:ind w:firstLine="708"/>
        <w:jc w:val="both"/>
        <w:rPr>
          <w:rFonts w:ascii="Times New Roman" w:hAnsi="Times New Roman" w:cs="Times New Roman"/>
        </w:rPr>
      </w:pPr>
      <w:r w:rsidRPr="0087614A">
        <w:rPr>
          <w:rFonts w:ascii="Times New Roman" w:hAnsi="Times New Roman" w:cs="Times New Roman"/>
        </w:rPr>
        <w:t xml:space="preserve">Navrhovaná právna úprava </w:t>
      </w:r>
      <w:r w:rsidR="00FB682B">
        <w:rPr>
          <w:rFonts w:ascii="Times New Roman" w:hAnsi="Times New Roman" w:cs="Times New Roman"/>
        </w:rPr>
        <w:t>ne</w:t>
      </w:r>
      <w:r w:rsidRPr="0087614A">
        <w:rPr>
          <w:rFonts w:ascii="Times New Roman" w:hAnsi="Times New Roman" w:cs="Times New Roman"/>
        </w:rPr>
        <w:t xml:space="preserve">bude mať vplyv na hospodárenie obyvateľov. </w:t>
      </w:r>
    </w:p>
    <w:p w:rsidR="00502B09" w:rsidRPr="004A3C84" w:rsidP="00502B09">
      <w:pPr>
        <w:jc w:val="both"/>
        <w:rPr>
          <w:rFonts w:ascii="Times New Roman" w:hAnsi="Times New Roman" w:cs="Times New Roman"/>
        </w:rPr>
      </w:pPr>
      <w:r w:rsidRPr="004A3C84">
        <w:rPr>
          <w:rFonts w:ascii="Times New Roman" w:hAnsi="Times New Roman" w:cs="Times New Roman"/>
        </w:rPr>
        <w:t>  </w:t>
      </w:r>
    </w:p>
    <w:p w:rsidR="00502B09" w:rsidRPr="004A3C84" w:rsidP="00502B09">
      <w:pPr>
        <w:rPr>
          <w:rFonts w:ascii="Times New Roman" w:hAnsi="Times New Roman" w:cs="Times New Roman"/>
        </w:rPr>
      </w:pPr>
      <w:r w:rsidRPr="004A3C84">
        <w:rPr>
          <w:rFonts w:ascii="Times New Roman" w:hAnsi="Times New Roman" w:cs="Times New Roman"/>
          <w:b/>
          <w:bCs/>
        </w:rPr>
        <w:t>3. Odhad vplyvu na životné prostredie</w:t>
      </w:r>
    </w:p>
    <w:p w:rsidR="00502B09" w:rsidRPr="004A3C84" w:rsidP="00502B09">
      <w:pPr>
        <w:rPr>
          <w:rFonts w:ascii="Times New Roman" w:hAnsi="Times New Roman" w:cs="Times New Roman"/>
        </w:rPr>
      </w:pPr>
      <w:r w:rsidRPr="004A3C84">
        <w:rPr>
          <w:rFonts w:ascii="Times New Roman" w:hAnsi="Times New Roman" w:cs="Times New Roman"/>
        </w:rPr>
        <w:t xml:space="preserve">            </w:t>
      </w:r>
    </w:p>
    <w:p w:rsidR="00502B09" w:rsidRPr="004A3C84" w:rsidP="00502B09">
      <w:pPr>
        <w:ind w:firstLine="708"/>
        <w:rPr>
          <w:rFonts w:ascii="Times New Roman" w:hAnsi="Times New Roman" w:cs="Times New Roman"/>
        </w:rPr>
      </w:pPr>
      <w:r w:rsidRPr="004A3C84">
        <w:rPr>
          <w:rFonts w:ascii="Times New Roman" w:hAnsi="Times New Roman" w:cs="Times New Roman"/>
        </w:rPr>
        <w:t>Navrhovaná právna úprava nebude mať vplyv na životné prostredie.</w:t>
      </w:r>
    </w:p>
    <w:p w:rsidR="00502B09" w:rsidRPr="004A3C84" w:rsidP="00502B09">
      <w:pPr>
        <w:jc w:val="both"/>
        <w:rPr>
          <w:rFonts w:ascii="Times New Roman" w:hAnsi="Times New Roman" w:cs="Times New Roman"/>
        </w:rPr>
      </w:pPr>
      <w:r w:rsidRPr="004A3C84">
        <w:rPr>
          <w:rFonts w:ascii="Times New Roman" w:hAnsi="Times New Roman" w:cs="Times New Roman"/>
        </w:rPr>
        <w:t> </w:t>
      </w:r>
    </w:p>
    <w:p w:rsidR="00502B09" w:rsidRPr="004A3C84" w:rsidP="00502B09">
      <w:pPr>
        <w:jc w:val="both"/>
        <w:rPr>
          <w:rFonts w:ascii="Times New Roman" w:hAnsi="Times New Roman" w:cs="Times New Roman"/>
        </w:rPr>
      </w:pPr>
      <w:r w:rsidRPr="004A3C84">
        <w:rPr>
          <w:rFonts w:ascii="Times New Roman" w:hAnsi="Times New Roman" w:cs="Times New Roman"/>
          <w:b/>
          <w:bCs/>
        </w:rPr>
        <w:t>4. Odhad vplyvu na podnikateľské prostredie</w:t>
      </w:r>
    </w:p>
    <w:p w:rsidR="00502B09" w:rsidRPr="004A3C84" w:rsidP="00502B09">
      <w:pPr>
        <w:ind w:firstLine="540"/>
        <w:jc w:val="both"/>
        <w:rPr>
          <w:rFonts w:ascii="Times New Roman" w:hAnsi="Times New Roman" w:cs="Times New Roman"/>
        </w:rPr>
      </w:pPr>
      <w:r w:rsidRPr="004A3C84">
        <w:rPr>
          <w:rFonts w:ascii="Times New Roman" w:hAnsi="Times New Roman" w:cs="Times New Roman"/>
        </w:rPr>
        <w:t> </w:t>
      </w:r>
    </w:p>
    <w:p w:rsidR="00502B09" w:rsidRPr="004A3C84" w:rsidP="00502B09">
      <w:pPr>
        <w:ind w:firstLine="708"/>
        <w:jc w:val="both"/>
        <w:rPr>
          <w:rFonts w:ascii="Times New Roman" w:hAnsi="Times New Roman" w:cs="Times New Roman"/>
        </w:rPr>
      </w:pPr>
      <w:r w:rsidRPr="004A3C84">
        <w:rPr>
          <w:rFonts w:ascii="Times New Roman" w:hAnsi="Times New Roman" w:cs="Times New Roman"/>
        </w:rPr>
        <w:t xml:space="preserve">Navrhovaná právna úprava </w:t>
      </w:r>
      <w:r w:rsidR="003E2CA7">
        <w:rPr>
          <w:rFonts w:ascii="Times New Roman" w:hAnsi="Times New Roman" w:cs="Times New Roman"/>
        </w:rPr>
        <w:t>ne</w:t>
      </w:r>
      <w:r w:rsidRPr="004A3C84">
        <w:rPr>
          <w:rFonts w:ascii="Times New Roman" w:hAnsi="Times New Roman" w:cs="Times New Roman"/>
        </w:rPr>
        <w:t>bude mať vplyv na hospodárenie podnikateľskej sféry a iných právnických osôb</w:t>
      </w:r>
      <w:r>
        <w:rPr>
          <w:rFonts w:ascii="Times New Roman" w:hAnsi="Times New Roman" w:cs="Times New Roman"/>
        </w:rPr>
        <w:t xml:space="preserve">. </w:t>
      </w:r>
    </w:p>
    <w:p w:rsidR="00502B09" w:rsidP="00502B09">
      <w:pPr>
        <w:jc w:val="both"/>
        <w:rPr>
          <w:rFonts w:ascii="Times New Roman" w:hAnsi="Times New Roman" w:cs="Times New Roman"/>
        </w:rPr>
      </w:pPr>
    </w:p>
    <w:p w:rsidR="00FB682B" w:rsidP="00502B09">
      <w:pPr>
        <w:jc w:val="both"/>
        <w:rPr>
          <w:rFonts w:ascii="Times New Roman" w:hAnsi="Times New Roman" w:cs="Times New Roman"/>
        </w:rPr>
      </w:pPr>
    </w:p>
    <w:p w:rsidR="00FB682B" w:rsidP="00502B09">
      <w:pPr>
        <w:jc w:val="both"/>
        <w:rPr>
          <w:rFonts w:ascii="Times New Roman" w:hAnsi="Times New Roman" w:cs="Times New Roman"/>
        </w:rPr>
      </w:pPr>
    </w:p>
    <w:p w:rsidR="00FB682B" w:rsidP="00502B09">
      <w:pPr>
        <w:jc w:val="both"/>
        <w:rPr>
          <w:rFonts w:ascii="Times New Roman" w:hAnsi="Times New Roman" w:cs="Times New Roman"/>
        </w:rPr>
      </w:pPr>
    </w:p>
    <w:p w:rsidR="009D0395" w:rsidP="00502B09">
      <w:pPr>
        <w:jc w:val="both"/>
        <w:rPr>
          <w:rFonts w:ascii="Times New Roman" w:hAnsi="Times New Roman" w:cs="Times New Roman"/>
        </w:rPr>
      </w:pPr>
    </w:p>
    <w:p w:rsidR="009D0395" w:rsidP="00502B09">
      <w:pPr>
        <w:jc w:val="both"/>
        <w:rPr>
          <w:rFonts w:ascii="Times New Roman" w:hAnsi="Times New Roman" w:cs="Times New Roman"/>
        </w:rPr>
      </w:pPr>
    </w:p>
    <w:p w:rsidR="009D0395" w:rsidP="00502B09">
      <w:pPr>
        <w:jc w:val="both"/>
        <w:rPr>
          <w:rFonts w:ascii="Times New Roman" w:hAnsi="Times New Roman" w:cs="Times New Roman"/>
        </w:rPr>
      </w:pPr>
    </w:p>
    <w:p w:rsidR="009D0395" w:rsidP="00502B09">
      <w:pPr>
        <w:jc w:val="both"/>
        <w:rPr>
          <w:rFonts w:ascii="Times New Roman" w:hAnsi="Times New Roman" w:cs="Times New Roman"/>
        </w:rPr>
      </w:pPr>
    </w:p>
    <w:p w:rsidR="009D0395" w:rsidP="00502B09">
      <w:pPr>
        <w:jc w:val="both"/>
        <w:rPr>
          <w:rFonts w:ascii="Times New Roman" w:hAnsi="Times New Roman" w:cs="Times New Roman"/>
        </w:rPr>
      </w:pPr>
    </w:p>
    <w:p w:rsidR="009D0395" w:rsidP="00502B09">
      <w:pPr>
        <w:jc w:val="both"/>
        <w:rPr>
          <w:rFonts w:ascii="Times New Roman" w:hAnsi="Times New Roman" w:cs="Times New Roman"/>
        </w:rPr>
      </w:pPr>
    </w:p>
    <w:p w:rsidR="009D0395" w:rsidP="00502B09">
      <w:pPr>
        <w:jc w:val="both"/>
        <w:rPr>
          <w:rFonts w:ascii="Times New Roman" w:hAnsi="Times New Roman" w:cs="Times New Roman"/>
        </w:rPr>
      </w:pPr>
    </w:p>
    <w:p w:rsidR="009D0395" w:rsidP="00502B09">
      <w:pPr>
        <w:jc w:val="both"/>
        <w:rPr>
          <w:rFonts w:ascii="Times New Roman" w:hAnsi="Times New Roman" w:cs="Times New Roman"/>
        </w:rPr>
      </w:pPr>
    </w:p>
    <w:p w:rsidR="009D0395" w:rsidP="00502B09">
      <w:pPr>
        <w:jc w:val="both"/>
        <w:rPr>
          <w:rFonts w:ascii="Times New Roman" w:hAnsi="Times New Roman" w:cs="Times New Roman"/>
        </w:rPr>
      </w:pPr>
    </w:p>
    <w:p w:rsidR="009D0395" w:rsidP="00502B09">
      <w:pPr>
        <w:jc w:val="both"/>
        <w:rPr>
          <w:rFonts w:ascii="Times New Roman" w:hAnsi="Times New Roman" w:cs="Times New Roman"/>
        </w:rPr>
      </w:pPr>
    </w:p>
    <w:p w:rsidR="009D0395" w:rsidP="00502B09">
      <w:pPr>
        <w:jc w:val="both"/>
        <w:rPr>
          <w:rFonts w:ascii="Times New Roman" w:hAnsi="Times New Roman" w:cs="Times New Roman"/>
        </w:rPr>
      </w:pPr>
    </w:p>
    <w:p w:rsidR="009D0395" w:rsidP="00502B09">
      <w:pPr>
        <w:jc w:val="both"/>
        <w:rPr>
          <w:rFonts w:ascii="Times New Roman" w:hAnsi="Times New Roman" w:cs="Times New Roman"/>
        </w:rPr>
      </w:pPr>
    </w:p>
    <w:p w:rsidR="009D0395" w:rsidP="00502B09">
      <w:pPr>
        <w:jc w:val="both"/>
        <w:rPr>
          <w:rFonts w:ascii="Times New Roman" w:hAnsi="Times New Roman" w:cs="Times New Roman"/>
        </w:rPr>
      </w:pPr>
    </w:p>
    <w:p w:rsidR="009D0395" w:rsidP="00502B09">
      <w:pPr>
        <w:jc w:val="both"/>
        <w:rPr>
          <w:rFonts w:ascii="Times New Roman" w:hAnsi="Times New Roman" w:cs="Times New Roman"/>
        </w:rPr>
      </w:pPr>
    </w:p>
    <w:p w:rsidR="009D0395" w:rsidP="00502B09">
      <w:pPr>
        <w:jc w:val="both"/>
        <w:rPr>
          <w:rFonts w:ascii="Times New Roman" w:hAnsi="Times New Roman" w:cs="Times New Roman"/>
        </w:rPr>
      </w:pPr>
    </w:p>
    <w:p w:rsidR="009D0395" w:rsidP="00502B09">
      <w:pPr>
        <w:jc w:val="both"/>
        <w:rPr>
          <w:rFonts w:ascii="Times New Roman" w:hAnsi="Times New Roman" w:cs="Times New Roman"/>
        </w:rPr>
      </w:pPr>
    </w:p>
    <w:p w:rsidR="009D0395" w:rsidP="00502B09">
      <w:pPr>
        <w:jc w:val="both"/>
        <w:rPr>
          <w:rFonts w:ascii="Times New Roman" w:hAnsi="Times New Roman" w:cs="Times New Roman"/>
        </w:rPr>
      </w:pPr>
    </w:p>
    <w:p w:rsidR="009D0395" w:rsidP="00502B09">
      <w:pPr>
        <w:jc w:val="both"/>
        <w:rPr>
          <w:rFonts w:ascii="Times New Roman" w:hAnsi="Times New Roman" w:cs="Times New Roman"/>
        </w:rPr>
      </w:pPr>
    </w:p>
    <w:p w:rsidR="009D0395" w:rsidP="00502B09">
      <w:pPr>
        <w:jc w:val="both"/>
        <w:rPr>
          <w:rFonts w:ascii="Times New Roman" w:hAnsi="Times New Roman" w:cs="Times New Roman"/>
        </w:rPr>
      </w:pPr>
    </w:p>
    <w:p w:rsidR="00FB682B" w:rsidP="00502B09">
      <w:pPr>
        <w:jc w:val="both"/>
        <w:rPr>
          <w:rFonts w:ascii="Times New Roman" w:hAnsi="Times New Roman" w:cs="Times New Roman"/>
        </w:rPr>
      </w:pPr>
    </w:p>
    <w:p w:rsidR="00FB682B" w:rsidP="00502B09">
      <w:pPr>
        <w:jc w:val="both"/>
        <w:rPr>
          <w:rFonts w:ascii="Times New Roman" w:hAnsi="Times New Roman" w:cs="Times New Roman"/>
        </w:rPr>
      </w:pPr>
    </w:p>
    <w:p w:rsidR="00FB682B" w:rsidP="00502B09">
      <w:pPr>
        <w:jc w:val="both"/>
        <w:rPr>
          <w:rFonts w:ascii="Times New Roman" w:hAnsi="Times New Roman" w:cs="Times New Roman"/>
        </w:rPr>
      </w:pPr>
    </w:p>
    <w:p w:rsidR="009D0395" w:rsidRPr="009D0395" w:rsidP="009D0395">
      <w:pPr>
        <w:pStyle w:val="Title"/>
        <w:rPr>
          <w:rFonts w:ascii="Times New Roman" w:hAnsi="Times New Roman" w:cs="Times New Roman"/>
          <w:sz w:val="22"/>
        </w:rPr>
      </w:pPr>
      <w:r w:rsidRPr="009D0395">
        <w:rPr>
          <w:rFonts w:ascii="Times New Roman" w:hAnsi="Times New Roman" w:cs="Times New Roman"/>
          <w:sz w:val="22"/>
        </w:rPr>
        <w:t>DOLOŽKA ZLUČITEĽNOSTI</w:t>
      </w:r>
    </w:p>
    <w:p w:rsidR="009D0395" w:rsidRPr="009D0395" w:rsidP="009D0395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Cs/>
          <w:sz w:val="22"/>
        </w:rPr>
      </w:pPr>
      <w:r w:rsidRPr="009D0395">
        <w:rPr>
          <w:rFonts w:ascii="Times New Roman" w:hAnsi="Times New Roman" w:cs="Times New Roman"/>
          <w:sz w:val="22"/>
          <w:szCs w:val="22"/>
        </w:rPr>
        <w:t>návrhu zákona, ktorým sa mení a dopĺňa zákon č. 523/2004 Z. z. o rozpočtových pravidlách verejnej správy a o zmene a doplnení niektorých zákonov v znení neskorších predpisov</w:t>
      </w:r>
    </w:p>
    <w:p w:rsidR="009D0395" w:rsidRPr="009D0395" w:rsidP="009D0395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Cs/>
          <w:sz w:val="22"/>
        </w:rPr>
      </w:pPr>
      <w:r w:rsidRPr="009D0395">
        <w:rPr>
          <w:rFonts w:ascii="Times New Roman" w:hAnsi="Times New Roman" w:cs="Times New Roman"/>
          <w:bCs/>
          <w:sz w:val="22"/>
        </w:rPr>
        <w:t>s právom Európskych spoločenstiev a právom Európskej únie</w:t>
      </w:r>
    </w:p>
    <w:p w:rsidR="009D0395" w:rsidRPr="009D0395" w:rsidP="009D0395">
      <w:pPr>
        <w:jc w:val="center"/>
        <w:rPr>
          <w:rFonts w:ascii="Times New Roman" w:hAnsi="Times New Roman" w:cs="Times New Roman"/>
          <w:b/>
          <w:sz w:val="22"/>
        </w:rPr>
      </w:pPr>
    </w:p>
    <w:p w:rsidR="009D0395" w:rsidRPr="009D0395" w:rsidP="009D0395">
      <w:pPr>
        <w:numPr>
          <w:ilvl w:val="0"/>
          <w:numId w:val="6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2"/>
        </w:rPr>
      </w:pPr>
      <w:r w:rsidRPr="009D0395">
        <w:rPr>
          <w:rFonts w:ascii="Times New Roman" w:hAnsi="Times New Roman" w:cs="Times New Roman"/>
          <w:b/>
          <w:sz w:val="22"/>
        </w:rPr>
        <w:t>Predkladateľ zákona:</w:t>
      </w:r>
    </w:p>
    <w:p w:rsidR="009D0395" w:rsidRPr="009D0395" w:rsidP="009D0395">
      <w:pPr>
        <w:ind w:firstLine="425"/>
        <w:jc w:val="both"/>
        <w:rPr>
          <w:rFonts w:ascii="Times New Roman" w:hAnsi="Times New Roman" w:cs="Times New Roman"/>
          <w:sz w:val="22"/>
        </w:rPr>
      </w:pPr>
      <w:r w:rsidRPr="009D0395">
        <w:rPr>
          <w:rFonts w:ascii="Times New Roman" w:hAnsi="Times New Roman" w:cs="Times New Roman"/>
          <w:sz w:val="22"/>
        </w:rPr>
        <w:t>Vláda Slovenskej republiky</w:t>
      </w:r>
    </w:p>
    <w:p w:rsidR="009D0395" w:rsidRPr="009D0395" w:rsidP="009D0395">
      <w:pPr>
        <w:jc w:val="both"/>
        <w:rPr>
          <w:rFonts w:ascii="Times New Roman" w:hAnsi="Times New Roman" w:cs="Times New Roman"/>
          <w:b/>
          <w:sz w:val="22"/>
        </w:rPr>
      </w:pPr>
    </w:p>
    <w:p w:rsidR="009D0395" w:rsidRPr="009D0395" w:rsidP="009D0395">
      <w:pPr>
        <w:numPr>
          <w:ilvl w:val="0"/>
          <w:numId w:val="6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sz w:val="22"/>
        </w:rPr>
      </w:pPr>
      <w:r w:rsidRPr="009D0395">
        <w:rPr>
          <w:rFonts w:ascii="Times New Roman" w:hAnsi="Times New Roman" w:cs="Times New Roman"/>
          <w:b/>
          <w:sz w:val="22"/>
        </w:rPr>
        <w:t>Názov návrhu zákona:</w:t>
      </w:r>
    </w:p>
    <w:p w:rsidR="009D0395" w:rsidRPr="009D0395" w:rsidP="009D0395">
      <w:pPr>
        <w:ind w:left="425"/>
        <w:jc w:val="both"/>
        <w:rPr>
          <w:rFonts w:ascii="Times New Roman" w:hAnsi="Times New Roman" w:cs="Times New Roman"/>
          <w:sz w:val="22"/>
          <w:szCs w:val="22"/>
        </w:rPr>
      </w:pPr>
      <w:r w:rsidRPr="009D0395">
        <w:rPr>
          <w:rFonts w:ascii="Times New Roman" w:hAnsi="Times New Roman" w:cs="Times New Roman"/>
          <w:sz w:val="22"/>
          <w:szCs w:val="22"/>
        </w:rPr>
        <w:t>Návrh zákona, ktorým sa mení a dopĺňa zákon č. 523/2004 Z. z. o rozpočtových pravidlách verejnej správy a o zmene a doplnení niektorých zákonov v znení neskorších predpisov</w:t>
      </w:r>
    </w:p>
    <w:p w:rsidR="009D0395" w:rsidRPr="009D0395" w:rsidP="009D0395">
      <w:pPr>
        <w:jc w:val="both"/>
        <w:rPr>
          <w:rFonts w:ascii="Times New Roman" w:hAnsi="Times New Roman" w:cs="Times New Roman"/>
          <w:b/>
          <w:sz w:val="22"/>
        </w:rPr>
      </w:pPr>
    </w:p>
    <w:p w:rsidR="009D0395" w:rsidRPr="009D0395" w:rsidP="009D0395">
      <w:pPr>
        <w:numPr>
          <w:ilvl w:val="0"/>
          <w:numId w:val="6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sz w:val="22"/>
        </w:rPr>
      </w:pPr>
      <w:r w:rsidRPr="009D0395">
        <w:rPr>
          <w:rFonts w:ascii="Times New Roman" w:hAnsi="Times New Roman" w:cs="Times New Roman"/>
          <w:b/>
          <w:sz w:val="22"/>
        </w:rPr>
        <w:t xml:space="preserve">Problematika zákona: </w:t>
      </w:r>
    </w:p>
    <w:p w:rsidR="009D0395" w:rsidRPr="009D0395" w:rsidP="009D0395">
      <w:pPr>
        <w:pStyle w:val="BodyText"/>
        <w:numPr>
          <w:ilvl w:val="1"/>
          <w:numId w:val="6"/>
        </w:numPr>
        <w:tabs>
          <w:tab w:val="left" w:pos="397"/>
          <w:tab w:val="left" w:pos="540"/>
        </w:tabs>
        <w:spacing w:after="0"/>
        <w:ind w:hanging="850"/>
        <w:rPr>
          <w:rFonts w:ascii="Times New Roman" w:hAnsi="Times New Roman" w:cs="Times New Roman"/>
          <w:sz w:val="22"/>
        </w:rPr>
      </w:pPr>
      <w:r w:rsidRPr="009D0395">
        <w:rPr>
          <w:rFonts w:ascii="Times New Roman" w:hAnsi="Times New Roman" w:cs="Times New Roman"/>
          <w:sz w:val="22"/>
        </w:rPr>
        <w:t>je upravená v práve Európskych spoloč</w:t>
      </w:r>
      <w:r w:rsidRPr="009D0395">
        <w:rPr>
          <w:rFonts w:ascii="Times New Roman" w:hAnsi="Times New Roman" w:cs="Times New Roman"/>
          <w:sz w:val="22"/>
        </w:rPr>
        <w:t>enstiev:</w:t>
      </w:r>
    </w:p>
    <w:p w:rsidR="009D0395" w:rsidRPr="009D0395" w:rsidP="009D0395">
      <w:pPr>
        <w:pStyle w:val="BodyText"/>
        <w:spacing w:before="120"/>
        <w:ind w:left="357"/>
        <w:rPr>
          <w:rFonts w:ascii="Times New Roman" w:hAnsi="Times New Roman" w:cs="Times New Roman"/>
          <w:b/>
          <w:i/>
          <w:sz w:val="22"/>
        </w:rPr>
      </w:pPr>
      <w:r w:rsidRPr="009D0395">
        <w:rPr>
          <w:rFonts w:ascii="Times New Roman" w:hAnsi="Times New Roman" w:cs="Times New Roman"/>
          <w:b/>
          <w:i/>
          <w:sz w:val="22"/>
        </w:rPr>
        <w:t xml:space="preserve">v primárnom práve: </w:t>
      </w:r>
    </w:p>
    <w:p w:rsidR="009D0395" w:rsidRPr="009D0395" w:rsidP="009D0395">
      <w:pPr>
        <w:pStyle w:val="BodyText"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0395">
        <w:rPr>
          <w:rFonts w:ascii="Times New Roman" w:hAnsi="Times New Roman" w:cs="Times New Roman"/>
          <w:sz w:val="22"/>
          <w:szCs w:val="22"/>
        </w:rPr>
        <w:t>čl. 104, čl. 268 až 280 Zmluvy o založení Európskeho spoločenstva v platnom znení,</w:t>
      </w:r>
    </w:p>
    <w:p w:rsidR="009D0395" w:rsidRPr="009D0395" w:rsidP="009D0395">
      <w:pPr>
        <w:pStyle w:val="BodyText"/>
        <w:numPr>
          <w:ilvl w:val="0"/>
          <w:numId w:val="8"/>
        </w:numPr>
        <w:tabs>
          <w:tab w:val="left" w:pos="36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0395">
        <w:rPr>
          <w:rFonts w:ascii="Times New Roman" w:hAnsi="Times New Roman" w:cs="Times New Roman"/>
          <w:sz w:val="22"/>
          <w:szCs w:val="22"/>
        </w:rPr>
        <w:t>Protokol o  postupe pri nadmernom deficite,</w:t>
      </w:r>
    </w:p>
    <w:p w:rsidR="009D0395" w:rsidRPr="009D0395" w:rsidP="009D0395">
      <w:pPr>
        <w:pStyle w:val="BodyText"/>
        <w:spacing w:before="120"/>
        <w:ind w:left="357"/>
        <w:rPr>
          <w:rFonts w:ascii="Times New Roman" w:hAnsi="Times New Roman" w:cs="Times New Roman"/>
          <w:b/>
          <w:i/>
          <w:sz w:val="22"/>
        </w:rPr>
      </w:pPr>
      <w:r w:rsidRPr="009D0395">
        <w:rPr>
          <w:rFonts w:ascii="Times New Roman" w:hAnsi="Times New Roman" w:cs="Times New Roman"/>
          <w:b/>
          <w:i/>
          <w:sz w:val="22"/>
        </w:rPr>
        <w:t xml:space="preserve">v sekundárnom práve: </w:t>
      </w:r>
    </w:p>
    <w:p w:rsidR="009D0395" w:rsidRPr="009D0395" w:rsidP="009D0395">
      <w:pPr>
        <w:pStyle w:val="Normlnywebov8"/>
        <w:numPr>
          <w:ilvl w:val="0"/>
          <w:numId w:val="8"/>
        </w:numPr>
        <w:tabs>
          <w:tab w:val="left" w:pos="360"/>
        </w:tabs>
        <w:spacing w:before="0" w:after="80"/>
        <w:ind w:right="70"/>
        <w:jc w:val="both"/>
        <w:rPr>
          <w:rFonts w:ascii="Times New Roman" w:hAnsi="Times New Roman" w:cs="Times New Roman"/>
        </w:rPr>
      </w:pPr>
      <w:r w:rsidRPr="009D0395">
        <w:rPr>
          <w:rFonts w:ascii="Times New Roman" w:hAnsi="Times New Roman" w:cs="Times New Roman"/>
        </w:rPr>
        <w:t>rozhodnutie Komisie 74/55/EHS z 22. januára 1974, ktoré udeľuje právomoci na vykonávanie kontrolných opatrení v členských štátoch, pokiaľ ide o príjmy a výdavky spoločenstva (Mimoriadne vydanie Ú. v. EÚ, 1/zv. 1),</w:t>
      </w:r>
    </w:p>
    <w:p w:rsidR="009D0395" w:rsidRPr="009D0395" w:rsidP="009D0395">
      <w:pPr>
        <w:pStyle w:val="Zkladntext"/>
        <w:numPr>
          <w:ilvl w:val="0"/>
          <w:numId w:val="8"/>
        </w:numPr>
        <w:tabs>
          <w:tab w:val="left" w:pos="360"/>
        </w:tabs>
        <w:snapToGrid/>
        <w:spacing w:after="8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D0395">
        <w:rPr>
          <w:rFonts w:ascii="Times New Roman" w:hAnsi="Times New Roman" w:cs="Times New Roman"/>
          <w:color w:val="auto"/>
          <w:sz w:val="22"/>
          <w:szCs w:val="22"/>
        </w:rPr>
        <w:t xml:space="preserve">rozhodnutie Rady 88/376/EHS z 24. júna 1988 o systéme vlastných zdrojov spoločenstiev </w:t>
      </w:r>
      <w:r w:rsidRPr="009D0395">
        <w:rPr>
          <w:rFonts w:ascii="Times New Roman" w:hAnsi="Times New Roman" w:cs="Times New Roman"/>
        </w:rPr>
        <w:t>(Mimoriadne vydanie Ú. v. EÚ, 1/zv</w:t>
      </w:r>
      <w:r w:rsidRPr="009D0395">
        <w:rPr>
          <w:rFonts w:ascii="Times New Roman" w:hAnsi="Times New Roman" w:cs="Times New Roman"/>
        </w:rPr>
        <w:t>. 1)</w:t>
      </w:r>
      <w:r w:rsidRPr="009D0395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:rsidR="009D0395" w:rsidRPr="009D0395" w:rsidP="009D0395">
      <w:pPr>
        <w:pStyle w:val="Zkladntext"/>
        <w:numPr>
          <w:ilvl w:val="0"/>
          <w:numId w:val="8"/>
        </w:numPr>
        <w:tabs>
          <w:tab w:val="left" w:pos="360"/>
        </w:tabs>
        <w:snapToGrid/>
        <w:spacing w:after="8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D0395">
        <w:rPr>
          <w:rFonts w:ascii="Times New Roman" w:hAnsi="Times New Roman" w:cs="Times New Roman"/>
          <w:color w:val="auto"/>
          <w:sz w:val="22"/>
          <w:szCs w:val="22"/>
        </w:rPr>
        <w:t>rozhodnutie Rady 2000/597/ES z 29. septembra 2000 o systéme vlastných zdrojov Európskych spoločenstiev</w:t>
      </w:r>
      <w:r w:rsidRPr="009D0395">
        <w:rPr>
          <w:rFonts w:ascii="Times New Roman" w:hAnsi="Times New Roman" w:cs="Times New Roman"/>
        </w:rPr>
        <w:t>(Mimoriadne vydanie Ú. v. EÚ, 1/zv. 3)</w:t>
      </w:r>
      <w:r w:rsidRPr="009D0395">
        <w:rPr>
          <w:rFonts w:ascii="Times New Roman" w:hAnsi="Times New Roman" w:cs="Times New Roman"/>
          <w:color w:val="auto"/>
          <w:sz w:val="22"/>
          <w:szCs w:val="22"/>
        </w:rPr>
        <w:t>,,</w:t>
      </w:r>
    </w:p>
    <w:p w:rsidR="009D0395" w:rsidRPr="009D0395" w:rsidP="009D0395">
      <w:pPr>
        <w:pStyle w:val="BodyText"/>
        <w:numPr>
          <w:ilvl w:val="0"/>
          <w:numId w:val="8"/>
        </w:numPr>
        <w:tabs>
          <w:tab w:val="left" w:pos="360"/>
        </w:tabs>
        <w:jc w:val="both"/>
        <w:rPr>
          <w:rStyle w:val="Emphasis"/>
          <w:rFonts w:ascii="Times New Roman" w:hAnsi="Times New Roman" w:cs="Times New Roman"/>
          <w:i w:val="0"/>
          <w:iCs w:val="0"/>
          <w:sz w:val="22"/>
          <w:szCs w:val="22"/>
        </w:rPr>
      </w:pPr>
      <w:r w:rsidRPr="009D0395">
        <w:rPr>
          <w:rFonts w:ascii="Times New Roman" w:hAnsi="Times New Roman" w:cs="Times New Roman"/>
          <w:sz w:val="22"/>
          <w:szCs w:val="22"/>
        </w:rPr>
        <w:t>nariadenie Rady (ES) č. 3605/93 z 22. novembra 1993 o uplatňovaní Protokolu o postu</w:t>
      </w:r>
      <w:r w:rsidRPr="009D0395">
        <w:rPr>
          <w:rFonts w:ascii="Times New Roman" w:hAnsi="Times New Roman" w:cs="Times New Roman"/>
          <w:sz w:val="22"/>
          <w:szCs w:val="22"/>
        </w:rPr>
        <w:t>pe pri nadmernom schodku, ktorý tvorí prílohu Zmluvy o založení Európskeho spoločenstva v platnom znení (Mimoriadne vydanie Ú. v. EÚ, 10</w:t>
      </w:r>
      <w:r w:rsidRPr="009D0395">
        <w:rPr>
          <w:rStyle w:val="Emphasis"/>
          <w:rFonts w:ascii="Times New Roman" w:hAnsi="Times New Roman" w:cs="Times New Roman"/>
          <w:i w:val="0"/>
          <w:sz w:val="22"/>
          <w:szCs w:val="22"/>
        </w:rPr>
        <w:t>/ zv.1),</w:t>
      </w:r>
    </w:p>
    <w:p w:rsidR="009D0395" w:rsidRPr="009D0395" w:rsidP="009D0395">
      <w:pPr>
        <w:pStyle w:val="Zkladntext"/>
        <w:numPr>
          <w:ilvl w:val="0"/>
          <w:numId w:val="8"/>
        </w:numPr>
        <w:tabs>
          <w:tab w:val="left" w:pos="360"/>
        </w:tabs>
        <w:snapToGrid/>
        <w:spacing w:after="8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D0395">
        <w:rPr>
          <w:rFonts w:ascii="Times New Roman" w:hAnsi="Times New Roman" w:cs="Times New Roman"/>
          <w:color w:val="auto"/>
          <w:sz w:val="22"/>
          <w:szCs w:val="22"/>
        </w:rPr>
        <w:t xml:space="preserve">nariadenie Rady (ES, Euratom) č. 2988/1995 z 18. decembra 1995 o ochrane finančných záujmov Európskych spoločenstiev </w:t>
      </w:r>
      <w:r w:rsidRPr="009D0395">
        <w:rPr>
          <w:rFonts w:ascii="Times New Roman" w:hAnsi="Times New Roman" w:cs="Times New Roman"/>
        </w:rPr>
        <w:t>(Mimoriadne vydanie Ú. v. EÚ, 1/zv. 1),</w:t>
      </w:r>
    </w:p>
    <w:p w:rsidR="009D0395" w:rsidRPr="009D0395" w:rsidP="009D0395">
      <w:pPr>
        <w:pStyle w:val="BodyText"/>
        <w:numPr>
          <w:ilvl w:val="0"/>
          <w:numId w:val="8"/>
        </w:numPr>
        <w:tabs>
          <w:tab w:val="left" w:pos="360"/>
        </w:tabs>
        <w:jc w:val="both"/>
        <w:rPr>
          <w:rStyle w:val="Emphasis"/>
          <w:rFonts w:ascii="Times New Roman" w:hAnsi="Times New Roman" w:cs="Times New Roman"/>
          <w:i w:val="0"/>
          <w:iCs w:val="0"/>
          <w:sz w:val="22"/>
          <w:szCs w:val="22"/>
        </w:rPr>
      </w:pPr>
      <w:r w:rsidRPr="009D0395">
        <w:rPr>
          <w:rFonts w:ascii="Times New Roman" w:hAnsi="Times New Roman" w:cs="Times New Roman"/>
          <w:sz w:val="22"/>
          <w:szCs w:val="22"/>
        </w:rPr>
        <w:t>nariadenie Rady (ES) č. 2223/96 z 25. júna 1996 o Európskom systéme národných a regionálnych účtov v spoločenstve v platnom znení (Mimoriadne vydanie Ú. v. EÚ, 10</w:t>
      </w:r>
      <w:r w:rsidRPr="009D0395">
        <w:rPr>
          <w:rStyle w:val="Emphasis"/>
          <w:rFonts w:ascii="Times New Roman" w:hAnsi="Times New Roman" w:cs="Times New Roman"/>
          <w:i w:val="0"/>
          <w:sz w:val="22"/>
          <w:szCs w:val="22"/>
        </w:rPr>
        <w:t>/ zv. 2),</w:t>
      </w:r>
    </w:p>
    <w:p w:rsidR="009D0395" w:rsidRPr="009D0395" w:rsidP="009D0395">
      <w:pPr>
        <w:pStyle w:val="Zkladntext"/>
        <w:numPr>
          <w:ilvl w:val="0"/>
          <w:numId w:val="8"/>
        </w:numPr>
        <w:tabs>
          <w:tab w:val="left" w:pos="360"/>
        </w:tabs>
        <w:snapToGrid/>
        <w:spacing w:after="8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D0395">
        <w:rPr>
          <w:rFonts w:ascii="Times New Roman" w:hAnsi="Times New Roman" w:cs="Times New Roman"/>
          <w:color w:val="auto"/>
          <w:sz w:val="22"/>
          <w:szCs w:val="22"/>
        </w:rPr>
        <w:t xml:space="preserve">nariadenie Rady (ES) č. 1467/97 zo 7. júla 1997 o urýchľovaní a objasňovaní vykonania postupu pri nadmernom schodku v platnom znení </w:t>
      </w:r>
      <w:r w:rsidRPr="009D0395">
        <w:rPr>
          <w:rFonts w:ascii="Times New Roman" w:hAnsi="Times New Roman" w:cs="Times New Roman"/>
        </w:rPr>
        <w:t>(Mimoriadne vydanie Ú. v. EÚ, 10/zv. 1)</w:t>
      </w:r>
      <w:r w:rsidRPr="009D0395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:rsidR="009D0395" w:rsidRPr="009D0395" w:rsidP="009D0395">
      <w:pPr>
        <w:pStyle w:val="Zkladntext"/>
        <w:numPr>
          <w:ilvl w:val="0"/>
          <w:numId w:val="8"/>
        </w:numPr>
        <w:tabs>
          <w:tab w:val="left" w:pos="360"/>
        </w:tabs>
        <w:snapToGrid/>
        <w:spacing w:after="8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D0395">
        <w:rPr>
          <w:rFonts w:ascii="Times New Roman" w:hAnsi="Times New Roman" w:cs="Times New Roman"/>
          <w:color w:val="auto"/>
          <w:sz w:val="22"/>
          <w:szCs w:val="22"/>
        </w:rPr>
        <w:t xml:space="preserve">nariadenie Rady (ES) č. 622/1998 zo 16. marca 1998 o pomoci kandidátskym štátom v rámci predvstupovej stratégie, a najmä o založení prístupových partnerstiev </w:t>
      </w:r>
      <w:r w:rsidRPr="009D0395">
        <w:rPr>
          <w:rFonts w:ascii="Times New Roman" w:hAnsi="Times New Roman" w:cs="Times New Roman"/>
        </w:rPr>
        <w:t>(Mimoriadne vydanie Ú. v. EÚ, 11/zv. 28)</w:t>
      </w:r>
      <w:r w:rsidRPr="009D0395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:rsidR="009D0395" w:rsidRPr="009D0395" w:rsidP="009D0395">
      <w:pPr>
        <w:pStyle w:val="Zkladntext"/>
        <w:numPr>
          <w:ilvl w:val="0"/>
          <w:numId w:val="8"/>
        </w:numPr>
        <w:tabs>
          <w:tab w:val="left" w:pos="360"/>
        </w:tabs>
        <w:snapToGrid/>
        <w:spacing w:after="8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D0395">
        <w:rPr>
          <w:rFonts w:ascii="Times New Roman" w:hAnsi="Times New Roman" w:cs="Times New Roman"/>
          <w:color w:val="auto"/>
          <w:sz w:val="22"/>
          <w:szCs w:val="22"/>
        </w:rPr>
        <w:t xml:space="preserve">nariadenie Rady (ES, Euratom) č.1150/2000 z 22. mája 2000, </w:t>
      </w:r>
      <w:r w:rsidRPr="009D0395">
        <w:rPr>
          <w:rFonts w:ascii="Times New Roman" w:hAnsi="Times New Roman" w:cs="Times New Roman"/>
          <w:bCs/>
          <w:sz w:val="22"/>
          <w:szCs w:val="22"/>
        </w:rPr>
        <w:t>ktorým sa vykonáva rozhodnutie 94/728/ES, Euratom o systéme vlastných zdrojov spoločenstiev</w:t>
      </w:r>
      <w:r w:rsidRPr="009D0395">
        <w:rPr>
          <w:rFonts w:ascii="Times New Roman" w:hAnsi="Times New Roman" w:cs="Times New Roman"/>
          <w:color w:val="auto"/>
          <w:sz w:val="22"/>
          <w:szCs w:val="22"/>
        </w:rPr>
        <w:t xml:space="preserve"> v platnom znení </w:t>
      </w:r>
      <w:r w:rsidRPr="009D0395">
        <w:rPr>
          <w:rFonts w:ascii="Times New Roman" w:hAnsi="Times New Roman" w:cs="Times New Roman"/>
          <w:sz w:val="22"/>
          <w:szCs w:val="22"/>
        </w:rPr>
        <w:t>(Mimoriadne vydanie Ú. v. EÚ, 1/zv. 3)</w:t>
      </w:r>
      <w:r w:rsidRPr="009D0395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:rsidR="009D0395" w:rsidRPr="009D0395" w:rsidP="009D0395">
      <w:pPr>
        <w:pStyle w:val="Zkladntext"/>
        <w:numPr>
          <w:ilvl w:val="0"/>
          <w:numId w:val="8"/>
        </w:numPr>
        <w:tabs>
          <w:tab w:val="left" w:pos="360"/>
        </w:tabs>
        <w:snapToGrid/>
        <w:spacing w:after="8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D0395">
        <w:rPr>
          <w:rFonts w:ascii="Times New Roman" w:hAnsi="Times New Roman" w:cs="Times New Roman"/>
          <w:color w:val="auto"/>
          <w:sz w:val="22"/>
          <w:szCs w:val="22"/>
        </w:rPr>
        <w:t xml:space="preserve">nariadenie Rady (ES, Euratom) č. 1605/2002 z 25. júna 2002 </w:t>
      </w:r>
      <w:r w:rsidRPr="009D0395">
        <w:rPr>
          <w:rFonts w:ascii="Times New Roman" w:hAnsi="Times New Roman" w:cs="Times New Roman"/>
          <w:sz w:val="22"/>
          <w:szCs w:val="22"/>
        </w:rPr>
        <w:t>o rozpočtových pravidlách, ktoré sa vzťahujú na všeobecný rozpočet Európskych spoločenst</w:t>
      </w:r>
      <w:r w:rsidRPr="009D0395">
        <w:rPr>
          <w:rFonts w:ascii="Times New Roman" w:hAnsi="Times New Roman" w:cs="Times New Roman"/>
          <w:color w:val="auto"/>
          <w:sz w:val="22"/>
          <w:szCs w:val="22"/>
        </w:rPr>
        <w:t xml:space="preserve">iev v platnom znení </w:t>
      </w:r>
      <w:r w:rsidRPr="009D0395">
        <w:rPr>
          <w:rFonts w:ascii="Times New Roman" w:hAnsi="Times New Roman" w:cs="Times New Roman"/>
          <w:sz w:val="22"/>
          <w:szCs w:val="22"/>
        </w:rPr>
        <w:t>(Mimoriadne vydanie Ú. v. EÚ, 1/zv. 4)</w:t>
      </w:r>
      <w:r w:rsidRPr="009D0395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:rsidR="009D0395" w:rsidRPr="009D0395" w:rsidP="009D0395">
      <w:pPr>
        <w:pStyle w:val="Zkladntext"/>
        <w:numPr>
          <w:ilvl w:val="0"/>
          <w:numId w:val="8"/>
        </w:numPr>
        <w:tabs>
          <w:tab w:val="left" w:pos="360"/>
        </w:tabs>
        <w:snapToGrid/>
        <w:spacing w:after="8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D0395">
        <w:rPr>
          <w:rFonts w:ascii="Times New Roman" w:hAnsi="Times New Roman" w:cs="Times New Roman"/>
          <w:color w:val="auto"/>
          <w:sz w:val="22"/>
          <w:szCs w:val="22"/>
        </w:rPr>
        <w:t xml:space="preserve">nariadenie Komisie (ES, Euratom) č. 2342/2002 </w:t>
      </w:r>
      <w:r w:rsidRPr="009D0395">
        <w:rPr>
          <w:rFonts w:ascii="Times New Roman" w:hAnsi="Times New Roman" w:cs="Times New Roman"/>
          <w:bCs/>
          <w:color w:val="auto"/>
          <w:sz w:val="22"/>
          <w:szCs w:val="22"/>
        </w:rPr>
        <w:t>z 23. decembra 2002,</w:t>
      </w:r>
      <w:r w:rsidRPr="009D039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D0395">
        <w:rPr>
          <w:rFonts w:ascii="Times New Roman" w:hAnsi="Times New Roman" w:cs="Times New Roman"/>
          <w:sz w:val="22"/>
          <w:szCs w:val="22"/>
        </w:rPr>
        <w:t>ktorým sa ustanovujú podrobné pravidlá na vykonávanie nariadenia Rady (ES, Euratom) č. 1605/2002 o rozpočtových pravidlách, ktoré sa vzťahujú na všeobecný rozpočet Európskych spoločenstiev</w:t>
      </w:r>
      <w:r w:rsidRPr="009D039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D0395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v platnom znení </w:t>
      </w:r>
      <w:r w:rsidRPr="009D0395">
        <w:rPr>
          <w:rFonts w:ascii="Times New Roman" w:hAnsi="Times New Roman" w:cs="Times New Roman"/>
          <w:sz w:val="22"/>
          <w:szCs w:val="22"/>
        </w:rPr>
        <w:t>(Mimoriadne vydanie Ú. v. EÚ, 1/zv. 4)</w:t>
      </w:r>
      <w:r w:rsidRPr="009D0395">
        <w:rPr>
          <w:rFonts w:ascii="Times New Roman" w:hAnsi="Times New Roman" w:cs="Times New Roman"/>
          <w:color w:val="auto"/>
          <w:sz w:val="22"/>
          <w:szCs w:val="22"/>
        </w:rPr>
        <w:t>,.</w:t>
      </w:r>
    </w:p>
    <w:p w:rsidR="009D0395" w:rsidRPr="009D0395" w:rsidP="009D0395">
      <w:pPr>
        <w:pStyle w:val="BodyText"/>
        <w:numPr>
          <w:ilvl w:val="0"/>
          <w:numId w:val="9"/>
        </w:numPr>
        <w:tabs>
          <w:tab w:val="left" w:pos="360"/>
        </w:tabs>
        <w:jc w:val="both"/>
        <w:rPr>
          <w:rStyle w:val="Emphasis"/>
          <w:rFonts w:ascii="Times New Roman" w:hAnsi="Times New Roman" w:cs="Times New Roman"/>
          <w:i w:val="0"/>
          <w:iCs w:val="0"/>
          <w:sz w:val="22"/>
          <w:szCs w:val="22"/>
        </w:rPr>
      </w:pPr>
      <w:r w:rsidRPr="009D0395">
        <w:rPr>
          <w:rFonts w:ascii="Times New Roman" w:hAnsi="Times New Roman" w:cs="Times New Roman"/>
          <w:sz w:val="22"/>
          <w:szCs w:val="22"/>
        </w:rPr>
        <w:t>nariadenie Európskeho Parlamentu a Rady (ES) č. 501/2004 z 10. marca 2004 o štvrťročných finančných účtoch verejnej správy (Mimoriadne vydanie Ú. v. EÚ, 10</w:t>
      </w:r>
      <w:r w:rsidRPr="009D0395">
        <w:rPr>
          <w:rStyle w:val="Emphasis"/>
          <w:rFonts w:ascii="Times New Roman" w:hAnsi="Times New Roman" w:cs="Times New Roman"/>
          <w:i w:val="0"/>
          <w:sz w:val="22"/>
          <w:szCs w:val="22"/>
        </w:rPr>
        <w:t>/ zv. 5),</w:t>
      </w:r>
    </w:p>
    <w:p w:rsidR="009D0395" w:rsidRPr="009D0395" w:rsidP="009D0395">
      <w:pPr>
        <w:pStyle w:val="BodyText"/>
        <w:numPr>
          <w:ilvl w:val="0"/>
          <w:numId w:val="9"/>
        </w:numPr>
        <w:tabs>
          <w:tab w:val="left" w:pos="360"/>
        </w:tabs>
        <w:jc w:val="both"/>
        <w:rPr>
          <w:rStyle w:val="Emphasis"/>
          <w:rFonts w:ascii="Times New Roman" w:hAnsi="Times New Roman" w:cs="Times New Roman"/>
          <w:i w:val="0"/>
          <w:iCs w:val="0"/>
          <w:sz w:val="22"/>
          <w:szCs w:val="22"/>
        </w:rPr>
      </w:pPr>
      <w:r w:rsidRPr="009D0395">
        <w:rPr>
          <w:rFonts w:ascii="Times New Roman" w:hAnsi="Times New Roman" w:cs="Times New Roman"/>
          <w:bCs/>
          <w:sz w:val="22"/>
          <w:szCs w:val="22"/>
        </w:rPr>
        <w:t xml:space="preserve">nariadenie Rady (ES) č. 1290/2005 z 21. júna 2005 o financovaní Spoločnej poľnohospodárskej politiky v platnom znení </w:t>
      </w:r>
      <w:r w:rsidRPr="009D0395">
        <w:rPr>
          <w:rFonts w:ascii="Times New Roman" w:hAnsi="Times New Roman" w:cs="Times New Roman"/>
          <w:bCs/>
          <w:i/>
          <w:sz w:val="22"/>
          <w:szCs w:val="22"/>
        </w:rPr>
        <w:t>(</w:t>
      </w:r>
      <w:r w:rsidRPr="009D0395">
        <w:rPr>
          <w:rStyle w:val="Emphasis"/>
          <w:rFonts w:ascii="Times New Roman" w:hAnsi="Times New Roman" w:cs="Times New Roman"/>
          <w:i w:val="0"/>
          <w:sz w:val="22"/>
          <w:szCs w:val="22"/>
        </w:rPr>
        <w:t>Ú. v. EÚ L 209, 11.8.2005),</w:t>
      </w:r>
    </w:p>
    <w:p w:rsidR="009D0395" w:rsidRPr="009D0395" w:rsidP="009D0395">
      <w:pPr>
        <w:pStyle w:val="BodyText"/>
        <w:numPr>
          <w:ilvl w:val="0"/>
          <w:numId w:val="9"/>
        </w:numPr>
        <w:tabs>
          <w:tab w:val="left" w:pos="360"/>
        </w:tabs>
        <w:jc w:val="both"/>
        <w:rPr>
          <w:rStyle w:val="Emphasis"/>
          <w:rFonts w:ascii="Times New Roman" w:hAnsi="Times New Roman" w:cs="Times New Roman"/>
          <w:i w:val="0"/>
          <w:iCs w:val="0"/>
          <w:sz w:val="22"/>
          <w:szCs w:val="22"/>
        </w:rPr>
      </w:pPr>
      <w:r w:rsidRPr="009D0395">
        <w:rPr>
          <w:rFonts w:ascii="Times New Roman" w:hAnsi="Times New Roman" w:cs="Times New Roman"/>
          <w:sz w:val="22"/>
          <w:szCs w:val="22"/>
        </w:rPr>
        <w:t xml:space="preserve">nariadenie Európskeho parlamentu a Rady (ES) č. 1081/2006 z  5. júla 2006 o Európskom sociálnom fonde, ktorým sa zrušuje nariadenie (ES) č. 1784/1999 </w:t>
      </w:r>
      <w:r w:rsidRPr="009D0395">
        <w:rPr>
          <w:rFonts w:ascii="Times New Roman" w:hAnsi="Times New Roman" w:cs="Times New Roman"/>
          <w:i/>
          <w:sz w:val="22"/>
          <w:szCs w:val="22"/>
        </w:rPr>
        <w:t>(</w:t>
      </w:r>
      <w:r w:rsidRPr="009D0395">
        <w:rPr>
          <w:rStyle w:val="Emphasis"/>
          <w:rFonts w:ascii="Times New Roman" w:hAnsi="Times New Roman" w:cs="Times New Roman"/>
          <w:i w:val="0"/>
          <w:sz w:val="22"/>
          <w:szCs w:val="22"/>
        </w:rPr>
        <w:t>Ú. v. EÚ L 210, 31.7.2006),</w:t>
      </w:r>
    </w:p>
    <w:p w:rsidR="009D0395" w:rsidRPr="009D0395" w:rsidP="009D0395">
      <w:pPr>
        <w:pStyle w:val="BodyText"/>
        <w:numPr>
          <w:ilvl w:val="0"/>
          <w:numId w:val="9"/>
        </w:numPr>
        <w:tabs>
          <w:tab w:val="left" w:pos="360"/>
        </w:tabs>
        <w:jc w:val="both"/>
        <w:rPr>
          <w:rStyle w:val="Emphasis"/>
          <w:rFonts w:ascii="Times New Roman" w:hAnsi="Times New Roman" w:cs="Times New Roman"/>
          <w:iCs w:val="0"/>
          <w:sz w:val="22"/>
          <w:szCs w:val="22"/>
        </w:rPr>
      </w:pPr>
      <w:r w:rsidRPr="009D0395">
        <w:rPr>
          <w:rFonts w:ascii="Times New Roman" w:hAnsi="Times New Roman" w:cs="Times New Roman"/>
          <w:bCs/>
          <w:sz w:val="22"/>
          <w:szCs w:val="22"/>
        </w:rPr>
        <w:t xml:space="preserve">nariadenie Rady (ES) č. 1083/2006 z  11. júla 2006, ktorým sa ustanovujú všeobecné ustanovenia o Európskom fonde regionálneho rozvoja, Európskom sociálnom fonde a Kohéznom fonde a ktorým sa zrušuje nariadenie (ES) č. 1260/1999 </w:t>
      </w:r>
      <w:r w:rsidRPr="009D0395">
        <w:rPr>
          <w:rFonts w:ascii="Times New Roman" w:hAnsi="Times New Roman" w:cs="Times New Roman"/>
          <w:bCs/>
          <w:i/>
          <w:sz w:val="22"/>
          <w:szCs w:val="22"/>
        </w:rPr>
        <w:t>(</w:t>
      </w:r>
      <w:r w:rsidRPr="009D0395">
        <w:rPr>
          <w:rStyle w:val="Emphasis"/>
          <w:rFonts w:ascii="Times New Roman" w:hAnsi="Times New Roman" w:cs="Times New Roman"/>
          <w:i w:val="0"/>
          <w:sz w:val="22"/>
          <w:szCs w:val="22"/>
        </w:rPr>
        <w:t>Ú. v. EÚ L 210, 31.7.2006),</w:t>
      </w:r>
    </w:p>
    <w:p w:rsidR="009D0395" w:rsidRPr="009D0395" w:rsidP="009D0395">
      <w:pPr>
        <w:pStyle w:val="BodyText"/>
        <w:numPr>
          <w:ilvl w:val="0"/>
          <w:numId w:val="9"/>
        </w:numPr>
        <w:tabs>
          <w:tab w:val="left" w:pos="360"/>
        </w:tabs>
        <w:jc w:val="both"/>
        <w:rPr>
          <w:rStyle w:val="Emphasis"/>
          <w:rFonts w:ascii="Times New Roman" w:hAnsi="Times New Roman" w:cs="Times New Roman"/>
          <w:iCs w:val="0"/>
          <w:sz w:val="22"/>
          <w:szCs w:val="22"/>
        </w:rPr>
      </w:pPr>
      <w:r w:rsidRPr="009D0395">
        <w:rPr>
          <w:rFonts w:ascii="Times New Roman" w:hAnsi="Times New Roman" w:cs="Times New Roman"/>
          <w:bCs/>
          <w:sz w:val="22"/>
          <w:szCs w:val="22"/>
        </w:rPr>
        <w:t>nariadenie Rady (ES) č. 1084/2006, z  11. júla 2006, ktorým sa zriaďuje Kohézny fond a ktorým sa zrušuje nariadenie (ES) č. 1164/94 (</w:t>
      </w:r>
      <w:r w:rsidRPr="009D0395">
        <w:rPr>
          <w:rStyle w:val="Emphasis"/>
          <w:rFonts w:ascii="Times New Roman" w:hAnsi="Times New Roman" w:cs="Times New Roman"/>
          <w:i w:val="0"/>
          <w:sz w:val="22"/>
          <w:szCs w:val="22"/>
        </w:rPr>
        <w:t>Ú. v. EÚ L 210, 31.7.2006),</w:t>
      </w:r>
    </w:p>
    <w:p w:rsidR="009D0395" w:rsidRPr="009D0395" w:rsidP="009D0395">
      <w:pPr>
        <w:pStyle w:val="BodyText"/>
        <w:numPr>
          <w:ilvl w:val="0"/>
          <w:numId w:val="9"/>
        </w:numPr>
        <w:tabs>
          <w:tab w:val="left" w:pos="360"/>
        </w:tabs>
        <w:jc w:val="both"/>
        <w:rPr>
          <w:rStyle w:val="Emphasis"/>
          <w:rFonts w:ascii="Times New Roman" w:hAnsi="Times New Roman" w:cs="Times New Roman"/>
          <w:iCs w:val="0"/>
          <w:sz w:val="22"/>
          <w:szCs w:val="22"/>
        </w:rPr>
      </w:pPr>
      <w:r w:rsidRPr="009D0395">
        <w:rPr>
          <w:rFonts w:ascii="Times New Roman" w:hAnsi="Times New Roman" w:cs="Times New Roman"/>
          <w:bCs/>
          <w:sz w:val="22"/>
          <w:szCs w:val="22"/>
        </w:rPr>
        <w:t>nariadenie Rady (ES) č. 1085/2006 zo 17. júla 2006, ktorým sa ustanovuje nástroj predvstupovej pomoci (IPA) (</w:t>
      </w:r>
      <w:r w:rsidRPr="009D0395">
        <w:rPr>
          <w:rStyle w:val="Emphasis"/>
          <w:rFonts w:ascii="Times New Roman" w:hAnsi="Times New Roman" w:cs="Times New Roman"/>
          <w:i w:val="0"/>
          <w:sz w:val="22"/>
          <w:szCs w:val="22"/>
        </w:rPr>
        <w:t>Ú. v. EÚ L 210, 31.7.2006),</w:t>
      </w:r>
    </w:p>
    <w:p w:rsidR="009D0395" w:rsidRPr="009D0395" w:rsidP="009D0395">
      <w:pPr>
        <w:pStyle w:val="BodyText"/>
        <w:numPr>
          <w:ilvl w:val="0"/>
          <w:numId w:val="9"/>
        </w:numPr>
        <w:tabs>
          <w:tab w:val="left" w:pos="360"/>
        </w:tabs>
        <w:jc w:val="both"/>
        <w:rPr>
          <w:rFonts w:ascii="Times New Roman" w:hAnsi="Times New Roman" w:cs="Times New Roman"/>
          <w:i/>
          <w:sz w:val="22"/>
          <w:szCs w:val="22"/>
        </w:rPr>
      </w:pPr>
      <w:r w:rsidRPr="009D0395">
        <w:rPr>
          <w:rFonts w:ascii="Times New Roman" w:hAnsi="Times New Roman" w:cs="Times New Roman"/>
          <w:bCs/>
          <w:sz w:val="22"/>
          <w:szCs w:val="22"/>
        </w:rPr>
        <w:t>nariadenie Komisie (ES) č. 1848/2006 zo 14. decembra 2006 o nezrovnalostiach a vymáhaní súm neoprávnene vyplatených v súvislosti s financovaním Spoločnej poľnohospodárskej politiky, o organizácii informačného systému v tejto oblasti a o zrušení nariadenia (EHS) č. 595/91 (</w:t>
      </w:r>
      <w:r w:rsidRPr="009D0395">
        <w:rPr>
          <w:rStyle w:val="Emphasis"/>
          <w:rFonts w:ascii="Times New Roman" w:hAnsi="Times New Roman" w:cs="Times New Roman"/>
          <w:i w:val="0"/>
          <w:sz w:val="22"/>
          <w:szCs w:val="22"/>
        </w:rPr>
        <w:t>Ú. v. EÚ L 355, 15.12.2006).</w:t>
      </w:r>
    </w:p>
    <w:p w:rsidR="009D0395" w:rsidRPr="009D0395" w:rsidP="009D0395">
      <w:pPr>
        <w:pStyle w:val="BodyText"/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9D0395" w:rsidRPr="009D0395" w:rsidP="009D0395">
      <w:pPr>
        <w:pStyle w:val="BodyText"/>
        <w:numPr>
          <w:ilvl w:val="1"/>
          <w:numId w:val="6"/>
        </w:numPr>
        <w:tabs>
          <w:tab w:val="left" w:pos="397"/>
        </w:tabs>
        <w:ind w:left="346" w:hanging="340"/>
        <w:rPr>
          <w:rFonts w:ascii="Times New Roman" w:hAnsi="Times New Roman" w:cs="Times New Roman"/>
          <w:sz w:val="22"/>
        </w:rPr>
      </w:pPr>
      <w:r w:rsidRPr="009D0395">
        <w:rPr>
          <w:rFonts w:ascii="Times New Roman" w:hAnsi="Times New Roman" w:cs="Times New Roman"/>
          <w:sz w:val="22"/>
        </w:rPr>
        <w:t>nie je upravená v práve Európskej únie,</w:t>
      </w:r>
    </w:p>
    <w:p w:rsidR="009D0395" w:rsidRPr="009D0395" w:rsidP="009D0395">
      <w:pPr>
        <w:pStyle w:val="BodyText"/>
        <w:numPr>
          <w:ilvl w:val="1"/>
          <w:numId w:val="6"/>
        </w:numPr>
        <w:tabs>
          <w:tab w:val="left" w:pos="397"/>
        </w:tabs>
        <w:ind w:left="397" w:hanging="397"/>
        <w:jc w:val="both"/>
        <w:rPr>
          <w:rFonts w:ascii="Times New Roman" w:hAnsi="Times New Roman" w:cs="Times New Roman"/>
          <w:sz w:val="22"/>
        </w:rPr>
      </w:pPr>
      <w:r w:rsidRPr="009D0395">
        <w:rPr>
          <w:rFonts w:ascii="Times New Roman" w:hAnsi="Times New Roman" w:cs="Times New Roman"/>
          <w:sz w:val="22"/>
        </w:rPr>
        <w:t>je obsiahnutá v judikatúre Súdneho dvora Európskych spoločenstiev alebo Súdu prvého stupňa  Európskych spoločenstiev:</w:t>
      </w:r>
    </w:p>
    <w:p w:rsidR="009D0395" w:rsidRPr="009D0395" w:rsidP="009D0395">
      <w:pPr>
        <w:pStyle w:val="Zkladntext"/>
        <w:numPr>
          <w:ilvl w:val="0"/>
          <w:numId w:val="10"/>
        </w:numPr>
        <w:tabs>
          <w:tab w:val="left" w:pos="360"/>
        </w:tabs>
        <w:snapToGrid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9D0395">
        <w:rPr>
          <w:rFonts w:ascii="Times New Roman" w:hAnsi="Times New Roman" w:cs="Times New Roman"/>
          <w:sz w:val="22"/>
          <w:szCs w:val="22"/>
        </w:rPr>
        <w:t xml:space="preserve">rozhodnutie Súdneho dvora Európskych spoločenstiev vo veci C – 27/04, </w:t>
      </w:r>
      <w:r w:rsidRPr="009D039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Komisia Európskych spoločenstiev </w:t>
      </w:r>
      <w:r w:rsidRPr="009D0395">
        <w:rPr>
          <w:rFonts w:ascii="Times New Roman" w:hAnsi="Times New Roman" w:cs="Times New Roman"/>
          <w:color w:val="auto"/>
          <w:sz w:val="22"/>
          <w:szCs w:val="22"/>
        </w:rPr>
        <w:t xml:space="preserve">v. </w:t>
      </w:r>
      <w:r w:rsidRPr="009D0395">
        <w:rPr>
          <w:rFonts w:ascii="Times New Roman" w:hAnsi="Times New Roman" w:cs="Times New Roman"/>
          <w:bCs/>
          <w:color w:val="auto"/>
          <w:sz w:val="22"/>
          <w:szCs w:val="22"/>
        </w:rPr>
        <w:t>Rada Európskej únie</w:t>
      </w:r>
      <w:r w:rsidRPr="009D0395">
        <w:rPr>
          <w:rFonts w:ascii="Times New Roman" w:hAnsi="Times New Roman" w:cs="Times New Roman"/>
          <w:sz w:val="22"/>
          <w:szCs w:val="22"/>
        </w:rPr>
        <w:t>, rok 2004, Zb.roz. ESD (I -</w:t>
      </w:r>
      <w:r w:rsidRPr="009D0395">
        <w:rPr>
          <w:rFonts w:ascii="Times New Roman" w:hAnsi="Times New Roman" w:cs="Times New Roman"/>
          <w:sz w:val="17"/>
          <w:szCs w:val="17"/>
        </w:rPr>
        <w:t xml:space="preserve"> </w:t>
      </w:r>
      <w:r w:rsidRPr="009D0395">
        <w:rPr>
          <w:rFonts w:ascii="Times New Roman" w:hAnsi="Times New Roman" w:cs="Times New Roman"/>
          <w:sz w:val="22"/>
          <w:szCs w:val="22"/>
        </w:rPr>
        <w:t>06649).</w:t>
      </w:r>
    </w:p>
    <w:p w:rsidR="009D0395" w:rsidRPr="009D0395" w:rsidP="009D0395">
      <w:pPr>
        <w:pStyle w:val="BodyText"/>
        <w:spacing w:after="0"/>
        <w:ind w:left="425"/>
        <w:rPr>
          <w:rFonts w:ascii="Times New Roman" w:hAnsi="Times New Roman" w:cs="Times New Roman"/>
          <w:sz w:val="22"/>
        </w:rPr>
      </w:pPr>
    </w:p>
    <w:p w:rsidR="009D0395" w:rsidRPr="009D0395" w:rsidP="009D0395">
      <w:pPr>
        <w:numPr>
          <w:ilvl w:val="0"/>
          <w:numId w:val="6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sz w:val="22"/>
        </w:rPr>
      </w:pPr>
      <w:r w:rsidRPr="009D0395">
        <w:rPr>
          <w:rFonts w:ascii="Times New Roman" w:hAnsi="Times New Roman" w:cs="Times New Roman"/>
          <w:b/>
          <w:sz w:val="22"/>
        </w:rPr>
        <w:t>Záväzky Slovenskej republiky vo vzťahu k Európskym spoločenstvám a Európskej únii:</w:t>
      </w:r>
    </w:p>
    <w:p w:rsidR="009D0395" w:rsidRPr="009D0395" w:rsidP="009D0395">
      <w:pPr>
        <w:numPr>
          <w:ilvl w:val="1"/>
          <w:numId w:val="6"/>
        </w:numPr>
        <w:tabs>
          <w:tab w:val="left" w:pos="397"/>
        </w:tabs>
        <w:spacing w:after="120"/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9D0395">
        <w:rPr>
          <w:rFonts w:ascii="Times New Roman" w:hAnsi="Times New Roman" w:cs="Times New Roman"/>
          <w:sz w:val="22"/>
          <w:szCs w:val="22"/>
        </w:rPr>
        <w:t>Lehota na prebratie smerníc podľa určenia gestorských ústredných orgánov štátnej správy zodpovedných za prebratie smerníc: bezpredmetné.</w:t>
      </w:r>
    </w:p>
    <w:p w:rsidR="009D0395" w:rsidRPr="009D0395" w:rsidP="009D0395">
      <w:pPr>
        <w:numPr>
          <w:ilvl w:val="1"/>
          <w:numId w:val="6"/>
        </w:numPr>
        <w:tabs>
          <w:tab w:val="left" w:pos="397"/>
        </w:tabs>
        <w:spacing w:after="120"/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9D0395">
        <w:rPr>
          <w:rFonts w:ascii="Times New Roman" w:hAnsi="Times New Roman" w:cs="Times New Roman"/>
          <w:sz w:val="22"/>
          <w:szCs w:val="22"/>
        </w:rPr>
        <w:t>Proti SR nebolo začaté konanie o porušení Zmluvy o založení Európskych spoločenstiev podľa čl. 226 až 228 Zmluvy o založení Európskych spoločenstiev v platnom znení.</w:t>
      </w:r>
    </w:p>
    <w:p w:rsidR="009D0395" w:rsidRPr="009D0395" w:rsidP="009D0395">
      <w:pPr>
        <w:numPr>
          <w:ilvl w:val="1"/>
          <w:numId w:val="6"/>
        </w:numPr>
        <w:tabs>
          <w:tab w:val="left" w:pos="397"/>
        </w:tabs>
        <w:spacing w:after="120"/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9D0395">
        <w:rPr>
          <w:rFonts w:ascii="Times New Roman" w:hAnsi="Times New Roman" w:cs="Times New Roman"/>
          <w:sz w:val="22"/>
          <w:szCs w:val="22"/>
        </w:rPr>
        <w:t>Bezpredmetné.</w:t>
      </w:r>
    </w:p>
    <w:p w:rsidR="009D0395" w:rsidRPr="009D0395" w:rsidP="009D0395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9D0395" w:rsidRPr="009D0395" w:rsidP="009D0395">
      <w:pPr>
        <w:numPr>
          <w:ilvl w:val="0"/>
          <w:numId w:val="6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sz w:val="22"/>
        </w:rPr>
      </w:pPr>
      <w:r w:rsidRPr="009D0395">
        <w:rPr>
          <w:rFonts w:ascii="Times New Roman" w:hAnsi="Times New Roman" w:cs="Times New Roman"/>
          <w:b/>
          <w:sz w:val="22"/>
        </w:rPr>
        <w:t>Stupeň zlučiteľnosti návrhu zákona s právom Európskych spoločenstiev a právom Európskej únie:</w:t>
      </w:r>
    </w:p>
    <w:p w:rsidR="009D0395" w:rsidRPr="009D0395" w:rsidP="009D0395">
      <w:pPr>
        <w:spacing w:after="120"/>
        <w:ind w:left="360"/>
        <w:jc w:val="both"/>
        <w:rPr>
          <w:rFonts w:ascii="Times New Roman" w:hAnsi="Times New Roman" w:cs="Times New Roman"/>
          <w:bCs/>
          <w:sz w:val="22"/>
        </w:rPr>
      </w:pPr>
      <w:r w:rsidRPr="009D0395">
        <w:rPr>
          <w:rFonts w:ascii="Times New Roman" w:hAnsi="Times New Roman" w:cs="Times New Roman"/>
          <w:bCs/>
          <w:sz w:val="22"/>
        </w:rPr>
        <w:t>Úplný.</w:t>
      </w:r>
    </w:p>
    <w:p w:rsidR="009D0395" w:rsidRPr="009D0395" w:rsidP="009D0395">
      <w:pPr>
        <w:numPr>
          <w:ilvl w:val="0"/>
          <w:numId w:val="6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sz w:val="22"/>
        </w:rPr>
      </w:pPr>
      <w:r w:rsidRPr="009D0395">
        <w:rPr>
          <w:rFonts w:ascii="Times New Roman" w:hAnsi="Times New Roman" w:cs="Times New Roman"/>
          <w:b/>
          <w:sz w:val="22"/>
        </w:rPr>
        <w:t xml:space="preserve">Gestor a spolupracujúce rezorty: </w:t>
      </w:r>
    </w:p>
    <w:p w:rsidR="009D0395" w:rsidRPr="009D0395" w:rsidP="009D0395">
      <w:pPr>
        <w:spacing w:after="120"/>
        <w:ind w:left="360"/>
        <w:jc w:val="both"/>
        <w:rPr>
          <w:rFonts w:ascii="Times New Roman" w:hAnsi="Times New Roman" w:cs="Times New Roman"/>
          <w:b/>
          <w:sz w:val="22"/>
        </w:rPr>
      </w:pPr>
      <w:r w:rsidRPr="009D0395">
        <w:rPr>
          <w:rFonts w:ascii="Times New Roman" w:hAnsi="Times New Roman" w:cs="Times New Roman"/>
          <w:bCs/>
          <w:sz w:val="22"/>
        </w:rPr>
        <w:t>Ministerstvo financií Slovenskej republiky.</w:t>
      </w:r>
    </w:p>
    <w:p w:rsidR="00FB682B" w:rsidRPr="009D0395" w:rsidP="00502B09">
      <w:pPr>
        <w:jc w:val="both"/>
        <w:rPr>
          <w:rFonts w:ascii="Times New Roman" w:hAnsi="Times New Roman" w:cs="Times New Roman"/>
        </w:rPr>
      </w:pPr>
    </w:p>
    <w:p w:rsidR="00E1748C" w:rsidRPr="009D0395" w:rsidP="001C1FC8">
      <w:pPr>
        <w:jc w:val="both"/>
        <w:rPr>
          <w:rFonts w:ascii="Times New Roman" w:hAnsi="Times New Roman" w:cs="Times New Roman"/>
        </w:rPr>
      </w:pPr>
    </w:p>
    <w:p w:rsidR="00E1748C" w:rsidP="001C1FC8">
      <w:pPr>
        <w:jc w:val="both"/>
        <w:rPr>
          <w:rFonts w:ascii="Times New Roman" w:hAnsi="Times New Roman" w:cs="Times New Roman"/>
        </w:rPr>
        <w:sectPr>
          <w:pgSz w:w="11906" w:h="16838"/>
          <w:pgMar w:top="1417" w:right="1417" w:bottom="1417" w:left="1417" w:header="708" w:footer="708" w:gutter="0"/>
          <w:cols w:space="708"/>
          <w:bidi w:val="0"/>
          <w:docGrid w:linePitch="360"/>
        </w:sectPr>
      </w:pPr>
    </w:p>
    <w:p w:rsidR="00E1748C" w:rsidP="001C1FC8">
      <w:pPr>
        <w:jc w:val="both"/>
        <w:rPr>
          <w:rFonts w:ascii="Times New Roman" w:hAnsi="Times New Roman" w:cs="Times New Roman"/>
        </w:rPr>
      </w:pPr>
    </w:p>
    <w:p w:rsidR="001C1FC8" w:rsidRPr="001C1FC8" w:rsidP="001C1FC8">
      <w:pPr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libri">
    <w:altName w:val="Century Gothic"/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6BA9"/>
    <w:multiLevelType w:val="hybridMultilevel"/>
    <w:tmpl w:val="35E4E048"/>
    <w:lvl w:ilvl="0">
      <w:start w:val="2"/>
      <w:numFmt w:val="lowerLetter"/>
      <w:lvlText w:val="%1)"/>
      <w:lvlJc w:val="left"/>
      <w:pPr>
        <w:tabs>
          <w:tab w:val="num" w:pos="570"/>
        </w:tabs>
        <w:ind w:left="570" w:hanging="39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25752E6"/>
    <w:multiLevelType w:val="hybridMultilevel"/>
    <w:tmpl w:val="2412306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">
    <w:nsid w:val="40361249"/>
    <w:multiLevelType w:val="hybridMultilevel"/>
    <w:tmpl w:val="B8D673C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DF5C16"/>
    <w:multiLevelType w:val="hybridMultilevel"/>
    <w:tmpl w:val="5AC4A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0"/>
      <w:numFmt w:val="bullet"/>
      <w:lvlText w:val="-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F16696"/>
    <w:multiLevelType w:val="hybridMultilevel"/>
    <w:tmpl w:val="A15CBAA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850394"/>
    <w:multiLevelType w:val="hybridMultilevel"/>
    <w:tmpl w:val="7C60E61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6">
    <w:nsid w:val="5C9B77D4"/>
    <w:multiLevelType w:val="multilevel"/>
    <w:tmpl w:val="4FC83E9A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b/>
        <w:rtl w:val="0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850" w:hanging="425"/>
      </w:pPr>
    </w:lvl>
    <w:lvl w:ilvl="2">
      <w:start w:val="1"/>
      <w:numFmt w:val="decimal"/>
      <w:lvlText w:val="%3.)"/>
      <w:lvlJc w:val="left"/>
      <w:pPr>
        <w:tabs>
          <w:tab w:val="num" w:pos="0"/>
        </w:tabs>
        <w:ind w:left="1275" w:hanging="425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3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691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99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7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5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3" w:hanging="708"/>
      </w:pPr>
    </w:lvl>
  </w:abstractNum>
  <w:abstractNum w:abstractNumId="7">
    <w:nsid w:val="6D94119F"/>
    <w:multiLevelType w:val="multilevel"/>
    <w:tmpl w:val="4AC4B6B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rtl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rtl w:val="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  <w:rtl w:val="0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</w:abstractNum>
  <w:abstractNum w:abstractNumId="8">
    <w:nsid w:val="74884D43"/>
    <w:multiLevelType w:val="hybridMultilevel"/>
    <w:tmpl w:val="890E4C4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9">
    <w:nsid w:val="766C655F"/>
    <w:multiLevelType w:val="hybridMultilevel"/>
    <w:tmpl w:val="1BEC9A9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04B5"/>
    <w:rsid w:val="000B344A"/>
    <w:rsid w:val="001C1FC8"/>
    <w:rsid w:val="001C2353"/>
    <w:rsid w:val="00253B2A"/>
    <w:rsid w:val="00371B88"/>
    <w:rsid w:val="003C5382"/>
    <w:rsid w:val="003E2CA7"/>
    <w:rsid w:val="00412AF0"/>
    <w:rsid w:val="004A3C84"/>
    <w:rsid w:val="00502B09"/>
    <w:rsid w:val="00525525"/>
    <w:rsid w:val="005572CC"/>
    <w:rsid w:val="00612B6F"/>
    <w:rsid w:val="0075420E"/>
    <w:rsid w:val="0087614A"/>
    <w:rsid w:val="009A4A2B"/>
    <w:rsid w:val="009D0395"/>
    <w:rsid w:val="00A577D7"/>
    <w:rsid w:val="00AE1188"/>
    <w:rsid w:val="00E1748C"/>
    <w:rsid w:val="00E71428"/>
    <w:rsid w:val="00E93734"/>
    <w:rsid w:val="00FB682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4">
    <w:name w:val="heading 4"/>
    <w:basedOn w:val="Normal"/>
    <w:next w:val="Normal"/>
    <w:qFormat/>
    <w:rsid w:val="006149E1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paragraph" w:styleId="NormalWeb">
    <w:name w:val="Normal (Web)"/>
    <w:basedOn w:val="Normal"/>
    <w:rsid w:val="001C4C91"/>
    <w:pPr>
      <w:spacing w:before="100" w:beforeAutospacing="1" w:after="100" w:afterAutospacing="1"/>
      <w:jc w:val="left"/>
    </w:pPr>
    <w:rPr>
      <w:lang w:val="en-US"/>
    </w:rPr>
  </w:style>
  <w:style w:type="paragraph" w:styleId="Title">
    <w:name w:val="Title"/>
    <w:basedOn w:val="Normal"/>
    <w:qFormat/>
    <w:rsid w:val="009D0395"/>
    <w:pPr>
      <w:jc w:val="center"/>
    </w:pPr>
    <w:rPr>
      <w:b/>
      <w:bCs/>
    </w:rPr>
  </w:style>
  <w:style w:type="paragraph" w:styleId="BodyText">
    <w:name w:val="Body Text"/>
    <w:basedOn w:val="Normal"/>
    <w:rsid w:val="009D0395"/>
    <w:pPr>
      <w:spacing w:after="120"/>
      <w:jc w:val="left"/>
    </w:pPr>
  </w:style>
  <w:style w:type="paragraph" w:customStyle="1" w:styleId="Normlnywebov8">
    <w:name w:val="Normálny (webový)8"/>
    <w:basedOn w:val="Normal"/>
    <w:rsid w:val="009D0395"/>
    <w:pPr>
      <w:spacing w:before="75" w:after="75"/>
      <w:ind w:left="225" w:right="225"/>
      <w:jc w:val="left"/>
    </w:pPr>
    <w:rPr>
      <w:sz w:val="22"/>
      <w:szCs w:val="22"/>
    </w:rPr>
  </w:style>
  <w:style w:type="character" w:styleId="Emphasis">
    <w:name w:val="Emphasis"/>
    <w:basedOn w:val="DefaultParagraphFont"/>
    <w:qFormat/>
    <w:rsid w:val="009D0395"/>
    <w:rPr>
      <w:i/>
      <w:iCs/>
      <w:rtl w:val="0"/>
    </w:rPr>
  </w:style>
  <w:style w:type="paragraph" w:customStyle="1" w:styleId="Zkladntext">
    <w:name w:val="Základní text"/>
    <w:rsid w:val="009D0395"/>
    <w:pPr>
      <w:widowControl w:val="0"/>
      <w:autoSpaceDE w:val="0"/>
      <w:autoSpaceDN w:val="0"/>
      <w:bidi w:val="0"/>
      <w:adjustRightInd w:val="0"/>
      <w:snapToGrid w:val="0"/>
      <w:ind w:left="0" w:right="0"/>
      <w:jc w:val="left"/>
      <w:textAlignment w:val="auto"/>
    </w:pPr>
    <w:rPr>
      <w:color w:val="000000"/>
      <w:sz w:val="24"/>
      <w:szCs w:val="20"/>
      <w:rtl w:val="0"/>
      <w:lang w:val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1140</Words>
  <Characters>6503</Characters>
  <Application>Microsoft Office Word</Application>
  <DocSecurity>0</DocSecurity>
  <Lines>0</Lines>
  <Paragraphs>0</Paragraphs>
  <ScaleCrop>false</ScaleCrop>
  <Company>Kancelaria NR SR</Company>
  <LinksUpToDate>false</LinksUpToDate>
  <CharactersWithSpaces>7628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Odbor IT</dc:creator>
  <cp:lastModifiedBy>Ivan_Miklos</cp:lastModifiedBy>
  <cp:revision>2</cp:revision>
  <cp:lastPrinted>2009-08-21T06:45:00Z</cp:lastPrinted>
  <dcterms:created xsi:type="dcterms:W3CDTF">2009-08-21T06:48:00Z</dcterms:created>
  <dcterms:modified xsi:type="dcterms:W3CDTF">2009-08-21T06:48:00Z</dcterms:modified>
</cp:coreProperties>
</file>