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80A1F">
      <w:pPr>
        <w:pStyle w:val="Heading1"/>
        <w:spacing w:line="240" w:lineRule="auto"/>
        <w:ind w:firstLine="540"/>
        <w:rPr>
          <w:rFonts w:ascii="Times New Roman" w:hAnsi="Times New Roman" w:cs="Times New Roman"/>
          <w:b w:val="0"/>
          <w:bCs/>
          <w:i/>
          <w:iCs/>
        </w:rPr>
      </w:pPr>
      <w:r>
        <w:rPr>
          <w:rFonts w:ascii="Times New Roman" w:hAnsi="Times New Roman" w:cs="Times New Roman"/>
          <w:b w:val="0"/>
          <w:bCs/>
          <w:i/>
          <w:iCs/>
        </w:rPr>
        <w:t xml:space="preserve">             Výbor</w:t>
      </w:r>
    </w:p>
    <w:p w:rsidR="00280A1F">
      <w:pPr>
        <w:jc w:val="both"/>
        <w:rPr>
          <w:rFonts w:ascii="Times New Roman" w:hAnsi="Times New Roman" w:cs="Times New Roman"/>
          <w:i/>
        </w:rPr>
      </w:pPr>
      <w:r>
        <w:rPr>
          <w:rFonts w:ascii="Times New Roman" w:hAnsi="Times New Roman" w:cs="Times New Roman"/>
          <w:i/>
        </w:rPr>
        <w:t>Národnej rady Slovenskej republiky</w:t>
      </w:r>
    </w:p>
    <w:p w:rsidR="0092525D">
      <w:pPr>
        <w:jc w:val="both"/>
        <w:rPr>
          <w:rFonts w:ascii="Times New Roman" w:hAnsi="Times New Roman" w:cs="Times New Roman"/>
        </w:rPr>
      </w:pPr>
      <w:r w:rsidR="00280A1F">
        <w:rPr>
          <w:rFonts w:ascii="Times New Roman" w:hAnsi="Times New Roman" w:cs="Times New Roman"/>
        </w:rPr>
        <w:t xml:space="preserve"> </w:t>
      </w:r>
      <w:r w:rsidR="00653A77">
        <w:rPr>
          <w:rFonts w:ascii="Times New Roman" w:hAnsi="Times New Roman" w:cs="Times New Roman"/>
        </w:rPr>
        <w:t xml:space="preserve">     </w:t>
      </w:r>
      <w:r w:rsidR="00280A1F">
        <w:rPr>
          <w:rFonts w:ascii="Times New Roman" w:hAnsi="Times New Roman" w:cs="Times New Roman"/>
          <w:i/>
        </w:rPr>
        <w:t xml:space="preserve">pre </w:t>
      </w:r>
      <w:r w:rsidR="00653A77">
        <w:rPr>
          <w:rFonts w:ascii="Times New Roman" w:hAnsi="Times New Roman" w:cs="Times New Roman"/>
          <w:i/>
        </w:rPr>
        <w:t>hospodársku politiku</w:t>
      </w:r>
      <w:r w:rsidR="00280A1F">
        <w:rPr>
          <w:rFonts w:ascii="Times New Roman" w:hAnsi="Times New Roman" w:cs="Times New Roman"/>
        </w:rPr>
        <w:t xml:space="preserve">        </w:t>
      </w:r>
    </w:p>
    <w:p w:rsidR="00280A1F">
      <w:pPr>
        <w:jc w:val="both"/>
        <w:rPr>
          <w:rFonts w:ascii="Times New Roman" w:hAnsi="Times New Roman" w:cs="Times New Roman"/>
        </w:rPr>
      </w:pPr>
      <w:r>
        <w:rPr>
          <w:rFonts w:ascii="Times New Roman" w:hAnsi="Times New Roman" w:cs="Times New Roman"/>
        </w:rPr>
        <w:t xml:space="preserve">      </w:t>
      </w:r>
    </w:p>
    <w:p w:rsidR="00280A1F">
      <w:pPr>
        <w:jc w:val="both"/>
        <w:rPr>
          <w:rFonts w:ascii="Times New Roman" w:hAnsi="Times New Roman" w:cs="Times New Roman"/>
        </w:rPr>
      </w:pPr>
      <w:r>
        <w:rPr>
          <w:rFonts w:ascii="Times New Roman" w:hAnsi="Times New Roman" w:cs="Times New Roman"/>
        </w:rPr>
        <w:t xml:space="preserve">                                                                                                                     </w:t>
      </w:r>
      <w:r w:rsidR="00AE2ED9">
        <w:rPr>
          <w:rFonts w:ascii="Times New Roman" w:hAnsi="Times New Roman" w:cs="Times New Roman"/>
        </w:rPr>
        <w:t>72</w:t>
      </w:r>
      <w:r>
        <w:rPr>
          <w:rFonts w:ascii="Times New Roman" w:hAnsi="Times New Roman" w:cs="Times New Roman"/>
        </w:rPr>
        <w:t>. schôdza výboru</w:t>
      </w:r>
    </w:p>
    <w:p w:rsidR="00F60959" w:rsidP="00F60959">
      <w:pPr>
        <w:jc w:val="center"/>
        <w:rPr>
          <w:rFonts w:ascii="Times New Roman" w:hAnsi="Times New Roman" w:cs="Times New Roman"/>
        </w:rPr>
      </w:pPr>
    </w:p>
    <w:p w:rsidR="009B65A5">
      <w:pPr>
        <w:jc w:val="center"/>
        <w:rPr>
          <w:rFonts w:ascii="Times New Roman" w:hAnsi="Times New Roman" w:cs="Times New Roman"/>
          <w:b/>
          <w:sz w:val="32"/>
          <w:szCs w:val="28"/>
        </w:rPr>
      </w:pPr>
    </w:p>
    <w:p w:rsidR="0092525D" w:rsidRPr="001D6A69" w:rsidP="001D6A69">
      <w:pPr>
        <w:jc w:val="center"/>
        <w:rPr>
          <w:rFonts w:ascii="Times New Roman" w:hAnsi="Times New Roman" w:cs="Times New Roman"/>
        </w:rPr>
      </w:pPr>
    </w:p>
    <w:p w:rsidR="00E34E6B" w:rsidP="00E34E6B">
      <w:pPr>
        <w:jc w:val="center"/>
        <w:rPr>
          <w:rFonts w:ascii="Times New Roman" w:hAnsi="Times New Roman" w:cs="Times New Roman"/>
          <w:b/>
          <w:sz w:val="32"/>
          <w:szCs w:val="28"/>
        </w:rPr>
      </w:pPr>
      <w:r w:rsidR="001D6A69">
        <w:rPr>
          <w:rFonts w:ascii="Times New Roman" w:hAnsi="Times New Roman" w:cs="Times New Roman"/>
          <w:b/>
          <w:sz w:val="32"/>
          <w:szCs w:val="28"/>
        </w:rPr>
        <w:t>524</w:t>
      </w:r>
    </w:p>
    <w:p w:rsidR="00280A1F" w:rsidRPr="00AE7475" w:rsidP="00E34E6B">
      <w:pPr>
        <w:jc w:val="center"/>
        <w:rPr>
          <w:rFonts w:ascii="Times New Roman" w:hAnsi="Times New Roman" w:cs="Times New Roman"/>
          <w:sz w:val="28"/>
          <w:szCs w:val="28"/>
        </w:rPr>
      </w:pPr>
      <w:r w:rsidRPr="00AE7475">
        <w:rPr>
          <w:rFonts w:ascii="Times New Roman" w:hAnsi="Times New Roman" w:cs="Times New Roman"/>
          <w:sz w:val="28"/>
          <w:szCs w:val="28"/>
        </w:rPr>
        <w:t>U z n e s e n i</w:t>
      </w:r>
      <w:r w:rsidRPr="00AE7475" w:rsidR="00653A77">
        <w:rPr>
          <w:rFonts w:ascii="Times New Roman" w:hAnsi="Times New Roman" w:cs="Times New Roman"/>
          <w:sz w:val="28"/>
          <w:szCs w:val="28"/>
        </w:rPr>
        <w:t> </w:t>
      </w:r>
      <w:r w:rsidRPr="00AE7475">
        <w:rPr>
          <w:rFonts w:ascii="Times New Roman" w:hAnsi="Times New Roman" w:cs="Times New Roman"/>
          <w:sz w:val="28"/>
          <w:szCs w:val="28"/>
        </w:rPr>
        <w:t>e</w:t>
      </w:r>
    </w:p>
    <w:p w:rsidR="00280A1F">
      <w:pPr>
        <w:jc w:val="center"/>
        <w:rPr>
          <w:rFonts w:ascii="Times New Roman" w:hAnsi="Times New Roman" w:cs="Times New Roman"/>
          <w:b/>
        </w:rPr>
      </w:pPr>
      <w:r>
        <w:rPr>
          <w:rFonts w:ascii="Times New Roman" w:hAnsi="Times New Roman" w:cs="Times New Roman"/>
          <w:b/>
        </w:rPr>
        <w:t>Výboru Národnej rady Slovenskej republiky</w:t>
      </w:r>
    </w:p>
    <w:p w:rsidR="00280A1F">
      <w:pPr>
        <w:jc w:val="center"/>
        <w:rPr>
          <w:rFonts w:ascii="Times New Roman" w:hAnsi="Times New Roman" w:cs="Times New Roman"/>
          <w:b/>
        </w:rPr>
      </w:pPr>
      <w:r>
        <w:rPr>
          <w:rFonts w:ascii="Times New Roman" w:hAnsi="Times New Roman" w:cs="Times New Roman"/>
          <w:b/>
        </w:rPr>
        <w:t xml:space="preserve">pre </w:t>
      </w:r>
      <w:r w:rsidR="004D5684">
        <w:rPr>
          <w:rFonts w:ascii="Times New Roman" w:hAnsi="Times New Roman" w:cs="Times New Roman"/>
          <w:b/>
        </w:rPr>
        <w:t>hospodársku politiku</w:t>
      </w:r>
    </w:p>
    <w:p w:rsidR="00280A1F" w:rsidRPr="006761D8">
      <w:pPr>
        <w:jc w:val="center"/>
        <w:rPr>
          <w:rFonts w:ascii="Times New Roman" w:hAnsi="Times New Roman" w:cs="Times New Roman"/>
        </w:rPr>
      </w:pPr>
      <w:r w:rsidR="007A4E92">
        <w:rPr>
          <w:rFonts w:ascii="Times New Roman" w:hAnsi="Times New Roman" w:cs="Times New Roman"/>
        </w:rPr>
        <w:t>z</w:t>
      </w:r>
      <w:r w:rsidR="00D537BF">
        <w:rPr>
          <w:rFonts w:ascii="Times New Roman" w:hAnsi="Times New Roman" w:cs="Times New Roman"/>
        </w:rPr>
        <w:t> </w:t>
      </w:r>
      <w:r w:rsidR="001D6A69">
        <w:rPr>
          <w:rFonts w:ascii="Times New Roman" w:hAnsi="Times New Roman" w:cs="Times New Roman"/>
        </w:rPr>
        <w:t>09</w:t>
      </w:r>
      <w:r w:rsidR="00D537BF">
        <w:rPr>
          <w:rFonts w:ascii="Times New Roman" w:hAnsi="Times New Roman" w:cs="Times New Roman"/>
        </w:rPr>
        <w:t xml:space="preserve">. </w:t>
      </w:r>
      <w:r w:rsidR="00AE2ED9">
        <w:rPr>
          <w:rFonts w:ascii="Times New Roman" w:hAnsi="Times New Roman" w:cs="Times New Roman"/>
        </w:rPr>
        <w:t>júna</w:t>
      </w:r>
      <w:r w:rsidR="00D537BF">
        <w:rPr>
          <w:rFonts w:ascii="Times New Roman" w:hAnsi="Times New Roman" w:cs="Times New Roman"/>
        </w:rPr>
        <w:t xml:space="preserve"> 200</w:t>
      </w:r>
      <w:r w:rsidR="00185D06">
        <w:rPr>
          <w:rFonts w:ascii="Times New Roman" w:hAnsi="Times New Roman" w:cs="Times New Roman"/>
        </w:rPr>
        <w:t>9</w:t>
      </w:r>
    </w:p>
    <w:p w:rsidR="00280A1F" w:rsidRPr="005806FB">
      <w:pPr>
        <w:rPr>
          <w:rFonts w:ascii="Times New Roman" w:hAnsi="Times New Roman" w:cs="Times New Roman"/>
          <w:u w:val="single"/>
        </w:rPr>
      </w:pPr>
    </w:p>
    <w:p w:rsidR="00280A1F">
      <w:pPr>
        <w:pStyle w:val="BodyTextIndent"/>
        <w:ind w:firstLine="540"/>
        <w:rPr>
          <w:rFonts w:ascii="Times New Roman" w:hAnsi="Times New Roman" w:cs="Times New Roman"/>
          <w:b/>
          <w:bCs/>
          <w:color w:val="auto"/>
          <w:lang w:val="sk-SK"/>
        </w:rPr>
      </w:pPr>
      <w:r>
        <w:rPr>
          <w:rFonts w:ascii="Times New Roman" w:hAnsi="Times New Roman" w:cs="Times New Roman"/>
          <w:b/>
          <w:bCs/>
          <w:color w:val="auto"/>
          <w:lang w:val="sk-SK"/>
        </w:rPr>
        <w:t xml:space="preserve">Výbor Národnej rady Slovenskej republiky </w:t>
      </w:r>
    </w:p>
    <w:p w:rsidR="00280A1F">
      <w:pPr>
        <w:pStyle w:val="BodyTextIndent"/>
        <w:rPr>
          <w:rFonts w:ascii="Times New Roman" w:hAnsi="Times New Roman" w:cs="Times New Roman"/>
          <w:color w:val="auto"/>
          <w:lang w:val="sk-SK"/>
        </w:rPr>
      </w:pPr>
      <w:r>
        <w:rPr>
          <w:rFonts w:ascii="Times New Roman" w:hAnsi="Times New Roman" w:cs="Times New Roman"/>
          <w:b/>
          <w:bCs/>
          <w:color w:val="auto"/>
          <w:lang w:val="sk-SK"/>
        </w:rPr>
        <w:t xml:space="preserve">pre </w:t>
      </w:r>
      <w:r w:rsidR="004D5684">
        <w:rPr>
          <w:rFonts w:ascii="Times New Roman" w:hAnsi="Times New Roman" w:cs="Times New Roman"/>
          <w:b/>
          <w:bCs/>
          <w:color w:val="auto"/>
          <w:lang w:val="sk-SK"/>
        </w:rPr>
        <w:t>hospodársku politiku</w:t>
      </w:r>
      <w:r>
        <w:rPr>
          <w:rFonts w:ascii="Times New Roman" w:hAnsi="Times New Roman" w:cs="Times New Roman"/>
          <w:color w:val="auto"/>
          <w:lang w:val="sk-SK"/>
        </w:rPr>
        <w:t xml:space="preserve">   </w:t>
      </w:r>
    </w:p>
    <w:p w:rsidR="00280A1F" w:rsidRPr="00633B93">
      <w:pPr>
        <w:pStyle w:val="BodyTextIndent"/>
        <w:rPr>
          <w:rFonts w:ascii="Times New Roman" w:hAnsi="Times New Roman" w:cs="Times New Roman"/>
          <w:color w:val="auto"/>
          <w:lang w:val="sk-SK"/>
        </w:rPr>
      </w:pPr>
    </w:p>
    <w:p w:rsidR="00280A1F" w:rsidRPr="00D537BF" w:rsidP="00EE5E09">
      <w:pPr>
        <w:pStyle w:val="BodyTextIndent2"/>
        <w:ind w:firstLine="540"/>
        <w:rPr>
          <w:rFonts w:cs="Times New Roman"/>
          <w:color w:val="auto"/>
        </w:rPr>
      </w:pPr>
      <w:r w:rsidRPr="00633B93" w:rsidR="00BF642A">
        <w:rPr>
          <w:rFonts w:cs="Times New Roman"/>
          <w:color w:val="auto"/>
        </w:rPr>
        <w:t xml:space="preserve">prerokoval </w:t>
      </w:r>
      <w:r w:rsidRPr="00633B93" w:rsidR="001D047B">
        <w:rPr>
          <w:rFonts w:cs="Times New Roman"/>
          <w:color w:val="auto"/>
        </w:rPr>
        <w:t xml:space="preserve">vládny </w:t>
      </w:r>
      <w:r w:rsidRPr="00633B93" w:rsidR="00A92571">
        <w:rPr>
          <w:rFonts w:cs="Times New Roman"/>
          <w:color w:val="auto"/>
        </w:rPr>
        <w:t xml:space="preserve">návrh </w:t>
      </w:r>
      <w:r w:rsidRPr="0068068E" w:rsidR="0068068E">
        <w:rPr>
          <w:rFonts w:cs="Times New Roman"/>
          <w:color w:val="auto"/>
        </w:rPr>
        <w:t xml:space="preserve">zákona, ktorým sa mení a dopĺňa zákon č. 223/2001 Z.z. o odpadoch  a o zmene a doplnení niektorých zákonov v znení neskorších predpisov (tlač </w:t>
      </w:r>
      <w:r w:rsidRPr="0068068E" w:rsidR="0068068E">
        <w:rPr>
          <w:rFonts w:cs="Times New Roman"/>
          <w:b/>
          <w:color w:val="auto"/>
        </w:rPr>
        <w:t>1022</w:t>
      </w:r>
      <w:r w:rsidRPr="0068068E" w:rsidR="0068068E">
        <w:rPr>
          <w:rFonts w:cs="Times New Roman"/>
          <w:color w:val="auto"/>
        </w:rPr>
        <w:t>)</w:t>
      </w:r>
      <w:r w:rsidRPr="00D537BF">
        <w:rPr>
          <w:rFonts w:cs="Times New Roman"/>
          <w:color w:val="auto"/>
        </w:rPr>
        <w:t xml:space="preserve"> a </w:t>
      </w:r>
    </w:p>
    <w:p w:rsidR="00280A1F" w:rsidRPr="00D537BF">
      <w:pPr>
        <w:jc w:val="both"/>
        <w:rPr>
          <w:rFonts w:ascii="Times New Roman" w:hAnsi="Times New Roman" w:cs="Times New Roman"/>
        </w:rPr>
      </w:pPr>
    </w:p>
    <w:p w:rsidR="00EE5E09" w:rsidP="00EE5E09">
      <w:pPr>
        <w:pStyle w:val="Heading4"/>
        <w:numPr>
          <w:ilvl w:val="0"/>
          <w:numId w:val="21"/>
        </w:numPr>
        <w:tabs>
          <w:tab w:val="left" w:pos="900"/>
        </w:tabs>
        <w:rPr>
          <w:rFonts w:ascii="Times New Roman" w:hAnsi="Times New Roman" w:cs="Times New Roman"/>
          <w:color w:val="auto"/>
          <w:lang w:val="sk-SK"/>
        </w:rPr>
      </w:pPr>
      <w:r>
        <w:rPr>
          <w:rFonts w:ascii="Times New Roman" w:hAnsi="Times New Roman" w:cs="Times New Roman"/>
          <w:color w:val="auto"/>
          <w:lang w:val="sk-SK"/>
        </w:rPr>
        <w:t>s ú h l a s í</w:t>
      </w:r>
    </w:p>
    <w:p w:rsidR="00EE5E09" w:rsidP="00EE5E09">
      <w:pPr>
        <w:pStyle w:val="BodyTextIndent2"/>
        <w:ind w:firstLine="540"/>
        <w:rPr>
          <w:rFonts w:cs="Times New Roman"/>
          <w:color w:val="auto"/>
        </w:rPr>
      </w:pPr>
    </w:p>
    <w:p w:rsidR="00280A1F" w:rsidRPr="00D537BF" w:rsidP="00EE5E09">
      <w:pPr>
        <w:pStyle w:val="BodyTextIndent2"/>
        <w:ind w:firstLine="540"/>
        <w:rPr>
          <w:rFonts w:cs="Times New Roman"/>
          <w:color w:val="auto"/>
        </w:rPr>
      </w:pPr>
      <w:r w:rsidRPr="00D537BF" w:rsidR="00697C8D">
        <w:rPr>
          <w:rFonts w:cs="Times New Roman"/>
          <w:color w:val="auto"/>
        </w:rPr>
        <w:t xml:space="preserve">s </w:t>
      </w:r>
      <w:r w:rsidRPr="00D537BF" w:rsidR="001D047B">
        <w:rPr>
          <w:rFonts w:cs="Times New Roman"/>
          <w:color w:val="auto"/>
        </w:rPr>
        <w:t xml:space="preserve">vládnym návrhom </w:t>
      </w:r>
      <w:r w:rsidRPr="0068068E" w:rsidR="0068068E">
        <w:rPr>
          <w:rFonts w:cs="Times New Roman"/>
          <w:color w:val="auto"/>
        </w:rPr>
        <w:t xml:space="preserve">zákona, ktorým sa mení a dopĺňa zákon č. 223/2001 Z.z. o odpadoch  a o zmene a doplnení niektorých zákonov v znení neskorších predpisov (tlač </w:t>
      </w:r>
      <w:r w:rsidRPr="0068068E" w:rsidR="0068068E">
        <w:rPr>
          <w:rFonts w:cs="Times New Roman"/>
          <w:b/>
          <w:color w:val="auto"/>
        </w:rPr>
        <w:t>1022</w:t>
      </w:r>
      <w:r w:rsidRPr="0068068E" w:rsidR="0068068E">
        <w:rPr>
          <w:rFonts w:cs="Times New Roman"/>
          <w:color w:val="auto"/>
        </w:rPr>
        <w:t>)</w:t>
      </w:r>
      <w:r w:rsidRPr="00D537BF">
        <w:rPr>
          <w:rFonts w:cs="Times New Roman"/>
          <w:color w:val="auto"/>
        </w:rPr>
        <w:t xml:space="preserve">; </w:t>
      </w:r>
    </w:p>
    <w:p w:rsidR="00280A1F">
      <w:pPr>
        <w:jc w:val="both"/>
        <w:rPr>
          <w:rFonts w:ascii="Times New Roman" w:hAnsi="Times New Roman" w:cs="Times New Roman"/>
        </w:rPr>
      </w:pPr>
    </w:p>
    <w:p w:rsidR="00280A1F" w:rsidP="00EE5E09">
      <w:pPr>
        <w:pStyle w:val="Heading4"/>
        <w:numPr>
          <w:ilvl w:val="0"/>
          <w:numId w:val="20"/>
        </w:numPr>
        <w:tabs>
          <w:tab w:val="left" w:pos="900"/>
        </w:tabs>
        <w:rPr>
          <w:rFonts w:ascii="Times New Roman" w:hAnsi="Times New Roman" w:cs="Times New Roman"/>
          <w:color w:val="auto"/>
          <w:lang w:val="sk-SK"/>
        </w:rPr>
      </w:pPr>
      <w:r w:rsidR="00EE5E09">
        <w:rPr>
          <w:rFonts w:ascii="Times New Roman" w:hAnsi="Times New Roman" w:cs="Times New Roman"/>
          <w:color w:val="auto"/>
          <w:lang w:val="sk-SK"/>
        </w:rPr>
        <w:t>o</w:t>
      </w:r>
      <w:r>
        <w:rPr>
          <w:rFonts w:ascii="Times New Roman" w:hAnsi="Times New Roman" w:cs="Times New Roman"/>
          <w:color w:val="auto"/>
          <w:lang w:val="sk-SK"/>
        </w:rPr>
        <w:t xml:space="preserve"> d p o r ú č a</w:t>
      </w:r>
    </w:p>
    <w:p w:rsidR="00280A1F" w:rsidP="00EE5E09">
      <w:pPr>
        <w:pStyle w:val="Heading1"/>
        <w:spacing w:line="240" w:lineRule="auto"/>
        <w:ind w:left="900"/>
        <w:rPr>
          <w:rFonts w:ascii="Times New Roman" w:hAnsi="Times New Roman" w:cs="Times New Roman"/>
          <w:bCs/>
        </w:rPr>
      </w:pPr>
      <w:r>
        <w:rPr>
          <w:rFonts w:ascii="Times New Roman" w:hAnsi="Times New Roman" w:cs="Times New Roman"/>
          <w:bCs/>
        </w:rPr>
        <w:t>Národnej rade Slovenskej republiky</w:t>
      </w:r>
    </w:p>
    <w:p w:rsidR="00280A1F">
      <w:pPr>
        <w:jc w:val="both"/>
        <w:rPr>
          <w:rFonts w:ascii="Times New Roman" w:hAnsi="Times New Roman" w:cs="Times New Roman"/>
        </w:rPr>
      </w:pPr>
    </w:p>
    <w:p w:rsidR="00280A1F" w:rsidRPr="00DF0F5B" w:rsidP="00EE5E09">
      <w:pPr>
        <w:pStyle w:val="BodyTextIndent2"/>
        <w:ind w:firstLine="540"/>
        <w:rPr>
          <w:rFonts w:cs="Times New Roman"/>
          <w:color w:val="auto"/>
        </w:rPr>
      </w:pPr>
      <w:r w:rsidRPr="00D537BF" w:rsidR="001D047B">
        <w:rPr>
          <w:rFonts w:cs="Times New Roman"/>
          <w:color w:val="auto"/>
        </w:rPr>
        <w:t xml:space="preserve">vládny návrh </w:t>
      </w:r>
      <w:r w:rsidRPr="0068068E" w:rsidR="0068068E">
        <w:rPr>
          <w:rFonts w:cs="Times New Roman"/>
          <w:color w:val="auto"/>
        </w:rPr>
        <w:t xml:space="preserve">zákona, ktorým sa mení a dopĺňa zákon č. 223/2001 Z.z. o odpadoch  a o zmene a doplnení niektorých zákonov v znení neskorších predpisov (tlač </w:t>
      </w:r>
      <w:r w:rsidRPr="0068068E" w:rsidR="0068068E">
        <w:rPr>
          <w:rFonts w:cs="Times New Roman"/>
          <w:b/>
          <w:color w:val="auto"/>
        </w:rPr>
        <w:t>1022</w:t>
      </w:r>
      <w:r w:rsidRPr="0068068E" w:rsidR="0068068E">
        <w:rPr>
          <w:rFonts w:cs="Times New Roman"/>
          <w:color w:val="auto"/>
        </w:rPr>
        <w:t>)</w:t>
      </w:r>
      <w:r w:rsidR="0068068E">
        <w:rPr>
          <w:rFonts w:cs="Times New Roman"/>
          <w:color w:val="auto"/>
        </w:rPr>
        <w:t xml:space="preserve"> </w:t>
      </w:r>
      <w:r w:rsidRPr="00DF0F5B" w:rsidR="008B1C1C">
        <w:rPr>
          <w:rFonts w:cs="Times New Roman"/>
          <w:color w:val="auto"/>
        </w:rPr>
        <w:t>s</w:t>
      </w:r>
      <w:r w:rsidRPr="00DF0F5B" w:rsidR="008B1C1C">
        <w:rPr>
          <w:rFonts w:cs="Times New Roman"/>
          <w:bCs/>
          <w:color w:val="auto"/>
        </w:rPr>
        <w:t>chváliť so zmenami a doplnkami uvedenými v prílohe tohto uznesenia</w:t>
      </w:r>
      <w:r w:rsidRPr="00DF0F5B">
        <w:rPr>
          <w:rFonts w:cs="Times New Roman"/>
          <w:bCs/>
          <w:color w:val="auto"/>
        </w:rPr>
        <w:t xml:space="preserve">; </w:t>
      </w:r>
    </w:p>
    <w:p w:rsidR="00280A1F" w:rsidRPr="003866A6">
      <w:pPr>
        <w:ind w:firstLine="360"/>
        <w:jc w:val="both"/>
        <w:rPr>
          <w:rFonts w:ascii="Times New Roman" w:hAnsi="Times New Roman" w:cs="Times New Roman"/>
          <w:u w:val="single"/>
        </w:rPr>
      </w:pPr>
    </w:p>
    <w:p w:rsidR="00280A1F" w:rsidP="00EE5E09">
      <w:pPr>
        <w:pStyle w:val="Heading4"/>
        <w:numPr>
          <w:ilvl w:val="0"/>
          <w:numId w:val="20"/>
        </w:numPr>
        <w:tabs>
          <w:tab w:val="left" w:pos="900"/>
        </w:tabs>
        <w:rPr>
          <w:rFonts w:ascii="Times New Roman" w:hAnsi="Times New Roman" w:cs="Times New Roman"/>
          <w:color w:val="auto"/>
          <w:lang w:val="sk-SK"/>
        </w:rPr>
      </w:pPr>
      <w:r>
        <w:rPr>
          <w:rFonts w:ascii="Times New Roman" w:hAnsi="Times New Roman" w:cs="Times New Roman"/>
          <w:color w:val="auto"/>
          <w:lang w:val="sk-SK"/>
        </w:rPr>
        <w:t>u k l a d á</w:t>
      </w:r>
    </w:p>
    <w:p w:rsidR="00280A1F">
      <w:pPr>
        <w:jc w:val="both"/>
        <w:rPr>
          <w:rFonts w:ascii="Times New Roman" w:hAnsi="Times New Roman" w:cs="Times New Roman"/>
          <w:b/>
        </w:rPr>
      </w:pPr>
    </w:p>
    <w:p w:rsidR="00280A1F" w:rsidP="009923D8">
      <w:pPr>
        <w:tabs>
          <w:tab w:val="left" w:pos="1080"/>
        </w:tabs>
        <w:jc w:val="both"/>
        <w:rPr>
          <w:rFonts w:ascii="Times New Roman" w:hAnsi="Times New Roman" w:cs="Times New Roman"/>
        </w:rPr>
      </w:pPr>
      <w:r>
        <w:rPr>
          <w:rFonts w:ascii="Times New Roman" w:hAnsi="Times New Roman" w:cs="Times New Roman"/>
        </w:rPr>
        <w:t xml:space="preserve">         predsedovi výboru predložiť stanovisko výboru k uvedenému návrhu zákona predsedovi gestorského </w:t>
      </w:r>
      <w:r w:rsidR="00DF731A">
        <w:rPr>
          <w:rFonts w:ascii="Times New Roman" w:hAnsi="Times New Roman" w:cs="Times New Roman"/>
        </w:rPr>
        <w:t>Výboru Národnej rady Slovenskej republiky pre pôdohospodárstvo, životné prostredie a ochranu prírody</w:t>
      </w:r>
      <w:r w:rsidR="009923D8">
        <w:rPr>
          <w:rFonts w:ascii="Times New Roman" w:hAnsi="Times New Roman" w:cs="Times New Roman"/>
        </w:rPr>
        <w:t>.</w:t>
      </w:r>
    </w:p>
    <w:p w:rsidR="008B0521">
      <w:pPr>
        <w:jc w:val="both"/>
        <w:rPr>
          <w:rFonts w:ascii="Times New Roman" w:hAnsi="Times New Roman" w:cs="Times New Roman"/>
        </w:rPr>
      </w:pPr>
    </w:p>
    <w:p w:rsidR="009B65A5">
      <w:pPr>
        <w:jc w:val="both"/>
        <w:rPr>
          <w:rFonts w:ascii="Times New Roman" w:hAnsi="Times New Roman" w:cs="Times New Roman"/>
        </w:rPr>
      </w:pPr>
    </w:p>
    <w:p w:rsidR="009B65A5">
      <w:pPr>
        <w:jc w:val="both"/>
        <w:rPr>
          <w:rFonts w:ascii="Times New Roman" w:hAnsi="Times New Roman" w:cs="Times New Roman"/>
        </w:rPr>
      </w:pPr>
    </w:p>
    <w:p w:rsidR="001472C0">
      <w:pPr>
        <w:jc w:val="both"/>
        <w:rPr>
          <w:rFonts w:ascii="Times New Roman" w:hAnsi="Times New Roman" w:cs="Times New Roman"/>
        </w:rPr>
      </w:pPr>
    </w:p>
    <w:p w:rsidR="009B65A5">
      <w:pPr>
        <w:jc w:val="both"/>
        <w:rPr>
          <w:rFonts w:ascii="Times New Roman" w:hAnsi="Times New Roman" w:cs="Times New Roman"/>
        </w:rPr>
      </w:pPr>
    </w:p>
    <w:p w:rsidR="00280A1F">
      <w:pPr>
        <w:jc w:val="both"/>
        <w:rPr>
          <w:rFonts w:ascii="Times New Roman" w:hAnsi="Times New Roman" w:cs="Times New Roman"/>
          <w:b/>
        </w:rPr>
      </w:pPr>
      <w:r w:rsidR="0015575E">
        <w:rPr>
          <w:rFonts w:ascii="Times New Roman" w:hAnsi="Times New Roman" w:cs="Times New Roman"/>
        </w:rPr>
        <w:t xml:space="preserve"> </w:t>
      </w:r>
      <w:r>
        <w:rPr>
          <w:rFonts w:ascii="Times New Roman" w:hAnsi="Times New Roman" w:cs="Times New Roman"/>
        </w:rPr>
        <w:t xml:space="preserve">                                                                                                      </w:t>
      </w:r>
      <w:r w:rsidR="00385C5E">
        <w:rPr>
          <w:rFonts w:ascii="Times New Roman" w:hAnsi="Times New Roman" w:cs="Times New Roman"/>
        </w:rPr>
        <w:t xml:space="preserve">Maroš </w:t>
      </w:r>
      <w:r>
        <w:rPr>
          <w:rFonts w:ascii="Times New Roman" w:hAnsi="Times New Roman" w:cs="Times New Roman"/>
        </w:rPr>
        <w:t xml:space="preserve">  </w:t>
      </w:r>
      <w:r w:rsidRPr="00385C5E" w:rsidR="00385C5E">
        <w:rPr>
          <w:rFonts w:ascii="Times New Roman" w:hAnsi="Times New Roman" w:cs="Times New Roman"/>
          <w:b/>
        </w:rPr>
        <w:t>K o n d r ó t</w:t>
      </w:r>
      <w:r>
        <w:rPr>
          <w:rFonts w:ascii="Times New Roman" w:hAnsi="Times New Roman" w:cs="Times New Roman"/>
          <w:b/>
        </w:rPr>
        <w:t xml:space="preserve"> </w:t>
      </w:r>
    </w:p>
    <w:p w:rsidR="00280A1F">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predseda výboru</w:t>
      </w:r>
    </w:p>
    <w:p w:rsidR="00280A1F">
      <w:pPr>
        <w:jc w:val="both"/>
        <w:rPr>
          <w:rFonts w:ascii="AT*Toronto" w:hAnsi="AT*Toronto" w:cs="Times New Roman"/>
          <w:b/>
        </w:rPr>
      </w:pPr>
      <w:r w:rsidR="00385C5E">
        <w:rPr>
          <w:rFonts w:ascii="AT*Toronto" w:hAnsi="AT*Toronto" w:cs="Times New Roman"/>
        </w:rPr>
        <w:t>Peter</w:t>
      </w:r>
      <w:r>
        <w:rPr>
          <w:rFonts w:ascii="AT*Toronto" w:hAnsi="AT*Toronto" w:cs="Times New Roman"/>
        </w:rPr>
        <w:t xml:space="preserve">  </w:t>
      </w:r>
      <w:r w:rsidR="00385C5E">
        <w:rPr>
          <w:rFonts w:ascii="AT*Toronto" w:hAnsi="AT*Toronto" w:cs="Times New Roman"/>
          <w:b/>
          <w:bCs/>
        </w:rPr>
        <w:t>P e l e g r i n i</w:t>
      </w:r>
      <w:r>
        <w:rPr>
          <w:rFonts w:ascii="AT*Toronto" w:hAnsi="AT*Toronto" w:cs="Times New Roman"/>
          <w:b/>
          <w:bCs/>
        </w:rPr>
        <w:t xml:space="preserve"> </w:t>
      </w:r>
    </w:p>
    <w:p w:rsidR="007B2CD1" w:rsidP="00BE1296">
      <w:pPr>
        <w:jc w:val="both"/>
        <w:rPr>
          <w:rFonts w:ascii="Times New Roman" w:hAnsi="Times New Roman" w:cs="Times New Roman"/>
        </w:rPr>
      </w:pPr>
      <w:r w:rsidR="00280A1F">
        <w:rPr>
          <w:rFonts w:ascii="Times New Roman" w:hAnsi="Times New Roman" w:cs="Times New Roman"/>
        </w:rPr>
        <w:t>overovate</w:t>
      </w:r>
      <w:r w:rsidR="00DE0223">
        <w:rPr>
          <w:rFonts w:ascii="Times New Roman" w:hAnsi="Times New Roman" w:cs="Times New Roman"/>
        </w:rPr>
        <w:t>ľ</w:t>
      </w:r>
      <w:r w:rsidR="00280A1F">
        <w:rPr>
          <w:rFonts w:ascii="Times New Roman" w:hAnsi="Times New Roman" w:cs="Times New Roman"/>
        </w:rPr>
        <w:t xml:space="preserve"> výboru</w:t>
      </w:r>
    </w:p>
    <w:p w:rsidR="009B65A5" w:rsidP="00BE1296">
      <w:pPr>
        <w:jc w:val="both"/>
        <w:rPr>
          <w:rFonts w:ascii="Times New Roman" w:hAnsi="Times New Roman" w:cs="Times New Roman"/>
        </w:rPr>
      </w:pPr>
    </w:p>
    <w:p w:rsidR="009923D8" w:rsidP="00BE1296">
      <w:pPr>
        <w:jc w:val="both"/>
        <w:rPr>
          <w:rFonts w:ascii="Times New Roman" w:hAnsi="Times New Roman" w:cs="Times New Roman"/>
        </w:rPr>
      </w:pPr>
    </w:p>
    <w:p w:rsidR="005D34CD" w:rsidRPr="00F03CA8" w:rsidP="005D34CD">
      <w:pPr>
        <w:pStyle w:val="Heading2"/>
        <w:ind w:left="708" w:firstLine="708"/>
        <w:jc w:val="both"/>
        <w:rPr>
          <w:rFonts w:cs="Times New Roman"/>
          <w:bCs/>
          <w:i/>
          <w:color w:val="auto"/>
          <w:sz w:val="24"/>
          <w:szCs w:val="24"/>
        </w:rPr>
      </w:pPr>
      <w:r w:rsidRPr="00F03CA8">
        <w:rPr>
          <w:rFonts w:cs="Times New Roman"/>
          <w:bCs/>
          <w:i/>
          <w:color w:val="auto"/>
          <w:sz w:val="24"/>
          <w:szCs w:val="24"/>
        </w:rPr>
        <w:t>Výbor</w:t>
      </w:r>
    </w:p>
    <w:p w:rsidR="005D34CD" w:rsidP="005D34CD">
      <w:pPr>
        <w:spacing w:line="240" w:lineRule="atLeast"/>
        <w:jc w:val="both"/>
        <w:rPr>
          <w:rFonts w:ascii="Times New Roman" w:hAnsi="Times New Roman" w:cs="Times New Roman"/>
          <w:bCs/>
          <w:i/>
          <w:iCs/>
        </w:rPr>
      </w:pPr>
      <w:r>
        <w:rPr>
          <w:rFonts w:ascii="Times New Roman" w:hAnsi="Times New Roman" w:cs="Times New Roman"/>
          <w:bCs/>
          <w:i/>
          <w:iCs/>
        </w:rPr>
        <w:t>Národnej rady Slovenskej republiky</w:t>
      </w:r>
    </w:p>
    <w:p w:rsidR="005D34CD" w:rsidP="005D34CD">
      <w:pPr>
        <w:spacing w:line="240" w:lineRule="atLeast"/>
        <w:jc w:val="both"/>
        <w:rPr>
          <w:rFonts w:ascii="Times New Roman" w:hAnsi="Times New Roman" w:cs="Times New Roman"/>
          <w:bCs/>
          <w:i/>
          <w:iCs/>
        </w:rPr>
      </w:pPr>
      <w:r>
        <w:rPr>
          <w:rFonts w:ascii="Times New Roman" w:hAnsi="Times New Roman" w:cs="Times New Roman"/>
          <w:bCs/>
          <w:i/>
          <w:iCs/>
        </w:rPr>
        <w:t xml:space="preserve">      pre hospodársku politiku</w:t>
      </w:r>
    </w:p>
    <w:p w:rsidR="005D34CD" w:rsidP="005D34CD">
      <w:pPr>
        <w:spacing w:line="240" w:lineRule="atLeast"/>
        <w:jc w:val="both"/>
        <w:rPr>
          <w:rFonts w:ascii="Times New Roman" w:hAnsi="Times New Roman" w:cs="Times New Roman"/>
          <w:bCs/>
          <w:i/>
          <w:iCs/>
        </w:rPr>
      </w:pPr>
      <w:r>
        <w:rPr>
          <w:rFonts w:ascii="Times New Roman" w:hAnsi="Times New Roman" w:cs="Times New Roman"/>
          <w:bCs/>
          <w:i/>
          <w:iCs/>
        </w:rPr>
        <w:t xml:space="preserve">                                                                     </w:t>
      </w:r>
      <w:r>
        <w:rPr>
          <w:rFonts w:ascii="Times New Roman" w:hAnsi="Times New Roman" w:cs="Times New Roman"/>
          <w:bCs/>
          <w:i/>
          <w:iCs/>
        </w:rPr>
        <w:t xml:space="preserve">                                  </w:t>
      </w:r>
    </w:p>
    <w:p w:rsidR="005D34CD" w:rsidP="005D34CD">
      <w:pPr>
        <w:spacing w:line="240" w:lineRule="atLeast"/>
        <w:ind w:firstLine="6840"/>
        <w:jc w:val="both"/>
        <w:rPr>
          <w:rFonts w:ascii="Times New Roman" w:hAnsi="Times New Roman" w:cs="Times New Roman"/>
          <w:bCs/>
        </w:rPr>
      </w:pPr>
      <w:r>
        <w:rPr>
          <w:rFonts w:ascii="Times New Roman" w:hAnsi="Times New Roman" w:cs="Times New Roman"/>
          <w:bCs/>
        </w:rPr>
        <w:t xml:space="preserve">Príloha </w:t>
      </w:r>
    </w:p>
    <w:p w:rsidR="005D34CD" w:rsidP="005D34CD">
      <w:pPr>
        <w:spacing w:line="240" w:lineRule="atLeast"/>
        <w:ind w:left="6840"/>
        <w:jc w:val="both"/>
        <w:rPr>
          <w:rFonts w:ascii="Times New Roman" w:hAnsi="Times New Roman" w:cs="Times New Roman"/>
          <w:bCs/>
        </w:rPr>
      </w:pPr>
      <w:r w:rsidR="00CB4B1F">
        <w:rPr>
          <w:rFonts w:ascii="Times New Roman" w:hAnsi="Times New Roman" w:cs="Times New Roman"/>
          <w:bCs/>
        </w:rPr>
        <w:t xml:space="preserve">k uzneseniu č. </w:t>
      </w:r>
      <w:r w:rsidR="001D6A69">
        <w:rPr>
          <w:rFonts w:ascii="Times New Roman" w:hAnsi="Times New Roman" w:cs="Times New Roman"/>
          <w:bCs/>
        </w:rPr>
        <w:t>524</w:t>
      </w:r>
    </w:p>
    <w:p w:rsidR="005D34CD" w:rsidP="005D34CD">
      <w:pPr>
        <w:spacing w:line="240" w:lineRule="atLeast"/>
        <w:ind w:left="6840"/>
        <w:jc w:val="both"/>
        <w:rPr>
          <w:rFonts w:ascii="Times New Roman" w:hAnsi="Times New Roman" w:cs="Times New Roman"/>
          <w:bCs/>
        </w:rPr>
      </w:pPr>
    </w:p>
    <w:p w:rsidR="005D34CD" w:rsidP="005D34CD">
      <w:pPr>
        <w:pStyle w:val="Heading5"/>
        <w:rPr>
          <w:rFonts w:ascii="Times New Roman" w:hAnsi="Times New Roman" w:cs="Times New Roman"/>
          <w:bCs/>
        </w:rPr>
      </w:pPr>
      <w:r>
        <w:rPr>
          <w:rFonts w:ascii="Times New Roman" w:hAnsi="Times New Roman" w:cs="Times New Roman"/>
        </w:rPr>
        <w:t>Z m e n y  a  d o p l n k y</w:t>
      </w:r>
    </w:p>
    <w:p w:rsidR="005D34CD" w:rsidP="005D34CD">
      <w:pPr>
        <w:tabs>
          <w:tab w:val="left" w:pos="-1985"/>
          <w:tab w:val="left" w:pos="709"/>
          <w:tab w:val="left" w:pos="1077"/>
        </w:tabs>
        <w:jc w:val="center"/>
        <w:rPr>
          <w:rStyle w:val="Strong"/>
          <w:rFonts w:ascii="Times New Roman" w:hAnsi="Times New Roman" w:cs="Times New Roman"/>
          <w:b w:val="0"/>
          <w:color w:val="000000"/>
        </w:rPr>
      </w:pPr>
      <w:r>
        <w:rPr>
          <w:rFonts w:ascii="Times New Roman" w:hAnsi="Times New Roman" w:cs="Times New Roman"/>
        </w:rPr>
        <w:t xml:space="preserve">         </w:t>
      </w:r>
      <w:r w:rsidRPr="00D537BF" w:rsidR="00051949">
        <w:rPr>
          <w:rFonts w:ascii="Times New Roman" w:hAnsi="Times New Roman" w:cs="Times New Roman"/>
        </w:rPr>
        <w:t xml:space="preserve">k vládnemu </w:t>
      </w:r>
      <w:r w:rsidR="005F69F3">
        <w:rPr>
          <w:rFonts w:ascii="Times New Roman" w:hAnsi="Times New Roman" w:cs="Times New Roman"/>
        </w:rPr>
        <w:t xml:space="preserve">návrhu </w:t>
      </w:r>
      <w:r w:rsidRPr="0068068E" w:rsidR="0068068E">
        <w:rPr>
          <w:rFonts w:ascii="Times New Roman" w:hAnsi="Times New Roman" w:cs="Times New Roman"/>
        </w:rPr>
        <w:t xml:space="preserve">zákona, ktorým sa mení a dopĺňa zákon č. 223/2001 Z.z. o odpadoch  a o zmene a doplnení niektorých zákonov v znení neskorších predpisov (tlač </w:t>
      </w:r>
      <w:r w:rsidRPr="0068068E" w:rsidR="0068068E">
        <w:rPr>
          <w:rFonts w:ascii="Times New Roman" w:hAnsi="Times New Roman" w:cs="Times New Roman"/>
          <w:b/>
        </w:rPr>
        <w:t>1022</w:t>
      </w:r>
      <w:r w:rsidRPr="0068068E" w:rsidR="0068068E">
        <w:rPr>
          <w:rFonts w:ascii="Times New Roman" w:hAnsi="Times New Roman" w:cs="Times New Roman"/>
        </w:rPr>
        <w:t>)</w:t>
      </w:r>
    </w:p>
    <w:p w:rsidR="005D34CD" w:rsidP="005D34CD">
      <w:pPr>
        <w:tabs>
          <w:tab w:val="left" w:pos="-1985"/>
          <w:tab w:val="left" w:pos="709"/>
          <w:tab w:val="left" w:pos="1077"/>
        </w:tabs>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DF0F5B" w:rsidRPr="006B5C99" w:rsidP="00DF0F5B">
      <w:pPr>
        <w:jc w:val="center"/>
        <w:rPr>
          <w:rFonts w:ascii="Times New Roman" w:hAnsi="Times New Roman" w:cs="Times New Roman"/>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w:t>
      </w:r>
      <w:r>
        <w:rPr>
          <w:rFonts w:ascii="Times New Roman" w:hAnsi="Times New Roman" w:cs="Times New Roman"/>
          <w:u w:val="single"/>
        </w:rPr>
        <w:t> </w:t>
      </w:r>
      <w:r w:rsidRPr="006B5C99">
        <w:rPr>
          <w:rFonts w:ascii="Times New Roman" w:hAnsi="Times New Roman" w:cs="Times New Roman"/>
          <w:u w:val="single"/>
        </w:rPr>
        <w:t>čl</w:t>
      </w:r>
      <w:r>
        <w:rPr>
          <w:rFonts w:ascii="Times New Roman" w:hAnsi="Times New Roman" w:cs="Times New Roman"/>
          <w:u w:val="single"/>
        </w:rPr>
        <w:t>.</w:t>
      </w:r>
      <w:r w:rsidRPr="006B5C99">
        <w:rPr>
          <w:rFonts w:ascii="Times New Roman" w:hAnsi="Times New Roman" w:cs="Times New Roman"/>
          <w:u w:val="single"/>
        </w:rPr>
        <w:t xml:space="preserve"> I bodu 1</w:t>
      </w:r>
      <w:r>
        <w:rPr>
          <w:rFonts w:ascii="Times New Roman" w:hAnsi="Times New Roman" w:cs="Times New Roman"/>
          <w:u w:val="single"/>
        </w:rPr>
        <w:t xml:space="preserve">. </w:t>
      </w:r>
      <w:r w:rsidRPr="00CD7ADF">
        <w:rPr>
          <w:rFonts w:ascii="Times New Roman" w:hAnsi="Times New Roman" w:cs="Times New Roman"/>
          <w:u w:val="single"/>
        </w:rPr>
        <w:t>(§ 1)</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 xml:space="preserve">V článku I bode </w:t>
      </w:r>
      <w:r w:rsidR="00307AF4">
        <w:rPr>
          <w:rFonts w:ascii="Times New Roman" w:hAnsi="Times New Roman" w:cs="Times New Roman"/>
        </w:rPr>
        <w:t>1</w:t>
      </w:r>
      <w:r w:rsidRPr="006B5C99">
        <w:rPr>
          <w:rFonts w:ascii="Times New Roman" w:hAnsi="Times New Roman" w:cs="Times New Roman"/>
        </w:rPr>
        <w:t xml:space="preserve"> § 1 ods. 3 písmeno f ) znie:</w:t>
      </w:r>
    </w:p>
    <w:p w:rsidR="00DF0F5B" w:rsidP="00DF0F5B">
      <w:pPr>
        <w:ind w:left="360"/>
        <w:jc w:val="both"/>
        <w:rPr>
          <w:rFonts w:ascii="Times New Roman" w:hAnsi="Times New Roman" w:cs="Times New Roman"/>
        </w:rPr>
      </w:pPr>
      <w:r w:rsidRPr="006B5C99">
        <w:rPr>
          <w:rFonts w:ascii="Times New Roman" w:hAnsi="Times New Roman" w:cs="Times New Roman"/>
        </w:rPr>
        <w:t>„f) nakladanie s elektrickými a elektronickými zariadeniami (ďalej len „elektrozariadenie“), ktoré sú spojené s ochranou dôležitých záujmov týkajúcich sa bezpečnosti Slovenskej republiky, zbrane, muníciu a vojenský materiál, okrem elektrozariadení, ktoré nie sú určené výhradne na vojenské účely a na nakladanie s odpadom z týchto elektrozariadení,“.</w:t>
      </w:r>
    </w:p>
    <w:p w:rsidR="00DF0F5B" w:rsidRPr="006B5C99" w:rsidP="00DF0F5B">
      <w:pPr>
        <w:ind w:left="360"/>
        <w:jc w:val="both"/>
        <w:rPr>
          <w:rFonts w:ascii="Times New Roman" w:hAnsi="Times New Roman" w:cs="Times New Roman"/>
        </w:rPr>
      </w:pPr>
    </w:p>
    <w:p w:rsidR="00DF0F5B" w:rsidP="00DF0F5B">
      <w:pPr>
        <w:ind w:left="2880"/>
        <w:jc w:val="both"/>
        <w:rPr>
          <w:rFonts w:ascii="Times New Roman" w:hAnsi="Times New Roman" w:cs="Times New Roman"/>
        </w:rPr>
      </w:pPr>
      <w:r w:rsidRPr="006B5C99">
        <w:rPr>
          <w:rFonts w:ascii="Times New Roman" w:hAnsi="Times New Roman" w:cs="Times New Roman"/>
        </w:rPr>
        <w:t>Ide o legislatívno-technickú pripomienku, ktorou sa sleduje spresnenie právneho textu v súlade s článkom 2 ods. 3 smernice Európskeho parlamentu a Rady 2002/96/ES v znení neskorších predpisov.</w:t>
      </w:r>
    </w:p>
    <w:p w:rsidR="00DF0F5B" w:rsidRPr="006B5C99" w:rsidP="00DF0F5B">
      <w:pPr>
        <w:ind w:left="2880"/>
        <w:jc w:val="both"/>
        <w:rPr>
          <w:rFonts w:ascii="Times New Roman" w:hAnsi="Times New Roman" w:cs="Times New Roman"/>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23</w:t>
      </w:r>
      <w:r>
        <w:rPr>
          <w:rFonts w:ascii="Times New Roman" w:hAnsi="Times New Roman" w:cs="Times New Roman"/>
          <w:u w:val="single"/>
        </w:rPr>
        <w:t>.</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V článku I bode 23. v poznámke pod čiarou k odk</w:t>
      </w:r>
      <w:r>
        <w:rPr>
          <w:rFonts w:ascii="Times New Roman" w:hAnsi="Times New Roman" w:cs="Times New Roman"/>
        </w:rPr>
        <w:t>az</w:t>
      </w:r>
      <w:r>
        <w:rPr>
          <w:rFonts w:ascii="Times New Roman" w:hAnsi="Times New Roman" w:cs="Times New Roman"/>
        </w:rPr>
        <w:t>u 25 sa za slová v zátvorke „</w:t>
      </w:r>
      <w:r w:rsidRPr="006B5C99">
        <w:rPr>
          <w:rFonts w:ascii="Times New Roman" w:hAnsi="Times New Roman" w:cs="Times New Roman"/>
        </w:rPr>
        <w:t>v platnom znení“  vkladá bodkočiarka a slová „Ú.</w:t>
      </w:r>
      <w:r>
        <w:rPr>
          <w:rFonts w:ascii="Times New Roman" w:hAnsi="Times New Roman" w:cs="Times New Roman"/>
        </w:rPr>
        <w:t xml:space="preserve"> </w:t>
      </w:r>
      <w:r w:rsidRPr="006B5C99">
        <w:rPr>
          <w:rFonts w:ascii="Times New Roman" w:hAnsi="Times New Roman" w:cs="Times New Roman"/>
        </w:rPr>
        <w:t>v. ES L 302, 19. 10. 1992“.“</w:t>
      </w:r>
    </w:p>
    <w:p w:rsidR="00DF0F5B" w:rsidP="00DF0F5B">
      <w:pPr>
        <w:ind w:left="2832"/>
        <w:jc w:val="both"/>
        <w:rPr>
          <w:rFonts w:ascii="Times New Roman" w:hAnsi="Times New Roman" w:cs="Times New Roman"/>
        </w:rPr>
      </w:pPr>
    </w:p>
    <w:p w:rsidR="00DF0F5B" w:rsidRPr="006B5C99" w:rsidP="00DF0F5B">
      <w:pPr>
        <w:ind w:left="2829"/>
        <w:jc w:val="both"/>
        <w:rPr>
          <w:rFonts w:ascii="Times New Roman" w:hAnsi="Times New Roman" w:cs="Times New Roman"/>
        </w:rPr>
      </w:pPr>
      <w:r w:rsidRPr="006B5C99">
        <w:rPr>
          <w:rFonts w:ascii="Times New Roman" w:hAnsi="Times New Roman" w:cs="Times New Roman"/>
        </w:rPr>
        <w:t>Ide o legislatívno-technickú pripomienku, ktorou sa sleduje zosúladenie so zaužívanou praxou.</w:t>
      </w:r>
    </w:p>
    <w:p w:rsidR="00DF0F5B" w:rsidP="00DF0F5B">
      <w:pPr>
        <w:ind w:left="360"/>
        <w:jc w:val="both"/>
        <w:rPr>
          <w:rFonts w:ascii="Times New Roman" w:hAnsi="Times New Roman" w:cs="Times New Roman"/>
          <w:u w:val="single"/>
        </w:rPr>
      </w:pPr>
    </w:p>
    <w:p w:rsidR="0021374B" w:rsidRPr="00F37DFE" w:rsidP="0021374B">
      <w:pPr>
        <w:numPr>
          <w:ilvl w:val="0"/>
          <w:numId w:val="29"/>
        </w:numPr>
        <w:tabs>
          <w:tab w:val="left" w:pos="0"/>
          <w:tab w:val="clear" w:pos="720"/>
        </w:tabs>
        <w:ind w:left="360"/>
        <w:jc w:val="both"/>
        <w:rPr>
          <w:rFonts w:ascii="Times New Roman" w:hAnsi="Times New Roman" w:cs="Times New Roman"/>
        </w:rPr>
      </w:pPr>
      <w:r w:rsidRPr="00874783">
        <w:rPr>
          <w:rFonts w:ascii="Times New Roman" w:hAnsi="Times New Roman" w:cs="Times New Roman"/>
          <w:u w:val="single"/>
        </w:rPr>
        <w:t>V čl. I</w:t>
      </w:r>
      <w:r>
        <w:rPr>
          <w:rFonts w:ascii="Times New Roman" w:hAnsi="Times New Roman" w:cs="Times New Roman"/>
          <w:u w:val="single"/>
        </w:rPr>
        <w:t> sa za 28. bod vkladá nový 29. bod, ktorý znie</w:t>
      </w:r>
      <w:r>
        <w:rPr>
          <w:rFonts w:ascii="Times New Roman" w:hAnsi="Times New Roman" w:cs="Times New Roman"/>
          <w:u w:val="single"/>
        </w:rPr>
        <w:t>:</w:t>
      </w:r>
    </w:p>
    <w:p w:rsidR="0021374B" w:rsidRPr="00DE1812" w:rsidP="0021374B">
      <w:pPr>
        <w:ind w:left="360"/>
        <w:jc w:val="both"/>
        <w:rPr>
          <w:rFonts w:ascii="Times New Roman" w:hAnsi="Times New Roman" w:cs="Times New Roman"/>
        </w:rPr>
      </w:pPr>
      <w:r w:rsidRPr="00F37DFE">
        <w:rPr>
          <w:rFonts w:ascii="Times New Roman" w:hAnsi="Times New Roman" w:cs="Times New Roman"/>
        </w:rPr>
        <w:t>„29. </w:t>
      </w:r>
      <w:r>
        <w:rPr>
          <w:rFonts w:ascii="Times New Roman" w:hAnsi="Times New Roman" w:cs="Times New Roman"/>
        </w:rPr>
        <w:t xml:space="preserve"> V </w:t>
      </w:r>
      <w:r w:rsidRPr="00F37DFE">
        <w:rPr>
          <w:rFonts w:ascii="Times New Roman" w:hAnsi="Times New Roman" w:cs="Times New Roman"/>
        </w:rPr>
        <w:t xml:space="preserve">§ 22 ods. 1 </w:t>
      </w:r>
      <w:r>
        <w:rPr>
          <w:rFonts w:ascii="Times New Roman" w:hAnsi="Times New Roman" w:cs="Times New Roman"/>
        </w:rPr>
        <w:t>sa v prvej vete za slovami „účelovú finančnú rezervu“ vypúšťajú slová: „minimálne vo výške 50 % celkových nákladov na uzavretie, rekultiváciu a monitorovanie skládky odpadov po jej uzavretí.“.“.</w:t>
      </w:r>
    </w:p>
    <w:p w:rsidR="0021374B" w:rsidP="0021374B">
      <w:pPr>
        <w:ind w:left="360"/>
        <w:jc w:val="both"/>
        <w:rPr>
          <w:rFonts w:ascii="Times New Roman" w:hAnsi="Times New Roman" w:cs="Times New Roman"/>
          <w:b/>
          <w:bCs/>
        </w:rPr>
      </w:pPr>
      <w:r>
        <w:rPr>
          <w:rFonts w:ascii="Times New Roman" w:hAnsi="Times New Roman" w:cs="Times New Roman"/>
          <w:b/>
          <w:bCs/>
        </w:rPr>
        <w:tab/>
      </w:r>
    </w:p>
    <w:p w:rsidR="0021374B" w:rsidRPr="00F37DFE" w:rsidP="0021374B">
      <w:pPr>
        <w:ind w:left="360"/>
        <w:jc w:val="both"/>
        <w:rPr>
          <w:rFonts w:ascii="Times New Roman" w:hAnsi="Times New Roman" w:cs="Times New Roman"/>
          <w:bCs/>
        </w:rPr>
      </w:pPr>
      <w:r w:rsidRPr="00F37DFE">
        <w:rPr>
          <w:rFonts w:ascii="Times New Roman" w:hAnsi="Times New Roman" w:cs="Times New Roman"/>
          <w:bCs/>
        </w:rPr>
        <w:t>Nasledujúce body sa primerane prečísl</w:t>
      </w:r>
      <w:r w:rsidRPr="00F37DFE">
        <w:rPr>
          <w:rFonts w:ascii="Times New Roman" w:hAnsi="Times New Roman" w:cs="Times New Roman"/>
          <w:bCs/>
        </w:rPr>
        <w:t>ujú.</w:t>
      </w:r>
    </w:p>
    <w:p w:rsidR="0021374B" w:rsidRPr="00B446B4" w:rsidP="0021374B">
      <w:pPr>
        <w:jc w:val="both"/>
        <w:rPr>
          <w:rFonts w:ascii="Times New Roman" w:hAnsi="Times New Roman" w:cs="Times New Roman"/>
          <w:b/>
          <w:bCs/>
        </w:rPr>
      </w:pPr>
    </w:p>
    <w:p w:rsidR="0021374B" w:rsidP="0021374B">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Pr>
          <w:rFonts w:ascii="Times New Roman" w:hAnsi="Times New Roman" w:cs="Times New Roman"/>
          <w:szCs w:val="24"/>
          <w:lang w:eastAsia="sk-SK"/>
        </w:rPr>
        <w:t xml:space="preserve">Navrhovaná zmena ustanovenia súvisí so zmenou v § 22 ods. 5 a 6.   </w:t>
      </w:r>
    </w:p>
    <w:p w:rsidR="0021374B" w:rsidP="00DF0F5B">
      <w:pPr>
        <w:ind w:left="360"/>
        <w:jc w:val="both"/>
        <w:rPr>
          <w:rFonts w:ascii="Times New Roman" w:hAnsi="Times New Roman" w:cs="Times New Roman"/>
          <w:u w:val="single"/>
        </w:rPr>
      </w:pPr>
    </w:p>
    <w:p w:rsidR="0021374B" w:rsidP="0021374B">
      <w:pPr>
        <w:pStyle w:val="Odstavec"/>
        <w:numPr>
          <w:ilvl w:val="0"/>
          <w:numId w:val="29"/>
        </w:numPr>
        <w:tabs>
          <w:tab w:val="clear" w:pos="567"/>
          <w:tab w:val="clear" w:pos="720"/>
        </w:tabs>
        <w:overflowPunct/>
        <w:adjustRightInd/>
        <w:spacing w:before="0" w:line="240" w:lineRule="auto"/>
        <w:ind w:left="360"/>
        <w:textAlignment w:val="auto"/>
        <w:rPr>
          <w:rFonts w:ascii="Times New Roman" w:hAnsi="Times New Roman" w:cs="Times New Roman"/>
          <w:szCs w:val="24"/>
          <w:u w:val="single"/>
          <w:lang w:eastAsia="sk-SK"/>
        </w:rPr>
      </w:pPr>
      <w:r w:rsidRPr="00874783">
        <w:rPr>
          <w:rFonts w:ascii="Times New Roman" w:hAnsi="Times New Roman" w:cs="Times New Roman"/>
          <w:szCs w:val="24"/>
          <w:u w:val="single"/>
          <w:lang w:eastAsia="sk-SK"/>
        </w:rPr>
        <w:t>V čl. I</w:t>
      </w:r>
      <w:r>
        <w:rPr>
          <w:rFonts w:ascii="Times New Roman" w:hAnsi="Times New Roman" w:cs="Times New Roman"/>
          <w:szCs w:val="24"/>
          <w:u w:val="single"/>
          <w:lang w:eastAsia="sk-SK"/>
        </w:rPr>
        <w:t> sa za 29 bod vkladá nový 30. bod, ktorý znie:</w:t>
      </w:r>
    </w:p>
    <w:p w:rsidR="0021374B" w:rsidRPr="0040076A" w:rsidP="0021374B">
      <w:pPr>
        <w:pStyle w:val="Odstavec"/>
        <w:tabs>
          <w:tab w:val="clear" w:pos="567"/>
        </w:tabs>
        <w:overflowPunct/>
        <w:adjustRightInd/>
        <w:spacing w:before="0" w:line="240" w:lineRule="auto"/>
        <w:ind w:left="360"/>
        <w:textAlignment w:val="auto"/>
        <w:rPr>
          <w:rFonts w:ascii="Times New Roman" w:hAnsi="Times New Roman" w:cs="Times New Roman"/>
          <w:szCs w:val="24"/>
          <w:lang w:eastAsia="sk-SK"/>
        </w:rPr>
      </w:pPr>
      <w:r>
        <w:rPr>
          <w:rFonts w:ascii="Times New Roman" w:hAnsi="Times New Roman" w:cs="Times New Roman"/>
          <w:szCs w:val="24"/>
          <w:lang w:eastAsia="sk-SK"/>
        </w:rPr>
        <w:t xml:space="preserve">„30. V </w:t>
      </w:r>
      <w:r w:rsidRPr="0040076A">
        <w:rPr>
          <w:rFonts w:ascii="Times New Roman" w:hAnsi="Times New Roman" w:cs="Times New Roman"/>
          <w:szCs w:val="24"/>
          <w:lang w:eastAsia="sk-SK"/>
        </w:rPr>
        <w:t xml:space="preserve">§ 22 ods. 5 znie: </w:t>
      </w:r>
    </w:p>
    <w:p w:rsidR="0021374B" w:rsidP="0021374B">
      <w:pPr>
        <w:pStyle w:val="Odstavec"/>
        <w:tabs>
          <w:tab w:val="clear" w:pos="567"/>
        </w:tabs>
        <w:overflowPunct/>
        <w:adjustRightInd/>
        <w:spacing w:before="0" w:line="240" w:lineRule="auto"/>
        <w:ind w:left="360"/>
        <w:textAlignment w:val="auto"/>
        <w:rPr>
          <w:rFonts w:ascii="Times New Roman" w:hAnsi="Times New Roman" w:cs="Times New Roman"/>
          <w:szCs w:val="24"/>
          <w:lang w:eastAsia="sk-SK"/>
        </w:rPr>
      </w:pPr>
      <w:r>
        <w:rPr>
          <w:rFonts w:ascii="Times New Roman" w:hAnsi="Times New Roman" w:cs="Times New Roman"/>
        </w:rPr>
        <w:t>„ (5) Prostriedky tvoriace účelovú finančnú rezervu sa vedú na osobitnom účte alebo osobitných účtoch37) prevádzkovateľa skládky odpadov. Prevádzkovateľ skládky odpadov je pred odvedením prvej splátky účelovej finančnej rezervy povinný zabezpečiť vytvorenie osobitného účtu alebo osobitných účtov, na ktoré bude prostriedky účelovej finančnej rezervy každoročne odvádzať v zmysle odseku 6, a zároveň zabezpečiť viazanosť použitia odvedených prostriedkov účelovej finančnej rezervy na účel uvedený v odseku 1.“ .“.</w:t>
      </w:r>
    </w:p>
    <w:p w:rsidR="0021374B" w:rsidP="0021374B">
      <w:pPr>
        <w:ind w:left="3420"/>
        <w:jc w:val="both"/>
        <w:rPr>
          <w:rFonts w:ascii="Times New Roman" w:hAnsi="Times New Roman" w:cs="Times New Roman"/>
          <w:b/>
          <w:bCs/>
        </w:rPr>
      </w:pPr>
    </w:p>
    <w:p w:rsidR="0021374B" w:rsidP="0021374B">
      <w:pPr>
        <w:pStyle w:val="Odstavec"/>
        <w:tabs>
          <w:tab w:val="clear" w:pos="567"/>
        </w:tabs>
        <w:overflowPunct/>
        <w:adjustRightInd/>
        <w:spacing w:before="0" w:line="240" w:lineRule="auto"/>
        <w:ind w:left="2880"/>
        <w:textAlignment w:val="auto"/>
        <w:rPr>
          <w:rFonts w:ascii="Times New Roman" w:hAnsi="Times New Roman" w:cs="Times New Roman"/>
          <w:szCs w:val="24"/>
        </w:rPr>
      </w:pPr>
      <w:r>
        <w:rPr>
          <w:rFonts w:ascii="Times New Roman" w:hAnsi="Times New Roman" w:cs="Times New Roman"/>
          <w:szCs w:val="24"/>
          <w:lang w:eastAsia="sk-SK"/>
        </w:rPr>
        <w:t xml:space="preserve">Prostriedky účelovej finančnej rezervy sú odvádzané na osobitný bankový účet prevádzkovateľa skládky, pričom možnosť pre prevádzkovateľa skládky disponovať s týmito prostriedkami je obmedzená až do uzavretia skládky a od začiatku rekultivácie. Opatrením sa umožňuje prevádzkovateľom skládky vytvoriť viac osobitných účtov v rôznych bankách, pričom povinnosť zabezpečiť viazanosť použitia týchto prostriedkov účelovej finančnej rezervy ostáva nezmenená. </w:t>
      </w:r>
    </w:p>
    <w:p w:rsidR="0021374B" w:rsidP="0021374B">
      <w:pPr>
        <w:pStyle w:val="Odstavec"/>
        <w:tabs>
          <w:tab w:val="clear" w:pos="567"/>
        </w:tabs>
        <w:overflowPunct/>
        <w:adjustRightInd/>
        <w:spacing w:before="0" w:line="240" w:lineRule="auto"/>
        <w:ind w:left="3420"/>
        <w:textAlignment w:val="auto"/>
        <w:rPr>
          <w:rFonts w:ascii="Times New Roman" w:hAnsi="Times New Roman" w:cs="Times New Roman"/>
          <w:szCs w:val="24"/>
        </w:rPr>
      </w:pPr>
    </w:p>
    <w:p w:rsidR="0021374B" w:rsidP="0021374B">
      <w:pPr>
        <w:pStyle w:val="Odstavec"/>
        <w:numPr>
          <w:ilvl w:val="0"/>
          <w:numId w:val="29"/>
        </w:numPr>
        <w:tabs>
          <w:tab w:val="clear" w:pos="567"/>
          <w:tab w:val="clear" w:pos="720"/>
        </w:tabs>
        <w:overflowPunct/>
        <w:adjustRightInd/>
        <w:spacing w:before="0" w:line="240" w:lineRule="auto"/>
        <w:ind w:left="360"/>
        <w:textAlignment w:val="auto"/>
        <w:rPr>
          <w:rFonts w:ascii="Times New Roman" w:hAnsi="Times New Roman" w:cs="Times New Roman"/>
          <w:szCs w:val="24"/>
          <w:u w:val="single"/>
          <w:lang w:eastAsia="sk-SK"/>
        </w:rPr>
      </w:pPr>
      <w:r w:rsidRPr="00874783">
        <w:rPr>
          <w:rFonts w:ascii="Times New Roman" w:hAnsi="Times New Roman" w:cs="Times New Roman"/>
          <w:szCs w:val="24"/>
          <w:u w:val="single"/>
          <w:lang w:eastAsia="sk-SK"/>
        </w:rPr>
        <w:t>V čl. I</w:t>
      </w:r>
      <w:r>
        <w:rPr>
          <w:rFonts w:ascii="Times New Roman" w:hAnsi="Times New Roman" w:cs="Times New Roman"/>
          <w:szCs w:val="24"/>
          <w:u w:val="single"/>
          <w:lang w:eastAsia="sk-SK"/>
        </w:rPr>
        <w:t> 30. bod znie:</w:t>
      </w:r>
    </w:p>
    <w:p w:rsidR="0021374B" w:rsidRPr="00874783" w:rsidP="0021374B">
      <w:pPr>
        <w:pStyle w:val="Odstavec"/>
        <w:tabs>
          <w:tab w:val="clear" w:pos="567"/>
        </w:tabs>
        <w:overflowPunct/>
        <w:adjustRightInd/>
        <w:spacing w:before="0" w:line="240" w:lineRule="auto"/>
        <w:ind w:left="360"/>
        <w:textAlignment w:val="auto"/>
        <w:rPr>
          <w:rFonts w:ascii="Times New Roman" w:hAnsi="Times New Roman" w:cs="Times New Roman"/>
          <w:szCs w:val="24"/>
          <w:u w:val="single"/>
          <w:lang w:eastAsia="sk-SK"/>
        </w:rPr>
      </w:pPr>
      <w:r w:rsidRPr="0040076A">
        <w:rPr>
          <w:rFonts w:ascii="Times New Roman" w:hAnsi="Times New Roman" w:cs="Times New Roman"/>
        </w:rPr>
        <w:t xml:space="preserve">„30. </w:t>
      </w:r>
      <w:r>
        <w:rPr>
          <w:rFonts w:ascii="Times New Roman" w:hAnsi="Times New Roman" w:cs="Times New Roman"/>
        </w:rPr>
        <w:t xml:space="preserve"> V</w:t>
      </w:r>
      <w:r w:rsidRPr="0040076A">
        <w:rPr>
          <w:rFonts w:ascii="Times New Roman" w:hAnsi="Times New Roman" w:cs="Times New Roman"/>
        </w:rPr>
        <w:t xml:space="preserve"> § 22 ods. 6 znie:</w:t>
      </w:r>
      <w:r>
        <w:rPr>
          <w:rFonts w:ascii="Times New Roman" w:hAnsi="Times New Roman" w:cs="Times New Roman"/>
          <w:u w:val="single"/>
        </w:rPr>
        <w:t xml:space="preserve"> </w:t>
      </w:r>
    </w:p>
    <w:p w:rsidR="0021374B" w:rsidP="0021374B">
      <w:pPr>
        <w:pStyle w:val="Odstavec"/>
        <w:tabs>
          <w:tab w:val="clear" w:pos="567"/>
        </w:tabs>
        <w:overflowPunct/>
        <w:adjustRightInd/>
        <w:spacing w:before="0" w:line="240" w:lineRule="auto"/>
        <w:ind w:left="360"/>
        <w:textAlignment w:val="auto"/>
        <w:rPr>
          <w:rFonts w:ascii="Times New Roman" w:hAnsi="Times New Roman" w:cs="Times New Roman"/>
          <w:szCs w:val="24"/>
          <w:lang w:eastAsia="sk-SK"/>
        </w:rPr>
      </w:pPr>
      <w:r w:rsidRPr="00147898">
        <w:rPr>
          <w:rFonts w:ascii="Times New Roman" w:hAnsi="Times New Roman" w:cs="Times New Roman"/>
          <w:szCs w:val="24"/>
          <w:lang w:eastAsia="sk-SK"/>
        </w:rPr>
        <w:t>„</w:t>
      </w:r>
      <w:r>
        <w:rPr>
          <w:rFonts w:ascii="Times New Roman" w:hAnsi="Times New Roman" w:cs="Times New Roman"/>
          <w:szCs w:val="24"/>
          <w:lang w:eastAsia="sk-SK"/>
        </w:rPr>
        <w:t xml:space="preserve"> (6) Prevádzkovateľ skládky odpadov odvádza prostriedky účelovej finančnej rezervy do 31. januára nasledujúceho kalendárneho roka, ak príslušný orgán štátnej správy odpadového hospodárstva nerozhodne inak. Celková výška prostriedkov účelovej finančnej rezervy odvedených na osobitný účet alebo osobitné účty, k stanovenému termínu, musí predstavovať minimálne 50 % zostatku účelovej finančnej rezervy vytvorenej podľa odseku 1 ku koncu kalendárneho roka.“ .“. </w:t>
      </w:r>
    </w:p>
    <w:p w:rsidR="0021374B" w:rsidP="0021374B">
      <w:pPr>
        <w:jc w:val="both"/>
        <w:rPr>
          <w:rFonts w:ascii="Times New Roman" w:hAnsi="Times New Roman" w:cs="Times New Roman"/>
        </w:rPr>
      </w:pPr>
    </w:p>
    <w:p w:rsidR="0021374B" w:rsidP="0021374B">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Pr>
          <w:rFonts w:ascii="Times New Roman" w:hAnsi="Times New Roman" w:cs="Times New Roman"/>
          <w:szCs w:val="24"/>
          <w:lang w:eastAsia="sk-SK"/>
        </w:rPr>
        <w:t>Prevádzkovateľ skládky tvorí vo svojom účtovníctve rezervu na uzavretie, rekultiváciu a monitorovanie skládky po jej uzavretí v súlade s ustanoveniami odsekov 1 až 4 § 22 zákona č. 223/2001 Z. z. o odpadoch. Táto rezerva sa tvorí priebežne v závislosti od napĺňania kapacity skládky. Po uzavretí skládky a od začiatku jej rekultivácie sa rezerva znižuje o výdavky, ktoré boli vynaložené na uzavretie, rekultivác</w:t>
      </w:r>
      <w:r>
        <w:rPr>
          <w:rFonts w:ascii="Times New Roman" w:hAnsi="Times New Roman" w:cs="Times New Roman"/>
          <w:szCs w:val="24"/>
          <w:lang w:eastAsia="sk-SK"/>
        </w:rPr>
        <w:t xml:space="preserve">iu a monitorovanie skládky po jej uzavretí. </w:t>
      </w:r>
    </w:p>
    <w:p w:rsidR="0021374B" w:rsidP="0021374B">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Pr>
          <w:rFonts w:ascii="Times New Roman" w:hAnsi="Times New Roman" w:cs="Times New Roman"/>
          <w:szCs w:val="24"/>
          <w:lang w:eastAsia="sk-SK"/>
        </w:rPr>
        <w:t>Podľa platného zákona musí prevádzkovateľ skládky do stanoveného termínu odviesť na osobitný účet v komerčnej banke peňažné prostriedky v sume, ktorá sa rovná zostatku účelovej rezervy vytvorenej v účtovníctve ku koncu kalendárneho roka a je povinný viazať tieto prostriedky na účel stanovený v odseku 1.</w:t>
      </w:r>
    </w:p>
    <w:p w:rsidR="0021374B" w:rsidP="0021374B">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Pr>
          <w:rFonts w:ascii="Times New Roman" w:hAnsi="Times New Roman" w:cs="Times New Roman"/>
          <w:szCs w:val="24"/>
          <w:lang w:eastAsia="sk-SK"/>
        </w:rPr>
        <w:t>Novelizácia umožňuje príslušnému orgánu štátnej správy odpadového hospodárstva vydať rozhodnutie, ktorým upraví povinnosť prevádzkovateľa skládky odviesť peňažné prostriedky na osobitný bankový účet tak, aby nebol povinný viazať tieto prostriedky v plnej výške, ale pomerne k účtovnému zostatku účelovej rezervy, minimálne však vo výške 50 %. Ak prevádzkovateľ skládky odvádza prostriedky na viac osobitných účtov, potom súčet prostriedkov na všetkých účtoch musí predstavovať minimálne 50 %.</w:t>
      </w:r>
    </w:p>
    <w:p w:rsidR="0021374B" w:rsidP="0021374B">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Pr>
          <w:rFonts w:ascii="Times New Roman" w:hAnsi="Times New Roman" w:cs="Times New Roman"/>
          <w:szCs w:val="24"/>
          <w:lang w:eastAsia="sk-SK"/>
        </w:rPr>
        <w:t>Táto možnosť sa vzťahuje len na prostriedky, ktoré majú byť odvedené v obdobiach po dni účinnosti tejto novelizácie zákona. Prostriedky, ktoré už boli odvedené na osobitný účet pred dňom účinnosti novelizácie zákona nie je možné z osobitného účtu previesť a použiť na iný účel alebo čerpať iným spôsobom než ako je uvedené v § 22.</w:t>
      </w:r>
    </w:p>
    <w:p w:rsidR="0021374B" w:rsidRPr="006B5C99" w:rsidP="00DF0F5B">
      <w:pPr>
        <w:ind w:left="360"/>
        <w:jc w:val="both"/>
        <w:rPr>
          <w:rFonts w:ascii="Times New Roman" w:hAnsi="Times New Roman" w:cs="Times New Roman"/>
          <w:u w:val="single"/>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32</w:t>
      </w:r>
      <w:r>
        <w:rPr>
          <w:rFonts w:ascii="Times New Roman" w:hAnsi="Times New Roman" w:cs="Times New Roman"/>
          <w:u w:val="single"/>
        </w:rPr>
        <w:t>.</w:t>
      </w:r>
      <w:r w:rsidRPr="006B5C99">
        <w:rPr>
          <w:rFonts w:ascii="Times New Roman" w:hAnsi="Times New Roman" w:cs="Times New Roman"/>
          <w:u w:val="single"/>
        </w:rPr>
        <w:t xml:space="preserve"> (§</w:t>
      </w:r>
      <w:r>
        <w:rPr>
          <w:rFonts w:ascii="Times New Roman" w:hAnsi="Times New Roman" w:cs="Times New Roman"/>
          <w:u w:val="single"/>
        </w:rPr>
        <w:t xml:space="preserve"> </w:t>
      </w:r>
      <w:r w:rsidRPr="006B5C99">
        <w:rPr>
          <w:rFonts w:ascii="Times New Roman" w:hAnsi="Times New Roman" w:cs="Times New Roman"/>
          <w:u w:val="single"/>
        </w:rPr>
        <w:t>23)</w:t>
      </w:r>
    </w:p>
    <w:p w:rsidR="00DF0F5B" w:rsidRPr="00EF1BFD" w:rsidP="00DF0F5B">
      <w:pPr>
        <w:ind w:left="360"/>
        <w:jc w:val="both"/>
        <w:rPr>
          <w:rFonts w:ascii="Times New Roman" w:hAnsi="Times New Roman" w:cs="Times New Roman"/>
        </w:rPr>
      </w:pPr>
      <w:r w:rsidRPr="006B5C99">
        <w:rPr>
          <w:rFonts w:ascii="Times New Roman" w:hAnsi="Times New Roman" w:cs="Times New Roman"/>
        </w:rPr>
        <w:t xml:space="preserve">V článku I bode 32. § 23 ods. 4. sa v druhej </w:t>
      </w:r>
      <w:r>
        <w:rPr>
          <w:rFonts w:ascii="Times New Roman" w:hAnsi="Times New Roman" w:cs="Times New Roman"/>
        </w:rPr>
        <w:t>vete na konci pripájajú slová „</w:t>
      </w:r>
      <w:r w:rsidRPr="006B5C99">
        <w:rPr>
          <w:rFonts w:ascii="Times New Roman" w:hAnsi="Times New Roman" w:cs="Times New Roman"/>
        </w:rPr>
        <w:t>za po</w:t>
      </w:r>
      <w:r w:rsidRPr="006B5C99">
        <w:rPr>
          <w:rFonts w:ascii="Times New Roman" w:hAnsi="Times New Roman" w:cs="Times New Roman"/>
        </w:rPr>
        <w:t>dmienok ustanovených v osobitnom predpise</w:t>
      </w:r>
      <w:r>
        <w:rPr>
          <w:rFonts w:ascii="Times New Roman" w:hAnsi="Times New Roman" w:cs="Times New Roman"/>
        </w:rPr>
        <w:t>.</w:t>
      </w:r>
      <w:r w:rsidRPr="006B5C99">
        <w:rPr>
          <w:rFonts w:ascii="Times New Roman" w:hAnsi="Times New Roman" w:cs="Times New Roman"/>
          <w:vertAlign w:val="superscript"/>
        </w:rPr>
        <w:t xml:space="preserve">x/ </w:t>
      </w:r>
      <w:r>
        <w:rPr>
          <w:rFonts w:ascii="Times New Roman" w:hAnsi="Times New Roman" w:cs="Times New Roman"/>
        </w:rPr>
        <w:t>“.</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Poznámka pod čiarou k odkazu x/  znie:</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„x/ Čl. 12 a čl. 63 nariadenia Európskeho parlamentu a Rady (ES) č. 1013/2006 v platnom znení.“.</w:t>
      </w:r>
    </w:p>
    <w:p w:rsidR="00DF0F5B" w:rsidP="00DF0F5B">
      <w:pPr>
        <w:ind w:left="2829" w:firstLine="6"/>
        <w:jc w:val="both"/>
        <w:rPr>
          <w:rFonts w:ascii="Times New Roman" w:hAnsi="Times New Roman" w:cs="Times New Roman"/>
        </w:rPr>
      </w:pPr>
    </w:p>
    <w:p w:rsidR="00DF0F5B" w:rsidRPr="006B5C99" w:rsidP="00DF0F5B">
      <w:pPr>
        <w:ind w:left="2829" w:firstLine="6"/>
        <w:jc w:val="both"/>
        <w:rPr>
          <w:rFonts w:ascii="Times New Roman" w:hAnsi="Times New Roman" w:cs="Times New Roman"/>
        </w:rPr>
      </w:pPr>
      <w:r w:rsidRPr="006B5C99">
        <w:rPr>
          <w:rFonts w:ascii="Times New Roman" w:hAnsi="Times New Roman" w:cs="Times New Roman"/>
        </w:rPr>
        <w:t>Ide o legislatívno-technickú pripomienku, ktorou sa sleduje zosúladenie s nariadením Európskeho parlamentu a Rady (ES) č. 1013/2006: „príslušný orgán miesta odoslania odpadu je povinný dbať o to, aby sa zhodnocovanie odpadu v krajine určenia uskutočnilo zhruba za rovnocenných podmienok predpísaných vo vnútroštátnych právnych predpisoch krajiny odoslania, pričom do vnútroštátnych právnych predpisov transponujúcich tieto právne predpisy Spoločenstva boli zavedené požiadavky, ktoré sú aspoň také prísne ako požiadavky v právnych predpisoch Spoločenstva.</w:t>
      </w:r>
    </w:p>
    <w:p w:rsidR="00DF0F5B" w:rsidRPr="006B5C99" w:rsidP="00DF0F5B">
      <w:pPr>
        <w:ind w:left="2829" w:firstLine="6"/>
        <w:jc w:val="both"/>
        <w:rPr>
          <w:rFonts w:ascii="Times" w:hAnsi="Times" w:cs="EUAlbertinaCE-Regu"/>
        </w:rPr>
      </w:pPr>
      <w:r w:rsidRPr="006B5C99">
        <w:rPr>
          <w:rFonts w:ascii="Times New Roman" w:hAnsi="Times New Roman" w:cs="Times New Roman"/>
        </w:rPr>
        <w:t xml:space="preserve">Z Aktu o podmienkach pristúpenia  Slovenskej republiky k Európskej únii pripojeného k Zmluve o pristúpení k Európskej únii vyplýva, že „do 31. decembra 2011 budú </w:t>
      </w:r>
      <w:r w:rsidRPr="006B5C99">
        <w:rPr>
          <w:rFonts w:ascii="Times" w:hAnsi="Times" w:cs="Times New Roman"/>
        </w:rPr>
        <w:t xml:space="preserve">všetky zásielky odpadov na Slovensko, ktoré sú určené na zhodnotenie </w:t>
      </w:r>
      <w:r w:rsidRPr="006B5C99">
        <w:rPr>
          <w:rFonts w:ascii="Times" w:hAnsi="Times" w:cs="EUAlbertinaCE-Regu"/>
        </w:rPr>
        <w:t>a ktoré sú uvedené v prílohách II, III a IV nariadenia (EHS) 259/93 (nariadenie, ako aj zásielky odpadov určených na zhodnotenie, ktoré nie sú uvedené v týchto prílohách, oznámené príslušným orgánom a spracované v súlade s ustanoveniami článkov 6, 7 a 8 nariadenia</w:t>
      </w:r>
      <w:r>
        <w:rPr>
          <w:rFonts w:ascii="Times" w:hAnsi="Times" w:cs="EUAlbertinaCE-Regu"/>
        </w:rPr>
        <w:t>)</w:t>
      </w:r>
      <w:r w:rsidRPr="006B5C99">
        <w:rPr>
          <w:rFonts w:ascii="Times" w:hAnsi="Times" w:cs="EUAlbertinaCE-Regu"/>
        </w:rPr>
        <w:t>“.</w:t>
      </w:r>
    </w:p>
    <w:p w:rsidR="00DF0F5B" w:rsidRPr="006B5C99" w:rsidP="00DF0F5B">
      <w:pPr>
        <w:ind w:left="2832" w:firstLine="3"/>
        <w:jc w:val="both"/>
        <w:rPr>
          <w:rFonts w:ascii="Times New Roman" w:hAnsi="Times New Roman" w:cs="Times New Roman"/>
          <w:u w:val="single"/>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w:t>
      </w:r>
      <w:r w:rsidRPr="006B5C99">
        <w:rPr>
          <w:rFonts w:ascii="Times New Roman" w:hAnsi="Times New Roman" w:cs="Times New Roman"/>
          <w:u w:val="single"/>
        </w:rPr>
        <w:t xml:space="preserve"> (§ 48c)</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V čl. I bodu 44</w:t>
      </w:r>
      <w:r>
        <w:rPr>
          <w:rFonts w:ascii="Times New Roman" w:hAnsi="Times New Roman" w:cs="Times New Roman"/>
        </w:rPr>
        <w:t>.</w:t>
      </w:r>
      <w:r w:rsidRPr="006B5C99">
        <w:rPr>
          <w:rFonts w:ascii="Times New Roman" w:hAnsi="Times New Roman" w:cs="Times New Roman"/>
        </w:rPr>
        <w:t xml:space="preserve"> § 48c odsek 2  písm. a) znie: </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„a) zabezpečiť, aby bol prístroj,</w:t>
      </w:r>
      <w:r>
        <w:rPr>
          <w:rFonts w:ascii="Times New Roman" w:hAnsi="Times New Roman" w:cs="Times New Roman"/>
        </w:rPr>
        <w:t xml:space="preserve"> ktorý je</w:t>
      </w:r>
      <w:r w:rsidRPr="006B5C99">
        <w:rPr>
          <w:rFonts w:ascii="Times New Roman" w:hAnsi="Times New Roman" w:cs="Times New Roman"/>
        </w:rPr>
        <w:t xml:space="preserve"> uvádzaný na trh, </w:t>
      </w:r>
      <w:r>
        <w:rPr>
          <w:rFonts w:ascii="Times New Roman" w:hAnsi="Times New Roman" w:cs="Times New Roman"/>
        </w:rPr>
        <w:t>navrhnutý a vyrobený</w:t>
      </w:r>
      <w:r w:rsidRPr="006B5C99">
        <w:rPr>
          <w:rFonts w:ascii="Times New Roman" w:hAnsi="Times New Roman" w:cs="Times New Roman"/>
        </w:rPr>
        <w:t xml:space="preserve"> tak, aby sa použité batérie a akumulátory dali ľahko vybrať,“.</w:t>
      </w:r>
    </w:p>
    <w:p w:rsidR="00DF0F5B" w:rsidP="00DF0F5B">
      <w:pPr>
        <w:ind w:left="2832" w:firstLine="3"/>
        <w:jc w:val="both"/>
        <w:rPr>
          <w:rFonts w:ascii="Times New Roman" w:hAnsi="Times New Roman" w:cs="Times New Roman"/>
        </w:rPr>
      </w:pPr>
    </w:p>
    <w:p w:rsidR="00DF0F5B" w:rsidRPr="006B5C99" w:rsidP="00DF0F5B">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ktorou sa v záujme jednoznačného výkladu sleduje spresnenie právneho textu v súlade s čl. 11 smernice 2006/66/ES; z uloženej povinnosti vyplýva, že výrobca je povinný konštruovať prístroje tak, aby sa z nich dali batérie a akumulátory ľahko vyberať, a nie aby sa uľahčila demontáž batérií a akumulátorov. </w:t>
      </w:r>
    </w:p>
    <w:p w:rsidR="00DF0F5B" w:rsidRPr="006B5C99" w:rsidP="00DF0F5B">
      <w:pPr>
        <w:jc w:val="both"/>
        <w:rPr>
          <w:rFonts w:ascii="Times New Roman" w:hAnsi="Times New Roman" w:cs="Times New Roman"/>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w:t>
      </w:r>
      <w:r w:rsidRPr="006B5C99">
        <w:rPr>
          <w:rFonts w:ascii="Times New Roman" w:hAnsi="Times New Roman" w:cs="Times New Roman"/>
          <w:u w:val="single"/>
        </w:rPr>
        <w:t xml:space="preserve"> (§ 48e) </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V čl. I  bode 44</w:t>
      </w:r>
      <w:r>
        <w:rPr>
          <w:rFonts w:ascii="Times New Roman" w:hAnsi="Times New Roman" w:cs="Times New Roman"/>
        </w:rPr>
        <w:t>. v</w:t>
      </w:r>
      <w:r w:rsidRPr="006B5C99">
        <w:rPr>
          <w:rFonts w:ascii="Times New Roman" w:hAnsi="Times New Roman" w:cs="Times New Roman"/>
        </w:rPr>
        <w:t xml:space="preserve"> § 48e  písm. a) sa slov</w:t>
      </w:r>
      <w:r>
        <w:rPr>
          <w:rFonts w:ascii="Times New Roman" w:hAnsi="Times New Roman" w:cs="Times New Roman"/>
        </w:rPr>
        <w:t>á</w:t>
      </w:r>
      <w:r w:rsidRPr="006B5C99">
        <w:rPr>
          <w:rFonts w:ascii="Times New Roman" w:hAnsi="Times New Roman" w:cs="Times New Roman"/>
        </w:rPr>
        <w:t xml:space="preserve"> „značkou</w:t>
      </w:r>
      <w:r>
        <w:rPr>
          <w:rFonts w:ascii="Times New Roman" w:hAnsi="Times New Roman" w:cs="Times New Roman"/>
        </w:rPr>
        <w:t xml:space="preserve"> uvedenou</w:t>
      </w:r>
      <w:r w:rsidRPr="006B5C99">
        <w:rPr>
          <w:rFonts w:ascii="Times New Roman" w:hAnsi="Times New Roman" w:cs="Times New Roman"/>
        </w:rPr>
        <w:t>“ nahrádza</w:t>
      </w:r>
      <w:r>
        <w:rPr>
          <w:rFonts w:ascii="Times New Roman" w:hAnsi="Times New Roman" w:cs="Times New Roman"/>
        </w:rPr>
        <w:t>jú</w:t>
      </w:r>
      <w:r w:rsidRPr="006B5C99">
        <w:rPr>
          <w:rFonts w:ascii="Times New Roman" w:hAnsi="Times New Roman" w:cs="Times New Roman"/>
        </w:rPr>
        <w:t xml:space="preserve"> slov</w:t>
      </w:r>
      <w:r>
        <w:rPr>
          <w:rFonts w:ascii="Times New Roman" w:hAnsi="Times New Roman" w:cs="Times New Roman"/>
        </w:rPr>
        <w:t>a</w:t>
      </w:r>
      <w:r w:rsidRPr="006B5C99">
        <w:rPr>
          <w:rFonts w:ascii="Times New Roman" w:hAnsi="Times New Roman" w:cs="Times New Roman"/>
        </w:rPr>
        <w:t>m</w:t>
      </w:r>
      <w:r>
        <w:rPr>
          <w:rFonts w:ascii="Times New Roman" w:hAnsi="Times New Roman" w:cs="Times New Roman"/>
        </w:rPr>
        <w:t>i</w:t>
      </w:r>
      <w:r w:rsidRPr="006B5C99">
        <w:rPr>
          <w:rFonts w:ascii="Times New Roman" w:hAnsi="Times New Roman" w:cs="Times New Roman"/>
        </w:rPr>
        <w:t xml:space="preserve"> „symbolom</w:t>
      </w:r>
      <w:r>
        <w:rPr>
          <w:rFonts w:ascii="Times New Roman" w:hAnsi="Times New Roman" w:cs="Times New Roman"/>
        </w:rPr>
        <w:t xml:space="preserve"> uvedeným</w:t>
      </w:r>
      <w:r w:rsidRPr="006B5C99">
        <w:rPr>
          <w:rFonts w:ascii="Times New Roman" w:hAnsi="Times New Roman" w:cs="Times New Roman"/>
        </w:rPr>
        <w:t>“</w:t>
      </w:r>
      <w:r>
        <w:rPr>
          <w:rFonts w:ascii="Times New Roman" w:hAnsi="Times New Roman" w:cs="Times New Roman"/>
        </w:rPr>
        <w:t xml:space="preserve"> a slovo „ktorá“ sa nahrádza slovom „ktorý“</w:t>
      </w:r>
      <w:r w:rsidRPr="006B5C99">
        <w:rPr>
          <w:rFonts w:ascii="Times New Roman" w:hAnsi="Times New Roman" w:cs="Times New Roman"/>
        </w:rPr>
        <w:t>.</w:t>
      </w:r>
    </w:p>
    <w:p w:rsidR="00DF0F5B" w:rsidP="00DF0F5B">
      <w:pPr>
        <w:ind w:left="2832" w:firstLine="3"/>
        <w:jc w:val="both"/>
        <w:rPr>
          <w:rFonts w:ascii="Times New Roman" w:hAnsi="Times New Roman" w:cs="Times New Roman"/>
        </w:rPr>
      </w:pPr>
    </w:p>
    <w:p w:rsidR="00DF0F5B" w:rsidRPr="006B5C99" w:rsidP="00DF0F5B">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DF0F5B" w:rsidRPr="006B5C99" w:rsidP="00DF0F5B">
      <w:pPr>
        <w:jc w:val="both"/>
        <w:rPr>
          <w:rFonts w:ascii="Times New Roman" w:hAnsi="Times New Roman" w:cs="Times New Roman"/>
          <w:u w:val="single"/>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 xml:space="preserve">. </w:t>
      </w:r>
      <w:r w:rsidRPr="006B5C99">
        <w:rPr>
          <w:rFonts w:ascii="Times New Roman" w:hAnsi="Times New Roman" w:cs="Times New Roman"/>
          <w:u w:val="single"/>
        </w:rPr>
        <w:t>(</w:t>
      </w:r>
      <w:r>
        <w:rPr>
          <w:rFonts w:ascii="Times New Roman" w:hAnsi="Times New Roman" w:cs="Times New Roman"/>
          <w:u w:val="single"/>
        </w:rPr>
        <w:t>§</w:t>
      </w:r>
      <w:r w:rsidRPr="006B5C99">
        <w:rPr>
          <w:rFonts w:ascii="Times New Roman" w:hAnsi="Times New Roman" w:cs="Times New Roman"/>
          <w:u w:val="single"/>
        </w:rPr>
        <w:t xml:space="preserve"> 48e)</w:t>
      </w:r>
    </w:p>
    <w:p w:rsidR="00DF0F5B" w:rsidP="00DF0F5B">
      <w:pPr>
        <w:ind w:left="360"/>
        <w:jc w:val="both"/>
        <w:rPr>
          <w:rFonts w:ascii="Times New Roman" w:hAnsi="Times New Roman" w:cs="Times New Roman"/>
        </w:rPr>
      </w:pPr>
      <w:r w:rsidRPr="006B5C99">
        <w:rPr>
          <w:rFonts w:ascii="Times New Roman" w:hAnsi="Times New Roman" w:cs="Times New Roman"/>
        </w:rPr>
        <w:t>V</w:t>
      </w:r>
      <w:r>
        <w:rPr>
          <w:rFonts w:ascii="Times New Roman" w:hAnsi="Times New Roman" w:cs="Times New Roman"/>
        </w:rPr>
        <w:t> </w:t>
      </w:r>
      <w:r w:rsidRPr="006B5C99">
        <w:rPr>
          <w:rFonts w:ascii="Times New Roman" w:hAnsi="Times New Roman" w:cs="Times New Roman"/>
        </w:rPr>
        <w:t>čl</w:t>
      </w:r>
      <w:r>
        <w:rPr>
          <w:rFonts w:ascii="Times New Roman" w:hAnsi="Times New Roman" w:cs="Times New Roman"/>
        </w:rPr>
        <w:t>.</w:t>
      </w:r>
      <w:r w:rsidRPr="006B5C99">
        <w:rPr>
          <w:rFonts w:ascii="Times New Roman" w:hAnsi="Times New Roman" w:cs="Times New Roman"/>
        </w:rPr>
        <w:t xml:space="preserve"> I bode 44</w:t>
      </w:r>
      <w:r>
        <w:rPr>
          <w:rFonts w:ascii="Times New Roman" w:hAnsi="Times New Roman" w:cs="Times New Roman"/>
        </w:rPr>
        <w:t>. v</w:t>
      </w:r>
      <w:r w:rsidRPr="006B5C99">
        <w:rPr>
          <w:rFonts w:ascii="Times New Roman" w:hAnsi="Times New Roman" w:cs="Times New Roman"/>
        </w:rPr>
        <w:t xml:space="preserve"> § 48e písm. c) sa slová „s obsahom ortuti vyšším ako 0,0005%, s obsahom kadmia vyšším ako 0,002% alebo s obsahom olova vyšším ako 0,004% chemickou značkou  Hg, Cd alebo Pb podľa príslušného kovu“ nahrádzajú slovami „s obsahom ortuti vyšším ako 0,0005% chemickou značkou Hg, s obsahom kadmia vyšším ako 0,002% chemickou značkou Cd alebo s obsahom olova vyšším ako 0,004% chemickou značkou Pb“.</w:t>
      </w:r>
    </w:p>
    <w:p w:rsidR="00DF0F5B" w:rsidRPr="006B5C99" w:rsidP="00DF0F5B">
      <w:pPr>
        <w:ind w:left="360"/>
        <w:jc w:val="both"/>
        <w:rPr>
          <w:rFonts w:ascii="Times New Roman" w:hAnsi="Times New Roman" w:cs="Times New Roman"/>
        </w:rPr>
      </w:pPr>
    </w:p>
    <w:p w:rsidR="00DF0F5B" w:rsidRPr="006B5C99" w:rsidP="00DF0F5B">
      <w:pPr>
        <w:ind w:left="2829" w:firstLine="6"/>
        <w:jc w:val="both"/>
        <w:rPr>
          <w:rFonts w:ascii="Times New Roman" w:hAnsi="Times New Roman" w:cs="Times New Roman"/>
        </w:rPr>
      </w:pPr>
      <w:r w:rsidRPr="006B5C99">
        <w:rPr>
          <w:rFonts w:ascii="Times New Roman" w:hAnsi="Times New Roman" w:cs="Times New Roman"/>
        </w:rPr>
        <w:t>Ide o legislatívno-technickú pripomienku, ktorou sa sleduje dôsledné prevzatie právneho textu z čl. 21 smernice Európskeho parlamentu a Rady 2006/66.</w:t>
      </w:r>
    </w:p>
    <w:p w:rsidR="00DF0F5B" w:rsidP="00DF0F5B">
      <w:pPr>
        <w:jc w:val="both"/>
        <w:rPr>
          <w:rFonts w:ascii="Times New Roman" w:hAnsi="Times New Roman" w:cs="Times New Roman"/>
          <w:u w:val="single"/>
        </w:rPr>
      </w:pPr>
    </w:p>
    <w:p w:rsidR="00DF0F5B" w:rsidRPr="006B5C99" w:rsidP="00DF0F5B">
      <w:pPr>
        <w:numPr>
          <w:ilvl w:val="0"/>
          <w:numId w:val="29"/>
        </w:numPr>
        <w:tabs>
          <w:tab w:val="left" w:pos="360"/>
          <w:tab w:val="clear" w:pos="720"/>
        </w:tabs>
        <w:ind w:hanging="72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w:t>
      </w:r>
      <w:r w:rsidRPr="006B5C99">
        <w:rPr>
          <w:rFonts w:ascii="Times New Roman" w:hAnsi="Times New Roman" w:cs="Times New Roman"/>
          <w:u w:val="single"/>
        </w:rPr>
        <w:t xml:space="preserve"> (</w:t>
      </w:r>
      <w:r>
        <w:rPr>
          <w:rFonts w:ascii="Times New Roman" w:hAnsi="Times New Roman" w:cs="Times New Roman"/>
          <w:u w:val="single"/>
        </w:rPr>
        <w:t>§</w:t>
      </w:r>
      <w:r w:rsidRPr="006B5C99">
        <w:rPr>
          <w:rFonts w:ascii="Times New Roman" w:hAnsi="Times New Roman" w:cs="Times New Roman"/>
          <w:u w:val="single"/>
        </w:rPr>
        <w:t xml:space="preserve"> 48e)</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V čl. I  bode 44</w:t>
      </w:r>
      <w:r>
        <w:rPr>
          <w:rFonts w:ascii="Times New Roman" w:hAnsi="Times New Roman" w:cs="Times New Roman"/>
        </w:rPr>
        <w:t xml:space="preserve">. v </w:t>
      </w:r>
      <w:r w:rsidRPr="006B5C99">
        <w:rPr>
          <w:rFonts w:ascii="Times New Roman" w:hAnsi="Times New Roman" w:cs="Times New Roman"/>
        </w:rPr>
        <w:t>§ 48e  písm. c) sa vo vete za bodkočiarkou slovo „značka“ nahrádza slovom „chemická značka“, slová „pod značkou“ sa nahrádzajú slovami „pod symbolom“ a slová „veľkosti značky“ sa nahrádzajú slovami „veľkosti symbolu“.</w:t>
      </w:r>
    </w:p>
    <w:p w:rsidR="00DF0F5B" w:rsidP="00DF0F5B">
      <w:pPr>
        <w:ind w:left="2832" w:firstLine="3"/>
        <w:jc w:val="both"/>
        <w:rPr>
          <w:rFonts w:ascii="Times New Roman" w:hAnsi="Times New Roman" w:cs="Times New Roman"/>
        </w:rPr>
      </w:pPr>
    </w:p>
    <w:p w:rsidR="00DF0F5B" w:rsidRPr="006B5C99" w:rsidP="00DF0F5B">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„chemická značka“ a „symbol“. </w:t>
      </w:r>
    </w:p>
    <w:p w:rsidR="00DF0F5B" w:rsidRPr="006B5C99" w:rsidP="00DF0F5B">
      <w:pPr>
        <w:jc w:val="both"/>
        <w:rPr>
          <w:rFonts w:ascii="Times New Roman" w:hAnsi="Times New Roman" w:cs="Times New Roman"/>
          <w:u w:val="single"/>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w:t>
      </w:r>
      <w:r w:rsidRPr="006B5C99">
        <w:rPr>
          <w:rFonts w:ascii="Times New Roman" w:hAnsi="Times New Roman" w:cs="Times New Roman"/>
          <w:u w:val="single"/>
        </w:rPr>
        <w:t xml:space="preserve"> (</w:t>
      </w:r>
      <w:r>
        <w:rPr>
          <w:rFonts w:ascii="Times New Roman" w:hAnsi="Times New Roman" w:cs="Times New Roman"/>
          <w:u w:val="single"/>
        </w:rPr>
        <w:t>§</w:t>
      </w:r>
      <w:r w:rsidRPr="006B5C99">
        <w:rPr>
          <w:rFonts w:ascii="Times New Roman" w:hAnsi="Times New Roman" w:cs="Times New Roman"/>
          <w:u w:val="single"/>
        </w:rPr>
        <w:t xml:space="preserve"> 48e)</w:t>
      </w:r>
    </w:p>
    <w:p w:rsidR="00DF0F5B" w:rsidP="00DF0F5B">
      <w:pPr>
        <w:ind w:left="360"/>
        <w:jc w:val="both"/>
        <w:rPr>
          <w:rFonts w:ascii="Times New Roman" w:hAnsi="Times New Roman" w:cs="Times New Roman"/>
        </w:rPr>
      </w:pPr>
      <w:r w:rsidRPr="006B5C99">
        <w:rPr>
          <w:rFonts w:ascii="Times New Roman" w:hAnsi="Times New Roman" w:cs="Times New Roman"/>
        </w:rPr>
        <w:t>V čl. I  bode 44</w:t>
      </w:r>
      <w:r>
        <w:rPr>
          <w:rFonts w:ascii="Times New Roman" w:hAnsi="Times New Roman" w:cs="Times New Roman"/>
        </w:rPr>
        <w:t xml:space="preserve">. v </w:t>
      </w:r>
      <w:r w:rsidRPr="006B5C99">
        <w:rPr>
          <w:rFonts w:ascii="Times New Roman" w:hAnsi="Times New Roman" w:cs="Times New Roman"/>
        </w:rPr>
        <w:t>§ 48e  písm. d), e) a f) sa slovo „značka“ nahrádza slovom „symbol“ v príslušnom gramatickom tvare.</w:t>
      </w:r>
    </w:p>
    <w:p w:rsidR="00DF0F5B" w:rsidRPr="006B5C99" w:rsidP="00DF0F5B">
      <w:pPr>
        <w:ind w:left="360"/>
        <w:jc w:val="both"/>
        <w:rPr>
          <w:rFonts w:ascii="Times New Roman" w:hAnsi="Times New Roman" w:cs="Times New Roman"/>
        </w:rPr>
      </w:pPr>
    </w:p>
    <w:p w:rsidR="00DF0F5B" w:rsidRPr="006B5C99" w:rsidP="00DF0F5B">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DF0F5B" w:rsidRPr="006B5C99" w:rsidP="00DF0F5B">
      <w:pPr>
        <w:jc w:val="both"/>
        <w:rPr>
          <w:rFonts w:ascii="Times New Roman" w:hAnsi="Times New Roman" w:cs="Times New Roman"/>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59</w:t>
      </w:r>
      <w:r>
        <w:rPr>
          <w:rFonts w:ascii="Times New Roman" w:hAnsi="Times New Roman" w:cs="Times New Roman"/>
          <w:u w:val="single"/>
        </w:rPr>
        <w:t>.</w:t>
      </w:r>
    </w:p>
    <w:p w:rsidR="00DF0F5B" w:rsidP="00DF0F5B">
      <w:pPr>
        <w:ind w:left="360"/>
        <w:jc w:val="both"/>
        <w:rPr>
          <w:rFonts w:ascii="Times New Roman" w:hAnsi="Times New Roman" w:cs="Times New Roman"/>
        </w:rPr>
      </w:pPr>
      <w:r w:rsidRPr="006B5C99">
        <w:rPr>
          <w:rFonts w:ascii="Times New Roman" w:hAnsi="Times New Roman" w:cs="Times New Roman"/>
        </w:rPr>
        <w:t>V čl. I bode 59</w:t>
      </w:r>
      <w:r>
        <w:rPr>
          <w:rFonts w:ascii="Times New Roman" w:hAnsi="Times New Roman" w:cs="Times New Roman"/>
        </w:rPr>
        <w:t>. v</w:t>
      </w:r>
      <w:r w:rsidRPr="006B5C99">
        <w:rPr>
          <w:rFonts w:ascii="Times New Roman" w:hAnsi="Times New Roman" w:cs="Times New Roman"/>
        </w:rPr>
        <w:t xml:space="preserve"> § 54a ods. 3 sa za slovo „odpadom“ vkladajú slová „(§ 2 ods. 1)“ a slovo „takéhoto“ sa vypúšťa ako nadbytočné.</w:t>
      </w:r>
    </w:p>
    <w:p w:rsidR="00DF0F5B" w:rsidRPr="006B5C99" w:rsidP="00DF0F5B">
      <w:pPr>
        <w:ind w:left="360"/>
        <w:jc w:val="both"/>
        <w:rPr>
          <w:rFonts w:ascii="Times New Roman" w:hAnsi="Times New Roman" w:cs="Times New Roman"/>
        </w:rPr>
      </w:pPr>
    </w:p>
    <w:p w:rsidR="00DF0F5B" w:rsidP="00DF0F5B">
      <w:pPr>
        <w:ind w:left="2829"/>
        <w:jc w:val="both"/>
        <w:rPr>
          <w:rFonts w:ascii="Times New Roman" w:hAnsi="Times New Roman" w:cs="Times New Roman"/>
        </w:rPr>
      </w:pPr>
      <w:r w:rsidRPr="006B5C99">
        <w:rPr>
          <w:rFonts w:ascii="Times New Roman" w:hAnsi="Times New Roman" w:cs="Times New Roman"/>
        </w:rPr>
        <w:t>Ide o legislatívno-technickú pripomienku, ktorou sa sleduje zosúladenie s čl. 3 písm. b) smernice Európskeho parlamentu a Rady 2002/96/ES v znení neskorších predpisov</w:t>
      </w:r>
      <w:r>
        <w:rPr>
          <w:rFonts w:ascii="Times New Roman" w:hAnsi="Times New Roman" w:cs="Times New Roman"/>
        </w:rPr>
        <w:t>.</w:t>
      </w:r>
    </w:p>
    <w:p w:rsidR="00DF0F5B" w:rsidRPr="006B5C99" w:rsidP="00DF0F5B">
      <w:pPr>
        <w:ind w:left="2829"/>
        <w:jc w:val="both"/>
        <w:rPr>
          <w:rFonts w:ascii="Times New Roman" w:hAnsi="Times New Roman" w:cs="Times New Roman"/>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62</w:t>
      </w:r>
      <w:r>
        <w:rPr>
          <w:rFonts w:ascii="Times New Roman" w:hAnsi="Times New Roman" w:cs="Times New Roman"/>
          <w:u w:val="single"/>
        </w:rPr>
        <w:t>.</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V čl. I bode 62</w:t>
      </w:r>
      <w:r>
        <w:rPr>
          <w:rFonts w:ascii="Times New Roman" w:hAnsi="Times New Roman" w:cs="Times New Roman"/>
        </w:rPr>
        <w:t xml:space="preserve">. v </w:t>
      </w:r>
      <w:r w:rsidRPr="006B5C99">
        <w:rPr>
          <w:rFonts w:ascii="Times New Roman" w:hAnsi="Times New Roman" w:cs="Times New Roman"/>
        </w:rPr>
        <w:t xml:space="preserve"> § 54b ods. 1 písm. b) znie:</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„b) označiť elektrozariadenie pri jeho uvedení na trh ochrannou známkou alebo označením, ktoré výrobca používa pre svoju identifikáciu a časovým údajom, že elektrozariadenie bolo uvedené na trh po 13. auguste 2005; povinnosť označiť elektrozariadenie časovým údajom možno splniť aj označením elektrozariadenia grafickým symbolom podľa písmena c),“.</w:t>
      </w:r>
    </w:p>
    <w:p w:rsidR="00DF0F5B" w:rsidP="00DF0F5B">
      <w:pPr>
        <w:ind w:left="2832"/>
        <w:jc w:val="both"/>
        <w:rPr>
          <w:rFonts w:ascii="Times New Roman" w:hAnsi="Times New Roman" w:cs="Times New Roman"/>
        </w:rPr>
      </w:pPr>
    </w:p>
    <w:p w:rsidR="00DF0F5B" w:rsidRPr="006B5C99" w:rsidP="00DF0F5B">
      <w:pPr>
        <w:ind w:left="2829"/>
        <w:jc w:val="both"/>
        <w:rPr>
          <w:rFonts w:ascii="Times New Roman" w:hAnsi="Times New Roman" w:cs="Times New Roman"/>
        </w:rPr>
      </w:pPr>
      <w:r w:rsidRPr="006B5C99">
        <w:rPr>
          <w:rFonts w:ascii="Times New Roman" w:hAnsi="Times New Roman" w:cs="Times New Roman"/>
        </w:rPr>
        <w:t>Ide o legislatívno-technickú pripomienku, ktorou sa sleduje zosúladenie s článkom 11 ods. 2 smernice Európskeho parlamentu a Rady 2002/96/ES v znení neskorších predpisov.</w:t>
      </w:r>
    </w:p>
    <w:p w:rsidR="00DF0F5B" w:rsidRPr="006B5C99" w:rsidP="00DF0F5B">
      <w:pPr>
        <w:jc w:val="both"/>
        <w:rPr>
          <w:rFonts w:ascii="Times New Roman" w:hAnsi="Times New Roman" w:cs="Times New Roman"/>
        </w:rPr>
      </w:pPr>
    </w:p>
    <w:p w:rsidR="00DF0F5B" w:rsidRPr="006B5C99" w:rsidP="00DF0F5B">
      <w:pPr>
        <w:numPr>
          <w:ilvl w:val="0"/>
          <w:numId w:val="2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100</w:t>
      </w:r>
      <w:r>
        <w:rPr>
          <w:rFonts w:ascii="Times New Roman" w:hAnsi="Times New Roman" w:cs="Times New Roman"/>
          <w:u w:val="single"/>
        </w:rPr>
        <w:t>.</w:t>
      </w:r>
    </w:p>
    <w:p w:rsidR="00DF0F5B" w:rsidRPr="006B5C99" w:rsidP="00DF0F5B">
      <w:pPr>
        <w:ind w:left="360"/>
        <w:jc w:val="both"/>
        <w:rPr>
          <w:rFonts w:ascii="Times New Roman" w:hAnsi="Times New Roman" w:cs="Times New Roman"/>
        </w:rPr>
      </w:pPr>
      <w:r w:rsidRPr="006B5C99">
        <w:rPr>
          <w:rFonts w:ascii="Times New Roman" w:hAnsi="Times New Roman" w:cs="Times New Roman"/>
        </w:rPr>
        <w:t xml:space="preserve">V čl. </w:t>
      </w:r>
      <w:r>
        <w:rPr>
          <w:rFonts w:ascii="Times New Roman" w:hAnsi="Times New Roman" w:cs="Times New Roman"/>
        </w:rPr>
        <w:t>I</w:t>
      </w:r>
      <w:r w:rsidRPr="006B5C99">
        <w:rPr>
          <w:rFonts w:ascii="Times New Roman" w:hAnsi="Times New Roman" w:cs="Times New Roman"/>
        </w:rPr>
        <w:t> bode 100. v § 63 ods. 4. bode v. sa slovo „značky“ nahrádza slovom „symbolu“.</w:t>
      </w:r>
    </w:p>
    <w:p w:rsidR="00DF0F5B" w:rsidP="00DF0F5B">
      <w:pPr>
        <w:ind w:left="2832" w:firstLine="3"/>
        <w:jc w:val="both"/>
        <w:rPr>
          <w:rFonts w:ascii="Times New Roman" w:hAnsi="Times New Roman" w:cs="Times New Roman"/>
        </w:rPr>
      </w:pPr>
    </w:p>
    <w:p w:rsidR="00DF0F5B" w:rsidRPr="006B5C99" w:rsidP="00DF0F5B">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v nadväznosti na pripomienku k čl. I bodu 44., ktorou sa sleduje zosúladenie s článkom 21 smernice Európskeho parlamentu a Rady 2006/66 a prílohou 7 novely zákona, ktorá používa termín „symbol“. </w:t>
      </w:r>
    </w:p>
    <w:p w:rsidR="00DF0F5B" w:rsidRPr="006B5C99" w:rsidP="00DF0F5B">
      <w:pPr>
        <w:jc w:val="both"/>
        <w:rPr>
          <w:rFonts w:ascii="Times New Roman" w:hAnsi="Times New Roman" w:cs="Times New Roman"/>
        </w:rPr>
      </w:pPr>
    </w:p>
    <w:p w:rsidR="00DF0F5B" w:rsidRPr="006B5C99" w:rsidP="00DF0F5B">
      <w:pPr>
        <w:numPr>
          <w:ilvl w:val="0"/>
          <w:numId w:val="29"/>
        </w:numPr>
        <w:tabs>
          <w:tab w:val="left" w:pos="360"/>
          <w:tab w:val="clear" w:pos="720"/>
        </w:tabs>
        <w:ind w:left="360"/>
        <w:rPr>
          <w:rFonts w:ascii="Times New Roman" w:hAnsi="Times New Roman" w:cs="TimesNewRomanBold"/>
          <w:bCs/>
          <w:u w:val="single"/>
        </w:rPr>
      </w:pPr>
      <w:r w:rsidRPr="006B5C99">
        <w:rPr>
          <w:rFonts w:ascii="Times New Roman" w:hAnsi="Times New Roman" w:cs="Times New Roman"/>
          <w:u w:val="single"/>
        </w:rPr>
        <w:t>K bodu 157</w:t>
      </w:r>
      <w:r>
        <w:rPr>
          <w:rFonts w:ascii="Times New Roman" w:hAnsi="Times New Roman" w:cs="Times New Roman"/>
          <w:u w:val="single"/>
        </w:rPr>
        <w:t>.</w:t>
      </w:r>
      <w:r w:rsidRPr="006B5C99">
        <w:rPr>
          <w:rFonts w:ascii="Times New Roman" w:hAnsi="Times New Roman" w:cs="TimesNewRomanBold"/>
          <w:bCs/>
          <w:u w:val="single"/>
        </w:rPr>
        <w:t xml:space="preserve"> </w:t>
      </w:r>
    </w:p>
    <w:p w:rsidR="00DF0F5B" w:rsidRPr="006B5C99" w:rsidP="00DF0F5B">
      <w:pPr>
        <w:ind w:left="360"/>
        <w:rPr>
          <w:rFonts w:ascii="Times New Roman" w:hAnsi="Times New Roman" w:cs="TimesNewRomanBold"/>
          <w:bCs/>
        </w:rPr>
      </w:pPr>
      <w:r w:rsidRPr="006B5C99">
        <w:rPr>
          <w:rFonts w:ascii="Times New Roman" w:hAnsi="Times New Roman" w:cs="TimesNewRomanBold"/>
          <w:bCs/>
        </w:rPr>
        <w:t>Príloha č. 7 znie:</w:t>
        <w:tab/>
        <w:tab/>
        <w:tab/>
        <w:tab/>
        <w:tab/>
      </w:r>
      <w:r>
        <w:rPr>
          <w:rFonts w:ascii="Times New Roman" w:hAnsi="Times New Roman" w:cs="TimesNewRomanBold"/>
          <w:bCs/>
        </w:rPr>
        <w:t>„</w:t>
      </w:r>
      <w:r w:rsidRPr="006B5C99">
        <w:rPr>
          <w:rFonts w:ascii="Times New Roman" w:hAnsi="Times New Roman" w:cs="TimesNewRomanBold"/>
          <w:bCs/>
        </w:rPr>
        <w:t>Príloha č. 7 k zákonu č. 223/2001 Z.</w:t>
      </w:r>
      <w:r>
        <w:rPr>
          <w:rFonts w:ascii="Times New Roman" w:hAnsi="Times New Roman" w:cs="TimesNewRomanBold"/>
          <w:bCs/>
        </w:rPr>
        <w:t xml:space="preserve"> </w:t>
      </w:r>
      <w:r w:rsidRPr="006B5C99">
        <w:rPr>
          <w:rFonts w:ascii="Times New Roman" w:hAnsi="Times New Roman" w:cs="TimesNewRomanBold"/>
          <w:bCs/>
        </w:rPr>
        <w:t>z.</w:t>
      </w:r>
    </w:p>
    <w:p w:rsidR="00DF0F5B" w:rsidRPr="006B5C99" w:rsidP="00DF0F5B">
      <w:pPr>
        <w:autoSpaceDE/>
        <w:autoSpaceDN/>
        <w:rPr>
          <w:rFonts w:ascii="TimesNewRomanBold" w:hAnsi="TimesNewRomanBold" w:cs="TimesNewRomanBold"/>
          <w:bCs/>
          <w:sz w:val="17"/>
          <w:szCs w:val="17"/>
        </w:rPr>
      </w:pPr>
    </w:p>
    <w:p w:rsidR="00DF0F5B" w:rsidRPr="006B5C99" w:rsidP="00DF0F5B">
      <w:pPr>
        <w:autoSpaceDE/>
        <w:autoSpaceDN/>
        <w:rPr>
          <w:rFonts w:ascii="TimesNewRomanBold" w:hAnsi="TimesNewRomanBold" w:cs="TimesNewRomanBold"/>
          <w:bCs/>
          <w:sz w:val="17"/>
          <w:szCs w:val="17"/>
        </w:rPr>
      </w:pPr>
    </w:p>
    <w:p w:rsidR="00DF0F5B" w:rsidRPr="006B5C99" w:rsidP="00DF0F5B">
      <w:pPr>
        <w:autoSpaceDE/>
        <w:autoSpaceDN/>
        <w:rPr>
          <w:rFonts w:ascii="TimesNewRomanBold" w:hAnsi="TimesNewRomanBold" w:cs="TimesNewRomanBold"/>
          <w:bCs/>
          <w:sz w:val="17"/>
          <w:szCs w:val="17"/>
        </w:rPr>
      </w:pPr>
    </w:p>
    <w:p w:rsidR="00DF0F5B" w:rsidRPr="006B5C99" w:rsidP="00DF0F5B">
      <w:pPr>
        <w:autoSpaceDE/>
        <w:autoSpaceDN/>
        <w:rPr>
          <w:rFonts w:ascii="TimesNewRomanBold" w:hAnsi="TimesNewRomanBold" w:cs="TimesNewRomanBold"/>
          <w:bCs/>
          <w:sz w:val="17"/>
          <w:szCs w:val="17"/>
        </w:rPr>
      </w:pPr>
    </w:p>
    <w:p w:rsidR="00DF0F5B" w:rsidRPr="00CD7ADF" w:rsidP="00DF0F5B">
      <w:pPr>
        <w:autoSpaceDE/>
        <w:autoSpaceDN/>
        <w:jc w:val="both"/>
        <w:rPr>
          <w:rFonts w:ascii="TimesNewRomanBold" w:hAnsi="TimesNewRomanBold" w:cs="TimesNewRomanBold"/>
          <w:b/>
          <w:bCs/>
        </w:rPr>
      </w:pPr>
      <w:r w:rsidRPr="00CD7ADF">
        <w:rPr>
          <w:rFonts w:ascii="TimesNewRomanBold" w:hAnsi="TimesNewRomanBold" w:cs="TimesNewRomanBold"/>
          <w:b/>
          <w:bCs/>
        </w:rPr>
        <w:t>Symbol na označenie separovaného zberu elektrických a elektronických zariadení vrátane batérií a akumulátorov</w:t>
      </w:r>
    </w:p>
    <w:p w:rsidR="00DF0F5B" w:rsidRPr="006B5C99" w:rsidP="00DF0F5B">
      <w:pPr>
        <w:autoSpaceDE/>
        <w:autoSpaceDN/>
        <w:rPr>
          <w:rFonts w:ascii="TimesNewRomanBold" w:hAnsi="TimesNewRomanBold" w:cs="TimesNewRomanBold"/>
          <w:bCs/>
          <w:sz w:val="17"/>
          <w:szCs w:val="17"/>
        </w:rPr>
      </w:pPr>
    </w:p>
    <w:p w:rsidR="00DF0F5B" w:rsidRPr="006B5C99" w:rsidP="00DF0F5B">
      <w:pPr>
        <w:autoSpaceDE/>
        <w:autoSpaceDN/>
        <w:rPr>
          <w:rFonts w:ascii="TimesNewRomanBold" w:hAnsi="TimesNewRomanBold" w:cs="TimesNewRomanBold"/>
          <w:bCs/>
          <w:sz w:val="17"/>
          <w:szCs w:val="17"/>
        </w:rPr>
      </w:pPr>
    </w:p>
    <w:p w:rsidR="00DF0F5B" w:rsidRPr="006B5C99" w:rsidP="00DF0F5B">
      <w:pPr>
        <w:autoSpaceDE/>
        <w:autoSpaceDN/>
        <w:jc w:val="both"/>
        <w:rPr>
          <w:rFonts w:ascii="TimesNewRomanBold" w:hAnsi="TimesNewRomanBold" w:cs="TimesNewRomanBold"/>
          <w:bCs/>
        </w:rPr>
      </w:pPr>
      <w:r w:rsidRPr="006B5C99">
        <w:rPr>
          <w:rFonts w:ascii="TimesNewRomanBold" w:hAnsi="TimesNewRomanBold" w:cs="TimesNewRomanBold"/>
          <w:bCs/>
        </w:rPr>
        <w:t>Symbol, ktorý označuje separovaný zber</w:t>
      </w:r>
      <w:r w:rsidRPr="006B5C99">
        <w:rPr>
          <w:rFonts w:ascii="TimesNewRomanBold" w:hAnsi="TimesNewRomanBold" w:cs="TimesNewRomanBold"/>
          <w:bCs/>
          <w:sz w:val="17"/>
          <w:szCs w:val="17"/>
        </w:rPr>
        <w:t xml:space="preserve"> </w:t>
      </w:r>
      <w:r w:rsidRPr="006B5C99">
        <w:rPr>
          <w:rFonts w:ascii="TimesNewRomanBold" w:hAnsi="TimesNewRomanBold" w:cs="TimesNewRomanBold"/>
          <w:bCs/>
        </w:rPr>
        <w:t xml:space="preserve">elektrických a elektronických zariadení vrátane batérií a akumulátorov, uvedený v tejto prílohe, pozostáva z preškrtnutej smetnej nádoby na kolieskach. </w:t>
      </w:r>
    </w:p>
    <w:p w:rsidR="00DF0F5B" w:rsidRPr="006B5C99" w:rsidP="00DF0F5B">
      <w:pPr>
        <w:autoSpaceDE/>
        <w:autoSpaceDN/>
        <w:rPr>
          <w:rFonts w:ascii="TimesNewRomanBold" w:hAnsi="TimesNewRomanBold" w:cs="TimesNewRomanBold"/>
          <w:bCs/>
        </w:rPr>
      </w:pPr>
      <w:r w:rsidRPr="006B5C99">
        <w:rPr>
          <w:rFonts w:ascii="TimesNewRomanBold" w:hAnsi="TimesNewRomanBold" w:cs="TimesNewRomanBold"/>
          <w:bCs/>
        </w:rPr>
        <w:t>Symbol musí byť zreteľne, čitateľne a nezmazateľne vytlačený.“</w:t>
      </w:r>
    </w:p>
    <w:p w:rsidR="00DF0F5B" w:rsidRPr="006B5C99" w:rsidP="00DF0F5B">
      <w:pPr>
        <w:autoSpaceDE/>
        <w:autoSpaceDN/>
        <w:rPr>
          <w:rFonts w:ascii="TimesNewRomanBold" w:hAnsi="TimesNewRomanBold" w:cs="TimesNewRomanBold"/>
          <w:bCs/>
        </w:rPr>
      </w:pPr>
    </w:p>
    <w:p w:rsidR="00DF0F5B" w:rsidRPr="006B5C99" w:rsidP="00DF0F5B">
      <w:pPr>
        <w:autoSpaceDE/>
        <w:autoSpaceDN/>
        <w:rPr>
          <w:rFonts w:ascii="TimesNewRomanBold" w:hAnsi="TimesNewRomanBold" w:cs="TimesNewRomanBold"/>
          <w:bCs/>
        </w:rPr>
      </w:pPr>
    </w:p>
    <w:p w:rsidR="00DF0F5B" w:rsidRPr="006B5C99" w:rsidP="00DF0F5B">
      <w:pPr>
        <w:autoSpaceDE/>
        <w:autoSpaceDN/>
        <w:rPr>
          <w:rFonts w:ascii="TimesNewRomanBold" w:hAnsi="TimesNewRomanBold" w:cs="TimesNewRomanBold"/>
          <w:bCs/>
        </w:rPr>
      </w:pPr>
    </w:p>
    <w:p w:rsidR="00DF0F5B" w:rsidRPr="006B5C99" w:rsidP="00DF0F5B">
      <w:pPr>
        <w:autoSpaceDE/>
        <w:autoSpaceDN/>
        <w:jc w:val="center"/>
        <w:rPr>
          <w:rFonts w:ascii="TimesNewRomanBold" w:hAnsi="TimesNewRomanBold" w:cs="TimesNewRomanBold"/>
          <w:bCs/>
        </w:rPr>
      </w:pPr>
      <w:r>
        <w:rPr>
          <w:rFonts w:ascii="TimesNewRomanBold" w:hAnsi="TimesNewRomanBold" w:cs="TimesNewRomanBold"/>
          <w:bCs/>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84.5pt" stroked="f">
            <v:imagedata r:id="rId4" o:title=""/>
          </v:shape>
        </w:pict>
      </w:r>
    </w:p>
    <w:p w:rsidR="00DF0F5B" w:rsidRPr="006B5C99" w:rsidP="00DF0F5B">
      <w:pPr>
        <w:autoSpaceDE/>
        <w:autoSpaceDN/>
        <w:rPr>
          <w:rFonts w:ascii="TimesNewRomanBold" w:hAnsi="TimesNewRomanBold" w:cs="TimesNewRomanBold"/>
          <w:bCs/>
        </w:rPr>
      </w:pPr>
    </w:p>
    <w:p w:rsidR="00DF0F5B" w:rsidRPr="006B5C99" w:rsidP="00DF0F5B">
      <w:pPr>
        <w:autoSpaceDE/>
        <w:autoSpaceDN/>
        <w:rPr>
          <w:rFonts w:ascii="TimesNewRomanBold" w:hAnsi="TimesNewRomanBold" w:cs="TimesNewRomanBold"/>
          <w:bCs/>
          <w:sz w:val="17"/>
          <w:szCs w:val="17"/>
        </w:rPr>
      </w:pPr>
    </w:p>
    <w:p w:rsidR="00DF0F5B" w:rsidP="00DF0F5B">
      <w:pPr>
        <w:ind w:left="2829"/>
        <w:jc w:val="both"/>
        <w:rPr>
          <w:rFonts w:ascii="Times New Roman" w:hAnsi="Times New Roman" w:cs="Times New Roman"/>
        </w:rPr>
      </w:pPr>
      <w:r w:rsidRPr="006B5C99">
        <w:rPr>
          <w:rFonts w:ascii="Times New Roman" w:hAnsi="Times New Roman" w:cs="Times New Roman"/>
        </w:rPr>
        <w:t xml:space="preserve">Ide o legislatívno-technickú pripomienku, ktorou sa sleduje zosúladenie s prílohou II smernice Európskeho parlamentu a Rady 2006/66/ES v znení neskorších predpisov a prílohou IV smernice Európskeho parlamentu a Rady 2002/96 v znení neskorších predpisov; z článku 2 smernice Európskeho parlamentu a Rady 2006/66/ES vyplýva, že „sa vzťahuje na všetky typy batérií a akumulátorov ... a uplatňuje sa bez toho, aby boli dotknuté smernice 2000/53/ES a 2002/96/ES“. </w:t>
      </w:r>
    </w:p>
    <w:p w:rsidR="00DF0F5B" w:rsidP="00DF0F5B">
      <w:pPr>
        <w:jc w:val="both"/>
        <w:rPr>
          <w:rFonts w:ascii="Times New Roman" w:hAnsi="Times New Roman" w:cs="Times New Roman"/>
        </w:rPr>
      </w:pPr>
    </w:p>
    <w:p w:rsidR="00DF0F5B" w:rsidRPr="00AE3ED8" w:rsidP="00DF0F5B">
      <w:pPr>
        <w:numPr>
          <w:ilvl w:val="0"/>
          <w:numId w:val="29"/>
        </w:numPr>
        <w:tabs>
          <w:tab w:val="left" w:pos="360"/>
          <w:tab w:val="clear" w:pos="720"/>
        </w:tabs>
        <w:ind w:left="360"/>
        <w:jc w:val="both"/>
        <w:rPr>
          <w:rFonts w:ascii="Times New Roman" w:hAnsi="Times New Roman" w:cs="Times New Roman"/>
        </w:rPr>
      </w:pPr>
      <w:r>
        <w:rPr>
          <w:rFonts w:ascii="Times New Roman" w:hAnsi="Times New Roman" w:cs="Times New Roman"/>
          <w:u w:val="single"/>
        </w:rPr>
        <w:t>K čl. II (čl. I)</w:t>
      </w:r>
    </w:p>
    <w:p w:rsidR="00DF0F5B" w:rsidP="00DF0F5B">
      <w:pPr>
        <w:ind w:left="360"/>
        <w:jc w:val="both"/>
        <w:rPr>
          <w:rFonts w:ascii="Times New Roman" w:hAnsi="Times New Roman" w:cs="Times New Roman"/>
        </w:rPr>
      </w:pPr>
      <w:r>
        <w:rPr>
          <w:rFonts w:ascii="Times New Roman" w:hAnsi="Times New Roman" w:cs="Times New Roman"/>
        </w:rPr>
        <w:t>V čl. II sa slová „1. augusta 2009“ nahrádzajú slovami „1. septembra 2009“ a slová „1. septembra 2009“ slovami „1. októbra 2009“.</w:t>
      </w:r>
    </w:p>
    <w:p w:rsidR="00DF0F5B" w:rsidP="00DF0F5B">
      <w:pPr>
        <w:ind w:left="360"/>
        <w:jc w:val="both"/>
        <w:rPr>
          <w:rFonts w:ascii="Times New Roman" w:hAnsi="Times New Roman" w:cs="Times New Roman"/>
        </w:rPr>
      </w:pPr>
      <w:r>
        <w:rPr>
          <w:rFonts w:ascii="Times New Roman" w:hAnsi="Times New Roman" w:cs="Times New Roman"/>
        </w:rPr>
        <w:t>V súvislosti so zmenou účinnosti zákona sa v čl. I v § 81b, 81c, 81d, 81e, 81h slová „1. augusta 2009“ nahradia slovami „1. septembra“ vo všetkých gramatických tvaroch.</w:t>
      </w:r>
    </w:p>
    <w:p w:rsidR="00DF0F5B" w:rsidP="00DF0F5B">
      <w:pPr>
        <w:ind w:left="360"/>
        <w:jc w:val="both"/>
        <w:rPr>
          <w:rFonts w:ascii="Times New Roman" w:hAnsi="Times New Roman" w:cs="Times New Roman"/>
        </w:rPr>
      </w:pPr>
    </w:p>
    <w:p w:rsidR="00715939" w:rsidP="00DF0F5B">
      <w:pPr>
        <w:ind w:left="2880"/>
        <w:jc w:val="both"/>
        <w:rPr>
          <w:rFonts w:ascii="Times New Roman" w:hAnsi="Times New Roman" w:cs="Times New Roman"/>
        </w:rPr>
      </w:pPr>
      <w:r w:rsidRPr="00AE3ED8" w:rsidR="00DF0F5B">
        <w:rPr>
          <w:rFonts w:ascii="Times New Roman" w:hAnsi="Times New Roman" w:cs="Times New Roman"/>
        </w:rPr>
        <w:t xml:space="preserve">Zmena účinnosti sa navrhuje z dôvodu trvania legislatívneho procesu a dodržania požiadaviek a lehôt </w:t>
      </w:r>
      <w:smartTag w:uri="urn:schemas-microsoft-com:office:smarttags" w:element="PersonName">
        <w:r w:rsidRPr="00AE3ED8" w:rsidR="00DF0F5B">
          <w:rPr>
            <w:rFonts w:ascii="Times New Roman" w:hAnsi="Times New Roman" w:cs="Times New Roman"/>
          </w:rPr>
          <w:t>stano</w:t>
        </w:r>
      </w:smartTag>
      <w:r w:rsidRPr="00AE3ED8" w:rsidR="00DF0F5B">
        <w:rPr>
          <w:rFonts w:ascii="Times New Roman" w:hAnsi="Times New Roman" w:cs="Times New Roman"/>
        </w:rPr>
        <w:t>vených Ústavou Slovenskej republiky [čl. 87 ods. 2 až 4 a čl. 102 ods. 1 písm. o)].</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imes">
    <w:panose1 w:val="02020603050405020304"/>
    <w:charset w:val="00"/>
    <w:family w:val="roman"/>
    <w:pitch w:val="default"/>
    <w:sig w:usb0="00000000" w:usb1="00000000" w:usb2="00000000" w:usb3="00000000" w:csb0="00000001" w:csb1="00000000"/>
  </w:font>
  <w:font w:name="EUAlbertinaCE-Regu">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33A"/>
    <w:multiLevelType w:val="hybridMultilevel"/>
    <w:tmpl w:val="9A4E16AA"/>
    <w:lvl w:ilvl="0">
      <w:start w:val="1"/>
      <w:numFmt w:val="decimal"/>
      <w:lvlText w:val="%1."/>
      <w:lvlJc w:val="left"/>
      <w:pPr>
        <w:tabs>
          <w:tab w:val="num" w:pos="1155"/>
        </w:tabs>
        <w:ind w:left="1155" w:hanging="360"/>
      </w:pPr>
    </w:lvl>
    <w:lvl w:ilvl="1">
      <w:start w:val="1"/>
      <w:numFmt w:val="lowerLetter"/>
      <w:lvlText w:val="%2."/>
      <w:lvlJc w:val="left"/>
      <w:pPr>
        <w:tabs>
          <w:tab w:val="num" w:pos="1875"/>
        </w:tabs>
        <w:ind w:left="1875" w:hanging="360"/>
      </w:p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1">
    <w:nsid w:val="09A36F70"/>
    <w:multiLevelType w:val="hybridMultilevel"/>
    <w:tmpl w:val="4D62FA86"/>
    <w:lvl w:ilvl="0">
      <w:start w:val="1"/>
      <w:numFmt w:val="decimal"/>
      <w:lvlText w:val="%1."/>
      <w:lvlJc w:val="left"/>
      <w:pPr>
        <w:tabs>
          <w:tab w:val="num" w:pos="720"/>
        </w:tabs>
        <w:ind w:left="720" w:hanging="360"/>
      </w:pPr>
      <w:rPr>
        <w:b w:val="0"/>
        <w:color w:val="auto"/>
        <w:u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384CAF"/>
    <w:multiLevelType w:val="hybridMultilevel"/>
    <w:tmpl w:val="DBB076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A139BF"/>
    <w:multiLevelType w:val="hybridMultilevel"/>
    <w:tmpl w:val="08D2B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9E368D"/>
    <w:multiLevelType w:val="hybridMultilevel"/>
    <w:tmpl w:val="EE90BBF6"/>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1EB95019"/>
    <w:multiLevelType w:val="hybridMultilevel"/>
    <w:tmpl w:val="1B8421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DB7E74"/>
    <w:multiLevelType w:val="singleLevel"/>
    <w:tmpl w:val="39F038C2"/>
    <w:lvl w:ilvl="0">
      <w:start w:val="1"/>
      <w:numFmt w:val="upperLetter"/>
      <w:pStyle w:val="Heading3"/>
      <w:lvlText w:val="%1."/>
      <w:lvlJc w:val="left"/>
      <w:pPr>
        <w:tabs>
          <w:tab w:val="num" w:pos="420"/>
        </w:tabs>
        <w:ind w:left="420" w:hanging="420"/>
      </w:pPr>
    </w:lvl>
  </w:abstractNum>
  <w:abstractNum w:abstractNumId="7">
    <w:nsid w:val="265E28B2"/>
    <w:multiLevelType w:val="hybridMultilevel"/>
    <w:tmpl w:val="C87A7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7744DC"/>
    <w:multiLevelType w:val="hybridMultilevel"/>
    <w:tmpl w:val="EEE44982"/>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4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3BEC0605"/>
    <w:multiLevelType w:val="hybridMultilevel"/>
    <w:tmpl w:val="441AEE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180E13"/>
    <w:multiLevelType w:val="hybridMultilevel"/>
    <w:tmpl w:val="28AE11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4E37387"/>
    <w:multiLevelType w:val="hybridMultilevel"/>
    <w:tmpl w:val="2272C4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6E514B2"/>
    <w:multiLevelType w:val="hybridMultilevel"/>
    <w:tmpl w:val="2EA27256"/>
    <w:lvl w:ilvl="0">
      <w:start w:val="1"/>
      <w:numFmt w:val="decimal"/>
      <w:lvlText w:val="%1."/>
      <w:lvlJc w:val="left"/>
      <w:pPr>
        <w:tabs>
          <w:tab w:val="num" w:pos="705"/>
        </w:tabs>
        <w:ind w:left="705" w:hanging="375"/>
      </w:p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abstractNum w:abstractNumId="13">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14">
    <w:nsid w:val="5071343B"/>
    <w:multiLevelType w:val="hybridMultilevel"/>
    <w:tmpl w:val="EE04A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9D46CD"/>
    <w:multiLevelType w:val="hybridMultilevel"/>
    <w:tmpl w:val="B5CE51EA"/>
    <w:lvl w:ilvl="0">
      <w:start w:val="2"/>
      <w:numFmt w:val="upp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52DB6792"/>
    <w:multiLevelType w:val="hybridMultilevel"/>
    <w:tmpl w:val="796213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5D91CB1"/>
    <w:multiLevelType w:val="hybridMultilevel"/>
    <w:tmpl w:val="C6DA40C4"/>
    <w:lvl w:ilvl="0">
      <w:start w:val="1"/>
      <w:numFmt w:val="decimal"/>
      <w:lvlText w:val="%1."/>
      <w:lvlJc w:val="left"/>
      <w:pPr>
        <w:tabs>
          <w:tab w:val="num" w:pos="360"/>
        </w:tabs>
        <w:ind w:left="360" w:hanging="360"/>
      </w:pPr>
      <w:rPr>
        <w:b w:val="0"/>
        <w:rtl w:val="0"/>
      </w:rPr>
    </w:lvl>
    <w:lvl w:ilvl="1">
      <w:start w:val="1"/>
      <w:numFmt w:val="decimal"/>
      <w:lvlText w:val="%2."/>
      <w:lvlJc w:val="left"/>
      <w:pPr>
        <w:tabs>
          <w:tab w:val="num" w:pos="1440"/>
        </w:tabs>
        <w:ind w:left="144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A82250"/>
    <w:multiLevelType w:val="hybridMultilevel"/>
    <w:tmpl w:val="186AE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83C2B95"/>
    <w:multiLevelType w:val="hybridMultilevel"/>
    <w:tmpl w:val="092880A6"/>
    <w:lvl w:ilvl="0">
      <w:start w:val="1"/>
      <w:numFmt w:val="decimal"/>
      <w:lvlText w:val="%1."/>
      <w:lvlJc w:val="left"/>
      <w:pPr>
        <w:tabs>
          <w:tab w:val="num" w:pos="0"/>
        </w:tabs>
        <w:ind w:left="0" w:hanging="360"/>
      </w:pPr>
      <w:rPr>
        <w:b w:val="0"/>
        <w:rtl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5C394750"/>
    <w:multiLevelType w:val="hybridMultilevel"/>
    <w:tmpl w:val="2DF8F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CEC08A0"/>
    <w:multiLevelType w:val="hybridMultilevel"/>
    <w:tmpl w:val="39CCBA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D72127"/>
    <w:multiLevelType w:val="hybridMultilevel"/>
    <w:tmpl w:val="8CC8569E"/>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6526425E"/>
    <w:multiLevelType w:val="hybridMultilevel"/>
    <w:tmpl w:val="B30ECCC6"/>
    <w:lvl w:ilvl="0">
      <w:start w:val="1"/>
      <w:numFmt w:val="upperLetter"/>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nsid w:val="667552E1"/>
    <w:multiLevelType w:val="hybridMultilevel"/>
    <w:tmpl w:val="0AB05C26"/>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A14567C"/>
    <w:multiLevelType w:val="hybridMultilevel"/>
    <w:tmpl w:val="BF7EFB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CB10763"/>
    <w:multiLevelType w:val="hybridMultilevel"/>
    <w:tmpl w:val="02EEA3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E9F1878"/>
    <w:multiLevelType w:val="hybridMultilevel"/>
    <w:tmpl w:val="B03EB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91B5670"/>
    <w:multiLevelType w:val="hybridMultilevel"/>
    <w:tmpl w:val="2ED610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2F5268"/>
    <w:multiLevelType w:val="hybridMultilevel"/>
    <w:tmpl w:val="7862D1E0"/>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3"/>
  </w:num>
  <w:num w:numId="3">
    <w:abstractNumId w:val="11"/>
  </w:num>
  <w:num w:numId="4">
    <w:abstractNumId w:val="0"/>
  </w:num>
  <w:num w:numId="5">
    <w:abstractNumId w:val="12"/>
  </w:num>
  <w:num w:numId="6">
    <w:abstractNumId w:val="3"/>
  </w:num>
  <w:num w:numId="7">
    <w:abstractNumId w:val="25"/>
  </w:num>
  <w:num w:numId="8">
    <w:abstractNumId w:val="21"/>
  </w:num>
  <w:num w:numId="9">
    <w:abstractNumId w:val="24"/>
  </w:num>
  <w:num w:numId="10">
    <w:abstractNumId w:val="4"/>
  </w:num>
  <w:num w:numId="11">
    <w:abstractNumId w:val="20"/>
  </w:num>
  <w:num w:numId="12">
    <w:abstractNumId w:val="19"/>
  </w:num>
  <w:num w:numId="13">
    <w:abstractNumId w:val="22"/>
  </w:num>
  <w:num w:numId="14">
    <w:abstractNumId w:val="10"/>
  </w:num>
  <w:num w:numId="15">
    <w:abstractNumId w:val="16"/>
  </w:num>
  <w:num w:numId="16">
    <w:abstractNumId w:val="8"/>
  </w:num>
  <w:num w:numId="17">
    <w:abstractNumId w:val="9"/>
  </w:num>
  <w:num w:numId="18">
    <w:abstractNumId w:val="27"/>
  </w:num>
  <w:num w:numId="19">
    <w:abstractNumId w:val="17"/>
  </w:num>
  <w:num w:numId="20">
    <w:abstractNumId w:val="15"/>
  </w:num>
  <w:num w:numId="21">
    <w:abstractNumId w:val="23"/>
  </w:num>
  <w:num w:numId="22">
    <w:abstractNumId w:val="29"/>
  </w:num>
  <w:num w:numId="23">
    <w:abstractNumId w:val="1"/>
  </w:num>
  <w:num w:numId="24">
    <w:abstractNumId w:val="28"/>
  </w:num>
  <w:num w:numId="25">
    <w:abstractNumId w:val="7"/>
  </w:num>
  <w:num w:numId="26">
    <w:abstractNumId w:val="5"/>
  </w:num>
  <w:num w:numId="27">
    <w:abstractNumId w:val="18"/>
  </w:num>
  <w:num w:numId="28">
    <w:abstractNumId w:val="26"/>
  </w:num>
  <w:num w:numId="29">
    <w:abstractNumId w:val="2"/>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1949"/>
    <w:rsid w:val="001472C0"/>
    <w:rsid w:val="00147898"/>
    <w:rsid w:val="0015575E"/>
    <w:rsid w:val="00185D06"/>
    <w:rsid w:val="001D047B"/>
    <w:rsid w:val="001D6A69"/>
    <w:rsid w:val="0021374B"/>
    <w:rsid w:val="00280A1F"/>
    <w:rsid w:val="00307AF4"/>
    <w:rsid w:val="00385C5E"/>
    <w:rsid w:val="003866A6"/>
    <w:rsid w:val="0040076A"/>
    <w:rsid w:val="004D5684"/>
    <w:rsid w:val="005806FB"/>
    <w:rsid w:val="005D34CD"/>
    <w:rsid w:val="005F69F3"/>
    <w:rsid w:val="00633B93"/>
    <w:rsid w:val="00653A77"/>
    <w:rsid w:val="006761D8"/>
    <w:rsid w:val="0068068E"/>
    <w:rsid w:val="00697C8D"/>
    <w:rsid w:val="006B5C99"/>
    <w:rsid w:val="00715939"/>
    <w:rsid w:val="007A4E92"/>
    <w:rsid w:val="007B2CD1"/>
    <w:rsid w:val="00874783"/>
    <w:rsid w:val="008B0521"/>
    <w:rsid w:val="008B1C1C"/>
    <w:rsid w:val="0092525D"/>
    <w:rsid w:val="009923D8"/>
    <w:rsid w:val="009B65A5"/>
    <w:rsid w:val="00A92571"/>
    <w:rsid w:val="00AE2ED9"/>
    <w:rsid w:val="00AE3ED8"/>
    <w:rsid w:val="00AE7475"/>
    <w:rsid w:val="00B446B4"/>
    <w:rsid w:val="00BE1296"/>
    <w:rsid w:val="00BF642A"/>
    <w:rsid w:val="00CB4B1F"/>
    <w:rsid w:val="00CD7ADF"/>
    <w:rsid w:val="00D537BF"/>
    <w:rsid w:val="00DE0223"/>
    <w:rsid w:val="00DE1812"/>
    <w:rsid w:val="00DF0F5B"/>
    <w:rsid w:val="00DF731A"/>
    <w:rsid w:val="00E34E6B"/>
    <w:rsid w:val="00EE5E09"/>
    <w:rsid w:val="00EF1BFD"/>
    <w:rsid w:val="00F03CA8"/>
    <w:rsid w:val="00F37DFE"/>
    <w:rsid w:val="00F6095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tabs>
        <w:tab w:val="left"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b/>
    </w:rPr>
  </w:style>
  <w:style w:type="paragraph" w:styleId="Heading6">
    <w:name w:val="heading 6"/>
    <w:basedOn w:val="Normal"/>
    <w:next w:val="Normal"/>
    <w:qFormat/>
    <w:pPr>
      <w:keepNext/>
      <w:spacing w:line="240" w:lineRule="atLeast"/>
      <w:jc w:val="both"/>
      <w:outlineLvl w:val="5"/>
    </w:pPr>
    <w:rPr>
      <w:bCs/>
      <w:i/>
      <w:iCs/>
    </w:rPr>
  </w:style>
  <w:style w:type="character" w:default="1" w:styleId="DefaultParagraphFont">
    <w:name w:val="Default Paragraph Fon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pPr>
      <w:jc w:val="left"/>
    </w:pPr>
    <w:rPr>
      <w:sz w:val="32"/>
    </w:rPr>
  </w:style>
  <w:style w:type="paragraph" w:styleId="PlainText">
    <w:name w:val="Plain Text"/>
    <w:basedOn w:val="Normal"/>
    <w:pPr>
      <w:jc w:val="left"/>
    </w:pPr>
    <w:rPr>
      <w:rFonts w:ascii="Courier New" w:hAnsi="Courier New" w:cs="Courier New"/>
      <w:sz w:val="20"/>
      <w:szCs w:val="20"/>
    </w:rPr>
  </w:style>
  <w:style w:type="paragraph" w:styleId="FootnoteText">
    <w:name w:val="footnote text"/>
    <w:basedOn w:val="Normal"/>
    <w:semiHidden/>
    <w:pPr>
      <w:spacing w:before="40"/>
      <w:jc w:val="both"/>
    </w:pPr>
    <w:rPr>
      <w:sz w:val="20"/>
      <w:szCs w:val="20"/>
    </w:rPr>
  </w:style>
  <w:style w:type="paragraph" w:customStyle="1" w:styleId="AONormal">
    <w:name w:val="AONormal"/>
    <w:pPr>
      <w:widowControl w:val="0"/>
      <w:autoSpaceDE w:val="0"/>
      <w:autoSpaceDN w:val="0"/>
      <w:bidi w:val="0"/>
      <w:adjustRightInd w:val="0"/>
      <w:spacing w:line="260" w:lineRule="atLeast"/>
      <w:ind w:left="0" w:right="0"/>
      <w:jc w:val="left"/>
      <w:textAlignment w:val="auto"/>
    </w:pPr>
    <w:rPr>
      <w:sz w:val="22"/>
      <w:szCs w:val="20"/>
      <w:rtl w:val="0"/>
      <w:lang w:val="sk-SK" w:bidi="ar-SA"/>
    </w:rPr>
  </w:style>
  <w:style w:type="paragraph" w:customStyle="1" w:styleId="AODocTxt">
    <w:name w:val="AODocTxt"/>
    <w:basedOn w:val="Normal"/>
    <w:pPr>
      <w:numPr>
        <w:ilvl w:val="0"/>
        <w:numId w:val="2"/>
      </w:numPr>
      <w:spacing w:before="240" w:line="260" w:lineRule="atLeast"/>
      <w:ind w:left="720" w:firstLine="0"/>
      <w:jc w:val="both"/>
    </w:pPr>
    <w:rPr>
      <w:sz w:val="22"/>
      <w:szCs w:val="20"/>
    </w:rPr>
  </w:style>
  <w:style w:type="paragraph" w:customStyle="1" w:styleId="AODocTxtL1">
    <w:name w:val="AODocTxtL1"/>
    <w:basedOn w:val="AODocTxt"/>
    <w:pPr>
      <w:numPr>
        <w:ilvl w:val="1"/>
      </w:numPr>
      <w:tabs>
        <w:tab w:val="left" w:pos="1080"/>
      </w:tabs>
      <w:ind w:left="1080" w:hanging="360"/>
      <w:jc w:val="both"/>
    </w:pPr>
  </w:style>
  <w:style w:type="paragraph" w:customStyle="1" w:styleId="AODocTxtL2">
    <w:name w:val="AODocTxtL2"/>
    <w:basedOn w:val="AODocTxt"/>
    <w:pPr>
      <w:numPr>
        <w:ilvl w:val="2"/>
      </w:numPr>
      <w:tabs>
        <w:tab w:val="left" w:pos="1800"/>
      </w:tabs>
      <w:ind w:left="1800" w:hanging="180"/>
      <w:jc w:val="both"/>
    </w:pPr>
  </w:style>
  <w:style w:type="paragraph" w:customStyle="1" w:styleId="AODocTxtL3">
    <w:name w:val="AODocTxtL3"/>
    <w:basedOn w:val="AODocTxt"/>
    <w:pPr>
      <w:numPr>
        <w:ilvl w:val="3"/>
      </w:numPr>
      <w:tabs>
        <w:tab w:val="left" w:pos="2520"/>
      </w:tabs>
      <w:ind w:left="2520" w:hanging="360"/>
      <w:jc w:val="both"/>
    </w:pPr>
  </w:style>
  <w:style w:type="paragraph" w:customStyle="1" w:styleId="AODocTxtL4">
    <w:name w:val="AODocTxtL4"/>
    <w:basedOn w:val="AODocTxt"/>
    <w:pPr>
      <w:numPr>
        <w:ilvl w:val="4"/>
      </w:numPr>
      <w:tabs>
        <w:tab w:val="left" w:pos="3240"/>
      </w:tabs>
      <w:ind w:left="3240" w:hanging="360"/>
      <w:jc w:val="both"/>
    </w:pPr>
  </w:style>
  <w:style w:type="paragraph" w:customStyle="1" w:styleId="AODocTxtL5">
    <w:name w:val="AODocTxtL5"/>
    <w:basedOn w:val="AODocTxt"/>
    <w:pPr>
      <w:numPr>
        <w:ilvl w:val="5"/>
      </w:numPr>
      <w:tabs>
        <w:tab w:val="left" w:pos="3960"/>
      </w:tabs>
      <w:ind w:left="3960" w:hanging="180"/>
      <w:jc w:val="both"/>
    </w:pPr>
  </w:style>
  <w:style w:type="paragraph" w:customStyle="1" w:styleId="AODocTxtL6">
    <w:name w:val="AODocTxtL6"/>
    <w:basedOn w:val="AODocTxt"/>
    <w:pPr>
      <w:numPr>
        <w:ilvl w:val="6"/>
      </w:numPr>
      <w:tabs>
        <w:tab w:val="left" w:pos="4680"/>
      </w:tabs>
      <w:ind w:left="4680" w:hanging="360"/>
      <w:jc w:val="both"/>
    </w:pPr>
  </w:style>
  <w:style w:type="paragraph" w:customStyle="1" w:styleId="AODocTxtL7">
    <w:name w:val="AODocTxtL7"/>
    <w:basedOn w:val="AODocTxt"/>
    <w:pPr>
      <w:numPr>
        <w:ilvl w:val="7"/>
      </w:numPr>
      <w:tabs>
        <w:tab w:val="left" w:pos="5400"/>
      </w:tabs>
      <w:ind w:left="5400" w:hanging="360"/>
      <w:jc w:val="both"/>
    </w:pPr>
  </w:style>
  <w:style w:type="paragraph" w:customStyle="1" w:styleId="AODocTxtL8">
    <w:name w:val="AODocTxtL8"/>
    <w:basedOn w:val="AODocTxt"/>
    <w:pPr>
      <w:numPr>
        <w:ilvl w:val="8"/>
      </w:numPr>
      <w:tabs>
        <w:tab w:val="left" w:pos="6120"/>
      </w:tabs>
      <w:ind w:left="6120" w:hanging="180"/>
      <w:jc w:val="both"/>
    </w:pPr>
  </w:style>
  <w:style w:type="character" w:styleId="Strong">
    <w:name w:val="Strong"/>
    <w:basedOn w:val="DefaultParagraphFont"/>
    <w:qFormat/>
    <w:rPr>
      <w:b/>
      <w:bCs/>
      <w:rtl w:val="0"/>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Zkladntext">
    <w:name w:val="Základní text"/>
    <w:rsid w:val="00785229"/>
    <w:pPr>
      <w:widowControl w:val="0"/>
      <w:autoSpaceDE/>
      <w:autoSpaceDN/>
      <w:bidi w:val="0"/>
      <w:adjustRightInd w:val="0"/>
      <w:ind w:left="0" w:right="0"/>
      <w:jc w:val="left"/>
      <w:textAlignment w:val="auto"/>
    </w:pPr>
    <w:rPr>
      <w:color w:val="000000"/>
      <w:sz w:val="24"/>
      <w:szCs w:val="24"/>
      <w:rtl w:val="0"/>
      <w:lang w:val="sk-SK" w:bidi="ar-SA"/>
    </w:rPr>
  </w:style>
  <w:style w:type="paragraph" w:styleId="Title">
    <w:name w:val="Title"/>
    <w:basedOn w:val="Normal"/>
    <w:qFormat/>
    <w:rsid w:val="000628CB"/>
    <w:pPr>
      <w:tabs>
        <w:tab w:val="left" w:pos="0"/>
        <w:tab w:val="left" w:pos="720"/>
        <w:tab w:val="left" w:pos="1440"/>
        <w:tab w:val="left" w:pos="2160"/>
        <w:tab w:val="left" w:pos="2880"/>
        <w:tab w:val="left" w:pos="3600"/>
        <w:tab w:val="left" w:pos="4320"/>
      </w:tabs>
      <w:autoSpaceDE/>
      <w:autoSpaceDN/>
      <w:spacing w:before="120" w:line="240" w:lineRule="atLeast"/>
      <w:jc w:val="center"/>
    </w:pPr>
    <w:rPr>
      <w:rFonts w:ascii="Arial Narrow" w:hAnsi="Arial Narrow"/>
      <w:b/>
      <w:noProof/>
      <w:color w:val="000000"/>
      <w:sz w:val="22"/>
      <w:szCs w:val="22"/>
    </w:rPr>
  </w:style>
  <w:style w:type="character" w:styleId="Emphasis">
    <w:name w:val="Emphasis"/>
    <w:basedOn w:val="DefaultParagraphFont"/>
    <w:qFormat/>
    <w:rsid w:val="00CB4B1F"/>
    <w:rPr>
      <w:i/>
      <w:iCs/>
      <w:rtl w:val="0"/>
    </w:rPr>
  </w:style>
  <w:style w:type="character" w:styleId="LineNumber">
    <w:name w:val="line number"/>
    <w:basedOn w:val="DefaultParagraphFont"/>
    <w:rsid w:val="005F5C86"/>
  </w:style>
  <w:style w:type="paragraph" w:customStyle="1" w:styleId="tl2">
    <w:name w:val="Štýl2"/>
    <w:basedOn w:val="Normal"/>
    <w:rsid w:val="004E5FB9"/>
    <w:pPr>
      <w:tabs>
        <w:tab w:val="left" w:pos="0"/>
        <w:tab w:val="left" w:pos="360"/>
      </w:tabs>
      <w:autoSpaceDE/>
      <w:autoSpaceDN/>
      <w:spacing w:before="160" w:after="160"/>
      <w:ind w:firstLine="284"/>
      <w:jc w:val="both"/>
    </w:pPr>
  </w:style>
  <w:style w:type="paragraph" w:customStyle="1" w:styleId="Odstavec">
    <w:name w:val="Odstavec"/>
    <w:basedOn w:val="Normal"/>
    <w:rsid w:val="0021374B"/>
    <w:pPr>
      <w:tabs>
        <w:tab w:val="left" w:pos="567"/>
      </w:tabs>
      <w:overflowPunct w:val="0"/>
      <w:autoSpaceDE/>
      <w:autoSpaceDN/>
      <w:spacing w:before="180" w:line="360" w:lineRule="auto"/>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1</Pages>
  <Words>1915</Words>
  <Characters>10916</Characters>
  <Application>Microsoft Office Word</Application>
  <DocSecurity>0</DocSecurity>
  <Lines>0</Lines>
  <Paragraphs>0</Paragraphs>
  <ScaleCrop>false</ScaleCrop>
  <Company>Kancelaria NR SR</Company>
  <LinksUpToDate>false</LinksUpToDate>
  <CharactersWithSpaces>12806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Prokopčáková Gabriela</cp:lastModifiedBy>
  <cp:revision>7</cp:revision>
  <cp:lastPrinted>2009-06-08T11:53:00Z</cp:lastPrinted>
  <dcterms:created xsi:type="dcterms:W3CDTF">2009-04-22T14:23:00Z</dcterms:created>
  <dcterms:modified xsi:type="dcterms:W3CDTF">2009-06-10T09:18:00Z</dcterms:modified>
</cp:coreProperties>
</file>