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7287F" w:rsidRPr="009027A0" w:rsidP="0047287F">
      <w:pPr>
        <w:pStyle w:val="Heading5"/>
        <w:spacing w:before="0"/>
        <w:ind w:firstLine="709"/>
        <w:rPr>
          <w:rFonts w:ascii="Times New Roman" w:hAnsi="Times New Roman" w:cs="Times New Roman"/>
          <w:szCs w:val="24"/>
        </w:rPr>
      </w:pPr>
      <w:r w:rsidRPr="009027A0" w:rsidR="00902673">
        <w:rPr>
          <w:rFonts w:ascii="Times New Roman" w:hAnsi="Times New Roman" w:cs="Times New Roman"/>
          <w:szCs w:val="24"/>
        </w:rPr>
        <w:t xml:space="preserve">  </w:t>
      </w:r>
      <w:r w:rsidRPr="009027A0">
        <w:rPr>
          <w:rFonts w:ascii="Times New Roman" w:hAnsi="Times New Roman" w:cs="Times New Roman"/>
          <w:szCs w:val="24"/>
        </w:rPr>
        <w:t>ÚSTAVNOPRÁVNY VÝBOR</w:t>
        <w:tab/>
      </w:r>
    </w:p>
    <w:p w:rsidR="0047287F" w:rsidP="0047287F">
      <w:pPr>
        <w:spacing w:before="120"/>
        <w:rPr>
          <w:rFonts w:ascii="Times New Roman" w:hAnsi="Times New Roman" w:cs="Times New Roman"/>
        </w:rPr>
      </w:pPr>
      <w:r w:rsidRPr="009027A0">
        <w:rPr>
          <w:rFonts w:ascii="Times New Roman" w:hAnsi="Times New Roman" w:cs="Times New Roman"/>
          <w:b/>
        </w:rPr>
        <w:t>NÁRODNEJ RADY SLOVENSKEJ REPUBLIKY</w:t>
      </w:r>
      <w:r w:rsidRPr="009027A0">
        <w:rPr>
          <w:rFonts w:ascii="Times New Roman" w:hAnsi="Times New Roman" w:cs="Times New Roman"/>
        </w:rPr>
        <w:tab/>
      </w:r>
    </w:p>
    <w:p w:rsidR="0047287F" w:rsidRPr="009027A0" w:rsidP="0047287F">
      <w:pPr>
        <w:spacing w:before="120"/>
        <w:ind w:left="1416" w:firstLine="708"/>
        <w:rPr>
          <w:rFonts w:ascii="Times New Roman" w:hAnsi="Times New Roman" w:cs="Times New Roman"/>
          <w:lang w:eastAsia="en-US"/>
        </w:rPr>
      </w:pPr>
      <w:r w:rsidR="00DB15A2">
        <w:rPr>
          <w:rFonts w:ascii="Times New Roman" w:hAnsi="Times New Roman" w:cs="Times New Roman"/>
        </w:rPr>
        <w:tab/>
        <w:tab/>
        <w:tab/>
        <w:tab/>
        <w:tab/>
        <w:tab/>
        <w:tab/>
      </w:r>
      <w:r w:rsidRPr="009027A0">
        <w:rPr>
          <w:rFonts w:ascii="Times New Roman" w:hAnsi="Times New Roman" w:cs="Times New Roman"/>
        </w:rPr>
        <w:tab/>
      </w:r>
      <w:r w:rsidR="00F371D2">
        <w:rPr>
          <w:rFonts w:ascii="Times New Roman" w:hAnsi="Times New Roman" w:cs="Times New Roman"/>
        </w:rPr>
        <w:t>8</w:t>
      </w:r>
      <w:r w:rsidR="00C464DB">
        <w:rPr>
          <w:rFonts w:ascii="Times New Roman" w:hAnsi="Times New Roman" w:cs="Times New Roman"/>
        </w:rPr>
        <w:t>1</w:t>
      </w:r>
      <w:r w:rsidRPr="009027A0">
        <w:rPr>
          <w:rFonts w:ascii="Times New Roman" w:hAnsi="Times New Roman" w:cs="Times New Roman"/>
        </w:rPr>
        <w:t>. schôdza</w:t>
      </w:r>
    </w:p>
    <w:p w:rsidR="0047287F" w:rsidP="0047287F">
      <w:pPr>
        <w:spacing w:before="120"/>
        <w:jc w:val="center"/>
        <w:rPr>
          <w:rFonts w:ascii="Times New Roman" w:hAnsi="Times New Roman" w:cs="Times New Roman"/>
          <w:b/>
          <w:i/>
          <w:lang w:eastAsia="en-US"/>
        </w:rPr>
      </w:pPr>
    </w:p>
    <w:p w:rsidR="0047287F" w:rsidRPr="00EB740B" w:rsidP="0047287F">
      <w:pPr>
        <w:spacing w:before="120"/>
        <w:jc w:val="center"/>
        <w:rPr>
          <w:rFonts w:ascii="Times New Roman" w:hAnsi="Times New Roman" w:cs="Times New Roman"/>
          <w:sz w:val="32"/>
          <w:szCs w:val="32"/>
          <w:lang w:eastAsia="en-US"/>
        </w:rPr>
      </w:pPr>
      <w:r w:rsidR="00E62A6F">
        <w:rPr>
          <w:rFonts w:ascii="Times New Roman" w:hAnsi="Times New Roman" w:cs="Times New Roman"/>
          <w:sz w:val="32"/>
          <w:szCs w:val="32"/>
          <w:lang w:eastAsia="en-US"/>
        </w:rPr>
        <w:t>658</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b/>
        </w:rPr>
        <w:t>U z n e s e n i e</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rPr>
        <w:t xml:space="preserve"> </w:t>
      </w:r>
      <w:r w:rsidRPr="009027A0">
        <w:rPr>
          <w:rFonts w:ascii="Times New Roman" w:hAnsi="Times New Roman" w:cs="Times New Roman"/>
          <w:b/>
        </w:rPr>
        <w:t>Ústavnoprávneho výboru Národnej rady Slovenskej republiky</w:t>
      </w:r>
    </w:p>
    <w:p w:rsidR="0047287F" w:rsidRPr="009027A0" w:rsidP="0047287F">
      <w:pPr>
        <w:spacing w:before="120"/>
        <w:jc w:val="center"/>
        <w:rPr>
          <w:rFonts w:ascii="Times New Roman" w:hAnsi="Times New Roman" w:cs="Times New Roman"/>
          <w:b/>
          <w:lang w:eastAsia="en-US"/>
        </w:rPr>
      </w:pPr>
      <w:r w:rsidRPr="009027A0">
        <w:rPr>
          <w:rFonts w:ascii="Times New Roman" w:hAnsi="Times New Roman" w:cs="Times New Roman"/>
          <w:b/>
        </w:rPr>
        <w:t xml:space="preserve"> </w:t>
      </w:r>
      <w:r w:rsidR="00404D68">
        <w:rPr>
          <w:rFonts w:ascii="Times New Roman" w:hAnsi="Times New Roman" w:cs="Times New Roman"/>
          <w:b/>
        </w:rPr>
        <w:t xml:space="preserve">z </w:t>
      </w:r>
      <w:r w:rsidR="00647A1F">
        <w:rPr>
          <w:rFonts w:ascii="Times New Roman" w:hAnsi="Times New Roman" w:cs="Times New Roman"/>
          <w:b/>
        </w:rPr>
        <w:t>10</w:t>
      </w:r>
      <w:r w:rsidR="00FB0AE0">
        <w:rPr>
          <w:rFonts w:ascii="Times New Roman" w:hAnsi="Times New Roman" w:cs="Times New Roman"/>
          <w:b/>
        </w:rPr>
        <w:t xml:space="preserve">. </w:t>
      </w:r>
      <w:r w:rsidR="00F371D2">
        <w:rPr>
          <w:rFonts w:ascii="Times New Roman" w:hAnsi="Times New Roman" w:cs="Times New Roman"/>
          <w:b/>
        </w:rPr>
        <w:t>jún</w:t>
      </w:r>
      <w:r w:rsidR="00FB0AE0">
        <w:rPr>
          <w:rFonts w:ascii="Times New Roman" w:hAnsi="Times New Roman" w:cs="Times New Roman"/>
          <w:b/>
        </w:rPr>
        <w:t>a</w:t>
      </w:r>
      <w:r w:rsidR="008C6076">
        <w:rPr>
          <w:rFonts w:ascii="Times New Roman" w:hAnsi="Times New Roman" w:cs="Times New Roman"/>
          <w:b/>
        </w:rPr>
        <w:t xml:space="preserve"> </w:t>
      </w:r>
      <w:r w:rsidRPr="009027A0">
        <w:rPr>
          <w:rFonts w:ascii="Times New Roman" w:hAnsi="Times New Roman" w:cs="Times New Roman"/>
          <w:b/>
        </w:rPr>
        <w:t>200</w:t>
      </w:r>
      <w:r w:rsidR="00225A0F">
        <w:rPr>
          <w:rFonts w:ascii="Times New Roman" w:hAnsi="Times New Roman" w:cs="Times New Roman"/>
          <w:b/>
        </w:rPr>
        <w:t>9</w:t>
      </w:r>
    </w:p>
    <w:p w:rsidR="0047287F" w:rsidRPr="009027A0" w:rsidP="0047287F">
      <w:pPr>
        <w:spacing w:before="120"/>
        <w:rPr>
          <w:rFonts w:ascii="Times New Roman" w:hAnsi="Times New Roman" w:cs="Times New Roman"/>
        </w:rPr>
      </w:pPr>
    </w:p>
    <w:p w:rsidR="0047287F" w:rsidRPr="009027A0" w:rsidP="0047287F">
      <w:pPr>
        <w:spacing w:before="120"/>
        <w:rPr>
          <w:rFonts w:ascii="Times New Roman" w:hAnsi="Times New Roman" w:cs="Times New Roman"/>
          <w:b/>
          <w:lang w:eastAsia="en-US"/>
        </w:rPr>
      </w:pPr>
      <w:r w:rsidRPr="009027A0">
        <w:rPr>
          <w:rFonts w:ascii="Times New Roman" w:hAnsi="Times New Roman" w:cs="Times New Roman"/>
        </w:rPr>
        <w:tab/>
      </w:r>
      <w:r w:rsidRPr="009027A0">
        <w:rPr>
          <w:rFonts w:ascii="Times New Roman" w:hAnsi="Times New Roman" w:cs="Times New Roman"/>
          <w:b/>
        </w:rPr>
        <w:t>Ústavnoprávny výbor Národnej rady Slovenskej republiky</w:t>
      </w:r>
    </w:p>
    <w:p w:rsidR="00B02AE3" w:rsidRPr="005D7FB4" w:rsidP="005D7FB4">
      <w:pPr>
        <w:pStyle w:val="TxBrp1"/>
        <w:tabs>
          <w:tab w:val="left" w:pos="720"/>
          <w:tab w:val="clear" w:pos="1020"/>
        </w:tabs>
        <w:spacing w:line="240" w:lineRule="auto"/>
        <w:ind w:left="0"/>
        <w:rPr>
          <w:rFonts w:ascii="Times New Roman" w:hAnsi="Times New Roman" w:cs="Times New Roman"/>
          <w:sz w:val="24"/>
          <w:lang w:val="sk-SK"/>
        </w:rPr>
      </w:pPr>
    </w:p>
    <w:p w:rsidR="005D7FB4" w:rsidRPr="005D7FB4" w:rsidP="005D7FB4">
      <w:pPr>
        <w:jc w:val="both"/>
        <w:rPr>
          <w:rFonts w:ascii="Times New Roman" w:hAnsi="Times New Roman" w:cs="Times New Roman"/>
        </w:rPr>
      </w:pPr>
      <w:r w:rsidRPr="005D7FB4" w:rsidR="0047287F">
        <w:rPr>
          <w:rFonts w:ascii="Times New Roman" w:hAnsi="Times New Roman" w:cs="Times New Roman"/>
        </w:rPr>
        <w:t xml:space="preserve">     </w:t>
        <w:tab/>
        <w:t>prerokoval</w:t>
      </w:r>
      <w:r w:rsidRPr="005D7FB4" w:rsidR="009317D1">
        <w:rPr>
          <w:rFonts w:ascii="Times New Roman" w:hAnsi="Times New Roman" w:cs="Times New Roman"/>
        </w:rPr>
        <w:t xml:space="preserve"> </w:t>
      </w:r>
      <w:r w:rsidRPr="005D7FB4" w:rsidR="00F371D2">
        <w:rPr>
          <w:rFonts w:ascii="Times New Roman" w:hAnsi="Times New Roman" w:cs="Times New Roman"/>
        </w:rPr>
        <w:t xml:space="preserve">vládny </w:t>
      </w:r>
      <w:r w:rsidRPr="005D7FB4" w:rsidR="00F0000A">
        <w:rPr>
          <w:rFonts w:ascii="Times New Roman" w:hAnsi="Times New Roman" w:cs="Times New Roman"/>
        </w:rPr>
        <w:t xml:space="preserve">návrh </w:t>
      </w:r>
      <w:r w:rsidRPr="005D7FB4" w:rsidR="0042298C">
        <w:rPr>
          <w:rFonts w:ascii="Times New Roman" w:hAnsi="Times New Roman" w:cs="Times New Roman"/>
        </w:rPr>
        <w:t>zákona</w:t>
      </w:r>
      <w:r w:rsidRPr="005D7FB4">
        <w:rPr>
          <w:rFonts w:ascii="Times New Roman" w:hAnsi="Times New Roman" w:cs="Times New Roman"/>
        </w:rPr>
        <w:t>, ktorým sa mení a dopĺňa zákon č. 223/2001 Z. z. o odpadoch a o zmene a doplnení niektorých zákonov v znení neskorších predpisov (tlač 1022) a</w:t>
      </w:r>
    </w:p>
    <w:p w:rsidR="002C3648" w:rsidRPr="006F2693" w:rsidP="00AC5CAA">
      <w:pPr>
        <w:pStyle w:val="TxBrp9"/>
        <w:spacing w:line="240" w:lineRule="auto"/>
        <w:rPr>
          <w:rFonts w:ascii="Times New Roman" w:hAnsi="Times New Roman" w:cs="Arial"/>
          <w:sz w:val="24"/>
          <w:lang w:val="sk-SK"/>
        </w:rPr>
      </w:pPr>
    </w:p>
    <w:p w:rsidR="0047287F" w:rsidRPr="006F2693" w:rsidP="0047287F">
      <w:pPr>
        <w:tabs>
          <w:tab w:val="left" w:pos="993"/>
        </w:tabs>
        <w:jc w:val="both"/>
        <w:rPr>
          <w:rFonts w:ascii="Times New Roman" w:hAnsi="Times New Roman" w:cs="Times New Roman"/>
          <w:lang w:eastAsia="en-US"/>
        </w:rPr>
      </w:pPr>
      <w:r w:rsidRPr="006F2693">
        <w:rPr>
          <w:rFonts w:ascii="Times New Roman" w:hAnsi="Times New Roman" w:cs="Times New Roman"/>
          <w:b/>
        </w:rPr>
        <w:tab/>
        <w:t>A.   s ú h l a s í</w:t>
      </w:r>
      <w:r w:rsidRPr="006F2693">
        <w:rPr>
          <w:rFonts w:ascii="Times New Roman" w:hAnsi="Times New Roman" w:cs="Times New Roman"/>
        </w:rPr>
        <w:t xml:space="preserve"> </w:t>
      </w:r>
    </w:p>
    <w:p w:rsidR="0047287F" w:rsidRPr="005D7FB4" w:rsidP="0047287F">
      <w:pPr>
        <w:pStyle w:val="BodyTextIndent2"/>
        <w:tabs>
          <w:tab w:val="clear" w:pos="284"/>
          <w:tab w:val="left" w:pos="708"/>
        </w:tabs>
        <w:ind w:left="708" w:firstLine="708"/>
        <w:rPr>
          <w:rFonts w:ascii="Times New Roman" w:hAnsi="Times New Roman" w:cs="Times New Roman"/>
          <w:szCs w:val="24"/>
          <w:lang w:eastAsia="sk-SK"/>
        </w:rPr>
      </w:pPr>
    </w:p>
    <w:p w:rsidR="005D7FB4" w:rsidRPr="005D7FB4" w:rsidP="005D7FB4">
      <w:pPr>
        <w:jc w:val="both"/>
        <w:rPr>
          <w:rFonts w:ascii="Times New Roman" w:hAnsi="Times New Roman" w:cs="Times New Roman"/>
        </w:rPr>
      </w:pPr>
      <w:r w:rsidRPr="005D7FB4" w:rsidR="0047287F">
        <w:rPr>
          <w:rFonts w:ascii="Times New Roman" w:hAnsi="Times New Roman" w:cs="Times New Roman"/>
        </w:rPr>
        <w:tab/>
        <w:tab/>
        <w:t>s</w:t>
      </w:r>
      <w:r w:rsidRPr="005D7FB4" w:rsidR="002C3648">
        <w:rPr>
          <w:rFonts w:ascii="Times New Roman" w:hAnsi="Times New Roman" w:cs="Times New Roman"/>
        </w:rPr>
        <w:t> </w:t>
      </w:r>
      <w:r w:rsidRPr="005D7FB4" w:rsidR="00CA121E">
        <w:rPr>
          <w:rFonts w:ascii="Times New Roman" w:hAnsi="Times New Roman" w:cs="Times New Roman"/>
        </w:rPr>
        <w:t xml:space="preserve"> </w:t>
      </w:r>
      <w:r w:rsidRPr="005D7FB4" w:rsidR="00DC51D1">
        <w:rPr>
          <w:rFonts w:ascii="Times New Roman" w:hAnsi="Times New Roman" w:cs="Times New Roman"/>
        </w:rPr>
        <w:t xml:space="preserve">vládnym návrhom </w:t>
      </w:r>
      <w:r w:rsidRPr="005D7FB4" w:rsidR="00F43C36">
        <w:rPr>
          <w:rFonts w:ascii="Times New Roman" w:hAnsi="Times New Roman" w:cs="Times New Roman"/>
        </w:rPr>
        <w:t>zákona</w:t>
      </w:r>
      <w:r w:rsidRPr="005D7FB4">
        <w:rPr>
          <w:rFonts w:ascii="Times New Roman" w:hAnsi="Times New Roman" w:cs="Times New Roman"/>
        </w:rPr>
        <w:t xml:space="preserve">, ktorým sa mení a dopĺňa zákon č. 223/2001 Z. z. o odpadoch a o zmene a doplnení niektorých zákonov v znení neskorších predpisov (tlač 1022); </w:t>
      </w:r>
    </w:p>
    <w:p w:rsidR="006F2693" w:rsidRPr="006F2693" w:rsidP="00F56969">
      <w:pPr>
        <w:pStyle w:val="TxBrp9"/>
        <w:spacing w:line="240" w:lineRule="auto"/>
        <w:rPr>
          <w:rFonts w:ascii="Times New Roman" w:hAnsi="Times New Roman" w:cs="Times New Roman"/>
          <w:sz w:val="24"/>
          <w:lang w:val="sk-SK"/>
        </w:rPr>
      </w:pPr>
    </w:p>
    <w:p w:rsidR="0047287F" w:rsidRPr="006F2693" w:rsidP="0047287F">
      <w:pPr>
        <w:pStyle w:val="Heading1"/>
        <w:spacing w:before="0"/>
        <w:ind w:left="992"/>
        <w:rPr>
          <w:rFonts w:ascii="Times New Roman" w:hAnsi="Times New Roman" w:cs="Times New Roman"/>
          <w:szCs w:val="24"/>
        </w:rPr>
      </w:pPr>
      <w:r w:rsidRPr="006F2693">
        <w:rPr>
          <w:rFonts w:ascii="Times New Roman" w:hAnsi="Times New Roman" w:cs="Times New Roman"/>
          <w:szCs w:val="24"/>
        </w:rPr>
        <w:t>B.   o d p o r ú č a</w:t>
      </w:r>
    </w:p>
    <w:p w:rsidR="0047287F" w:rsidRPr="006F2693" w:rsidP="0047287F">
      <w:pPr>
        <w:tabs>
          <w:tab w:val="left" w:pos="1021"/>
        </w:tabs>
        <w:jc w:val="both"/>
        <w:rPr>
          <w:rFonts w:ascii="Times New Roman" w:hAnsi="Times New Roman" w:cs="Times New Roman"/>
          <w:lang w:eastAsia="en-US"/>
        </w:rPr>
      </w:pPr>
    </w:p>
    <w:p w:rsidR="0047287F" w:rsidRPr="006F2693" w:rsidP="0047287F">
      <w:pPr>
        <w:tabs>
          <w:tab w:val="left" w:pos="1021"/>
        </w:tabs>
        <w:jc w:val="both"/>
        <w:rPr>
          <w:rFonts w:ascii="Times New Roman" w:hAnsi="Times New Roman" w:cs="Times New Roman"/>
          <w:lang w:eastAsia="sk-SK"/>
        </w:rPr>
      </w:pPr>
      <w:r w:rsidRPr="006F2693">
        <w:rPr>
          <w:rFonts w:ascii="Times New Roman" w:hAnsi="Times New Roman" w:cs="Times New Roman"/>
          <w:lang w:eastAsia="sk-SK"/>
        </w:rPr>
        <w:tab/>
        <w:tab/>
        <w:t>Národnej rade Slovenskej republiky</w:t>
      </w:r>
    </w:p>
    <w:p w:rsidR="0047287F" w:rsidRPr="006F2693" w:rsidP="0047287F">
      <w:pPr>
        <w:tabs>
          <w:tab w:val="left" w:pos="1021"/>
        </w:tabs>
        <w:jc w:val="both"/>
        <w:rPr>
          <w:rFonts w:ascii="Times New Roman" w:hAnsi="Times New Roman" w:cs="Times New Roman"/>
          <w:lang w:eastAsia="sk-SK"/>
        </w:rPr>
      </w:pPr>
    </w:p>
    <w:p w:rsidR="0047287F" w:rsidRPr="005D7FB4" w:rsidP="005D7FB4">
      <w:pPr>
        <w:jc w:val="both"/>
        <w:rPr>
          <w:rFonts w:ascii="Times New Roman" w:hAnsi="Times New Roman" w:cs="Times New Roman"/>
          <w:sz w:val="28"/>
          <w:szCs w:val="28"/>
        </w:rPr>
      </w:pPr>
      <w:r w:rsidRPr="005D7FB4" w:rsidR="008072BB">
        <w:rPr>
          <w:rFonts w:ascii="Times New Roman" w:hAnsi="Times New Roman" w:cs="Times New Roman"/>
        </w:rPr>
        <w:tab/>
      </w:r>
      <w:r w:rsidRPr="005D7FB4" w:rsidR="00207852">
        <w:rPr>
          <w:rFonts w:ascii="Times New Roman" w:hAnsi="Times New Roman" w:cs="Times New Roman"/>
        </w:rPr>
        <w:tab/>
      </w:r>
      <w:r w:rsidRPr="005D7FB4" w:rsidR="002205B6">
        <w:rPr>
          <w:rFonts w:ascii="Times New Roman" w:hAnsi="Times New Roman" w:cs="Times New Roman"/>
        </w:rPr>
        <w:t xml:space="preserve">vládny návrh </w:t>
      </w:r>
      <w:r w:rsidRPr="005D7FB4" w:rsidR="00F43C36">
        <w:rPr>
          <w:rFonts w:ascii="Times New Roman" w:hAnsi="Times New Roman" w:cs="Times New Roman"/>
        </w:rPr>
        <w:t>zákona</w:t>
      </w:r>
      <w:r w:rsidRPr="005D7FB4" w:rsidR="005D7FB4">
        <w:rPr>
          <w:rFonts w:ascii="Times New Roman" w:hAnsi="Times New Roman" w:cs="Times New Roman"/>
        </w:rPr>
        <w:t xml:space="preserve">, ktorým sa mení a dopĺňa zákon č. 223/2001 Z. z. o odpadoch a o zmene a doplnení niektorých zákonov v znení neskorších predpisov (tlač 1022) </w:t>
      </w:r>
      <w:r w:rsidRPr="005D7FB4">
        <w:rPr>
          <w:rFonts w:ascii="Times New Roman" w:hAnsi="Times New Roman" w:cs="Times New Roman"/>
          <w:b/>
          <w:bCs/>
        </w:rPr>
        <w:t>schváliť</w:t>
      </w:r>
      <w:r w:rsidRPr="005D7FB4" w:rsidR="00875C1B">
        <w:rPr>
          <w:rFonts w:ascii="Times New Roman" w:hAnsi="Times New Roman" w:cs="Times New Roman"/>
          <w:bCs/>
        </w:rPr>
        <w:t xml:space="preserve"> </w:t>
      </w:r>
      <w:r w:rsidRPr="005D7FB4" w:rsidR="00DB7B31">
        <w:rPr>
          <w:rFonts w:ascii="Times New Roman" w:hAnsi="Times New Roman" w:cs="Times New Roman"/>
          <w:bCs/>
        </w:rPr>
        <w:t>so </w:t>
      </w:r>
      <w:r w:rsidRPr="005D7FB4" w:rsidR="00875C1B">
        <w:rPr>
          <w:rFonts w:ascii="Times New Roman" w:hAnsi="Times New Roman" w:cs="Times New Roman"/>
          <w:bCs/>
        </w:rPr>
        <w:t>zmenami a doplnkami uvedenými v prílohe tohto uznesenia</w:t>
      </w:r>
      <w:r w:rsidRPr="005D7FB4" w:rsidR="00B17646">
        <w:rPr>
          <w:rFonts w:ascii="Times New Roman" w:hAnsi="Times New Roman" w:cs="Times New Roman"/>
          <w:bCs/>
        </w:rPr>
        <w:t>;</w:t>
      </w:r>
      <w:r w:rsidRPr="005D7FB4">
        <w:rPr>
          <w:rFonts w:ascii="Times New Roman" w:hAnsi="Times New Roman" w:cs="Times New Roman"/>
          <w:bCs/>
        </w:rPr>
        <w:t xml:space="preserve"> </w:t>
      </w:r>
    </w:p>
    <w:p w:rsidR="00CF2244" w:rsidRPr="005D7FB4" w:rsidP="005D7FB4">
      <w:pPr>
        <w:pStyle w:val="TxBrp1"/>
        <w:tabs>
          <w:tab w:val="left" w:pos="720"/>
          <w:tab w:val="clear" w:pos="1020"/>
        </w:tabs>
        <w:spacing w:line="240" w:lineRule="auto"/>
        <w:ind w:left="0"/>
        <w:rPr>
          <w:rFonts w:ascii="Times New Roman" w:hAnsi="Times New Roman" w:cs="Times New Roman"/>
          <w:sz w:val="24"/>
          <w:lang w:val="sk-SK"/>
        </w:rPr>
      </w:pPr>
    </w:p>
    <w:p w:rsidR="00C464DB" w:rsidRPr="007140AD" w:rsidP="00C464DB">
      <w:pPr>
        <w:pStyle w:val="Heading4"/>
        <w:rPr>
          <w:rFonts w:ascii="Times New Roman" w:hAnsi="Times New Roman" w:cs="Times New Roman"/>
          <w:lang w:eastAsia="en-US"/>
        </w:rPr>
      </w:pPr>
      <w:r w:rsidRPr="007140AD">
        <w:rPr>
          <w:rFonts w:ascii="Times New Roman" w:hAnsi="Times New Roman" w:cs="Times New Roman"/>
        </w:rPr>
        <w:tab/>
        <w:t>C.  u k l a d á</w:t>
      </w:r>
    </w:p>
    <w:p w:rsidR="00C464DB" w:rsidRPr="009027A0" w:rsidP="00C464DB">
      <w:pPr>
        <w:tabs>
          <w:tab w:val="left" w:pos="1021"/>
        </w:tabs>
        <w:jc w:val="both"/>
        <w:rPr>
          <w:rFonts w:ascii="Times New Roman" w:hAnsi="Times New Roman" w:cs="Times New Roman"/>
          <w:lang w:eastAsia="en-US"/>
        </w:rPr>
      </w:pPr>
    </w:p>
    <w:p w:rsidR="00C464DB" w:rsidRPr="009027A0" w:rsidP="00C464DB">
      <w:pPr>
        <w:tabs>
          <w:tab w:val="left" w:pos="1021"/>
        </w:tabs>
        <w:jc w:val="both"/>
        <w:rPr>
          <w:rFonts w:ascii="Times New Roman" w:hAnsi="Times New Roman" w:cs="Times New Roman"/>
        </w:rPr>
      </w:pPr>
      <w:r w:rsidRPr="009027A0">
        <w:rPr>
          <w:rFonts w:ascii="Times New Roman" w:hAnsi="Times New Roman" w:cs="Times New Roman"/>
        </w:rPr>
        <w:tab/>
        <w:tab/>
        <w:t>predsedovi výboru</w:t>
      </w:r>
    </w:p>
    <w:p w:rsidR="00C464DB" w:rsidRPr="009027A0" w:rsidP="00C464DB">
      <w:pPr>
        <w:tabs>
          <w:tab w:val="left" w:pos="1021"/>
        </w:tabs>
        <w:jc w:val="both"/>
        <w:rPr>
          <w:rFonts w:ascii="Times New Roman" w:hAnsi="Times New Roman" w:cs="Times New Roman"/>
          <w:b/>
          <w:iCs/>
        </w:rPr>
      </w:pPr>
    </w:p>
    <w:p w:rsidR="00C464DB" w:rsidP="00C464DB">
      <w:pPr>
        <w:tabs>
          <w:tab w:val="left" w:pos="0"/>
        </w:tabs>
        <w:jc w:val="both"/>
        <w:rPr>
          <w:rFonts w:ascii="Times New Roman" w:hAnsi="Times New Roman" w:cs="Arial"/>
        </w:rPr>
      </w:pPr>
      <w:r w:rsidRPr="009027A0">
        <w:rPr>
          <w:rFonts w:ascii="Times New Roman" w:hAnsi="Times New Roman" w:cs="Times New Roman"/>
        </w:rPr>
        <w:tab/>
        <w:t xml:space="preserve">      </w:t>
      </w:r>
      <w:r>
        <w:rPr>
          <w:rFonts w:ascii="Times New Roman" w:hAnsi="Times New Roman" w:cs="Times New Roman"/>
        </w:rPr>
        <w:tab/>
      </w:r>
      <w:r w:rsidRPr="009027A0">
        <w:rPr>
          <w:rFonts w:ascii="Times New Roman" w:hAnsi="Times New Roman" w:cs="Times New Roman"/>
        </w:rPr>
        <w:t xml:space="preserve">predložiť stanovisko výboru k uvedenému návrhu zákona predsedovi </w:t>
      </w:r>
      <w:r w:rsidRPr="00405643">
        <w:rPr>
          <w:rFonts w:ascii="Times New Roman" w:hAnsi="Times New Roman" w:cs="Times New Roman"/>
        </w:rPr>
        <w:t xml:space="preserve">gestorského </w:t>
      </w:r>
      <w:r w:rsidRPr="00DE3E3A">
        <w:rPr>
          <w:rFonts w:ascii="Times New Roman" w:hAnsi="Times New Roman" w:cs="Times New Roman"/>
        </w:rPr>
        <w:t>výboru - Vý</w:t>
      </w:r>
      <w:r w:rsidRPr="00DE3E3A">
        <w:rPr>
          <w:rFonts w:ascii="Times New Roman" w:hAnsi="Times New Roman" w:cs="Times New Roman"/>
        </w:rPr>
        <w:t xml:space="preserve">boru Národnej rady Slovenskej republiky </w:t>
      </w:r>
      <w:r w:rsidRPr="00DE3E3A">
        <w:rPr>
          <w:rFonts w:ascii="Times New Roman" w:hAnsi="Times New Roman" w:cs="Arial"/>
        </w:rPr>
        <w:t xml:space="preserve">pre </w:t>
      </w:r>
      <w:r w:rsidR="006F2693">
        <w:rPr>
          <w:rFonts w:ascii="Times New Roman" w:hAnsi="Times New Roman" w:cs="Arial"/>
        </w:rPr>
        <w:t>pôdo</w:t>
      </w:r>
      <w:r w:rsidR="00CC462E">
        <w:rPr>
          <w:rFonts w:ascii="Times New Roman" w:hAnsi="Times New Roman" w:cs="Arial"/>
        </w:rPr>
        <w:t>hospodár</w:t>
      </w:r>
      <w:r w:rsidR="006F2693">
        <w:rPr>
          <w:rFonts w:ascii="Times New Roman" w:hAnsi="Times New Roman" w:cs="Arial"/>
        </w:rPr>
        <w:t xml:space="preserve">stvo, životné prostredie a ochranu prírody. </w:t>
      </w:r>
    </w:p>
    <w:p w:rsidR="00CC462E" w:rsidP="00C464DB">
      <w:pPr>
        <w:tabs>
          <w:tab w:val="left" w:pos="0"/>
        </w:tabs>
        <w:jc w:val="both"/>
        <w:rPr>
          <w:rFonts w:ascii="Times New Roman" w:hAnsi="Times New Roman" w:cs="Arial"/>
        </w:rPr>
      </w:pPr>
    </w:p>
    <w:p w:rsidR="00C464DB" w:rsidP="00C464DB">
      <w:pPr>
        <w:tabs>
          <w:tab w:val="left" w:pos="1080"/>
        </w:tabs>
        <w:jc w:val="both"/>
        <w:rPr>
          <w:rFonts w:ascii="Times New Roman" w:hAnsi="Times New Roman" w:cs="Times New Roman"/>
          <w:lang w:eastAsia="en-US"/>
        </w:rPr>
      </w:pPr>
    </w:p>
    <w:p w:rsidR="00C464DB" w:rsidP="00C464DB">
      <w:pPr>
        <w:rPr>
          <w:rFonts w:ascii="Times New Roman" w:hAnsi="Times New Roman" w:cs="Times New Roman"/>
        </w:rPr>
      </w:pPr>
      <w:r w:rsidRPr="009027A0">
        <w:rPr>
          <w:rFonts w:ascii="Times New Roman" w:hAnsi="Times New Roman" w:cs="Times New Roman"/>
        </w:rPr>
        <w:tab/>
        <w:t xml:space="preserve"> </w:t>
        <w:tab/>
        <w:tab/>
        <w:tab/>
        <w:tab/>
        <w:tab/>
        <w:tab/>
        <w:tab/>
        <w:tab/>
      </w:r>
      <w:r>
        <w:rPr>
          <w:rFonts w:ascii="Times New Roman" w:hAnsi="Times New Roman" w:cs="Times New Roman"/>
        </w:rPr>
        <w:t>Mojmír Mamojka</w:t>
      </w:r>
      <w:r w:rsidRPr="009027A0">
        <w:rPr>
          <w:rFonts w:ascii="Times New Roman" w:hAnsi="Times New Roman" w:cs="Times New Roman"/>
        </w:rPr>
        <w:tab/>
        <w:tab/>
        <w:tab/>
        <w:tab/>
        <w:tab/>
        <w:t xml:space="preserve"> </w:t>
        <w:tab/>
        <w:t xml:space="preserve">                             </w:t>
      </w:r>
      <w:r>
        <w:rPr>
          <w:rFonts w:ascii="Times New Roman" w:hAnsi="Times New Roman" w:cs="Times New Roman"/>
        </w:rPr>
        <w:t xml:space="preserve">         </w:t>
      </w:r>
      <w:r w:rsidR="00796FAA">
        <w:rPr>
          <w:rFonts w:ascii="Times New Roman" w:hAnsi="Times New Roman" w:cs="Times New Roman"/>
        </w:rPr>
        <w:t xml:space="preserve">           </w:t>
      </w:r>
      <w:r>
        <w:rPr>
          <w:rFonts w:ascii="Times New Roman" w:hAnsi="Times New Roman" w:cs="Times New Roman"/>
        </w:rPr>
        <w:t>p</w:t>
      </w:r>
      <w:r w:rsidRPr="009027A0">
        <w:rPr>
          <w:rFonts w:ascii="Times New Roman" w:hAnsi="Times New Roman" w:cs="Times New Roman"/>
        </w:rPr>
        <w:t>redseda výboru</w:t>
      </w:r>
    </w:p>
    <w:p w:rsidR="00C464DB" w:rsidP="00C464DB">
      <w:pPr>
        <w:rPr>
          <w:rFonts w:ascii="Times New Roman" w:hAnsi="Times New Roman" w:cs="Times New Roman"/>
        </w:rPr>
      </w:pPr>
      <w:r>
        <w:rPr>
          <w:rFonts w:ascii="Times New Roman" w:hAnsi="Times New Roman" w:cs="Times New Roman"/>
        </w:rPr>
        <w:t>overovatelia výboru:</w:t>
      </w:r>
    </w:p>
    <w:p w:rsidR="00C464DB" w:rsidP="00C464DB">
      <w:pPr>
        <w:rPr>
          <w:rFonts w:ascii="Times New Roman" w:hAnsi="Times New Roman" w:cs="Times New Roman"/>
        </w:rPr>
      </w:pPr>
      <w:r>
        <w:rPr>
          <w:rFonts w:ascii="Times New Roman" w:hAnsi="Times New Roman" w:cs="Times New Roman"/>
        </w:rPr>
        <w:t>Gábor Gál</w:t>
      </w:r>
    </w:p>
    <w:p w:rsidR="00C464DB" w:rsidP="00C464DB">
      <w:pPr>
        <w:rPr>
          <w:rFonts w:ascii="Times New Roman" w:hAnsi="Times New Roman" w:cs="Times New Roman"/>
        </w:rPr>
      </w:pPr>
      <w:r>
        <w:rPr>
          <w:rFonts w:ascii="Times New Roman" w:hAnsi="Times New Roman" w:cs="Times New Roman"/>
        </w:rPr>
        <w:t>Jana Laššáková</w:t>
      </w:r>
    </w:p>
    <w:p w:rsidR="004F33FD" w:rsidP="004B44ED">
      <w:pPr>
        <w:pStyle w:val="Heading2"/>
        <w:rPr>
          <w:rFonts w:ascii="Times New Roman" w:hAnsi="Times New Roman" w:cs="Times New Roman"/>
        </w:rPr>
      </w:pPr>
    </w:p>
    <w:p w:rsidR="00DB15A2" w:rsidRPr="00DB15A2" w:rsidP="00DB15A2">
      <w:pPr>
        <w:rPr>
          <w:rFonts w:ascii="Times New Roman" w:hAnsi="Times New Roman" w:cs="Times New Roman"/>
          <w:lang w:eastAsia="en-US"/>
        </w:rPr>
        <w:sectPr>
          <w:footerReference w:type="even" r:id="rId4"/>
          <w:footerReference w:type="default" r:id="rId5"/>
          <w:pgSz w:w="11906" w:h="16838"/>
          <w:pgMar w:top="1417" w:right="1417" w:bottom="1417" w:left="1417" w:header="708" w:footer="708" w:gutter="0"/>
          <w:pgNumType w:start="1"/>
          <w:cols w:space="708"/>
          <w:titlePg/>
          <w:bidi w:val="0"/>
          <w:docGrid w:linePitch="360"/>
        </w:sectPr>
      </w:pPr>
      <w:r>
        <w:rPr>
          <w:rFonts w:ascii="Times New Roman" w:hAnsi="Times New Roman" w:cs="Times New Roman"/>
          <w:lang w:eastAsia="en-US"/>
        </w:rPr>
        <w:tab/>
      </w:r>
    </w:p>
    <w:p w:rsidR="00F9132F" w:rsidP="004B44ED">
      <w:pPr>
        <w:pStyle w:val="Heading2"/>
        <w:rPr>
          <w:rFonts w:ascii="Times New Roman" w:hAnsi="Times New Roman" w:cs="Times New Roman"/>
        </w:rPr>
      </w:pPr>
    </w:p>
    <w:p w:rsidR="004B44ED" w:rsidRPr="009027A0" w:rsidP="004B44ED">
      <w:pPr>
        <w:pStyle w:val="Heading2"/>
        <w:rPr>
          <w:rFonts w:ascii="Times New Roman" w:hAnsi="Times New Roman" w:cs="Times New Roman"/>
        </w:rPr>
      </w:pPr>
      <w:r w:rsidRPr="009027A0">
        <w:rPr>
          <w:rFonts w:ascii="Times New Roman" w:hAnsi="Times New Roman" w:cs="Times New Roman"/>
        </w:rPr>
        <w:t>P r í l</w:t>
      </w:r>
      <w:r w:rsidRPr="009027A0">
        <w:rPr>
          <w:rFonts w:ascii="Times New Roman" w:hAnsi="Times New Roman" w:cs="Times New Roman"/>
        </w:rPr>
        <w:t xml:space="preserve"> o h a</w:t>
      </w:r>
    </w:p>
    <w:p w:rsidR="004B44ED" w:rsidRPr="009027A0" w:rsidP="004B44ED">
      <w:pPr>
        <w:ind w:left="4253" w:firstLine="708"/>
        <w:jc w:val="both"/>
        <w:rPr>
          <w:rFonts w:ascii="Times New Roman" w:hAnsi="Times New Roman" w:cs="Times New Roman"/>
          <w:b/>
          <w:bCs/>
        </w:rPr>
      </w:pPr>
      <w:r w:rsidRPr="009027A0">
        <w:rPr>
          <w:rFonts w:ascii="Times New Roman" w:hAnsi="Times New Roman" w:cs="Times New Roman"/>
          <w:b/>
          <w:bCs/>
        </w:rPr>
        <w:t xml:space="preserve">k uzneseniu Ústavnoprávneho </w:t>
      </w:r>
    </w:p>
    <w:p w:rsidR="006B7BC5" w:rsidP="004B44ED">
      <w:pPr>
        <w:ind w:left="4253" w:firstLine="708"/>
        <w:jc w:val="both"/>
        <w:rPr>
          <w:rFonts w:ascii="Times New Roman" w:hAnsi="Times New Roman" w:cs="Times New Roman"/>
          <w:b/>
        </w:rPr>
      </w:pPr>
      <w:r w:rsidRPr="009027A0" w:rsidR="004B44ED">
        <w:rPr>
          <w:rFonts w:ascii="Times New Roman" w:hAnsi="Times New Roman" w:cs="Times New Roman"/>
          <w:b/>
        </w:rPr>
        <w:t xml:space="preserve">výboru Národnej rady SR č. </w:t>
      </w:r>
      <w:r w:rsidR="000B1D0A">
        <w:rPr>
          <w:rFonts w:ascii="Times New Roman" w:hAnsi="Times New Roman" w:cs="Times New Roman"/>
          <w:b/>
        </w:rPr>
        <w:t>658</w:t>
      </w:r>
    </w:p>
    <w:p w:rsidR="004B44ED" w:rsidRPr="009027A0" w:rsidP="004B44ED">
      <w:pPr>
        <w:ind w:left="4253" w:firstLine="708"/>
        <w:jc w:val="both"/>
        <w:rPr>
          <w:rFonts w:ascii="Times New Roman" w:hAnsi="Times New Roman" w:cs="Times New Roman"/>
          <w:b/>
        </w:rPr>
      </w:pPr>
      <w:r w:rsidRPr="009027A0">
        <w:rPr>
          <w:rFonts w:ascii="Times New Roman" w:hAnsi="Times New Roman" w:cs="Times New Roman"/>
          <w:b/>
        </w:rPr>
        <w:t>z</w:t>
      </w:r>
      <w:r w:rsidR="000B4614">
        <w:rPr>
          <w:rFonts w:ascii="Times New Roman" w:hAnsi="Times New Roman" w:cs="Times New Roman"/>
          <w:b/>
        </w:rPr>
        <w:t> </w:t>
      </w:r>
      <w:r w:rsidR="009904BD">
        <w:rPr>
          <w:rFonts w:ascii="Times New Roman" w:hAnsi="Times New Roman" w:cs="Times New Roman"/>
          <w:b/>
        </w:rPr>
        <w:t>10</w:t>
      </w:r>
      <w:r w:rsidR="000B4614">
        <w:rPr>
          <w:rFonts w:ascii="Times New Roman" w:hAnsi="Times New Roman" w:cs="Times New Roman"/>
          <w:b/>
        </w:rPr>
        <w:t>.</w:t>
      </w:r>
      <w:r w:rsidR="00FB0AE0">
        <w:rPr>
          <w:rFonts w:ascii="Times New Roman" w:hAnsi="Times New Roman" w:cs="Times New Roman"/>
          <w:b/>
        </w:rPr>
        <w:t xml:space="preserve"> </w:t>
      </w:r>
      <w:r w:rsidR="006411BD">
        <w:rPr>
          <w:rFonts w:ascii="Times New Roman" w:hAnsi="Times New Roman" w:cs="Times New Roman"/>
          <w:b/>
        </w:rPr>
        <w:t xml:space="preserve"> júna</w:t>
      </w:r>
      <w:r w:rsidR="007E57D0">
        <w:rPr>
          <w:rFonts w:ascii="Times New Roman" w:hAnsi="Times New Roman" w:cs="Times New Roman"/>
          <w:b/>
        </w:rPr>
        <w:t xml:space="preserve"> </w:t>
      </w:r>
      <w:r w:rsidR="007C30B0">
        <w:rPr>
          <w:rFonts w:ascii="Times New Roman" w:hAnsi="Times New Roman" w:cs="Times New Roman"/>
          <w:b/>
        </w:rPr>
        <w:t>2</w:t>
      </w:r>
      <w:r w:rsidRPr="009027A0">
        <w:rPr>
          <w:rFonts w:ascii="Times New Roman" w:hAnsi="Times New Roman" w:cs="Times New Roman"/>
          <w:b/>
        </w:rPr>
        <w:t>00</w:t>
      </w:r>
      <w:r w:rsidR="006B7BC5">
        <w:rPr>
          <w:rFonts w:ascii="Times New Roman" w:hAnsi="Times New Roman" w:cs="Times New Roman"/>
          <w:b/>
        </w:rPr>
        <w:t>9</w:t>
      </w:r>
    </w:p>
    <w:p w:rsidR="004B44ED" w:rsidRPr="009027A0" w:rsidP="004B44ED">
      <w:pPr>
        <w:ind w:left="4253" w:firstLine="703"/>
        <w:jc w:val="both"/>
        <w:rPr>
          <w:rFonts w:ascii="Times New Roman" w:hAnsi="Times New Roman" w:cs="Times New Roman"/>
          <w:b/>
          <w:bCs/>
          <w:lang w:eastAsia="en-US"/>
        </w:rPr>
      </w:pPr>
      <w:r w:rsidR="0099415C">
        <w:rPr>
          <w:rFonts w:ascii="Times New Roman" w:hAnsi="Times New Roman" w:cs="Times New Roman"/>
          <w:b/>
          <w:bCs/>
        </w:rPr>
        <w:t>____________________________</w:t>
      </w:r>
    </w:p>
    <w:p w:rsidR="004B44ED" w:rsidP="004B44ED">
      <w:pPr>
        <w:jc w:val="center"/>
        <w:rPr>
          <w:rFonts w:ascii="Times New Roman" w:hAnsi="Times New Roman" w:cs="Times New Roman"/>
          <w:lang w:eastAsia="en-US"/>
        </w:rPr>
      </w:pPr>
    </w:p>
    <w:p w:rsidR="00BE2BFE" w:rsidP="004B44ED">
      <w:pPr>
        <w:jc w:val="center"/>
        <w:rPr>
          <w:rFonts w:ascii="Times New Roman" w:hAnsi="Times New Roman" w:cs="Times New Roman"/>
          <w:lang w:eastAsia="en-US"/>
        </w:rPr>
      </w:pPr>
    </w:p>
    <w:p w:rsidR="002D7A4D" w:rsidP="004B44ED">
      <w:pPr>
        <w:jc w:val="center"/>
        <w:rPr>
          <w:rFonts w:ascii="Times New Roman" w:hAnsi="Times New Roman" w:cs="Times New Roman"/>
          <w:lang w:eastAsia="en-US"/>
        </w:rPr>
      </w:pPr>
    </w:p>
    <w:p w:rsidR="002D7A4D" w:rsidP="004B44ED">
      <w:pPr>
        <w:jc w:val="center"/>
        <w:rPr>
          <w:rFonts w:ascii="Times New Roman" w:hAnsi="Times New Roman" w:cs="Times New Roman"/>
          <w:lang w:eastAsia="en-US"/>
        </w:rPr>
      </w:pPr>
    </w:p>
    <w:p w:rsidR="00175F15" w:rsidRPr="00577FDA" w:rsidP="00175F15">
      <w:pPr>
        <w:pStyle w:val="Heading2"/>
        <w:ind w:left="0" w:firstLine="0"/>
        <w:jc w:val="center"/>
        <w:rPr>
          <w:rFonts w:ascii="Times New Roman" w:hAnsi="Times New Roman" w:cs="Times New Roman"/>
        </w:rPr>
      </w:pPr>
      <w:r w:rsidRPr="00577FDA">
        <w:rPr>
          <w:rFonts w:ascii="Times New Roman" w:hAnsi="Times New Roman" w:cs="Times New Roman"/>
        </w:rPr>
        <w:t>Pozmeňujúce a doplňujúce návrhy</w:t>
      </w:r>
    </w:p>
    <w:p w:rsidR="004B44ED" w:rsidRPr="00156324" w:rsidP="004B44ED">
      <w:pPr>
        <w:pStyle w:val="Heading2"/>
        <w:rPr>
          <w:rFonts w:ascii="Times New Roman" w:hAnsi="Times New Roman" w:cs="Times New Roman"/>
        </w:rPr>
      </w:pPr>
    </w:p>
    <w:p w:rsidR="005D7FB4" w:rsidRPr="00260FD8" w:rsidP="005D7FB4">
      <w:pPr>
        <w:jc w:val="both"/>
        <w:rPr>
          <w:rFonts w:ascii="Times New Roman" w:hAnsi="Times New Roman" w:cs="Times New Roman"/>
          <w:b/>
        </w:rPr>
      </w:pPr>
      <w:r w:rsidRPr="00260FD8" w:rsidR="00044D3E">
        <w:rPr>
          <w:rFonts w:ascii="Times New Roman" w:hAnsi="Times New Roman" w:cs="Times New Roman"/>
          <w:b/>
        </w:rPr>
        <w:t>k</w:t>
      </w:r>
      <w:r w:rsidRPr="00260FD8" w:rsidR="002A7297">
        <w:rPr>
          <w:rFonts w:ascii="Times New Roman" w:hAnsi="Times New Roman" w:cs="Times New Roman"/>
          <w:b/>
        </w:rPr>
        <w:t> </w:t>
      </w:r>
      <w:r w:rsidRPr="00260FD8" w:rsidR="002D7A4D">
        <w:rPr>
          <w:rFonts w:ascii="Times New Roman" w:hAnsi="Times New Roman" w:cs="Times New Roman"/>
          <w:b/>
        </w:rPr>
        <w:t xml:space="preserve">vládnemu návrhu </w:t>
      </w:r>
      <w:r w:rsidRPr="00260FD8" w:rsidR="003E7485">
        <w:rPr>
          <w:rFonts w:ascii="Times New Roman" w:hAnsi="Times New Roman" w:cs="Times New Roman"/>
          <w:b/>
        </w:rPr>
        <w:t>zákona</w:t>
      </w:r>
      <w:r w:rsidRPr="00260FD8">
        <w:rPr>
          <w:rFonts w:ascii="Times New Roman" w:hAnsi="Times New Roman" w:cs="Times New Roman"/>
          <w:b/>
        </w:rPr>
        <w:t xml:space="preserve">, ktorým sa mení a dopĺňa zákon č. 223/2001 Z. z. o odpadoch a o zmene a doplnení niektorých zákonov v znení neskorších predpisov (tlač 1022) </w:t>
      </w:r>
    </w:p>
    <w:p w:rsidR="00525307" w:rsidRPr="003E7485" w:rsidP="004B44ED">
      <w:pPr>
        <w:jc w:val="both"/>
        <w:rPr>
          <w:rFonts w:ascii="Times New Roman" w:hAnsi="Times New Roman" w:cs="Times New Roman"/>
          <w:b/>
        </w:rPr>
      </w:pPr>
      <w:r w:rsidRPr="003E7485">
        <w:rPr>
          <w:rFonts w:ascii="Times New Roman" w:hAnsi="Times New Roman" w:cs="Times New Roman"/>
          <w:b/>
        </w:rPr>
        <w:t>_________________________________________________________</w:t>
      </w:r>
      <w:r w:rsidRPr="003E7485" w:rsidR="00BB5E42">
        <w:rPr>
          <w:rFonts w:ascii="Times New Roman" w:hAnsi="Times New Roman" w:cs="Times New Roman"/>
          <w:b/>
        </w:rPr>
        <w:t>_</w:t>
      </w:r>
      <w:r w:rsidR="00F0000A">
        <w:rPr>
          <w:rFonts w:ascii="Times New Roman" w:hAnsi="Times New Roman" w:cs="Times New Roman"/>
          <w:b/>
        </w:rPr>
        <w:t>_________________</w:t>
      </w:r>
    </w:p>
    <w:p w:rsidR="00013F34" w:rsidP="004B44ED">
      <w:pPr>
        <w:jc w:val="both"/>
        <w:rPr>
          <w:rFonts w:ascii="Times New Roman" w:hAnsi="Times New Roman" w:cs="Times New Roman"/>
          <w:b/>
        </w:rPr>
      </w:pPr>
    </w:p>
    <w:p w:rsidR="001309A3" w:rsidRPr="009B4764" w:rsidP="004B44ED">
      <w:pPr>
        <w:jc w:val="both"/>
        <w:rPr>
          <w:rFonts w:ascii="Times New Roman" w:hAnsi="Times New Roman" w:cs="Times New Roman"/>
          <w:b/>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w:t>
      </w:r>
      <w:r w:rsidRPr="009B4764" w:rsidR="00E310B4">
        <w:rPr>
          <w:rFonts w:ascii="Times New Roman" w:hAnsi="Times New Roman" w:cs="Times New Roman"/>
        </w:rPr>
        <w:t> </w:t>
      </w:r>
      <w:r w:rsidRPr="009B4764">
        <w:rPr>
          <w:rFonts w:ascii="Times New Roman" w:hAnsi="Times New Roman" w:cs="Times New Roman"/>
        </w:rPr>
        <w:t>čl</w:t>
      </w:r>
      <w:r w:rsidRPr="009B4764" w:rsidR="00E310B4">
        <w:rPr>
          <w:rFonts w:ascii="Times New Roman" w:hAnsi="Times New Roman" w:cs="Times New Roman"/>
        </w:rPr>
        <w:t xml:space="preserve">. </w:t>
      </w:r>
      <w:r w:rsidRPr="009B4764">
        <w:rPr>
          <w:rFonts w:ascii="Times New Roman" w:hAnsi="Times New Roman" w:cs="Times New Roman"/>
        </w:rPr>
        <w:t>I</w:t>
      </w:r>
      <w:r w:rsidRPr="009B4764" w:rsidR="004735E7">
        <w:rPr>
          <w:rFonts w:ascii="Times New Roman" w:hAnsi="Times New Roman" w:cs="Times New Roman"/>
        </w:rPr>
        <w:t xml:space="preserve"> 1. </w:t>
      </w:r>
      <w:r w:rsidRPr="009B4764">
        <w:rPr>
          <w:rFonts w:ascii="Times New Roman" w:hAnsi="Times New Roman" w:cs="Times New Roman"/>
        </w:rPr>
        <w:t>bode § 1 ods. 3 písmeno f ) znie:</w:t>
      </w:r>
    </w:p>
    <w:p w:rsidR="001309A3" w:rsidRPr="009B4764" w:rsidP="001309A3">
      <w:pPr>
        <w:spacing w:line="360" w:lineRule="auto"/>
        <w:ind w:left="360"/>
        <w:jc w:val="both"/>
        <w:rPr>
          <w:rFonts w:ascii="Times New Roman" w:hAnsi="Times New Roman" w:cs="Times New Roman"/>
        </w:rPr>
      </w:pPr>
      <w:r w:rsidRPr="009B4764">
        <w:rPr>
          <w:rFonts w:ascii="Times New Roman" w:hAnsi="Times New Roman" w:cs="Times New Roman"/>
        </w:rPr>
        <w:t>„f)</w:t>
      </w:r>
      <w:r w:rsidRPr="009B4764" w:rsidR="00DB15A2">
        <w:rPr>
          <w:rFonts w:ascii="Times New Roman" w:hAnsi="Times New Roman" w:cs="Times New Roman"/>
        </w:rPr>
        <w:t xml:space="preserve"> </w:t>
      </w:r>
      <w:r w:rsidRPr="009B4764">
        <w:rPr>
          <w:rFonts w:ascii="Times New Roman" w:hAnsi="Times New Roman" w:cs="Times New Roman"/>
        </w:rPr>
        <w:t>nakladanie s elektrickými a elektronickými zariadeniami (ďalej len „elektrozariadenie“), ktoré sú spojené s ochranou dôležitých záujmov týkajúcich sa bezpečnosti Slovenskej republiky, zbrane, muníciu a vojenský materiál, okrem elektrozariadení, ktoré nie sú určené výhradne na vojenské účely a na nakladanie s odpadom z tých</w:t>
      </w:r>
      <w:r w:rsidRPr="009B4764">
        <w:rPr>
          <w:rFonts w:ascii="Times New Roman" w:hAnsi="Times New Roman" w:cs="Times New Roman"/>
        </w:rPr>
        <w:t>to elektrozariadení,“.</w:t>
      </w:r>
    </w:p>
    <w:p w:rsidR="001309A3" w:rsidRPr="009B4764" w:rsidP="001309A3">
      <w:pPr>
        <w:spacing w:line="360" w:lineRule="auto"/>
        <w:ind w:left="360"/>
        <w:jc w:val="both"/>
        <w:rPr>
          <w:rFonts w:ascii="Times New Roman" w:hAnsi="Times New Roman" w:cs="Times New Roman"/>
        </w:rPr>
      </w:pPr>
    </w:p>
    <w:p w:rsidR="001309A3" w:rsidRPr="009B4764" w:rsidP="001309A3">
      <w:pPr>
        <w:ind w:left="2880"/>
        <w:jc w:val="both"/>
        <w:rPr>
          <w:rFonts w:ascii="Times New Roman" w:hAnsi="Times New Roman" w:cs="Times New Roman"/>
        </w:rPr>
      </w:pPr>
      <w:r w:rsidRPr="009B4764">
        <w:rPr>
          <w:rFonts w:ascii="Times New Roman" w:hAnsi="Times New Roman" w:cs="Times New Roman"/>
        </w:rPr>
        <w:t>Ide o legislatívno-technickú pripomienku, ktorou sa sleduje spresnenie právneho textu v súlade s článkom 2 ods. 3 smernice Európskeho parlamentu a Rady 2002/96/ES v znení neskorších predpisov.</w:t>
      </w:r>
    </w:p>
    <w:p w:rsidR="001309A3" w:rsidRPr="009B4764" w:rsidP="001309A3">
      <w:pPr>
        <w:ind w:left="2880"/>
        <w:jc w:val="both"/>
        <w:rPr>
          <w:rFonts w:ascii="Times New Roman" w:hAnsi="Times New Roman" w:cs="Times New Roman"/>
        </w:rPr>
      </w:pPr>
    </w:p>
    <w:p w:rsidR="004735E7" w:rsidRPr="009B4764" w:rsidP="001309A3">
      <w:pPr>
        <w:ind w:left="2880"/>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w:t>
      </w:r>
      <w:r w:rsidRPr="009B4764" w:rsidR="00E310B4">
        <w:rPr>
          <w:rFonts w:ascii="Times New Roman" w:hAnsi="Times New Roman" w:cs="Times New Roman"/>
        </w:rPr>
        <w:t> </w:t>
      </w:r>
      <w:r w:rsidRPr="009B4764">
        <w:rPr>
          <w:rFonts w:ascii="Times New Roman" w:hAnsi="Times New Roman" w:cs="Times New Roman"/>
        </w:rPr>
        <w:t>čl</w:t>
      </w:r>
      <w:r w:rsidRPr="009B4764" w:rsidR="00E310B4">
        <w:rPr>
          <w:rFonts w:ascii="Times New Roman" w:hAnsi="Times New Roman" w:cs="Times New Roman"/>
        </w:rPr>
        <w:t xml:space="preserve">. </w:t>
      </w:r>
      <w:r w:rsidRPr="009B4764">
        <w:rPr>
          <w:rFonts w:ascii="Times New Roman" w:hAnsi="Times New Roman" w:cs="Times New Roman"/>
        </w:rPr>
        <w:t>I</w:t>
      </w:r>
      <w:r w:rsidRPr="009B4764" w:rsidR="004735E7">
        <w:rPr>
          <w:rFonts w:ascii="Times New Roman" w:hAnsi="Times New Roman" w:cs="Times New Roman"/>
        </w:rPr>
        <w:t xml:space="preserve">  23. </w:t>
      </w:r>
      <w:r w:rsidRPr="009B4764">
        <w:rPr>
          <w:rFonts w:ascii="Times New Roman" w:hAnsi="Times New Roman" w:cs="Times New Roman"/>
        </w:rPr>
        <w:t>bode v poznámke pod čiar</w:t>
      </w:r>
      <w:r w:rsidRPr="009B4764">
        <w:rPr>
          <w:rFonts w:ascii="Times New Roman" w:hAnsi="Times New Roman" w:cs="Times New Roman"/>
        </w:rPr>
        <w:t>ou k odkazu 25 sa za slová v zátvorke „v platnom znení“  vkladá bodkočiarka a slová „Ú. v. ES L 302, 19. 10. 1992“.“</w:t>
      </w:r>
    </w:p>
    <w:p w:rsidR="001309A3" w:rsidRPr="009B4764" w:rsidP="001309A3">
      <w:pPr>
        <w:spacing w:line="360" w:lineRule="auto"/>
        <w:ind w:left="2832"/>
        <w:jc w:val="both"/>
        <w:rPr>
          <w:rFonts w:ascii="Times New Roman" w:hAnsi="Times New Roman" w:cs="Times New Roman"/>
        </w:rPr>
      </w:pPr>
    </w:p>
    <w:p w:rsidR="001309A3" w:rsidRPr="009B4764" w:rsidP="001309A3">
      <w:pPr>
        <w:ind w:left="2829"/>
        <w:jc w:val="both"/>
        <w:rPr>
          <w:rFonts w:ascii="Times New Roman" w:hAnsi="Times New Roman" w:cs="Times New Roman"/>
        </w:rPr>
      </w:pPr>
      <w:r w:rsidRPr="009B4764">
        <w:rPr>
          <w:rFonts w:ascii="Times New Roman" w:hAnsi="Times New Roman" w:cs="Times New Roman"/>
        </w:rPr>
        <w:t>Ide o legislatívno-technickú pripomienku, ktorou sa sleduje zosúladenie so zaužívanou praxou.</w:t>
      </w:r>
    </w:p>
    <w:p w:rsidR="001309A3" w:rsidRPr="009B4764" w:rsidP="00DB15A2">
      <w:pPr>
        <w:jc w:val="both"/>
        <w:rPr>
          <w:rFonts w:ascii="Times New Roman" w:hAnsi="Times New Roman" w:cs="Times New Roman"/>
        </w:rPr>
      </w:pPr>
    </w:p>
    <w:p w:rsidR="00796FAA" w:rsidRPr="009B4764" w:rsidP="00DB15A2">
      <w:pPr>
        <w:jc w:val="both"/>
        <w:rPr>
          <w:rFonts w:ascii="Times New Roman" w:hAnsi="Times New Roman" w:cs="Times New Roman"/>
        </w:rPr>
      </w:pPr>
    </w:p>
    <w:p w:rsidR="00DB15A2"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 sa za 28. bod vkladajú nové 29. a </w:t>
      </w:r>
      <w:r w:rsidRPr="009B4764">
        <w:rPr>
          <w:rFonts w:ascii="Times New Roman" w:hAnsi="Times New Roman" w:cs="Times New Roman"/>
        </w:rPr>
        <w:t>30. bod, ktoré znejú:</w:t>
      </w:r>
    </w:p>
    <w:p w:rsidR="00DB15A2" w:rsidRPr="009B4764" w:rsidP="00DB15A2">
      <w:pPr>
        <w:spacing w:line="360" w:lineRule="auto"/>
        <w:ind w:left="360"/>
        <w:jc w:val="both"/>
        <w:rPr>
          <w:rFonts w:ascii="Times New Roman" w:hAnsi="Times New Roman" w:cs="Times New Roman"/>
        </w:rPr>
      </w:pPr>
      <w:r w:rsidRPr="009B4764">
        <w:rPr>
          <w:rFonts w:ascii="Times New Roman" w:hAnsi="Times New Roman" w:cs="Times New Roman"/>
        </w:rPr>
        <w:t>„29.  V § 22 ods. 1 sa v prvej vete za slovami „účelovú finančnú rezervu“ vypúšťajú slová: „minimálne vo výške 50 % celkových nákladov na uzavretie, rekultiváciu a monitorovanie skládky odpadov po jej uzavretí.</w:t>
      </w:r>
    </w:p>
    <w:p w:rsidR="00DB15A2" w:rsidRPr="009B4764" w:rsidP="00DB15A2">
      <w:pPr>
        <w:spacing w:line="360" w:lineRule="auto"/>
        <w:ind w:left="360"/>
        <w:jc w:val="both"/>
        <w:rPr>
          <w:rFonts w:ascii="Times New Roman" w:hAnsi="Times New Roman" w:cs="Times New Roman"/>
          <w:b/>
          <w:bCs/>
        </w:rPr>
      </w:pPr>
      <w:r w:rsidRPr="009B4764">
        <w:rPr>
          <w:rFonts w:ascii="Times New Roman" w:hAnsi="Times New Roman" w:cs="Times New Roman"/>
          <w:b/>
          <w:bCs/>
        </w:rPr>
        <w:tab/>
      </w:r>
    </w:p>
    <w:p w:rsidR="00DB15A2" w:rsidRPr="009B4764" w:rsidP="00DB15A2">
      <w:pPr>
        <w:spacing w:line="360" w:lineRule="auto"/>
        <w:ind w:left="360"/>
        <w:jc w:val="both"/>
        <w:rPr>
          <w:rFonts w:ascii="Times New Roman" w:hAnsi="Times New Roman" w:cs="Times New Roman"/>
          <w:bCs/>
        </w:rPr>
      </w:pPr>
      <w:r w:rsidRPr="009B4764">
        <w:rPr>
          <w:rFonts w:ascii="Times New Roman" w:hAnsi="Times New Roman" w:cs="Times New Roman"/>
          <w:bCs/>
        </w:rPr>
        <w:t xml:space="preserve">30. V § 22 ods. 2 sa vypúšťa čiarka za slovom „uzavretí“ a slová „najmenej do dosiahnutia minimálnej výšky rezervy uvedenej v odseku 1“.“.   </w:t>
      </w:r>
    </w:p>
    <w:p w:rsidR="00DB15A2" w:rsidRPr="009B4764" w:rsidP="00DB15A2">
      <w:pPr>
        <w:spacing w:line="360" w:lineRule="auto"/>
        <w:ind w:left="360"/>
        <w:jc w:val="both"/>
        <w:rPr>
          <w:rFonts w:ascii="Times New Roman" w:hAnsi="Times New Roman" w:cs="Times New Roman"/>
          <w:b/>
          <w:bCs/>
        </w:rPr>
      </w:pPr>
    </w:p>
    <w:p w:rsidR="00DB15A2" w:rsidRPr="009B4764" w:rsidP="00DB15A2">
      <w:pPr>
        <w:spacing w:line="360" w:lineRule="auto"/>
        <w:ind w:left="360"/>
        <w:jc w:val="both"/>
        <w:rPr>
          <w:rFonts w:ascii="Times New Roman" w:hAnsi="Times New Roman" w:cs="Times New Roman"/>
          <w:bCs/>
        </w:rPr>
      </w:pPr>
      <w:r w:rsidRPr="009B4764">
        <w:rPr>
          <w:rFonts w:ascii="Times New Roman" w:hAnsi="Times New Roman" w:cs="Times New Roman"/>
          <w:bCs/>
        </w:rPr>
        <w:t>Nasledujúce body sa prečíslujú.</w:t>
      </w:r>
    </w:p>
    <w:p w:rsidR="00DB15A2" w:rsidRPr="009B4764" w:rsidP="00DB15A2">
      <w:pPr>
        <w:jc w:val="both"/>
        <w:rPr>
          <w:rFonts w:ascii="Times New Roman" w:hAnsi="Times New Roman" w:cs="Times New Roman"/>
          <w:b/>
          <w:bCs/>
        </w:rPr>
      </w:pPr>
    </w:p>
    <w:p w:rsidR="00DB15A2" w:rsidRPr="009B4764" w:rsidP="00DB15A2">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 xml:space="preserve">Navrhovaná zmena súvisí s navrhovanou zmenou v § 22 ods. 5 a 6.   </w:t>
      </w:r>
    </w:p>
    <w:p w:rsidR="00DB15A2" w:rsidRPr="009B4764" w:rsidP="00DB15A2">
      <w:pPr>
        <w:pStyle w:val="Odstavec"/>
        <w:tabs>
          <w:tab w:val="clear" w:pos="567"/>
        </w:tabs>
        <w:overflowPunct/>
        <w:adjustRightInd/>
        <w:spacing w:before="0"/>
        <w:ind w:left="3420"/>
        <w:textAlignment w:val="auto"/>
        <w:rPr>
          <w:rFonts w:ascii="Times New Roman" w:hAnsi="Times New Roman" w:cs="Times New Roman"/>
          <w:szCs w:val="24"/>
          <w:lang w:eastAsia="sk-SK"/>
        </w:rPr>
      </w:pPr>
    </w:p>
    <w:p w:rsidR="00DB15A2" w:rsidRPr="009B4764" w:rsidP="00DB15A2">
      <w:pPr>
        <w:pStyle w:val="Odstavec"/>
        <w:tabs>
          <w:tab w:val="clear" w:pos="567"/>
        </w:tabs>
        <w:overflowPunct/>
        <w:adjustRightInd/>
        <w:spacing w:before="0"/>
        <w:textAlignment w:val="auto"/>
        <w:rPr>
          <w:rFonts w:ascii="Times New Roman" w:hAnsi="Times New Roman" w:cs="Times New Roman"/>
          <w:szCs w:val="24"/>
          <w:lang w:eastAsia="sk-SK"/>
        </w:rPr>
      </w:pPr>
    </w:p>
    <w:p w:rsidR="00DB15A2" w:rsidRPr="009B4764" w:rsidP="00DB15A2">
      <w:pPr>
        <w:pStyle w:val="Odstavec"/>
        <w:numPr>
          <w:ilvl w:val="0"/>
          <w:numId w:val="41"/>
        </w:numPr>
        <w:tabs>
          <w:tab w:val="left" w:pos="340"/>
          <w:tab w:val="clear" w:pos="567"/>
        </w:tabs>
        <w:overflowPunct/>
        <w:adjustRightInd/>
        <w:spacing w:before="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V čl. I sa za 29 bod vkladá nový</w:t>
      </w:r>
      <w:r w:rsidRPr="009B4764">
        <w:rPr>
          <w:rFonts w:ascii="Times New Roman" w:hAnsi="Times New Roman" w:cs="Times New Roman"/>
          <w:szCs w:val="24"/>
          <w:lang w:eastAsia="sk-SK"/>
        </w:rPr>
        <w:t xml:space="preserve"> 30. bod, ktorý znie:</w:t>
      </w:r>
    </w:p>
    <w:p w:rsidR="00DB15A2" w:rsidRPr="009B4764" w:rsidP="00DB15A2">
      <w:pPr>
        <w:pStyle w:val="Odstavec"/>
        <w:tabs>
          <w:tab w:val="clear" w:pos="567"/>
        </w:tabs>
        <w:overflowPunct/>
        <w:adjustRightInd/>
        <w:spacing w:before="0"/>
        <w:ind w:left="36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 xml:space="preserve">„30. V § 22 odsek 5 znie: </w:t>
      </w:r>
    </w:p>
    <w:p w:rsidR="00DB15A2" w:rsidRPr="009B4764" w:rsidP="00DB15A2">
      <w:pPr>
        <w:pStyle w:val="Odstavec"/>
        <w:tabs>
          <w:tab w:val="clear" w:pos="567"/>
        </w:tabs>
        <w:overflowPunct/>
        <w:adjustRightInd/>
        <w:spacing w:before="0"/>
        <w:ind w:left="360"/>
        <w:textAlignment w:val="auto"/>
        <w:rPr>
          <w:rFonts w:ascii="Times New Roman" w:hAnsi="Times New Roman" w:cs="Times New Roman"/>
          <w:szCs w:val="24"/>
          <w:lang w:eastAsia="sk-SK"/>
        </w:rPr>
      </w:pPr>
      <w:r w:rsidRPr="009B4764">
        <w:rPr>
          <w:rFonts w:ascii="Times New Roman" w:hAnsi="Times New Roman" w:cs="Times New Roman"/>
        </w:rPr>
        <w:t>„(5) Prostriedky tvoriace účelovú finančnú rezervu sa vedú na osobitnom účte alebo osobitných účtoch</w:t>
      </w:r>
      <w:r w:rsidRPr="009B4764">
        <w:rPr>
          <w:rFonts w:ascii="Times New Roman" w:hAnsi="Times New Roman" w:cs="Times New Roman"/>
          <w:szCs w:val="24"/>
          <w:vertAlign w:val="superscript"/>
        </w:rPr>
        <w:t>37)</w:t>
      </w:r>
      <w:r w:rsidRPr="009B4764">
        <w:rPr>
          <w:rFonts w:ascii="Times New Roman" w:hAnsi="Times New Roman" w:cs="Times New Roman"/>
        </w:rPr>
        <w:t xml:space="preserve"> prevádzkovateľa skládky odpadov. Prevádzkovateľ skládky odpadov je pred odvedením prvej splátky účelovej finančnej rezervy povinný zabezpečiť vytvorenie osobitného účtu alebo osobitných účtov, na ktoré bude prostriedky účelovej finančnej rezervy každoročne odvádzať v zmysle odseku 6, a zároveň zabezpečiť viazanosť použitia odvedených prostriedkov účelovej finančnej rezervy na účel uvedený v odseku 1.“ .“.</w:t>
      </w:r>
    </w:p>
    <w:p w:rsidR="009B4764" w:rsidP="009B4764">
      <w:pPr>
        <w:spacing w:line="360" w:lineRule="auto"/>
        <w:ind w:left="360"/>
        <w:jc w:val="both"/>
        <w:rPr>
          <w:rFonts w:ascii="Times New Roman" w:hAnsi="Times New Roman" w:cs="Times New Roman"/>
          <w:bCs/>
        </w:rPr>
      </w:pPr>
    </w:p>
    <w:p w:rsidR="009B4764" w:rsidRPr="009B4764" w:rsidP="009B4764">
      <w:pPr>
        <w:spacing w:line="360" w:lineRule="auto"/>
        <w:ind w:left="360"/>
        <w:jc w:val="both"/>
        <w:rPr>
          <w:rFonts w:ascii="Times New Roman" w:hAnsi="Times New Roman" w:cs="Times New Roman"/>
          <w:bCs/>
        </w:rPr>
      </w:pPr>
      <w:r w:rsidRPr="009B4764">
        <w:rPr>
          <w:rFonts w:ascii="Times New Roman" w:hAnsi="Times New Roman" w:cs="Times New Roman"/>
          <w:bCs/>
        </w:rPr>
        <w:t>Nasledujúce body sa prečíslujú.</w:t>
      </w:r>
    </w:p>
    <w:p w:rsidR="009B4764" w:rsidP="00DB15A2">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p>
    <w:p w:rsidR="00DB15A2" w:rsidRPr="009B4764" w:rsidP="00DB15A2">
      <w:pPr>
        <w:pStyle w:val="Odstavec"/>
        <w:tabs>
          <w:tab w:val="clear" w:pos="567"/>
        </w:tabs>
        <w:overflowPunct/>
        <w:adjustRightInd/>
        <w:spacing w:before="0" w:line="240" w:lineRule="auto"/>
        <w:ind w:left="2880"/>
        <w:textAlignment w:val="auto"/>
        <w:rPr>
          <w:rFonts w:ascii="Times New Roman" w:hAnsi="Times New Roman" w:cs="Times New Roman"/>
          <w:szCs w:val="24"/>
        </w:rPr>
      </w:pPr>
      <w:r w:rsidRPr="009B4764">
        <w:rPr>
          <w:rFonts w:ascii="Times New Roman" w:hAnsi="Times New Roman" w:cs="Times New Roman"/>
          <w:szCs w:val="24"/>
          <w:lang w:eastAsia="sk-SK"/>
        </w:rPr>
        <w:t xml:space="preserve">Prostriedky účelovej finančnej rezervy sú odvádzané na osobitný bankový účet prevádzkovateľa skládky, pričom možnosť pre prevádzkovateľa skládky disponovať s týmito prostriedkami je obmedzená až do uzavretia skládky a od začiatku rekultivácie. Opatrením sa umožňuje prevádzkovateľom skládky vytvoriť viac osobitných účtov v rôznych bankách, pričom povinnosť zabezpečiť viazanosť použitia týchto prostriedkov účelovej finančnej rezervy ostáva nezmenená. </w:t>
      </w:r>
    </w:p>
    <w:p w:rsidR="00DB15A2" w:rsidRPr="009B4764" w:rsidP="00DB15A2">
      <w:pPr>
        <w:pStyle w:val="Odstavec"/>
        <w:tabs>
          <w:tab w:val="clear" w:pos="567"/>
        </w:tabs>
        <w:overflowPunct/>
        <w:adjustRightInd/>
        <w:spacing w:before="0" w:line="240" w:lineRule="auto"/>
        <w:ind w:left="3420"/>
        <w:textAlignment w:val="auto"/>
        <w:rPr>
          <w:rFonts w:ascii="Times New Roman" w:hAnsi="Times New Roman" w:cs="Times New Roman"/>
          <w:szCs w:val="24"/>
        </w:rPr>
      </w:pPr>
    </w:p>
    <w:p w:rsidR="00DB15A2" w:rsidRPr="009B4764" w:rsidP="00DB15A2">
      <w:pPr>
        <w:pStyle w:val="Odstavec"/>
        <w:tabs>
          <w:tab w:val="clear" w:pos="567"/>
        </w:tabs>
        <w:overflowPunct/>
        <w:adjustRightInd/>
        <w:spacing w:before="0"/>
        <w:textAlignment w:val="auto"/>
        <w:rPr>
          <w:rFonts w:ascii="Times New Roman" w:hAnsi="Times New Roman" w:cs="Times New Roman"/>
          <w:szCs w:val="24"/>
        </w:rPr>
      </w:pPr>
    </w:p>
    <w:p w:rsidR="00DB15A2" w:rsidRPr="009B4764" w:rsidP="00DB15A2">
      <w:pPr>
        <w:pStyle w:val="Odstavec"/>
        <w:numPr>
          <w:ilvl w:val="0"/>
          <w:numId w:val="41"/>
        </w:numPr>
        <w:tabs>
          <w:tab w:val="left" w:pos="340"/>
          <w:tab w:val="clear" w:pos="567"/>
        </w:tabs>
        <w:overflowPunct/>
        <w:adjustRightInd/>
        <w:spacing w:before="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V čl. I 30. bod znie:</w:t>
      </w:r>
    </w:p>
    <w:p w:rsidR="00DB15A2" w:rsidRPr="009B4764" w:rsidP="00DB15A2">
      <w:pPr>
        <w:pStyle w:val="Odstavec"/>
        <w:tabs>
          <w:tab w:val="clear" w:pos="567"/>
        </w:tabs>
        <w:overflowPunct/>
        <w:adjustRightInd/>
        <w:spacing w:before="0"/>
        <w:ind w:left="360"/>
        <w:textAlignment w:val="auto"/>
        <w:rPr>
          <w:rFonts w:ascii="Times New Roman" w:hAnsi="Times New Roman" w:cs="Times New Roman"/>
          <w:szCs w:val="24"/>
          <w:lang w:eastAsia="sk-SK"/>
        </w:rPr>
      </w:pPr>
      <w:r w:rsidRPr="009B4764">
        <w:rPr>
          <w:rFonts w:ascii="Times New Roman" w:hAnsi="Times New Roman" w:cs="Times New Roman"/>
        </w:rPr>
        <w:t xml:space="preserve">„30.  V § 22 odsek 6 znie: </w:t>
      </w:r>
    </w:p>
    <w:p w:rsidR="00DB15A2" w:rsidRPr="009B4764" w:rsidP="00DB15A2">
      <w:pPr>
        <w:pStyle w:val="Odstavec"/>
        <w:tabs>
          <w:tab w:val="clear" w:pos="567"/>
        </w:tabs>
        <w:overflowPunct/>
        <w:adjustRightInd/>
        <w:spacing w:before="0"/>
        <w:ind w:left="36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„(6) Prevádzkovateľ skládky odpadov odvádza prostriedky účelovej finančnej rezervy do 31. januára nasledujúceho kalendárneho roka, ak príslušný orgán štátnej správy odpadového hospodárstva nerozhodne ina</w:t>
      </w:r>
      <w:smartTag w:uri="urn:schemas-microsoft-com:office:smarttags" w:element="PersonName">
        <w:r w:rsidRPr="009B4764">
          <w:rPr>
            <w:rFonts w:ascii="Times New Roman" w:hAnsi="Times New Roman" w:cs="Times New Roman"/>
            <w:szCs w:val="24"/>
            <w:lang w:eastAsia="sk-SK"/>
          </w:rPr>
          <w:t>k.</w:t>
        </w:r>
      </w:smartTag>
      <w:r w:rsidRPr="009B4764">
        <w:rPr>
          <w:rFonts w:ascii="Times New Roman" w:hAnsi="Times New Roman" w:cs="Times New Roman"/>
          <w:szCs w:val="24"/>
          <w:lang w:eastAsia="sk-SK"/>
        </w:rPr>
        <w:t xml:space="preserve"> Celková výška prostriedkov účelovej finančnej rezervy odvedených na osobitný účet alebo osobitné účty, k stanovenému termínu, musí predstavovať minimálne 50 % zostatku účelovej finančnej rezervy vytvorenej podľa odseku 1 ku koncu kalendárneho roka.“ .“. </w:t>
      </w:r>
    </w:p>
    <w:p w:rsidR="00DB15A2" w:rsidRPr="009B4764" w:rsidP="00DB15A2">
      <w:pPr>
        <w:spacing w:line="360" w:lineRule="auto"/>
        <w:ind w:left="360"/>
        <w:jc w:val="both"/>
        <w:rPr>
          <w:rFonts w:ascii="Times New Roman" w:hAnsi="Times New Roman" w:cs="Times New Roman"/>
        </w:rPr>
      </w:pPr>
    </w:p>
    <w:p w:rsidR="00DB15A2" w:rsidRPr="009B4764" w:rsidP="00DB15A2">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 xml:space="preserve">Prevádzkovateľ skládky tvorí vo svojom účtovníctve rezervu na uzavretie, rekultiváciu a monitorovanie skládky po jej uzavretí v súlade s ustanoveniami odsekov 1 až 4 § 22 zákona č. 223/2001 Z. z. o odpadoch. Táto rezerva sa tvorí priebežne v závislosti od napĺňania kapacity skládky. Po uzavretí skládky a od začiatku jej rekultivácie sa rezerva znižuje o výdavky, ktoré boli vynaložené na uzavretie, rekultiváciu a monitorovanie skládky po jej uzavretí. </w:t>
      </w:r>
    </w:p>
    <w:p w:rsidR="00DB15A2" w:rsidRPr="009B4764" w:rsidP="00DB15A2">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Podľa platného zákona musí prevádzkovateľ skládky do stanoveného termínu odviesť na osobitný účet v komerčnej banke peňažné prostriedky v sume, ktorá sa rovná zostatku účelovej rezervy vytvorenej v účtovníctve ku koncu kalendárneho roka a je povinný viazať tieto prostriedky na účel stanovený v odseku 1.</w:t>
      </w:r>
    </w:p>
    <w:p w:rsidR="00DB15A2" w:rsidRPr="009B4764" w:rsidP="00DB15A2">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Novelizácia umožňuje príslušnému orgánu štátnej správy odpadového hospodárstva vydať rozhodnutie, ktorým upraví povinnosť prevádzkovateľa skládky odviesť peňažné prostriedky na osobitný bankový účet tak, aby nebol povinný viazať tieto prostriedky v plnej výške, ale pomerne k účtovnému zostatku účelovej rezervy, minimálne však vo výške 50 %. Ak prevádzkovateľ skládky odvádza prostriedky na viac osobitných účtov, potom súčet prostriedkov na všetkých účtoch musí predstavovať minimálne 50 %.</w:t>
      </w:r>
    </w:p>
    <w:p w:rsidR="00DB15A2" w:rsidRPr="009B4764" w:rsidP="00DB15A2">
      <w:pPr>
        <w:pStyle w:val="Odstavec"/>
        <w:tabs>
          <w:tab w:val="clear" w:pos="567"/>
        </w:tabs>
        <w:overflowPunct/>
        <w:adjustRightInd/>
        <w:spacing w:before="0" w:line="240" w:lineRule="auto"/>
        <w:ind w:left="2880"/>
        <w:textAlignment w:val="auto"/>
        <w:rPr>
          <w:rFonts w:ascii="Times New Roman" w:hAnsi="Times New Roman" w:cs="Times New Roman"/>
          <w:szCs w:val="24"/>
          <w:lang w:eastAsia="sk-SK"/>
        </w:rPr>
      </w:pPr>
      <w:r w:rsidRPr="009B4764">
        <w:rPr>
          <w:rFonts w:ascii="Times New Roman" w:hAnsi="Times New Roman" w:cs="Times New Roman"/>
          <w:szCs w:val="24"/>
          <w:lang w:eastAsia="sk-SK"/>
        </w:rPr>
        <w:t>Táto možnosť sa vzťahuje len na prostriedky, ktoré majú byť odvedené v obdobiach po dni účinnosti tejto novelizácie zákona. Prostriedky, ktoré už boli odvedené na osobitný účet pred dňom účinnosti novelizácie zákona nie je možné z osobitného účtu previesť a použiť na iný účel alebo čerpať iným spôsobom než ako je uvedené v § 22.</w:t>
      </w:r>
    </w:p>
    <w:p w:rsidR="00DB15A2" w:rsidRPr="009B4764" w:rsidP="00DB15A2">
      <w:pPr>
        <w:jc w:val="both"/>
        <w:rPr>
          <w:rFonts w:ascii="Times New Roman" w:hAnsi="Times New Roman" w:cs="Times New Roman"/>
        </w:rPr>
      </w:pPr>
    </w:p>
    <w:p w:rsidR="00DB15A2" w:rsidRPr="009B4764" w:rsidP="001309A3">
      <w:pPr>
        <w:spacing w:line="360" w:lineRule="auto"/>
        <w:ind w:left="360"/>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w:t>
      </w:r>
      <w:r w:rsidRPr="009B4764" w:rsidR="00E310B4">
        <w:rPr>
          <w:rFonts w:ascii="Times New Roman" w:hAnsi="Times New Roman" w:cs="Times New Roman"/>
        </w:rPr>
        <w:t> </w:t>
      </w:r>
      <w:r w:rsidRPr="009B4764">
        <w:rPr>
          <w:rFonts w:ascii="Times New Roman" w:hAnsi="Times New Roman" w:cs="Times New Roman"/>
        </w:rPr>
        <w:t>čl</w:t>
      </w:r>
      <w:r w:rsidRPr="009B4764" w:rsidR="00E310B4">
        <w:rPr>
          <w:rFonts w:ascii="Times New Roman" w:hAnsi="Times New Roman" w:cs="Times New Roman"/>
        </w:rPr>
        <w:t xml:space="preserve">. </w:t>
      </w:r>
      <w:r w:rsidRPr="009B4764">
        <w:rPr>
          <w:rFonts w:ascii="Times New Roman" w:hAnsi="Times New Roman" w:cs="Times New Roman"/>
        </w:rPr>
        <w:t>I</w:t>
      </w:r>
      <w:r w:rsidRPr="009B4764" w:rsidR="00930BEC">
        <w:rPr>
          <w:rFonts w:ascii="Times New Roman" w:hAnsi="Times New Roman" w:cs="Times New Roman"/>
        </w:rPr>
        <w:t xml:space="preserve"> 32. </w:t>
      </w:r>
      <w:r w:rsidRPr="009B4764">
        <w:rPr>
          <w:rFonts w:ascii="Times New Roman" w:hAnsi="Times New Roman" w:cs="Times New Roman"/>
        </w:rPr>
        <w:t>bode § 23 ods. 4. sa v druhej vete na konci pripájajú slová „za podmienok ustanovených v osobitnom predpise.</w:t>
      </w:r>
      <w:r w:rsidRPr="009B4764">
        <w:rPr>
          <w:rFonts w:ascii="Times New Roman" w:hAnsi="Times New Roman" w:cs="Times New Roman"/>
          <w:vertAlign w:val="superscript"/>
        </w:rPr>
        <w:t>x</w:t>
      </w:r>
      <w:r w:rsidRPr="009B4764" w:rsidR="00930BEC">
        <w:rPr>
          <w:rFonts w:ascii="Times New Roman" w:hAnsi="Times New Roman" w:cs="Times New Roman"/>
          <w:vertAlign w:val="superscript"/>
        </w:rPr>
        <w:t>)</w:t>
      </w:r>
      <w:r w:rsidRPr="009B4764">
        <w:rPr>
          <w:rFonts w:ascii="Times New Roman" w:hAnsi="Times New Roman" w:cs="Times New Roman"/>
        </w:rPr>
        <w:t>“.</w:t>
      </w:r>
    </w:p>
    <w:p w:rsidR="00DB15A2" w:rsidRPr="009B4764" w:rsidP="00DB15A2">
      <w:pPr>
        <w:spacing w:line="360" w:lineRule="auto"/>
        <w:jc w:val="both"/>
        <w:rPr>
          <w:rFonts w:ascii="Times New Roman" w:hAnsi="Times New Roman" w:cs="Times New Roman"/>
        </w:rPr>
      </w:pPr>
    </w:p>
    <w:p w:rsidR="001309A3" w:rsidRPr="009B4764" w:rsidP="001309A3">
      <w:pPr>
        <w:spacing w:line="360" w:lineRule="auto"/>
        <w:ind w:left="360"/>
        <w:jc w:val="both"/>
        <w:rPr>
          <w:rFonts w:ascii="Times New Roman" w:hAnsi="Times New Roman" w:cs="Times New Roman"/>
        </w:rPr>
      </w:pPr>
      <w:r w:rsidRPr="009B4764">
        <w:rPr>
          <w:rFonts w:ascii="Times New Roman" w:hAnsi="Times New Roman" w:cs="Times New Roman"/>
        </w:rPr>
        <w:t>Poznámka pod čiarou k odkazu x</w:t>
      </w:r>
      <w:r w:rsidRPr="009B4764" w:rsidR="00930BEC">
        <w:rPr>
          <w:rFonts w:ascii="Times New Roman" w:hAnsi="Times New Roman" w:cs="Times New Roman"/>
        </w:rPr>
        <w:t>)</w:t>
      </w:r>
      <w:r w:rsidRPr="009B4764">
        <w:rPr>
          <w:rFonts w:ascii="Times New Roman" w:hAnsi="Times New Roman" w:cs="Times New Roman"/>
        </w:rPr>
        <w:t xml:space="preserve"> znie:</w:t>
      </w:r>
    </w:p>
    <w:p w:rsidR="001309A3" w:rsidRPr="009B4764" w:rsidP="001309A3">
      <w:pPr>
        <w:spacing w:line="360" w:lineRule="auto"/>
        <w:ind w:left="360"/>
        <w:jc w:val="both"/>
        <w:rPr>
          <w:rFonts w:ascii="Times New Roman" w:hAnsi="Times New Roman" w:cs="Times New Roman"/>
        </w:rPr>
      </w:pPr>
      <w:r w:rsidRPr="009B4764">
        <w:rPr>
          <w:rFonts w:ascii="Times New Roman" w:hAnsi="Times New Roman" w:cs="Times New Roman"/>
        </w:rPr>
        <w:t>„x</w:t>
      </w:r>
      <w:r w:rsidRPr="009B4764" w:rsidR="00930BEC">
        <w:rPr>
          <w:rFonts w:ascii="Times New Roman" w:hAnsi="Times New Roman" w:cs="Times New Roman"/>
        </w:rPr>
        <w:t>)</w:t>
      </w:r>
      <w:r w:rsidRPr="009B4764">
        <w:rPr>
          <w:rFonts w:ascii="Times New Roman" w:hAnsi="Times New Roman" w:cs="Times New Roman"/>
        </w:rPr>
        <w:t xml:space="preserve"> Čl. 12 a čl. 63 nariadenia Európskeho parlamentu a Rady (ES) č. 1013/2006 v platnom znení.“.</w:t>
      </w: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Ide o legislatívno-technickú pripomienku, ktorou sa sleduje zosúladenie s nariadením Európskeho parlamentu a Rady (ES) č. 1013/2006: „príslušný orgán miesta odoslania odpadu je povinný dbať o to, aby sa zhodnocovanie odpadu v krajine určenia uskutočnilo zhruba za rovnocenných podmienok predpísaných vo vnútroštátnych právnych predpisoch krajiny odoslania, pričom do vnútroštátnych právnych predpisov transponujúcich tieto právne predpisy Spoločenstva boli zavedené požiadavky, ktoré sú aspoň také prísne ako požiadavky v právnych predpisoch Spoločenstva.</w:t>
      </w:r>
    </w:p>
    <w:p w:rsidR="001309A3" w:rsidRPr="009B4764" w:rsidP="001309A3">
      <w:pPr>
        <w:ind w:left="2829" w:firstLine="6"/>
        <w:jc w:val="both"/>
        <w:rPr>
          <w:rFonts w:ascii="Times" w:hAnsi="Times" w:cs="EUAlbertinaCE-Regu"/>
        </w:rPr>
      </w:pPr>
      <w:r w:rsidRPr="009B4764">
        <w:rPr>
          <w:rFonts w:ascii="Times New Roman" w:hAnsi="Times New Roman" w:cs="Times New Roman"/>
        </w:rPr>
        <w:t>Z Aktu o podmienkach pristúpenia</w:t>
      </w:r>
      <w:r w:rsidRPr="009B4764" w:rsidR="00796FAA">
        <w:rPr>
          <w:rFonts w:ascii="Times New Roman" w:hAnsi="Times New Roman" w:cs="Times New Roman"/>
        </w:rPr>
        <w:t xml:space="preserve"> </w:t>
      </w:r>
      <w:r w:rsidRPr="009B4764">
        <w:rPr>
          <w:rFonts w:ascii="Times New Roman" w:hAnsi="Times New Roman" w:cs="Times New Roman"/>
        </w:rPr>
        <w:t xml:space="preserve">Slovenskej republiky k Európskej únii pripojeného k Zmluve o pristúpení k Európskej únii vyplýva, že „do 31. decembra 2011 budú </w:t>
      </w:r>
      <w:r w:rsidRPr="009B4764">
        <w:rPr>
          <w:rFonts w:ascii="Times" w:hAnsi="Times" w:cs="Times New Roman"/>
        </w:rPr>
        <w:t xml:space="preserve">všetky zásielky odpadov na Slovensko, ktoré sú určené na zhodnotenie </w:t>
      </w:r>
      <w:r w:rsidRPr="009B4764">
        <w:rPr>
          <w:rFonts w:ascii="Times" w:hAnsi="Times" w:cs="EUAlbertinaCE-Regu"/>
        </w:rPr>
        <w:t>a ktoré sú uvedené v prílohách II, III a IV nariadenia (EHS) 259/93 (nariadenie, ako aj zásielky odpadov určených na zhodnotenie, ktoré nie sú uvedené v týchto prílohách, oznámené príslušným orgánom a spracované v súlade s ustanoveniami článkov 6, 7 a 8 nariadenia)“.</w:t>
      </w:r>
    </w:p>
    <w:p w:rsidR="001309A3" w:rsidRPr="009B4764" w:rsidP="001309A3">
      <w:pPr>
        <w:spacing w:line="360" w:lineRule="auto"/>
        <w:ind w:left="2832" w:firstLine="3"/>
        <w:jc w:val="both"/>
        <w:rPr>
          <w:rFonts w:ascii="Times New Roman" w:hAnsi="Times New Roman" w:cs="Times New Roman"/>
        </w:rPr>
      </w:pPr>
    </w:p>
    <w:p w:rsidR="001309A3" w:rsidRPr="009B4764" w:rsidP="001309A3">
      <w:pPr>
        <w:spacing w:line="360" w:lineRule="auto"/>
        <w:ind w:left="2832"/>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930BEC">
        <w:rPr>
          <w:rFonts w:ascii="Times New Roman" w:hAnsi="Times New Roman" w:cs="Times New Roman"/>
        </w:rPr>
        <w:t xml:space="preserve"> 44. </w:t>
      </w:r>
      <w:r w:rsidRPr="009B4764">
        <w:rPr>
          <w:rFonts w:ascii="Times New Roman" w:hAnsi="Times New Roman" w:cs="Times New Roman"/>
        </w:rPr>
        <w:t>bode  v § 48a ods.14 sa slová „v zariadení, ktorému bola udelená autorizácia podľa § 8 ods. 3 písm. a)“ a čiarka za slovom „energie“ vypúšťajú ako nadbytočné.</w:t>
      </w:r>
    </w:p>
    <w:p w:rsidR="00796FAA" w:rsidRPr="009B4764" w:rsidP="001309A3">
      <w:pPr>
        <w:ind w:left="2829" w:firstLine="6"/>
        <w:jc w:val="both"/>
        <w:rPr>
          <w:rFonts w:ascii="Times New Roman" w:hAnsi="Times New Roman" w:cs="Times New Roman"/>
        </w:rPr>
      </w:pP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Ide o legislatívno-technickú pripomienku, ktorou sa sleduje zosúladenie s čl. 3 bodom 8 smernice Európskeho parlamentu a Rady 2006/66/ES v znení neskorších predpisov; v navrhovanom právnom texte (§48a ods. 14) ide o zúženie významu preberaného pojmu „recyklácia“.</w:t>
      </w:r>
    </w:p>
    <w:p w:rsidR="001309A3"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930BEC">
        <w:rPr>
          <w:rFonts w:ascii="Times New Roman" w:hAnsi="Times New Roman" w:cs="Times New Roman"/>
        </w:rPr>
        <w:t xml:space="preserve"> 44. </w:t>
      </w:r>
      <w:r w:rsidRPr="009B4764">
        <w:rPr>
          <w:rFonts w:ascii="Times New Roman" w:hAnsi="Times New Roman" w:cs="Times New Roman"/>
        </w:rPr>
        <w:t>bod</w:t>
      </w:r>
      <w:r w:rsidRPr="009B4764" w:rsidR="00930BEC">
        <w:rPr>
          <w:rFonts w:ascii="Times New Roman" w:hAnsi="Times New Roman" w:cs="Times New Roman"/>
        </w:rPr>
        <w:t>e</w:t>
      </w:r>
      <w:r w:rsidRPr="009B4764">
        <w:rPr>
          <w:rFonts w:ascii="Times New Roman" w:hAnsi="Times New Roman" w:cs="Times New Roman"/>
        </w:rPr>
        <w:t xml:space="preserve"> § 48c ods</w:t>
      </w:r>
      <w:r w:rsidRPr="009B4764" w:rsidR="00967AA2">
        <w:rPr>
          <w:rFonts w:ascii="Times New Roman" w:hAnsi="Times New Roman" w:cs="Times New Roman"/>
        </w:rPr>
        <w:t>.</w:t>
      </w:r>
      <w:r w:rsidRPr="009B4764">
        <w:rPr>
          <w:rFonts w:ascii="Times New Roman" w:hAnsi="Times New Roman" w:cs="Times New Roman"/>
        </w:rPr>
        <w:t xml:space="preserve"> 2  písm</w:t>
      </w:r>
      <w:r w:rsidRPr="009B4764" w:rsidR="00967AA2">
        <w:rPr>
          <w:rFonts w:ascii="Times New Roman" w:hAnsi="Times New Roman" w:cs="Times New Roman"/>
        </w:rPr>
        <w:t>eno</w:t>
      </w:r>
      <w:r w:rsidRPr="009B4764">
        <w:rPr>
          <w:rFonts w:ascii="Times New Roman" w:hAnsi="Times New Roman" w:cs="Times New Roman"/>
        </w:rPr>
        <w:t xml:space="preserve"> a) znie: </w:t>
      </w:r>
    </w:p>
    <w:p w:rsidR="001309A3" w:rsidRPr="009B4764" w:rsidP="001309A3">
      <w:pPr>
        <w:spacing w:line="360" w:lineRule="auto"/>
        <w:ind w:left="360"/>
        <w:jc w:val="both"/>
        <w:rPr>
          <w:rFonts w:ascii="Times New Roman" w:hAnsi="Times New Roman" w:cs="Times New Roman"/>
        </w:rPr>
      </w:pPr>
      <w:r w:rsidRPr="009B4764">
        <w:rPr>
          <w:rFonts w:ascii="Times New Roman" w:hAnsi="Times New Roman" w:cs="Times New Roman"/>
        </w:rPr>
        <w:t>„a) zabezpečiť, aby bol prístroj, ktorý je uvádzaný na trh, navrhnutý a vyrobený tak, aby sa použité batérie a akumulátory dali ľahko vybrať,“.</w:t>
      </w:r>
    </w:p>
    <w:p w:rsidR="001309A3" w:rsidRPr="009B4764" w:rsidP="001309A3">
      <w:pPr>
        <w:spacing w:line="360" w:lineRule="auto"/>
        <w:ind w:left="2832" w:firstLine="3"/>
        <w:jc w:val="both"/>
        <w:rPr>
          <w:rFonts w:ascii="Times New Roman" w:hAnsi="Times New Roman" w:cs="Times New Roman"/>
        </w:rPr>
      </w:pP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 xml:space="preserve">Ide o legislatívno-technickú pripomienku, ktorou sa v záujme jednoznačného výkladu sleduje spresnenie právneho textu v súlade s čl. 11 smernice 2006/66/ES; z uloženej povinnosti vyplýva, že výrobca je povinný konštruovať prístroje tak, aby sa z nich dali batérie a akumulátory ľahko vyberať, a nie aby sa uľahčila demontáž batérií a akumulátorov. </w:t>
      </w:r>
    </w:p>
    <w:p w:rsidR="001309A3"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930BEC">
        <w:rPr>
          <w:rFonts w:ascii="Times New Roman" w:hAnsi="Times New Roman" w:cs="Times New Roman"/>
        </w:rPr>
        <w:t>  44.</w:t>
      </w:r>
      <w:r w:rsidRPr="009B4764">
        <w:rPr>
          <w:rFonts w:ascii="Times New Roman" w:hAnsi="Times New Roman" w:cs="Times New Roman"/>
        </w:rPr>
        <w:t xml:space="preserve"> bode v § 48e  písm. a) sa slová „značkou uvedenou“ nahrádzajú slovami „symbolom uvedeným“ a slovo „ktorá“ sa nahrádza slovom „ktorý“.</w:t>
      </w:r>
    </w:p>
    <w:p w:rsidR="001309A3" w:rsidRPr="009B4764" w:rsidP="001309A3">
      <w:pPr>
        <w:spacing w:line="360" w:lineRule="auto"/>
        <w:ind w:left="2832" w:firstLine="3"/>
        <w:jc w:val="both"/>
        <w:rPr>
          <w:rFonts w:ascii="Times New Roman" w:hAnsi="Times New Roman" w:cs="Times New Roman"/>
        </w:rPr>
      </w:pP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1309A3" w:rsidRPr="009B4764" w:rsidP="001309A3">
      <w:pPr>
        <w:spacing w:line="360" w:lineRule="auto"/>
        <w:jc w:val="both"/>
        <w:rPr>
          <w:rFonts w:ascii="Times New Roman" w:hAnsi="Times New Roman" w:cs="Times New Roman"/>
        </w:rPr>
      </w:pPr>
    </w:p>
    <w:p w:rsidR="001309A3"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930BEC">
        <w:rPr>
          <w:rFonts w:ascii="Times New Roman" w:hAnsi="Times New Roman" w:cs="Times New Roman"/>
        </w:rPr>
        <w:t xml:space="preserve"> 44. </w:t>
      </w:r>
      <w:r w:rsidRPr="009B4764">
        <w:rPr>
          <w:rFonts w:ascii="Times New Roman" w:hAnsi="Times New Roman" w:cs="Times New Roman"/>
        </w:rPr>
        <w:t>bode v § 48e písm. c) sa slová „s obsahom ortuti vyšším ako 0,0005%, s obsahom kadmia vyšším ako 0,002% alebo s obsahom olova vyšším ako 0,004% chemickou značkou  Hg, Cd alebo Pb podľa príslušného kovu“ nahrádzajú slovami „s obsahom ortuti vyšším ako 0,0005% chemickou značkou Hg, s obsahom kadmia vyšším ako 0,002% chemickou značkou Cd alebo s obsahom olova vyšším ako 0,004% chemickou značkou Pb“.</w:t>
      </w: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Ide o legislatívno-technickú pripomienku, ktorou sa sleduje dôsledné prevzatie právneho textu z čl. 21 smernice Európskeho parlamentu a Rady 2006/66.</w:t>
      </w:r>
    </w:p>
    <w:p w:rsidR="001309A3" w:rsidRPr="009B4764" w:rsidP="001309A3">
      <w:pPr>
        <w:spacing w:line="360" w:lineRule="auto"/>
        <w:jc w:val="both"/>
        <w:rPr>
          <w:rFonts w:ascii="Times New Roman" w:hAnsi="Times New Roman" w:cs="Times New Roman"/>
        </w:rPr>
      </w:pPr>
    </w:p>
    <w:p w:rsidR="001309A3"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930BEC">
        <w:rPr>
          <w:rFonts w:ascii="Times New Roman" w:hAnsi="Times New Roman" w:cs="Times New Roman"/>
        </w:rPr>
        <w:t> 44.</w:t>
      </w:r>
      <w:r w:rsidRPr="009B4764">
        <w:rPr>
          <w:rFonts w:ascii="Times New Roman" w:hAnsi="Times New Roman" w:cs="Times New Roman"/>
        </w:rPr>
        <w:t xml:space="preserve"> bode  v § 48e  písm. c) sa vo vete za bodkočiarkou slovo „značka“ nahrádza slovom „chemická značka“, slová „pod značkou“ sa nahrádzajú slovami „pod symbolom“ a slová „veľkosti značky“ sa nahrádzajú slovami „veľkosti symbolu“.</w:t>
      </w:r>
    </w:p>
    <w:p w:rsidR="001309A3" w:rsidRPr="009B4764" w:rsidP="001309A3">
      <w:pPr>
        <w:spacing w:line="360" w:lineRule="auto"/>
        <w:ind w:left="2832" w:firstLine="3"/>
        <w:jc w:val="both"/>
        <w:rPr>
          <w:rFonts w:ascii="Times New Roman" w:hAnsi="Times New Roman" w:cs="Times New Roman"/>
        </w:rPr>
      </w:pP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„chemická značka“ a „symbol“. </w:t>
      </w:r>
    </w:p>
    <w:p w:rsidR="001309A3"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930BEC">
        <w:rPr>
          <w:rFonts w:ascii="Times New Roman" w:hAnsi="Times New Roman" w:cs="Times New Roman"/>
        </w:rPr>
        <w:t xml:space="preserve"> 44. </w:t>
      </w:r>
      <w:r w:rsidRPr="009B4764">
        <w:rPr>
          <w:rFonts w:ascii="Times New Roman" w:hAnsi="Times New Roman" w:cs="Times New Roman"/>
        </w:rPr>
        <w:t>bode  v § 48e  písm. d), e) a f) sa slovo „značka“ nahrádza slovom „symbol“ v príslušnom gramatickom tvare.</w:t>
      </w:r>
    </w:p>
    <w:p w:rsidR="001309A3" w:rsidRPr="009B4764" w:rsidP="001309A3">
      <w:pPr>
        <w:spacing w:line="360" w:lineRule="auto"/>
        <w:ind w:left="360"/>
        <w:jc w:val="both"/>
        <w:rPr>
          <w:rFonts w:ascii="Times New Roman" w:hAnsi="Times New Roman" w:cs="Times New Roman"/>
        </w:rPr>
      </w:pP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 xml:space="preserve">Ide o legislatívno-technickú pripomienku, ktorou sa sleduje zosúladenie s článkom 21 smernice Európskeho parlamentu a Rady 2006/66 a prílohou 7 novely zákona, ktorá používa termín „symbol“. </w:t>
      </w:r>
    </w:p>
    <w:p w:rsidR="001309A3"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F46BA9">
        <w:rPr>
          <w:rFonts w:ascii="Times New Roman" w:hAnsi="Times New Roman" w:cs="Times New Roman"/>
        </w:rPr>
        <w:t xml:space="preserve"> 59. </w:t>
      </w:r>
      <w:r w:rsidRPr="009B4764">
        <w:rPr>
          <w:rFonts w:ascii="Times New Roman" w:hAnsi="Times New Roman" w:cs="Times New Roman"/>
        </w:rPr>
        <w:t> bode v § 54a ods. 3 sa za slovo „odpadom“ vkladajú slová „(§ 2 ods. 1)“ a slovo „takéhoto“ sa vypúšťa ako nadbytočné.</w:t>
      </w:r>
    </w:p>
    <w:p w:rsidR="001309A3" w:rsidRPr="009B4764" w:rsidP="001309A3">
      <w:pPr>
        <w:spacing w:line="360" w:lineRule="auto"/>
        <w:ind w:left="360"/>
        <w:jc w:val="both"/>
        <w:rPr>
          <w:rFonts w:ascii="Times New Roman" w:hAnsi="Times New Roman" w:cs="Times New Roman"/>
        </w:rPr>
      </w:pPr>
    </w:p>
    <w:p w:rsidR="001309A3" w:rsidRPr="009B4764" w:rsidP="001309A3">
      <w:pPr>
        <w:ind w:left="2829"/>
        <w:jc w:val="both"/>
        <w:rPr>
          <w:rFonts w:ascii="Times New Roman" w:hAnsi="Times New Roman" w:cs="Times New Roman"/>
        </w:rPr>
      </w:pPr>
      <w:r w:rsidRPr="009B4764">
        <w:rPr>
          <w:rFonts w:ascii="Times New Roman" w:hAnsi="Times New Roman" w:cs="Times New Roman"/>
        </w:rPr>
        <w:t>Ide o legislatívno-technickú pripomienku, ktorou sa sleduje zosúladenie s čl. 3 písm. b) smernice Európskeho parlamentu a Rady 2002/96/ES v znení neskorších predpisov.</w:t>
      </w:r>
    </w:p>
    <w:p w:rsidR="001309A3" w:rsidRPr="009B4764" w:rsidP="001309A3">
      <w:pPr>
        <w:spacing w:line="360" w:lineRule="auto"/>
        <w:ind w:left="2832"/>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FE1617">
        <w:rPr>
          <w:rFonts w:ascii="Times New Roman" w:hAnsi="Times New Roman" w:cs="Times New Roman"/>
        </w:rPr>
        <w:t xml:space="preserve"> 62. </w:t>
      </w:r>
      <w:r w:rsidRPr="009B4764">
        <w:rPr>
          <w:rFonts w:ascii="Times New Roman" w:hAnsi="Times New Roman" w:cs="Times New Roman"/>
        </w:rPr>
        <w:t>bode  v  § 54b ods. 1 písm</w:t>
      </w:r>
      <w:r w:rsidRPr="009B4764" w:rsidR="00FE1617">
        <w:rPr>
          <w:rFonts w:ascii="Times New Roman" w:hAnsi="Times New Roman" w:cs="Times New Roman"/>
        </w:rPr>
        <w:t>eno</w:t>
      </w:r>
      <w:r w:rsidRPr="009B4764">
        <w:rPr>
          <w:rFonts w:ascii="Times New Roman" w:hAnsi="Times New Roman" w:cs="Times New Roman"/>
        </w:rPr>
        <w:t xml:space="preserve"> b) znie:</w:t>
      </w:r>
    </w:p>
    <w:p w:rsidR="001309A3" w:rsidRPr="009B4764" w:rsidP="001309A3">
      <w:pPr>
        <w:spacing w:line="360" w:lineRule="auto"/>
        <w:ind w:left="360"/>
        <w:jc w:val="both"/>
        <w:rPr>
          <w:rFonts w:ascii="Times New Roman" w:hAnsi="Times New Roman" w:cs="Times New Roman"/>
        </w:rPr>
      </w:pPr>
      <w:r w:rsidRPr="009B4764">
        <w:rPr>
          <w:rFonts w:ascii="Times New Roman" w:hAnsi="Times New Roman" w:cs="Times New Roman"/>
        </w:rPr>
        <w:t>„b) označiť elektrozariadenie pri jeho uvedení na trh ochrannou známkou alebo označením, ktoré výrobca používa pre svoju identifikáciu a časovým údajom, že elektrozariadenie bolo uvedené na trh po 13. auguste 2005; povinnosť označiť elektrozariadenie časovým údajom možno splniť aj označením elektrozariadenia grafickým symbolom podľa písmena c),“.</w:t>
      </w:r>
    </w:p>
    <w:p w:rsidR="00796FAA" w:rsidRPr="009B4764" w:rsidP="001309A3">
      <w:pPr>
        <w:ind w:left="2829"/>
        <w:jc w:val="both"/>
        <w:rPr>
          <w:rFonts w:ascii="Times New Roman" w:hAnsi="Times New Roman" w:cs="Times New Roman"/>
        </w:rPr>
      </w:pPr>
    </w:p>
    <w:p w:rsidR="001309A3" w:rsidRPr="009B4764" w:rsidP="001309A3">
      <w:pPr>
        <w:ind w:left="2829"/>
        <w:jc w:val="both"/>
        <w:rPr>
          <w:rFonts w:ascii="Times New Roman" w:hAnsi="Times New Roman" w:cs="Times New Roman"/>
        </w:rPr>
      </w:pPr>
      <w:r w:rsidRPr="009B4764">
        <w:rPr>
          <w:rFonts w:ascii="Times New Roman" w:hAnsi="Times New Roman" w:cs="Times New Roman"/>
        </w:rPr>
        <w:t>Ide o legislatívno-technickú pripomienku, ktorou sa sleduje zosúladenie s článkom 11 ods. 2 smernice Európskeho parlamentu a Rady 2002/96/ES v znení neskorších predpisov.</w:t>
      </w:r>
    </w:p>
    <w:p w:rsidR="001309A3" w:rsidRPr="009B4764" w:rsidP="001309A3">
      <w:pPr>
        <w:spacing w:line="360" w:lineRule="auto"/>
        <w:jc w:val="both"/>
        <w:rPr>
          <w:rFonts w:ascii="Times New Roman" w:hAnsi="Times New Roman" w:cs="Times New Roman"/>
        </w:rPr>
      </w:pPr>
    </w:p>
    <w:p w:rsidR="00796FAA"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w:t>
      </w:r>
      <w:r w:rsidRPr="009B4764" w:rsidR="00E8079C">
        <w:rPr>
          <w:rFonts w:ascii="Times New Roman" w:hAnsi="Times New Roman" w:cs="Times New Roman"/>
        </w:rPr>
        <w:t xml:space="preserve"> 100. </w:t>
      </w:r>
      <w:r w:rsidRPr="009B4764">
        <w:rPr>
          <w:rFonts w:ascii="Times New Roman" w:hAnsi="Times New Roman" w:cs="Times New Roman"/>
        </w:rPr>
        <w:t>bode v § 63 ods. 4. bode v. sa slovo „značky“ nahrádza slovom „symbolu“.</w:t>
      </w:r>
    </w:p>
    <w:p w:rsidR="00796FAA" w:rsidRPr="009B4764" w:rsidP="001309A3">
      <w:pPr>
        <w:ind w:left="2829" w:firstLine="6"/>
        <w:jc w:val="both"/>
        <w:rPr>
          <w:rFonts w:ascii="Times New Roman" w:hAnsi="Times New Roman" w:cs="Times New Roman"/>
        </w:rPr>
      </w:pPr>
    </w:p>
    <w:p w:rsidR="001309A3" w:rsidRPr="009B4764" w:rsidP="001309A3">
      <w:pPr>
        <w:ind w:left="2829" w:firstLine="6"/>
        <w:jc w:val="both"/>
        <w:rPr>
          <w:rFonts w:ascii="Times New Roman" w:hAnsi="Times New Roman" w:cs="Times New Roman"/>
        </w:rPr>
      </w:pPr>
      <w:r w:rsidRPr="009B4764">
        <w:rPr>
          <w:rFonts w:ascii="Times New Roman" w:hAnsi="Times New Roman" w:cs="Times New Roman"/>
        </w:rPr>
        <w:t xml:space="preserve">Ide o legislatívno-technickú pripomienku v nadväznosti na pripomienku k čl. I bodu 44., ktorou sa sleduje zosúladenie s článkom 21 smernice Európskeho parlamentu a Rady 2006/66 a prílohou 7 novely zákona, ktorá používa termín „symbol“. </w:t>
      </w:r>
    </w:p>
    <w:p w:rsidR="001309A3" w:rsidRPr="009B4764" w:rsidP="001309A3">
      <w:pPr>
        <w:spacing w:line="360" w:lineRule="auto"/>
        <w:jc w:val="both"/>
        <w:rPr>
          <w:rFonts w:ascii="Times New Roman" w:hAnsi="Times New Roman" w:cs="Times New Roman"/>
        </w:rPr>
      </w:pPr>
    </w:p>
    <w:p w:rsidR="00796FAA" w:rsidRPr="009B4764" w:rsidP="001309A3">
      <w:pPr>
        <w:spacing w:line="360" w:lineRule="auto"/>
        <w:jc w:val="both"/>
        <w:rPr>
          <w:rFonts w:ascii="Times New Roman" w:hAnsi="Times New Roman" w:cs="Times New Roman"/>
        </w:rPr>
      </w:pPr>
    </w:p>
    <w:p w:rsidR="00E8079C" w:rsidRPr="009B4764" w:rsidP="00DB15A2">
      <w:pPr>
        <w:numPr>
          <w:ilvl w:val="0"/>
          <w:numId w:val="41"/>
        </w:numPr>
        <w:tabs>
          <w:tab w:val="left" w:pos="340"/>
        </w:tabs>
        <w:rPr>
          <w:rFonts w:ascii="Times New Roman" w:hAnsi="Times New Roman" w:cs="TimesNewRomanBold"/>
          <w:bCs/>
        </w:rPr>
      </w:pPr>
      <w:r w:rsidRPr="009B4764">
        <w:rPr>
          <w:rFonts w:ascii="Times New Roman" w:hAnsi="Times New Roman" w:cs="Times New Roman"/>
        </w:rPr>
        <w:t xml:space="preserve">V 157. bode </w:t>
      </w:r>
      <w:r w:rsidRPr="009B4764" w:rsidR="001309A3">
        <w:rPr>
          <w:rFonts w:ascii="Times New Roman" w:hAnsi="Times New Roman" w:cs="TimesNewRomanBold"/>
          <w:bCs/>
        </w:rPr>
        <w:t>Príloha č. 7 znie:</w:t>
        <w:tab/>
        <w:tab/>
        <w:tab/>
        <w:tab/>
        <w:tab/>
      </w:r>
    </w:p>
    <w:p w:rsidR="00E8079C" w:rsidRPr="009B4764" w:rsidP="00E8079C">
      <w:pPr>
        <w:rPr>
          <w:rFonts w:ascii="Times New Roman" w:hAnsi="Times New Roman" w:cs="Times New Roman"/>
        </w:rPr>
      </w:pPr>
    </w:p>
    <w:p w:rsidR="001309A3" w:rsidRPr="009B4764" w:rsidP="00E8079C">
      <w:pPr>
        <w:rPr>
          <w:rFonts w:ascii="Times New Roman" w:hAnsi="Times New Roman" w:cs="TimesNewRomanBold"/>
          <w:bCs/>
        </w:rPr>
      </w:pPr>
      <w:r w:rsidRPr="009B4764" w:rsidR="00E8079C">
        <w:rPr>
          <w:rFonts w:ascii="Times New Roman" w:hAnsi="Times New Roman" w:cs="Times New Roman"/>
        </w:rPr>
        <w:tab/>
        <w:tab/>
        <w:tab/>
        <w:tab/>
        <w:tab/>
        <w:tab/>
        <w:tab/>
      </w:r>
      <w:r w:rsidRPr="009B4764">
        <w:rPr>
          <w:rFonts w:ascii="Times New Roman" w:hAnsi="Times New Roman" w:cs="TimesNewRomanBold"/>
          <w:bCs/>
        </w:rPr>
        <w:t>„Príloha č. 7 k zákonu č. 223/2001 Z. z.</w:t>
      </w:r>
    </w:p>
    <w:p w:rsidR="001309A3" w:rsidRPr="009B4764" w:rsidP="001309A3">
      <w:pPr>
        <w:autoSpaceDE/>
        <w:autoSpaceDN/>
        <w:rPr>
          <w:rFonts w:ascii="TimesNewRomanBold" w:hAnsi="TimesNewRomanBold" w:cs="TimesNewRomanBold"/>
          <w:bCs/>
          <w:sz w:val="17"/>
          <w:szCs w:val="17"/>
        </w:rPr>
      </w:pPr>
    </w:p>
    <w:p w:rsidR="001309A3" w:rsidRPr="009B4764" w:rsidP="001309A3">
      <w:pPr>
        <w:autoSpaceDE/>
        <w:autoSpaceDN/>
        <w:rPr>
          <w:rFonts w:ascii="TimesNewRomanBold" w:hAnsi="TimesNewRomanBold" w:cs="TimesNewRomanBold"/>
          <w:bCs/>
          <w:sz w:val="17"/>
          <w:szCs w:val="17"/>
        </w:rPr>
      </w:pPr>
    </w:p>
    <w:p w:rsidR="001309A3" w:rsidRPr="009B4764" w:rsidP="001309A3">
      <w:pPr>
        <w:autoSpaceDE/>
        <w:autoSpaceDN/>
        <w:rPr>
          <w:rFonts w:ascii="TimesNewRomanBold" w:hAnsi="TimesNewRomanBold" w:cs="TimesNewRomanBold"/>
          <w:bCs/>
          <w:sz w:val="17"/>
          <w:szCs w:val="17"/>
        </w:rPr>
      </w:pPr>
    </w:p>
    <w:p w:rsidR="001309A3" w:rsidRPr="009B4764" w:rsidP="001309A3">
      <w:pPr>
        <w:autoSpaceDE/>
        <w:autoSpaceDN/>
        <w:jc w:val="both"/>
        <w:rPr>
          <w:rFonts w:ascii="TimesNewRomanBold" w:hAnsi="TimesNewRomanBold" w:cs="TimesNewRomanBold"/>
          <w:b/>
          <w:bCs/>
        </w:rPr>
      </w:pPr>
      <w:r w:rsidRPr="009B4764">
        <w:rPr>
          <w:rFonts w:ascii="TimesNewRomanBold" w:hAnsi="TimesNewRomanBold" w:cs="TimesNewRomanBold"/>
          <w:b/>
          <w:bCs/>
        </w:rPr>
        <w:t>Symbol na označenie separovaného zberu elektrických a elektronických zariadení vrátane batérií a akumulátorov</w:t>
      </w:r>
    </w:p>
    <w:p w:rsidR="001309A3" w:rsidRPr="009B4764" w:rsidP="001309A3">
      <w:pPr>
        <w:autoSpaceDE/>
        <w:autoSpaceDN/>
        <w:rPr>
          <w:rFonts w:ascii="TimesNewRomanBold" w:hAnsi="TimesNewRomanBold" w:cs="TimesNewRomanBold"/>
          <w:bCs/>
          <w:sz w:val="17"/>
          <w:szCs w:val="17"/>
        </w:rPr>
      </w:pPr>
    </w:p>
    <w:p w:rsidR="001309A3" w:rsidRPr="009B4764" w:rsidP="001309A3">
      <w:pPr>
        <w:autoSpaceDE/>
        <w:autoSpaceDN/>
        <w:rPr>
          <w:rFonts w:ascii="TimesNewRomanBold" w:hAnsi="TimesNewRomanBold" w:cs="TimesNewRomanBold"/>
          <w:bCs/>
          <w:sz w:val="17"/>
          <w:szCs w:val="17"/>
        </w:rPr>
      </w:pPr>
    </w:p>
    <w:p w:rsidR="001309A3" w:rsidRPr="009B4764" w:rsidP="001309A3">
      <w:pPr>
        <w:autoSpaceDE/>
        <w:autoSpaceDN/>
        <w:jc w:val="both"/>
        <w:rPr>
          <w:rFonts w:ascii="TimesNewRomanBold" w:hAnsi="TimesNewRomanBold" w:cs="TimesNewRomanBold"/>
          <w:bCs/>
        </w:rPr>
      </w:pPr>
      <w:r w:rsidRPr="009B4764">
        <w:rPr>
          <w:rFonts w:ascii="TimesNewRomanBold" w:hAnsi="TimesNewRomanBold" w:cs="TimesNewRomanBold"/>
          <w:bCs/>
        </w:rPr>
        <w:t>Symbol, ktorý označuje separovaný zber</w:t>
      </w:r>
      <w:r w:rsidRPr="009B4764">
        <w:rPr>
          <w:rFonts w:ascii="TimesNewRomanBold" w:hAnsi="TimesNewRomanBold" w:cs="TimesNewRomanBold"/>
          <w:bCs/>
          <w:sz w:val="17"/>
          <w:szCs w:val="17"/>
        </w:rPr>
        <w:t xml:space="preserve"> </w:t>
      </w:r>
      <w:r w:rsidRPr="009B4764">
        <w:rPr>
          <w:rFonts w:ascii="TimesNewRomanBold" w:hAnsi="TimesNewRomanBold" w:cs="TimesNewRomanBold"/>
          <w:bCs/>
        </w:rPr>
        <w:t xml:space="preserve">elektrických a elektronických zariadení vrátane batérií a akumulátorov, uvedený v tejto prílohe, pozostáva z preškrtnutej smetnej nádoby na kolieskach. </w:t>
      </w:r>
    </w:p>
    <w:p w:rsidR="001309A3" w:rsidRPr="009B4764" w:rsidP="001309A3">
      <w:pPr>
        <w:autoSpaceDE/>
        <w:autoSpaceDN/>
        <w:rPr>
          <w:rFonts w:ascii="TimesNewRomanBold" w:hAnsi="TimesNewRomanBold" w:cs="TimesNewRomanBold"/>
          <w:bCs/>
        </w:rPr>
      </w:pPr>
      <w:r w:rsidRPr="009B4764">
        <w:rPr>
          <w:rFonts w:ascii="TimesNewRomanBold" w:hAnsi="TimesNewRomanBold" w:cs="TimesNewRomanBold"/>
          <w:bCs/>
        </w:rPr>
        <w:t>Symbol musí byť zreteľne, čitateľne a nezmazateľne vytlačený.“</w:t>
      </w:r>
    </w:p>
    <w:p w:rsidR="001309A3" w:rsidRPr="009B4764" w:rsidP="001309A3">
      <w:pPr>
        <w:autoSpaceDE/>
        <w:autoSpaceDN/>
        <w:rPr>
          <w:rFonts w:ascii="TimesNewRomanBold" w:hAnsi="TimesNewRomanBold" w:cs="TimesNewRomanBold"/>
          <w:bCs/>
        </w:rPr>
      </w:pPr>
    </w:p>
    <w:p w:rsidR="001309A3" w:rsidRPr="009B4764" w:rsidP="001309A3">
      <w:pPr>
        <w:autoSpaceDE/>
        <w:autoSpaceDN/>
        <w:rPr>
          <w:rFonts w:ascii="TimesNewRomanBold" w:hAnsi="TimesNewRomanBold" w:cs="TimesNewRomanBold"/>
          <w:bCs/>
        </w:rPr>
      </w:pPr>
    </w:p>
    <w:p w:rsidR="001309A3" w:rsidRPr="009B4764" w:rsidP="001309A3">
      <w:pPr>
        <w:autoSpaceDE/>
        <w:autoSpaceDN/>
        <w:rPr>
          <w:rFonts w:ascii="TimesNewRomanBold" w:hAnsi="TimesNewRomanBold" w:cs="TimesNewRomanBold"/>
          <w:bCs/>
        </w:rPr>
      </w:pPr>
    </w:p>
    <w:p w:rsidR="001309A3" w:rsidRPr="009B4764" w:rsidP="001309A3">
      <w:pPr>
        <w:autoSpaceDE/>
        <w:autoSpaceDN/>
        <w:jc w:val="center"/>
        <w:rPr>
          <w:rFonts w:ascii="TimesNewRomanBold" w:hAnsi="TimesNewRomanBold" w:cs="TimesNewRomanBold"/>
          <w:bCs/>
        </w:rPr>
      </w:pPr>
      <w:r>
        <w:rPr>
          <w:rFonts w:ascii="TimesNewRomanBold" w:hAnsi="TimesNewRomanBold" w:cs="TimesNewRomanBold"/>
          <w:bCs/>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4.5pt" stroked="f">
            <v:imagedata r:id="rId6" o:title=""/>
          </v:shape>
        </w:pict>
      </w:r>
    </w:p>
    <w:p w:rsidR="001309A3" w:rsidRPr="009B4764" w:rsidP="001309A3">
      <w:pPr>
        <w:autoSpaceDE/>
        <w:autoSpaceDN/>
        <w:rPr>
          <w:rFonts w:ascii="TimesNewRomanBold" w:hAnsi="TimesNewRomanBold" w:cs="TimesNewRomanBold"/>
          <w:bCs/>
        </w:rPr>
      </w:pPr>
    </w:p>
    <w:p w:rsidR="001309A3" w:rsidRPr="009B4764" w:rsidP="001309A3">
      <w:pPr>
        <w:autoSpaceDE/>
        <w:autoSpaceDN/>
        <w:rPr>
          <w:rFonts w:ascii="TimesNewRomanBold" w:hAnsi="TimesNewRomanBold" w:cs="TimesNewRomanBold"/>
          <w:bCs/>
        </w:rPr>
      </w:pPr>
    </w:p>
    <w:p w:rsidR="001309A3" w:rsidRPr="009B4764" w:rsidP="001309A3">
      <w:pPr>
        <w:autoSpaceDE/>
        <w:autoSpaceDN/>
        <w:rPr>
          <w:rFonts w:ascii="TimesNewRomanBold" w:hAnsi="TimesNewRomanBold" w:cs="TimesNewRomanBold"/>
          <w:bCs/>
          <w:sz w:val="17"/>
          <w:szCs w:val="17"/>
        </w:rPr>
      </w:pPr>
    </w:p>
    <w:p w:rsidR="001309A3" w:rsidRPr="009B4764" w:rsidP="001309A3">
      <w:pPr>
        <w:ind w:left="2829"/>
        <w:jc w:val="both"/>
        <w:rPr>
          <w:rFonts w:ascii="Times New Roman" w:hAnsi="Times New Roman" w:cs="Times New Roman"/>
        </w:rPr>
      </w:pPr>
      <w:r w:rsidRPr="009B4764">
        <w:rPr>
          <w:rFonts w:ascii="Times New Roman" w:hAnsi="Times New Roman" w:cs="Times New Roman"/>
        </w:rPr>
        <w:t xml:space="preserve">Ide o legislatívno-technickú pripomienku, ktorou sa sleduje zosúladenie s prílohou II smernice Európskeho parlamentu a Rady 2006/66/ES v znení neskorších predpisov a prílohou IV smernice Európskeho parlamentu a Rady 2002/96 v znení neskorších predpisov; z článku 2 smernice Európskeho parlamentu a Rady 2006/66/ES vyplýva, že „sa vzťahuje na všetky typy batérií a akumulátorov ... a uplatňuje sa bez toho, aby boli dotknuté smernice 2000/53/ES a 2002/96/ES“. </w:t>
      </w:r>
    </w:p>
    <w:p w:rsidR="001309A3" w:rsidRPr="009B4764" w:rsidP="001309A3">
      <w:pPr>
        <w:spacing w:line="360" w:lineRule="auto"/>
        <w:jc w:val="both"/>
        <w:rPr>
          <w:rFonts w:ascii="Times New Roman" w:hAnsi="Times New Roman" w:cs="Times New Roman"/>
        </w:rPr>
      </w:pPr>
    </w:p>
    <w:p w:rsidR="00E8079C" w:rsidRPr="009B4764" w:rsidP="001309A3">
      <w:pPr>
        <w:spacing w:line="360" w:lineRule="auto"/>
        <w:jc w:val="both"/>
        <w:rPr>
          <w:rFonts w:ascii="Times New Roman" w:hAnsi="Times New Roman" w:cs="Times New Roman"/>
        </w:rPr>
      </w:pPr>
    </w:p>
    <w:p w:rsidR="001309A3" w:rsidRPr="009B4764" w:rsidP="00DB15A2">
      <w:pPr>
        <w:numPr>
          <w:ilvl w:val="0"/>
          <w:numId w:val="41"/>
        </w:numPr>
        <w:tabs>
          <w:tab w:val="left" w:pos="340"/>
        </w:tabs>
        <w:spacing w:line="360" w:lineRule="auto"/>
        <w:jc w:val="both"/>
        <w:rPr>
          <w:rFonts w:ascii="Times New Roman" w:hAnsi="Times New Roman" w:cs="Times New Roman"/>
        </w:rPr>
      </w:pPr>
      <w:r w:rsidRPr="009B4764">
        <w:rPr>
          <w:rFonts w:ascii="Times New Roman" w:hAnsi="Times New Roman" w:cs="Times New Roman"/>
        </w:rPr>
        <w:t>V čl. II sa slová „1. augusta 2009“ nahrádzajú slovami „1. septembra 2009“ a slová „1. septembra 2009“ slovami „1. októbra 2009“.</w:t>
      </w:r>
    </w:p>
    <w:p w:rsidR="001309A3" w:rsidRPr="009B4764" w:rsidP="001309A3">
      <w:pPr>
        <w:spacing w:line="360" w:lineRule="auto"/>
        <w:ind w:left="360"/>
        <w:jc w:val="both"/>
        <w:rPr>
          <w:rFonts w:ascii="Times New Roman" w:hAnsi="Times New Roman" w:cs="Times New Roman"/>
        </w:rPr>
      </w:pPr>
      <w:r w:rsidRPr="009B4764">
        <w:rPr>
          <w:rFonts w:ascii="Times New Roman" w:hAnsi="Times New Roman" w:cs="Times New Roman"/>
        </w:rPr>
        <w:t>V súvislosti so zmenou účinnosti zákona sa v čl. I v § 81b, 81c, 81d, 81e, 81h slová „1. augusta 2009“ nahradia slovami „1. septembra“ vo všetkých gramatických tvaroch.</w:t>
      </w:r>
    </w:p>
    <w:p w:rsidR="00DB15A2" w:rsidRPr="009B4764" w:rsidP="001309A3">
      <w:pPr>
        <w:ind w:left="2880"/>
        <w:jc w:val="both"/>
        <w:rPr>
          <w:rFonts w:ascii="Times New Roman" w:hAnsi="Times New Roman" w:cs="Times New Roman"/>
        </w:rPr>
      </w:pPr>
    </w:p>
    <w:p w:rsidR="001309A3" w:rsidRPr="009B4764" w:rsidP="001309A3">
      <w:pPr>
        <w:ind w:left="2880"/>
        <w:jc w:val="both"/>
        <w:rPr>
          <w:rFonts w:ascii="Times New Roman" w:hAnsi="Times New Roman" w:cs="Times New Roman"/>
        </w:rPr>
      </w:pPr>
      <w:r w:rsidRPr="009B4764">
        <w:rPr>
          <w:rFonts w:ascii="Times New Roman" w:hAnsi="Times New Roman" w:cs="Times New Roman"/>
        </w:rPr>
        <w:t xml:space="preserve">Zmena účinnosti sa navrhuje z dôvodu trvania legislatívneho procesu a dodržania požiadaviek a lehôt </w:t>
      </w:r>
      <w:smartTag w:uri="urn:schemas-microsoft-com:office:smarttags" w:element="PersonName">
        <w:r w:rsidRPr="009B4764">
          <w:rPr>
            <w:rFonts w:ascii="Times New Roman" w:hAnsi="Times New Roman" w:cs="Times New Roman"/>
          </w:rPr>
          <w:t>stano</w:t>
        </w:r>
      </w:smartTag>
      <w:r w:rsidRPr="009B4764">
        <w:rPr>
          <w:rFonts w:ascii="Times New Roman" w:hAnsi="Times New Roman" w:cs="Times New Roman"/>
        </w:rPr>
        <w:t>vených Ústavou Slovenskej republiky [čl. 87 ods. 2 až 4 a čl. 102 ods. 1 písm. o)].</w:t>
      </w:r>
    </w:p>
    <w:p w:rsidR="001309A3" w:rsidRPr="009B4764" w:rsidP="001309A3">
      <w:pPr>
        <w:jc w:val="both"/>
        <w:rPr>
          <w:rFonts w:ascii="Times New Roman" w:hAnsi="Times New Roman" w:cs="Times New Roman"/>
        </w:rPr>
      </w:pPr>
    </w:p>
    <w:p w:rsidR="001309A3" w:rsidRPr="009B4764" w:rsidP="004B44ED">
      <w:pPr>
        <w:jc w:val="both"/>
        <w:rPr>
          <w:rFonts w:ascii="Times New Roman" w:hAnsi="Times New Roman" w:cs="Times New Roman"/>
          <w:b/>
        </w:rPr>
      </w:pPr>
    </w:p>
    <w:p w:rsidR="00D342EF" w:rsidRPr="009B4764" w:rsidP="00D342EF">
      <w:pPr>
        <w:rPr>
          <w:rFonts w:ascii="Times New Roman" w:hAnsi="Times New Roman" w:cs="Times New Roman"/>
        </w:rPr>
      </w:pPr>
    </w:p>
    <w:p w:rsidR="00D342EF" w:rsidRPr="009B4764" w:rsidP="00D342EF">
      <w:pPr>
        <w:jc w:val="both"/>
        <w:rPr>
          <w:rFonts w:ascii="Times New Roman" w:hAnsi="Times New Roman" w:cs="Times New Roman"/>
        </w:rPr>
      </w:pPr>
    </w:p>
    <w:p w:rsidR="00D342EF" w:rsidRPr="009B4764" w:rsidP="00D342EF">
      <w:pPr>
        <w:tabs>
          <w:tab w:val="left" w:pos="-540"/>
        </w:tabs>
        <w:ind w:left="2880"/>
        <w:jc w:val="both"/>
        <w:rPr>
          <w:rFonts w:ascii="Times New Roman" w:hAnsi="Times New Roman" w:cs="Times New Roman"/>
        </w:rPr>
      </w:pPr>
    </w:p>
    <w:p w:rsidR="00D342EF" w:rsidRPr="009B4764" w:rsidP="00D342EF">
      <w:pPr>
        <w:tabs>
          <w:tab w:val="left" w:pos="-540"/>
        </w:tabs>
        <w:ind w:left="2880"/>
        <w:jc w:val="both"/>
        <w:rPr>
          <w:rFonts w:ascii="Times New Roman" w:hAnsi="Times New Roman" w:cs="Times New Roman"/>
        </w:rPr>
      </w:pPr>
    </w:p>
    <w:p w:rsidR="00D342EF" w:rsidRPr="009B4764" w:rsidP="00D342EF">
      <w:pPr>
        <w:tabs>
          <w:tab w:val="left" w:pos="-540"/>
        </w:tabs>
        <w:ind w:left="2880"/>
        <w:jc w:val="both"/>
        <w:rPr>
          <w:rFonts w:ascii="Times New Roman" w:hAnsi="Times New Roman" w:cs="Times New Roman"/>
        </w:rPr>
      </w:pPr>
    </w:p>
    <w:p w:rsidR="00D342EF" w:rsidRPr="009B4764" w:rsidP="00D342EF">
      <w:pPr>
        <w:jc w:val="center"/>
        <w:rPr>
          <w:rFonts w:ascii="Times New Roman" w:hAnsi="Times New Roman" w:cs="Times New Roman"/>
          <w:b/>
        </w:rPr>
      </w:pPr>
    </w:p>
    <w:p w:rsidR="00D342EF" w:rsidRPr="009B4764" w:rsidP="00D342EF">
      <w:pPr>
        <w:rPr>
          <w:rFonts w:ascii="Times New Roman" w:hAnsi="Times New Roman" w:cs="Times New Roman"/>
          <w:b/>
        </w:rPr>
      </w:pPr>
    </w:p>
    <w:p w:rsidR="00D342EF" w:rsidRPr="009B4764" w:rsidP="00D342EF">
      <w:pPr>
        <w:rPr>
          <w:rFonts w:ascii="Times New Roman" w:hAnsi="Times New Roman" w:cs="Times New Roman"/>
        </w:rPr>
      </w:pPr>
    </w:p>
    <w:p w:rsidR="00D342EF" w:rsidRPr="009B4764" w:rsidP="004B44ED">
      <w:pPr>
        <w:jc w:val="both"/>
        <w:rPr>
          <w:rFonts w:ascii="Times New Roman" w:hAnsi="Times New Roman" w:cs="Times New Roman"/>
          <w:b/>
        </w:rPr>
      </w:pPr>
    </w:p>
    <w:p w:rsidR="009B4764" w:rsidRPr="009B4764">
      <w:pPr>
        <w:rPr>
          <w:rFonts w:ascii="Times New Roman" w:hAnsi="Times New Roman" w:cs="Times New Roman"/>
          <w:b/>
        </w:rPr>
      </w:pPr>
    </w:p>
    <w:sectPr>
      <w:pgSz w:w="11906" w:h="16838"/>
      <w:pgMar w:top="1417" w:right="1417" w:bottom="1417" w:left="1417" w:header="708" w:footer="708" w:gutter="0"/>
      <w:pgNumType w:start="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imes">
    <w:panose1 w:val="00000000000000000000"/>
    <w:charset w:val="00"/>
    <w:family w:val="roman"/>
    <w:pitch w:val="variable"/>
    <w:sig w:usb0="00000000" w:usb1="00000000" w:usb2="00000000" w:usb3="00000000" w:csb0="00000001" w:csb1="00000000"/>
  </w:font>
  <w:font w:name="EUAlbertinaCE-Regu">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2F" w:rsidP="004F33F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9132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2F" w:rsidP="004F33FD">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9B4764">
      <w:rPr>
        <w:rStyle w:val="PageNumber"/>
        <w:rFonts w:ascii="Times New Roman" w:hAnsi="Times New Roman" w:cs="Times New Roman"/>
        <w:noProof/>
      </w:rPr>
      <w:t>2</w:t>
    </w:r>
    <w:r>
      <w:rPr>
        <w:rStyle w:val="PageNumber"/>
        <w:rFonts w:ascii="Times New Roman" w:hAnsi="Times New Roman" w:cs="Times New Roman"/>
      </w:rPr>
      <w:fldChar w:fldCharType="end"/>
    </w:r>
  </w:p>
  <w:p w:rsidR="00F9132F">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364"/>
    <w:multiLevelType w:val="hybridMultilevel"/>
    <w:tmpl w:val="43CC76F4"/>
    <w:lvl w:ilvl="0">
      <w:start w:val="1"/>
      <w:numFmt w:val="decimal"/>
      <w:lvlText w:val="%1."/>
      <w:lvlJc w:val="left"/>
      <w:pPr>
        <w:tabs>
          <w:tab w:val="num" w:pos="397"/>
        </w:tabs>
        <w:ind w:left="397" w:hanging="397"/>
      </w:pPr>
      <w:rPr>
        <w:b w:val="0"/>
        <w:i w:val="0"/>
        <w:sz w:val="28"/>
        <w:szCs w:val="28"/>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BB26F1"/>
    <w:multiLevelType w:val="hybridMultilevel"/>
    <w:tmpl w:val="CA4C61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D7512D"/>
    <w:multiLevelType w:val="hybridMultilevel"/>
    <w:tmpl w:val="D49E73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36145B"/>
    <w:multiLevelType w:val="hybridMultilevel"/>
    <w:tmpl w:val="2B48B1E4"/>
    <w:lvl w:ilvl="0">
      <w:start w:val="1"/>
      <w:numFmt w:val="decimal"/>
      <w:lvlText w:val="%1."/>
      <w:lvlJc w:val="left"/>
      <w:pPr>
        <w:tabs>
          <w:tab w:val="num" w:pos="862"/>
        </w:tabs>
        <w:ind w:left="198" w:firstLine="0"/>
      </w:pPr>
      <w:rPr>
        <w:rFonts w:ascii="Arial" w:hAnsi="Arial" w:cs="Arial"/>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EC6C55"/>
    <w:multiLevelType w:val="hybridMultilevel"/>
    <w:tmpl w:val="4C526B66"/>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rPr>
        <w:b w:val="0"/>
        <w:i w:val="0"/>
        <w:rtl w:val="0"/>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0D384CAF"/>
    <w:multiLevelType w:val="hybridMultilevel"/>
    <w:tmpl w:val="62944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F32037"/>
    <w:multiLevelType w:val="multilevel"/>
    <w:tmpl w:val="04908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3D270E"/>
    <w:multiLevelType w:val="hybridMultilevel"/>
    <w:tmpl w:val="A36023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C558E0"/>
    <w:multiLevelType w:val="hybridMultilevel"/>
    <w:tmpl w:val="5F1A04C0"/>
    <w:lvl w:ilvl="0">
      <w:start w:val="1"/>
      <w:numFmt w:val="decimal"/>
      <w:lvlText w:val="%1."/>
      <w:lvlJc w:val="left"/>
      <w:pPr>
        <w:ind w:left="720" w:hanging="360"/>
      </w:pPr>
      <w:rPr>
        <w:b/>
        <w:rtl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D55468"/>
    <w:multiLevelType w:val="multilevel"/>
    <w:tmpl w:val="7B2CC824"/>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742F2C"/>
    <w:multiLevelType w:val="hybridMultilevel"/>
    <w:tmpl w:val="F12A7A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2C75630"/>
    <w:multiLevelType w:val="hybridMultilevel"/>
    <w:tmpl w:val="220202B2"/>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6426329"/>
    <w:multiLevelType w:val="multilevel"/>
    <w:tmpl w:val="45BED6B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F10C24"/>
    <w:multiLevelType w:val="multilevel"/>
    <w:tmpl w:val="9EE2C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5A6D8E"/>
    <w:multiLevelType w:val="hybridMultilevel"/>
    <w:tmpl w:val="7E96C5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0B7C61"/>
    <w:multiLevelType w:val="multilevel"/>
    <w:tmpl w:val="17207AB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1A32FA"/>
    <w:multiLevelType w:val="hybridMultilevel"/>
    <w:tmpl w:val="70CA872A"/>
    <w:lvl w:ilvl="0">
      <w:start w:val="1"/>
      <w:numFmt w:val="decimal"/>
      <w:lvlText w:val="%1."/>
      <w:lvlJc w:val="left"/>
      <w:pPr>
        <w:tabs>
          <w:tab w:val="num" w:pos="663"/>
        </w:tabs>
        <w:ind w:left="0"/>
      </w:pPr>
      <w:rPr>
        <w:rFonts w:cs="Times New Roman"/>
        <w:b w:val="0"/>
        <w:color w:val="auto"/>
        <w:rtl w:val="0"/>
      </w:rPr>
    </w:lvl>
    <w:lvl w:ilvl="1">
      <w:start w:val="1"/>
      <w:numFmt w:val="decimal"/>
      <w:lvlText w:val="%2."/>
      <w:lvlJc w:val="left"/>
      <w:pPr>
        <w:tabs>
          <w:tab w:val="num" w:pos="1383"/>
        </w:tabs>
        <w:ind w:left="1383" w:hanging="360"/>
      </w:pPr>
      <w:rPr>
        <w:rFonts w:cs="Times New Roman"/>
        <w:rtl w:val="0"/>
      </w:rPr>
    </w:lvl>
    <w:lvl w:ilvl="2">
      <w:start w:val="1"/>
      <w:numFmt w:val="decimal"/>
      <w:lvlText w:val="%3."/>
      <w:lvlJc w:val="left"/>
      <w:pPr>
        <w:tabs>
          <w:tab w:val="num" w:pos="2103"/>
        </w:tabs>
        <w:ind w:left="2103" w:hanging="360"/>
      </w:pPr>
      <w:rPr>
        <w:rFonts w:cs="Times New Roman"/>
        <w:rtl w:val="0"/>
      </w:rPr>
    </w:lvl>
    <w:lvl w:ilvl="3">
      <w:start w:val="1"/>
      <w:numFmt w:val="decimal"/>
      <w:lvlText w:val="%4."/>
      <w:lvlJc w:val="left"/>
      <w:pPr>
        <w:tabs>
          <w:tab w:val="num" w:pos="2823"/>
        </w:tabs>
        <w:ind w:left="2823" w:hanging="360"/>
      </w:pPr>
      <w:rPr>
        <w:rFonts w:cs="Times New Roman"/>
        <w:rtl w:val="0"/>
      </w:rPr>
    </w:lvl>
    <w:lvl w:ilvl="4">
      <w:start w:val="1"/>
      <w:numFmt w:val="decimal"/>
      <w:lvlText w:val="%5."/>
      <w:lvlJc w:val="left"/>
      <w:pPr>
        <w:tabs>
          <w:tab w:val="num" w:pos="3543"/>
        </w:tabs>
        <w:ind w:left="3543" w:hanging="360"/>
      </w:pPr>
      <w:rPr>
        <w:rFonts w:cs="Times New Roman"/>
        <w:rtl w:val="0"/>
      </w:rPr>
    </w:lvl>
    <w:lvl w:ilvl="5">
      <w:start w:val="1"/>
      <w:numFmt w:val="decimal"/>
      <w:lvlText w:val="%6."/>
      <w:lvlJc w:val="left"/>
      <w:pPr>
        <w:tabs>
          <w:tab w:val="num" w:pos="4263"/>
        </w:tabs>
        <w:ind w:left="4263" w:hanging="360"/>
      </w:pPr>
      <w:rPr>
        <w:rFonts w:cs="Times New Roman"/>
        <w:rtl w:val="0"/>
      </w:rPr>
    </w:lvl>
    <w:lvl w:ilvl="6">
      <w:start w:val="1"/>
      <w:numFmt w:val="decimal"/>
      <w:lvlText w:val="%7."/>
      <w:lvlJc w:val="left"/>
      <w:pPr>
        <w:tabs>
          <w:tab w:val="num" w:pos="4983"/>
        </w:tabs>
        <w:ind w:left="4983" w:hanging="360"/>
      </w:pPr>
      <w:rPr>
        <w:rFonts w:cs="Times New Roman"/>
        <w:rtl w:val="0"/>
      </w:rPr>
    </w:lvl>
    <w:lvl w:ilvl="7">
      <w:start w:val="1"/>
      <w:numFmt w:val="decimal"/>
      <w:lvlText w:val="%8."/>
      <w:lvlJc w:val="left"/>
      <w:pPr>
        <w:tabs>
          <w:tab w:val="num" w:pos="5703"/>
        </w:tabs>
        <w:ind w:left="5703" w:hanging="360"/>
      </w:pPr>
      <w:rPr>
        <w:rFonts w:cs="Times New Roman"/>
        <w:rtl w:val="0"/>
      </w:rPr>
    </w:lvl>
    <w:lvl w:ilvl="8">
      <w:start w:val="1"/>
      <w:numFmt w:val="decimal"/>
      <w:lvlText w:val="%9."/>
      <w:lvlJc w:val="left"/>
      <w:pPr>
        <w:tabs>
          <w:tab w:val="num" w:pos="6423"/>
        </w:tabs>
        <w:ind w:left="6423" w:hanging="360"/>
      </w:pPr>
      <w:rPr>
        <w:rFonts w:cs="Times New Roman"/>
        <w:rtl w:val="0"/>
      </w:rPr>
    </w:lvl>
  </w:abstractNum>
  <w:abstractNum w:abstractNumId="17">
    <w:nsid w:val="3A3F3164"/>
    <w:multiLevelType w:val="multilevel"/>
    <w:tmpl w:val="BBEE5070"/>
    <w:lvl w:ilvl="0">
      <w:start w:val="1"/>
      <w:numFmt w:val="decimal"/>
      <w:lvlText w:val="%1."/>
      <w:lvlJc w:val="left"/>
      <w:pPr>
        <w:tabs>
          <w:tab w:val="num" w:pos="340"/>
        </w:tabs>
        <w:ind w:left="340"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055CBC"/>
    <w:multiLevelType w:val="hybridMultilevel"/>
    <w:tmpl w:val="0C546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2046F1"/>
    <w:multiLevelType w:val="multilevel"/>
    <w:tmpl w:val="ECE49FEC"/>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E84204"/>
    <w:multiLevelType w:val="multilevel"/>
    <w:tmpl w:val="190436F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1C44D31"/>
    <w:multiLevelType w:val="multilevel"/>
    <w:tmpl w:val="2466C81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3986D15"/>
    <w:multiLevelType w:val="hybridMultilevel"/>
    <w:tmpl w:val="2EDAD3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39D3294"/>
    <w:multiLevelType w:val="hybridMultilevel"/>
    <w:tmpl w:val="10500B08"/>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5FB7332"/>
    <w:multiLevelType w:val="hybridMultilevel"/>
    <w:tmpl w:val="0DF60DD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7D56A43"/>
    <w:multiLevelType w:val="hybridMultilevel"/>
    <w:tmpl w:val="C98CAEB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9394701"/>
    <w:multiLevelType w:val="multilevel"/>
    <w:tmpl w:val="4A806A78"/>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071343B"/>
    <w:multiLevelType w:val="hybridMultilevel"/>
    <w:tmpl w:val="EE04A7E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5E8A2121"/>
    <w:multiLevelType w:val="multilevel"/>
    <w:tmpl w:val="0F80184C"/>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09C1979"/>
    <w:multiLevelType w:val="hybridMultilevel"/>
    <w:tmpl w:val="A43E7864"/>
    <w:lvl w:ilvl="0">
      <w:start w:val="1"/>
      <w:numFmt w:val="decimal"/>
      <w:lvlText w:val="%1."/>
      <w:lvlJc w:val="left"/>
      <w:pPr>
        <w:tabs>
          <w:tab w:val="num" w:pos="700"/>
        </w:tabs>
        <w:ind w:left="700" w:hanging="34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472388"/>
    <w:multiLevelType w:val="hybridMultilevel"/>
    <w:tmpl w:val="ECA87368"/>
    <w:lvl w:ilvl="0">
      <w:start w:val="1"/>
      <w:numFmt w:val="decimal"/>
      <w:lvlText w:val="%1."/>
      <w:lvlJc w:val="left"/>
      <w:pPr>
        <w:tabs>
          <w:tab w:val="num" w:pos="340"/>
        </w:tabs>
        <w:ind w:left="340"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9506FF"/>
    <w:multiLevelType w:val="multilevel"/>
    <w:tmpl w:val="484C07A6"/>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7D76F8"/>
    <w:multiLevelType w:val="hybridMultilevel"/>
    <w:tmpl w:val="2A021104"/>
    <w:lvl w:ilvl="0">
      <w:start w:val="1"/>
      <w:numFmt w:val="decimal"/>
      <w:lvlText w:val="%1."/>
      <w:lvlJc w:val="left"/>
      <w:pPr>
        <w:tabs>
          <w:tab w:val="num" w:pos="520"/>
        </w:tabs>
        <w:ind w:left="520" w:hanging="34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70C91295"/>
    <w:multiLevelType w:val="multilevel"/>
    <w:tmpl w:val="7C5C38A8"/>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29C1011"/>
    <w:multiLevelType w:val="hybridMultilevel"/>
    <w:tmpl w:val="6A04AB26"/>
    <w:lvl w:ilvl="0">
      <w:start w:val="1"/>
      <w:numFmt w:val="decimal"/>
      <w:lvlText w:val="%1."/>
      <w:lvlJc w:val="left"/>
      <w:pPr>
        <w:tabs>
          <w:tab w:val="num" w:pos="340"/>
        </w:tabs>
        <w:ind w:left="340" w:hanging="34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442684F"/>
    <w:multiLevelType w:val="multilevel"/>
    <w:tmpl w:val="26E20E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4C91987"/>
    <w:multiLevelType w:val="hybridMultilevel"/>
    <w:tmpl w:val="D3305FD2"/>
    <w:lvl w:ilvl="0">
      <w:start w:val="3"/>
      <w:numFmt w:val="decimal"/>
      <w:lvlText w:val="%1."/>
      <w:lvlJc w:val="left"/>
      <w:pPr>
        <w:tabs>
          <w:tab w:val="num" w:pos="1060"/>
        </w:tabs>
        <w:ind w:left="396" w:firstLine="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B345F42"/>
    <w:multiLevelType w:val="multilevel"/>
    <w:tmpl w:val="AE663570"/>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D82B6C"/>
    <w:multiLevelType w:val="multilevel"/>
    <w:tmpl w:val="B718A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F077D54"/>
    <w:multiLevelType w:val="hybridMultilevel"/>
    <w:tmpl w:val="497EF40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F0B1FCF"/>
    <w:multiLevelType w:val="multilevel"/>
    <w:tmpl w:val="AB5A4D8A"/>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39"/>
  </w:num>
  <w:num w:numId="3">
    <w:abstractNumId w:val="13"/>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9"/>
  </w:num>
  <w:num w:numId="8">
    <w:abstractNumId w:val="30"/>
  </w:num>
  <w:num w:numId="9">
    <w:abstractNumId w:val="6"/>
  </w:num>
  <w:num w:numId="10">
    <w:abstractNumId w:val="4"/>
  </w:num>
  <w:num w:numId="11">
    <w:abstractNumId w:val="11"/>
  </w:num>
  <w:num w:numId="12">
    <w:abstractNumId w:val="38"/>
  </w:num>
  <w:num w:numId="13">
    <w:abstractNumId w:val="25"/>
  </w:num>
  <w:num w:numId="14">
    <w:abstractNumId w:val="15"/>
  </w:num>
  <w:num w:numId="15">
    <w:abstractNumId w:val="19"/>
  </w:num>
  <w:num w:numId="16">
    <w:abstractNumId w:val="33"/>
  </w:num>
  <w:num w:numId="17">
    <w:abstractNumId w:val="21"/>
  </w:num>
  <w:num w:numId="18">
    <w:abstractNumId w:val="31"/>
  </w:num>
  <w:num w:numId="19">
    <w:abstractNumId w:val="20"/>
  </w:num>
  <w:num w:numId="20">
    <w:abstractNumId w:val="40"/>
  </w:num>
  <w:num w:numId="21">
    <w:abstractNumId w:val="28"/>
  </w:num>
  <w:num w:numId="22">
    <w:abstractNumId w:val="12"/>
  </w:num>
  <w:num w:numId="23">
    <w:abstractNumId w:val="37"/>
  </w:num>
  <w:num w:numId="24">
    <w:abstractNumId w:val="26"/>
  </w:num>
  <w:num w:numId="25">
    <w:abstractNumId w:val="9"/>
  </w:num>
  <w:num w:numId="26">
    <w:abstractNumId w:val="17"/>
  </w:num>
  <w:num w:numId="27">
    <w:abstractNumId w:val="34"/>
  </w:num>
  <w:num w:numId="28">
    <w:abstractNumId w:val="10"/>
  </w:num>
  <w:num w:numId="29">
    <w:abstractNumId w:val="24"/>
  </w:num>
  <w:num w:numId="30">
    <w:abstractNumId w:val="2"/>
  </w:num>
  <w:num w:numId="31">
    <w:abstractNumId w:val="14"/>
  </w:num>
  <w:num w:numId="32">
    <w:abstractNumId w:val="0"/>
  </w:num>
  <w:num w:numId="33">
    <w:abstractNumId w:val="22"/>
  </w:num>
  <w:num w:numId="34">
    <w:abstractNumId w:val="7"/>
  </w:num>
  <w:num w:numId="35">
    <w:abstractNumId w:val="18"/>
  </w:num>
  <w:num w:numId="36">
    <w:abstractNumId w:val="8"/>
  </w:num>
  <w:num w:numId="37">
    <w:abstractNumId w:val="1"/>
  </w:num>
  <w:num w:numId="38">
    <w:abstractNumId w:val="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7"/>
  </w:num>
  <w:num w:numId="41">
    <w:abstractNumId w:val="23"/>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3F34"/>
    <w:rsid w:val="00044D3E"/>
    <w:rsid w:val="000B1D0A"/>
    <w:rsid w:val="000B4614"/>
    <w:rsid w:val="001309A3"/>
    <w:rsid w:val="00156324"/>
    <w:rsid w:val="00175F15"/>
    <w:rsid w:val="00207852"/>
    <w:rsid w:val="002205B6"/>
    <w:rsid w:val="00225A0F"/>
    <w:rsid w:val="00260FD8"/>
    <w:rsid w:val="002A7297"/>
    <w:rsid w:val="002C3648"/>
    <w:rsid w:val="002D7A4D"/>
    <w:rsid w:val="003E7485"/>
    <w:rsid w:val="00404D68"/>
    <w:rsid w:val="00405643"/>
    <w:rsid w:val="0042298C"/>
    <w:rsid w:val="0047287F"/>
    <w:rsid w:val="004735E7"/>
    <w:rsid w:val="004B44ED"/>
    <w:rsid w:val="004F33FD"/>
    <w:rsid w:val="00525307"/>
    <w:rsid w:val="00577FDA"/>
    <w:rsid w:val="005D7FB4"/>
    <w:rsid w:val="006411BD"/>
    <w:rsid w:val="00647A1F"/>
    <w:rsid w:val="006B7BC5"/>
    <w:rsid w:val="006F2693"/>
    <w:rsid w:val="007140AD"/>
    <w:rsid w:val="00796FAA"/>
    <w:rsid w:val="007C30B0"/>
    <w:rsid w:val="007E57D0"/>
    <w:rsid w:val="008072BB"/>
    <w:rsid w:val="00875C1B"/>
    <w:rsid w:val="008C6076"/>
    <w:rsid w:val="00902673"/>
    <w:rsid w:val="009027A0"/>
    <w:rsid w:val="00930BEC"/>
    <w:rsid w:val="009317D1"/>
    <w:rsid w:val="00967AA2"/>
    <w:rsid w:val="009904BD"/>
    <w:rsid w:val="0099415C"/>
    <w:rsid w:val="009B4764"/>
    <w:rsid w:val="00AC5CAA"/>
    <w:rsid w:val="00B02AE3"/>
    <w:rsid w:val="00B17646"/>
    <w:rsid w:val="00BB5E42"/>
    <w:rsid w:val="00BE2BFE"/>
    <w:rsid w:val="00C464DB"/>
    <w:rsid w:val="00CA121E"/>
    <w:rsid w:val="00CC462E"/>
    <w:rsid w:val="00CF2244"/>
    <w:rsid w:val="00D342EF"/>
    <w:rsid w:val="00DB15A2"/>
    <w:rsid w:val="00DB7B31"/>
    <w:rsid w:val="00DC51D1"/>
    <w:rsid w:val="00DE3E3A"/>
    <w:rsid w:val="00E310B4"/>
    <w:rsid w:val="00E62A6F"/>
    <w:rsid w:val="00E8079C"/>
    <w:rsid w:val="00EB740B"/>
    <w:rsid w:val="00F0000A"/>
    <w:rsid w:val="00F371D2"/>
    <w:rsid w:val="00F43C36"/>
    <w:rsid w:val="00F46BA9"/>
    <w:rsid w:val="00F56969"/>
    <w:rsid w:val="00F9132F"/>
    <w:rsid w:val="00FB0AE0"/>
    <w:rsid w:val="00FE161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0E8"/>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spacing w:before="120"/>
      <w:jc w:val="left"/>
      <w:outlineLvl w:val="0"/>
    </w:pPr>
    <w:rPr>
      <w:b/>
      <w:szCs w:val="20"/>
    </w:rPr>
  </w:style>
  <w:style w:type="paragraph" w:styleId="Heading2">
    <w:name w:val="heading 2"/>
    <w:basedOn w:val="Normal"/>
    <w:next w:val="Normal"/>
    <w:qFormat/>
    <w:pPr>
      <w:keepNext/>
      <w:ind w:left="4500" w:firstLine="456"/>
      <w:jc w:val="both"/>
      <w:outlineLvl w:val="1"/>
    </w:pPr>
    <w:rPr>
      <w:b/>
      <w:bCs/>
    </w:rPr>
  </w:style>
  <w:style w:type="paragraph" w:styleId="Heading3">
    <w:name w:val="heading 3"/>
    <w:basedOn w:val="Normal"/>
    <w:next w:val="Normal"/>
    <w:qFormat/>
    <w:pPr>
      <w:keepNext/>
      <w:ind w:left="2880" w:hanging="2880"/>
      <w:jc w:val="left"/>
      <w:outlineLvl w:val="2"/>
    </w:pPr>
    <w:rPr>
      <w:u w:val="single"/>
    </w:rPr>
  </w:style>
  <w:style w:type="paragraph" w:styleId="Heading4">
    <w:name w:val="heading 4"/>
    <w:basedOn w:val="Normal"/>
    <w:next w:val="Normal"/>
    <w:qFormat/>
    <w:pPr>
      <w:keepNext/>
      <w:tabs>
        <w:tab w:val="left" w:pos="1021"/>
      </w:tabs>
      <w:jc w:val="both"/>
      <w:outlineLvl w:val="3"/>
    </w:pPr>
    <w:rPr>
      <w:b/>
    </w:rPr>
  </w:style>
  <w:style w:type="paragraph" w:styleId="Heading5">
    <w:name w:val="heading 5"/>
    <w:basedOn w:val="Normal"/>
    <w:next w:val="Normal"/>
    <w:qFormat/>
    <w:pPr>
      <w:keepNext/>
      <w:spacing w:before="120"/>
      <w:ind w:firstLine="708"/>
      <w:jc w:val="left"/>
      <w:outlineLvl w:val="4"/>
    </w:pPr>
    <w:rPr>
      <w:b/>
      <w:szCs w:val="20"/>
    </w:rPr>
  </w:style>
  <w:style w:type="paragraph" w:styleId="Heading6">
    <w:name w:val="heading 6"/>
    <w:basedOn w:val="Normal"/>
    <w:next w:val="Normal"/>
    <w:qFormat/>
    <w:pPr>
      <w:keepNext/>
      <w:jc w:val="center"/>
      <w:outlineLvl w:val="5"/>
    </w:pPr>
    <w:rPr>
      <w:b/>
      <w:bCs/>
      <w:szCs w:val="20"/>
    </w:rPr>
  </w:style>
  <w:style w:type="character" w:default="1" w:styleId="DefaultParagraphFont">
    <w:name w:val="Default Paragraph Font"/>
    <w:link w:val="CharCharCharCharChar"/>
    <w:semiHidden/>
  </w:style>
  <w:style w:type="character" w:styleId="PageNumber">
    <w:name w:val="page number"/>
    <w:basedOn w:val="DefaultParagraphFont"/>
  </w:style>
  <w:style w:type="paragraph" w:customStyle="1" w:styleId="kurz">
    <w:name w:val="kurz"/>
    <w:basedOn w:val="Normal"/>
    <w:pPr>
      <w:ind w:firstLine="340"/>
      <w:jc w:val="both"/>
    </w:pPr>
    <w:rPr>
      <w:rFonts w:ascii="AT*Toronto" w:hAnsi="AT*Toronto"/>
      <w:i/>
      <w:sz w:val="22"/>
      <w:szCs w:val="20"/>
    </w:rPr>
  </w:style>
  <w:style w:type="paragraph" w:styleId="BodyTextIndent2">
    <w:name w:val="Body Text Indent 2"/>
    <w:basedOn w:val="Normal"/>
    <w:pPr>
      <w:tabs>
        <w:tab w:val="left" w:pos="284"/>
      </w:tabs>
      <w:ind w:left="284" w:hanging="284"/>
      <w:jc w:val="both"/>
    </w:pPr>
    <w:rPr>
      <w:szCs w:val="20"/>
    </w:rPr>
  </w:style>
  <w:style w:type="paragraph" w:styleId="BodyTextIndent">
    <w:name w:val="Body Text Indent"/>
    <w:basedOn w:val="Normal"/>
    <w:pPr>
      <w:ind w:left="5040"/>
      <w:jc w:val="both"/>
    </w:pPr>
    <w:rPr>
      <w:b/>
      <w:bCs/>
      <w:lang w:val="en-US"/>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paragraph" w:styleId="BodyTextIndent3">
    <w:name w:val="Body Text Indent 3"/>
    <w:basedOn w:val="Normal"/>
    <w:pPr>
      <w:ind w:left="2880" w:hanging="2880"/>
      <w:jc w:val="left"/>
    </w:pPr>
  </w:style>
  <w:style w:type="paragraph" w:customStyle="1" w:styleId="TxBrp10">
    <w:name w:val="TxBr_p10"/>
    <w:basedOn w:val="Normal"/>
    <w:pPr>
      <w:tabs>
        <w:tab w:val="left" w:pos="368"/>
      </w:tabs>
      <w:autoSpaceDE/>
      <w:autoSpaceDN/>
      <w:spacing w:line="277" w:lineRule="atLeast"/>
      <w:ind w:left="998" w:hanging="368"/>
      <w:jc w:val="both"/>
    </w:pPr>
    <w:rPr>
      <w:sz w:val="20"/>
      <w:lang w:val="en-US"/>
    </w:rPr>
  </w:style>
  <w:style w:type="paragraph" w:customStyle="1" w:styleId="TxBrp14">
    <w:name w:val="TxBr_p14"/>
    <w:basedOn w:val="Normal"/>
    <w:pPr>
      <w:autoSpaceDE/>
      <w:autoSpaceDN/>
      <w:spacing w:line="283" w:lineRule="atLeast"/>
      <w:ind w:left="998"/>
      <w:jc w:val="left"/>
    </w:pPr>
    <w:rPr>
      <w:sz w:val="20"/>
      <w:lang w:val="en-US"/>
    </w:rPr>
  </w:style>
  <w:style w:type="paragraph" w:customStyle="1" w:styleId="TxBrp15">
    <w:name w:val="TxBr_p15"/>
    <w:basedOn w:val="Normal"/>
    <w:pPr>
      <w:autoSpaceDE/>
      <w:autoSpaceDN/>
      <w:spacing w:line="240" w:lineRule="atLeast"/>
      <w:ind w:left="998"/>
      <w:jc w:val="left"/>
    </w:pPr>
    <w:rPr>
      <w:sz w:val="20"/>
      <w:lang w:val="en-US"/>
    </w:rPr>
  </w:style>
  <w:style w:type="paragraph" w:customStyle="1" w:styleId="TxBrp18">
    <w:name w:val="TxBr_p18"/>
    <w:basedOn w:val="Normal"/>
    <w:pPr>
      <w:tabs>
        <w:tab w:val="left" w:pos="368"/>
      </w:tabs>
      <w:autoSpaceDE/>
      <w:autoSpaceDN/>
      <w:spacing w:line="277" w:lineRule="atLeast"/>
      <w:ind w:left="998" w:hanging="368"/>
      <w:jc w:val="left"/>
    </w:pPr>
    <w:rPr>
      <w:sz w:val="20"/>
      <w:lang w:val="en-US"/>
    </w:rPr>
  </w:style>
  <w:style w:type="paragraph" w:customStyle="1" w:styleId="TxBrp23">
    <w:name w:val="TxBr_p23"/>
    <w:basedOn w:val="Normal"/>
    <w:pPr>
      <w:tabs>
        <w:tab w:val="left" w:pos="646"/>
      </w:tabs>
      <w:autoSpaceDE/>
      <w:autoSpaceDN/>
      <w:spacing w:line="283" w:lineRule="atLeast"/>
      <w:ind w:left="998"/>
      <w:jc w:val="left"/>
    </w:pPr>
    <w:rPr>
      <w:sz w:val="20"/>
      <w:lang w:val="en-US"/>
    </w:rPr>
  </w:style>
  <w:style w:type="paragraph" w:customStyle="1" w:styleId="TxBrp1">
    <w:name w:val="TxBr_p1"/>
    <w:basedOn w:val="Normal"/>
    <w:pPr>
      <w:tabs>
        <w:tab w:val="left" w:pos="1020"/>
      </w:tabs>
      <w:autoSpaceDE/>
      <w:autoSpaceDN/>
      <w:spacing w:line="240" w:lineRule="atLeast"/>
      <w:ind w:left="346"/>
      <w:jc w:val="both"/>
    </w:pPr>
    <w:rPr>
      <w:sz w:val="20"/>
      <w:lang w:val="en-US"/>
    </w:rPr>
  </w:style>
  <w:style w:type="paragraph" w:styleId="BodyText2">
    <w:name w:val="Body Text 2"/>
    <w:basedOn w:val="Normal"/>
    <w:pPr>
      <w:jc w:val="both"/>
    </w:pPr>
    <w:rPr>
      <w:sz w:val="28"/>
    </w:rPr>
  </w:style>
  <w:style w:type="paragraph" w:styleId="BodyText3">
    <w:name w:val="Body Text 3"/>
    <w:basedOn w:val="Normal"/>
    <w:rsid w:val="00D36099"/>
    <w:pPr>
      <w:spacing w:after="120"/>
      <w:jc w:val="left"/>
    </w:pPr>
    <w:rPr>
      <w:sz w:val="16"/>
      <w:szCs w:val="16"/>
    </w:rPr>
  </w:style>
  <w:style w:type="paragraph" w:customStyle="1" w:styleId="TxBrp9">
    <w:name w:val="TxBr_p9"/>
    <w:basedOn w:val="Normal"/>
    <w:rsid w:val="009F1DA4"/>
    <w:pPr>
      <w:tabs>
        <w:tab w:val="left" w:pos="204"/>
      </w:tabs>
      <w:autoSpaceDE/>
      <w:autoSpaceDN/>
      <w:spacing w:line="240" w:lineRule="atLeast"/>
      <w:jc w:val="both"/>
    </w:pPr>
    <w:rPr>
      <w:sz w:val="20"/>
      <w:lang w:val="en-US"/>
    </w:rPr>
  </w:style>
  <w:style w:type="paragraph" w:styleId="Header">
    <w:name w:val="header"/>
    <w:basedOn w:val="Normal"/>
    <w:rsid w:val="003D2DD5"/>
    <w:pPr>
      <w:tabs>
        <w:tab w:val="center" w:pos="4536"/>
        <w:tab w:val="right" w:pos="9072"/>
      </w:tabs>
      <w:jc w:val="left"/>
    </w:pPr>
    <w:rPr>
      <w:rFonts w:ascii="Arial" w:hAnsi="Arial"/>
      <w:szCs w:val="20"/>
    </w:rPr>
  </w:style>
  <w:style w:type="character" w:styleId="Emphasis">
    <w:name w:val="Emphasis"/>
    <w:basedOn w:val="DefaultParagraphFont"/>
    <w:qFormat/>
    <w:rsid w:val="0025294B"/>
    <w:rPr>
      <w:i/>
      <w:iCs/>
      <w:rtl w:val="0"/>
    </w:rPr>
  </w:style>
  <w:style w:type="paragraph" w:customStyle="1" w:styleId="sdfootnote">
    <w:name w:val="sdfootnote"/>
    <w:basedOn w:val="Normal"/>
    <w:rsid w:val="0025294B"/>
    <w:pPr>
      <w:spacing w:before="100" w:beforeAutospacing="1" w:after="100" w:afterAutospacing="1"/>
      <w:jc w:val="left"/>
    </w:pPr>
    <w:rPr>
      <w:lang w:val="en-US"/>
    </w:rPr>
  </w:style>
  <w:style w:type="paragraph" w:styleId="BalloonText">
    <w:name w:val="Balloon Text"/>
    <w:basedOn w:val="Normal"/>
    <w:semiHidden/>
    <w:rsid w:val="004B76B4"/>
    <w:pPr>
      <w:jc w:val="left"/>
    </w:pPr>
    <w:rPr>
      <w:rFonts w:ascii="Tahoma" w:hAnsi="Tahoma" w:cs="Tahoma"/>
      <w:sz w:val="16"/>
      <w:szCs w:val="16"/>
    </w:rPr>
  </w:style>
  <w:style w:type="paragraph" w:customStyle="1" w:styleId="CharCharCharCharChar">
    <w:name w:val="Char Char Char Char Char"/>
    <w:basedOn w:val="Normal"/>
    <w:link w:val="DefaultParagraphFont"/>
    <w:rsid w:val="00F371D2"/>
    <w:pPr>
      <w:spacing w:after="160" w:line="240" w:lineRule="exact"/>
      <w:jc w:val="left"/>
    </w:pPr>
    <w:rPr>
      <w:rFonts w:ascii="Tahoma" w:hAnsi="Tahoma" w:cs="Tahoma"/>
      <w:sz w:val="20"/>
      <w:szCs w:val="20"/>
      <w:lang w:val="en-US"/>
    </w:rPr>
  </w:style>
  <w:style w:type="paragraph" w:customStyle="1" w:styleId="CharCharCharCharChar0">
    <w:name w:val="Char Char Char Char Char_0"/>
    <w:basedOn w:val="Normal"/>
    <w:rsid w:val="00F0000A"/>
    <w:pPr>
      <w:spacing w:after="160" w:line="240" w:lineRule="exact"/>
      <w:jc w:val="left"/>
    </w:pPr>
    <w:rPr>
      <w:rFonts w:ascii="Tahoma" w:hAnsi="Tahoma" w:cs="Tahoma"/>
      <w:sz w:val="20"/>
      <w:szCs w:val="20"/>
      <w:lang w:val="en-US"/>
    </w:rPr>
  </w:style>
  <w:style w:type="paragraph" w:customStyle="1" w:styleId="Odstavec">
    <w:name w:val="Odstavec"/>
    <w:basedOn w:val="Normal"/>
    <w:rsid w:val="00D342EF"/>
    <w:pPr>
      <w:tabs>
        <w:tab w:val="left" w:pos="567"/>
      </w:tabs>
      <w:overflowPunct w:val="0"/>
      <w:autoSpaceDE/>
      <w:autoSpaceDN/>
      <w:spacing w:before="180" w:line="360" w:lineRule="auto"/>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1699</TotalTime>
  <Pages>1</Pages>
  <Words>1915</Words>
  <Characters>10917</Characters>
  <Application>Microsoft Office Word</Application>
  <DocSecurity>0</DocSecurity>
  <Lines>0</Lines>
  <Paragraphs>0</Paragraphs>
  <ScaleCrop>false</ScaleCrop>
  <Manager>Magdaléna Šuchaňová</Manager>
  <Company>Kancelária NR SR, ÚPV NR SR</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Uznesenie UPV 658 tlač 1022</dc:title>
  <dc:subject>tlač 1022, schôdza 81, 10. jún 2009</dc:subject>
  <dc:creator>Viera Ebringerová</dc:creator>
  <cp:keywords>o odpadoch</cp:keywords>
  <dc:description>vládny návrh zákona</dc:description>
  <cp:lastModifiedBy>EbriVier</cp:lastModifiedBy>
  <cp:revision>1724</cp:revision>
  <cp:lastPrinted>2009-06-11T10:37:00Z</cp:lastPrinted>
  <dcterms:created xsi:type="dcterms:W3CDTF">2002-05-15T10:56:00Z</dcterms:created>
  <dcterms:modified xsi:type="dcterms:W3CDTF">2009-06-11T13:06:00Z</dcterms:modified>
  <cp:category>uznesenie</cp:category>
</cp:coreProperties>
</file>