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7BE5" w:rsidRPr="00C2781D" w:rsidP="00857BE5">
      <w:pPr>
        <w:jc w:val="center"/>
        <w:rPr>
          <w:rFonts w:ascii="Arial" w:hAnsi="Arial" w:cs="Arial"/>
          <w:b/>
        </w:rPr>
      </w:pPr>
      <w:r w:rsidRPr="00C2781D">
        <w:rPr>
          <w:rFonts w:ascii="Arial" w:hAnsi="Arial" w:cs="Arial"/>
          <w:b/>
        </w:rPr>
        <w:t>Návrh</w:t>
      </w:r>
    </w:p>
    <w:p w:rsidR="00857BE5" w:rsidRPr="00C2781D" w:rsidP="00857BE5">
      <w:pPr>
        <w:jc w:val="center"/>
        <w:rPr>
          <w:rFonts w:ascii="Arial" w:hAnsi="Arial" w:cs="Arial"/>
          <w:b/>
        </w:rPr>
      </w:pPr>
    </w:p>
    <w:p w:rsidR="00857BE5" w:rsidRPr="00C2781D" w:rsidP="00857BE5">
      <w:pPr>
        <w:jc w:val="center"/>
        <w:rPr>
          <w:rFonts w:ascii="Arial" w:hAnsi="Arial" w:cs="Arial"/>
          <w:b/>
        </w:rPr>
      </w:pPr>
      <w:r w:rsidRPr="00C2781D">
        <w:rPr>
          <w:rFonts w:ascii="Arial" w:hAnsi="Arial" w:cs="Arial"/>
          <w:b/>
        </w:rPr>
        <w:t>Zákon</w:t>
      </w:r>
    </w:p>
    <w:p w:rsidR="00857BE5" w:rsidRPr="00C2781D" w:rsidP="00857BE5">
      <w:pPr>
        <w:jc w:val="center"/>
        <w:rPr>
          <w:rFonts w:ascii="Arial" w:hAnsi="Arial" w:cs="Arial"/>
          <w:b/>
        </w:rPr>
      </w:pPr>
    </w:p>
    <w:p w:rsidR="00857BE5" w:rsidRPr="00C2781D" w:rsidP="00857BE5">
      <w:pPr>
        <w:jc w:val="center"/>
        <w:rPr>
          <w:rFonts w:ascii="Arial" w:hAnsi="Arial" w:cs="Arial"/>
          <w:b/>
        </w:rPr>
      </w:pPr>
      <w:r w:rsidRPr="00C2781D">
        <w:rPr>
          <w:rFonts w:ascii="Arial" w:hAnsi="Arial" w:cs="Arial"/>
          <w:b/>
        </w:rPr>
        <w:t>z................2009,</w:t>
      </w:r>
    </w:p>
    <w:p w:rsidR="00857BE5" w:rsidRPr="00C2781D" w:rsidP="00857BE5">
      <w:pPr>
        <w:rPr>
          <w:rFonts w:ascii="Arial" w:hAnsi="Arial" w:cs="Arial"/>
          <w:b/>
        </w:rPr>
      </w:pPr>
    </w:p>
    <w:p w:rsidR="00857BE5" w:rsidRPr="00C2781D" w:rsidP="00857BE5">
      <w:pPr>
        <w:jc w:val="center"/>
        <w:rPr>
          <w:rFonts w:ascii="Arial" w:hAnsi="Arial" w:cs="Arial"/>
          <w:b/>
          <w:sz w:val="22"/>
          <w:szCs w:val="22"/>
        </w:rPr>
      </w:pPr>
      <w:r w:rsidRPr="00C2781D">
        <w:rPr>
          <w:rFonts w:ascii="Arial" w:hAnsi="Arial" w:cs="Arial"/>
          <w:b/>
        </w:rPr>
        <w:t xml:space="preserve">ktorým </w:t>
      </w:r>
      <w:r w:rsidRPr="00C2781D">
        <w:rPr>
          <w:rFonts w:ascii="Arial" w:hAnsi="Arial" w:cs="Arial"/>
          <w:b/>
          <w:sz w:val="22"/>
          <w:szCs w:val="22"/>
        </w:rPr>
        <w:t>sa mení a  dopĺňa zákon č. 301/2005 Z. z. Trestný poriadok v znení neskorších predpisov a o zmene a doplnení niektorých zákonov</w:t>
      </w:r>
    </w:p>
    <w:p w:rsidR="00857BE5" w:rsidRPr="00C2781D" w:rsidP="00857BE5">
      <w:pPr>
        <w:rPr>
          <w:rFonts w:ascii="Arial" w:hAnsi="Arial" w:cs="Arial"/>
          <w:b/>
        </w:rPr>
      </w:pPr>
    </w:p>
    <w:p w:rsidR="00857BE5" w:rsidRPr="00C2781D" w:rsidP="00857BE5">
      <w:pPr>
        <w:rPr>
          <w:rFonts w:ascii="Arial" w:hAnsi="Arial" w:cs="Arial"/>
        </w:rPr>
      </w:pPr>
      <w:r w:rsidRPr="00C2781D">
        <w:rPr>
          <w:rFonts w:ascii="Arial" w:hAnsi="Arial" w:cs="Arial"/>
        </w:rPr>
        <w:t>Národná rada Slovenskej republiky sa uzniesla na tomto zákone:</w:t>
      </w:r>
    </w:p>
    <w:p w:rsidR="00857BE5" w:rsidRPr="00C2781D" w:rsidP="00857BE5">
      <w:pPr>
        <w:rPr>
          <w:rFonts w:ascii="Arial" w:hAnsi="Arial" w:cs="Arial"/>
        </w:rPr>
      </w:pPr>
    </w:p>
    <w:p w:rsidR="00857BE5" w:rsidRPr="00C2781D" w:rsidP="00857BE5">
      <w:pPr>
        <w:jc w:val="center"/>
        <w:rPr>
          <w:rFonts w:ascii="Arial" w:hAnsi="Arial" w:cs="Arial"/>
          <w:b/>
        </w:rPr>
      </w:pPr>
      <w:r w:rsidRPr="00C2781D">
        <w:rPr>
          <w:rFonts w:ascii="Arial" w:hAnsi="Arial" w:cs="Arial"/>
          <w:b/>
        </w:rPr>
        <w:t>Čl. I</w:t>
      </w:r>
    </w:p>
    <w:p w:rsidR="00857BE5" w:rsidRPr="00C2781D" w:rsidP="00857BE5">
      <w:pPr>
        <w:spacing w:before="100" w:beforeAutospacing="1" w:after="100" w:afterAutospacing="1"/>
        <w:ind w:firstLine="708"/>
        <w:jc w:val="both"/>
        <w:outlineLvl w:val="4"/>
        <w:rPr>
          <w:rFonts w:ascii="Arial" w:hAnsi="Arial" w:cs="Arial"/>
          <w:szCs w:val="28"/>
        </w:rPr>
      </w:pPr>
      <w:r w:rsidRPr="00C2781D">
        <w:rPr>
          <w:rFonts w:ascii="Arial" w:hAnsi="Arial" w:cs="Arial"/>
          <w:szCs w:val="28"/>
        </w:rPr>
        <w:t>Zákon č. 301/2005 Z. z. Trestný poriadok v znení zákona č. 650/2006 Z.z., zákona č. 342/207 Z. z., zákona č. 643/2007 Z. z., zákona č. 61/2008 Z.z., zákona č. 491/2008 Z.z., zákona č. 498/2008 Z. z., zákona č. 5/2009 Z. z., zákona č. 59/2009 Z. z., zákona č. 70/2009 Z. z., a zákona č. 97/2009 Z. z. sa mení a dopĺňa takto:</w:t>
      </w:r>
    </w:p>
    <w:p w:rsidR="00857BE5" w:rsidRPr="00C2781D" w:rsidP="00857BE5">
      <w:pPr>
        <w:numPr>
          <w:ilvl w:val="0"/>
          <w:numId w:val="1"/>
        </w:numPr>
        <w:jc w:val="both"/>
        <w:outlineLvl w:val="4"/>
        <w:rPr>
          <w:rFonts w:ascii="Arial" w:hAnsi="Arial" w:cs="Arial"/>
          <w:szCs w:val="28"/>
        </w:rPr>
      </w:pPr>
      <w:r w:rsidRPr="00C2781D">
        <w:rPr>
          <w:rFonts w:ascii="Arial" w:hAnsi="Arial" w:cs="Arial"/>
          <w:szCs w:val="28"/>
        </w:rPr>
        <w:t>§ 14 vrátane nadpisu znie:</w:t>
      </w:r>
    </w:p>
    <w:p w:rsidR="00857BE5" w:rsidRPr="00C2781D" w:rsidP="00857BE5">
      <w:pPr>
        <w:jc w:val="center"/>
        <w:outlineLvl w:val="4"/>
        <w:rPr>
          <w:rFonts w:ascii="Arial" w:hAnsi="Arial" w:cs="Arial"/>
          <w:szCs w:val="28"/>
        </w:rPr>
      </w:pPr>
      <w:r w:rsidRPr="00C2781D">
        <w:rPr>
          <w:rFonts w:ascii="Arial" w:hAnsi="Arial" w:cs="Arial"/>
          <w:szCs w:val="28"/>
        </w:rPr>
        <w:t>„§ 14</w:t>
      </w:r>
    </w:p>
    <w:p w:rsidR="00857BE5" w:rsidRPr="00C2781D" w:rsidP="00857BE5">
      <w:pPr>
        <w:jc w:val="center"/>
        <w:outlineLvl w:val="4"/>
        <w:rPr>
          <w:rFonts w:ascii="Arial" w:hAnsi="Arial" w:cs="Arial"/>
          <w:b/>
          <w:szCs w:val="28"/>
        </w:rPr>
      </w:pPr>
      <w:r w:rsidRPr="00C2781D">
        <w:rPr>
          <w:rFonts w:ascii="Arial" w:hAnsi="Arial" w:cs="Arial"/>
          <w:b/>
          <w:szCs w:val="28"/>
        </w:rPr>
        <w:t>Pôsobnosť Špeciálneho súdu</w:t>
      </w:r>
    </w:p>
    <w:p w:rsidR="00857BE5" w:rsidRPr="00C2781D" w:rsidP="00857BE5">
      <w:pPr>
        <w:ind w:firstLine="708"/>
        <w:jc w:val="both"/>
        <w:rPr>
          <w:rFonts w:ascii="Arial" w:hAnsi="Arial" w:cs="Arial"/>
        </w:rPr>
      </w:pPr>
    </w:p>
    <w:p w:rsidR="00857BE5" w:rsidRPr="00C2781D" w:rsidP="00857BE5">
      <w:pPr>
        <w:numPr>
          <w:ilvl w:val="0"/>
          <w:numId w:val="2"/>
        </w:numPr>
        <w:ind w:left="0" w:firstLine="708"/>
        <w:jc w:val="both"/>
        <w:rPr>
          <w:rFonts w:ascii="Arial" w:hAnsi="Arial" w:cs="Arial"/>
        </w:rPr>
      </w:pPr>
      <w:r w:rsidRPr="00C2781D">
        <w:rPr>
          <w:rFonts w:ascii="Arial" w:hAnsi="Arial" w:cs="Arial"/>
        </w:rPr>
        <w:t>Pôsobnosť Špeciálneho súdu, ak sú podozriví zo spáchania trestného činu v súvislosti s ich právomocou a zodpovednosťou, sa vzťahuje na</w:t>
      </w:r>
    </w:p>
    <w:p w:rsidR="00857BE5" w:rsidRPr="00C2781D" w:rsidP="00857BE5">
      <w:pPr>
        <w:jc w:val="both"/>
        <w:rPr>
          <w:rFonts w:ascii="Arial" w:hAnsi="Arial" w:cs="Arial"/>
        </w:rPr>
      </w:pP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pos</w:t>
      </w:r>
      <w:r w:rsidRPr="00C2781D">
        <w:rPr>
          <w:rFonts w:ascii="Arial" w:hAnsi="Arial" w:cs="Arial"/>
        </w:rPr>
        <w:t>lancov Národnej rady Slovenskej republiky,</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členov vlády Slovenskej republiky,</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štátnych tajomníkov,</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predsedov ústredných orgánov štátnej správy Slovenskej republiky,</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predsedu a podpredsedu Najvyššieho kontrolného úradu Slovenskej republiky,</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sudcov Ústavného</w:t>
      </w:r>
      <w:r w:rsidRPr="00C2781D">
        <w:rPr>
          <w:rFonts w:ascii="Arial" w:hAnsi="Arial" w:cs="Arial"/>
        </w:rPr>
        <w:t xml:space="preserve"> súdu Slovenskej republiky,</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sudcov,</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prokurátorov,</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verejného ochrancu práv,</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vedúceho Úradu vlády Slovenskej republiky,</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riaditeľa Národného bezpečnostného úradu,</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riaditeľa Slovenskej informačnej služby,</w:t>
      </w:r>
    </w:p>
    <w:p w:rsidR="00857BE5" w:rsidRPr="00C2781D" w:rsidP="00857BE5">
      <w:pPr>
        <w:numPr>
          <w:ilvl w:val="1"/>
          <w:numId w:val="2"/>
        </w:numPr>
        <w:tabs>
          <w:tab w:val="left" w:pos="0"/>
          <w:tab w:val="clear" w:pos="1788"/>
        </w:tabs>
        <w:ind w:left="360"/>
        <w:jc w:val="both"/>
        <w:rPr>
          <w:rFonts w:ascii="Arial" w:hAnsi="Arial" w:cs="Arial"/>
        </w:rPr>
      </w:pPr>
      <w:r w:rsidRPr="00C2781D">
        <w:rPr>
          <w:rFonts w:ascii="Arial" w:hAnsi="Arial" w:cs="Arial"/>
        </w:rPr>
        <w:t>členov Bankovej rady Národnej banky Slovenska.</w:t>
      </w:r>
    </w:p>
    <w:p w:rsidR="00857BE5" w:rsidRPr="00C2781D" w:rsidP="00857BE5">
      <w:pPr>
        <w:rPr>
          <w:rFonts w:ascii="Arial" w:hAnsi="Arial" w:cs="Arial"/>
          <w:color w:val="808080"/>
          <w:sz w:val="18"/>
          <w:szCs w:val="18"/>
        </w:rPr>
      </w:pPr>
    </w:p>
    <w:p w:rsidR="00857BE5" w:rsidRPr="00C2781D" w:rsidP="00857BE5">
      <w:pPr>
        <w:numPr>
          <w:ilvl w:val="0"/>
          <w:numId w:val="2"/>
        </w:numPr>
        <w:jc w:val="both"/>
        <w:rPr>
          <w:rFonts w:ascii="Arial" w:hAnsi="Arial" w:cs="Arial"/>
        </w:rPr>
      </w:pPr>
      <w:r w:rsidRPr="00C2781D">
        <w:rPr>
          <w:rFonts w:ascii="Arial" w:hAnsi="Arial" w:cs="Arial"/>
        </w:rPr>
        <w:t>Pôsobno</w:t>
      </w:r>
      <w:r w:rsidRPr="00C2781D">
        <w:rPr>
          <w:rFonts w:ascii="Arial" w:hAnsi="Arial" w:cs="Arial"/>
        </w:rPr>
        <w:t>sti Špeciálneho súdu podliehajú aj iné osoby pre</w:t>
      </w:r>
    </w:p>
    <w:p w:rsidR="00857BE5" w:rsidRPr="00C2781D" w:rsidP="00857BE5">
      <w:pPr>
        <w:rPr>
          <w:rFonts w:ascii="Arial" w:hAnsi="Arial" w:cs="Arial"/>
          <w:color w:val="808080"/>
          <w:sz w:val="18"/>
          <w:szCs w:val="18"/>
        </w:rPr>
      </w:pPr>
    </w:p>
    <w:p w:rsidR="00857BE5" w:rsidRPr="00C2781D" w:rsidP="00857BE5">
      <w:pPr>
        <w:numPr>
          <w:ilvl w:val="1"/>
          <w:numId w:val="2"/>
        </w:numPr>
        <w:tabs>
          <w:tab w:val="left" w:pos="180"/>
          <w:tab w:val="clear" w:pos="1788"/>
        </w:tabs>
        <w:ind w:left="360"/>
        <w:jc w:val="both"/>
        <w:rPr>
          <w:rFonts w:ascii="Arial" w:hAnsi="Arial" w:cs="Arial"/>
        </w:rPr>
      </w:pPr>
      <w:r w:rsidRPr="00C2781D">
        <w:rPr>
          <w:rFonts w:ascii="Arial" w:hAnsi="Arial" w:cs="Arial"/>
        </w:rPr>
        <w:t>trestný čin prijímania úplatku, trestný čin podplácania a trestný čin nepriamej korupcie,</w:t>
      </w:r>
    </w:p>
    <w:p w:rsidR="00857BE5" w:rsidRPr="00C2781D" w:rsidP="00857BE5">
      <w:pPr>
        <w:numPr>
          <w:ilvl w:val="1"/>
          <w:numId w:val="2"/>
        </w:numPr>
        <w:tabs>
          <w:tab w:val="left" w:pos="180"/>
          <w:tab w:val="clear" w:pos="1788"/>
        </w:tabs>
        <w:ind w:left="360"/>
        <w:jc w:val="both"/>
        <w:rPr>
          <w:rFonts w:ascii="Arial" w:hAnsi="Arial" w:cs="Arial"/>
        </w:rPr>
      </w:pPr>
      <w:r w:rsidRPr="00C2781D">
        <w:rPr>
          <w:rFonts w:ascii="Arial" w:hAnsi="Arial" w:cs="Arial"/>
        </w:rPr>
        <w:t>trestný čin založenia, zosnovania a podporovania zločineckej skupiny a trestný čin založenia, zosnovania a podporova</w:t>
      </w:r>
      <w:r w:rsidRPr="00C2781D">
        <w:rPr>
          <w:rFonts w:ascii="Arial" w:hAnsi="Arial" w:cs="Arial"/>
        </w:rPr>
        <w:t>nia teroristickej skupiny,</w:t>
      </w:r>
    </w:p>
    <w:p w:rsidR="00857BE5" w:rsidRPr="00C2781D" w:rsidP="00857BE5">
      <w:pPr>
        <w:numPr>
          <w:ilvl w:val="1"/>
          <w:numId w:val="2"/>
        </w:numPr>
        <w:tabs>
          <w:tab w:val="left" w:pos="180"/>
          <w:tab w:val="clear" w:pos="1788"/>
        </w:tabs>
        <w:ind w:left="360"/>
        <w:jc w:val="both"/>
        <w:rPr>
          <w:rFonts w:ascii="Arial" w:hAnsi="Arial" w:cs="Arial"/>
        </w:rPr>
      </w:pPr>
      <w:r w:rsidRPr="00C2781D">
        <w:rPr>
          <w:rFonts w:ascii="Arial" w:hAnsi="Arial" w:cs="Arial"/>
        </w:rPr>
        <w:t>obzvlášť závažné zločiny spáchané zločineckou skupinou alebo teroristickou skupinou,</w:t>
      </w:r>
    </w:p>
    <w:p w:rsidR="00857BE5" w:rsidRPr="00C2781D" w:rsidP="00857BE5">
      <w:pPr>
        <w:numPr>
          <w:ilvl w:val="1"/>
          <w:numId w:val="2"/>
        </w:numPr>
        <w:tabs>
          <w:tab w:val="left" w:pos="180"/>
          <w:tab w:val="clear" w:pos="1788"/>
        </w:tabs>
        <w:ind w:left="360"/>
        <w:jc w:val="both"/>
        <w:rPr>
          <w:rFonts w:ascii="Arial" w:hAnsi="Arial" w:cs="Arial"/>
        </w:rPr>
      </w:pPr>
      <w:r w:rsidRPr="00C2781D">
        <w:rPr>
          <w:rFonts w:ascii="Arial" w:hAnsi="Arial" w:cs="Arial"/>
        </w:rPr>
        <w:t>trestné činy proti majetku podľa štvrtej hlavy osobitnej časti Trestného zákona alebo trestné činy hospodárske podľa piatej hlavy osobitnej časti Trestného zákona, ak takým trestným činom bola spôsobená škoda alebo získaný prospech dosahujúci najmenej dvadsaťpäťtisícnásobok malej škody podľa Trestného zákona, alebo ak taký čin bol spáchaný v rozsahu dosahujúcom výšku najmenej dvadsaťpäťtisícnásobku malej škody podľa Trestného zákona,</w:t>
      </w:r>
    </w:p>
    <w:p w:rsidR="00857BE5" w:rsidRPr="00C2781D" w:rsidP="00857BE5">
      <w:pPr>
        <w:numPr>
          <w:ilvl w:val="1"/>
          <w:numId w:val="2"/>
        </w:numPr>
        <w:tabs>
          <w:tab w:val="left" w:pos="180"/>
          <w:tab w:val="clear" w:pos="1788"/>
        </w:tabs>
        <w:ind w:left="360"/>
        <w:jc w:val="both"/>
        <w:rPr>
          <w:rFonts w:ascii="Arial" w:hAnsi="Arial" w:cs="Arial"/>
        </w:rPr>
      </w:pPr>
      <w:r w:rsidRPr="00C2781D">
        <w:rPr>
          <w:rFonts w:ascii="Arial" w:hAnsi="Arial" w:cs="Arial"/>
        </w:rPr>
        <w:t>trestný čin poškodzovania finančných záujmov Európskych spoločenstiev,</w:t>
      </w:r>
    </w:p>
    <w:p w:rsidR="00857BE5" w:rsidRPr="00C2781D" w:rsidP="00857BE5">
      <w:pPr>
        <w:numPr>
          <w:ilvl w:val="1"/>
          <w:numId w:val="2"/>
        </w:numPr>
        <w:tabs>
          <w:tab w:val="left" w:pos="360"/>
          <w:tab w:val="clear" w:pos="1788"/>
        </w:tabs>
        <w:ind w:left="360"/>
        <w:jc w:val="both"/>
        <w:rPr>
          <w:rFonts w:ascii="Arial" w:hAnsi="Arial" w:cs="Arial"/>
        </w:rPr>
      </w:pPr>
      <w:r w:rsidRPr="00C2781D">
        <w:rPr>
          <w:rFonts w:ascii="Arial" w:hAnsi="Arial" w:cs="Arial"/>
        </w:rPr>
        <w:t>trestný čin úkladnej vraždy,</w:t>
      </w:r>
    </w:p>
    <w:p w:rsidR="00857BE5" w:rsidRPr="00C2781D" w:rsidP="00857BE5">
      <w:pPr>
        <w:numPr>
          <w:ilvl w:val="1"/>
          <w:numId w:val="2"/>
        </w:numPr>
        <w:tabs>
          <w:tab w:val="left" w:pos="180"/>
          <w:tab w:val="clear" w:pos="1788"/>
        </w:tabs>
        <w:ind w:left="360"/>
        <w:jc w:val="both"/>
        <w:rPr>
          <w:rFonts w:ascii="Arial" w:hAnsi="Arial" w:cs="Arial"/>
        </w:rPr>
      </w:pPr>
      <w:r w:rsidRPr="00C2781D">
        <w:rPr>
          <w:rFonts w:ascii="Arial" w:hAnsi="Arial" w:cs="Arial"/>
        </w:rPr>
        <w:t>trestný čin falšovania, pozmeňovania a neoprávnenej výroby peňazí a cenných papierov a trestný čin uvádzania falšovaných, pozmenených a neoprávnene vyrobených peňazí a cenných papierov podľa § 271 ods. 1 Trestného zákona,</w:t>
      </w:r>
    </w:p>
    <w:p w:rsidR="00857BE5" w:rsidRPr="00C2781D" w:rsidP="00857BE5">
      <w:pPr>
        <w:numPr>
          <w:ilvl w:val="1"/>
          <w:numId w:val="2"/>
        </w:numPr>
        <w:tabs>
          <w:tab w:val="left" w:pos="180"/>
          <w:tab w:val="clear" w:pos="1788"/>
        </w:tabs>
        <w:ind w:left="360"/>
        <w:jc w:val="both"/>
        <w:rPr>
          <w:rFonts w:ascii="Arial" w:hAnsi="Arial" w:cs="Arial"/>
        </w:rPr>
      </w:pPr>
      <w:r w:rsidRPr="00C2781D">
        <w:rPr>
          <w:rFonts w:ascii="Arial" w:hAnsi="Arial" w:cs="Arial"/>
        </w:rPr>
        <w:t>trestné činy súvisiace s trestnými činmi uvedenými v písmenách a) až g) ak sú splnené podmienky na spoločné konanie.</w:t>
      </w:r>
    </w:p>
    <w:p w:rsidR="00857BE5" w:rsidRPr="00C2781D" w:rsidP="00857BE5">
      <w:pPr>
        <w:rPr>
          <w:rFonts w:ascii="Arial" w:hAnsi="Arial" w:cs="Arial"/>
          <w:color w:val="808080"/>
          <w:sz w:val="18"/>
          <w:szCs w:val="18"/>
        </w:rPr>
      </w:pPr>
    </w:p>
    <w:p w:rsidR="00857BE5" w:rsidRPr="00C2781D" w:rsidP="00857BE5">
      <w:pPr>
        <w:ind w:firstLine="426"/>
        <w:jc w:val="both"/>
        <w:rPr>
          <w:rFonts w:ascii="Arial" w:hAnsi="Arial" w:cs="Arial"/>
        </w:rPr>
      </w:pPr>
      <w:r w:rsidRPr="00C2781D">
        <w:rPr>
          <w:rFonts w:ascii="Arial" w:hAnsi="Arial" w:cs="Arial"/>
        </w:rPr>
        <w:t>(3) Pôsobnosť Špeciálneho súdu podľa odseku 1 sa vzťahuje na trestné činy spáchané za trvania funkcie, ktorá túto pôsobnosť zakladá, aj keď trestný čin osoby uvedenej v odseku 1 vyšiel najavo až po skončení funkcie, ktorá zakladá pôsobnosť Špeciálneho súdu.“.</w:t>
      </w:r>
    </w:p>
    <w:p w:rsidR="00857BE5" w:rsidRPr="00C2781D" w:rsidP="00857BE5">
      <w:pPr>
        <w:jc w:val="both"/>
        <w:outlineLvl w:val="4"/>
        <w:rPr>
          <w:rFonts w:ascii="Arial" w:hAnsi="Arial" w:cs="Arial"/>
          <w:szCs w:val="28"/>
        </w:rPr>
      </w:pPr>
    </w:p>
    <w:p w:rsidR="00857BE5" w:rsidRPr="00C2781D" w:rsidP="00857BE5">
      <w:pPr>
        <w:jc w:val="both"/>
        <w:outlineLvl w:val="4"/>
        <w:rPr>
          <w:rFonts w:ascii="Arial" w:hAnsi="Arial" w:cs="Arial"/>
          <w:szCs w:val="28"/>
        </w:rPr>
      </w:pPr>
      <w:r w:rsidRPr="00C2781D">
        <w:rPr>
          <w:rFonts w:ascii="Arial" w:hAnsi="Arial" w:cs="Arial"/>
          <w:szCs w:val="28"/>
        </w:rPr>
        <w:t xml:space="preserve">2. Za § 567e sa vkladá § </w:t>
      </w:r>
      <w:smartTag w:uri="urn:schemas-microsoft-com:office:smarttags" w:element="metricconverter">
        <w:smartTagPr>
          <w:attr w:name="ProductID" w:val="567f"/>
        </w:smartTagPr>
        <w:r w:rsidRPr="00C2781D">
          <w:rPr>
            <w:rFonts w:ascii="Arial" w:hAnsi="Arial" w:cs="Arial"/>
            <w:szCs w:val="28"/>
          </w:rPr>
          <w:t>567f</w:t>
        </w:r>
      </w:smartTag>
      <w:r w:rsidRPr="00C2781D">
        <w:rPr>
          <w:rFonts w:ascii="Arial" w:hAnsi="Arial" w:cs="Arial"/>
          <w:szCs w:val="28"/>
        </w:rPr>
        <w:t>, ktorý vrátane nadpisu znie:</w:t>
      </w:r>
    </w:p>
    <w:p w:rsidR="00857BE5" w:rsidRPr="00C2781D" w:rsidP="00857BE5">
      <w:pPr>
        <w:jc w:val="center"/>
        <w:outlineLvl w:val="4"/>
        <w:rPr>
          <w:rFonts w:ascii="Arial" w:hAnsi="Arial" w:cs="Arial"/>
          <w:szCs w:val="28"/>
        </w:rPr>
      </w:pPr>
      <w:r w:rsidRPr="00C2781D">
        <w:rPr>
          <w:rFonts w:ascii="Arial" w:hAnsi="Arial" w:cs="Arial"/>
          <w:szCs w:val="28"/>
        </w:rPr>
        <w:t xml:space="preserve">„§ </w:t>
      </w:r>
      <w:smartTag w:uri="urn:schemas-microsoft-com:office:smarttags" w:element="metricconverter">
        <w:smartTagPr>
          <w:attr w:name="ProductID" w:val="567f"/>
        </w:smartTagPr>
        <w:r w:rsidRPr="00C2781D">
          <w:rPr>
            <w:rFonts w:ascii="Arial" w:hAnsi="Arial" w:cs="Arial"/>
            <w:szCs w:val="28"/>
          </w:rPr>
          <w:t>567f</w:t>
        </w:r>
      </w:smartTag>
    </w:p>
    <w:p w:rsidR="00857BE5" w:rsidRPr="00C2781D" w:rsidP="00857BE5">
      <w:pPr>
        <w:jc w:val="center"/>
        <w:outlineLvl w:val="4"/>
        <w:rPr>
          <w:rFonts w:ascii="Arial" w:hAnsi="Arial" w:cs="Arial"/>
          <w:b/>
          <w:szCs w:val="28"/>
        </w:rPr>
      </w:pPr>
      <w:r w:rsidRPr="00C2781D">
        <w:rPr>
          <w:rFonts w:ascii="Arial" w:hAnsi="Arial" w:cs="Arial"/>
          <w:b/>
          <w:szCs w:val="28"/>
        </w:rPr>
        <w:t xml:space="preserve">Prechodné ustanovenia k úpravám účinným od </w:t>
      </w:r>
      <w:r w:rsidRPr="00C2781D">
        <w:rPr>
          <w:rFonts w:ascii="Arial" w:hAnsi="Arial" w:cs="Arial"/>
          <w:b/>
        </w:rPr>
        <w:t>vyhlásenia nálezu Ústavného súdu Slovenskej republiky  PL.ÚS 17/08 z 20. mája 2009 v Zbierke zákonov Slovenskej republiky</w:t>
      </w:r>
    </w:p>
    <w:p w:rsidR="00857BE5" w:rsidRPr="00C2781D" w:rsidP="00857BE5">
      <w:pPr>
        <w:ind w:left="426" w:hanging="426"/>
        <w:rPr>
          <w:rFonts w:ascii="Arial" w:hAnsi="Arial" w:cs="Arial"/>
        </w:rPr>
      </w:pPr>
    </w:p>
    <w:p w:rsidR="00857BE5" w:rsidRPr="00C2781D" w:rsidP="00857BE5">
      <w:pPr>
        <w:numPr>
          <w:ilvl w:val="0"/>
          <w:numId w:val="3"/>
        </w:numPr>
        <w:tabs>
          <w:tab w:val="left" w:pos="540"/>
        </w:tabs>
        <w:ind w:left="0" w:firstLine="360"/>
        <w:jc w:val="both"/>
        <w:rPr>
          <w:rFonts w:ascii="Arial" w:hAnsi="Arial" w:cs="Arial"/>
        </w:rPr>
      </w:pPr>
      <w:r w:rsidRPr="00C2781D">
        <w:rPr>
          <w:rFonts w:ascii="Arial" w:hAnsi="Arial" w:cs="Arial"/>
        </w:rPr>
        <w:t>Vo veciach, ktoré patria do právomoci Špeciálneho súdu podľa § 14 ods. 2 písm. a), f) až h) a v ktorých bolo začaté trestné stíhanie do vyhlásenia nálezu Ústavného súdu Slovenskej republiky  PL.ÚS 17/08 z 20. mája 2009 v Zbierke zákonov Slovenskej republiky, je na konanie príslušný Úrad špeciálnej prokuratú</w:t>
      </w:r>
      <w:r w:rsidRPr="00C2781D">
        <w:rPr>
          <w:rFonts w:ascii="Arial" w:hAnsi="Arial" w:cs="Arial"/>
        </w:rPr>
        <w:t>ry a Špeciálny súd, ak v odseku 2, nie je ustanovené inak.</w:t>
      </w:r>
    </w:p>
    <w:p w:rsidR="00857BE5" w:rsidRPr="00C2781D" w:rsidP="00857BE5">
      <w:pPr>
        <w:ind w:left="426"/>
        <w:jc w:val="both"/>
        <w:rPr>
          <w:rFonts w:ascii="Arial" w:hAnsi="Arial" w:cs="Arial"/>
        </w:rPr>
      </w:pPr>
    </w:p>
    <w:p w:rsidR="00857BE5" w:rsidRPr="00C2781D" w:rsidP="00857BE5">
      <w:pPr>
        <w:ind w:firstLine="360"/>
        <w:jc w:val="both"/>
        <w:rPr>
          <w:rFonts w:ascii="Arial" w:hAnsi="Arial" w:cs="Arial"/>
        </w:rPr>
      </w:pPr>
      <w:r>
        <w:rPr>
          <w:rFonts w:ascii="Arial" w:hAnsi="Arial" w:cs="Arial"/>
        </w:rPr>
        <w:t>(2)</w:t>
      </w:r>
      <w:r w:rsidRPr="00C2781D">
        <w:rPr>
          <w:rFonts w:ascii="Arial" w:hAnsi="Arial" w:cs="Arial"/>
        </w:rPr>
        <w:t xml:space="preserve"> Konanie vo veciach, ktoré patria do právomoci Špeciálneho súdu podľa § 14 ods. 2 písm. a), f) až h) a v ktorých bola podaná obžaloba a bolo v nich do vyhlásenia nálezu Ústavného súdu Slovenske</w:t>
      </w:r>
      <w:r w:rsidRPr="00C2781D">
        <w:rPr>
          <w:rFonts w:ascii="Arial" w:hAnsi="Arial" w:cs="Arial"/>
        </w:rPr>
        <w:t>j republiky  PL.ÚS 17/08 z 20. mája 2009 v Zbierke zákonov Slovenskej republiky nariadené hlavné pojednávanie, sa dokončí podľa predpisov účinných do vyhlásenia nálezu Ústavného súdu Slovenskej republiky  PL.ÚS 17/08 z 20. mája 2009 v Zbierke zákonov Slove</w:t>
      </w:r>
      <w:r w:rsidRPr="00C2781D">
        <w:rPr>
          <w:rFonts w:ascii="Arial" w:hAnsi="Arial" w:cs="Arial"/>
        </w:rPr>
        <w:t>nskej republiky.“.</w:t>
      </w:r>
    </w:p>
    <w:p w:rsidR="00857BE5" w:rsidRPr="00C2781D" w:rsidP="00857BE5">
      <w:pPr>
        <w:rPr>
          <w:rFonts w:ascii="Arial" w:hAnsi="Arial" w:cs="Arial"/>
        </w:rPr>
      </w:pPr>
    </w:p>
    <w:p w:rsidR="00857BE5" w:rsidRPr="00C2781D" w:rsidP="00857BE5">
      <w:pPr>
        <w:rPr>
          <w:rFonts w:ascii="Arial" w:hAnsi="Arial" w:cs="Arial"/>
        </w:rPr>
      </w:pPr>
    </w:p>
    <w:p w:rsidR="00857BE5" w:rsidRPr="00C2781D" w:rsidP="00857BE5">
      <w:pPr>
        <w:jc w:val="center"/>
        <w:rPr>
          <w:rFonts w:ascii="Arial" w:hAnsi="Arial" w:cs="Arial"/>
          <w:b/>
        </w:rPr>
      </w:pPr>
      <w:r w:rsidRPr="00C2781D">
        <w:rPr>
          <w:rFonts w:ascii="Arial" w:hAnsi="Arial" w:cs="Arial"/>
          <w:b/>
        </w:rPr>
        <w:t>Čl. II</w:t>
      </w:r>
    </w:p>
    <w:p w:rsidR="00857BE5" w:rsidRPr="00C2781D" w:rsidP="00857BE5">
      <w:pPr>
        <w:ind w:firstLine="708"/>
        <w:jc w:val="both"/>
        <w:rPr>
          <w:rFonts w:ascii="Arial" w:hAnsi="Arial" w:cs="Arial"/>
        </w:rPr>
      </w:pPr>
      <w:r w:rsidRPr="00C2781D">
        <w:rPr>
          <w:rFonts w:ascii="Arial" w:hAnsi="Arial" w:cs="Arial"/>
        </w:rPr>
        <w:t>Zákon č. 458/2003 Z. z. o zriadení Špeciálneho súdu a Úradu špeciálnej prokuratúry a o zmene a doplnení niektorých zákonov v znení zákona č. 267/2004 Z. z. sa mení takto:</w:t>
      </w:r>
    </w:p>
    <w:p w:rsidR="00857BE5" w:rsidRPr="00C2781D" w:rsidP="00857BE5">
      <w:pPr>
        <w:jc w:val="both"/>
        <w:rPr>
          <w:rFonts w:ascii="Arial" w:hAnsi="Arial" w:cs="Arial"/>
        </w:rPr>
      </w:pPr>
    </w:p>
    <w:p w:rsidR="00857BE5" w:rsidRPr="00C2781D" w:rsidP="00857BE5">
      <w:pPr>
        <w:jc w:val="both"/>
        <w:rPr>
          <w:rFonts w:ascii="Arial" w:hAnsi="Arial" w:cs="Arial"/>
        </w:rPr>
      </w:pPr>
      <w:r w:rsidRPr="00C2781D">
        <w:rPr>
          <w:rFonts w:ascii="Arial" w:hAnsi="Arial" w:cs="Arial"/>
        </w:rPr>
        <w:tab/>
        <w:t>V čl. I § 1 znie:</w:t>
      </w:r>
    </w:p>
    <w:p w:rsidR="00857BE5" w:rsidRPr="00C2781D" w:rsidP="00857BE5">
      <w:pPr>
        <w:jc w:val="center"/>
        <w:rPr>
          <w:rFonts w:ascii="Arial" w:hAnsi="Arial" w:cs="Arial"/>
        </w:rPr>
      </w:pPr>
      <w:r w:rsidRPr="00C2781D">
        <w:rPr>
          <w:rFonts w:ascii="Arial" w:hAnsi="Arial" w:cs="Arial"/>
        </w:rPr>
        <w:t>„§ 1</w:t>
      </w:r>
    </w:p>
    <w:p w:rsidR="00857BE5" w:rsidRPr="00C2781D" w:rsidP="00857BE5">
      <w:pPr>
        <w:jc w:val="both"/>
        <w:rPr>
          <w:rFonts w:ascii="Arial" w:hAnsi="Arial" w:cs="Arial"/>
        </w:rPr>
      </w:pPr>
      <w:r w:rsidRPr="00C2781D">
        <w:rPr>
          <w:rFonts w:ascii="Arial" w:hAnsi="Arial" w:cs="Arial"/>
        </w:rPr>
        <w:tab/>
        <w:t>Sídlo Špeciálneho súdu, zriaden</w:t>
      </w:r>
      <w:r w:rsidRPr="00C2781D">
        <w:rPr>
          <w:rFonts w:ascii="Arial" w:hAnsi="Arial" w:cs="Arial"/>
        </w:rPr>
        <w:t>ého podľa ústavného zákona o Špeciálnom súde</w:t>
      </w:r>
      <w:r w:rsidRPr="00C2781D">
        <w:rPr>
          <w:rFonts w:ascii="Arial" w:hAnsi="Arial" w:cs="Arial"/>
          <w:vertAlign w:val="superscript"/>
        </w:rPr>
        <w:t>1)</w:t>
      </w:r>
      <w:r w:rsidRPr="00C2781D">
        <w:rPr>
          <w:rFonts w:ascii="Arial" w:hAnsi="Arial" w:cs="Arial"/>
        </w:rPr>
        <w:t xml:space="preserve"> ustanovuje osobitný zákon</w:t>
      </w:r>
      <w:r w:rsidRPr="00C2781D">
        <w:rPr>
          <w:rFonts w:ascii="Arial" w:hAnsi="Arial" w:cs="Arial"/>
          <w:vertAlign w:val="superscript"/>
        </w:rPr>
        <w:t>2)</w:t>
      </w:r>
      <w:r w:rsidRPr="00C2781D">
        <w:rPr>
          <w:rFonts w:ascii="Arial" w:hAnsi="Arial" w:cs="Arial"/>
        </w:rPr>
        <w:t>.“.</w:t>
      </w:r>
    </w:p>
    <w:p w:rsidR="00857BE5" w:rsidRPr="00C2781D" w:rsidP="00857BE5">
      <w:pPr>
        <w:jc w:val="both"/>
        <w:rPr>
          <w:rFonts w:ascii="Arial" w:hAnsi="Arial" w:cs="Arial"/>
        </w:rPr>
      </w:pPr>
    </w:p>
    <w:p w:rsidR="00857BE5" w:rsidRPr="00C2781D" w:rsidP="00857BE5">
      <w:pPr>
        <w:jc w:val="both"/>
        <w:rPr>
          <w:rFonts w:ascii="Arial" w:hAnsi="Arial" w:cs="Arial"/>
        </w:rPr>
      </w:pPr>
      <w:r w:rsidRPr="00C2781D">
        <w:rPr>
          <w:rFonts w:ascii="Arial" w:hAnsi="Arial" w:cs="Arial"/>
        </w:rPr>
        <w:t>Poznámky pod čiarou k odkazom 1 a 2 znejú:</w:t>
      </w:r>
    </w:p>
    <w:p w:rsidR="00857BE5" w:rsidRPr="00C2781D" w:rsidP="00857BE5">
      <w:pPr>
        <w:jc w:val="both"/>
        <w:rPr>
          <w:rFonts w:ascii="Arial" w:hAnsi="Arial" w:cs="Arial"/>
        </w:rPr>
      </w:pPr>
      <w:r w:rsidRPr="00C2781D">
        <w:rPr>
          <w:rFonts w:ascii="Arial" w:hAnsi="Arial" w:cs="Arial"/>
        </w:rPr>
        <w:t>„1) Ústavný zákon č. .../2009 Z. z. o Špeciálnom súde.</w:t>
      </w:r>
    </w:p>
    <w:p w:rsidR="00857BE5" w:rsidRPr="00C2781D" w:rsidP="00857BE5">
      <w:pPr>
        <w:jc w:val="both"/>
        <w:rPr>
          <w:rFonts w:ascii="Arial" w:hAnsi="Arial" w:cs="Arial"/>
        </w:rPr>
      </w:pPr>
      <w:r w:rsidRPr="00C2781D">
        <w:rPr>
          <w:rFonts w:ascii="Arial" w:hAnsi="Arial" w:cs="Arial"/>
        </w:rPr>
        <w:t>2) Zákon č. 371/2004 Z. z. o sídlach a obvodoch súdov Slovenskej republiky a o zmene zákona č. 99/1963 Zb. Občiansky súdny poriadok v znení neskorších predpisov v znení neskorších predpisov.“.</w:t>
      </w:r>
    </w:p>
    <w:p w:rsidR="00857BE5" w:rsidRPr="00C2781D" w:rsidP="00857BE5">
      <w:pPr>
        <w:jc w:val="both"/>
        <w:rPr>
          <w:rFonts w:ascii="Arial" w:hAnsi="Arial" w:cs="Arial"/>
          <w:b/>
        </w:rPr>
      </w:pPr>
    </w:p>
    <w:p w:rsidR="00857BE5" w:rsidRPr="00C2781D" w:rsidP="00857BE5">
      <w:pPr>
        <w:jc w:val="both"/>
        <w:rPr>
          <w:rFonts w:ascii="Arial" w:hAnsi="Arial" w:cs="Arial"/>
          <w:b/>
        </w:rPr>
      </w:pPr>
    </w:p>
    <w:p w:rsidR="00857BE5" w:rsidRPr="00C2781D" w:rsidP="00857BE5">
      <w:pPr>
        <w:jc w:val="both"/>
        <w:rPr>
          <w:rFonts w:ascii="Arial" w:hAnsi="Arial" w:cs="Arial"/>
          <w:b/>
        </w:rPr>
      </w:pPr>
    </w:p>
    <w:p w:rsidR="00857BE5" w:rsidRPr="00C2781D" w:rsidP="00857BE5">
      <w:pPr>
        <w:jc w:val="center"/>
        <w:rPr>
          <w:rFonts w:ascii="Arial" w:hAnsi="Arial" w:cs="Arial"/>
          <w:b/>
        </w:rPr>
      </w:pPr>
    </w:p>
    <w:p w:rsidR="00857BE5" w:rsidRPr="00C2781D" w:rsidP="00857BE5">
      <w:pPr>
        <w:jc w:val="center"/>
        <w:rPr>
          <w:rFonts w:ascii="Arial" w:hAnsi="Arial" w:cs="Arial"/>
          <w:b/>
        </w:rPr>
      </w:pPr>
      <w:r w:rsidRPr="00C2781D">
        <w:rPr>
          <w:rFonts w:ascii="Arial" w:hAnsi="Arial" w:cs="Arial"/>
          <w:b/>
        </w:rPr>
        <w:t>Čl. III</w:t>
      </w:r>
    </w:p>
    <w:p w:rsidR="00857BE5" w:rsidRPr="00C2781D" w:rsidP="00857BE5">
      <w:pPr>
        <w:jc w:val="both"/>
        <w:rPr>
          <w:rFonts w:ascii="Arial" w:hAnsi="Arial" w:cs="Arial"/>
        </w:rPr>
      </w:pPr>
      <w:r w:rsidRPr="00C2781D">
        <w:rPr>
          <w:rFonts w:ascii="Arial" w:hAnsi="Arial" w:cs="Arial"/>
          <w:b/>
        </w:rPr>
        <w:tab/>
      </w:r>
      <w:r w:rsidRPr="00C2781D">
        <w:rPr>
          <w:rFonts w:ascii="Arial" w:hAnsi="Arial" w:cs="Arial"/>
        </w:rPr>
        <w:t>Zákon č. 385/2000 Z. z. o sudcoch a prísediacich a o zmene a doplnení niektorých zákonov v znení zákona č. 185/2002 Z. z., zákona č. 670/2002 Z. z., zákona č. 426/2003 Z. z., zákona č. 458/ 2003 Z. z., zákona č. 462/2003 Z. z., zákona č. 505/2003 Z. z., zákona č. 514/2003 Z. z., zákona č. 548/2003 Z. z., zákona č. 267/2004 Z. z., zákona č. 403/2004 Z. z., zákona č. 530/2004 Z. z., zákona č. 586/2004 Z. z., zákona č. 609/2004 Z. z., zákona č. 757/2004 Z. z., zákona č. 122/2005, zákona č. 622/2005 Z. z., nálezu Ústavného súdu Slovenskej republiky č. 15/2008 Z. z., zákona č. 517/2008 Z. z., zákona č. 520/2008 Z. z. a zákona č. 59/2009 Z. z. sa mení a dopĺňa takto:</w:t>
      </w:r>
    </w:p>
    <w:p w:rsidR="00857BE5" w:rsidRPr="00C2781D" w:rsidP="00857BE5">
      <w:pPr>
        <w:rPr>
          <w:rFonts w:ascii="Arial" w:hAnsi="Arial" w:cs="Arial"/>
        </w:rPr>
      </w:pPr>
    </w:p>
    <w:p w:rsidR="00857BE5" w:rsidRPr="00C2781D" w:rsidP="00857BE5">
      <w:pPr>
        <w:numPr>
          <w:ilvl w:val="0"/>
          <w:numId w:val="4"/>
        </w:numPr>
        <w:ind w:left="0" w:firstLine="0"/>
        <w:rPr>
          <w:rFonts w:ascii="Arial" w:hAnsi="Arial" w:cs="Arial"/>
        </w:rPr>
      </w:pPr>
      <w:r w:rsidRPr="00C2781D">
        <w:rPr>
          <w:rFonts w:ascii="Arial" w:hAnsi="Arial" w:cs="Arial"/>
        </w:rPr>
        <w:t>V § 12 odsek 2 znie:</w:t>
      </w:r>
    </w:p>
    <w:p w:rsidR="00857BE5" w:rsidRPr="00C2781D" w:rsidP="00857BE5">
      <w:pPr>
        <w:jc w:val="both"/>
        <w:rPr>
          <w:rFonts w:ascii="Arial" w:hAnsi="Arial" w:cs="Arial"/>
        </w:rPr>
      </w:pPr>
      <w:r w:rsidRPr="00C2781D">
        <w:rPr>
          <w:rFonts w:ascii="Arial" w:hAnsi="Arial" w:cs="Arial"/>
        </w:rPr>
        <w:t>„(2) Na Špeciálny súd možno dočasne prideliť len sudcu, ktorý je podľa osvedčenia Národného bezpečnostného úradu podľa osobitného zákona</w:t>
      </w:r>
      <w:r w:rsidRPr="00C2781D">
        <w:rPr>
          <w:rFonts w:ascii="Arial" w:hAnsi="Arial" w:cs="Arial"/>
          <w:vertAlign w:val="superscript"/>
        </w:rPr>
        <w:t>5a</w:t>
      </w:r>
      <w:r w:rsidRPr="00C2781D">
        <w:rPr>
          <w:rFonts w:ascii="Arial" w:hAnsi="Arial" w:cs="Arial"/>
        </w:rPr>
        <w:t>) oprávnený oboznamovať sa s utajovanými skutočnosťami stupňa utajenia „Prísne tajné“; táto podmienka sa vzťahuje rovnako na sudcu preloženého na Špeciálny súd, ako aj na sudcu, ktorý rozhoduje o opravnom prostriedku proti rozhodnutiu Špeciálneho súdu.“.</w:t>
      </w:r>
    </w:p>
    <w:p w:rsidR="00857BE5" w:rsidRPr="00C2781D" w:rsidP="00857BE5">
      <w:pPr>
        <w:jc w:val="both"/>
        <w:rPr>
          <w:rFonts w:ascii="Arial" w:hAnsi="Arial" w:cs="Arial"/>
        </w:rPr>
      </w:pPr>
    </w:p>
    <w:p w:rsidR="00857BE5" w:rsidRPr="00C2781D" w:rsidP="00857BE5">
      <w:pPr>
        <w:numPr>
          <w:ilvl w:val="0"/>
          <w:numId w:val="4"/>
        </w:numPr>
        <w:ind w:left="0" w:firstLine="0"/>
        <w:jc w:val="both"/>
        <w:rPr>
          <w:rFonts w:ascii="Arial" w:hAnsi="Arial" w:cs="Arial"/>
        </w:rPr>
      </w:pPr>
      <w:r w:rsidRPr="00C2781D">
        <w:rPr>
          <w:rFonts w:ascii="Arial" w:hAnsi="Arial" w:cs="Arial"/>
        </w:rPr>
        <w:t>V § 14 odsek 2 znie:</w:t>
      </w:r>
    </w:p>
    <w:p w:rsidR="00857BE5" w:rsidRPr="00C2781D" w:rsidP="00857BE5">
      <w:pPr>
        <w:jc w:val="both"/>
        <w:rPr>
          <w:rFonts w:ascii="Arial" w:hAnsi="Arial" w:cs="Arial"/>
        </w:rPr>
      </w:pPr>
      <w:r w:rsidRPr="00C2781D">
        <w:rPr>
          <w:rFonts w:ascii="Arial" w:hAnsi="Arial" w:cs="Arial"/>
        </w:rPr>
        <w:t xml:space="preserve">„(2) Na krajský súd možno preložiť len sudcu, ktorý dovŕšil vek aspoň 35 rokov. Na Špeciálny súd možno preložiť len sudcu, ktorý dovŕšil vek aspoň 35 rokov a spĺňa podmienku podľa </w:t>
      </w:r>
      <w:hyperlink r:id="rId4" w:history="1">
        <w:r w:rsidRPr="00C2781D">
          <w:rPr>
            <w:rFonts w:ascii="Arial" w:hAnsi="Arial" w:cs="Arial"/>
            <w:bCs/>
          </w:rPr>
          <w:t>§ 12 ods. 2</w:t>
        </w:r>
      </w:hyperlink>
      <w:r w:rsidRPr="00C2781D">
        <w:rPr>
          <w:rFonts w:ascii="Arial" w:hAnsi="Arial" w:cs="Arial"/>
        </w:rPr>
        <w:t>. Na Najvyšší súd Slovenskej republiky (ďalej len „najvyšší súd“) možno preložiť len sudcu, ktorý dovŕšil vek aspoň 40 rokov.“.</w:t>
      </w:r>
    </w:p>
    <w:p w:rsidR="00857BE5" w:rsidRPr="00C2781D" w:rsidP="00857BE5">
      <w:pPr>
        <w:jc w:val="both"/>
        <w:rPr>
          <w:rFonts w:ascii="Arial" w:hAnsi="Arial" w:cs="Arial"/>
        </w:rPr>
      </w:pPr>
    </w:p>
    <w:p w:rsidR="00857BE5" w:rsidRPr="00C2781D" w:rsidP="00857BE5">
      <w:pPr>
        <w:numPr>
          <w:ilvl w:val="0"/>
          <w:numId w:val="4"/>
        </w:numPr>
        <w:ind w:left="0" w:firstLine="0"/>
        <w:jc w:val="both"/>
        <w:rPr>
          <w:rFonts w:ascii="Arial" w:hAnsi="Arial" w:cs="Arial"/>
        </w:rPr>
      </w:pPr>
      <w:r w:rsidRPr="00C2781D">
        <w:rPr>
          <w:rFonts w:ascii="Arial" w:hAnsi="Arial" w:cs="Arial"/>
        </w:rPr>
        <w:t>V § 69  odsek 2 znie:</w:t>
      </w:r>
    </w:p>
    <w:p w:rsidR="00857BE5" w:rsidRPr="00C2781D" w:rsidP="00857BE5">
      <w:pPr>
        <w:jc w:val="both"/>
        <w:rPr>
          <w:rFonts w:ascii="Arial" w:hAnsi="Arial" w:cs="Arial"/>
        </w:rPr>
      </w:pPr>
      <w:r w:rsidRPr="00C2781D">
        <w:rPr>
          <w:rFonts w:ascii="Arial" w:hAnsi="Arial" w:cs="Arial"/>
        </w:rPr>
        <w:t>„(2) Funkčný príplatok za výkon funkcie patrí sudcovi Špeciálneho súdu a sudcovi najvyššieho súdu, ktorý rozhoduje o opravných prostriedkoch vo veciach, na ktoré je v prvom stupni príslušný Špeciálny súd, mesačne v sume rovnajúcej sa dvojnásobku  priemernej nominálnej mesačnej mzdy zamestnanca v hospodárstve Slovenskej republiky za predchádzajúci kalendárny rok.“.</w:t>
      </w:r>
    </w:p>
    <w:p w:rsidR="00857BE5" w:rsidRPr="00C2781D" w:rsidP="00857BE5">
      <w:pPr>
        <w:rPr>
          <w:rFonts w:ascii="Arial" w:hAnsi="Arial" w:cs="Arial"/>
        </w:rPr>
      </w:pPr>
    </w:p>
    <w:p w:rsidR="00857BE5" w:rsidRPr="00C2781D" w:rsidP="00857BE5">
      <w:pPr>
        <w:numPr>
          <w:ilvl w:val="0"/>
          <w:numId w:val="4"/>
        </w:numPr>
        <w:ind w:left="0" w:firstLine="0"/>
        <w:rPr>
          <w:rFonts w:ascii="Arial" w:hAnsi="Arial" w:cs="Arial"/>
        </w:rPr>
      </w:pPr>
      <w:r w:rsidRPr="00C2781D">
        <w:rPr>
          <w:rFonts w:ascii="Arial" w:hAnsi="Arial" w:cs="Arial"/>
        </w:rPr>
        <w:t xml:space="preserve"> Nad označenie § 150 sa vkladá nadpis „Spoločné ustanovenia“ a pod § 150 sa nadpis vypúšťa.</w:t>
      </w:r>
    </w:p>
    <w:p w:rsidR="00857BE5" w:rsidRPr="00C2781D" w:rsidP="00857BE5">
      <w:pPr>
        <w:rPr>
          <w:rFonts w:ascii="Arial" w:hAnsi="Arial" w:cs="Arial"/>
        </w:rPr>
      </w:pPr>
    </w:p>
    <w:p w:rsidR="00857BE5" w:rsidRPr="00C2781D" w:rsidP="00857BE5">
      <w:pPr>
        <w:numPr>
          <w:ilvl w:val="0"/>
          <w:numId w:val="4"/>
        </w:numPr>
        <w:ind w:left="0" w:firstLine="0"/>
        <w:rPr>
          <w:rFonts w:ascii="Arial" w:hAnsi="Arial" w:cs="Arial"/>
        </w:rPr>
      </w:pPr>
      <w:r w:rsidRPr="00C2781D">
        <w:rPr>
          <w:rFonts w:ascii="Arial" w:hAnsi="Arial" w:cs="Arial"/>
        </w:rPr>
        <w:t>§ 150a znie:</w:t>
      </w:r>
    </w:p>
    <w:p w:rsidR="00857BE5" w:rsidRPr="00C2781D" w:rsidP="00857BE5">
      <w:pPr>
        <w:jc w:val="center"/>
        <w:rPr>
          <w:rFonts w:ascii="Arial" w:hAnsi="Arial" w:cs="Arial"/>
        </w:rPr>
      </w:pPr>
      <w:r w:rsidRPr="00C2781D">
        <w:rPr>
          <w:rFonts w:ascii="Arial" w:hAnsi="Arial" w:cs="Arial"/>
        </w:rPr>
        <w:t>„§ 150a</w:t>
      </w:r>
      <w:bookmarkStart w:id="0" w:name="f_4417607"/>
      <w:bookmarkEnd w:id="0"/>
    </w:p>
    <w:p w:rsidR="00857BE5" w:rsidRPr="00C2781D" w:rsidP="00857BE5">
      <w:pPr>
        <w:numPr>
          <w:ilvl w:val="0"/>
          <w:numId w:val="5"/>
        </w:numPr>
        <w:ind w:left="0" w:firstLine="0"/>
        <w:jc w:val="both"/>
        <w:rPr>
          <w:rFonts w:ascii="Arial" w:hAnsi="Arial" w:cs="Arial"/>
        </w:rPr>
      </w:pPr>
      <w:r w:rsidRPr="00C2781D">
        <w:rPr>
          <w:rFonts w:ascii="Arial" w:hAnsi="Arial" w:cs="Arial"/>
        </w:rPr>
        <w:t>Ak je sudca pridelený na Špeciálny súd dňom vymenovania, súdna rada zároveň na návrh ministra s predchádzajúcim súhlasom sudcu určí súd, na ktorý bude preložený, ak nastanú okolnosti uvedené v odseku 2</w:t>
      </w:r>
      <w:bookmarkStart w:id="1" w:name="f_4417608"/>
      <w:bookmarkEnd w:id="1"/>
      <w:r w:rsidRPr="00C2781D">
        <w:rPr>
          <w:rFonts w:ascii="Arial" w:hAnsi="Arial" w:cs="Arial"/>
        </w:rPr>
        <w:t>.</w:t>
      </w:r>
    </w:p>
    <w:p w:rsidR="00857BE5" w:rsidRPr="00C2781D" w:rsidP="00857BE5">
      <w:pPr>
        <w:jc w:val="both"/>
        <w:rPr>
          <w:rFonts w:ascii="Arial" w:hAnsi="Arial" w:cs="Arial"/>
        </w:rPr>
      </w:pPr>
    </w:p>
    <w:p w:rsidR="00857BE5" w:rsidRPr="00C2781D" w:rsidP="00857BE5">
      <w:pPr>
        <w:jc w:val="both"/>
        <w:rPr>
          <w:rFonts w:ascii="Arial" w:hAnsi="Arial" w:cs="Arial"/>
        </w:rPr>
      </w:pPr>
      <w:r w:rsidRPr="00C2781D">
        <w:rPr>
          <w:rFonts w:ascii="Arial" w:hAnsi="Arial" w:cs="Arial"/>
        </w:rPr>
        <w:t xml:space="preserve">(2) </w:t>
      </w:r>
      <w:bookmarkStart w:id="2" w:name="f_4417609"/>
      <w:bookmarkEnd w:id="2"/>
      <w:r w:rsidRPr="00C2781D">
        <w:rPr>
          <w:rFonts w:ascii="Arial" w:hAnsi="Arial" w:cs="Arial"/>
        </w:rPr>
        <w:t>Sudcu Špeciálneho súdu, ktorý zo závažných osobných alebo rodinných dôvodov požiada o preloženie na súd, na ktorom vykonával funkciu sudcu pred jeho preložením na Špeciálny súd preloží súdna rada s jeho súhlasom na súd, na ktorom vykonával funkciu sudcu pred jeho preložením na Špeciálny súd. Ak bol sudca pridelený na Špeciálny súd dňom vymenovania, súdna rada ho s jeho súhlasom preloží na súd určený podľa odseku 1. Ak sudca nedá súhlas na preloženie, výkon funkcie sudcu sa prerušuje. Po prerušení sa sudca ujme výkonu funkcie sudcu na súde, na ktorom vykonával funkciu sudcu pred svojím preložením na Špeciálny súd; ak bol sudca pridelený na Špeciálny súd dňom vymenovania, ujme sa výkonu funkcie sudcu na súde určenom podľa odseku 1.</w:t>
      </w:r>
      <w:bookmarkStart w:id="3" w:name="f_4740678"/>
      <w:bookmarkEnd w:id="3"/>
      <w:r w:rsidRPr="00C2781D">
        <w:rPr>
          <w:rFonts w:ascii="Arial" w:hAnsi="Arial" w:cs="Arial"/>
        </w:rPr>
        <w:t>“.</w:t>
      </w:r>
    </w:p>
    <w:p w:rsidR="00857BE5" w:rsidRPr="00C2781D" w:rsidP="00857BE5">
      <w:pPr>
        <w:jc w:val="both"/>
        <w:rPr>
          <w:rFonts w:ascii="Arial" w:hAnsi="Arial" w:cs="Arial"/>
        </w:rPr>
      </w:pPr>
    </w:p>
    <w:p w:rsidR="00857BE5" w:rsidRPr="00C2781D" w:rsidP="00857BE5">
      <w:pPr>
        <w:jc w:val="both"/>
        <w:rPr>
          <w:rFonts w:ascii="Arial" w:hAnsi="Arial" w:cs="Arial"/>
        </w:rPr>
      </w:pPr>
    </w:p>
    <w:p w:rsidR="00857BE5" w:rsidRPr="00C2781D" w:rsidP="00857BE5">
      <w:pPr>
        <w:jc w:val="center"/>
        <w:rPr>
          <w:rFonts w:ascii="Arial" w:hAnsi="Arial" w:cs="Arial"/>
          <w:b/>
        </w:rPr>
      </w:pPr>
      <w:r w:rsidRPr="00C2781D">
        <w:rPr>
          <w:rFonts w:ascii="Arial" w:hAnsi="Arial" w:cs="Arial"/>
          <w:b/>
        </w:rPr>
        <w:t>Čl. IV</w:t>
      </w:r>
    </w:p>
    <w:p w:rsidR="00857BE5" w:rsidRPr="00C2781D" w:rsidP="00857BE5">
      <w:pPr>
        <w:ind w:firstLine="708"/>
        <w:jc w:val="both"/>
        <w:rPr>
          <w:rFonts w:ascii="Arial" w:hAnsi="Arial" w:cs="Arial"/>
        </w:rPr>
      </w:pPr>
      <w:r w:rsidRPr="00C2781D">
        <w:rPr>
          <w:rFonts w:ascii="Arial" w:hAnsi="Arial" w:cs="Arial"/>
        </w:rPr>
        <w:t xml:space="preserve">Zákon č. 215/2004 Z. z. o ochrane utajovaných skutočností v znení zákona č. </w:t>
      </w:r>
      <w:r w:rsidRPr="00C2781D">
        <w:rPr>
          <w:rStyle w:val="bonus"/>
          <w:rFonts w:ascii="Arial" w:hAnsi="Arial" w:cs="Arial"/>
        </w:rPr>
        <w:t>581/2004 Z. z.</w:t>
      </w:r>
      <w:r w:rsidRPr="00C2781D">
        <w:rPr>
          <w:rFonts w:ascii="Arial" w:hAnsi="Arial" w:cs="Arial"/>
        </w:rPr>
        <w:t xml:space="preserve">, zákona č. </w:t>
      </w:r>
      <w:r w:rsidRPr="00C2781D">
        <w:rPr>
          <w:rStyle w:val="bonus"/>
          <w:rFonts w:ascii="Arial" w:hAnsi="Arial" w:cs="Arial"/>
        </w:rPr>
        <w:t>656/2004 Z. z.</w:t>
      </w:r>
      <w:r w:rsidRPr="00C2781D">
        <w:rPr>
          <w:rFonts w:ascii="Arial" w:hAnsi="Arial" w:cs="Arial"/>
        </w:rPr>
        <w:t xml:space="preserve">, zákona č. </w:t>
      </w:r>
      <w:r w:rsidRPr="00C2781D">
        <w:rPr>
          <w:rStyle w:val="bonus"/>
          <w:rFonts w:ascii="Arial" w:hAnsi="Arial" w:cs="Arial"/>
        </w:rPr>
        <w:t>538/2005 Z. z.</w:t>
      </w:r>
      <w:r w:rsidRPr="00C2781D">
        <w:rPr>
          <w:rFonts w:ascii="Arial" w:hAnsi="Arial" w:cs="Arial"/>
        </w:rPr>
        <w:t xml:space="preserve">, zákona č. 638/2005 Z. z., zákona č. </w:t>
      </w:r>
      <w:r w:rsidRPr="00C2781D">
        <w:rPr>
          <w:rStyle w:val="bonus"/>
          <w:rFonts w:ascii="Arial" w:hAnsi="Arial" w:cs="Arial"/>
        </w:rPr>
        <w:t>124/2006 Z. z.</w:t>
      </w:r>
      <w:r w:rsidRPr="00C2781D">
        <w:rPr>
          <w:rFonts w:ascii="Arial" w:hAnsi="Arial" w:cs="Arial"/>
        </w:rPr>
        <w:t xml:space="preserve">, zákoan č. </w:t>
      </w:r>
      <w:r w:rsidRPr="00C2781D">
        <w:rPr>
          <w:rStyle w:val="bonus"/>
          <w:rFonts w:ascii="Arial" w:hAnsi="Arial" w:cs="Arial"/>
        </w:rPr>
        <w:t>125/2006 Z. z.</w:t>
      </w:r>
      <w:r w:rsidRPr="00C2781D">
        <w:rPr>
          <w:rFonts w:ascii="Arial" w:hAnsi="Arial" w:cs="Arial"/>
        </w:rPr>
        <w:t xml:space="preserve">, zákona č. </w:t>
      </w:r>
      <w:r w:rsidRPr="00C2781D">
        <w:rPr>
          <w:rStyle w:val="bonus"/>
          <w:rFonts w:ascii="Arial" w:hAnsi="Arial" w:cs="Arial"/>
        </w:rPr>
        <w:t>126/2006 Z. z.</w:t>
      </w:r>
      <w:r w:rsidRPr="00C2781D">
        <w:rPr>
          <w:rFonts w:ascii="Arial" w:hAnsi="Arial" w:cs="Arial"/>
        </w:rPr>
        <w:t xml:space="preserve">, zákona č.  </w:t>
      </w:r>
      <w:r w:rsidRPr="00C2781D">
        <w:rPr>
          <w:rStyle w:val="bonus"/>
          <w:rFonts w:ascii="Arial" w:hAnsi="Arial" w:cs="Arial"/>
        </w:rPr>
        <w:t>224/2006 Z. z.</w:t>
      </w:r>
      <w:r w:rsidRPr="00C2781D">
        <w:rPr>
          <w:rFonts w:ascii="Arial" w:hAnsi="Arial" w:cs="Arial"/>
        </w:rPr>
        <w:t xml:space="preserve">, zákoan č. 255/2006 Z. z., zákona č. 330/2007 Z. z., zákona č. </w:t>
      </w:r>
      <w:r w:rsidRPr="00C2781D">
        <w:rPr>
          <w:rStyle w:val="bonus"/>
          <w:rFonts w:ascii="Arial" w:hAnsi="Arial" w:cs="Arial"/>
        </w:rPr>
        <w:t>647/2007 Z. z.</w:t>
      </w:r>
      <w:r w:rsidRPr="00C2781D">
        <w:rPr>
          <w:rFonts w:ascii="Arial" w:hAnsi="Arial" w:cs="Arial"/>
        </w:rPr>
        <w:t xml:space="preserve"> a zákona č. 668/2007 Z. z.  sa mení takto:</w:t>
      </w:r>
    </w:p>
    <w:p w:rsidR="00857BE5" w:rsidRPr="00C2781D" w:rsidP="00857BE5">
      <w:pPr>
        <w:ind w:firstLine="708"/>
        <w:rPr>
          <w:rFonts w:ascii="Arial" w:hAnsi="Arial" w:cs="Arial"/>
          <w:b/>
        </w:rPr>
      </w:pPr>
    </w:p>
    <w:p w:rsidR="00857BE5" w:rsidRPr="00C2781D" w:rsidP="00857BE5">
      <w:pPr>
        <w:ind w:firstLine="708"/>
        <w:rPr>
          <w:rFonts w:ascii="Arial" w:hAnsi="Arial" w:cs="Arial"/>
        </w:rPr>
      </w:pPr>
      <w:r w:rsidRPr="00C2781D">
        <w:rPr>
          <w:rFonts w:ascii="Arial" w:hAnsi="Arial" w:cs="Arial"/>
        </w:rPr>
        <w:t>V § 34 ods. 1 písm. f) sa vypúšťajú slová „okrem sudcu Špeciálneho súdu“.</w:t>
      </w:r>
    </w:p>
    <w:p w:rsidR="00857BE5" w:rsidRPr="00C2781D" w:rsidP="00857BE5">
      <w:pPr>
        <w:rPr>
          <w:rFonts w:ascii="Arial" w:hAnsi="Arial" w:cs="Arial"/>
          <w:b/>
        </w:rPr>
      </w:pPr>
    </w:p>
    <w:p w:rsidR="00857BE5" w:rsidRPr="00C2781D" w:rsidP="00857BE5">
      <w:pPr>
        <w:rPr>
          <w:rFonts w:ascii="Arial" w:hAnsi="Arial" w:cs="Arial"/>
          <w:b/>
        </w:rPr>
      </w:pPr>
    </w:p>
    <w:p w:rsidR="00857BE5" w:rsidRPr="00C2781D" w:rsidP="00857BE5">
      <w:pPr>
        <w:jc w:val="center"/>
        <w:rPr>
          <w:rFonts w:ascii="Arial" w:hAnsi="Arial" w:cs="Arial"/>
          <w:b/>
        </w:rPr>
      </w:pPr>
      <w:r w:rsidRPr="00C2781D">
        <w:rPr>
          <w:rFonts w:ascii="Arial" w:hAnsi="Arial" w:cs="Arial"/>
          <w:b/>
        </w:rPr>
        <w:t>Čl. V</w:t>
      </w:r>
    </w:p>
    <w:p w:rsidR="00857BE5" w:rsidRPr="00C2781D" w:rsidP="00857BE5">
      <w:pPr>
        <w:ind w:firstLine="708"/>
        <w:jc w:val="both"/>
        <w:rPr>
          <w:rFonts w:ascii="Arial" w:hAnsi="Arial" w:cs="Arial"/>
        </w:rPr>
      </w:pPr>
      <w:r w:rsidRPr="00C2781D">
        <w:rPr>
          <w:rFonts w:ascii="Arial" w:hAnsi="Arial" w:cs="Arial"/>
        </w:rPr>
        <w:t xml:space="preserve">Tento zákon nadobúda účinnosť dňom vyhlásenia nálezu Ústavného súdu Slovenskej republiky  PL.ÚS 17/08 z 20. mája 2009 v Zbierke zákonov Slovenskej republiky. </w:t>
      </w:r>
    </w:p>
    <w:p w:rsidR="00857BE5" w:rsidRPr="00C2781D" w:rsidP="00857BE5">
      <w:pPr>
        <w:ind w:firstLine="708"/>
        <w:jc w:val="both"/>
        <w:rPr>
          <w:rFonts w:ascii="Arial" w:hAnsi="Arial" w:cs="Arial"/>
        </w:rPr>
      </w:pPr>
    </w:p>
    <w:p w:rsidR="00857BE5" w:rsidP="00857BE5">
      <w:pPr>
        <w:jc w:val="both"/>
        <w:rPr>
          <w:rFonts w:ascii="Arial" w:hAnsi="Arial" w:cs="Arial"/>
        </w:rPr>
      </w:pPr>
    </w:p>
    <w:p w:rsidR="00857BE5" w:rsidP="00857BE5">
      <w:pPr>
        <w:jc w:val="both"/>
        <w:rPr>
          <w:rFonts w:ascii="Arial" w:hAnsi="Arial" w:cs="Arial"/>
        </w:rPr>
      </w:pPr>
    </w:p>
    <w:p w:rsidR="00857BE5" w:rsidP="00857BE5">
      <w:pPr>
        <w:jc w:val="both"/>
        <w:rPr>
          <w:rFonts w:ascii="Arial" w:hAnsi="Arial" w:cs="Arial"/>
        </w:rPr>
      </w:pPr>
    </w:p>
    <w:p w:rsidR="00857BE5" w:rsidP="00857BE5">
      <w:pPr>
        <w:jc w:val="both"/>
        <w:rPr>
          <w:rFonts w:ascii="Arial" w:hAnsi="Arial" w:cs="Arial"/>
        </w:rPr>
      </w:pPr>
    </w:p>
    <w:p w:rsidR="00545F6C">
      <w:pPr>
        <w:rPr>
          <w:rFonts w:ascii="Times New Roman" w:hAnsi="Times New Roman" w:cs="Times New Roman"/>
        </w:rPr>
      </w:pPr>
    </w:p>
    <w:sectPr>
      <w:pgSz w:w="11906" w:h="16838" w:code="9"/>
      <w:pgMar w:top="1417" w:right="1417" w:bottom="1417" w:left="1417"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944B2"/>
    <w:multiLevelType w:val="hybridMultilevel"/>
    <w:tmpl w:val="F126C72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5A1D54E8"/>
    <w:multiLevelType w:val="hybridMultilevel"/>
    <w:tmpl w:val="782A8696"/>
    <w:lvl w:ilvl="0">
      <w:start w:val="1"/>
      <w:numFmt w:val="decimal"/>
      <w:lvlText w:val="%1."/>
      <w:lvlJc w:val="left"/>
      <w:pPr>
        <w:ind w:left="1068" w:hanging="360"/>
      </w:pPr>
      <w:rPr>
        <w:b w:val="0"/>
        <w:rtl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5DE14E7A"/>
    <w:multiLevelType w:val="hybridMultilevel"/>
    <w:tmpl w:val="3D0E8C7A"/>
    <w:lvl w:ilvl="0">
      <w:start w:val="1"/>
      <w:numFmt w:val="decimal"/>
      <w:lvlText w:val="(%1)"/>
      <w:lvlJc w:val="left"/>
      <w:pPr>
        <w:ind w:left="1818" w:hanging="1110"/>
      </w:pPr>
    </w:lvl>
    <w:lvl w:ilvl="1">
      <w:start w:val="1"/>
      <w:numFmt w:val="lowerLetter"/>
      <w:lvlText w:val="%2)"/>
      <w:lvlJc w:val="left"/>
      <w:pPr>
        <w:tabs>
          <w:tab w:val="num" w:pos="1788"/>
        </w:tabs>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5F0A3E7E"/>
    <w:multiLevelType w:val="hybridMultilevel"/>
    <w:tmpl w:val="1FB6DC6E"/>
    <w:lvl w:ilvl="0">
      <w:start w:val="1"/>
      <w:numFmt w:val="decimal"/>
      <w:lvlText w:val="(%1)"/>
      <w:lvlJc w:val="left"/>
      <w:pPr>
        <w:ind w:left="6714" w:hanging="1050"/>
      </w:pPr>
    </w:lvl>
    <w:lvl w:ilvl="1">
      <w:start w:val="1"/>
      <w:numFmt w:val="lowerLetter"/>
      <w:lvlText w:val="%2."/>
      <w:lvlJc w:val="left"/>
      <w:pPr>
        <w:ind w:left="6744" w:hanging="360"/>
      </w:pPr>
    </w:lvl>
    <w:lvl w:ilvl="2">
      <w:start w:val="1"/>
      <w:numFmt w:val="lowerRoman"/>
      <w:lvlText w:val="%3."/>
      <w:lvlJc w:val="right"/>
      <w:pPr>
        <w:ind w:left="7464" w:hanging="180"/>
      </w:pPr>
    </w:lvl>
    <w:lvl w:ilvl="3">
      <w:start w:val="1"/>
      <w:numFmt w:val="decimal"/>
      <w:lvlText w:val="%4."/>
      <w:lvlJc w:val="left"/>
      <w:pPr>
        <w:ind w:left="8184" w:hanging="360"/>
      </w:pPr>
    </w:lvl>
    <w:lvl w:ilvl="4">
      <w:start w:val="1"/>
      <w:numFmt w:val="lowerLetter"/>
      <w:lvlText w:val="%5."/>
      <w:lvlJc w:val="left"/>
      <w:pPr>
        <w:ind w:left="8904" w:hanging="360"/>
      </w:pPr>
    </w:lvl>
    <w:lvl w:ilvl="5">
      <w:start w:val="1"/>
      <w:numFmt w:val="lowerRoman"/>
      <w:lvlText w:val="%6."/>
      <w:lvlJc w:val="right"/>
      <w:pPr>
        <w:ind w:left="9624" w:hanging="180"/>
      </w:pPr>
    </w:lvl>
    <w:lvl w:ilvl="6">
      <w:start w:val="1"/>
      <w:numFmt w:val="decimal"/>
      <w:lvlText w:val="%7."/>
      <w:lvlJc w:val="left"/>
      <w:pPr>
        <w:ind w:left="10344" w:hanging="360"/>
      </w:pPr>
    </w:lvl>
    <w:lvl w:ilvl="7">
      <w:start w:val="1"/>
      <w:numFmt w:val="lowerLetter"/>
      <w:lvlText w:val="%8."/>
      <w:lvlJc w:val="left"/>
      <w:pPr>
        <w:ind w:left="11064" w:hanging="360"/>
      </w:pPr>
    </w:lvl>
    <w:lvl w:ilvl="8">
      <w:start w:val="1"/>
      <w:numFmt w:val="lowerRoman"/>
      <w:lvlText w:val="%9."/>
      <w:lvlJc w:val="right"/>
      <w:pPr>
        <w:ind w:left="11784" w:hanging="180"/>
      </w:pPr>
    </w:lvl>
  </w:abstractNum>
  <w:abstractNum w:abstractNumId="4">
    <w:nsid w:val="7EFB475A"/>
    <w:multiLevelType w:val="hybridMultilevel"/>
    <w:tmpl w:val="04F8F2AE"/>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545F6C"/>
    <w:rsid w:val="00857BE5"/>
    <w:rsid w:val="00C2781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BE5"/>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character" w:customStyle="1" w:styleId="bonus">
    <w:name w:val="bonus"/>
    <w:basedOn w:val="DefaultParagraphFont"/>
    <w:rsid w:val="00857BE5"/>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14248',%20'4176221',%20'0',%20'54510',%20'54510',%20'0')"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1211</Words>
  <Characters>6903</Characters>
  <Application>Microsoft Office Word</Application>
  <DocSecurity>0</DocSecurity>
  <Lines>0</Lines>
  <Paragraphs>0</Paragraphs>
  <ScaleCrop>false</ScaleCrop>
  <Company>Kancelaria NR SR</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Daniel_Lipsic</dc:creator>
  <cp:lastModifiedBy>Daniel_Lipsic</cp:lastModifiedBy>
  <cp:revision>1</cp:revision>
  <dcterms:created xsi:type="dcterms:W3CDTF">2009-05-29T11:05:00Z</dcterms:created>
  <dcterms:modified xsi:type="dcterms:W3CDTF">2009-05-29T11:06:00Z</dcterms:modified>
</cp:coreProperties>
</file>