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7C4F" w:rsidP="00BC7C4F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(Návrh)</w:t>
      </w:r>
    </w:p>
    <w:p w:rsidR="00BC7C4F" w:rsidP="00BC7C4F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ÚSTAVNÝ ZÁKON</w:t>
      </w:r>
    </w:p>
    <w:p w:rsidR="00BC7C4F" w:rsidP="00BC7C4F">
      <w:pPr>
        <w:spacing w:after="0" w:line="240" w:lineRule="auto"/>
        <w:jc w:val="center"/>
        <w:rPr>
          <w:rFonts w:cs="Times New Roman"/>
        </w:rPr>
      </w:pPr>
    </w:p>
    <w:p w:rsidR="00BC7C4F" w:rsidP="00BC7C4F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z ......... 2009</w:t>
      </w:r>
    </w:p>
    <w:p w:rsidR="00BC7C4F" w:rsidP="00BC7C4F">
      <w:pPr>
        <w:spacing w:after="0" w:line="240" w:lineRule="auto"/>
        <w:jc w:val="center"/>
        <w:rPr>
          <w:rFonts w:cs="Times New Roman"/>
        </w:rPr>
      </w:pPr>
    </w:p>
    <w:p w:rsidR="00BC7C4F" w:rsidP="00BC7C4F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o Špeciálnom súde</w:t>
      </w: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  <w:t>Národná rada Slovenskej republiky sa uzniesla na tomto ústavnom zákone:</w:t>
      </w: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Čl. 1</w:t>
      </w: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Zriadenie</w:t>
      </w:r>
    </w:p>
    <w:p w:rsidR="00BC7C4F" w:rsidP="00BC7C4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Zriaďuje sa Špeciálny súd.</w:t>
      </w:r>
    </w:p>
    <w:p w:rsidR="00BC7C4F" w:rsidP="00BC7C4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Obvodom Špeciálneho súdu je celé územie Slovenskej republiky. Sídlo Špeciálne</w:t>
      </w:r>
      <w:r>
        <w:rPr>
          <w:rFonts w:cs="Times New Roman"/>
        </w:rPr>
        <w:t>ho súdu ustanoví zákon.</w:t>
      </w:r>
    </w:p>
    <w:p w:rsidR="00BC7C4F" w:rsidP="00BC7C4F">
      <w:pPr>
        <w:spacing w:after="0" w:line="240" w:lineRule="auto"/>
        <w:rPr>
          <w:rFonts w:cs="Times New Roman"/>
        </w:rPr>
      </w:pP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Čl. 2</w:t>
      </w: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Pôsobnosť</w:t>
      </w:r>
    </w:p>
    <w:p w:rsidR="00BC7C4F" w:rsidP="00BC7C4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Personálna pôsobnosť Špeciálneho súdu sa vzťahuje na ústavných činiteľov, verejných funkcionárov a štátnych funkcionárov, o ktorých to ustanoví zákon, a to pre trestné činy spáchané </w:t>
      </w:r>
      <w:r w:rsidRPr="001F7FDB">
        <w:rPr>
          <w:rFonts w:cs="Times New Roman"/>
        </w:rPr>
        <w:t>v súvislosti s ich právomocou a zodpovednosťou</w:t>
      </w:r>
      <w:r>
        <w:rPr>
          <w:rFonts w:cs="Times New Roman"/>
        </w:rPr>
        <w:t xml:space="preserve">. Personálna pôsobnosť podľa prvej vety </w:t>
      </w:r>
      <w:r w:rsidRPr="0037488B">
        <w:rPr>
          <w:rFonts w:cs="Times New Roman"/>
        </w:rPr>
        <w:t xml:space="preserve">sa vzťahuje na trestné činy spáchané za trvania funkcie, ktorá túto pôsobnosť zakladá, aj keď trestný čin vyšiel najavo až po skončení </w:t>
      </w:r>
      <w:r>
        <w:rPr>
          <w:rFonts w:cs="Times New Roman"/>
        </w:rPr>
        <w:t xml:space="preserve">výkonu </w:t>
      </w:r>
      <w:r w:rsidRPr="0037488B">
        <w:rPr>
          <w:rFonts w:cs="Times New Roman"/>
        </w:rPr>
        <w:t xml:space="preserve">funkcie, ktorá zakladá </w:t>
      </w:r>
      <w:r>
        <w:rPr>
          <w:rFonts w:cs="Times New Roman"/>
        </w:rPr>
        <w:t xml:space="preserve">túto </w:t>
      </w:r>
      <w:r w:rsidRPr="0037488B">
        <w:rPr>
          <w:rFonts w:cs="Times New Roman"/>
        </w:rPr>
        <w:t>pôsobnosť</w:t>
      </w:r>
      <w:r>
        <w:rPr>
          <w:rFonts w:cs="Times New Roman"/>
        </w:rPr>
        <w:t>.</w:t>
      </w:r>
    </w:p>
    <w:p w:rsidR="00BC7C4F" w:rsidP="00BC7C4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Vecná pôsobnosť Špeciálneho súdu sa vzťahuje na spoločensky závažné trestné činy, o ktorých to ustanoví zákon.</w:t>
      </w:r>
    </w:p>
    <w:p w:rsidR="00BC7C4F" w:rsidP="00BC7C4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Podrobnosti o pôsobnosti Špeciálneho súdu ustanoví zákon.</w:t>
      </w:r>
    </w:p>
    <w:p w:rsidR="00BC7C4F" w:rsidP="00BC7C4F">
      <w:pPr>
        <w:spacing w:after="0" w:line="240" w:lineRule="auto"/>
        <w:rPr>
          <w:rFonts w:cs="Times New Roman"/>
        </w:rPr>
      </w:pP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Čl. 3</w:t>
      </w: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Sudcovia</w:t>
      </w:r>
    </w:p>
    <w:p w:rsidR="00BC7C4F" w:rsidP="00BC7C4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Podmienkou vzniku funkcie sudcu Špeciálneho súdu ako aj podmienkou na výkon funkcie </w:t>
      </w:r>
      <w:r w:rsidRPr="00315D71">
        <w:rPr>
          <w:rFonts w:cs="Times New Roman"/>
        </w:rPr>
        <w:t>sudcu, kt</w:t>
      </w:r>
      <w:r w:rsidRPr="00315D71">
        <w:rPr>
          <w:rFonts w:cs="Times New Roman"/>
        </w:rPr>
        <w:t>orý rozhoduje o opravnom prostriedku proti rozhodnutiu Špeciálneho súdu</w:t>
      </w:r>
      <w:r>
        <w:rPr>
          <w:rFonts w:cs="Times New Roman"/>
        </w:rPr>
        <w:t>, je platné osvedčenie či iné rozhodnutie vydané oprávneným orgánom aplikácie práva na základe zákona, ktoré oprávňuje takéhoto sudcu na oboznamovanie sa s utajovanými skutočnosťami v n</w:t>
      </w:r>
      <w:r>
        <w:rPr>
          <w:rFonts w:cs="Times New Roman"/>
        </w:rPr>
        <w:t>ajvyššom stupni utajenia; podrobnosti ustanoví zákon.</w:t>
      </w:r>
    </w:p>
    <w:p w:rsidR="00BC7C4F" w:rsidP="00BC7C4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Podmienka podľa odseku 1 sa vzťahuje rovnako aj na sudcu, ktorý má byť preložený alebo pridelený na Špeciálny súd alebo na súd, ktorý </w:t>
      </w:r>
      <w:r w:rsidRPr="00315D71">
        <w:rPr>
          <w:rFonts w:cs="Times New Roman"/>
        </w:rPr>
        <w:t>rozhoduje o opravnom prostriedku proti rozhodnutiu Špeciálneho súdu</w:t>
      </w:r>
      <w:r>
        <w:rPr>
          <w:rFonts w:cs="Times New Roman"/>
        </w:rPr>
        <w:t>;</w:t>
      </w:r>
      <w:r>
        <w:rPr>
          <w:rFonts w:cs="Times New Roman"/>
        </w:rPr>
        <w:t xml:space="preserve"> podrobnosti ustanoví zákon.</w:t>
      </w:r>
    </w:p>
    <w:p w:rsidR="00BC7C4F" w:rsidP="00BC7C4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1F7FDB">
        <w:rPr>
          <w:rFonts w:cs="Times New Roman"/>
        </w:rPr>
        <w:t>Sudcovi Špeciálneho súdu a sudcovi súdu, ktorý rozhoduje o opravnom prostriedku proti rozhodnutiu Špeciálneho súdu patrí k platu príplatok mesačne v sume nie menšej, ako dvojnásobok  priemernej nominálnej mesačnej mzdy zamestna</w:t>
      </w:r>
      <w:r w:rsidRPr="001F7FDB">
        <w:rPr>
          <w:rFonts w:cs="Times New Roman"/>
        </w:rPr>
        <w:t>nca v hospodárstve Slovenskej republiky</w:t>
      </w:r>
      <w:r w:rsidRPr="00980D4F">
        <w:rPr>
          <w:rFonts w:cs="Times New Roman"/>
        </w:rPr>
        <w:t xml:space="preserve"> za predchádzajúci kalendárny rok</w:t>
      </w:r>
      <w:r>
        <w:rPr>
          <w:rFonts w:cs="Times New Roman"/>
        </w:rPr>
        <w:t>; podrobnosti ustanoví zákon.</w:t>
      </w:r>
    </w:p>
    <w:p w:rsidR="00BC7C4F" w:rsidRPr="0075597E" w:rsidP="00BC7C4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75597E">
        <w:rPr>
          <w:rFonts w:cs="Times New Roman"/>
        </w:rPr>
        <w:t>Sudcovi Špeciálneho súdu a sudcovi súdu, ktorý rozhoduje o opravnom prostriedku proti rozhodnutiu Špeciálneho súdu sa na jeho žiadosť zabezpeč</w:t>
      </w:r>
      <w:r>
        <w:rPr>
          <w:rFonts w:cs="Times New Roman"/>
        </w:rPr>
        <w:t>í</w:t>
      </w:r>
      <w:r w:rsidRPr="0075597E">
        <w:rPr>
          <w:rFonts w:cs="Times New Roman"/>
        </w:rPr>
        <w:t xml:space="preserve"> ochr</w:t>
      </w:r>
      <w:r>
        <w:rPr>
          <w:rFonts w:cs="Times New Roman"/>
        </w:rPr>
        <w:t>ana je</w:t>
      </w:r>
      <w:r>
        <w:rPr>
          <w:rFonts w:cs="Times New Roman"/>
        </w:rPr>
        <w:t xml:space="preserve">ho osoby; </w:t>
      </w:r>
      <w:r w:rsidRPr="0075597E">
        <w:rPr>
          <w:rFonts w:cs="Times New Roman"/>
        </w:rPr>
        <w:t>podrobnosti ustanoví zákon.</w:t>
      </w:r>
    </w:p>
    <w:p w:rsidR="00BC7C4F" w:rsidRPr="0075597E" w:rsidP="00BC7C4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75597E">
        <w:rPr>
          <w:rFonts w:cs="Times New Roman"/>
        </w:rPr>
        <w:t>Bez súhlasu sudcu Špeciálneho súdu a sudcu súdu, ktorý rozhoduje o opravnom prostriedku proti rozhodnutiu Špeciálneho súdu sa nesmie zverejňovať jeho podobizeň a bydlisko, ako ani podobizne a bydlisko jeho rodinných pr</w:t>
      </w:r>
      <w:r w:rsidRPr="0075597E">
        <w:rPr>
          <w:rFonts w:cs="Times New Roman"/>
        </w:rPr>
        <w:t>íslušníkov a tiež sa nesmú zverejňovať jeho osobné údaje, ako ani osobné údaje jeho rodinných príslušníkov; podrobnosti ustanoví zákon.</w:t>
      </w:r>
    </w:p>
    <w:p w:rsidR="00BC7C4F" w:rsidP="00BC7C4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Ďalšie podrobnosti o </w:t>
      </w:r>
      <w:r w:rsidRPr="00E26212">
        <w:rPr>
          <w:rFonts w:cs="Times New Roman"/>
        </w:rPr>
        <w:t>postaven</w:t>
      </w:r>
      <w:r>
        <w:rPr>
          <w:rFonts w:cs="Times New Roman"/>
        </w:rPr>
        <w:t>í</w:t>
      </w:r>
      <w:r w:rsidRPr="00E26212">
        <w:rPr>
          <w:rFonts w:cs="Times New Roman"/>
        </w:rPr>
        <w:t xml:space="preserve"> sudcov Špeciálneho súdu</w:t>
      </w:r>
      <w:r>
        <w:rPr>
          <w:rFonts w:cs="Times New Roman"/>
        </w:rPr>
        <w:t xml:space="preserve"> ako aj o </w:t>
      </w:r>
      <w:r w:rsidRPr="00E26212">
        <w:rPr>
          <w:rFonts w:cs="Times New Roman"/>
        </w:rPr>
        <w:t>ich práva</w:t>
      </w:r>
      <w:r>
        <w:rPr>
          <w:rFonts w:cs="Times New Roman"/>
        </w:rPr>
        <w:t>ch</w:t>
      </w:r>
      <w:r w:rsidRPr="00E26212">
        <w:rPr>
          <w:rFonts w:cs="Times New Roman"/>
        </w:rPr>
        <w:t xml:space="preserve"> a povinnosti</w:t>
      </w:r>
      <w:r>
        <w:rPr>
          <w:rFonts w:cs="Times New Roman"/>
        </w:rPr>
        <w:t>ach ustanoví zákon.</w:t>
      </w:r>
    </w:p>
    <w:p w:rsidR="00BC7C4F" w:rsidP="00BC7C4F">
      <w:pPr>
        <w:spacing w:after="0" w:line="240" w:lineRule="auto"/>
        <w:jc w:val="both"/>
        <w:rPr>
          <w:rFonts w:cs="Times New Roman"/>
        </w:rPr>
      </w:pP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Čl. 4</w:t>
      </w: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Súvisiace ustanovenia</w:t>
      </w:r>
    </w:p>
    <w:p w:rsidR="00BC7C4F" w:rsidP="00E67248">
      <w:pPr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Výkon </w:t>
      </w:r>
      <w:r w:rsidRPr="00CA5DDC">
        <w:rPr>
          <w:rFonts w:cs="Times New Roman"/>
        </w:rPr>
        <w:t>dozor</w:t>
      </w:r>
      <w:r>
        <w:rPr>
          <w:rFonts w:cs="Times New Roman"/>
        </w:rPr>
        <w:t>u</w:t>
      </w:r>
      <w:r w:rsidRPr="00CA5DDC">
        <w:rPr>
          <w:rFonts w:cs="Times New Roman"/>
        </w:rPr>
        <w:t xml:space="preserve"> nad zachovávaním zákonnosti pred začatím trestného stíhani</w:t>
      </w:r>
      <w:r>
        <w:rPr>
          <w:rFonts w:cs="Times New Roman"/>
        </w:rPr>
        <w:t>a a v prípravnom konaní, trestné</w:t>
      </w:r>
      <w:r w:rsidRPr="00CA5DDC">
        <w:rPr>
          <w:rFonts w:cs="Times New Roman"/>
        </w:rPr>
        <w:t xml:space="preserve"> stíha</w:t>
      </w:r>
      <w:r>
        <w:rPr>
          <w:rFonts w:cs="Times New Roman"/>
        </w:rPr>
        <w:t>nie</w:t>
      </w:r>
      <w:r w:rsidRPr="00CA5DDC">
        <w:rPr>
          <w:rFonts w:cs="Times New Roman"/>
        </w:rPr>
        <w:t xml:space="preserve"> os</w:t>
      </w:r>
      <w:r>
        <w:rPr>
          <w:rFonts w:cs="Times New Roman"/>
        </w:rPr>
        <w:t>ô</w:t>
      </w:r>
      <w:r w:rsidRPr="00CA5DDC">
        <w:rPr>
          <w:rFonts w:cs="Times New Roman"/>
        </w:rPr>
        <w:t>b</w:t>
      </w:r>
      <w:r>
        <w:rPr>
          <w:rFonts w:cs="Times New Roman"/>
        </w:rPr>
        <w:t xml:space="preserve"> podozrivých</w:t>
      </w:r>
      <w:r w:rsidRPr="00CA5DDC">
        <w:rPr>
          <w:rFonts w:cs="Times New Roman"/>
        </w:rPr>
        <w:t xml:space="preserve"> zo spáchania trestných činov a uplatň</w:t>
      </w:r>
      <w:r>
        <w:rPr>
          <w:rFonts w:cs="Times New Roman"/>
        </w:rPr>
        <w:t>ovanie oprávnení</w:t>
      </w:r>
      <w:r w:rsidRPr="00CA5DDC">
        <w:rPr>
          <w:rFonts w:cs="Times New Roman"/>
        </w:rPr>
        <w:t xml:space="preserve"> prokurátora v konaní pred súdom</w:t>
      </w:r>
      <w:r>
        <w:rPr>
          <w:rFonts w:cs="Times New Roman"/>
        </w:rPr>
        <w:t xml:space="preserve">, a to všetko </w:t>
      </w:r>
      <w:r w:rsidRPr="00CA5DDC">
        <w:rPr>
          <w:rFonts w:cs="Times New Roman"/>
        </w:rPr>
        <w:t>vo veciach, ktoré patria do právomoci Špeciálneho súdu</w:t>
      </w:r>
      <w:r>
        <w:rPr>
          <w:rFonts w:cs="Times New Roman"/>
        </w:rPr>
        <w:t>, vykonáva  Úrad špeciálnej prokuratúry; podrobnosti ustanoví zákon.</w:t>
      </w:r>
    </w:p>
    <w:p w:rsidR="00E67248" w:rsidP="00E67248">
      <w:pPr>
        <w:numPr>
          <w:ilvl w:val="0"/>
          <w:numId w:val="6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Ak ide o podmienku oprávnenia na oboznamovanie sa s utajovanými skutočnosťami, mesačný príplatok k platu a ochranu osoby, podobizne, bydliska a osobných údajov, vzťahujú sa ustanovenia čl. 3 ods. 1 a ods. 3 až 5 rovnako aj na prokurátora, vymenovaného do funkcie v Úrade špeciálnej prokuratúry; podrobnosti ustanoví zákon.</w:t>
      </w:r>
    </w:p>
    <w:p w:rsidR="00BC7C4F" w:rsidP="00BC7C4F">
      <w:pPr>
        <w:spacing w:after="0" w:line="240" w:lineRule="auto"/>
        <w:rPr>
          <w:rFonts w:cs="Times New Roman"/>
        </w:rPr>
      </w:pP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Čl. 5</w:t>
      </w: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Záverečné ustanovenia</w:t>
      </w:r>
    </w:p>
    <w:p w:rsidR="00BC7C4F" w:rsidP="00BC7C4F">
      <w:pPr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Pr="00E26212">
        <w:rPr>
          <w:rFonts w:cs="Times New Roman"/>
        </w:rPr>
        <w:t>rganizáciu Špeciálneho súdu a konanie pred ním, ako aj</w:t>
      </w:r>
      <w:r>
        <w:rPr>
          <w:rFonts w:cs="Times New Roman"/>
        </w:rPr>
        <w:t xml:space="preserve"> ďalšie podrobnosti ustanoví zákon.</w:t>
      </w:r>
    </w:p>
    <w:p w:rsidR="00BC7C4F" w:rsidP="00BC7C4F">
      <w:pPr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 konaní začatom na Špeciálnom súde, ktorý bol zriadený zákonom č. 458/2003 Z. z. </w:t>
      </w:r>
      <w:r w:rsidRPr="00511560">
        <w:rPr>
          <w:rFonts w:cs="Times New Roman"/>
        </w:rPr>
        <w:t>o zriadení Špeciálneho súdu a Úradu špeciálnej prokuratúry a o zme</w:t>
      </w:r>
      <w:r>
        <w:rPr>
          <w:rFonts w:cs="Times New Roman"/>
        </w:rPr>
        <w:t>ne a doplnení niektorých zákonov, pred dňom vyhlásenia nálezu  Ústavného súdu Slovenskej republiky  PL. ÚS 17/08 z 20. mája 2009 v Zbierke zákonov Slovenskej republiky pokračuje Špeciálny súd podľa tohto ústavného zákona, ak takéto konanie nebolo do dňa účinnosti tohto ústavného zákona právoplatne skončené.</w:t>
      </w:r>
    </w:p>
    <w:p w:rsidR="00BC7C4F" w:rsidRPr="0019198C" w:rsidP="00BC7C4F">
      <w:pPr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19198C">
        <w:rPr>
          <w:rFonts w:cs="Times New Roman"/>
        </w:rPr>
        <w:t>Výkon súdnictva</w:t>
      </w:r>
      <w:r>
        <w:rPr>
          <w:rFonts w:cs="Times New Roman"/>
        </w:rPr>
        <w:t>, správa majetku štátu a</w:t>
      </w:r>
      <w:r w:rsidRPr="0019198C">
        <w:rPr>
          <w:rFonts w:cs="Times New Roman"/>
        </w:rPr>
        <w:t xml:space="preserve"> všetky práva a povinnosti vyplývajúc</w:t>
      </w:r>
      <w:r>
        <w:rPr>
          <w:rFonts w:cs="Times New Roman"/>
        </w:rPr>
        <w:t>e</w:t>
      </w:r>
      <w:r w:rsidRPr="0019198C">
        <w:rPr>
          <w:rFonts w:cs="Times New Roman"/>
        </w:rPr>
        <w:t xml:space="preserve"> z pracovnoprávnych vzťahov a štátnozamestnaneckých vzťahov a iných obdobných právnych vzťahov a práv a povinností z osobných vzťahov sudcu k štátu dňom</w:t>
      </w:r>
      <w:r>
        <w:rPr>
          <w:rFonts w:cs="Times New Roman"/>
        </w:rPr>
        <w:t xml:space="preserve"> účinnosti tohto ústavného zákona</w:t>
      </w:r>
      <w:r w:rsidRPr="0019198C">
        <w:rPr>
          <w:rFonts w:cs="Times New Roman"/>
        </w:rPr>
        <w:t xml:space="preserve"> </w:t>
      </w:r>
      <w:r>
        <w:rPr>
          <w:rFonts w:cs="Times New Roman"/>
        </w:rPr>
        <w:t xml:space="preserve">v plnom rozsahu prechádzajú </w:t>
      </w:r>
      <w:r w:rsidRPr="0019198C">
        <w:rPr>
          <w:rFonts w:cs="Times New Roman"/>
        </w:rPr>
        <w:t>zo Špeciálneho súdu</w:t>
      </w:r>
      <w:r>
        <w:rPr>
          <w:rFonts w:cs="Times New Roman"/>
        </w:rPr>
        <w:t xml:space="preserve">, ktorý bol zriadený zákonom č. 458/2003 Z. z. </w:t>
      </w:r>
      <w:r w:rsidRPr="00511560">
        <w:rPr>
          <w:rFonts w:cs="Times New Roman"/>
        </w:rPr>
        <w:t>o zriadení Špeciálneho súdu a Úradu špeciálnej prokuratúry a o zme</w:t>
      </w:r>
      <w:r>
        <w:rPr>
          <w:rFonts w:cs="Times New Roman"/>
        </w:rPr>
        <w:t xml:space="preserve">ne a doplnení niektorých zákonov, </w:t>
      </w:r>
      <w:r w:rsidRPr="0019198C">
        <w:rPr>
          <w:rFonts w:cs="Times New Roman"/>
        </w:rPr>
        <w:t>na Špeci</w:t>
      </w:r>
      <w:r>
        <w:rPr>
          <w:rFonts w:cs="Times New Roman"/>
        </w:rPr>
        <w:t>álny súd podľa tohto ústavného zákona</w:t>
      </w:r>
      <w:r w:rsidRPr="0019198C">
        <w:rPr>
          <w:rFonts w:cs="Times New Roman"/>
        </w:rPr>
        <w:t>.</w:t>
      </w:r>
    </w:p>
    <w:p w:rsidR="00BC7C4F" w:rsidP="00BC7C4F">
      <w:pPr>
        <w:spacing w:after="0" w:line="240" w:lineRule="auto"/>
        <w:jc w:val="both"/>
        <w:rPr>
          <w:rFonts w:cs="Times New Roman"/>
        </w:rPr>
      </w:pP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Čl. 6</w:t>
      </w:r>
    </w:p>
    <w:p w:rsidR="00BC7C4F" w:rsidRPr="00C07EFF" w:rsidP="00BC7C4F">
      <w:pPr>
        <w:spacing w:after="0" w:line="240" w:lineRule="auto"/>
        <w:jc w:val="center"/>
        <w:rPr>
          <w:rFonts w:cs="Times New Roman"/>
          <w:b/>
        </w:rPr>
      </w:pPr>
      <w:r w:rsidRPr="00C07EFF">
        <w:rPr>
          <w:rFonts w:cs="Times New Roman"/>
          <w:b/>
        </w:rPr>
        <w:t>Účinnosť</w:t>
      </w:r>
    </w:p>
    <w:p w:rsidR="00BC7C4F" w:rsidP="00BC7C4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Tento ústavný zákon nadobúda účinnosť dňom </w:t>
      </w:r>
      <w:r w:rsidRPr="00E26212">
        <w:rPr>
          <w:rFonts w:cs="Times New Roman"/>
        </w:rPr>
        <w:tab/>
      </w:r>
      <w:r>
        <w:rPr>
          <w:rFonts w:cs="Times New Roman"/>
        </w:rPr>
        <w:t>vyhlásenia nálezu Ústavného súdu Slovenskej republiky  PL. ÚS 17/08 z 20. mája 2009 v Zbierke zákonov Slovenskej republiky.</w:t>
      </w:r>
    </w:p>
    <w:p w:rsidR="00BC7C4F" w:rsidP="00BC7C4F">
      <w:pPr>
        <w:spacing w:after="0" w:line="240" w:lineRule="auto"/>
        <w:jc w:val="both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</w:p>
    <w:p w:rsidR="00BC7C4F" w:rsidP="00BC7C4F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545F6C">
      <w:pPr>
        <w:rPr>
          <w:rFonts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522"/>
    <w:multiLevelType w:val="hybridMultilevel"/>
    <w:tmpl w:val="D274412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07D40"/>
    <w:multiLevelType w:val="hybridMultilevel"/>
    <w:tmpl w:val="1E5C17A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40B0B"/>
    <w:multiLevelType w:val="hybridMultilevel"/>
    <w:tmpl w:val="D68A00D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C2DD9"/>
    <w:multiLevelType w:val="hybridMultilevel"/>
    <w:tmpl w:val="7DFCD19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E296B"/>
    <w:multiLevelType w:val="hybridMultilevel"/>
    <w:tmpl w:val="9DE01E7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73E99"/>
    <w:multiLevelType w:val="hybridMultilevel"/>
    <w:tmpl w:val="0750D00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198C"/>
    <w:rsid w:val="001F7FDB"/>
    <w:rsid w:val="00315D71"/>
    <w:rsid w:val="0037488B"/>
    <w:rsid w:val="00511560"/>
    <w:rsid w:val="00545F6C"/>
    <w:rsid w:val="0075597E"/>
    <w:rsid w:val="00980D4F"/>
    <w:rsid w:val="00BC7C4F"/>
    <w:rsid w:val="00C07EFF"/>
    <w:rsid w:val="00CA5DDC"/>
    <w:rsid w:val="00E26212"/>
    <w:rsid w:val="00E672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C4F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Odsekzoznamu">
    <w:name w:val="Odsek zoznamu"/>
    <w:basedOn w:val="Normal"/>
    <w:qFormat/>
    <w:rsid w:val="00BC7C4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675</Words>
  <Characters>3854</Characters>
  <Application>Microsoft Office Word</Application>
  <DocSecurity>0</DocSecurity>
  <Lines>0</Lines>
  <Paragraphs>0</Paragraphs>
  <ScaleCrop>false</ScaleCrop>
  <Company>Kancelaria NR SR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Daniel_Lipsic</dc:creator>
  <cp:lastModifiedBy>Daniel_Lipsic</cp:lastModifiedBy>
  <cp:revision>2</cp:revision>
  <dcterms:created xsi:type="dcterms:W3CDTF">2009-05-29T11:01:00Z</dcterms:created>
  <dcterms:modified xsi:type="dcterms:W3CDTF">2009-05-29T11:14:00Z</dcterms:modified>
</cp:coreProperties>
</file>