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31E6">
      <w:pPr>
        <w:jc w:val="center"/>
        <w:rPr>
          <w:b/>
        </w:rPr>
      </w:pPr>
      <w:r>
        <w:rPr>
          <w:b/>
        </w:rPr>
        <w:t>Dôvodová správa</w:t>
      </w:r>
    </w:p>
    <w:p w:rsidR="000231E6"/>
    <w:p w:rsidR="000231E6">
      <w:pPr>
        <w:rPr>
          <w:b/>
          <w:u w:val="single"/>
        </w:rPr>
      </w:pPr>
      <w:r>
        <w:rPr>
          <w:b/>
          <w:u w:val="single"/>
        </w:rPr>
        <w:t>A. Všeobecná časť:</w:t>
      </w:r>
    </w:p>
    <w:p w:rsidR="000231E6">
      <w:pPr>
        <w:ind w:firstLine="708"/>
        <w:jc w:val="both"/>
        <w:rPr>
          <w:b/>
        </w:rPr>
      </w:pPr>
    </w:p>
    <w:p w:rsidR="000231E6">
      <w:pPr>
        <w:ind w:firstLine="708"/>
        <w:jc w:val="both"/>
      </w:pPr>
      <w:r>
        <w:t xml:space="preserve">Predložený návrh bol vypracovaný predovšetkým s cieľom zaviesť  pravidlá, ktoré zabezpečia transparentné a hospodárne nakladanie s verejným majetkom. </w:t>
      </w:r>
    </w:p>
    <w:p w:rsidR="000231E6">
      <w:bookmarkStart w:id="0" w:name="f_37537"/>
      <w:bookmarkEnd w:id="0"/>
    </w:p>
    <w:p w:rsidR="000231E6">
      <w:pPr>
        <w:ind w:firstLine="708"/>
        <w:jc w:val="both"/>
      </w:pPr>
      <w:r>
        <w:t>Všeobecnou úpravou v rámci občianskeho zákonníka sa navrhuje, aby zmluva, ktorej jedným z účastníkov je povinná osoba podľa osobitného predpisu</w:t>
      </w:r>
      <w:r>
        <w:rPr>
          <w:vertAlign w:val="superscript"/>
        </w:rPr>
        <w:t xml:space="preserve"> </w:t>
      </w:r>
      <w:r>
        <w:t xml:space="preserve">a ktorá obsahuje informáciu, ktorá sa získala za verejné financie alebo sa týka používania verejných financií alebo nakladania s majetkom štátu alebo majetkom obce alebo majetkom </w:t>
      </w:r>
      <w:r>
        <w:t xml:space="preserve">vyššieho územného celku, </w:t>
      </w:r>
      <w:r w:rsidR="00081E42">
        <w:t>nadobudla</w:t>
      </w:r>
      <w:r>
        <w:t xml:space="preserve"> účinnosť jej zverejnením na internetovej stránke povinnej osoby podľa osobitného predpisu. </w:t>
      </w:r>
    </w:p>
    <w:p w:rsidR="000231E6">
      <w:pPr>
        <w:ind w:firstLine="708"/>
        <w:jc w:val="both"/>
      </w:pPr>
    </w:p>
    <w:p w:rsidR="000231E6">
      <w:pPr>
        <w:ind w:firstLine="708"/>
        <w:jc w:val="both"/>
      </w:pPr>
      <w:r w:rsidR="00081E42">
        <w:t>Navrhovaným</w:t>
      </w:r>
      <w:r>
        <w:t xml:space="preserve"> riešením sa za</w:t>
      </w:r>
      <w:r w:rsidR="00081E42">
        <w:t>bezpečí aktívny prístup orgánov</w:t>
      </w:r>
      <w:r>
        <w:t xml:space="preserve"> verejnej moci k sprístupňovaniu informácií ohľadne nakladania s verejn</w:t>
      </w:r>
      <w:r>
        <w:t xml:space="preserve">ými </w:t>
      </w:r>
      <w:r w:rsidR="00081E42">
        <w:t>zdrojmi</w:t>
      </w:r>
      <w:r>
        <w:t>. V poslednom období sme boli svedkami viacerých situácií, kde v dôsledku neinformovanosti verejnosti o činnosti orgánov verejnej moci došlo k uzatváraniu zmlúv, ktoré neboli pre štát výhodné a  následne sa riešila otázka odstúpenia od týchto zmlúv. Verejnosť mala však obmedzenú možnosť oboznámiť sa s</w:t>
      </w:r>
      <w:r w:rsidR="00081E42">
        <w:t>o</w:t>
      </w:r>
      <w:r>
        <w:t xml:space="preserve"> znením týchto zmlúv a nebola dostatočne informovaná o ich obsahu. Navrhovanou úpravou sa zvýši tlak na </w:t>
      </w:r>
      <w:r w:rsidR="00081E42">
        <w:t>orgány</w:t>
      </w:r>
      <w:r>
        <w:t xml:space="preserve"> verejnej moci pri nakladaní s </w:t>
      </w:r>
      <w:r w:rsidR="00081E42">
        <w:t>verejnými</w:t>
      </w:r>
      <w:r>
        <w:t xml:space="preserve"> </w:t>
      </w:r>
      <w:r w:rsidR="00081E42">
        <w:t>zdrojmi</w:t>
      </w:r>
      <w:r>
        <w:t xml:space="preserve"> a zabezpečí sa lepšia informovanosť verejnosti, čím sa v konečnom dôsledku stranspare</w:t>
      </w:r>
      <w:r w:rsidR="00081E42">
        <w:t>ntní spôsob nakladania</w:t>
      </w:r>
      <w:r>
        <w:t xml:space="preserve"> s prostriedkami z verejných zdrojov.</w:t>
      </w:r>
    </w:p>
    <w:p w:rsidR="000231E6">
      <w:pPr>
        <w:ind w:firstLine="708"/>
        <w:jc w:val="both"/>
      </w:pPr>
    </w:p>
    <w:p w:rsidR="000231E6">
      <w:pPr>
        <w:ind w:firstLine="708"/>
        <w:jc w:val="both"/>
      </w:pPr>
      <w:r>
        <w:t>Osobitným predpisom je zákon o slobodnom prístupe k informáciám, podľa ktorého sú povinnými osobami  štátne orgány, obce, vyššie územné celky ako aj tie právnické osoby a fyzické osoby, ktorým zákon zveruje právomoc rozhodovať o právach a povinnostiach fyzických osôb alebo právnických osôb v oblasti verejnej správy, a to iba v rozsahu tejto ich rozhodovacej činnosti.</w:t>
      </w:r>
      <w:bookmarkStart w:id="1" w:name="f_37542"/>
      <w:bookmarkEnd w:id="1"/>
      <w:r>
        <w:t xml:space="preserve"> Povinnými osobami sú aj právnické osoby zriadené zákonom a právnické osoby zriadené štátnym orgánom, vyšším územným celkom alebo obcou podľa osobitného zákona</w:t>
      </w:r>
      <w:bookmarkStart w:id="2" w:name="f_37543"/>
      <w:bookmarkEnd w:id="2"/>
      <w:r>
        <w:t xml:space="preserve"> a aj právnické osoby založené týmito povinnými osobami.</w:t>
      </w:r>
    </w:p>
    <w:p w:rsidR="000231E6">
      <w:pPr>
        <w:ind w:firstLine="708"/>
        <w:jc w:val="both"/>
      </w:pPr>
    </w:p>
    <w:p w:rsidR="000231E6">
      <w:pPr>
        <w:ind w:firstLine="708"/>
        <w:jc w:val="both"/>
      </w:pPr>
      <w:r>
        <w:t xml:space="preserve">Tieto subjekty sú povinné v súlade so zákonom o slobodnom prístupe k informáciám zverejňovať informácie spôsobom umožňujúcim hromadný prístup. </w:t>
      </w:r>
    </w:p>
    <w:p w:rsidR="000231E6">
      <w:pPr>
        <w:ind w:firstLine="708"/>
        <w:jc w:val="both"/>
      </w:pPr>
      <w:bookmarkStart w:id="3" w:name="f_37544"/>
      <w:bookmarkEnd w:id="3"/>
    </w:p>
    <w:p w:rsidR="000231E6">
      <w:pPr>
        <w:ind w:firstLine="708"/>
        <w:jc w:val="both"/>
      </w:pPr>
      <w:r>
        <w:t>Povinnosť orgánov verejnej moci poskytovať informácie (právo na informácie od orgánov verejnej moci) možno obmedziť iba za podmienok stanovených v </w:t>
      </w:r>
      <w:hyperlink r:id="rId4" w:history="1">
        <w:r>
          <w:rPr>
            <w:rStyle w:val="Hyperlink"/>
          </w:rPr>
          <w:t>čl. 26 ods. 4 Ústavy SR</w:t>
        </w:r>
      </w:hyperlink>
      <w:r>
        <w:t xml:space="preserve"> – t. j. len zákonom a vtedy, ak ide o </w:t>
      </w:r>
      <w:r>
        <w:t>opatrenie v demokratickej spoločnosti nevyhnutné na ochranu práv a slobôd iných, bezpečnosť štátu, verejného poriadku, ochranu verejného zdravia a mravnosti.</w:t>
      </w:r>
    </w:p>
    <w:p w:rsidR="000231E6">
      <w:pPr>
        <w:ind w:firstLine="708"/>
        <w:jc w:val="both"/>
      </w:pPr>
    </w:p>
    <w:p w:rsidR="000231E6">
      <w:pPr>
        <w:jc w:val="both"/>
      </w:pPr>
      <w:r>
        <w:tab/>
        <w:t xml:space="preserve">V snahe </w:t>
      </w:r>
      <w:r w:rsidR="00081E42">
        <w:t>zachovať</w:t>
      </w:r>
      <w:r>
        <w:t xml:space="preserve"> rovnoprávne postavenie zmluvných strán a právnu istotu účastníkov zmluvy sa zároveň navrhuje, aby ktorákoľvek zo zmluvných strán mala možnosť zverejniť zmluvu v Obchodnom vestníku. </w:t>
      </w:r>
    </w:p>
    <w:p w:rsidR="000231E6">
      <w:pPr>
        <w:ind w:firstLine="708"/>
        <w:jc w:val="both"/>
      </w:pPr>
    </w:p>
    <w:p w:rsidR="000231E6">
      <w:pPr>
        <w:ind w:firstLine="708"/>
        <w:jc w:val="both"/>
      </w:pPr>
      <w:r>
        <w:t>Navrhovaná právna úprava nebude mať dopad na štátny rozpočet, rozpočty obcí alebo rozpočty vyšších územných celkov, preto sa  doložka vplyvov nevyhotovuje.</w:t>
      </w:r>
    </w:p>
    <w:p w:rsidR="000231E6">
      <w:pPr>
        <w:jc w:val="both"/>
      </w:pPr>
    </w:p>
    <w:p w:rsidR="000231E6">
      <w:pPr>
        <w:ind w:firstLine="708"/>
        <w:jc w:val="both"/>
        <w:sectPr>
          <w:footnotePr>
            <w:pos w:val="beneathText"/>
          </w:footnotePr>
          <w:pgSz w:w="11905" w:h="16837"/>
          <w:pgMar w:top="1417" w:right="1417" w:bottom="1417" w:left="1417" w:header="1417" w:footer="1417" w:gutter="0"/>
          <w:cols w:space="708"/>
          <w:bidi w:val="0"/>
          <w:docGrid w:linePitch="360"/>
        </w:sectPr>
      </w:pPr>
      <w:r>
        <w:t>Návrh zákona je v súlade s Ústavou, ústavnými zákonmi a inými zákonmi a medzinárodnými zmluvami a inými medzinárodnými dokumentmi, ktorými je Slovenská republika viazaná.</w:t>
      </w:r>
    </w:p>
    <w:p w:rsidR="000231E6">
      <w:pPr>
        <w:jc w:val="both"/>
      </w:pPr>
    </w:p>
    <w:p w:rsidR="000231E6">
      <w:pPr>
        <w:pStyle w:val="Heading4"/>
        <w:jc w:val="center"/>
        <w:rPr>
          <w:sz w:val="24"/>
          <w:szCs w:val="24"/>
        </w:rPr>
      </w:pPr>
      <w:r>
        <w:rPr>
          <w:sz w:val="24"/>
          <w:szCs w:val="24"/>
        </w:rPr>
        <w:t>DOLOŽKA  ZLUČITEĽNOSTI</w:t>
      </w:r>
    </w:p>
    <w:p w:rsidR="000231E6">
      <w:pPr>
        <w:jc w:val="center"/>
        <w:rPr>
          <w:b/>
          <w:bCs/>
        </w:rPr>
      </w:pPr>
      <w:r>
        <w:rPr>
          <w:b/>
          <w:bCs/>
        </w:rPr>
        <w:t>právneho predpisu</w:t>
      </w:r>
    </w:p>
    <w:p w:rsidR="000231E6">
      <w:pPr>
        <w:jc w:val="center"/>
        <w:rPr>
          <w:b/>
          <w:bCs/>
        </w:rPr>
      </w:pPr>
      <w:r>
        <w:rPr>
          <w:b/>
          <w:bCs/>
        </w:rPr>
        <w:t>s právom Európskych spoločenstiev a právom Európskej únie</w:t>
      </w:r>
    </w:p>
    <w:p w:rsidR="000231E6">
      <w:pPr>
        <w:jc w:val="both"/>
      </w:pPr>
    </w:p>
    <w:p w:rsidR="000231E6">
      <w:pPr>
        <w:jc w:val="both"/>
      </w:pPr>
    </w:p>
    <w:p w:rsidR="000231E6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rPr>
          <w:b/>
        </w:rPr>
        <w:t xml:space="preserve">Predkladateľ právneho predpisu: </w:t>
      </w:r>
      <w:r>
        <w:t xml:space="preserve"> </w:t>
      </w:r>
    </w:p>
    <w:p w:rsidR="000231E6">
      <w:pPr>
        <w:ind w:firstLine="708"/>
        <w:jc w:val="both"/>
      </w:pPr>
      <w:r>
        <w:t>skupina poslancov Národnej rady Slovenskej republiky</w:t>
      </w:r>
    </w:p>
    <w:p w:rsidR="000231E6">
      <w:pPr>
        <w:jc w:val="both"/>
      </w:pPr>
    </w:p>
    <w:p w:rsidR="000231E6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rPr>
          <w:b/>
        </w:rPr>
        <w:t xml:space="preserve">Názov návrhu právneho predpisu: </w:t>
      </w:r>
      <w:r>
        <w:t>zákon,</w:t>
      </w:r>
      <w:r>
        <w:rPr>
          <w:b/>
        </w:rPr>
        <w:t xml:space="preserve"> </w:t>
      </w:r>
      <w:r>
        <w:t>ktorým sa dopĺňa zákon č. 40/1964 Zb. Občiansky zákonník v znení neskorších predpisov</w:t>
      </w:r>
    </w:p>
    <w:p w:rsidR="000231E6">
      <w:pPr>
        <w:jc w:val="both"/>
      </w:pPr>
    </w:p>
    <w:p w:rsidR="000231E6">
      <w:pPr>
        <w:tabs>
          <w:tab w:val="left" w:pos="360"/>
        </w:tabs>
        <w:jc w:val="both"/>
      </w:pPr>
    </w:p>
    <w:p w:rsidR="000231E6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b/>
        </w:rPr>
      </w:pPr>
      <w:r>
        <w:rPr>
          <w:b/>
        </w:rPr>
        <w:t>Problematika návrhu právneho predpisu:</w:t>
      </w:r>
    </w:p>
    <w:p w:rsidR="000231E6">
      <w:pPr>
        <w:tabs>
          <w:tab w:val="left" w:pos="360"/>
          <w:tab w:val="left" w:pos="1980"/>
        </w:tabs>
        <w:ind w:left="708"/>
        <w:jc w:val="both"/>
      </w:pPr>
      <w:r>
        <w:t>a)      nie je upravená v práve Európskych spoločenstiev,</w:t>
      </w:r>
    </w:p>
    <w:p w:rsidR="000231E6">
      <w:pPr>
        <w:numPr>
          <w:ilvl w:val="0"/>
          <w:numId w:val="1"/>
        </w:numPr>
        <w:tabs>
          <w:tab w:val="left" w:pos="570"/>
          <w:tab w:val="left" w:pos="1098"/>
          <w:tab w:val="left" w:pos="1278"/>
        </w:tabs>
        <w:ind w:left="1098"/>
        <w:jc w:val="both"/>
      </w:pPr>
      <w:r>
        <w:t>nie je upravená v práve Európskej únie,</w:t>
      </w:r>
    </w:p>
    <w:p w:rsidR="000231E6">
      <w:pPr>
        <w:numPr>
          <w:ilvl w:val="0"/>
          <w:numId w:val="1"/>
        </w:numPr>
        <w:tabs>
          <w:tab w:val="left" w:pos="570"/>
          <w:tab w:val="left" w:pos="1098"/>
          <w:tab w:val="left" w:pos="1278"/>
          <w:tab w:val="left" w:pos="1980"/>
        </w:tabs>
        <w:ind w:left="1098"/>
        <w:jc w:val="both"/>
      </w:pPr>
      <w:r>
        <w:t xml:space="preserve">nie je obsiahnutá v judikatúre Súdneho dvora Európskych spoločenstiev alebo Súdu prvého stupňa Európskych spoločenstiev. </w:t>
      </w:r>
    </w:p>
    <w:p w:rsidR="000231E6">
      <w:pPr>
        <w:jc w:val="both"/>
      </w:pPr>
    </w:p>
    <w:p w:rsidR="000231E6">
      <w:pPr>
        <w:ind w:firstLine="708"/>
        <w:rPr>
          <w:b/>
        </w:rPr>
      </w:pPr>
      <w:r>
        <w:t xml:space="preserve">Vzhľadom na to, že problematika návrhu právneho predpisu nie je v práve Európskych spoločenstiev a Európskej únie upravená, je bezpredmetné vyjadrovať sa k bodom </w:t>
      </w:r>
      <w:r>
        <w:rPr>
          <w:b/>
        </w:rPr>
        <w:t>4.</w:t>
      </w:r>
      <w:r>
        <w:t xml:space="preserve">, </w:t>
      </w:r>
      <w:r>
        <w:rPr>
          <w:b/>
        </w:rPr>
        <w:t>5.</w:t>
      </w:r>
      <w:r>
        <w:t xml:space="preserve"> a </w:t>
      </w:r>
      <w:r>
        <w:rPr>
          <w:b/>
        </w:rPr>
        <w:t>6.</w:t>
      </w:r>
    </w:p>
    <w:p w:rsidR="000231E6">
      <w:pPr>
        <w:jc w:val="both"/>
      </w:pPr>
    </w:p>
    <w:p w:rsidR="000231E6">
      <w:pPr>
        <w:jc w:val="both"/>
      </w:pPr>
    </w:p>
    <w:p w:rsidR="000231E6">
      <w:pPr>
        <w:jc w:val="both"/>
      </w:pPr>
    </w:p>
    <w:p w:rsidR="000231E6">
      <w:pPr>
        <w:sectPr>
          <w:footnotePr>
            <w:pos w:val="beneathText"/>
          </w:footnotePr>
          <w:pgSz w:w="11905" w:h="16837"/>
          <w:pgMar w:top="1417" w:right="1417" w:bottom="1417" w:left="1417" w:header="1417" w:footer="1417" w:gutter="0"/>
          <w:cols w:space="708"/>
          <w:bidi w:val="0"/>
          <w:docGrid w:linePitch="360"/>
        </w:sectPr>
      </w:pPr>
    </w:p>
    <w:p w:rsidR="000231E6">
      <w:pPr>
        <w:jc w:val="both"/>
      </w:pPr>
    </w:p>
    <w:p w:rsidR="000231E6">
      <w:pPr>
        <w:jc w:val="both"/>
        <w:rPr>
          <w:b/>
          <w:u w:val="single"/>
        </w:rPr>
      </w:pPr>
      <w:r>
        <w:rPr>
          <w:b/>
          <w:u w:val="single"/>
        </w:rPr>
        <w:t>B. Osobitná časť:</w:t>
      </w:r>
    </w:p>
    <w:p w:rsidR="000231E6">
      <w:pPr>
        <w:jc w:val="both"/>
      </w:pPr>
    </w:p>
    <w:p w:rsidR="000231E6">
      <w:pPr>
        <w:jc w:val="both"/>
        <w:rPr>
          <w:b/>
        </w:rPr>
      </w:pPr>
      <w:r>
        <w:rPr>
          <w:b/>
        </w:rPr>
        <w:t>K Čl. I</w:t>
      </w:r>
    </w:p>
    <w:p w:rsidR="000231E6">
      <w:pPr>
        <w:jc w:val="both"/>
      </w:pPr>
      <w:r>
        <w:tab/>
      </w:r>
    </w:p>
    <w:p w:rsidR="000231E6">
      <w:pPr>
        <w:ind w:firstLine="708"/>
        <w:jc w:val="both"/>
      </w:pPr>
      <w:r>
        <w:t>Navrhuje sa, aby zmluvy, ktorých je jedným z účastníov orgán verejnej moci nadobúdali účinnosť ich zverejnením podľa zákona o slobodnom prístupe k informáciám.</w:t>
      </w:r>
    </w:p>
    <w:p w:rsidR="000231E6">
      <w:pPr>
        <w:jc w:val="both"/>
      </w:pPr>
    </w:p>
    <w:p w:rsidR="000231E6">
      <w:pPr>
        <w:ind w:firstLine="708"/>
        <w:jc w:val="both"/>
      </w:pPr>
      <w:r>
        <w:t>V snahe zacovať rovnoprávne postavenie zmluvných strán a právnu istotu účastníkov zmluvy sa zároveň navrhuje, aby ktorákoľvek zo zmluvných strán mala možnosť zverejniť zmluvu v Obchodnom vestníku.</w:t>
      </w:r>
    </w:p>
    <w:p w:rsidR="000231E6">
      <w:pPr>
        <w:ind w:firstLine="708"/>
        <w:jc w:val="both"/>
      </w:pPr>
    </w:p>
    <w:p w:rsidR="000231E6">
      <w:pPr>
        <w:ind w:firstLine="708"/>
        <w:jc w:val="both"/>
      </w:pPr>
      <w:r>
        <w:t>Následkom nezverejnenie zmluvy niektorým z navrhovaných spôsobov bude nevyvrátiteľná domnienka, podľa ktorej účastníci zmluvy od zmluvy odstupujú.</w:t>
      </w:r>
    </w:p>
    <w:p w:rsidR="000231E6">
      <w:pPr>
        <w:ind w:firstLine="708"/>
        <w:jc w:val="both"/>
      </w:pPr>
    </w:p>
    <w:p w:rsidR="000231E6">
      <w:pPr>
        <w:jc w:val="both"/>
      </w:pPr>
    </w:p>
    <w:p w:rsidR="000231E6">
      <w:pPr>
        <w:jc w:val="both"/>
        <w:rPr>
          <w:b/>
        </w:rPr>
      </w:pPr>
      <w:r>
        <w:rPr>
          <w:b/>
        </w:rPr>
        <w:t>K Čl. II</w:t>
      </w:r>
    </w:p>
    <w:p w:rsidR="000231E6">
      <w:pPr>
        <w:jc w:val="both"/>
        <w:rPr>
          <w:b/>
        </w:rPr>
      </w:pPr>
    </w:p>
    <w:p w:rsidR="000231E6">
      <w:pPr>
        <w:ind w:firstLine="708"/>
      </w:pPr>
      <w:r>
        <w:t>Vzhľadom na dĺžku legislatívneho procesu a potrebnú legisvakanciu sa navrhuje, aby tento zákon nadobudol účinnosť 1. október 2009.</w:t>
      </w:r>
    </w:p>
    <w:p w:rsidR="000231E6">
      <w:pPr>
        <w:jc w:val="both"/>
      </w:pPr>
    </w:p>
    <w:p w:rsidR="000231E6">
      <w:pPr>
        <w:jc w:val="both"/>
      </w:pPr>
    </w:p>
    <w:sectPr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roma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isplayHorizont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31E6"/>
    <w:rsid w:val="00081E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color w:val="auto"/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</w:style>
  <w:style w:type="character" w:customStyle="1" w:styleId="WW8Num2z0">
    <w:name w:val="WW8Num2z0"/>
    <w:rPr>
      <w:b/>
      <w:rtl w:val="0"/>
    </w:rPr>
  </w:style>
  <w:style w:type="character" w:customStyle="1" w:styleId="WW8Num2z1">
    <w:name w:val="WW8Num2z1"/>
    <w:rPr>
      <w:rFonts w:ascii="Times New Roman" w:hAnsi="Times New Roman" w:cs="Times New Roman"/>
      <w:rtl w:val="0"/>
    </w:rPr>
  </w:style>
  <w:style w:type="character" w:customStyle="1" w:styleId="WW8Num3z0">
    <w:name w:val="WW8Num3z0"/>
    <w:rPr>
      <w:rFonts w:ascii="Times New Roman" w:hAnsi="Times New Roman" w:cs="Times New Roman"/>
      <w:rtl w:val="0"/>
    </w:rPr>
  </w:style>
  <w:style w:type="character" w:customStyle="1" w:styleId="WW8Num5z0">
    <w:name w:val="WW8Num5z0"/>
    <w:rPr>
      <w:rFonts w:ascii="Times New Roman" w:hAnsi="Times New Roman" w:cs="Times New Roman"/>
      <w:rtl w:val="0"/>
    </w:rPr>
  </w:style>
  <w:style w:type="character" w:customStyle="1" w:styleId="WW8Num5z1">
    <w:name w:val="WW8Num5z1"/>
    <w:rPr>
      <w:rFonts w:ascii="Courier New" w:hAnsi="Courier New" w:cs="Courier New"/>
      <w:rtl w:val="0"/>
    </w:rPr>
  </w:style>
  <w:style w:type="character" w:customStyle="1" w:styleId="WW8Num5z2">
    <w:name w:val="WW8Num5z2"/>
    <w:rPr>
      <w:rFonts w:ascii="Wingdings" w:hAnsi="Wingdings"/>
      <w:rtl w:val="0"/>
    </w:rPr>
  </w:style>
  <w:style w:type="character" w:customStyle="1" w:styleId="WW8Num5z3">
    <w:name w:val="WW8Num5z3"/>
    <w:rPr>
      <w:rFonts w:ascii="Symbol" w:hAnsi="Symbol"/>
      <w:rtl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Hyperlink">
    <w:name w:val="Hyperlink"/>
    <w:basedOn w:val="DefaultParagraphFont"/>
    <w:rPr>
      <w:rFonts w:ascii="Tahoma" w:hAnsi="Tahoma" w:cs="Tahoma"/>
      <w:color w:val="4B4B4B"/>
      <w:u w:val="single"/>
      <w:rtl w:val="0"/>
    </w:rPr>
  </w:style>
  <w:style w:type="character" w:customStyle="1" w:styleId="pointer">
    <w:name w:val="pointer"/>
    <w:basedOn w:val="DefaultParagraphFont"/>
  </w:style>
  <w:style w:type="character" w:customStyle="1" w:styleId="bonus">
    <w:name w:val="bonus"/>
    <w:basedOn w:val="DefaultParagraphFont"/>
  </w:style>
  <w:style w:type="character" w:customStyle="1" w:styleId="mini4">
    <w:name w:val="mini4"/>
    <w:basedOn w:val="DefaultParagraphFont"/>
    <w:rPr>
      <w:sz w:val="17"/>
      <w:szCs w:val="17"/>
      <w:rtl w:val="0"/>
    </w:rPr>
  </w:style>
  <w:style w:type="character" w:customStyle="1" w:styleId="pages1">
    <w:name w:val="pages1"/>
    <w:basedOn w:val="DefaultParagraphFont"/>
    <w:rPr>
      <w:sz w:val="17"/>
      <w:szCs w:val="17"/>
      <w:rtl w:val="0"/>
    </w:rPr>
  </w:style>
  <w:style w:type="character" w:customStyle="1" w:styleId="selectedpage1">
    <w:name w:val="selectedpage1"/>
    <w:basedOn w:val="DefaultParagraphFont"/>
    <w:rPr>
      <w:b/>
      <w:bCs/>
      <w:strike w:val="0"/>
      <w:dstrike w:val="0"/>
      <w:color w:val="B9000D"/>
      <w:u w:val="none"/>
      <w:rtl w:val="0"/>
    </w:rPr>
  </w:style>
  <w:style w:type="character" w:customStyle="1" w:styleId="new">
    <w:name w:val="new"/>
    <w:basedOn w:val="DefaultParagraphFont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  <w:jc w:val="left"/>
    </w:pPr>
  </w:style>
  <w:style w:type="paragraph" w:styleId="List">
    <w:name w:val="List"/>
    <w:basedOn w:val="BodyText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  <w:style w:type="paragraph" w:styleId="NormalWeb">
    <w:name w:val="Normal (Web)"/>
    <w:basedOn w:val="Normal"/>
    <w:pPr>
      <w:jc w:val="left"/>
    </w:pPr>
    <w:rPr>
      <w:rFonts w:ascii="Tahoma" w:hAnsi="Tahoma" w:cs="Tahoma"/>
      <w:color w:val="4B4B4B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pi.sk/Main/Default.aspx?Template=~/Main/THelp.ascx&amp;LngID=0&amp;zzsrlnkid=4047242&amp;VirtualDate=2009-05-25&amp;FragmentId=37537&amp;phContent=~/ZzSR/ShowRule.ascx&amp;RuleId=0&amp;FragmentId1=504115&amp;FragmentId2=504115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699</Words>
  <Characters>3985</Characters>
  <Application>Microsoft Office Word</Application>
  <DocSecurity>0</DocSecurity>
  <Lines>0</Lines>
  <Paragraphs>0</Paragraphs>
  <ScaleCrop>false</ScaleCrop>
  <Company>Kancelaria NR SR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Lucia_Zitnanska</cp:lastModifiedBy>
  <cp:revision>2</cp:revision>
  <cp:lastPrinted>2009-05-25T11:35:00Z</cp:lastPrinted>
  <dcterms:created xsi:type="dcterms:W3CDTF">2009-05-28T09:28:00Z</dcterms:created>
  <dcterms:modified xsi:type="dcterms:W3CDTF">2009-05-28T09:28:00Z</dcterms:modified>
</cp:coreProperties>
</file>