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CE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451CE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451CEF">
      <w:pPr>
        <w:jc w:val="right"/>
        <w:rPr>
          <w:rFonts w:ascii="Times New Roman" w:hAnsi="Times New Roman" w:cs="Times New Roman"/>
          <w:sz w:val="28"/>
        </w:rPr>
      </w:pPr>
    </w:p>
    <w:p w:rsidR="00451CEF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551871">
        <w:rPr>
          <w:rFonts w:ascii="Times New Roman" w:hAnsi="Times New Roman" w:cs="Times New Roman"/>
          <w:sz w:val="28"/>
        </w:rPr>
        <w:t>68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B13A87">
      <w:pPr>
        <w:ind w:left="3540" w:firstLine="708"/>
        <w:rPr>
          <w:rFonts w:ascii="Times New Roman" w:hAnsi="Times New Roman" w:cs="Times New Roman"/>
          <w:b/>
        </w:rPr>
      </w:pPr>
      <w:r w:rsidR="002D7084">
        <w:rPr>
          <w:rFonts w:ascii="Times New Roman" w:hAnsi="Times New Roman" w:cs="Times New Roman"/>
          <w:b/>
        </w:rPr>
        <w:t xml:space="preserve">        </w:t>
      </w:r>
      <w:r w:rsidR="00D85D5C">
        <w:rPr>
          <w:rFonts w:ascii="Times New Roman" w:hAnsi="Times New Roman" w:cs="Times New Roman"/>
          <w:b/>
        </w:rPr>
        <w:t xml:space="preserve"> 481</w:t>
      </w:r>
    </w:p>
    <w:p w:rsidR="00451CEF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</w:p>
    <w:p w:rsidR="00451CEF">
      <w:pPr>
        <w:ind w:right="-567"/>
        <w:jc w:val="center"/>
        <w:rPr>
          <w:rFonts w:ascii="Times New Roman" w:hAnsi="Times New Roman" w:cs="Times New Roman"/>
          <w:b/>
        </w:rPr>
      </w:pPr>
      <w:r w:rsidR="00551871">
        <w:rPr>
          <w:rFonts w:ascii="Times New Roman" w:hAnsi="Times New Roman" w:cs="Times New Roman"/>
          <w:b/>
        </w:rPr>
        <w:t>z 8</w:t>
      </w:r>
      <w:r>
        <w:rPr>
          <w:rFonts w:ascii="Times New Roman" w:hAnsi="Times New Roman" w:cs="Times New Roman"/>
          <w:b/>
        </w:rPr>
        <w:t xml:space="preserve">. </w:t>
      </w:r>
      <w:r w:rsidR="00551871">
        <w:rPr>
          <w:rFonts w:ascii="Times New Roman" w:hAnsi="Times New Roman" w:cs="Times New Roman"/>
          <w:b/>
        </w:rPr>
        <w:t>apríla 2009</w:t>
      </w:r>
    </w:p>
    <w:p w:rsidR="00451CEF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451CEF" w:rsidP="005A19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 prerokoval</w:t>
      </w:r>
      <w:r w:rsidRPr="005A1996" w:rsidR="005A1996">
        <w:rPr>
          <w:rFonts w:ascii="Times New Roman" w:hAnsi="Times New Roman" w:cs="Times New Roman"/>
        </w:rPr>
        <w:t xml:space="preserve"> </w:t>
      </w:r>
      <w:r w:rsidR="005A1996">
        <w:rPr>
          <w:rFonts w:ascii="Times New Roman" w:hAnsi="Times New Roman" w:cs="Times New Roman"/>
        </w:rPr>
        <w:t>n</w:t>
      </w:r>
      <w:r w:rsidRPr="00AB6BE0" w:rsidR="005A1996">
        <w:rPr>
          <w:rFonts w:ascii="Times New Roman" w:hAnsi="Times New Roman" w:cs="Times New Roman"/>
        </w:rPr>
        <w:t xml:space="preserve">ávrh poslankýň Národnej rady Slovenskej republiky </w:t>
      </w:r>
      <w:smartTag w:uri="urn:schemas-microsoft-com:office:smarttags" w:element="PersonName">
        <w:r w:rsidRPr="00AB6BE0" w:rsidR="005A1996">
          <w:rPr>
            <w:rFonts w:ascii="Times New Roman" w:hAnsi="Times New Roman" w:cs="Times New Roman"/>
          </w:rPr>
          <w:t>Kata</w:t>
        </w:r>
      </w:smartTag>
      <w:r w:rsidRPr="00AB6BE0" w:rsidR="005A1996">
        <w:rPr>
          <w:rFonts w:ascii="Times New Roman" w:hAnsi="Times New Roman" w:cs="Times New Roman"/>
        </w:rPr>
        <w:t>ríny TÓTHOVEJ a Ľudmily MUŠKOVEJ na vydanie zákona, ktorým sa mení a dopĺňa zákon Národnej rady Slovenskej republiky č. 219/1996 Z. z. o ochrane pred zneužívaním alkoholických nápojov a o zriaďovaní a prevádzke protialkoholických záchytných izieb a o zmene a doplnení niektorých zákonov (tlač 882)</w:t>
      </w:r>
      <w:r w:rsidR="005A1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 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súhlasí</w:t>
      </w:r>
    </w:p>
    <w:p w:rsidR="00451CEF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s </w:t>
      </w:r>
      <w:r w:rsidR="005A1996">
        <w:rPr>
          <w:rFonts w:ascii="Times New Roman" w:hAnsi="Times New Roman" w:cs="Times New Roman"/>
        </w:rPr>
        <w:t>n</w:t>
      </w:r>
      <w:r w:rsidRPr="00AB6BE0" w:rsidR="005A1996">
        <w:rPr>
          <w:rFonts w:ascii="Times New Roman" w:hAnsi="Times New Roman" w:cs="Times New Roman"/>
        </w:rPr>
        <w:t>ávrh</w:t>
      </w:r>
      <w:r w:rsidR="005A1996">
        <w:rPr>
          <w:rFonts w:ascii="Times New Roman" w:hAnsi="Times New Roman" w:cs="Times New Roman"/>
        </w:rPr>
        <w:t>om</w:t>
      </w:r>
      <w:r w:rsidRPr="00AB6BE0" w:rsidR="005A1996">
        <w:rPr>
          <w:rFonts w:ascii="Times New Roman" w:hAnsi="Times New Roman" w:cs="Times New Roman"/>
        </w:rPr>
        <w:t xml:space="preserve"> poslankýň Národnej rady Slovenskej republiky </w:t>
      </w:r>
      <w:smartTag w:uri="urn:schemas-microsoft-com:office:smarttags" w:element="PersonName">
        <w:r w:rsidRPr="00AB6BE0" w:rsidR="005A1996">
          <w:rPr>
            <w:rFonts w:ascii="Times New Roman" w:hAnsi="Times New Roman" w:cs="Times New Roman"/>
          </w:rPr>
          <w:t>Kata</w:t>
        </w:r>
      </w:smartTag>
      <w:r w:rsidRPr="00AB6BE0" w:rsidR="005A1996">
        <w:rPr>
          <w:rFonts w:ascii="Times New Roman" w:hAnsi="Times New Roman" w:cs="Times New Roman"/>
        </w:rPr>
        <w:t>ríny TÓTHOVEJ a Ľudmily MUŠKOVEJ na vydanie zákona, ktorým sa mení a dopĺňa zákon Národnej rady Slovenskej republiky č. 219/1996 Z. z. o ochrane pred zneužívaním alkoholických nápojov a o zriaďovaní a prevádzke protialkoholických záchytných izieb a o zmene a doplnení niektorých zákonov (tlač 882)</w:t>
      </w:r>
    </w:p>
    <w:p w:rsidR="00451CEF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lang w:val="sk-SK"/>
        </w:rPr>
        <w:t>odporúča</w:t>
      </w:r>
      <w:r>
        <w:rPr>
          <w:rFonts w:ascii="Times New Roman" w:hAnsi="Times New Roman" w:cs="Times New Roman"/>
          <w:bCs/>
          <w:lang w:val="sk-SK"/>
        </w:rPr>
        <w:t xml:space="preserve"> </w:t>
      </w:r>
    </w:p>
    <w:p w:rsidR="00451CEF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      </w:t>
      </w:r>
      <w:r>
        <w:rPr>
          <w:rFonts w:ascii="Times New Roman" w:hAnsi="Times New Roman" w:cs="Times New Roman"/>
          <w:lang w:val="sk-SK"/>
        </w:rPr>
        <w:t>Národnej rade Slovenskej republiky</w:t>
      </w:r>
    </w:p>
    <w:p w:rsidR="00451CEF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451CEF">
      <w:pPr>
        <w:pStyle w:val="BodyText"/>
        <w:spacing w:after="0"/>
        <w:ind w:left="1418" w:firstLine="709"/>
        <w:jc w:val="both"/>
        <w:rPr>
          <w:rFonts w:ascii="Times New Roman" w:hAnsi="Times New Roman" w:cs="Times New Roman"/>
          <w:b/>
        </w:rPr>
      </w:pPr>
      <w:r w:rsidR="005A1996">
        <w:rPr>
          <w:rFonts w:ascii="Times New Roman" w:hAnsi="Times New Roman" w:cs="Times New Roman"/>
        </w:rPr>
        <w:t>n</w:t>
      </w:r>
      <w:r w:rsidRPr="00AB6BE0" w:rsidR="005A1996">
        <w:rPr>
          <w:rFonts w:ascii="Times New Roman" w:hAnsi="Times New Roman" w:cs="Times New Roman"/>
        </w:rPr>
        <w:t xml:space="preserve">ávrh poslankýň Národnej rady Slovenskej republiky </w:t>
      </w:r>
      <w:smartTag w:uri="urn:schemas-microsoft-com:office:smarttags" w:element="PersonName">
        <w:r w:rsidRPr="00AB6BE0" w:rsidR="005A1996">
          <w:rPr>
            <w:rFonts w:ascii="Times New Roman" w:hAnsi="Times New Roman" w:cs="Times New Roman"/>
          </w:rPr>
          <w:t>Kata</w:t>
        </w:r>
      </w:smartTag>
      <w:r w:rsidRPr="00AB6BE0" w:rsidR="005A1996">
        <w:rPr>
          <w:rFonts w:ascii="Times New Roman" w:hAnsi="Times New Roman" w:cs="Times New Roman"/>
        </w:rPr>
        <w:t>ríny TÓTHOVEJ a Ľudmily MUŠKOVEJ na vydanie zákona, ktorým sa mení a dopĺňa zákon Národnej rady Slovenskej republiky č. 219/1996 Z. z. o ochrane pred zneužívaním alkoholických nápojov a o zriaďovaní a prevádzke protialkoholických záchytných izieb a o zmene a doplnení niektorých zákonov (tlač 882)</w:t>
      </w:r>
      <w:r w:rsidR="005A1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schváliť s pozmeňujúcimi a doplňujúcimi návrhmi tak, ako sú uvedené v prílohe tohto uznesenia</w:t>
      </w:r>
    </w:p>
    <w:p w:rsidR="00451CEF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</w:p>
    <w:p w:rsidR="00451CEF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51CEF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ukladá</w:t>
      </w:r>
    </w:p>
    <w:p w:rsidR="00451CEF">
      <w:pPr>
        <w:pStyle w:val="Heading5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predsedovi výboru</w:t>
      </w:r>
    </w:p>
    <w:p w:rsidR="00451CEF">
      <w:pPr>
        <w:ind w:left="1776"/>
        <w:rPr>
          <w:rFonts w:ascii="Times New Roman" w:hAnsi="Times New Roman" w:cs="Times New Roman"/>
          <w:b/>
        </w:rPr>
      </w:pPr>
    </w:p>
    <w:p w:rsidR="00451CEF">
      <w:pPr>
        <w:ind w:left="141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informovať predsedu Národnej rady Slovenskej republiky o výsledku prerokovania uvedeného návrhu vo výbore</w:t>
      </w:r>
    </w:p>
    <w:p w:rsidR="00451CEF">
      <w:pPr>
        <w:ind w:left="2850"/>
        <w:jc w:val="both"/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451CEF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</w:t>
      </w:r>
      <w:r>
        <w:rPr>
          <w:rFonts w:ascii="Times New Roman" w:hAnsi="Times New Roman" w:cs="Times New Roman"/>
          <w:b/>
          <w:bCs w:val="0"/>
        </w:rPr>
        <w:t xml:space="preserve">            Jozef  B u r i a n</w:t>
      </w:r>
    </w:p>
    <w:p w:rsidR="00451CEF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451CEF">
      <w:pPr>
        <w:pStyle w:val="Heading4"/>
        <w:jc w:val="right"/>
        <w:rPr>
          <w:rFonts w:ascii="Times New Roman" w:hAnsi="Times New Roman" w:cs="Times New Roman"/>
        </w:rPr>
      </w:pPr>
    </w:p>
    <w:p w:rsidR="00451CEF">
      <w:pPr>
        <w:pStyle w:val="Heading4"/>
        <w:rPr>
          <w:rFonts w:ascii="Times New Roman" w:hAnsi="Times New Roman" w:cs="Times New Roman"/>
        </w:rPr>
      </w:pPr>
    </w:p>
    <w:p w:rsidR="00451CE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Ivan Varga</w:t>
      </w:r>
    </w:p>
    <w:p w:rsidR="00451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overovateľ výboru</w:t>
      </w: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rPr>
          <w:rFonts w:ascii="Times New Roman" w:hAnsi="Times New Roman" w:cs="Times New Roman"/>
        </w:rPr>
      </w:pPr>
    </w:p>
    <w:p w:rsidR="00451CEF">
      <w:pPr>
        <w:pStyle w:val="Heading4"/>
        <w:rPr>
          <w:rFonts w:ascii="AT*Zurich Calligraphic" w:hAnsi="AT*Zurich Calligraphic" w:cs="Times New Roman"/>
        </w:rPr>
      </w:pPr>
    </w:p>
    <w:p w:rsidR="00451CE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 Slovenskej republiky</w:t>
      </w:r>
    </w:p>
    <w:p w:rsidR="00451CEF">
      <w:pPr>
        <w:rPr>
          <w:rFonts w:ascii="Times New Roman" w:hAnsi="Times New Roman" w:cs="Times New Roman"/>
          <w:sz w:val="28"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  <w:r>
        <w:rPr>
          <w:rFonts w:ascii="Times New Roman" w:hAnsi="Times New Roman" w:cs="Times New Roman"/>
          <w:sz w:val="28"/>
        </w:rPr>
        <w:t xml:space="preserve">                        </w:t>
      </w:r>
    </w:p>
    <w:p w:rsidR="00451CEF">
      <w:pPr>
        <w:jc w:val="right"/>
        <w:rPr>
          <w:rFonts w:ascii="Times New Roman" w:hAnsi="Times New Roman" w:cs="Times New Roman"/>
          <w:sz w:val="28"/>
        </w:rPr>
      </w:pPr>
    </w:p>
    <w:p w:rsidR="00451CE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="00A55F5D">
        <w:rPr>
          <w:rFonts w:ascii="Times New Roman" w:hAnsi="Times New Roman" w:cs="Times New Roman"/>
          <w:b/>
        </w:rPr>
        <w:t xml:space="preserve">č. </w:t>
      </w:r>
      <w:r w:rsidR="00D85D5C">
        <w:rPr>
          <w:rFonts w:ascii="Times New Roman" w:hAnsi="Times New Roman" w:cs="Times New Roman"/>
          <w:b/>
        </w:rPr>
        <w:t>481</w:t>
      </w:r>
    </w:p>
    <w:p w:rsidR="00451CEF">
      <w:pPr>
        <w:jc w:val="right"/>
        <w:rPr>
          <w:rFonts w:ascii="Times New Roman" w:hAnsi="Times New Roman" w:cs="Times New Roman"/>
          <w:b/>
        </w:rPr>
      </w:pPr>
      <w:r w:rsidR="00551871">
        <w:rPr>
          <w:rFonts w:ascii="Times New Roman" w:hAnsi="Times New Roman" w:cs="Times New Roman"/>
          <w:b/>
          <w:bCs w:val="0"/>
        </w:rPr>
        <w:t>68.</w:t>
      </w:r>
      <w:r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</w:rPr>
        <w:t>schôdza</w:t>
      </w:r>
    </w:p>
    <w:p w:rsidR="00451CEF">
      <w:pPr>
        <w:jc w:val="center"/>
        <w:rPr>
          <w:rFonts w:ascii="Times New Roman" w:hAnsi="Times New Roman" w:cs="Times New Roman"/>
          <w:b/>
          <w:bCs w:val="0"/>
        </w:rPr>
      </w:pPr>
    </w:p>
    <w:p w:rsidR="00451CEF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Pozmeňujúce a doplňujúce návrhy</w:t>
      </w:r>
    </w:p>
    <w:p w:rsidR="00451CEF" w:rsidRPr="005A199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k  </w:t>
      </w:r>
      <w:r w:rsidRPr="005A1996" w:rsidR="005A1996">
        <w:rPr>
          <w:rFonts w:ascii="Times New Roman" w:hAnsi="Times New Roman" w:cs="Times New Roman"/>
          <w:b/>
        </w:rPr>
        <w:t xml:space="preserve">návrhu poslankýň Národnej rady Slovenskej republiky </w:t>
      </w:r>
      <w:smartTag w:uri="urn:schemas-microsoft-com:office:smarttags" w:element="PersonName">
        <w:r w:rsidRPr="005A1996" w:rsidR="005A1996">
          <w:rPr>
            <w:rFonts w:ascii="Times New Roman" w:hAnsi="Times New Roman" w:cs="Times New Roman"/>
            <w:b/>
          </w:rPr>
          <w:t>Kata</w:t>
        </w:r>
      </w:smartTag>
      <w:r w:rsidRPr="005A1996" w:rsidR="005A1996">
        <w:rPr>
          <w:rFonts w:ascii="Times New Roman" w:hAnsi="Times New Roman" w:cs="Times New Roman"/>
          <w:b/>
        </w:rPr>
        <w:t>ríny TÓTHOVEJ a Ľudmily MUŠKOVEJ na vydanie zákona, ktorým sa mení a dopĺňa zákon Národnej rady Slovenskej republiky č. 219/1996 Z. z. o ochrane pred zneužívaním alkoholických nápojov a o zriaďovaní a prevádzke protialkoholických záchytných izieb a o zmene a doplnení niektorých zákonov (tlač 882)</w:t>
      </w:r>
    </w:p>
    <w:p w:rsidR="00451CEF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   </w:t>
      </w:r>
    </w:p>
    <w:p w:rsidR="00D85D5C" w:rsidP="00D85D5C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numPr>
          <w:ilvl w:val="0"/>
          <w:numId w:val="37"/>
        </w:numPr>
        <w:tabs>
          <w:tab w:val="left" w:pos="720"/>
        </w:tabs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čl. I, 1. bode sa v § 2 ods. 2 za slová „do 15“ vkladá slovo „rokov“.</w:t>
      </w:r>
    </w:p>
    <w:p w:rsidR="00D85D5C" w:rsidP="00D85D5C">
      <w:pPr>
        <w:overflowPunct w:val="0"/>
        <w:autoSpaceDE/>
        <w:autoSpaceDN/>
        <w:ind w:left="36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Legislatívno-technická úprava.</w:t>
      </w: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numPr>
          <w:ilvl w:val="0"/>
          <w:numId w:val="37"/>
        </w:numPr>
        <w:tabs>
          <w:tab w:val="left" w:pos="0"/>
          <w:tab w:val="clear" w:pos="720"/>
        </w:tabs>
        <w:overflowPunct w:val="0"/>
        <w:autoSpaceDE/>
        <w:autoSpaceDN/>
        <w:ind w:left="0" w:firstLine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čl. I sa v 2. bode slová „a sankcie“ nahrádzajú slovami „a iné sankcie“.</w:t>
      </w:r>
    </w:p>
    <w:p w:rsidR="00D85D5C" w:rsidP="00D85D5C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Upresnenie nadpisu, keďže pokuty sú tiež druhom sankcií. </w:t>
      </w: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numPr>
          <w:ilvl w:val="0"/>
          <w:numId w:val="37"/>
        </w:numPr>
        <w:tabs>
          <w:tab w:val="left" w:pos="0"/>
          <w:tab w:val="clear" w:pos="720"/>
        </w:tabs>
        <w:overflowPunct w:val="0"/>
        <w:autoSpaceDE/>
        <w:autoSpaceDN/>
        <w:ind w:left="0" w:firstLine="36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 čl. I, sa 3. a 4. bod spojí do jedného bodu, v ktorom úvodná veta bude znieť: „V § 12 sa </w:t>
      </w:r>
    </w:p>
    <w:p w:rsidR="00D85D5C" w:rsidP="00D85D5C">
      <w:pPr>
        <w:overflowPunct w:val="0"/>
        <w:autoSpaceDE/>
        <w:autoSpaceDN/>
        <w:ind w:left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 odsek 1 vkladajú nové odseky 2 a 3, ktoré znejú:“. Súčasne sa vypustí veta „Doterajšie odseky 2 až 4 sa označujú ako odseky 3 až 5.“.</w:t>
      </w:r>
    </w:p>
    <w:p w:rsidR="00D85D5C" w:rsidP="00D85D5C">
      <w:pPr>
        <w:overflowPunct w:val="0"/>
        <w:autoSpaceDE/>
        <w:autoSpaceDN/>
        <w:ind w:left="36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Legislatívno-technická úprava. </w:t>
      </w: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numPr>
          <w:ilvl w:val="0"/>
          <w:numId w:val="37"/>
        </w:numPr>
        <w:tabs>
          <w:tab w:val="left" w:pos="720"/>
        </w:tabs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čl. I, 4. bode sa § 12 ods. 3 slová „verejne prístupné miestnosti“ nahrádzajú slovami „verejne prístupné miesta a miestnosti“.</w:t>
      </w:r>
    </w:p>
    <w:p w:rsidR="00D85D5C" w:rsidP="00D85D5C">
      <w:pPr>
        <w:overflowPunct w:val="0"/>
        <w:autoSpaceDE/>
        <w:autoSpaceDN/>
        <w:ind w:left="18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Úprava v nadväznosti na § 17 ods. 1 zákona SNR č. 372/1990 Zb. o priestupkoch, podľa ktorého jedným z ochranných opatrení je obmedzujúce opatrenie spočívajúce </w:t>
      </w:r>
      <w:r w:rsidRPr="00941AB9">
        <w:rPr>
          <w:rFonts w:ascii="Times New Roman" w:hAnsi="Times New Roman" w:cs="Times New Roman"/>
          <w:szCs w:val="20"/>
        </w:rPr>
        <w:tab/>
        <w:t>v zákaze navštevovať určené verejne prístupné miesta a</w:t>
      </w:r>
      <w:r>
        <w:rPr>
          <w:rFonts w:ascii="Times New Roman" w:hAnsi="Times New Roman" w:cs="Times New Roman"/>
          <w:szCs w:val="20"/>
        </w:rPr>
        <w:t> </w:t>
      </w:r>
      <w:r w:rsidRPr="00941AB9">
        <w:rPr>
          <w:rFonts w:ascii="Times New Roman" w:hAnsi="Times New Roman" w:cs="Times New Roman"/>
          <w:szCs w:val="20"/>
        </w:rPr>
        <w:t>miestnosti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numPr>
          <w:ilvl w:val="0"/>
          <w:numId w:val="37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 čl. I, 5. bode sa v § 12 ods. 5 za slovo „vzťahujú“ vkladá slovo „všeobecné“.</w:t>
      </w:r>
    </w:p>
    <w:p w:rsidR="00D85D5C" w:rsidP="00D85D5C">
      <w:pPr>
        <w:overflowPunct w:val="0"/>
        <w:autoSpaceDE/>
        <w:autoSpaceDN/>
        <w:ind w:left="18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Legislatívno-technická úprava. </w:t>
      </w: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numPr>
          <w:ilvl w:val="0"/>
          <w:numId w:val="37"/>
        </w:numPr>
        <w:tabs>
          <w:tab w:val="left" w:pos="0"/>
          <w:tab w:val="clear" w:pos="720"/>
        </w:tabs>
        <w:overflowPunct w:val="0"/>
        <w:autoSpaceDE/>
        <w:autoSpaceDN/>
        <w:ind w:left="180" w:firstLine="1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 čl. II sa veta „Doterajšie odseky 10 a 11 sa označujú ako odseky 11 a 12.“ sa nahrádza </w:t>
      </w:r>
    </w:p>
    <w:p w:rsidR="00D85D5C" w:rsidP="00D85D5C">
      <w:pPr>
        <w:overflowPunct w:val="0"/>
        <w:autoSpaceDE/>
        <w:autoSpaceDN/>
        <w:ind w:left="1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vetou „Doterajšie odseky 10 až 14 sa označujú ako odseky 11 až 15.“. </w:t>
      </w: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</w:p>
    <w:p w:rsidR="00D85D5C" w:rsidP="00D85D5C">
      <w:pPr>
        <w:overflowPunct w:val="0"/>
        <w:autoSpaceDE/>
        <w:autoSpaceDN/>
        <w:ind w:left="3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Legislatívno-technická úprava. </w:t>
      </w:r>
    </w:p>
    <w:p w:rsidR="005C783E" w:rsidP="00843D52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540" w:right="1134" w:bottom="907" w:left="1361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43D52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52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85D5C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43D52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1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11F3FBE"/>
    <w:multiLevelType w:val="hybridMultilevel"/>
    <w:tmpl w:val="3E9C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C279E"/>
    <w:multiLevelType w:val="hybridMultilevel"/>
    <w:tmpl w:val="022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sz w:val="22"/>
        <w:rtl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b/>
        <w:sz w:val="22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25"/>
  </w:num>
  <w:num w:numId="6">
    <w:abstractNumId w:val="7"/>
  </w:num>
  <w:num w:numId="7">
    <w:abstractNumId w:val="16"/>
  </w:num>
  <w:num w:numId="8">
    <w:abstractNumId w:val="29"/>
  </w:num>
  <w:num w:numId="9">
    <w:abstractNumId w:val="30"/>
  </w:num>
  <w:num w:numId="10">
    <w:abstractNumId w:val="17"/>
  </w:num>
  <w:num w:numId="11">
    <w:abstractNumId w:val="24"/>
  </w:num>
  <w:num w:numId="12">
    <w:abstractNumId w:val="22"/>
  </w:num>
  <w:num w:numId="13">
    <w:abstractNumId w:val="34"/>
  </w:num>
  <w:num w:numId="14">
    <w:abstractNumId w:val="35"/>
  </w:num>
  <w:num w:numId="15">
    <w:abstractNumId w:val="15"/>
  </w:num>
  <w:num w:numId="16">
    <w:abstractNumId w:val="27"/>
  </w:num>
  <w:num w:numId="17">
    <w:abstractNumId w:val="8"/>
  </w:num>
  <w:num w:numId="18">
    <w:abstractNumId w:val="32"/>
  </w:num>
  <w:num w:numId="19">
    <w:abstractNumId w:val="26"/>
  </w:num>
  <w:num w:numId="20">
    <w:abstractNumId w:val="5"/>
  </w:num>
  <w:num w:numId="21">
    <w:abstractNumId w:val="9"/>
  </w:num>
  <w:num w:numId="22">
    <w:abstractNumId w:val="0"/>
  </w:num>
  <w:num w:numId="23">
    <w:abstractNumId w:val="28"/>
  </w:num>
  <w:num w:numId="24">
    <w:abstractNumId w:val="4"/>
  </w:num>
  <w:num w:numId="25">
    <w:abstractNumId w:val="12"/>
  </w:num>
  <w:num w:numId="26">
    <w:abstractNumId w:val="14"/>
  </w:num>
  <w:num w:numId="27">
    <w:abstractNumId w:val="20"/>
  </w:num>
  <w:num w:numId="28">
    <w:abstractNumId w:val="19"/>
  </w:num>
  <w:num w:numId="29">
    <w:abstractNumId w:val="2"/>
  </w:num>
  <w:num w:numId="30">
    <w:abstractNumId w:val="11"/>
  </w:num>
  <w:num w:numId="31">
    <w:abstractNumId w:val="23"/>
  </w:num>
  <w:num w:numId="32">
    <w:abstractNumId w:val="3"/>
  </w:num>
  <w:num w:numId="33">
    <w:abstractNumId w:val="18"/>
  </w:num>
  <w:num w:numId="34">
    <w:abstractNumId w:val="31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D7084"/>
    <w:rsid w:val="00451CEF"/>
    <w:rsid w:val="00551871"/>
    <w:rsid w:val="005A1996"/>
    <w:rsid w:val="005C783E"/>
    <w:rsid w:val="00843D52"/>
    <w:rsid w:val="00941AB9"/>
    <w:rsid w:val="00A55F5D"/>
    <w:rsid w:val="00AB6BE0"/>
    <w:rsid w:val="00B13A87"/>
    <w:rsid w:val="00D85D5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2">
    <w:name w:val="Body Text 2"/>
    <w:basedOn w:val="Normal"/>
    <w:pPr>
      <w:spacing w:after="120" w:line="480" w:lineRule="auto"/>
      <w:jc w:val="left"/>
    </w:p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  <w:jc w:val="left"/>
    </w:pPr>
    <w:rPr>
      <w:rFonts w:ascii="Tahoma" w:hAnsi="Tahoma" w:cs="Tahoma"/>
      <w:bCs w:val="0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pPr>
      <w:spacing w:after="160" w:line="240" w:lineRule="exact"/>
      <w:jc w:val="left"/>
    </w:pPr>
    <w:rPr>
      <w:rFonts w:ascii="Tahoma" w:hAnsi="Tahoma"/>
      <w:bCs w:val="0"/>
      <w:sz w:val="20"/>
      <w:szCs w:val="20"/>
    </w:rPr>
  </w:style>
  <w:style w:type="paragraph" w:styleId="List">
    <w:name w:val="List"/>
    <w:basedOn w:val="Normal"/>
    <w:pPr>
      <w:ind w:left="283" w:hanging="283"/>
      <w:jc w:val="left"/>
    </w:pPr>
    <w:rPr>
      <w:bCs w:val="0"/>
    </w:rPr>
  </w:style>
  <w:style w:type="paragraph" w:styleId="List2">
    <w:name w:val="List 2"/>
    <w:basedOn w:val="Normal"/>
    <w:pPr>
      <w:ind w:left="566" w:hanging="283"/>
      <w:jc w:val="left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  <w:jc w:val="left"/>
    </w:pPr>
    <w:rPr>
      <w:rFonts w:ascii="Tahoma" w:hAnsi="Tahoma" w:cs="Tahoma"/>
      <w:bCs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616</TotalTime>
  <Pages>1</Pages>
  <Words>552</Words>
  <Characters>3149</Characters>
  <Application>Microsoft Office Word</Application>
  <DocSecurity>0</DocSecurity>
  <Lines>0</Lines>
  <Paragraphs>0</Paragraphs>
  <ScaleCrop>false</ScaleCrop>
  <Company>Kancelária NR SR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250</cp:revision>
  <cp:lastPrinted>2008-06-13T13:49:00Z</cp:lastPrinted>
  <dcterms:created xsi:type="dcterms:W3CDTF">2003-06-05T10:59:00Z</dcterms:created>
  <dcterms:modified xsi:type="dcterms:W3CDTF">2009-04-08T08:51:00Z</dcterms:modified>
</cp:coreProperties>
</file>