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3B71" w:rsidRPr="007400F8" w:rsidP="00D03B71">
      <w:pPr>
        <w:pageBreakBefore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00F8">
        <w:rPr>
          <w:rFonts w:ascii="Times New Roman" w:hAnsi="Times New Roman" w:cs="Times New Roman"/>
          <w:b/>
          <w:bCs/>
          <w:sz w:val="26"/>
          <w:szCs w:val="26"/>
        </w:rPr>
        <w:t>Dôvodová správa</w:t>
      </w:r>
    </w:p>
    <w:p w:rsidR="00D03B71" w:rsidRPr="007400F8" w:rsidP="00D03B71">
      <w:pPr>
        <w:pStyle w:val="FootnoteText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03B71" w:rsidRPr="007400F8" w:rsidP="00D03B71">
      <w:pPr>
        <w:pStyle w:val="FootnoteText"/>
        <w:numPr>
          <w:ilvl w:val="0"/>
          <w:numId w:val="2"/>
        </w:numPr>
        <w:tabs>
          <w:tab w:val="left" w:pos="700"/>
        </w:tabs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0F8">
        <w:rPr>
          <w:rFonts w:ascii="Times New Roman" w:hAnsi="Times New Roman" w:cs="Times New Roman"/>
          <w:b/>
          <w:sz w:val="24"/>
          <w:szCs w:val="24"/>
          <w:u w:val="single"/>
        </w:rPr>
        <w:t>Všeobecná časť</w:t>
      </w:r>
    </w:p>
    <w:p w:rsidR="00D03B71" w:rsidRPr="007400F8" w:rsidP="00D03B71">
      <w:pPr>
        <w:pStyle w:val="FootnoteText"/>
        <w:tabs>
          <w:tab w:val="left" w:pos="7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ab/>
      </w: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súvislosti s vývojom Európskej únie sa stále častejšie poukazuje na tzv. demokratický deficit, čiže na nedostatok demokracie v Európskej únii. Tento nedostatok demokracie sa prejavuje tak, že právne záväzné dokumenty, ktoré sa prijímajú na úrovni Európskej únie, sú schvaľované spôsobom málo prehľadným a v podstate skrytým pred zrakmi občanov členských štátov Európskej únie.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Parlamenty členských štátov, ktoré sú pod lepšou kontrolou občanov ako inštitúcie EÚ, sa stávajú viac-menej prevodovými zariadeniami, automaticky a priamo prenášajúcimi právne normy EÚ do zákonodarstva členských štátov.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Jednou z príčin tohto stavu je neúmerne a zbytočne veľké množstvo kompetencií, ktoré boli prenesené alebo sa v súčasnosti prenášajú v procese schvaľovania Lisabonskej zmluvy z členských štátov na úroveň EÚ. Tento prenos kompetencií sa vykonáva poväčšine bez priameho súhlasu občanov. 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Situáciu ešte viac zhoršuje prax upúšťania od schvaľovania zmien zmlúv o Európskej únii a Európskych spoločenstvách referendom. Po skúsenostiach s referendami vo Francúzsku a Holandsku v roku 2005, v ktorých občania odmietli Ústavnú zmluvu EÚ, tieto krajiny upustili od referenda o Lisabonskej zmluve, hoci táto je obsahovo totožná s odmietnutou Ústavnou</w:t>
      </w:r>
      <w:r>
        <w:rPr>
          <w:rFonts w:ascii="Times New Roman" w:hAnsi="Times New Roman" w:cs="Times New Roman"/>
        </w:rPr>
        <w:t xml:space="preserve"> zmluvou.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Nedostatok demokracie sa prehlbuje i neblahou praxou opakovania referenda o tej istej zmluve v prípade, že na prvý krát občania zmluvu odmietnu. To sa v minulosti stalo v Írsku, ktorého občania odmietli v referende tzv. „zmluvu z Nice“. Referendum sa opakovalo a na druhý krát bola zmluva schválená. Ďalším prípadom je referendum o Lisabonskej zmluve, konané v Írsku v roku 2008. Po odmietnutí zmluvy írskymi občanmi dochádza k tlaku na Írsko, aby sa referendum opakovalo. Z toho vyplýva posilnenie dojmu, že občania v Európskej únii o ničom nerozhodujú. 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Tak isto proces schvaľovania Lisabonskej zmluvy v Slovenskej republike prešiel bez akejkoľvek spoločenskej diskusie. Pritom sa jedná o prenos veľkého množstva kompetencií zo Slovenskej republiky na </w:t>
      </w:r>
      <w:r>
        <w:rPr>
          <w:rFonts w:ascii="Times New Roman" w:hAnsi="Times New Roman" w:cs="Times New Roman"/>
        </w:rPr>
        <w:t>Európsku úniu a výrazne sa oslabuje právo veta členských štátov.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Rozsiahly prenos kompetencií na EÚ vyvoláva vážne otázky, či nedochádza k zániku štátnosti členských krajín a k vytvoreniu „superštátu“, ktorým je Európska únia, a či sa to nedeje bez vedomia občanov členských krajín. Túto otázku riešia ústavné súdy členských krajín. Mnoho ústavných právnikov a mnoho politikov EÚ sa prikláňa k názoru, že sa nachádzame práve v prechodnom období od štátnosti členských krajín k štátnosti európskej.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mnohých krajinách EÚ táto otázka vedie k nedôvere k inštitúciám EÚ a k vzniku hnutí proti nedemokratickej mašinérii EÚ. V Slovenskej republike je zatiaľ takýto proces iba v začiatkoch, ale je vhodné reagovať v predstihu. Správnou reakciou je vtiahnutie občanov Slovenskej republiky do schvaľovacieho procesu ďalších zásadných zmien v EÚ, najmä do procesu schvaľovania zmien zmlúv o EÚ.</w:t>
      </w: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takejto situácii je namieste požiadavka, aby o každom ďalšom prenesení kompetencií na EÚ rozhodovali priamo občania v referende. Preto sa navrhuje zmena ústavy SR, podľa ktorej sa každý prenos kompetencií zo SR na Európsku úniu musí schváliť ústavným zákonom, potvrdeným v referende.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 w:rsidRPr="007400F8">
        <w:rPr>
          <w:rFonts w:ascii="Times New Roman" w:hAnsi="Times New Roman" w:cs="Times New Roman"/>
        </w:rPr>
        <w:tab/>
      </w:r>
    </w:p>
    <w:p w:rsidR="00D03B71" w:rsidRPr="007400F8" w:rsidP="00D03B71">
      <w:pPr>
        <w:pStyle w:val="Heading4"/>
        <w:jc w:val="both"/>
        <w:rPr>
          <w:rFonts w:ascii="Times New Roman" w:hAnsi="Times New Roman" w:cs="Times New Roman"/>
          <w:sz w:val="24"/>
          <w:szCs w:val="24"/>
        </w:rPr>
      </w:pPr>
      <w:r w:rsidRPr="007400F8">
        <w:rPr>
          <w:rFonts w:ascii="Times New Roman" w:hAnsi="Times New Roman" w:cs="Times New Roman"/>
          <w:sz w:val="24"/>
          <w:szCs w:val="24"/>
        </w:rPr>
        <w:t>B.</w:t>
        <w:tab/>
      </w:r>
      <w:r w:rsidRPr="007400F8">
        <w:rPr>
          <w:rFonts w:ascii="Times New Roman" w:hAnsi="Times New Roman" w:cs="Times New Roman"/>
          <w:sz w:val="24"/>
          <w:szCs w:val="24"/>
          <w:u w:val="single"/>
        </w:rPr>
        <w:t>Osobitná časť</w:t>
      </w:r>
    </w:p>
    <w:p w:rsidR="00D03B71" w:rsidRPr="007400F8" w:rsidP="00D03B71">
      <w:pPr>
        <w:spacing w:after="80"/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K čl. I:</w:t>
      </w:r>
    </w:p>
    <w:p w:rsidR="00D03B71" w:rsidP="00D03B71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K bodu 1: </w:t>
      </w:r>
    </w:p>
    <w:p w:rsidR="00D03B71" w:rsidRPr="0075517F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Navrhuje sa, aby bol p</w:t>
      </w:r>
      <w:r w:rsidRPr="0075517F">
        <w:rPr>
          <w:rFonts w:ascii="Times New Roman" w:hAnsi="Times New Roman" w:cs="Times New Roman"/>
          <w:noProof/>
        </w:rPr>
        <w:t>renos výkonu časti práv medzinárodnou zmluvou podľa ods. 2 schválený ústavným zákonom, ktorý sa potvrdí referendom.</w:t>
      </w:r>
    </w:p>
    <w:p w:rsidR="00D03B71" w:rsidP="00D03B71">
      <w:pPr>
        <w:jc w:val="both"/>
        <w:rPr>
          <w:rFonts w:ascii="Times New Roman" w:hAnsi="Times New Roman" w:cs="Times New Roman"/>
        </w:rPr>
      </w:pPr>
    </w:p>
    <w:p w:rsidR="00D03B71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bodu 2: </w:t>
      </w:r>
    </w:p>
    <w:p w:rsidR="00D03B71" w:rsidRPr="0075517F" w:rsidP="00D03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že r</w:t>
      </w:r>
      <w:r w:rsidRPr="0075517F">
        <w:rPr>
          <w:rFonts w:ascii="Times New Roman" w:hAnsi="Times New Roman" w:cs="Times New Roman"/>
          <w:noProof/>
        </w:rPr>
        <w:t>eferendom sa potvrdí ústavný zákon o vstupe do štátneho zväzku s inými štátmi alebo o vystúpení z tohto zväzku. Referendom sa potvrdí ústavný zákon o prenose časti práv Slovenskej republiky na Európsku úniu a Európske spoločenstvá podľa čl. 7 ods. 2.</w:t>
      </w:r>
    </w:p>
    <w:p w:rsidR="00D03B71" w:rsidRPr="007400F8" w:rsidP="00D03B71">
      <w:pPr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jc w:val="both"/>
        <w:rPr>
          <w:rFonts w:ascii="Times New Roman" w:hAnsi="Times New Roman" w:cs="Times New Roman"/>
          <w:bCs/>
        </w:rPr>
      </w:pPr>
      <w:r w:rsidRPr="007400F8">
        <w:rPr>
          <w:rFonts w:ascii="Times New Roman" w:hAnsi="Times New Roman" w:cs="Times New Roman"/>
          <w:bCs/>
        </w:rPr>
        <w:t>K čl. II:</w:t>
      </w:r>
    </w:p>
    <w:p w:rsidR="00D03B71" w:rsidRPr="007400F8" w:rsidP="00D03B7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Účinnosť ústavného zákona sa navrhuje dňom 1. januára 2010.</w:t>
      </w:r>
    </w:p>
    <w:p w:rsidR="00D03B71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RPr="007400F8" w:rsidP="00D03B71">
      <w:pPr>
        <w:pStyle w:val="BodyText2"/>
        <w:jc w:val="both"/>
        <w:rPr>
          <w:rFonts w:ascii="Times New Roman" w:hAnsi="Times New Roman" w:cs="Times New Roman"/>
        </w:rPr>
      </w:pPr>
    </w:p>
    <w:p w:rsidR="00D03B71" w:rsidP="00D03B71">
      <w:pPr>
        <w:pStyle w:val="BodyText2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72C"/>
    <w:multiLevelType w:val="hybridMultilevel"/>
    <w:tmpl w:val="AFA6F494"/>
    <w:lvl w:ilvl="0">
      <w:start w:val="1"/>
      <w:numFmt w:val="upperLetter"/>
      <w:lvlText w:val="%1."/>
      <w:lvlJc w:val="left"/>
      <w:pPr>
        <w:ind w:left="1856" w:hanging="360"/>
      </w:pPr>
    </w:lvl>
    <w:lvl w:ilvl="1">
      <w:start w:val="1"/>
      <w:numFmt w:val="lowerLetter"/>
      <w:lvlText w:val="%2."/>
      <w:lvlJc w:val="left"/>
      <w:pPr>
        <w:ind w:left="2576" w:hanging="360"/>
      </w:pPr>
    </w:lvl>
    <w:lvl w:ilvl="2">
      <w:start w:val="1"/>
      <w:numFmt w:val="lowerRoman"/>
      <w:lvlText w:val="%3."/>
      <w:lvlJc w:val="right"/>
      <w:pPr>
        <w:ind w:left="3296" w:hanging="180"/>
      </w:pPr>
    </w:lvl>
    <w:lvl w:ilvl="3">
      <w:start w:val="1"/>
      <w:numFmt w:val="decimal"/>
      <w:lvlText w:val="%4."/>
      <w:lvlJc w:val="left"/>
      <w:pPr>
        <w:ind w:left="4016" w:hanging="360"/>
      </w:pPr>
    </w:lvl>
    <w:lvl w:ilvl="4">
      <w:start w:val="1"/>
      <w:numFmt w:val="lowerLetter"/>
      <w:lvlText w:val="%5."/>
      <w:lvlJc w:val="left"/>
      <w:pPr>
        <w:ind w:left="4736" w:hanging="360"/>
      </w:pPr>
    </w:lvl>
    <w:lvl w:ilvl="5">
      <w:start w:val="1"/>
      <w:numFmt w:val="lowerRoman"/>
      <w:lvlText w:val="%6."/>
      <w:lvlJc w:val="right"/>
      <w:pPr>
        <w:ind w:left="5456" w:hanging="180"/>
      </w:pPr>
    </w:lvl>
    <w:lvl w:ilvl="6">
      <w:start w:val="1"/>
      <w:numFmt w:val="decimal"/>
      <w:lvlText w:val="%7."/>
      <w:lvlJc w:val="left"/>
      <w:pPr>
        <w:ind w:left="6176" w:hanging="360"/>
      </w:pPr>
    </w:lvl>
    <w:lvl w:ilvl="7">
      <w:start w:val="1"/>
      <w:numFmt w:val="lowerLetter"/>
      <w:lvlText w:val="%8."/>
      <w:lvlJc w:val="left"/>
      <w:pPr>
        <w:ind w:left="6896" w:hanging="360"/>
      </w:pPr>
    </w:lvl>
    <w:lvl w:ilvl="8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D6813B0"/>
    <w:multiLevelType w:val="hybridMultilevel"/>
    <w:tmpl w:val="5D32E5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7400F8"/>
    <w:rsid w:val="0075517F"/>
    <w:rsid w:val="00D03B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B7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D03B7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Subtitle">
    <w:name w:val="Subtitle"/>
    <w:basedOn w:val="Normal"/>
    <w:qFormat/>
    <w:rsid w:val="00D03B71"/>
    <w:pPr>
      <w:jc w:val="center"/>
    </w:pPr>
    <w:rPr>
      <w:b/>
      <w:szCs w:val="20"/>
    </w:rPr>
  </w:style>
  <w:style w:type="paragraph" w:styleId="BodyTextIndent2">
    <w:name w:val="Body Text Indent 2"/>
    <w:basedOn w:val="Normal"/>
    <w:rsid w:val="00D03B71"/>
    <w:pPr>
      <w:spacing w:after="120" w:line="480" w:lineRule="auto"/>
      <w:ind w:left="283"/>
      <w:jc w:val="left"/>
    </w:pPr>
  </w:style>
  <w:style w:type="paragraph" w:styleId="FootnoteText">
    <w:name w:val="footnote text"/>
    <w:basedOn w:val="Normal"/>
    <w:link w:val="CharChar"/>
    <w:semiHidden/>
    <w:rsid w:val="00D03B71"/>
    <w:pPr>
      <w:jc w:val="both"/>
    </w:pPr>
    <w:rPr>
      <w:sz w:val="20"/>
      <w:szCs w:val="20"/>
    </w:rPr>
  </w:style>
  <w:style w:type="character" w:customStyle="1" w:styleId="CharChar">
    <w:name w:val="Char Char"/>
    <w:basedOn w:val="DefaultParagraphFont"/>
    <w:link w:val="FootnoteText"/>
    <w:semiHidden/>
    <w:rsid w:val="00D03B71"/>
    <w:rPr>
      <w:rtl w:val="0"/>
      <w:lang w:val="sk-SK" w:bidi="ar-SA"/>
    </w:rPr>
  </w:style>
  <w:style w:type="paragraph" w:styleId="BodyText2">
    <w:name w:val="Body Text 2"/>
    <w:basedOn w:val="Normal"/>
    <w:rsid w:val="00D03B71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565</Words>
  <Characters>3223</Characters>
  <Application>Microsoft Office Word</Application>
  <DocSecurity>0</DocSecurity>
  <Lines>0</Lines>
  <Paragraphs>0</Paragraphs>
  <ScaleCrop>false</ScaleCrop>
  <Company>Kancelaria NR SR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Vladimir.Palko</dc:creator>
  <cp:lastModifiedBy>ViniFili</cp:lastModifiedBy>
  <cp:revision>2</cp:revision>
  <dcterms:created xsi:type="dcterms:W3CDTF">2009-03-30T13:02:00Z</dcterms:created>
  <dcterms:modified xsi:type="dcterms:W3CDTF">2009-04-01T07:23:00Z</dcterms:modified>
</cp:coreProperties>
</file>