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0E5E20">
      <w:pPr>
        <w:pStyle w:val="Title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NÁRODNÁ RADA SLOVENSKEJ REPUBLIKY</w:t>
      </w:r>
    </w:p>
    <w:p w:rsidR="000E5E20">
      <w:pPr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IV. volebné obdobie</w:t>
      </w:r>
    </w:p>
    <w:p w:rsidR="000E5E20">
      <w:pPr>
        <w:spacing w:line="360" w:lineRule="auto"/>
        <w:jc w:val="center"/>
        <w:rPr>
          <w:rFonts w:ascii="Times New Roman" w:hAnsi="Times New Roman" w:cs="Times New Roman"/>
          <w:szCs w:val="32"/>
        </w:rPr>
      </w:pPr>
    </w:p>
    <w:p w:rsidR="000E5E20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Návrh</w:t>
      </w:r>
    </w:p>
    <w:p w:rsidR="000E5E20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</w:p>
    <w:p w:rsidR="000E5E20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zákon</w:t>
      </w:r>
    </w:p>
    <w:p w:rsidR="000E5E20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z  </w:t>
      </w:r>
      <w:r>
        <w:rPr>
          <w:rFonts w:ascii="Times New Roman" w:hAnsi="Times New Roman" w:cs="Times New Roman"/>
        </w:rPr>
        <w:t xml:space="preserve">........................ </w:t>
      </w:r>
      <w:r>
        <w:rPr>
          <w:rFonts w:ascii="Times New Roman" w:hAnsi="Times New Roman" w:cs="Times New Roman"/>
          <w:b/>
          <w:bCs/>
        </w:rPr>
        <w:t xml:space="preserve"> 2009,</w:t>
      </w:r>
    </w:p>
    <w:p w:rsidR="000E5E20">
      <w:pPr>
        <w:pStyle w:val="BodyText2"/>
        <w:spacing w:line="300" w:lineRule="atLeas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ktorým sa mení a dopĺňa zákon č. 311/2001 Z. z. Zákonník práce v znení neskorších predpisov a zákon č. 2/1991 Zb. o kolektívnom vyjednávaní v znení nesko</w:t>
      </w:r>
      <w:r>
        <w:rPr>
          <w:rFonts w:ascii="Times New Roman" w:hAnsi="Times New Roman" w:cs="Times New Roman"/>
        </w:rPr>
        <w:t>rších predpisov</w:t>
      </w:r>
    </w:p>
    <w:p w:rsidR="000E5E20">
      <w:pPr>
        <w:spacing w:line="300" w:lineRule="atLeast"/>
        <w:jc w:val="center"/>
        <w:rPr>
          <w:rFonts w:ascii="Times New Roman" w:hAnsi="Times New Roman" w:cs="Times New Roman"/>
        </w:rPr>
      </w:pPr>
    </w:p>
    <w:p w:rsidR="000E5E20">
      <w:pPr>
        <w:spacing w:line="300" w:lineRule="atLeas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Národná rada Slovenskej republiky sa uzniesla na tomto zákone:</w:t>
      </w:r>
    </w:p>
    <w:p w:rsidR="000E5E20">
      <w:pPr>
        <w:spacing w:line="300" w:lineRule="atLeast"/>
        <w:jc w:val="center"/>
        <w:rPr>
          <w:rFonts w:ascii="Times New Roman" w:hAnsi="Times New Roman" w:cs="Times New Roman"/>
        </w:rPr>
      </w:pPr>
    </w:p>
    <w:p w:rsidR="000E5E20">
      <w:pPr>
        <w:spacing w:line="300" w:lineRule="atLeast"/>
        <w:jc w:val="center"/>
        <w:rPr>
          <w:rFonts w:ascii="Times New Roman" w:hAnsi="Times New Roman" w:cs="Times New Roman"/>
        </w:rPr>
      </w:pPr>
    </w:p>
    <w:p w:rsidR="000E5E20">
      <w:pPr>
        <w:pStyle w:val="Heading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Čl. I</w:t>
      </w:r>
    </w:p>
    <w:p w:rsidR="000E5E20">
      <w:pPr>
        <w:pStyle w:val="BodyText"/>
        <w:spacing w:line="300" w:lineRule="atLeast"/>
        <w:ind w:firstLine="720"/>
        <w:jc w:val="both"/>
        <w:rPr>
          <w:rFonts w:ascii="Times New Roman" w:hAnsi="Times New Roman" w:cs="Times New Roman"/>
        </w:rPr>
      </w:pPr>
    </w:p>
    <w:p w:rsidR="000E5E20" w:rsidP="00E20D5F">
      <w:pPr>
        <w:spacing w:line="300" w:lineRule="atLeast"/>
        <w:ind w:left="1416" w:hanging="141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Zákon č. 311/2001 Z. z. Zákonník práce v znení zákona č. </w:t>
      </w:r>
      <w:r w:rsidRPr="00E20D5F">
        <w:rPr>
          <w:rFonts w:ascii="Times New Roman" w:hAnsi="Times New Roman" w:cs="Times New Roman"/>
        </w:rPr>
        <w:t>165/2002 Z. z.,</w:t>
      </w:r>
      <w:r>
        <w:rPr>
          <w:rFonts w:ascii="Times New Roman" w:hAnsi="Times New Roman" w:cs="Times New Roman"/>
        </w:rPr>
        <w:t xml:space="preserve"> zákona č. 408/2002 Z. z., zákona č. 413/2002 Z. z., zákona č. 210/2003 Z. z., zákona č. 461/2003 Z. z., zákona č. 5/2004 Z. z., zákona č. 365/2004 Z. z., zákona č. 82/2005 Z. z., zákona č. 131/2005 Z. z., 244/2005 Z. z., 570/2005 Z. z., zákona č. 124/2006 Z. z., zákona č. 231/2006 Z. z., zákona č. 348/2007 Z. z., zákona č. 200/2008 Z. z., zákona č. 460/2008 Z. z. a zákona č. </w:t>
      </w:r>
      <w:r w:rsidRPr="00E20D5F">
        <w:rPr>
          <w:rFonts w:ascii="Times New Roman" w:hAnsi="Times New Roman" w:cs="Times New Roman"/>
        </w:rPr>
        <w:t>49/2009 Z. z.</w:t>
      </w:r>
      <w:r>
        <w:rPr>
          <w:rFonts w:ascii="Times New Roman" w:hAnsi="Times New Roman" w:cs="Times New Roman"/>
        </w:rPr>
        <w:t xml:space="preserve"> sa mení a dopĺňa takto:</w:t>
      </w:r>
    </w:p>
    <w:p w:rsidR="00E20D5F" w:rsidP="00E20D5F">
      <w:pPr>
        <w:spacing w:line="300" w:lineRule="atLeast"/>
        <w:ind w:left="1416" w:hanging="1416"/>
        <w:rPr>
          <w:rFonts w:ascii="Times New Roman" w:hAnsi="Times New Roman" w:cs="Times New Roman"/>
        </w:rPr>
      </w:pPr>
    </w:p>
    <w:p w:rsidR="000E5E20">
      <w:pPr>
        <w:pStyle w:val="BodyTextInden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</w:t>
        <w:tab/>
        <w:t>V § 48 ods. 2 znie:</w:t>
      </w:r>
    </w:p>
    <w:p w:rsidR="000E5E20">
      <w:pPr>
        <w:tabs>
          <w:tab w:val="left" w:pos="360"/>
        </w:tabs>
        <w:spacing w:line="300" w:lineRule="atLeast"/>
        <w:ind w:left="360" w:hanging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/>
        <w:t xml:space="preserve">„(2) Pracovný pomer na určitú dobu možno dohodnúť, predĺžiť a opätovne dohodnúť na celkovú dobu troch rokov, najdlhšie však na päť rokov, a to z dôvodov uvedených v </w:t>
      </w:r>
      <w:r>
        <w:rPr>
          <w:rFonts w:ascii="Times New Roman" w:hAnsi="Times New Roman" w:cs="Times New Roman"/>
        </w:rPr>
        <w:t>ods. 4 a 6. “.</w:t>
      </w:r>
    </w:p>
    <w:p w:rsidR="000E5E20">
      <w:pPr>
        <w:tabs>
          <w:tab w:val="left" w:pos="360"/>
        </w:tabs>
        <w:spacing w:line="300" w:lineRule="atLeast"/>
        <w:ind w:left="360" w:hanging="360"/>
        <w:rPr>
          <w:rFonts w:ascii="Times New Roman" w:hAnsi="Times New Roman" w:cs="Times New Roman"/>
        </w:rPr>
      </w:pPr>
    </w:p>
    <w:p w:rsidR="000E5E20">
      <w:pPr>
        <w:tabs>
          <w:tab w:val="left" w:pos="360"/>
        </w:tabs>
        <w:spacing w:line="300" w:lineRule="atLeast"/>
        <w:ind w:left="360" w:hanging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</w:t>
        <w:tab/>
        <w:t>V § 48 ods. 3 sa slovo „šiestich“ nahrádza slovom „troch“.</w:t>
      </w:r>
    </w:p>
    <w:p w:rsidR="000E5E20">
      <w:pPr>
        <w:tabs>
          <w:tab w:val="left" w:pos="360"/>
        </w:tabs>
        <w:spacing w:line="300" w:lineRule="atLeast"/>
        <w:ind w:left="360" w:hanging="360"/>
        <w:rPr>
          <w:rFonts w:ascii="Times New Roman" w:hAnsi="Times New Roman" w:cs="Times New Roman"/>
        </w:rPr>
      </w:pPr>
    </w:p>
    <w:p w:rsidR="000E5E20">
      <w:pPr>
        <w:tabs>
          <w:tab w:val="left" w:pos="360"/>
        </w:tabs>
        <w:spacing w:line="300" w:lineRule="atLeast"/>
        <w:ind w:left="360" w:hanging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</w:t>
        <w:tab/>
        <w:t>V § 49 sa slová „15 hodín“ nahrádzajú slovami „20 hodín“ a slová „30 dní“ sa nahrádzajú slovami „15 dní“.</w:t>
      </w:r>
    </w:p>
    <w:p w:rsidR="000E5E20">
      <w:pPr>
        <w:tabs>
          <w:tab w:val="left" w:pos="360"/>
        </w:tabs>
        <w:spacing w:line="300" w:lineRule="atLeast"/>
        <w:ind w:left="360" w:hanging="360"/>
        <w:rPr>
          <w:rFonts w:ascii="Times New Roman" w:hAnsi="Times New Roman" w:cs="Times New Roman"/>
        </w:rPr>
      </w:pPr>
    </w:p>
    <w:p w:rsidR="000E5E20">
      <w:pPr>
        <w:tabs>
          <w:tab w:val="left" w:pos="360"/>
        </w:tabs>
        <w:spacing w:line="300" w:lineRule="atLeast"/>
        <w:ind w:left="360" w:hanging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</w:t>
        <w:tab/>
        <w:t>V § 86 sa vypúšťa odsek 2.</w:t>
      </w:r>
    </w:p>
    <w:p w:rsidR="000E5E20">
      <w:pPr>
        <w:tabs>
          <w:tab w:val="left" w:pos="360"/>
        </w:tabs>
        <w:spacing w:line="300" w:lineRule="atLeast"/>
        <w:ind w:left="360" w:hanging="360"/>
        <w:rPr>
          <w:rFonts w:ascii="Times New Roman" w:hAnsi="Times New Roman" w:cs="Times New Roman"/>
        </w:rPr>
      </w:pPr>
    </w:p>
    <w:p w:rsidR="000E5E20">
      <w:pPr>
        <w:tabs>
          <w:tab w:val="left" w:pos="360"/>
        </w:tabs>
        <w:spacing w:line="300" w:lineRule="atLeast"/>
        <w:ind w:left="360" w:hanging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</w:t>
        <w:tab/>
        <w:t>V § 87 ods. 1 sa slová „po dohode</w:t>
      </w:r>
      <w:r>
        <w:rPr>
          <w:rFonts w:ascii="Times New Roman" w:hAnsi="Times New Roman" w:cs="Times New Roman"/>
        </w:rPr>
        <w:t xml:space="preserve"> so zástupcami zamestnancov“ nahrádzajú slovami „po prerokovaní so zástupcami zamestnancov“.</w:t>
      </w:r>
    </w:p>
    <w:p w:rsidR="000E5E20">
      <w:pPr>
        <w:tabs>
          <w:tab w:val="left" w:pos="360"/>
        </w:tabs>
        <w:spacing w:line="300" w:lineRule="atLeast"/>
        <w:ind w:left="360" w:hanging="360"/>
        <w:rPr>
          <w:rFonts w:ascii="Times New Roman" w:hAnsi="Times New Roman" w:cs="Times New Roman"/>
        </w:rPr>
      </w:pPr>
    </w:p>
    <w:p w:rsidR="000E5E20">
      <w:pPr>
        <w:tabs>
          <w:tab w:val="left" w:pos="360"/>
        </w:tabs>
        <w:spacing w:line="300" w:lineRule="atLeast"/>
        <w:ind w:left="360" w:hanging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</w:t>
        <w:tab/>
        <w:t>V § 87 ods. 2 sa slová „po dohode so zástupcami zamestnancov“ nahrádzajú slovami „po prerokovaní so zástupcami zamestnancov“.</w:t>
      </w:r>
    </w:p>
    <w:p w:rsidR="000E5E20">
      <w:pPr>
        <w:tabs>
          <w:tab w:val="left" w:pos="360"/>
        </w:tabs>
        <w:spacing w:line="300" w:lineRule="atLeast"/>
        <w:ind w:left="360" w:hanging="360"/>
        <w:rPr>
          <w:rFonts w:ascii="Times New Roman" w:hAnsi="Times New Roman" w:cs="Times New Roman"/>
        </w:rPr>
      </w:pPr>
    </w:p>
    <w:p w:rsidR="000E5E20">
      <w:pPr>
        <w:tabs>
          <w:tab w:val="left" w:pos="360"/>
        </w:tabs>
        <w:spacing w:line="300" w:lineRule="atLeast"/>
        <w:ind w:left="360" w:hanging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</w:t>
        <w:tab/>
        <w:t>V § 96 ods. 7 sa slová „100 hodín v kalendárnom roku“ nahrádzajú slovami „150 hodín v období 12 po sebe idúcich kalendárnych mesiacov“.</w:t>
      </w:r>
    </w:p>
    <w:p w:rsidR="000E5E20">
      <w:pPr>
        <w:tabs>
          <w:tab w:val="left" w:pos="360"/>
        </w:tabs>
        <w:spacing w:line="300" w:lineRule="atLeast"/>
        <w:ind w:left="360" w:hanging="360"/>
        <w:rPr>
          <w:rFonts w:ascii="Times New Roman" w:hAnsi="Times New Roman" w:cs="Times New Roman"/>
        </w:rPr>
      </w:pPr>
    </w:p>
    <w:p w:rsidR="000E5E20">
      <w:pPr>
        <w:tabs>
          <w:tab w:val="left" w:pos="360"/>
        </w:tabs>
        <w:spacing w:line="300" w:lineRule="atLeast"/>
        <w:ind w:left="360" w:hanging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8.</w:t>
        <w:tab/>
        <w:t>V § 133 sa slovo „dohode“ nahrádza slovom „prerokovaní“ a časť vety za bodkočiarkou vrátane bodkočiarky sa vypúšťa.</w:t>
      </w:r>
    </w:p>
    <w:p w:rsidR="000E5E20">
      <w:pPr>
        <w:tabs>
          <w:tab w:val="left" w:pos="360"/>
        </w:tabs>
        <w:spacing w:line="300" w:lineRule="atLeast"/>
        <w:ind w:left="360" w:hanging="360"/>
        <w:rPr>
          <w:rFonts w:ascii="Times New Roman" w:hAnsi="Times New Roman" w:cs="Times New Roman"/>
        </w:rPr>
      </w:pPr>
    </w:p>
    <w:p w:rsidR="000E5E20">
      <w:pPr>
        <w:tabs>
          <w:tab w:val="left" w:pos="360"/>
        </w:tabs>
        <w:spacing w:line="300" w:lineRule="atLeast"/>
        <w:ind w:left="360" w:hanging="360"/>
        <w:rPr>
          <w:rFonts w:ascii="Times New Roman" w:hAnsi="Times New Roman" w:cs="Times New Roman"/>
        </w:rPr>
      </w:pPr>
    </w:p>
    <w:p w:rsidR="000E5E20">
      <w:pPr>
        <w:pStyle w:val="Heading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Čl. II</w:t>
      </w:r>
    </w:p>
    <w:p w:rsidR="000E5E20">
      <w:pPr>
        <w:pStyle w:val="BodyText"/>
        <w:spacing w:line="300" w:lineRule="atLeast"/>
        <w:ind w:firstLine="720"/>
        <w:jc w:val="both"/>
        <w:rPr>
          <w:rFonts w:ascii="Times New Roman" w:hAnsi="Times New Roman" w:cs="Times New Roman"/>
        </w:rPr>
      </w:pPr>
    </w:p>
    <w:p w:rsidR="000E5E20">
      <w:pPr>
        <w:spacing w:line="300" w:lineRule="atLeas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Zákon č. 2/1991 Zb. o kolektívnom vyjednávaním v znení zákona č. 519/1991 Zb., zákona č. 54/1996 Z. z., zákona č. 209/2001 Z. z., zákona č. 551/2003 Z. z., zákona č. 553/2003 Z. z., zákona č. 585/2004 Z. z., zákona č. 103/2007 Z. z., zákona č. 328/2007 Z. z. a zákona č. 555/2007 Z. z. sa mení a dopĺňa takto:</w:t>
      </w:r>
    </w:p>
    <w:p w:rsidR="000E5E20">
      <w:pPr>
        <w:spacing w:line="300" w:lineRule="atLeast"/>
        <w:rPr>
          <w:rFonts w:ascii="Times New Roman" w:hAnsi="Times New Roman" w:cs="Times New Roman"/>
        </w:rPr>
      </w:pPr>
    </w:p>
    <w:p w:rsidR="000E5E20">
      <w:pPr>
        <w:pStyle w:val="BodyTextInden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 § 7 ods. 1 znie:</w:t>
      </w:r>
    </w:p>
    <w:p w:rsidR="000E5E20">
      <w:pPr>
        <w:tabs>
          <w:tab w:val="left" w:pos="360"/>
        </w:tabs>
        <w:spacing w:line="300" w:lineRule="atLeast"/>
        <w:ind w:left="360" w:hanging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/>
        <w:t>„(1) Ministerstvo môže ustanoviť právnym predpisom, že kolektívna zmluva vyššieho stupňa je záväzná aj pre zamestnávateľa, ktorý nie je členom organizácie zamestnávateľov, ktorá túto zmluvu uzavrela, len ak tento zamestnávateľ s rozšírením kolektívnej zmluvy vyššieho stupňa súhlasí.“.</w:t>
      </w:r>
    </w:p>
    <w:p w:rsidR="000E5E20">
      <w:pPr>
        <w:spacing w:line="300" w:lineRule="atLeast"/>
        <w:rPr>
          <w:rFonts w:ascii="Times New Roman" w:hAnsi="Times New Roman" w:cs="Times New Roman"/>
        </w:rPr>
      </w:pPr>
    </w:p>
    <w:p w:rsidR="000E5E20">
      <w:pPr>
        <w:spacing w:line="300" w:lineRule="atLeast"/>
        <w:rPr>
          <w:rFonts w:ascii="Times New Roman" w:hAnsi="Times New Roman" w:cs="Times New Roman"/>
        </w:rPr>
      </w:pPr>
    </w:p>
    <w:p w:rsidR="000E5E20">
      <w:pPr>
        <w:pStyle w:val="Heading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Čl. III</w:t>
      </w:r>
    </w:p>
    <w:p w:rsidR="000E5E20">
      <w:pPr>
        <w:pStyle w:val="BodyText"/>
        <w:spacing w:line="300" w:lineRule="atLeast"/>
        <w:ind w:firstLine="720"/>
        <w:jc w:val="both"/>
        <w:rPr>
          <w:rFonts w:ascii="Times New Roman" w:hAnsi="Times New Roman" w:cs="Times New Roman"/>
        </w:rPr>
      </w:pPr>
    </w:p>
    <w:p w:rsidR="000E5E20">
      <w:pPr>
        <w:spacing w:line="300" w:lineRule="atLeas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Tento zákon nadobúda účinnosť 1. mája 2009.</w:t>
      </w:r>
    </w:p>
    <w:p w:rsidR="00185E38">
      <w:pPr>
        <w:spacing w:line="300" w:lineRule="atLeast"/>
        <w:rPr>
          <w:rFonts w:ascii="Times New Roman" w:hAnsi="Times New Roman" w:cs="Times New Roman"/>
        </w:rPr>
      </w:pPr>
    </w:p>
    <w:p w:rsidR="00185E38">
      <w:pPr>
        <w:spacing w:line="300" w:lineRule="atLeast"/>
        <w:rPr>
          <w:rFonts w:ascii="Times New Roman" w:hAnsi="Times New Roman" w:cs="Times New Roman"/>
        </w:rPr>
      </w:pPr>
    </w:p>
    <w:p w:rsidR="00185E38">
      <w:pPr>
        <w:spacing w:line="300" w:lineRule="atLeast"/>
        <w:rPr>
          <w:rFonts w:ascii="Times New Roman" w:hAnsi="Times New Roman" w:cs="Times New Roman"/>
        </w:rPr>
      </w:pPr>
    </w:p>
    <w:p w:rsidR="00185E38">
      <w:pPr>
        <w:spacing w:line="300" w:lineRule="atLeast"/>
        <w:rPr>
          <w:rFonts w:ascii="Times New Roman" w:hAnsi="Times New Roman" w:cs="Times New Roman"/>
        </w:rPr>
      </w:pPr>
    </w:p>
    <w:p w:rsidR="00185E38">
      <w:pPr>
        <w:spacing w:line="300" w:lineRule="atLeast"/>
        <w:rPr>
          <w:rFonts w:ascii="Times New Roman" w:hAnsi="Times New Roman" w:cs="Times New Roman"/>
        </w:rPr>
      </w:pPr>
    </w:p>
    <w:p w:rsidR="00185E38">
      <w:pPr>
        <w:spacing w:line="300" w:lineRule="atLeast"/>
        <w:rPr>
          <w:rFonts w:ascii="Times New Roman" w:hAnsi="Times New Roman" w:cs="Times New Roman"/>
        </w:rPr>
      </w:pPr>
    </w:p>
    <w:p w:rsidR="00185E38">
      <w:pPr>
        <w:spacing w:line="300" w:lineRule="atLeast"/>
        <w:rPr>
          <w:rFonts w:ascii="Times New Roman" w:hAnsi="Times New Roman" w:cs="Times New Roman"/>
        </w:rPr>
      </w:pPr>
    </w:p>
    <w:p w:rsidR="00185E38">
      <w:pPr>
        <w:spacing w:line="300" w:lineRule="atLeast"/>
        <w:rPr>
          <w:rFonts w:ascii="Times New Roman" w:hAnsi="Times New Roman" w:cs="Times New Roman"/>
        </w:rPr>
      </w:pPr>
    </w:p>
    <w:p w:rsidR="00185E38">
      <w:pPr>
        <w:spacing w:line="300" w:lineRule="atLeast"/>
        <w:rPr>
          <w:rFonts w:ascii="Times New Roman" w:hAnsi="Times New Roman" w:cs="Times New Roman"/>
        </w:rPr>
      </w:pPr>
    </w:p>
    <w:p w:rsidR="00185E38">
      <w:pPr>
        <w:spacing w:line="300" w:lineRule="atLeast"/>
        <w:rPr>
          <w:rFonts w:ascii="Times New Roman" w:hAnsi="Times New Roman" w:cs="Times New Roman"/>
        </w:rPr>
      </w:pPr>
    </w:p>
    <w:p w:rsidR="00185E38">
      <w:pPr>
        <w:spacing w:line="300" w:lineRule="atLeast"/>
        <w:rPr>
          <w:rFonts w:ascii="Times New Roman" w:hAnsi="Times New Roman" w:cs="Times New Roman"/>
        </w:rPr>
      </w:pPr>
    </w:p>
    <w:p w:rsidR="00185E38">
      <w:pPr>
        <w:spacing w:line="300" w:lineRule="atLeast"/>
        <w:rPr>
          <w:rFonts w:ascii="Times New Roman" w:hAnsi="Times New Roman" w:cs="Times New Roman"/>
        </w:rPr>
      </w:pPr>
    </w:p>
    <w:p w:rsidR="00185E38">
      <w:pPr>
        <w:spacing w:line="300" w:lineRule="atLeast"/>
        <w:rPr>
          <w:rFonts w:ascii="Times New Roman" w:hAnsi="Times New Roman" w:cs="Times New Roman"/>
        </w:rPr>
      </w:pPr>
    </w:p>
    <w:p w:rsidR="00185E38">
      <w:pPr>
        <w:spacing w:line="300" w:lineRule="atLeast"/>
        <w:rPr>
          <w:rFonts w:ascii="Times New Roman" w:hAnsi="Times New Roman" w:cs="Times New Roman"/>
        </w:rPr>
      </w:pPr>
    </w:p>
    <w:p w:rsidR="00185E38">
      <w:pPr>
        <w:spacing w:line="300" w:lineRule="atLeast"/>
        <w:rPr>
          <w:rFonts w:ascii="Times New Roman" w:hAnsi="Times New Roman" w:cs="Times New Roman"/>
        </w:rPr>
      </w:pPr>
    </w:p>
    <w:p w:rsidR="00185E38">
      <w:pPr>
        <w:spacing w:line="300" w:lineRule="atLeast"/>
        <w:rPr>
          <w:rFonts w:ascii="Times New Roman" w:hAnsi="Times New Roman" w:cs="Times New Roman"/>
        </w:rPr>
      </w:pPr>
    </w:p>
    <w:p w:rsidR="00185E38">
      <w:pPr>
        <w:spacing w:line="300" w:lineRule="atLeast"/>
        <w:rPr>
          <w:rFonts w:ascii="Times New Roman" w:hAnsi="Times New Roman" w:cs="Times New Roman"/>
        </w:rPr>
      </w:pPr>
    </w:p>
    <w:p w:rsidR="00185E38">
      <w:pPr>
        <w:spacing w:line="300" w:lineRule="atLeast"/>
        <w:rPr>
          <w:rFonts w:ascii="Times New Roman" w:hAnsi="Times New Roman" w:cs="Times New Roman"/>
        </w:rPr>
      </w:pPr>
    </w:p>
    <w:p w:rsidR="00185E38">
      <w:pPr>
        <w:spacing w:line="300" w:lineRule="atLeast"/>
        <w:rPr>
          <w:rFonts w:ascii="Times New Roman" w:hAnsi="Times New Roman" w:cs="Times New Roman"/>
        </w:rPr>
      </w:pPr>
    </w:p>
    <w:p w:rsidR="00185E38">
      <w:pPr>
        <w:spacing w:line="300" w:lineRule="atLeast"/>
        <w:rPr>
          <w:rFonts w:ascii="Times New Roman" w:hAnsi="Times New Roman" w:cs="Times New Roman"/>
        </w:rPr>
      </w:pPr>
    </w:p>
    <w:p w:rsidR="00185E38">
      <w:pPr>
        <w:spacing w:line="300" w:lineRule="atLeast"/>
        <w:rPr>
          <w:rFonts w:ascii="Times New Roman" w:hAnsi="Times New Roman" w:cs="Times New Roman"/>
        </w:rPr>
      </w:pPr>
    </w:p>
    <w:p w:rsidR="00185E38">
      <w:pPr>
        <w:spacing w:line="300" w:lineRule="atLeast"/>
        <w:rPr>
          <w:rFonts w:ascii="Times New Roman" w:hAnsi="Times New Roman" w:cs="Times New Roman"/>
        </w:rPr>
      </w:pPr>
    </w:p>
    <w:p w:rsidR="00185E38">
      <w:pPr>
        <w:spacing w:line="300" w:lineRule="atLeast"/>
        <w:rPr>
          <w:rFonts w:ascii="Times New Roman" w:hAnsi="Times New Roman" w:cs="Times New Roman"/>
        </w:rPr>
      </w:pPr>
    </w:p>
    <w:p w:rsidR="00185E38" w:rsidP="00185E38">
      <w:pPr>
        <w:pStyle w:val="BodyText"/>
        <w:spacing w:before="60" w:after="6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DÔVODOVÁ SPRÁVA</w:t>
      </w:r>
    </w:p>
    <w:p w:rsidR="00D34A8F" w:rsidP="00D34A8F">
      <w:pPr>
        <w:pStyle w:val="BodyText"/>
        <w:numPr>
          <w:ilvl w:val="0"/>
          <w:numId w:val="4"/>
        </w:numPr>
        <w:spacing w:before="60" w:after="6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Všeobecná časť</w:t>
      </w:r>
    </w:p>
    <w:p w:rsidR="00D34A8F" w:rsidP="00D34A8F">
      <w:pPr>
        <w:pStyle w:val="BodyText"/>
        <w:spacing w:before="60" w:after="60"/>
        <w:ind w:firstLine="360"/>
        <w:rPr>
          <w:rFonts w:ascii="Times New Roman" w:hAnsi="Times New Roman" w:cs="Times New Roman"/>
        </w:rPr>
      </w:pPr>
    </w:p>
    <w:p w:rsidR="002D6E26" w:rsidP="002D6E2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Pri mimoriadne vysokej konkurencii na svetových  trhoch sa môžu na Slovensku vytvárať nové pracovné príležitosti len zavedením nových výrob a nových služieb s vysokou p</w:t>
      </w:r>
      <w:r>
        <w:rPr>
          <w:rFonts w:ascii="Times New Roman" w:hAnsi="Times New Roman" w:cs="Times New Roman"/>
        </w:rPr>
        <w:t>ridanou  hodnotou, vyžadujúcich si vzdelanie a prípravu pracovníkov, ale s vysokým rizikom neúspechu na trhu.</w:t>
      </w:r>
    </w:p>
    <w:p w:rsidR="002D6E26" w:rsidP="002D6E26">
      <w:pPr>
        <w:jc w:val="both"/>
        <w:rPr>
          <w:rFonts w:ascii="Times New Roman" w:hAnsi="Times New Roman" w:cs="Times New Roman"/>
        </w:rPr>
      </w:pPr>
    </w:p>
    <w:p w:rsidR="002D6E26" w:rsidP="002D6E2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Vysoká flexibilita tvorby nových rizikových pracovných  miest zvýši konkurencieschopnosť Slovenska. Flexibilné vytváranie nových prac miest na dobu určitú s možnosťou opakovaného uzatvárania takýchto pracovných  úväzkov a uzatváranie krátkych úväzkov na krátku dobu je nevyhnutnou podmienkou . Zároveň je potrebné umožniť zvládnuť nárazovú potrebu výkonu práce pri väčších objednávkach a pri  objednáv</w:t>
      </w:r>
      <w:r>
        <w:rPr>
          <w:rFonts w:ascii="Times New Roman" w:hAnsi="Times New Roman" w:cs="Times New Roman"/>
        </w:rPr>
        <w:t>kach,  ktoré nemajú mieru vyťaženia.</w:t>
      </w:r>
    </w:p>
    <w:p w:rsidR="002D6E26" w:rsidP="002D6E26">
      <w:pPr>
        <w:jc w:val="both"/>
        <w:rPr>
          <w:rFonts w:ascii="Times New Roman" w:hAnsi="Times New Roman" w:cs="Times New Roman"/>
        </w:rPr>
      </w:pPr>
    </w:p>
    <w:p w:rsidR="002D6E26" w:rsidP="002D6E2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Vzhľadom na nutnosť rýchlych reakcií na podnety trhu je potrebné znížiť časovú náročnosť danú súhlasom zástupcov zamestnancov a patričných  úradov pri niektorých opatreniach. Vyššie kolektívne zmluvy sú uzatvárané podľa podmienok veľkých zamestnávateľov pracujúcich v relatívne stabilnom prostredí.</w:t>
      </w:r>
    </w:p>
    <w:p w:rsidR="002D6E26" w:rsidP="002D6E26">
      <w:pPr>
        <w:jc w:val="both"/>
        <w:rPr>
          <w:rFonts w:ascii="Times New Roman" w:hAnsi="Times New Roman" w:cs="Times New Roman"/>
        </w:rPr>
      </w:pPr>
    </w:p>
    <w:p w:rsidR="002D6E26" w:rsidP="002D6E2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Aby sa umožnilo vytvárať nove pracovné miesta v nových výrobách, je potrebné zrušiť extenziu týchto zmlúv na všetkých zamestnávateľov.</w:t>
      </w:r>
    </w:p>
    <w:p w:rsidR="00D34A8F" w:rsidP="002D6E26">
      <w:pPr>
        <w:pStyle w:val="BodyText"/>
        <w:spacing w:before="60" w:after="60"/>
        <w:jc w:val="both"/>
        <w:rPr>
          <w:rFonts w:ascii="Times New Roman" w:hAnsi="Times New Roman" w:cs="Times New Roman"/>
        </w:rPr>
      </w:pPr>
    </w:p>
    <w:p w:rsidR="00185E38" w:rsidP="00185E38">
      <w:pPr>
        <w:pStyle w:val="BodyText"/>
        <w:spacing w:before="60" w:after="60"/>
        <w:rPr>
          <w:rFonts w:ascii="Times New Roman" w:hAnsi="Times New Roman" w:cs="Times New Roman"/>
          <w:b/>
          <w:bCs/>
        </w:rPr>
      </w:pPr>
    </w:p>
    <w:p w:rsidR="00180200" w:rsidP="00E52241">
      <w:pPr>
        <w:pStyle w:val="BodyText"/>
        <w:spacing w:before="60" w:after="60"/>
        <w:jc w:val="both"/>
        <w:rPr>
          <w:rFonts w:ascii="Times New Roman" w:hAnsi="Times New Roman" w:cs="Times New Roman"/>
        </w:rPr>
      </w:pPr>
    </w:p>
    <w:p w:rsidR="00180200" w:rsidP="00E52241">
      <w:pPr>
        <w:pStyle w:val="BodyText"/>
        <w:spacing w:before="60" w:after="60"/>
        <w:jc w:val="both"/>
        <w:rPr>
          <w:rFonts w:ascii="Times New Roman" w:hAnsi="Times New Roman" w:cs="Times New Roman"/>
        </w:rPr>
      </w:pPr>
    </w:p>
    <w:p w:rsidR="00180200" w:rsidP="00E52241">
      <w:pPr>
        <w:pStyle w:val="BodyText"/>
        <w:spacing w:before="60" w:after="60"/>
        <w:jc w:val="both"/>
        <w:rPr>
          <w:rFonts w:ascii="Times New Roman" w:hAnsi="Times New Roman" w:cs="Times New Roman"/>
        </w:rPr>
      </w:pPr>
    </w:p>
    <w:p w:rsidR="00185E38" w:rsidP="00E52241">
      <w:pPr>
        <w:pStyle w:val="BodyText"/>
        <w:spacing w:before="60" w:after="6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Osobitná časť</w:t>
      </w:r>
    </w:p>
    <w:p w:rsidR="00185E38" w:rsidP="00185E38">
      <w:pPr>
        <w:pStyle w:val="BodyText"/>
        <w:spacing w:before="60" w:after="60"/>
        <w:ind w:firstLine="360"/>
        <w:rPr>
          <w:rFonts w:ascii="Times New Roman" w:hAnsi="Times New Roman" w:cs="Times New Roman"/>
        </w:rPr>
      </w:pPr>
    </w:p>
    <w:p w:rsidR="00185E38" w:rsidP="00185E38">
      <w:pPr>
        <w:pStyle w:val="BodyText"/>
        <w:spacing w:before="60" w:after="6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K Čl. I</w:t>
      </w:r>
    </w:p>
    <w:p w:rsidR="00185E38" w:rsidP="00185E38">
      <w:pPr>
        <w:pStyle w:val="BodyText"/>
        <w:spacing w:before="60" w:after="60"/>
        <w:rPr>
          <w:rFonts w:ascii="Times New Roman" w:hAnsi="Times New Roman" w:cs="Times New Roman"/>
          <w:b/>
          <w:bCs/>
        </w:rPr>
      </w:pPr>
    </w:p>
    <w:p w:rsidR="00185E38" w:rsidP="00185E38">
      <w:pPr>
        <w:pStyle w:val="BodyText"/>
        <w:spacing w:before="60" w:after="6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K bodom </w:t>
      </w:r>
      <w:smartTag w:uri="urn:schemas-microsoft-com:office:smarttags" w:element="metricconverter">
        <w:smartTagPr>
          <w:attr w:name="ProductID" w:val="1 a"/>
        </w:smartTagPr>
        <w:r>
          <w:rPr>
            <w:rFonts w:ascii="Times New Roman" w:hAnsi="Times New Roman" w:cs="Times New Roman"/>
            <w:b/>
            <w:bCs/>
          </w:rPr>
          <w:t xml:space="preserve">1 </w:t>
        </w:r>
        <w:r>
          <w:rPr>
            <w:rFonts w:ascii="Times New Roman" w:hAnsi="Times New Roman" w:cs="Times New Roman"/>
            <w:b/>
            <w:bCs/>
          </w:rPr>
          <w:t>a</w:t>
        </w:r>
      </w:smartTag>
      <w:r>
        <w:rPr>
          <w:rFonts w:ascii="Times New Roman" w:hAnsi="Times New Roman" w:cs="Times New Roman"/>
          <w:b/>
          <w:bCs/>
        </w:rPr>
        <w:t xml:space="preserve"> 2</w:t>
      </w:r>
    </w:p>
    <w:p w:rsidR="000940D8" w:rsidP="000940D8">
      <w:pPr>
        <w:pStyle w:val="BodyText"/>
        <w:spacing w:before="60" w:after="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súčasnosti nie je opodstatnené obmedzenie brániace zamestnancovi navrhnúť viackrát predĺženie pomeru na dobu určitú. Takisto lehota šesť mesiacov pre posudzovanie opätovného predĺženia pomeru je neadekvátne dlhá.</w:t>
      </w:r>
    </w:p>
    <w:p w:rsidR="00185E38" w:rsidP="007E27B0">
      <w:pPr>
        <w:pStyle w:val="BodyText"/>
        <w:spacing w:before="60" w:after="60"/>
        <w:ind w:left="708" w:hanging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Navrhujeme liberalizáciu terminovanýc</w:t>
      </w:r>
      <w:r>
        <w:rPr>
          <w:rFonts w:ascii="Times New Roman" w:hAnsi="Times New Roman" w:cs="Times New Roman"/>
        </w:rPr>
        <w:t xml:space="preserve">h </w:t>
      </w:r>
      <w:r w:rsidRPr="00E20D5F">
        <w:rPr>
          <w:rFonts w:ascii="Times New Roman" w:hAnsi="Times New Roman" w:cs="Times New Roman"/>
        </w:rPr>
        <w:t>úväzkov s</w:t>
      </w:r>
      <w:r>
        <w:rPr>
          <w:rFonts w:ascii="Times New Roman" w:hAnsi="Times New Roman" w:cs="Times New Roman"/>
        </w:rPr>
        <w:t xml:space="preserve"> cieľom umožniť </w:t>
      </w:r>
      <w:r w:rsidR="000940D8">
        <w:rPr>
          <w:rFonts w:ascii="Times New Roman" w:hAnsi="Times New Roman" w:cs="Times New Roman"/>
        </w:rPr>
        <w:t xml:space="preserve">flexibilnejšie </w:t>
      </w:r>
      <w:r>
        <w:rPr>
          <w:rFonts w:ascii="Times New Roman" w:hAnsi="Times New Roman" w:cs="Times New Roman"/>
        </w:rPr>
        <w:t xml:space="preserve">opakované uzatváranie </w:t>
      </w:r>
      <w:r w:rsidR="000940D8">
        <w:rPr>
          <w:rFonts w:ascii="Times New Roman" w:hAnsi="Times New Roman" w:cs="Times New Roman"/>
        </w:rPr>
        <w:t xml:space="preserve">pracovných pomerov </w:t>
      </w:r>
      <w:r>
        <w:rPr>
          <w:rFonts w:ascii="Times New Roman" w:hAnsi="Times New Roman" w:cs="Times New Roman"/>
        </w:rPr>
        <w:t xml:space="preserve">na dobu určitú.  Smernica EU 1999/70/ES </w:t>
      </w:r>
      <w:r w:rsidRPr="00E20D5F">
        <w:rPr>
          <w:rFonts w:ascii="Times New Roman" w:hAnsi="Times New Roman" w:cs="Times New Roman"/>
        </w:rPr>
        <w:t>nešpecifikuje</w:t>
      </w:r>
      <w:r w:rsidRPr="00E20D5F" w:rsidR="000C02C9">
        <w:rPr>
          <w:rFonts w:ascii="Times New Roman" w:hAnsi="Times New Roman" w:cs="Times New Roman"/>
        </w:rPr>
        <w:t xml:space="preserve"> koľ</w:t>
      </w:r>
      <w:r w:rsidR="000C02C9">
        <w:rPr>
          <w:rFonts w:ascii="Times New Roman" w:hAnsi="Times New Roman" w:cs="Times New Roman"/>
        </w:rPr>
        <w:t>kok</w:t>
      </w:r>
      <w:r>
        <w:rPr>
          <w:rFonts w:ascii="Times New Roman" w:hAnsi="Times New Roman" w:cs="Times New Roman"/>
        </w:rPr>
        <w:t>rát je možné opakovane uzavrieť pracovný pomer na dobu určitú, preto tieto kvantitatívne parametre je možné zmeniť bez porušenia danej smernice.</w:t>
      </w:r>
    </w:p>
    <w:p w:rsidR="00185E38" w:rsidP="00185E38">
      <w:pPr>
        <w:pStyle w:val="BodyText"/>
        <w:spacing w:before="60" w:after="60"/>
        <w:ind w:firstLine="540"/>
        <w:rPr>
          <w:rFonts w:ascii="Times New Roman" w:hAnsi="Times New Roman" w:cs="Times New Roman"/>
        </w:rPr>
      </w:pPr>
    </w:p>
    <w:p w:rsidR="00185E38" w:rsidP="00185E38">
      <w:pPr>
        <w:pStyle w:val="BodyText"/>
        <w:spacing w:before="60" w:after="6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K bodu 3</w:t>
      </w:r>
    </w:p>
    <w:p w:rsidR="00185E38" w:rsidP="00185E38">
      <w:pPr>
        <w:pStyle w:val="BodyText"/>
        <w:spacing w:before="60" w:after="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Navrhujeme flexibilnejšie kratšie úväzky – zvýšenie objemu hodín kratšieho pracovného času s voľnejšími podmienkami vzniku a ukončenia, a to predĺženie doby kratšieho pracovného času na </w:t>
      </w:r>
      <w:r w:rsidRPr="00E20D5F">
        <w:rPr>
          <w:rFonts w:ascii="Times New Roman" w:hAnsi="Times New Roman" w:cs="Times New Roman"/>
        </w:rPr>
        <w:t>20 hod</w:t>
      </w:r>
      <w:r w:rsidRPr="00E20D5F" w:rsidR="000C02C9">
        <w:rPr>
          <w:rFonts w:ascii="Times New Roman" w:hAnsi="Times New Roman" w:cs="Times New Roman"/>
        </w:rPr>
        <w:t>.</w:t>
      </w:r>
      <w:r w:rsidRPr="00E20D5F">
        <w:rPr>
          <w:rFonts w:ascii="Times New Roman" w:hAnsi="Times New Roman" w:cs="Times New Roman"/>
        </w:rPr>
        <w:t xml:space="preserve"> a</w:t>
      </w:r>
      <w:r>
        <w:rPr>
          <w:rFonts w:ascii="Times New Roman" w:hAnsi="Times New Roman" w:cs="Times New Roman"/>
        </w:rPr>
        <w:t> zníženie výpovednej lehoty na 15 dní.</w:t>
      </w:r>
    </w:p>
    <w:p w:rsidR="00185E38" w:rsidP="00185E38">
      <w:pPr>
        <w:pStyle w:val="BodyText"/>
        <w:spacing w:before="60" w:after="60"/>
        <w:ind w:firstLine="540"/>
        <w:rPr>
          <w:rFonts w:ascii="Times New Roman" w:hAnsi="Times New Roman" w:cs="Times New Roman"/>
        </w:rPr>
      </w:pPr>
    </w:p>
    <w:p w:rsidR="00185E38" w:rsidP="00185E38">
      <w:pPr>
        <w:pStyle w:val="BodyText"/>
        <w:spacing w:before="60" w:after="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K bodu 4</w:t>
      </w:r>
    </w:p>
    <w:p w:rsidR="00185E38" w:rsidP="00185E38">
      <w:pPr>
        <w:pStyle w:val="BodyText"/>
        <w:spacing w:before="60" w:after="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Navrhujeme vypustiť odsek</w:t>
      </w:r>
      <w:r w:rsidR="000940D8">
        <w:rPr>
          <w:rFonts w:ascii="Times New Roman" w:hAnsi="Times New Roman" w:cs="Times New Roman"/>
        </w:rPr>
        <w:t xml:space="preserve"> 2</w:t>
      </w:r>
      <w:r>
        <w:rPr>
          <w:rFonts w:ascii="Times New Roman" w:hAnsi="Times New Roman" w:cs="Times New Roman"/>
        </w:rPr>
        <w:t xml:space="preserve"> §86 z dôvodu, že uvedené ustanovenie zbytočne obmedzuje flexibilitu pracovných vzťahov v prevádzkach, v ktorých môže vznikať nárazová potreba výkonu práce pri väčších objednávkach.</w:t>
      </w:r>
    </w:p>
    <w:p w:rsidR="00185E38" w:rsidP="00185E38">
      <w:pPr>
        <w:pStyle w:val="BodyText"/>
        <w:spacing w:before="60" w:after="60"/>
        <w:ind w:firstLine="540"/>
        <w:rPr>
          <w:rFonts w:ascii="Times New Roman" w:hAnsi="Times New Roman" w:cs="Times New Roman"/>
        </w:rPr>
      </w:pPr>
    </w:p>
    <w:p w:rsidR="00185E38" w:rsidP="00185E38">
      <w:pPr>
        <w:pStyle w:val="BodyText"/>
        <w:keepNext/>
        <w:spacing w:before="60" w:after="6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K bodom </w:t>
      </w:r>
      <w:smartTag w:uri="urn:schemas-microsoft-com:office:smarttags" w:element="metricconverter">
        <w:smartTagPr>
          <w:attr w:name="ProductID" w:val="5 a"/>
        </w:smartTagPr>
        <w:r>
          <w:rPr>
            <w:rFonts w:ascii="Times New Roman" w:hAnsi="Times New Roman" w:cs="Times New Roman"/>
            <w:b/>
            <w:bCs/>
          </w:rPr>
          <w:t>5 a</w:t>
        </w:r>
      </w:smartTag>
      <w:r>
        <w:rPr>
          <w:rFonts w:ascii="Times New Roman" w:hAnsi="Times New Roman" w:cs="Times New Roman"/>
          <w:b/>
          <w:bCs/>
        </w:rPr>
        <w:t xml:space="preserve"> 6</w:t>
      </w:r>
    </w:p>
    <w:p w:rsidR="00185E38" w:rsidP="00185E38">
      <w:pPr>
        <w:pStyle w:val="BodyText"/>
        <w:spacing w:before="60" w:after="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Ustanovenie § 87 ods. </w:t>
      </w:r>
      <w:smartTag w:uri="urn:schemas-microsoft-com:office:smarttags" w:element="metricconverter">
        <w:smartTagPr>
          <w:attr w:name="ProductID" w:val="1 a"/>
        </w:smartTagPr>
        <w:r>
          <w:rPr>
            <w:rFonts w:ascii="Times New Roman" w:hAnsi="Times New Roman" w:cs="Times New Roman"/>
          </w:rPr>
          <w:t>1 a</w:t>
        </w:r>
      </w:smartTag>
      <w:r>
        <w:rPr>
          <w:rFonts w:ascii="Times New Roman" w:hAnsi="Times New Roman" w:cs="Times New Roman"/>
        </w:rPr>
        <w:t xml:space="preserve"> 2 zväzuje zamestnávateľom ruky pri nerovnomernom rozvrhovaní pracovného času požiadavkou dohody so zástupcami zamestnávateľov. Kvôli zvýšeniu flexibility a možnému predĺženiu pracovných vzťahov navrhujeme zmeniť požiadavku dohody na prerokovanie.</w:t>
      </w:r>
    </w:p>
    <w:p w:rsidR="00185E38" w:rsidP="00185E38">
      <w:pPr>
        <w:pStyle w:val="BodyText"/>
        <w:spacing w:before="60" w:after="60"/>
        <w:ind w:firstLine="540"/>
        <w:rPr>
          <w:rFonts w:ascii="Times New Roman" w:hAnsi="Times New Roman" w:cs="Times New Roman"/>
        </w:rPr>
      </w:pPr>
    </w:p>
    <w:p w:rsidR="00185E38" w:rsidP="00185E38">
      <w:pPr>
        <w:pStyle w:val="BodyText"/>
        <w:spacing w:before="60" w:after="6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K bodu 7</w:t>
      </w:r>
    </w:p>
    <w:p w:rsidR="00185E38" w:rsidP="00185E38">
      <w:pPr>
        <w:pStyle w:val="BodyText"/>
        <w:spacing w:before="60" w:after="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Navrhujeme zvýšenie objemu hodín pracovnej pohotovosti najviac v rozsahu 150 hodín, ktoré zvýši flexibilitu v plánovaní pracovných výkonov pri prácach, ktoré nemajú vopred danú mieru vyťaženia.</w:t>
      </w:r>
    </w:p>
    <w:p w:rsidR="00185E38" w:rsidP="00185E38">
      <w:pPr>
        <w:pStyle w:val="BodyText"/>
        <w:spacing w:before="60" w:after="60"/>
        <w:ind w:firstLine="540"/>
        <w:rPr>
          <w:rFonts w:ascii="Times New Roman" w:hAnsi="Times New Roman" w:cs="Times New Roman"/>
        </w:rPr>
      </w:pPr>
    </w:p>
    <w:p w:rsidR="00185E38" w:rsidP="00185E38">
      <w:pPr>
        <w:pStyle w:val="BodyText"/>
        <w:spacing w:before="60" w:after="6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K bodu 8</w:t>
      </w:r>
    </w:p>
    <w:p w:rsidR="00185E38" w:rsidP="00185E38">
      <w:pPr>
        <w:pStyle w:val="BodyText"/>
        <w:spacing w:before="60" w:after="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Požiadavka na súhlas zástupcov zamestnancov, prípadne Inšpektorátu práce znižuje možnosti zamestnávateľov flexibilne reagovať na meniace sa požiadavky výroby. Navrhuje</w:t>
      </w:r>
      <w:r w:rsidR="000940D8">
        <w:rPr>
          <w:rFonts w:ascii="Times New Roman" w:hAnsi="Times New Roman" w:cs="Times New Roman"/>
        </w:rPr>
        <w:t>me</w:t>
      </w:r>
      <w:r>
        <w:rPr>
          <w:rFonts w:ascii="Times New Roman" w:hAnsi="Times New Roman" w:cs="Times New Roman"/>
        </w:rPr>
        <w:t xml:space="preserve"> uplatniť znenie, ktoré kladie zamestnávateľom povinnosť prerokovať zmeny v normách práce.</w:t>
      </w:r>
    </w:p>
    <w:p w:rsidR="00185E38" w:rsidP="00185E38">
      <w:pPr>
        <w:pStyle w:val="BodyText"/>
        <w:spacing w:before="60" w:after="60"/>
        <w:rPr>
          <w:rFonts w:ascii="Times New Roman" w:hAnsi="Times New Roman" w:cs="Times New Roman"/>
        </w:rPr>
      </w:pPr>
    </w:p>
    <w:p w:rsidR="00185E38" w:rsidP="00185E38">
      <w:pPr>
        <w:pStyle w:val="BodyText"/>
        <w:spacing w:before="60" w:after="60"/>
        <w:rPr>
          <w:rFonts w:ascii="Times New Roman" w:hAnsi="Times New Roman" w:cs="Times New Roman"/>
        </w:rPr>
      </w:pPr>
    </w:p>
    <w:p w:rsidR="00185E38" w:rsidP="00185E38">
      <w:pPr>
        <w:pStyle w:val="BodyText"/>
        <w:spacing w:before="60" w:after="60"/>
        <w:rPr>
          <w:rFonts w:ascii="Times New Roman" w:hAnsi="Times New Roman" w:cs="Times New Roman"/>
        </w:rPr>
      </w:pPr>
    </w:p>
    <w:p w:rsidR="00B454A1" w:rsidP="00185E38">
      <w:pPr>
        <w:pStyle w:val="BodyText"/>
        <w:spacing w:before="60" w:after="60"/>
        <w:rPr>
          <w:rFonts w:ascii="Times New Roman" w:hAnsi="Times New Roman" w:cs="Times New Roman"/>
        </w:rPr>
      </w:pPr>
    </w:p>
    <w:p w:rsidR="00B454A1" w:rsidP="00185E38">
      <w:pPr>
        <w:pStyle w:val="BodyText"/>
        <w:spacing w:before="60" w:after="60"/>
        <w:rPr>
          <w:rFonts w:ascii="Times New Roman" w:hAnsi="Times New Roman" w:cs="Times New Roman"/>
        </w:rPr>
      </w:pPr>
    </w:p>
    <w:p w:rsidR="00185E38" w:rsidP="00185E38">
      <w:pPr>
        <w:pStyle w:val="BodyText"/>
        <w:keepNext/>
        <w:spacing w:before="60" w:after="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K Čl. II</w:t>
      </w:r>
    </w:p>
    <w:p w:rsidR="00185E38" w:rsidP="00185E38">
      <w:pPr>
        <w:pStyle w:val="BodyText"/>
        <w:spacing w:before="60" w:after="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Extenzia kolektívnych zmlúv vyššieho stupňa</w:t>
      </w:r>
      <w:r w:rsidR="000940D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popiera zmluvnú voľnosť a dobrovoľnosť združovania, </w:t>
      </w:r>
      <w:r w:rsidR="000940D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nepriamo zvyšuje náklady zamestnávateľov, na ktorých je uplatňovaná. Navrhujeme obnovenie požiadavky súhlasu zamestnávateľa, na ktorého sa rozšírenie platnosti kolektívnej zmluvy vyššieho stupňa má vzťahovať. </w:t>
      </w:r>
    </w:p>
    <w:p w:rsidR="00185E38" w:rsidP="00185E38">
      <w:pPr>
        <w:pStyle w:val="BodyText"/>
        <w:spacing w:before="60" w:after="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Extenzia kolektívnych zmlúv nie je povinná, vyplýva z odporúčaní MOP, ktoré nie sú zaväzujúce a t</w:t>
      </w:r>
      <w:r w:rsidR="000940D8">
        <w:rPr>
          <w:rFonts w:ascii="Times New Roman" w:hAnsi="Times New Roman" w:cs="Times New Roman"/>
        </w:rPr>
        <w:t>ak</w:t>
      </w:r>
      <w:r>
        <w:rPr>
          <w:rFonts w:ascii="Times New Roman" w:hAnsi="Times New Roman" w:cs="Times New Roman"/>
        </w:rPr>
        <w:t xml:space="preserve">úto extenziu </w:t>
      </w:r>
      <w:r w:rsidR="000940D8">
        <w:rPr>
          <w:rFonts w:ascii="Times New Roman" w:hAnsi="Times New Roman" w:cs="Times New Roman"/>
        </w:rPr>
        <w:t xml:space="preserve">ani </w:t>
      </w:r>
      <w:r>
        <w:rPr>
          <w:rFonts w:ascii="Times New Roman" w:hAnsi="Times New Roman" w:cs="Times New Roman"/>
        </w:rPr>
        <w:t>neaplikujú všetky krajiny EÚ.</w:t>
      </w:r>
    </w:p>
    <w:p w:rsidR="00185E38" w:rsidP="00185E38">
      <w:pPr>
        <w:pStyle w:val="BodyText"/>
        <w:spacing w:before="60" w:after="60"/>
        <w:rPr>
          <w:rFonts w:ascii="Times New Roman" w:hAnsi="Times New Roman" w:cs="Times New Roman"/>
        </w:rPr>
      </w:pPr>
    </w:p>
    <w:p w:rsidR="00185E38" w:rsidP="00185E38">
      <w:pPr>
        <w:pStyle w:val="BodyText"/>
        <w:spacing w:before="60" w:after="60"/>
        <w:rPr>
          <w:rFonts w:ascii="Times New Roman" w:hAnsi="Times New Roman" w:cs="Times New Roman"/>
        </w:rPr>
      </w:pPr>
    </w:p>
    <w:p w:rsidR="00185E38" w:rsidP="00185E38">
      <w:pPr>
        <w:pStyle w:val="BodyText"/>
        <w:spacing w:before="60" w:after="60"/>
        <w:rPr>
          <w:rFonts w:ascii="Times New Roman" w:hAnsi="Times New Roman" w:cs="Times New Roman"/>
        </w:rPr>
      </w:pPr>
    </w:p>
    <w:p w:rsidR="00185E38" w:rsidP="00185E38">
      <w:pPr>
        <w:pStyle w:val="BodyText"/>
        <w:keepNext/>
        <w:spacing w:before="60" w:after="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K Čl. III</w:t>
      </w:r>
    </w:p>
    <w:p w:rsidR="00185E38" w:rsidP="00185E38">
      <w:pPr>
        <w:pStyle w:val="BodyText"/>
        <w:spacing w:before="60" w:after="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Vzhľadom na legislatívny proces sa uvedená legisvakačná doba javí ako primeraná.</w:t>
      </w:r>
    </w:p>
    <w:p w:rsidR="00185E38" w:rsidP="00185E38">
      <w:pPr>
        <w:pStyle w:val="BodyText"/>
        <w:spacing w:before="60" w:after="60"/>
        <w:ind w:firstLine="540"/>
        <w:rPr>
          <w:rFonts w:ascii="Times New Roman" w:hAnsi="Times New Roman" w:cs="Times New Roman"/>
        </w:rPr>
      </w:pPr>
    </w:p>
    <w:p w:rsidR="00180200" w:rsidP="00185E38">
      <w:pPr>
        <w:pStyle w:val="Title"/>
        <w:rPr>
          <w:rFonts w:ascii="Times New Roman" w:hAnsi="Times New Roman" w:cs="Times New Roman"/>
        </w:rPr>
      </w:pPr>
    </w:p>
    <w:p w:rsidR="00180200" w:rsidP="00185E38">
      <w:pPr>
        <w:pStyle w:val="Title"/>
        <w:rPr>
          <w:rFonts w:ascii="Times New Roman" w:hAnsi="Times New Roman" w:cs="Times New Roman"/>
        </w:rPr>
      </w:pPr>
    </w:p>
    <w:p w:rsidR="00180200" w:rsidP="00185E38">
      <w:pPr>
        <w:pStyle w:val="Title"/>
        <w:rPr>
          <w:rFonts w:ascii="Times New Roman" w:hAnsi="Times New Roman" w:cs="Times New Roman"/>
        </w:rPr>
      </w:pPr>
    </w:p>
    <w:p w:rsidR="00180200" w:rsidP="00185E38">
      <w:pPr>
        <w:pStyle w:val="Title"/>
        <w:rPr>
          <w:rFonts w:ascii="Times New Roman" w:hAnsi="Times New Roman" w:cs="Times New Roman"/>
        </w:rPr>
      </w:pPr>
    </w:p>
    <w:p w:rsidR="00180200" w:rsidP="00185E38">
      <w:pPr>
        <w:pStyle w:val="Title"/>
        <w:rPr>
          <w:rFonts w:ascii="Times New Roman" w:hAnsi="Times New Roman" w:cs="Times New Roman"/>
        </w:rPr>
      </w:pPr>
    </w:p>
    <w:p w:rsidR="002D6E26" w:rsidP="00185E38">
      <w:pPr>
        <w:pStyle w:val="Title"/>
        <w:rPr>
          <w:rFonts w:ascii="Times New Roman" w:hAnsi="Times New Roman" w:cs="Times New Roman"/>
        </w:rPr>
      </w:pPr>
    </w:p>
    <w:p w:rsidR="00180200" w:rsidP="00185E38">
      <w:pPr>
        <w:pStyle w:val="Title"/>
        <w:rPr>
          <w:rFonts w:ascii="Times New Roman" w:hAnsi="Times New Roman" w:cs="Times New Roman"/>
        </w:rPr>
      </w:pPr>
    </w:p>
    <w:p w:rsidR="00180200" w:rsidP="00185E38">
      <w:pPr>
        <w:pStyle w:val="Title"/>
        <w:rPr>
          <w:rFonts w:ascii="Times New Roman" w:hAnsi="Times New Roman" w:cs="Times New Roman"/>
        </w:rPr>
      </w:pPr>
    </w:p>
    <w:p w:rsidR="00185E38" w:rsidRPr="00185E38" w:rsidP="00185E38">
      <w:pPr>
        <w:pStyle w:val="Title"/>
        <w:rPr>
          <w:rFonts w:ascii="Times New Roman" w:hAnsi="Times New Roman" w:cs="Times New Roman"/>
        </w:rPr>
      </w:pPr>
      <w:r w:rsidRPr="00185E38">
        <w:rPr>
          <w:rFonts w:ascii="Times New Roman" w:hAnsi="Times New Roman" w:cs="Times New Roman"/>
        </w:rPr>
        <w:t>DOLOŽKA ZLUČITEĽNOSTI</w:t>
      </w:r>
    </w:p>
    <w:p w:rsidR="00185E38" w:rsidP="00185E38">
      <w:pPr>
        <w:pStyle w:val="Titl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návrhu zákona </w:t>
      </w:r>
      <w:r w:rsidRPr="00E355EA">
        <w:rPr>
          <w:rFonts w:ascii="Times New Roman" w:hAnsi="Times New Roman" w:cs="Times New Roman"/>
        </w:rPr>
        <w:t>s právom Európskych spoločenstiev a právom Európskej únie</w:t>
      </w:r>
      <w:r>
        <w:rPr>
          <w:rFonts w:ascii="Times New Roman" w:hAnsi="Times New Roman" w:cs="Times New Roman"/>
        </w:rPr>
        <w:t xml:space="preserve"> </w:t>
      </w:r>
    </w:p>
    <w:p w:rsidR="00185E38" w:rsidP="00185E38">
      <w:pPr>
        <w:pBdr>
          <w:top w:val="single" w:sz="4" w:space="1" w:color="auto"/>
        </w:pBdr>
        <w:spacing w:before="60" w:after="60"/>
        <w:rPr>
          <w:rFonts w:ascii="Times New Roman" w:hAnsi="Times New Roman" w:cs="Times New Roman"/>
          <w:lang w:eastAsia="cs-CZ"/>
        </w:rPr>
      </w:pPr>
    </w:p>
    <w:p w:rsidR="00185E38" w:rsidP="00185E38">
      <w:pPr>
        <w:tabs>
          <w:tab w:val="left" w:pos="360"/>
        </w:tabs>
        <w:spacing w:before="60" w:after="60"/>
        <w:ind w:left="360" w:hanging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1.</w:t>
        <w:tab/>
        <w:t xml:space="preserve">Navrhovateľ zákona: </w:t>
      </w:r>
      <w:r>
        <w:rPr>
          <w:rFonts w:ascii="Times New Roman" w:hAnsi="Times New Roman" w:cs="Times New Roman"/>
        </w:rPr>
        <w:t>poslanci Národnej rady Slovenskej republiky</w:t>
      </w:r>
    </w:p>
    <w:p w:rsidR="00185E38" w:rsidP="00185E38">
      <w:pPr>
        <w:tabs>
          <w:tab w:val="left" w:pos="360"/>
        </w:tabs>
        <w:spacing w:before="60" w:after="60"/>
        <w:ind w:left="360" w:hanging="360"/>
        <w:rPr>
          <w:rFonts w:ascii="Times New Roman" w:hAnsi="Times New Roman" w:cs="Times New Roman"/>
          <w:b/>
          <w:bCs/>
        </w:rPr>
      </w:pPr>
    </w:p>
    <w:p w:rsidR="00E20D5F" w:rsidP="00185E38">
      <w:pPr>
        <w:tabs>
          <w:tab w:val="left" w:pos="360"/>
        </w:tabs>
        <w:spacing w:before="60" w:after="60"/>
        <w:ind w:left="360" w:hanging="360"/>
        <w:rPr>
          <w:rFonts w:ascii="Times New Roman" w:hAnsi="Times New Roman" w:cs="Times New Roman"/>
          <w:b/>
          <w:bCs/>
        </w:rPr>
      </w:pPr>
    </w:p>
    <w:p w:rsidR="00185E38" w:rsidP="00185E38">
      <w:pPr>
        <w:tabs>
          <w:tab w:val="left" w:pos="360"/>
        </w:tabs>
        <w:spacing w:before="60" w:after="60"/>
        <w:ind w:left="360" w:hanging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2.</w:t>
        <w:tab/>
        <w:t xml:space="preserve">Názov návrhu zákona: </w:t>
      </w:r>
      <w:r>
        <w:rPr>
          <w:rFonts w:ascii="Times New Roman" w:hAnsi="Times New Roman" w:cs="Times New Roman"/>
        </w:rPr>
        <w:t>Zákon, ktorým sa mení a dopĺňa zákon č. 311/2001 Z. z. Zákonník práce v znení neskorších predpisov a zákon č. 2/1991 Zb. o kolektívnom vyjednávaní v znení neskorších predpisov</w:t>
      </w:r>
    </w:p>
    <w:p w:rsidR="00185E38" w:rsidP="00185E38">
      <w:pPr>
        <w:jc w:val="both"/>
        <w:rPr>
          <w:rFonts w:ascii="Arial" w:hAnsi="Arial" w:cs="Arial"/>
          <w:b/>
          <w:sz w:val="20"/>
          <w:szCs w:val="20"/>
        </w:rPr>
      </w:pPr>
    </w:p>
    <w:p w:rsidR="00185E38" w:rsidP="00185E38">
      <w:pPr>
        <w:jc w:val="both"/>
        <w:rPr>
          <w:rFonts w:ascii="Arial" w:hAnsi="Arial" w:cs="Arial"/>
          <w:b/>
          <w:sz w:val="20"/>
          <w:szCs w:val="20"/>
        </w:rPr>
      </w:pPr>
    </w:p>
    <w:p w:rsidR="00E20D5F" w:rsidP="00E20D5F">
      <w:pPr>
        <w:jc w:val="both"/>
        <w:rPr>
          <w:rFonts w:ascii="Times New Roman" w:hAnsi="Times New Roman" w:cs="Times New Roman"/>
          <w:b/>
        </w:rPr>
      </w:pPr>
      <w:r w:rsidRPr="00185E38" w:rsidR="00185E38">
        <w:rPr>
          <w:rFonts w:ascii="Times New Roman" w:hAnsi="Times New Roman" w:cs="Times New Roman"/>
          <w:b/>
        </w:rPr>
        <w:t>3. Problematika návrhu právneho predpisu</w:t>
      </w:r>
    </w:p>
    <w:p w:rsidR="00E20D5F" w:rsidRPr="00E20D5F" w:rsidP="00E20D5F">
      <w:pPr>
        <w:jc w:val="both"/>
        <w:rPr>
          <w:rFonts w:ascii="Times New Roman" w:hAnsi="Times New Roman" w:cs="Times New Roman"/>
          <w:b/>
        </w:rPr>
      </w:pPr>
    </w:p>
    <w:p w:rsidR="00E20D5F" w:rsidP="00E20D5F">
      <w:pPr>
        <w:pStyle w:val="Zkladntext"/>
        <w:numPr>
          <w:ilvl w:val="1"/>
          <w:numId w:val="1"/>
        </w:numPr>
        <w:tabs>
          <w:tab w:val="clear" w:pos="543"/>
          <w:tab w:val="left" w:pos="700"/>
        </w:tabs>
        <w:spacing w:before="60" w:after="60"/>
        <w:ind w:left="700" w:hanging="3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je upravená v práve Európskych spoločenstiev</w:t>
      </w:r>
    </w:p>
    <w:p w:rsidR="00E20D5F" w:rsidP="00E20D5F">
      <w:pPr>
        <w:ind w:left="360"/>
        <w:jc w:val="both"/>
        <w:rPr>
          <w:rFonts w:ascii="Times New Roman" w:hAnsi="Times New Roman" w:cs="Times New Roman"/>
        </w:rPr>
      </w:pPr>
    </w:p>
    <w:p w:rsidR="00E20D5F" w:rsidP="00E20D5F">
      <w:pPr>
        <w:numPr>
          <w:ilvl w:val="0"/>
          <w:numId w:val="3"/>
        </w:numPr>
        <w:tabs>
          <w:tab w:val="left" w:pos="360"/>
          <w:tab w:val="clear" w:pos="1800"/>
        </w:tabs>
        <w:autoSpaceDE/>
        <w:autoSpaceDN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</w:rPr>
        <w:t>pramene primárneho práva:</w:t>
      </w:r>
    </w:p>
    <w:p w:rsidR="00E20D5F" w:rsidP="00E20D5F">
      <w:pPr>
        <w:autoSpaceDE/>
        <w:autoSpaceDN/>
        <w:jc w:val="both"/>
        <w:rPr>
          <w:rFonts w:ascii="Times New Roman" w:hAnsi="Times New Roman" w:cs="Times New Roman"/>
          <w:i/>
        </w:rPr>
      </w:pPr>
    </w:p>
    <w:p w:rsidR="00E20D5F" w:rsidP="00E20D5F">
      <w:pPr>
        <w:numPr>
          <w:ilvl w:val="0"/>
          <w:numId w:val="5"/>
        </w:numPr>
        <w:autoSpaceDE/>
        <w:autoSpaceDN/>
        <w:jc w:val="both"/>
        <w:rPr>
          <w:rFonts w:ascii="Times New Roman" w:hAnsi="Times New Roman" w:cs="Times New Roman"/>
        </w:rPr>
      </w:pPr>
      <w:r w:rsidRPr="00F7793E">
        <w:rPr>
          <w:rFonts w:ascii="Times New Roman" w:hAnsi="Times New Roman" w:cs="Times New Roman"/>
        </w:rPr>
        <w:t xml:space="preserve">v čl. </w:t>
      </w:r>
      <w:smartTag w:uri="urn:schemas-microsoft-com:office:smarttags" w:element="metricconverter">
        <w:smartTagPr>
          <w:attr w:name="ProductID" w:val="136 a"/>
        </w:smartTagPr>
        <w:r w:rsidRPr="00F7793E">
          <w:rPr>
            <w:rFonts w:ascii="Times New Roman" w:hAnsi="Times New Roman" w:cs="Times New Roman"/>
          </w:rPr>
          <w:t>136 a</w:t>
        </w:r>
      </w:smartTag>
      <w:r w:rsidRPr="00F7793E">
        <w:rPr>
          <w:rFonts w:ascii="Times New Roman" w:hAnsi="Times New Roman" w:cs="Times New Roman"/>
        </w:rPr>
        <w:t xml:space="preserve"> 137 Zmluvy o založení Európskeho spoločenstva v konsolidovanom znení (v znení zmluvy z Amsterdamu a Nice). Podľa čl. 137 ods. 2 písm. b) Zmluvy Rada môže prijímať v oblastiach uvedených v čl. 137 ods. 1 písmenách a) až i) (</w:t>
      </w:r>
      <w:r w:rsidRPr="00F7793E">
        <w:rPr>
          <w:rFonts w:ascii="Times New Roman" w:hAnsi="Times New Roman" w:cs="Times New Roman"/>
          <w:i/>
        </w:rPr>
        <w:t>zlepšovanie najmä pracovného prostredia s ohľadom na ochranu zdravia a bezpečnosti pracovníkov, pracovné podmienky, ochrana pracovníkov v prípade skončenia pracovnej zmluvy, informovanie a porady s pracovníkmi, zastupovanie a kolektívna ochrana záujmov pracovníkov a zamestnávateľov vrátane spolurozhodovania</w:t>
      </w:r>
      <w:r w:rsidRPr="00F7793E">
        <w:rPr>
          <w:rFonts w:ascii="Times New Roman" w:hAnsi="Times New Roman" w:cs="Times New Roman"/>
        </w:rPr>
        <w:t>) prostredníctvom smerníc minimálne požiadavky, ktoré sa uskutočnia postupne s prihliadnutím na podmienky a technické predpisy platné v každom z členských štátov.</w:t>
      </w:r>
    </w:p>
    <w:p w:rsidR="00E20D5F" w:rsidP="00E20D5F">
      <w:pPr>
        <w:autoSpaceDE/>
        <w:autoSpaceDN/>
        <w:ind w:left="1440"/>
        <w:jc w:val="both"/>
        <w:rPr>
          <w:rFonts w:ascii="Times New Roman" w:hAnsi="Times New Roman" w:cs="Times New Roman"/>
        </w:rPr>
      </w:pPr>
    </w:p>
    <w:p w:rsidR="00E20D5F" w:rsidP="00E20D5F">
      <w:pPr>
        <w:numPr>
          <w:ilvl w:val="0"/>
          <w:numId w:val="3"/>
        </w:numPr>
        <w:tabs>
          <w:tab w:val="left" w:pos="360"/>
          <w:tab w:val="clear" w:pos="1800"/>
        </w:tabs>
        <w:autoSpaceDE/>
        <w:autoSpaceDN/>
        <w:ind w:left="360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pramene sekundárneho práva:</w:t>
      </w:r>
    </w:p>
    <w:p w:rsidR="00E20D5F" w:rsidP="00E20D5F">
      <w:pPr>
        <w:ind w:left="360"/>
        <w:jc w:val="both"/>
        <w:rPr>
          <w:rFonts w:ascii="Times New Roman" w:hAnsi="Times New Roman" w:cs="Times New Roman"/>
          <w:color w:val="FF0000"/>
          <w:sz w:val="16"/>
          <w:szCs w:val="16"/>
        </w:rPr>
      </w:pPr>
    </w:p>
    <w:p w:rsidR="00E20D5F" w:rsidRPr="003F51C0" w:rsidP="00E20D5F">
      <w:pPr>
        <w:numPr>
          <w:ilvl w:val="0"/>
          <w:numId w:val="2"/>
        </w:numPr>
        <w:tabs>
          <w:tab w:val="left" w:pos="360"/>
          <w:tab w:val="clear" w:pos="720"/>
        </w:tabs>
        <w:spacing w:before="120"/>
        <w:ind w:left="360"/>
        <w:jc w:val="both"/>
        <w:rPr>
          <w:rFonts w:ascii="Times New Roman" w:hAnsi="Times New Roman" w:cs="Times New Roman"/>
          <w:i/>
          <w:iCs/>
        </w:rPr>
      </w:pPr>
      <w:r w:rsidRPr="003F51C0">
        <w:rPr>
          <w:rFonts w:ascii="Times New Roman" w:hAnsi="Times New Roman" w:cs="Times New Roman"/>
        </w:rPr>
        <w:t>v smernici Rady 80/987/EHS z 20. októbra 1980 o aproximácii právnych predpisov členských štátov, vzťahujúcich sa na ochranu zamestnancov v prípade platobnej neschopnosti ich zamestnávateľa (</w:t>
      </w:r>
      <w:r w:rsidRPr="003F51C0">
        <w:rPr>
          <w:rFonts w:ascii="Times New Roman" w:hAnsi="Times New Roman" w:cs="Times New Roman"/>
          <w:color w:val="231F20"/>
        </w:rPr>
        <w:t>Mimoriadne vydanie Ú. v. EÚ, 05/zv.1</w:t>
      </w:r>
      <w:r w:rsidRPr="003F51C0">
        <w:rPr>
          <w:rFonts w:ascii="Times New Roman" w:hAnsi="Times New Roman" w:cs="Times New Roman"/>
        </w:rPr>
        <w:t>)</w:t>
      </w:r>
      <w:r w:rsidRPr="003F51C0">
        <w:rPr>
          <w:rFonts w:ascii="Times New Roman" w:hAnsi="Times New Roman" w:cs="Times New Roman"/>
          <w:i/>
          <w:iCs/>
        </w:rPr>
        <w:t xml:space="preserve"> </w:t>
      </w:r>
      <w:r w:rsidRPr="003F51C0">
        <w:rPr>
          <w:rFonts w:ascii="Times New Roman" w:hAnsi="Times New Roman" w:cs="Times New Roman"/>
        </w:rPr>
        <w:t>v znení smernice Rady 87/164/EHS z 2. marca 1987 (</w:t>
      </w:r>
      <w:r w:rsidRPr="003F51C0">
        <w:rPr>
          <w:rFonts w:ascii="Times New Roman" w:hAnsi="Times New Roman" w:cs="Times New Roman"/>
          <w:color w:val="231F20"/>
        </w:rPr>
        <w:t>Mimoriadne vydanie Ú. v. EÚ, 05/zv.1</w:t>
      </w:r>
      <w:r w:rsidRPr="003F51C0">
        <w:rPr>
          <w:rFonts w:ascii="Times New Roman" w:hAnsi="Times New Roman" w:cs="Times New Roman"/>
        </w:rPr>
        <w:t>) a v znení smernice Európskeho parlamentu a Rady 2002/74/ES z 23. septembra 2002 (</w:t>
      </w:r>
      <w:r w:rsidRPr="003F51C0">
        <w:rPr>
          <w:rFonts w:ascii="Times New Roman" w:hAnsi="Times New Roman" w:cs="Times New Roman"/>
          <w:color w:val="231F20"/>
        </w:rPr>
        <w:t>Mimoriadne vydanie Ú. v. EÚ, 05/zv.4</w:t>
      </w:r>
      <w:r w:rsidRPr="003F51C0">
        <w:rPr>
          <w:rFonts w:ascii="Times New Roman" w:hAnsi="Times New Roman" w:cs="Times New Roman"/>
        </w:rPr>
        <w:t>);</w:t>
      </w:r>
    </w:p>
    <w:p w:rsidR="00E20D5F" w:rsidRPr="003F51C0" w:rsidP="00E20D5F">
      <w:pPr>
        <w:numPr>
          <w:ilvl w:val="0"/>
          <w:numId w:val="2"/>
        </w:numPr>
        <w:tabs>
          <w:tab w:val="left" w:pos="360"/>
          <w:tab w:val="clear" w:pos="720"/>
        </w:tabs>
        <w:spacing w:before="120"/>
        <w:ind w:left="360"/>
        <w:jc w:val="both"/>
        <w:rPr>
          <w:rStyle w:val="Emphasis"/>
        </w:rPr>
      </w:pPr>
      <w:r w:rsidRPr="003F51C0">
        <w:rPr>
          <w:rFonts w:ascii="Times New Roman" w:hAnsi="Times New Roman" w:cs="Times New Roman"/>
        </w:rPr>
        <w:t>v smernici Rady 91/383/EHS z 25. júna 1991 doplňujúca opatrenia na podporu zlepšení v ochrane bezpečnosti a zdravia pri práci pracovníkov s pracovným pomerom na dobu určitú alebo s dočasným pracovným pomerom (</w:t>
      </w:r>
      <w:r w:rsidRPr="003F51C0">
        <w:rPr>
          <w:rFonts w:ascii="Times New Roman" w:hAnsi="Times New Roman" w:cs="Times New Roman"/>
          <w:color w:val="231F20"/>
        </w:rPr>
        <w:t>Mimoriadne vydanie Ú. v. EÚ, 05/zv.1</w:t>
      </w:r>
      <w:r w:rsidRPr="003F51C0">
        <w:rPr>
          <w:rStyle w:val="Emphasis"/>
          <w:szCs w:val="12"/>
        </w:rPr>
        <w:t>);</w:t>
      </w:r>
    </w:p>
    <w:p w:rsidR="00E20D5F" w:rsidRPr="003F51C0" w:rsidP="00E20D5F">
      <w:pPr>
        <w:numPr>
          <w:ilvl w:val="0"/>
          <w:numId w:val="2"/>
        </w:numPr>
        <w:tabs>
          <w:tab w:val="left" w:pos="360"/>
          <w:tab w:val="clear" w:pos="720"/>
        </w:tabs>
        <w:spacing w:before="120"/>
        <w:ind w:left="360"/>
        <w:jc w:val="both"/>
        <w:rPr>
          <w:rStyle w:val="Emphasis"/>
        </w:rPr>
      </w:pPr>
      <w:r w:rsidRPr="003F51C0">
        <w:rPr>
          <w:rFonts w:ascii="Times New Roman" w:hAnsi="Times New Roman" w:cs="Times New Roman"/>
        </w:rPr>
        <w:t>v smernici Rady 91/533/E-------HS zo 14. októbra 1991 o povinnosti zamestnávateľa informovať zamestnancov o podmienkach vzťahujúcich sa na zmluvu alebo na pracovno-právny vzťah (</w:t>
      </w:r>
      <w:r w:rsidRPr="003F51C0">
        <w:rPr>
          <w:rFonts w:ascii="Times New Roman" w:hAnsi="Times New Roman" w:cs="Times New Roman"/>
          <w:color w:val="231F20"/>
        </w:rPr>
        <w:t>Mimoriadne vydanie Ú. v. EÚ, 05/zv.2</w:t>
      </w:r>
      <w:r w:rsidRPr="003F51C0">
        <w:rPr>
          <w:rStyle w:val="Emphasis"/>
          <w:szCs w:val="12"/>
        </w:rPr>
        <w:t>);</w:t>
      </w:r>
    </w:p>
    <w:p w:rsidR="00E20D5F" w:rsidRPr="003F51C0" w:rsidP="00E20D5F">
      <w:pPr>
        <w:numPr>
          <w:ilvl w:val="0"/>
          <w:numId w:val="2"/>
        </w:numPr>
        <w:tabs>
          <w:tab w:val="left" w:pos="360"/>
          <w:tab w:val="clear" w:pos="720"/>
        </w:tabs>
        <w:spacing w:before="120"/>
        <w:ind w:left="360"/>
        <w:jc w:val="both"/>
        <w:rPr>
          <w:rStyle w:val="Emphasis"/>
          <w:i w:val="0"/>
          <w:iCs w:val="0"/>
        </w:rPr>
      </w:pPr>
      <w:r w:rsidRPr="003F51C0">
        <w:rPr>
          <w:rFonts w:ascii="Times New Roman" w:hAnsi="Times New Roman" w:cs="Times New Roman"/>
        </w:rPr>
        <w:t>v smernici Rady 94/45/ES z 22. septembra 1994 o zriaďovaní Európskej zamestnaneckej rady alebo postupu v podnikoch s významom na úrovni spoločenstva a v skupinách podnikov s významom na úrovni spoločenstva na účely informovania zamestnancov a prerokovania s nimi (</w:t>
      </w:r>
      <w:r w:rsidRPr="003F51C0">
        <w:rPr>
          <w:rFonts w:ascii="Times New Roman" w:hAnsi="Times New Roman" w:cs="Times New Roman"/>
          <w:color w:val="231F20"/>
        </w:rPr>
        <w:t>Mimoriadne vydanie Ú. v. EÚ, 05/zv.2</w:t>
      </w:r>
      <w:r w:rsidRPr="003F51C0">
        <w:rPr>
          <w:rStyle w:val="Emphasis"/>
          <w:szCs w:val="12"/>
        </w:rPr>
        <w:t xml:space="preserve">) v znení </w:t>
      </w:r>
      <w:r w:rsidRPr="003F51C0">
        <w:rPr>
          <w:rFonts w:ascii="Times New Roman" w:hAnsi="Times New Roman" w:cs="Times New Roman"/>
          <w:szCs w:val="12"/>
        </w:rPr>
        <w:t>smernice Rady 97/74/ES z 15. decembra 1997 (</w:t>
      </w:r>
      <w:r w:rsidRPr="003F51C0">
        <w:rPr>
          <w:rFonts w:ascii="Times New Roman" w:hAnsi="Times New Roman" w:cs="Times New Roman"/>
          <w:color w:val="231F20"/>
        </w:rPr>
        <w:t>Mimoriadne vydanie Ú. v. EÚ, 05/zv.3</w:t>
      </w:r>
      <w:r w:rsidRPr="003F51C0">
        <w:rPr>
          <w:rStyle w:val="Emphasis"/>
          <w:szCs w:val="12"/>
        </w:rPr>
        <w:t>) a v znení smernice Rady 2006/109/ES z 20. novembra 2006 (Ú. v. EÚ L 363, 20.12.2006, s. 416);</w:t>
      </w:r>
    </w:p>
    <w:p w:rsidR="00E20D5F" w:rsidRPr="003F51C0" w:rsidP="00E20D5F">
      <w:pPr>
        <w:numPr>
          <w:ilvl w:val="0"/>
          <w:numId w:val="2"/>
        </w:numPr>
        <w:tabs>
          <w:tab w:val="left" w:pos="360"/>
          <w:tab w:val="clear" w:pos="720"/>
        </w:tabs>
        <w:spacing w:before="120"/>
        <w:ind w:left="360"/>
        <w:jc w:val="both"/>
        <w:rPr>
          <w:rStyle w:val="Emphasis"/>
          <w:i w:val="0"/>
          <w:iCs w:val="0"/>
        </w:rPr>
      </w:pPr>
      <w:r w:rsidRPr="003F51C0">
        <w:rPr>
          <w:rFonts w:ascii="Times New Roman" w:hAnsi="Times New Roman" w:cs="Times New Roman"/>
        </w:rPr>
        <w:t>v smernici Rady 97/81/ES z 15. decembra 1997 týkajúca sa rámcovej dohody o práci na kratší pracovný čas, ktorú uzavreli UNICE, CEEP a ETUC (</w:t>
      </w:r>
      <w:r w:rsidRPr="003F51C0">
        <w:rPr>
          <w:rFonts w:ascii="Times New Roman" w:hAnsi="Times New Roman" w:cs="Times New Roman"/>
          <w:color w:val="231F20"/>
        </w:rPr>
        <w:t>Mimoriadne vydanie Ú. v. EÚ, 05/zv.3</w:t>
      </w:r>
      <w:r w:rsidRPr="003F51C0">
        <w:rPr>
          <w:rStyle w:val="Emphasis"/>
          <w:szCs w:val="12"/>
        </w:rPr>
        <w:t>) v znení s</w:t>
      </w:r>
      <w:r w:rsidRPr="003F51C0">
        <w:rPr>
          <w:rFonts w:ascii="Times New Roman" w:hAnsi="Times New Roman" w:cs="Times New Roman"/>
        </w:rPr>
        <w:t>mernice Rady 98/23/ES zo 7. apríla 1998 (</w:t>
      </w:r>
      <w:r w:rsidRPr="003F51C0">
        <w:rPr>
          <w:rFonts w:ascii="Times New Roman" w:hAnsi="Times New Roman" w:cs="Times New Roman"/>
          <w:color w:val="231F20"/>
        </w:rPr>
        <w:t>Mimoriadne vydanie Ú. v. EÚ, 05/zv.3</w:t>
      </w:r>
      <w:r w:rsidRPr="003F51C0">
        <w:rPr>
          <w:rStyle w:val="Emphasis"/>
          <w:szCs w:val="12"/>
        </w:rPr>
        <w:t>);</w:t>
      </w:r>
    </w:p>
    <w:p w:rsidR="00E20D5F" w:rsidRPr="003F51C0" w:rsidP="00E20D5F">
      <w:pPr>
        <w:numPr>
          <w:ilvl w:val="0"/>
          <w:numId w:val="2"/>
        </w:numPr>
        <w:tabs>
          <w:tab w:val="left" w:pos="360"/>
          <w:tab w:val="clear" w:pos="720"/>
        </w:tabs>
        <w:spacing w:before="120"/>
        <w:ind w:left="360"/>
        <w:jc w:val="both"/>
        <w:rPr>
          <w:rStyle w:val="Emphasis"/>
          <w:i w:val="0"/>
          <w:iCs w:val="0"/>
        </w:rPr>
      </w:pPr>
      <w:r w:rsidRPr="003F51C0">
        <w:rPr>
          <w:rFonts w:ascii="Times New Roman" w:hAnsi="Times New Roman" w:cs="Times New Roman"/>
        </w:rPr>
        <w:t>v smernici Rady 1999/70/ES z 28. júna 1999 o rámcovej dohode o práci na dobu určitú, ktorú uzavreli ETUC, UNICE a CEEP (</w:t>
      </w:r>
      <w:r w:rsidRPr="003F51C0">
        <w:rPr>
          <w:rFonts w:ascii="Times New Roman" w:hAnsi="Times New Roman" w:cs="Times New Roman"/>
          <w:color w:val="231F20"/>
        </w:rPr>
        <w:t>Mimoriadne vydanie Ú. v. EÚ, 05/zv.3)</w:t>
      </w:r>
      <w:r w:rsidRPr="003F51C0">
        <w:rPr>
          <w:rStyle w:val="Emphasis"/>
          <w:szCs w:val="12"/>
        </w:rPr>
        <w:t>;</w:t>
      </w:r>
    </w:p>
    <w:p w:rsidR="00E20D5F" w:rsidP="00E20D5F">
      <w:pPr>
        <w:numPr>
          <w:ilvl w:val="0"/>
          <w:numId w:val="2"/>
        </w:numPr>
        <w:tabs>
          <w:tab w:val="left" w:pos="360"/>
          <w:tab w:val="clear" w:pos="720"/>
        </w:tabs>
        <w:spacing w:before="120"/>
        <w:ind w:left="360"/>
        <w:jc w:val="both"/>
        <w:rPr>
          <w:rStyle w:val="Emphasis"/>
        </w:rPr>
      </w:pPr>
      <w:r>
        <w:rPr>
          <w:rFonts w:ascii="Times New Roman" w:hAnsi="Times New Roman" w:cs="Times New Roman"/>
        </w:rPr>
        <w:t>v smernici Európskeho parlamentu a Rady 2002/14/ES z 11. marca 2002, ktorá ustanovuje všeobecný rámec pre informovanie a porady so zamestnancami v Európskom spoločenstve (</w:t>
      </w:r>
      <w:r>
        <w:rPr>
          <w:rFonts w:ascii="Times New Roman" w:hAnsi="Times New Roman" w:cs="Times New Roman"/>
          <w:color w:val="231F20"/>
        </w:rPr>
        <w:t>Mimoriadne vydanie Ú. v. EÚ, 05/zv.4</w:t>
      </w:r>
      <w:r>
        <w:rPr>
          <w:rStyle w:val="Emphasis"/>
          <w:szCs w:val="12"/>
        </w:rPr>
        <w:t>);</w:t>
      </w:r>
    </w:p>
    <w:p w:rsidR="00E20D5F" w:rsidRPr="00E20D5F" w:rsidP="00E20D5F">
      <w:pPr>
        <w:numPr>
          <w:ilvl w:val="0"/>
          <w:numId w:val="2"/>
        </w:numPr>
        <w:tabs>
          <w:tab w:val="left" w:pos="360"/>
          <w:tab w:val="clear" w:pos="720"/>
        </w:tabs>
        <w:spacing w:before="120"/>
        <w:ind w:left="360"/>
        <w:jc w:val="both"/>
        <w:rPr>
          <w:rStyle w:val="Emphasis"/>
          <w:i w:val="0"/>
          <w:iCs w:val="0"/>
        </w:rPr>
      </w:pPr>
      <w:r w:rsidRPr="003F51C0">
        <w:rPr>
          <w:rFonts w:ascii="Times New Roman" w:hAnsi="Times New Roman" w:cs="Times New Roman"/>
        </w:rPr>
        <w:t xml:space="preserve">v smernici Európskeho parlamentu a Rady 2003/88/ES zo 4. novembra 2003, </w:t>
      </w:r>
      <w:r w:rsidRPr="003F51C0">
        <w:rPr>
          <w:rFonts w:ascii="Times New Roman" w:hAnsi="Times New Roman" w:cs="Times New Roman"/>
          <w:szCs w:val="12"/>
        </w:rPr>
        <w:t>o niektorých aspektoch organizácie pracovného času</w:t>
      </w:r>
      <w:r w:rsidRPr="003F51C0">
        <w:rPr>
          <w:rFonts w:ascii="Times New Roman" w:hAnsi="Times New Roman" w:cs="Times New Roman"/>
        </w:rPr>
        <w:t xml:space="preserve"> (</w:t>
      </w:r>
      <w:r w:rsidRPr="003F51C0">
        <w:rPr>
          <w:rFonts w:ascii="Times New Roman" w:hAnsi="Times New Roman" w:cs="Times New Roman"/>
          <w:color w:val="231F20"/>
        </w:rPr>
        <w:t>Mimoriadne vydanie Ú. v. EÚ, 05/zv.4</w:t>
      </w:r>
      <w:r w:rsidRPr="003F51C0">
        <w:rPr>
          <w:rStyle w:val="Emphasis"/>
          <w:szCs w:val="12"/>
        </w:rPr>
        <w:t>);</w:t>
      </w:r>
    </w:p>
    <w:p w:rsidR="00E20D5F" w:rsidRPr="003F51C0" w:rsidP="00E20D5F">
      <w:pPr>
        <w:spacing w:before="120"/>
        <w:ind w:left="360"/>
        <w:jc w:val="both"/>
        <w:rPr>
          <w:rStyle w:val="Emphasis"/>
          <w:i w:val="0"/>
          <w:iCs w:val="0"/>
        </w:rPr>
      </w:pPr>
    </w:p>
    <w:p w:rsidR="00E20D5F" w:rsidP="00E20D5F">
      <w:pPr>
        <w:pStyle w:val="Zkladntext"/>
        <w:numPr>
          <w:ilvl w:val="1"/>
          <w:numId w:val="1"/>
        </w:numPr>
        <w:tabs>
          <w:tab w:val="clear" w:pos="543"/>
          <w:tab w:val="left" w:pos="700"/>
        </w:tabs>
        <w:spacing w:before="60" w:after="60"/>
        <w:ind w:left="700" w:hanging="3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nie je upravená v práve Európskej únie</w:t>
      </w:r>
    </w:p>
    <w:p w:rsidR="00E20D5F" w:rsidP="00E20D5F">
      <w:pPr>
        <w:pStyle w:val="Zkladntext"/>
        <w:spacing w:before="60" w:after="60"/>
        <w:ind w:left="360"/>
        <w:rPr>
          <w:rFonts w:ascii="Times New Roman" w:hAnsi="Times New Roman" w:cs="Times New Roman"/>
        </w:rPr>
      </w:pPr>
    </w:p>
    <w:p w:rsidR="00E20D5F" w:rsidP="00E20D5F">
      <w:pPr>
        <w:pStyle w:val="Zkladntext"/>
        <w:numPr>
          <w:ilvl w:val="1"/>
          <w:numId w:val="1"/>
        </w:numPr>
        <w:tabs>
          <w:tab w:val="clear" w:pos="543"/>
          <w:tab w:val="left" w:pos="700"/>
        </w:tabs>
        <w:spacing w:before="60" w:after="60"/>
        <w:ind w:left="700" w:hanging="3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nie je obsiahnutá v judikatúre Súdneho dvora Európskych spoločenstiev alebo Súdu prvého stupňa Európskych spoločenstiev</w:t>
      </w:r>
    </w:p>
    <w:p w:rsidR="00E20D5F" w:rsidP="00E20D5F">
      <w:pPr>
        <w:jc w:val="both"/>
        <w:rPr>
          <w:rFonts w:ascii="Times New Roman" w:hAnsi="Times New Roman" w:cs="Times New Roman"/>
        </w:rPr>
      </w:pPr>
    </w:p>
    <w:p w:rsidR="00185E38" w:rsidRPr="00185E38" w:rsidP="00185E38">
      <w:pPr>
        <w:jc w:val="both"/>
        <w:rPr>
          <w:rFonts w:ascii="Times New Roman" w:hAnsi="Times New Roman" w:cs="Times New Roman"/>
        </w:rPr>
      </w:pPr>
    </w:p>
    <w:p w:rsidR="00185E38" w:rsidRPr="00185E38" w:rsidP="00185E38">
      <w:pPr>
        <w:jc w:val="both"/>
        <w:rPr>
          <w:rFonts w:ascii="Times New Roman" w:hAnsi="Times New Roman" w:cs="Times New Roman"/>
          <w:b/>
        </w:rPr>
      </w:pPr>
      <w:r w:rsidRPr="00185E38">
        <w:rPr>
          <w:rFonts w:ascii="Times New Roman" w:hAnsi="Times New Roman" w:cs="Times New Roman"/>
          <w:b/>
        </w:rPr>
        <w:t>4. Záväzky Slovenskej republiky vo vzťahu k Európskym spoločenstvám a Európskej únii:</w:t>
      </w:r>
    </w:p>
    <w:p w:rsidR="00185E38" w:rsidP="00185E38">
      <w:pPr>
        <w:jc w:val="both"/>
        <w:rPr>
          <w:rFonts w:ascii="Times New Roman" w:hAnsi="Times New Roman" w:cs="Times New Roman"/>
        </w:rPr>
      </w:pPr>
      <w:r w:rsidR="00E20D5F">
        <w:rPr>
          <w:rFonts w:ascii="Times New Roman" w:hAnsi="Times New Roman" w:cs="Times New Roman"/>
        </w:rPr>
        <w:t>B</w:t>
      </w:r>
      <w:r w:rsidRPr="00185E38">
        <w:rPr>
          <w:rFonts w:ascii="Times New Roman" w:hAnsi="Times New Roman" w:cs="Times New Roman"/>
        </w:rPr>
        <w:t>ezpredmetné</w:t>
      </w:r>
    </w:p>
    <w:p w:rsidR="00E20D5F" w:rsidP="00185E38">
      <w:pPr>
        <w:jc w:val="both"/>
        <w:rPr>
          <w:rFonts w:ascii="Times New Roman" w:hAnsi="Times New Roman" w:cs="Times New Roman"/>
        </w:rPr>
      </w:pPr>
    </w:p>
    <w:p w:rsidR="00E20D5F" w:rsidRPr="00185E38" w:rsidP="00185E38">
      <w:pPr>
        <w:jc w:val="both"/>
        <w:rPr>
          <w:rFonts w:ascii="Times New Roman" w:hAnsi="Times New Roman" w:cs="Times New Roman"/>
        </w:rPr>
      </w:pPr>
    </w:p>
    <w:p w:rsidR="00185E38" w:rsidRPr="00185E38" w:rsidP="00185E38">
      <w:pPr>
        <w:jc w:val="both"/>
        <w:rPr>
          <w:rFonts w:ascii="Times New Roman" w:hAnsi="Times New Roman" w:cs="Times New Roman"/>
          <w:b/>
        </w:rPr>
      </w:pPr>
      <w:r w:rsidRPr="00185E38">
        <w:rPr>
          <w:rFonts w:ascii="Times New Roman" w:hAnsi="Times New Roman" w:cs="Times New Roman"/>
          <w:b/>
        </w:rPr>
        <w:t>5. Stupeň zlučiteľnosti návrhu právneho predpisu s právom Európskych spoločenstiev a Európskej únie:</w:t>
      </w:r>
    </w:p>
    <w:p w:rsidR="00CD1C66" w:rsidRPr="00185E38" w:rsidP="00CD1C66">
      <w:pPr>
        <w:jc w:val="both"/>
        <w:rPr>
          <w:rFonts w:ascii="Times New Roman" w:hAnsi="Times New Roman" w:cs="Times New Roman"/>
        </w:rPr>
      </w:pPr>
      <w:r w:rsidRPr="00185E38">
        <w:rPr>
          <w:rFonts w:ascii="Times New Roman" w:hAnsi="Times New Roman" w:cs="Times New Roman"/>
        </w:rPr>
        <w:t>B</w:t>
      </w:r>
      <w:r w:rsidRPr="00185E38" w:rsidR="00185E38">
        <w:rPr>
          <w:rFonts w:ascii="Times New Roman" w:hAnsi="Times New Roman" w:cs="Times New Roman"/>
        </w:rPr>
        <w:t>ezpredmetné</w:t>
      </w:r>
    </w:p>
    <w:p w:rsidR="00CD1C66" w:rsidRPr="00185E38" w:rsidP="00CD1C66">
      <w:pPr>
        <w:jc w:val="both"/>
        <w:rPr>
          <w:rFonts w:ascii="Times New Roman" w:hAnsi="Times New Roman" w:cs="Times New Roman"/>
        </w:rPr>
      </w:pPr>
    </w:p>
    <w:p w:rsidR="00185E38" w:rsidRPr="00185E38" w:rsidP="00185E38">
      <w:pPr>
        <w:jc w:val="both"/>
        <w:rPr>
          <w:rFonts w:ascii="Times New Roman" w:hAnsi="Times New Roman" w:cs="Times New Roman"/>
        </w:rPr>
      </w:pPr>
    </w:p>
    <w:p w:rsidR="00185E38" w:rsidRPr="00185E38" w:rsidP="00185E38">
      <w:pPr>
        <w:jc w:val="both"/>
        <w:rPr>
          <w:rFonts w:ascii="Times New Roman" w:hAnsi="Times New Roman" w:cs="Times New Roman"/>
        </w:rPr>
      </w:pPr>
    </w:p>
    <w:p w:rsidR="00185E38" w:rsidRPr="00E355EA" w:rsidP="00185E38">
      <w:pPr>
        <w:rPr>
          <w:rFonts w:ascii="Arial" w:hAnsi="Arial" w:cs="Arial"/>
          <w:sz w:val="20"/>
          <w:szCs w:val="20"/>
        </w:rPr>
      </w:pPr>
    </w:p>
    <w:p w:rsidR="00185E38" w:rsidP="00185E38">
      <w:pPr>
        <w:tabs>
          <w:tab w:val="left" w:pos="360"/>
        </w:tabs>
        <w:spacing w:before="60" w:after="60"/>
        <w:ind w:left="360" w:hanging="360"/>
        <w:rPr>
          <w:rFonts w:ascii="Times New Roman" w:hAnsi="Times New Roman" w:cs="Times New Roman"/>
        </w:rPr>
      </w:pPr>
    </w:p>
    <w:p w:rsidR="00180200" w:rsidP="005979A2">
      <w:pPr>
        <w:pStyle w:val="Title"/>
        <w:rPr>
          <w:rFonts w:ascii="Times New Roman" w:hAnsi="Times New Roman" w:cs="Times New Roman"/>
        </w:rPr>
      </w:pPr>
    </w:p>
    <w:p w:rsidR="00180200" w:rsidP="005979A2">
      <w:pPr>
        <w:pStyle w:val="Title"/>
        <w:rPr>
          <w:rFonts w:ascii="Times New Roman" w:hAnsi="Times New Roman" w:cs="Times New Roman"/>
        </w:rPr>
      </w:pPr>
    </w:p>
    <w:p w:rsidR="00180200" w:rsidP="005979A2">
      <w:pPr>
        <w:pStyle w:val="Title"/>
        <w:rPr>
          <w:rFonts w:ascii="Times New Roman" w:hAnsi="Times New Roman" w:cs="Times New Roman"/>
        </w:rPr>
      </w:pPr>
    </w:p>
    <w:p w:rsidR="00180200" w:rsidP="005979A2">
      <w:pPr>
        <w:pStyle w:val="Title"/>
        <w:rPr>
          <w:rFonts w:ascii="Times New Roman" w:hAnsi="Times New Roman" w:cs="Times New Roman"/>
        </w:rPr>
      </w:pPr>
    </w:p>
    <w:p w:rsidR="00180200" w:rsidP="005979A2">
      <w:pPr>
        <w:pStyle w:val="Title"/>
        <w:rPr>
          <w:rFonts w:ascii="Times New Roman" w:hAnsi="Times New Roman" w:cs="Times New Roman"/>
        </w:rPr>
      </w:pPr>
    </w:p>
    <w:p w:rsidR="00180200" w:rsidP="005979A2">
      <w:pPr>
        <w:pStyle w:val="Title"/>
        <w:rPr>
          <w:rFonts w:ascii="Times New Roman" w:hAnsi="Times New Roman" w:cs="Times New Roman"/>
        </w:rPr>
      </w:pPr>
    </w:p>
    <w:p w:rsidR="00180200" w:rsidP="005979A2">
      <w:pPr>
        <w:pStyle w:val="Title"/>
        <w:rPr>
          <w:rFonts w:ascii="Times New Roman" w:hAnsi="Times New Roman" w:cs="Times New Roman"/>
        </w:rPr>
      </w:pPr>
    </w:p>
    <w:p w:rsidR="00180200" w:rsidP="005979A2">
      <w:pPr>
        <w:pStyle w:val="Title"/>
        <w:rPr>
          <w:rFonts w:ascii="Times New Roman" w:hAnsi="Times New Roman" w:cs="Times New Roman"/>
        </w:rPr>
      </w:pPr>
    </w:p>
    <w:p w:rsidR="00180200" w:rsidP="005979A2">
      <w:pPr>
        <w:pStyle w:val="Title"/>
        <w:rPr>
          <w:rFonts w:ascii="Times New Roman" w:hAnsi="Times New Roman" w:cs="Times New Roman"/>
        </w:rPr>
      </w:pPr>
    </w:p>
    <w:p w:rsidR="00180200" w:rsidP="005979A2">
      <w:pPr>
        <w:pStyle w:val="Title"/>
        <w:rPr>
          <w:rFonts w:ascii="Times New Roman" w:hAnsi="Times New Roman" w:cs="Times New Roman"/>
        </w:rPr>
      </w:pPr>
    </w:p>
    <w:p w:rsidR="00180200" w:rsidP="005979A2">
      <w:pPr>
        <w:pStyle w:val="Title"/>
        <w:rPr>
          <w:rFonts w:ascii="Times New Roman" w:hAnsi="Times New Roman" w:cs="Times New Roman"/>
        </w:rPr>
      </w:pPr>
    </w:p>
    <w:p w:rsidR="00180200" w:rsidP="005979A2">
      <w:pPr>
        <w:pStyle w:val="Title"/>
        <w:rPr>
          <w:rFonts w:ascii="Times New Roman" w:hAnsi="Times New Roman" w:cs="Times New Roman"/>
        </w:rPr>
      </w:pPr>
    </w:p>
    <w:p w:rsidR="00180200" w:rsidP="005979A2">
      <w:pPr>
        <w:pStyle w:val="Title"/>
        <w:rPr>
          <w:rFonts w:ascii="Times New Roman" w:hAnsi="Times New Roman" w:cs="Times New Roman"/>
        </w:rPr>
      </w:pPr>
    </w:p>
    <w:p w:rsidR="00180200" w:rsidP="005979A2">
      <w:pPr>
        <w:pStyle w:val="Title"/>
        <w:rPr>
          <w:rFonts w:ascii="Times New Roman" w:hAnsi="Times New Roman" w:cs="Times New Roman"/>
        </w:rPr>
      </w:pPr>
    </w:p>
    <w:p w:rsidR="00180200" w:rsidP="005979A2">
      <w:pPr>
        <w:pStyle w:val="Title"/>
        <w:rPr>
          <w:rFonts w:ascii="Times New Roman" w:hAnsi="Times New Roman" w:cs="Times New Roman"/>
        </w:rPr>
      </w:pPr>
    </w:p>
    <w:p w:rsidR="00180200" w:rsidP="005979A2">
      <w:pPr>
        <w:pStyle w:val="Title"/>
        <w:rPr>
          <w:rFonts w:ascii="Times New Roman" w:hAnsi="Times New Roman" w:cs="Times New Roman"/>
        </w:rPr>
      </w:pPr>
    </w:p>
    <w:p w:rsidR="00180200" w:rsidP="005979A2">
      <w:pPr>
        <w:pStyle w:val="Title"/>
        <w:rPr>
          <w:rFonts w:ascii="Times New Roman" w:hAnsi="Times New Roman" w:cs="Times New Roman"/>
        </w:rPr>
      </w:pPr>
    </w:p>
    <w:p w:rsidR="00185E38" w:rsidRPr="005979A2" w:rsidP="005979A2">
      <w:pPr>
        <w:pStyle w:val="Title"/>
        <w:rPr>
          <w:rFonts w:ascii="Times New Roman" w:hAnsi="Times New Roman" w:cs="Times New Roman"/>
        </w:rPr>
      </w:pPr>
      <w:r w:rsidRPr="005979A2">
        <w:rPr>
          <w:rFonts w:ascii="Times New Roman" w:hAnsi="Times New Roman" w:cs="Times New Roman"/>
        </w:rPr>
        <w:t>DOLOŽKA</w:t>
      </w:r>
    </w:p>
    <w:p w:rsidR="00185E38" w:rsidRPr="005979A2" w:rsidP="005979A2">
      <w:pPr>
        <w:pStyle w:val="Title"/>
        <w:rPr>
          <w:rFonts w:ascii="Times New Roman" w:hAnsi="Times New Roman" w:cs="Times New Roman"/>
        </w:rPr>
      </w:pPr>
      <w:r w:rsidRPr="005979A2">
        <w:rPr>
          <w:rFonts w:ascii="Times New Roman" w:hAnsi="Times New Roman" w:cs="Times New Roman"/>
        </w:rPr>
        <w:t>k návrhu zákona o jeho finančných a ekonomických vplyvoch,</w:t>
      </w:r>
    </w:p>
    <w:p w:rsidR="00185E38" w:rsidRPr="005979A2" w:rsidP="005979A2">
      <w:pPr>
        <w:pStyle w:val="Title"/>
        <w:rPr>
          <w:rFonts w:ascii="Times New Roman" w:hAnsi="Times New Roman" w:cs="Times New Roman"/>
        </w:rPr>
      </w:pPr>
      <w:r w:rsidRPr="005979A2">
        <w:rPr>
          <w:rFonts w:ascii="Times New Roman" w:hAnsi="Times New Roman" w:cs="Times New Roman"/>
        </w:rPr>
        <w:t>environmentálnych vplyvoch a vplyvoch na zamestnanosť</w:t>
      </w:r>
    </w:p>
    <w:p w:rsidR="00185E38" w:rsidP="00185E38">
      <w:pPr>
        <w:pStyle w:val="BodyText"/>
        <w:spacing w:before="60" w:after="60"/>
        <w:ind w:left="705"/>
        <w:rPr>
          <w:rFonts w:ascii="Times New Roman" w:hAnsi="Times New Roman" w:cs="Times New Roman"/>
          <w:b/>
          <w:bCs/>
        </w:rPr>
      </w:pPr>
    </w:p>
    <w:p w:rsidR="00185E38" w:rsidP="00185E38">
      <w:pPr>
        <w:pStyle w:val="BodyText"/>
        <w:spacing w:before="60" w:after="60"/>
        <w:rPr>
          <w:rFonts w:ascii="Times New Roman" w:hAnsi="Times New Roman" w:cs="Times New Roman"/>
          <w:b/>
          <w:bCs/>
        </w:rPr>
      </w:pPr>
    </w:p>
    <w:p w:rsidR="00185E38" w:rsidP="00185E38">
      <w:pPr>
        <w:pStyle w:val="BodyText"/>
        <w:spacing w:before="60" w:after="6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1. Odhad dopadov na verejné financie</w:t>
      </w:r>
    </w:p>
    <w:p w:rsidR="00B454A1" w:rsidP="00185E38">
      <w:pPr>
        <w:pStyle w:val="BodyText"/>
        <w:spacing w:before="60" w:after="60"/>
        <w:rPr>
          <w:rFonts w:ascii="Times New Roman" w:hAnsi="Times New Roman" w:cs="Times New Roman"/>
          <w:bCs/>
        </w:rPr>
      </w:pPr>
      <w:r w:rsidRPr="005979A2" w:rsidR="005979A2">
        <w:rPr>
          <w:rFonts w:ascii="Times New Roman" w:hAnsi="Times New Roman" w:cs="Times New Roman"/>
          <w:bCs/>
        </w:rPr>
        <w:t xml:space="preserve">Návrh zákona bude mať </w:t>
      </w:r>
      <w:r w:rsidRPr="00E20D5F" w:rsidR="007E27B0">
        <w:rPr>
          <w:rFonts w:ascii="Times New Roman" w:hAnsi="Times New Roman" w:cs="Times New Roman"/>
          <w:bCs/>
        </w:rPr>
        <w:t>pozitívny</w:t>
      </w:r>
      <w:r w:rsidRPr="005979A2" w:rsidR="005979A2">
        <w:rPr>
          <w:rFonts w:ascii="Times New Roman" w:hAnsi="Times New Roman" w:cs="Times New Roman"/>
          <w:bCs/>
        </w:rPr>
        <w:t xml:space="preserve"> vplyv na verejné financie.</w:t>
      </w:r>
    </w:p>
    <w:p w:rsidR="005979A2" w:rsidRPr="005979A2" w:rsidP="00185E38">
      <w:pPr>
        <w:pStyle w:val="BodyText"/>
        <w:spacing w:before="60" w:after="60"/>
        <w:rPr>
          <w:rFonts w:ascii="Times New Roman" w:hAnsi="Times New Roman" w:cs="Times New Roman"/>
          <w:bCs/>
        </w:rPr>
      </w:pPr>
    </w:p>
    <w:p w:rsidR="00185E38" w:rsidP="00185E38">
      <w:pPr>
        <w:pStyle w:val="BodyText"/>
        <w:spacing w:before="60" w:after="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2. Odhad dopadov na obyvateľov, hospodárenie podnikateľskej sféry a iných právnických osôb</w:t>
      </w:r>
    </w:p>
    <w:p w:rsidR="00185E38" w:rsidP="00B454A1">
      <w:pPr>
        <w:pStyle w:val="BodyTextIndent2"/>
        <w:spacing w:before="60" w:after="60" w:line="240" w:lineRule="auto"/>
        <w:ind w:left="0"/>
        <w:rPr>
          <w:rFonts w:ascii="Times New Roman" w:hAnsi="Times New Roman" w:cs="Times New Roman"/>
        </w:rPr>
      </w:pPr>
      <w:r w:rsidR="00B454A1">
        <w:rPr>
          <w:rFonts w:ascii="Times New Roman" w:hAnsi="Times New Roman" w:cs="Times New Roman"/>
        </w:rPr>
        <w:t>Návrh zákona bude</w:t>
      </w:r>
      <w:r w:rsidRPr="00B454A1">
        <w:rPr>
          <w:rFonts w:ascii="Times New Roman" w:hAnsi="Times New Roman" w:cs="Times New Roman"/>
        </w:rPr>
        <w:t xml:space="preserve"> mať </w:t>
      </w:r>
      <w:r w:rsidR="00B454A1">
        <w:rPr>
          <w:rFonts w:ascii="Times New Roman" w:hAnsi="Times New Roman" w:cs="Times New Roman"/>
        </w:rPr>
        <w:t xml:space="preserve">pozitívny </w:t>
      </w:r>
      <w:r w:rsidRPr="00B454A1">
        <w:rPr>
          <w:rFonts w:ascii="Times New Roman" w:hAnsi="Times New Roman" w:cs="Times New Roman"/>
        </w:rPr>
        <w:t xml:space="preserve">vplyv na obyvateľov </w:t>
      </w:r>
      <w:r w:rsidR="00B454A1">
        <w:rPr>
          <w:rFonts w:ascii="Times New Roman" w:hAnsi="Times New Roman" w:cs="Times New Roman"/>
        </w:rPr>
        <w:t xml:space="preserve">a </w:t>
      </w:r>
      <w:r w:rsidRPr="00B454A1">
        <w:rPr>
          <w:rFonts w:ascii="Times New Roman" w:hAnsi="Times New Roman" w:cs="Times New Roman"/>
        </w:rPr>
        <w:t>na hospodárenie podnikateľskej sféry a iných právnických osôb.</w:t>
      </w:r>
    </w:p>
    <w:p w:rsidR="00185E38" w:rsidP="00185E38">
      <w:pPr>
        <w:spacing w:before="60" w:after="60"/>
        <w:rPr>
          <w:rFonts w:ascii="Times New Roman" w:hAnsi="Times New Roman" w:cs="Times New Roman"/>
          <w:lang w:eastAsia="cs-CZ"/>
        </w:rPr>
      </w:pPr>
    </w:p>
    <w:p w:rsidR="00185E38" w:rsidP="00185E38">
      <w:pPr>
        <w:pStyle w:val="BodyText"/>
        <w:spacing w:before="60" w:after="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3. Odhad dopadov na životné prostredie</w:t>
      </w:r>
    </w:p>
    <w:p w:rsidR="00185E38" w:rsidP="00185E38">
      <w:pPr>
        <w:pStyle w:val="BodyText"/>
        <w:spacing w:before="60" w:after="6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Návrh zákona nebude mať žiadny vplyv na životné prostredie.</w:t>
      </w:r>
    </w:p>
    <w:p w:rsidR="00185E38" w:rsidP="00185E38">
      <w:pPr>
        <w:pStyle w:val="BodyText"/>
        <w:spacing w:before="60" w:after="60"/>
        <w:ind w:firstLine="708"/>
        <w:rPr>
          <w:rFonts w:ascii="Times New Roman" w:hAnsi="Times New Roman" w:cs="Times New Roman"/>
          <w:b/>
          <w:bCs/>
        </w:rPr>
      </w:pPr>
    </w:p>
    <w:p w:rsidR="00185E38" w:rsidP="00185E38">
      <w:pPr>
        <w:pStyle w:val="BodyText"/>
        <w:spacing w:before="60" w:after="6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4. Odhad dopadov na zamestnanosť</w:t>
      </w:r>
    </w:p>
    <w:p w:rsidR="00185E38" w:rsidP="00185E38">
      <w:pPr>
        <w:pStyle w:val="BodyText"/>
        <w:spacing w:before="60" w:after="60"/>
        <w:rPr>
          <w:rFonts w:ascii="Times New Roman" w:hAnsi="Times New Roman" w:cs="Times New Roman"/>
        </w:rPr>
      </w:pPr>
      <w:r w:rsidR="00B454A1">
        <w:rPr>
          <w:rFonts w:ascii="Times New Roman" w:hAnsi="Times New Roman" w:cs="Times New Roman"/>
        </w:rPr>
        <w:t>Návrh zákona bude</w:t>
      </w:r>
      <w:r w:rsidRPr="00B454A1">
        <w:rPr>
          <w:rFonts w:ascii="Times New Roman" w:hAnsi="Times New Roman" w:cs="Times New Roman"/>
        </w:rPr>
        <w:t xml:space="preserve"> mať </w:t>
      </w:r>
      <w:r w:rsidR="00B454A1">
        <w:rPr>
          <w:rFonts w:ascii="Times New Roman" w:hAnsi="Times New Roman" w:cs="Times New Roman"/>
        </w:rPr>
        <w:t xml:space="preserve">pozitívny </w:t>
      </w:r>
      <w:r w:rsidRPr="00B454A1">
        <w:rPr>
          <w:rFonts w:ascii="Times New Roman" w:hAnsi="Times New Roman" w:cs="Times New Roman"/>
        </w:rPr>
        <w:t xml:space="preserve">vplyv na </w:t>
      </w:r>
      <w:r w:rsidR="00B454A1">
        <w:rPr>
          <w:rFonts w:ascii="Times New Roman" w:hAnsi="Times New Roman" w:cs="Times New Roman"/>
        </w:rPr>
        <w:t>udržanie zamestnanosti</w:t>
      </w:r>
      <w:r w:rsidRPr="00B454A1">
        <w:rPr>
          <w:rFonts w:ascii="Times New Roman" w:hAnsi="Times New Roman" w:cs="Times New Roman"/>
        </w:rPr>
        <w:t xml:space="preserve"> občanov Slovenskej republiky.</w:t>
      </w:r>
    </w:p>
    <w:p w:rsidR="00185E38" w:rsidP="00185E38">
      <w:pPr>
        <w:pStyle w:val="BodyText"/>
        <w:spacing w:before="60" w:after="60"/>
        <w:rPr>
          <w:rFonts w:ascii="Times New Roman" w:hAnsi="Times New Roman" w:cs="Times New Roman"/>
        </w:rPr>
      </w:pPr>
    </w:p>
    <w:p w:rsidR="00185E38">
      <w:pPr>
        <w:spacing w:line="300" w:lineRule="atLeast"/>
        <w:rPr>
          <w:rFonts w:ascii="Times New Roman" w:hAnsi="Times New Roman" w:cs="Times New Roman"/>
        </w:rPr>
      </w:pPr>
    </w:p>
    <w:sectPr>
      <w:pgSz w:w="11906" w:h="16838"/>
      <w:pgMar w:top="1361" w:right="1361" w:bottom="1361" w:left="1361" w:header="709" w:footer="709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00000000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00000000" w:usb1="00000000" w:usb2="00000000" w:usb3="00000000" w:csb0="00000001" w:csb1="00000000"/>
  </w:font>
  <w:font w:name="Wingdings">
    <w:panose1 w:val="05000000000000000000"/>
    <w:charset w:val="00"/>
    <w:family w:val="auto"/>
    <w:pitch w:val="variable"/>
    <w:sig w:usb0="00000000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6850A8"/>
    <w:multiLevelType w:val="hybridMultilevel"/>
    <w:tmpl w:val="2E028AF8"/>
    <w:lvl w:ilvl="0">
      <w:start w:val="1"/>
      <w:numFmt w:val="lowerLetter"/>
      <w:lvlText w:val="%1)"/>
      <w:lvlJc w:val="left"/>
      <w:pPr>
        <w:tabs>
          <w:tab w:val="num" w:pos="-177"/>
        </w:tabs>
        <w:ind w:left="521" w:hanging="341"/>
      </w:pPr>
      <w:rPr>
        <w:rFonts w:cs="Times New Roman"/>
        <w:rtl w:val="0"/>
      </w:rPr>
    </w:lvl>
    <w:lvl w:ilvl="1">
      <w:start w:val="1"/>
      <w:numFmt w:val="lowerLetter"/>
      <w:lvlText w:val="%2)"/>
      <w:lvlJc w:val="left"/>
      <w:pPr>
        <w:tabs>
          <w:tab w:val="num" w:pos="543"/>
        </w:tabs>
        <w:ind w:left="543" w:hanging="360"/>
      </w:pPr>
      <w:rPr>
        <w:rFonts w:cs="Times New Roman"/>
        <w:rtl w:val="0"/>
      </w:rPr>
    </w:lvl>
    <w:lvl w:ilvl="2">
      <w:start w:val="1"/>
      <w:numFmt w:val="lowerRoman"/>
      <w:lvlText w:val="%3."/>
      <w:lvlJc w:val="right"/>
      <w:pPr>
        <w:tabs>
          <w:tab w:val="num" w:pos="1263"/>
        </w:tabs>
        <w:ind w:left="1263" w:hanging="180"/>
      </w:pPr>
      <w:rPr>
        <w:rFonts w:cs="Times New Roman"/>
        <w:rtl w:val="0"/>
      </w:rPr>
    </w:lvl>
    <w:lvl w:ilvl="3">
      <w:start w:val="1"/>
      <w:numFmt w:val="decimal"/>
      <w:lvlText w:val="%4."/>
      <w:lvlJc w:val="left"/>
      <w:pPr>
        <w:tabs>
          <w:tab w:val="num" w:pos="1983"/>
        </w:tabs>
        <w:ind w:left="1983" w:hanging="360"/>
      </w:pPr>
      <w:rPr>
        <w:rFonts w:cs="Times New Roman"/>
        <w:rtl w:val="0"/>
      </w:rPr>
    </w:lvl>
    <w:lvl w:ilvl="4">
      <w:start w:val="1"/>
      <w:numFmt w:val="lowerLetter"/>
      <w:lvlText w:val="%5."/>
      <w:lvlJc w:val="left"/>
      <w:pPr>
        <w:tabs>
          <w:tab w:val="num" w:pos="2703"/>
        </w:tabs>
        <w:ind w:left="2703" w:hanging="360"/>
      </w:pPr>
      <w:rPr>
        <w:rFonts w:cs="Times New Roman"/>
        <w:rtl w:val="0"/>
      </w:rPr>
    </w:lvl>
    <w:lvl w:ilvl="5">
      <w:start w:val="1"/>
      <w:numFmt w:val="lowerRoman"/>
      <w:lvlText w:val="%6."/>
      <w:lvlJc w:val="right"/>
      <w:pPr>
        <w:tabs>
          <w:tab w:val="num" w:pos="3423"/>
        </w:tabs>
        <w:ind w:left="3423" w:hanging="180"/>
      </w:pPr>
      <w:rPr>
        <w:rFonts w:cs="Times New Roman"/>
        <w:rtl w:val="0"/>
      </w:rPr>
    </w:lvl>
    <w:lvl w:ilvl="6">
      <w:start w:val="1"/>
      <w:numFmt w:val="decimal"/>
      <w:lvlText w:val="%7."/>
      <w:lvlJc w:val="left"/>
      <w:pPr>
        <w:tabs>
          <w:tab w:val="num" w:pos="4143"/>
        </w:tabs>
        <w:ind w:left="4143" w:hanging="360"/>
      </w:pPr>
      <w:rPr>
        <w:rFonts w:cs="Times New Roman"/>
        <w:rtl w:val="0"/>
      </w:rPr>
    </w:lvl>
    <w:lvl w:ilvl="7">
      <w:start w:val="1"/>
      <w:numFmt w:val="lowerLetter"/>
      <w:lvlText w:val="%8."/>
      <w:lvlJc w:val="left"/>
      <w:pPr>
        <w:tabs>
          <w:tab w:val="num" w:pos="4863"/>
        </w:tabs>
        <w:ind w:left="4863" w:hanging="360"/>
      </w:pPr>
      <w:rPr>
        <w:rFonts w:cs="Times New Roman"/>
        <w:rtl w:val="0"/>
      </w:rPr>
    </w:lvl>
    <w:lvl w:ilvl="8">
      <w:start w:val="1"/>
      <w:numFmt w:val="lowerRoman"/>
      <w:lvlText w:val="%9."/>
      <w:lvlJc w:val="right"/>
      <w:pPr>
        <w:tabs>
          <w:tab w:val="num" w:pos="5583"/>
        </w:tabs>
        <w:ind w:left="5583" w:hanging="180"/>
      </w:pPr>
      <w:rPr>
        <w:rFonts w:cs="Times New Roman"/>
        <w:rtl w:val="0"/>
      </w:rPr>
    </w:lvl>
  </w:abstractNum>
  <w:abstractNum w:abstractNumId="1">
    <w:nsid w:val="102A595E"/>
    <w:multiLevelType w:val="hybridMultilevel"/>
    <w:tmpl w:val="5A9467C4"/>
    <w:lvl w:ilvl="0">
      <w:start w:val="1"/>
      <w:numFmt w:val="upperRoman"/>
      <w:lvlText w:val="%1."/>
      <w:lvlJc w:val="left"/>
      <w:pPr>
        <w:ind w:left="1080" w:hanging="720"/>
      </w:pPr>
      <w:rPr>
        <w:rFonts w:cs="Times New Roman"/>
        <w:rtl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</w:rPr>
    </w:lvl>
  </w:abstractNum>
  <w:abstractNum w:abstractNumId="2">
    <w:nsid w:val="1FAF2822"/>
    <w:multiLevelType w:val="hybridMultilevel"/>
    <w:tmpl w:val="C714F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rtl w:val="0"/>
      </w:rPr>
    </w:lvl>
    <w:lvl w:ilvl="1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  <w:rtl w:val="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/>
        <w:rtl w:val="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  <w:rtl w:val="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  <w:rtl w:val="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rtl w:val="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  <w:rtl w:val="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  <w:rtl w:val="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rtl w:val="0"/>
      </w:rPr>
    </w:lvl>
  </w:abstractNum>
  <w:abstractNum w:abstractNumId="3">
    <w:nsid w:val="2B187077"/>
    <w:multiLevelType w:val="hybridMultilevel"/>
    <w:tmpl w:val="AB04267C"/>
    <w:lvl w:ilvl="0">
      <w:start w:val="2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hAnsi="Times New Roman"/>
        <w:i/>
        <w:rtl w:val="0"/>
      </w:rPr>
    </w:lvl>
    <w:lvl w:ilvl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/>
        <w:rtl w:val="0"/>
      </w:rPr>
    </w:lvl>
    <w:lvl w:ilvl="2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/>
        <w:rtl w:val="0"/>
      </w:rPr>
    </w:lvl>
    <w:lvl w:ilvl="3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/>
        <w:rtl w:val="0"/>
      </w:rPr>
    </w:lvl>
    <w:lvl w:ilvl="4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/>
        <w:rtl w:val="0"/>
      </w:rPr>
    </w:lvl>
    <w:lvl w:ilvl="5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/>
        <w:rtl w:val="0"/>
      </w:rPr>
    </w:lvl>
    <w:lvl w:ilvl="6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/>
        <w:rtl w:val="0"/>
      </w:rPr>
    </w:lvl>
    <w:lvl w:ilvl="7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/>
        <w:rtl w:val="0"/>
      </w:rPr>
    </w:lvl>
    <w:lvl w:ilvl="8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/>
        <w:rtl w:val="0"/>
      </w:rPr>
    </w:lvl>
  </w:abstractNum>
  <w:abstractNum w:abstractNumId="4">
    <w:nsid w:val="7C90668B"/>
    <w:multiLevelType w:val="hybridMultilevel"/>
    <w:tmpl w:val="4A200E8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/>
        <w:rtl w:val="0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/>
        <w:rtl w:val="0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/>
        <w:rtl w:val="0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/>
        <w:rtl w:val="0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/>
        <w:rtl w:val="0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/>
        <w:rtl w:val="0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/>
        <w:rtl w:val="0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/>
        <w:rtl w:val="0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/>
        <w:rtl w:val="0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0940D8"/>
    <w:rsid w:val="000C02C9"/>
    <w:rsid w:val="000E5E20"/>
    <w:rsid w:val="00180200"/>
    <w:rsid w:val="00185E38"/>
    <w:rsid w:val="002D6E26"/>
    <w:rsid w:val="003F51C0"/>
    <w:rsid w:val="005979A2"/>
    <w:rsid w:val="007E27B0"/>
    <w:rsid w:val="00B454A1"/>
    <w:rsid w:val="00CD1C66"/>
    <w:rsid w:val="00D34A8F"/>
    <w:rsid w:val="00E20D5F"/>
    <w:rsid w:val="00E355EA"/>
    <w:rsid w:val="00E52241"/>
    <w:rsid w:val="00F7793E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iPriority="99" w:unhideWhenUsed="1"/>
    <w:lsdException w:name="index 2" w:semiHidden="1" w:uiPriority="99" w:unhideWhenUsed="1"/>
    <w:lsdException w:name="index 3" w:semiHidden="1" w:uiPriority="99" w:unhideWhenUsed="1"/>
    <w:lsdException w:name="index 4" w:semiHidden="1" w:uiPriority="99" w:unhideWhenUsed="1"/>
    <w:lsdException w:name="index 5" w:semiHidden="1" w:uiPriority="99" w:unhideWhenUsed="1"/>
    <w:lsdException w:name="index 6" w:semiHidden="1" w:uiPriority="99" w:unhideWhenUsed="1"/>
    <w:lsdException w:name="index 7" w:semiHidden="1" w:uiPriority="99" w:unhideWhenUsed="1"/>
    <w:lsdException w:name="index 8" w:semiHidden="1" w:uiPriority="99" w:unhideWhenUsed="1"/>
    <w:lsdException w:name="index 9" w:semiHidden="1" w:uiPriority="99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 w:uiPriority="99" w:unhideWhenUsed="1"/>
    <w:lsdException w:name="index heading" w:semiHidden="1" w:uiPriority="99" w:unhideWhenUsed="1"/>
    <w:lsdException w:name="caption" w:semiHidden="1" w:uiPriority="35" w:unhideWhenUsed="1" w:qFormat="1"/>
    <w:lsdException w:name="table of figures" w:semiHidden="1" w:uiPriority="99" w:unhideWhenUsed="1"/>
    <w:lsdException w:name="envelope address" w:semiHidden="1" w:uiPriority="99" w:unhideWhenUsed="1"/>
    <w:lsdException w:name="envelope return" w:semiHidden="1" w:uiPriority="99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iPriority="99" w:unhideWhenUsed="1"/>
    <w:lsdException w:name="page number" w:semiHidden="1" w:uiPriority="99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iPriority="99" w:unhideWhenUsed="1"/>
    <w:lsdException w:name="macro" w:semiHidden="1" w:uiPriority="99" w:unhideWhenUsed="1"/>
    <w:lsdException w:name="toa heading" w:semiHidden="1" w:uiPriority="99" w:unhideWhenUsed="1"/>
    <w:lsdException w:name="List" w:semiHidden="1" w:uiPriority="99" w:unhideWhenUsed="1"/>
    <w:lsdException w:name="List Bullet" w:semiHidden="1" w:uiPriority="99" w:unhideWhenUsed="1"/>
    <w:lsdException w:name="List Number" w:semiHidden="1" w:uiPriority="99" w:unhideWhenUsed="1"/>
    <w:lsdException w:name="List 2" w:semiHidden="1" w:uiPriority="99" w:unhideWhenUsed="1"/>
    <w:lsdException w:name="List 3" w:semiHidden="1" w:uiPriority="99" w:unhideWhenUsed="1"/>
    <w:lsdException w:name="List 4" w:semiHidden="1" w:uiPriority="99" w:unhideWhenUsed="1"/>
    <w:lsdException w:name="List 5" w:semiHidden="1" w:uiPriority="99" w:unhideWhenUsed="1"/>
    <w:lsdException w:name="List Bullet 2" w:semiHidden="1" w:uiPriority="99" w:unhideWhenUsed="1"/>
    <w:lsdException w:name="List Bullet 3" w:semiHidden="1" w:uiPriority="99" w:unhideWhenUsed="1"/>
    <w:lsdException w:name="List Bullet 4" w:semiHidden="1" w:uiPriority="99" w:unhideWhenUsed="1"/>
    <w:lsdException w:name="List Bullet 5" w:semiHidden="1" w:uiPriority="99" w:unhideWhenUsed="1"/>
    <w:lsdException w:name="List Number 2" w:semiHidden="1" w:uiPriority="99" w:unhideWhenUsed="1"/>
    <w:lsdException w:name="List Number 3" w:semiHidden="1" w:uiPriority="99" w:unhideWhenUsed="1"/>
    <w:lsdException w:name="List Number 4" w:semiHidden="1" w:uiPriority="99" w:unhideWhenUsed="1"/>
    <w:lsdException w:name="List Number 5" w:semiHidden="1" w:uiPriority="99" w:unhideWhenUsed="1"/>
    <w:lsdException w:name="Title" w:qFormat="1"/>
    <w:lsdException w:name="Closing" w:semiHidden="1" w:uiPriority="99" w:unhideWhenUsed="1"/>
    <w:lsdException w:name="Signature" w:semiHidden="1" w:uiPriority="99" w:unhideWhenUsed="1"/>
    <w:lsdException w:name="Default Paragraph Font" w:semiHidden="1" w:uiPriority="1" w:unhideWhenUsed="1"/>
    <w:lsdException w:name="Body Text" w:uiPriority="99"/>
    <w:lsdException w:name="Body Text Indent" w:uiPriority="99"/>
    <w:lsdException w:name="List Continue" w:semiHidden="1" w:uiPriority="99" w:unhideWhenUsed="1"/>
    <w:lsdException w:name="List Continue 2" w:semiHidden="1" w:uiPriority="99" w:unhideWhenUsed="1"/>
    <w:lsdException w:name="List Continue 3" w:semiHidden="1" w:uiPriority="99" w:unhideWhenUsed="1"/>
    <w:lsdException w:name="List Continue 4" w:semiHidden="1" w:uiPriority="99" w:unhideWhenUsed="1"/>
    <w:lsdException w:name="List Continue 5" w:semiHidden="1" w:uiPriority="99" w:unhideWhenUsed="1"/>
    <w:lsdException w:name="Message Header" w:semiHidden="1" w:uiPriority="99" w:unhideWhenUsed="1"/>
    <w:lsdException w:name="Subtitle" w:uiPriority="11" w:qFormat="1"/>
    <w:lsdException w:name="Salutation" w:semiHidden="1" w:uiPriority="99" w:unhideWhenUsed="1"/>
    <w:lsdException w:name="Date" w:semiHidden="1" w:uiPriority="99" w:unhideWhenUsed="1"/>
    <w:lsdException w:name="Body Text First Indent" w:semiHidden="1" w:uiPriority="99" w:unhideWhenUsed="1"/>
    <w:lsdException w:name="Body Text First Indent 2" w:semiHidden="1" w:uiPriority="99" w:unhideWhenUsed="1"/>
    <w:lsdException w:name="Body Text 2" w:uiPriority="99"/>
    <w:lsdException w:name="Body Text 3" w:uiPriority="99"/>
    <w:lsdException w:name="Body Text Indent 2" w:uiPriority="99"/>
    <w:lsdException w:name="Body Text Indent 3" w:uiPriority="99"/>
    <w:lsdException w:name="Block Text" w:semiHidden="1" w:uiPriority="99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qFormat="1"/>
    <w:lsdException w:name="Document Map" w:semiHidden="1" w:uiPriority="99" w:unhideWhenUsed="1"/>
    <w:lsdException w:name="Plain Text" w:semiHidden="1" w:uiPriority="99" w:unhideWhenUsed="1"/>
    <w:lsdException w:name="E-mail Signature" w:semiHidden="1" w:uiPriority="99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iPriority="99" w:unhideWhenUsed="1"/>
    <w:lsdException w:name="HTML Address" w:semiHidden="1" w:uiPriority="99" w:unhideWhenUsed="1"/>
    <w:lsdException w:name="HTML Cite" w:semiHidden="1" w:uiPriority="99" w:unhideWhenUsed="1"/>
    <w:lsdException w:name="HTML Code" w:semiHidden="1" w:uiPriority="99" w:unhideWhenUsed="1"/>
    <w:lsdException w:name="HTML Definition" w:semiHidden="1" w:uiPriority="99" w:unhideWhenUsed="1"/>
    <w:lsdException w:name="HTML Keyboard" w:semiHidden="1" w:uiPriority="99" w:unhideWhenUsed="1"/>
    <w:lsdException w:name="HTML Preformatted" w:semiHidden="1" w:uiPriority="99" w:unhideWhenUsed="1"/>
    <w:lsdException w:name="HTML Sample" w:semiHidden="1" w:uiPriority="99" w:unhideWhenUsed="1"/>
    <w:lsdException w:name="HTML Typewriter" w:semiHidden="1" w:uiPriority="99" w:unhideWhenUsed="1"/>
    <w:lsdException w:name="HTML Variable" w:semiHidden="1" w:uiPriority="99" w:unhideWhenUsed="1"/>
    <w:lsdException w:name="Normal Table" w:uiPriority="99"/>
    <w:lsdException w:name="annotation subject" w:semiHidden="1" w:uiPriority="99" w:unhideWhenUsed="1"/>
    <w:lsdException w:name="No List" w:uiPriority="99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5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4"/>
      <w:szCs w:val="24"/>
      <w:rtl w:val="0"/>
      <w:lang w:val="sk-SK" w:bidi="ar-SA"/>
    </w:rPr>
  </w:style>
  <w:style w:type="paragraph" w:styleId="Heading1">
    <w:name w:val="heading 1"/>
    <w:basedOn w:val="Normal"/>
    <w:next w:val="Normal"/>
    <w:link w:val="CharChar9"/>
    <w:uiPriority w:val="9"/>
    <w:qFormat/>
    <w:pPr>
      <w:keepNext/>
      <w:spacing w:line="300" w:lineRule="atLeast"/>
      <w:jc w:val="center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</w:style>
  <w:style w:type="character" w:customStyle="1" w:styleId="CharChar9">
    <w:name w:val="Char Char9"/>
    <w:basedOn w:val="DefaultParagraphFont"/>
    <w:link w:val="Heading1"/>
    <w:uiPriority w:val="9"/>
    <w:locked/>
    <w:rPr>
      <w:rFonts w:ascii="Cambria" w:hAnsi="Cambria" w:cs="Times New Roman"/>
      <w:b/>
      <w:bCs/>
      <w:kern w:val="32"/>
      <w:sz w:val="32"/>
      <w:szCs w:val="32"/>
      <w:rtl w:val="0"/>
    </w:rPr>
  </w:style>
  <w:style w:type="paragraph" w:styleId="BodyText">
    <w:name w:val="Body Text"/>
    <w:basedOn w:val="Normal"/>
    <w:link w:val="CharChar8"/>
    <w:uiPriority w:val="99"/>
    <w:pPr>
      <w:spacing w:after="120"/>
      <w:jc w:val="left"/>
    </w:pPr>
  </w:style>
  <w:style w:type="character" w:customStyle="1" w:styleId="CharChar8">
    <w:name w:val="Char Char8"/>
    <w:basedOn w:val="DefaultParagraphFont"/>
    <w:link w:val="BodyText"/>
    <w:uiPriority w:val="99"/>
    <w:semiHidden/>
    <w:locked/>
    <w:rPr>
      <w:rFonts w:cs="Times New Roman"/>
      <w:sz w:val="24"/>
      <w:szCs w:val="24"/>
      <w:rtl w:val="0"/>
    </w:rPr>
  </w:style>
  <w:style w:type="paragraph" w:styleId="Title">
    <w:name w:val="Title"/>
    <w:basedOn w:val="Normal"/>
    <w:link w:val="CharChar7"/>
    <w:qFormat/>
    <w:pPr>
      <w:jc w:val="center"/>
    </w:pPr>
    <w:rPr>
      <w:b/>
      <w:bCs/>
    </w:rPr>
  </w:style>
  <w:style w:type="character" w:customStyle="1" w:styleId="CharChar7">
    <w:name w:val="Char Char7"/>
    <w:basedOn w:val="DefaultParagraphFont"/>
    <w:link w:val="Title"/>
    <w:uiPriority w:val="10"/>
    <w:locked/>
    <w:rPr>
      <w:rFonts w:ascii="Cambria" w:hAnsi="Cambria" w:cs="Times New Roman"/>
      <w:b/>
      <w:bCs/>
      <w:kern w:val="28"/>
      <w:sz w:val="32"/>
      <w:szCs w:val="32"/>
      <w:rtl w:val="0"/>
    </w:rPr>
  </w:style>
  <w:style w:type="paragraph" w:styleId="BodyText2">
    <w:name w:val="Body Text 2"/>
    <w:basedOn w:val="Normal"/>
    <w:link w:val="CharChar6"/>
    <w:uiPriority w:val="99"/>
    <w:pPr>
      <w:jc w:val="center"/>
    </w:pPr>
    <w:rPr>
      <w:b/>
      <w:bCs/>
    </w:rPr>
  </w:style>
  <w:style w:type="character" w:customStyle="1" w:styleId="CharChar6">
    <w:name w:val="Char Char6"/>
    <w:basedOn w:val="DefaultParagraphFont"/>
    <w:link w:val="BodyText2"/>
    <w:uiPriority w:val="99"/>
    <w:semiHidden/>
    <w:locked/>
    <w:rPr>
      <w:rFonts w:cs="Times New Roman"/>
      <w:sz w:val="24"/>
      <w:szCs w:val="24"/>
      <w:rtl w:val="0"/>
    </w:rPr>
  </w:style>
  <w:style w:type="paragraph" w:styleId="BodyTextIndent">
    <w:name w:val="Body Text Indent"/>
    <w:basedOn w:val="Normal"/>
    <w:link w:val="CharChar5"/>
    <w:uiPriority w:val="99"/>
    <w:pPr>
      <w:tabs>
        <w:tab w:val="left" w:pos="360"/>
      </w:tabs>
      <w:spacing w:line="300" w:lineRule="atLeast"/>
      <w:ind w:left="360" w:hanging="360"/>
      <w:jc w:val="left"/>
    </w:pPr>
  </w:style>
  <w:style w:type="character" w:customStyle="1" w:styleId="CharChar5">
    <w:name w:val="Char Char5"/>
    <w:basedOn w:val="DefaultParagraphFont"/>
    <w:link w:val="BodyTextIndent"/>
    <w:uiPriority w:val="99"/>
    <w:semiHidden/>
    <w:locked/>
    <w:rPr>
      <w:rFonts w:cs="Times New Roman"/>
      <w:sz w:val="24"/>
      <w:szCs w:val="24"/>
      <w:rtl w:val="0"/>
    </w:rPr>
  </w:style>
  <w:style w:type="paragraph" w:styleId="BodyTextIndent2">
    <w:name w:val="Body Text Indent 2"/>
    <w:basedOn w:val="Normal"/>
    <w:link w:val="CharChar4"/>
    <w:uiPriority w:val="99"/>
    <w:rsid w:val="00185E38"/>
    <w:pPr>
      <w:spacing w:after="120" w:line="480" w:lineRule="auto"/>
      <w:ind w:left="283"/>
      <w:jc w:val="left"/>
    </w:pPr>
  </w:style>
  <w:style w:type="character" w:customStyle="1" w:styleId="CharChar4">
    <w:name w:val="Char Char4"/>
    <w:basedOn w:val="DefaultParagraphFont"/>
    <w:link w:val="BodyTextIndent2"/>
    <w:uiPriority w:val="99"/>
    <w:semiHidden/>
    <w:locked/>
    <w:rsid w:val="00185E38"/>
    <w:rPr>
      <w:rFonts w:cs="Times New Roman"/>
      <w:sz w:val="24"/>
      <w:szCs w:val="24"/>
      <w:rtl w:val="0"/>
    </w:rPr>
  </w:style>
  <w:style w:type="paragraph" w:styleId="BodyText3">
    <w:name w:val="Body Text 3"/>
    <w:basedOn w:val="Normal"/>
    <w:link w:val="CharChar3"/>
    <w:uiPriority w:val="99"/>
    <w:rsid w:val="00185E38"/>
    <w:pPr>
      <w:spacing w:after="120"/>
      <w:jc w:val="left"/>
    </w:pPr>
    <w:rPr>
      <w:sz w:val="16"/>
      <w:szCs w:val="16"/>
    </w:rPr>
  </w:style>
  <w:style w:type="character" w:customStyle="1" w:styleId="CharChar3">
    <w:name w:val="Char Char3"/>
    <w:basedOn w:val="DefaultParagraphFont"/>
    <w:link w:val="BodyText3"/>
    <w:uiPriority w:val="99"/>
    <w:semiHidden/>
    <w:locked/>
    <w:rsid w:val="00185E38"/>
    <w:rPr>
      <w:rFonts w:cs="Times New Roman"/>
      <w:sz w:val="16"/>
      <w:szCs w:val="16"/>
      <w:rtl w:val="0"/>
    </w:rPr>
  </w:style>
  <w:style w:type="paragraph" w:styleId="BodyTextIndent3">
    <w:name w:val="Body Text Indent 3"/>
    <w:basedOn w:val="Normal"/>
    <w:link w:val="CharChar2"/>
    <w:uiPriority w:val="99"/>
    <w:rsid w:val="00185E38"/>
    <w:pPr>
      <w:spacing w:after="120"/>
      <w:ind w:left="283"/>
      <w:jc w:val="left"/>
    </w:pPr>
    <w:rPr>
      <w:sz w:val="16"/>
      <w:szCs w:val="16"/>
    </w:rPr>
  </w:style>
  <w:style w:type="character" w:customStyle="1" w:styleId="CharChar2">
    <w:name w:val="Char Char2"/>
    <w:basedOn w:val="DefaultParagraphFont"/>
    <w:link w:val="BodyTextIndent3"/>
    <w:uiPriority w:val="99"/>
    <w:semiHidden/>
    <w:locked/>
    <w:rsid w:val="00185E38"/>
    <w:rPr>
      <w:rFonts w:cs="Times New Roman"/>
      <w:sz w:val="16"/>
      <w:szCs w:val="16"/>
      <w:rtl w:val="0"/>
    </w:rPr>
  </w:style>
  <w:style w:type="paragraph" w:customStyle="1" w:styleId="tlNadpisbodov11pt">
    <w:name w:val="Štýl Nadpis bodov + 11 pt"/>
    <w:basedOn w:val="Normal"/>
    <w:rsid w:val="00185E38"/>
    <w:pPr>
      <w:tabs>
        <w:tab w:val="left" w:pos="360"/>
      </w:tabs>
      <w:spacing w:after="120"/>
      <w:jc w:val="both"/>
    </w:pPr>
    <w:rPr>
      <w:b/>
      <w:bCs/>
    </w:rPr>
  </w:style>
  <w:style w:type="paragraph" w:customStyle="1" w:styleId="Zkladntext">
    <w:name w:val="Základní text"/>
    <w:rsid w:val="00185E38"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color w:val="000000"/>
      <w:sz w:val="24"/>
      <w:szCs w:val="24"/>
      <w:rtl w:val="0"/>
      <w:lang w:val="sk-SK" w:bidi="ar-SA"/>
    </w:rPr>
  </w:style>
  <w:style w:type="character" w:styleId="Emphasis">
    <w:name w:val="Emphasis"/>
    <w:basedOn w:val="DefaultParagraphFont"/>
    <w:qFormat/>
    <w:rsid w:val="00185E38"/>
    <w:rPr>
      <w:rFonts w:ascii="Times New Roman" w:hAnsi="Times New Roman" w:cs="Times New Roman"/>
      <w:i/>
      <w:iCs/>
      <w:rtl w:val="0"/>
    </w:rPr>
  </w:style>
  <w:style w:type="paragraph" w:styleId="FootnoteText">
    <w:name w:val="footnote text"/>
    <w:basedOn w:val="Normal"/>
    <w:link w:val="CharChar1"/>
    <w:rsid w:val="00185E38"/>
    <w:pPr>
      <w:jc w:val="left"/>
    </w:pPr>
    <w:rPr>
      <w:sz w:val="20"/>
      <w:szCs w:val="20"/>
      <w:lang w:val="cs-CZ"/>
    </w:rPr>
  </w:style>
  <w:style w:type="character" w:customStyle="1" w:styleId="CharChar1">
    <w:name w:val="Char Char1"/>
    <w:basedOn w:val="DefaultParagraphFont"/>
    <w:link w:val="FootnoteText"/>
    <w:uiPriority w:val="99"/>
    <w:semiHidden/>
    <w:locked/>
    <w:rsid w:val="00185E38"/>
    <w:rPr>
      <w:rFonts w:cs="Times New Roman"/>
      <w:rtl w:val="0"/>
      <w:lang w:val="cs-CZ"/>
    </w:rPr>
  </w:style>
  <w:style w:type="paragraph" w:styleId="Header">
    <w:name w:val="header"/>
    <w:basedOn w:val="Normal"/>
    <w:link w:val="CharChar"/>
    <w:rsid w:val="00185E38"/>
    <w:pPr>
      <w:tabs>
        <w:tab w:val="center" w:pos="4536"/>
        <w:tab w:val="right" w:pos="9072"/>
      </w:tabs>
      <w:jc w:val="left"/>
    </w:pPr>
    <w:rPr>
      <w:szCs w:val="20"/>
    </w:rPr>
  </w:style>
  <w:style w:type="character" w:customStyle="1" w:styleId="CharChar">
    <w:name w:val="Char Char"/>
    <w:basedOn w:val="DefaultParagraphFont"/>
    <w:link w:val="Header"/>
    <w:uiPriority w:val="99"/>
    <w:semiHidden/>
    <w:locked/>
    <w:rsid w:val="00185E38"/>
    <w:rPr>
      <w:rFonts w:cs="Times New Roman"/>
      <w:sz w:val="24"/>
      <w:rtl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71</TotalTime>
  <Pages>1</Pages>
  <Words>1566</Words>
  <Characters>8927</Characters>
  <Application>Microsoft Office Word</Application>
  <DocSecurity>0</DocSecurity>
  <Lines>0</Lines>
  <Paragraphs>0</Paragraphs>
  <ScaleCrop>false</ScaleCrop>
  <Company>TOSHIBA</Company>
  <LinksUpToDate>false</LinksUpToDate>
  <CharactersWithSpaces>10473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 novely zákona o hazardných hrách</dc:title>
  <dc:creator>user</dc:creator>
  <cp:lastModifiedBy>Pavol_Minarik</cp:lastModifiedBy>
  <cp:revision>3</cp:revision>
  <dcterms:created xsi:type="dcterms:W3CDTF">2009-03-24T09:44:00Z</dcterms:created>
  <dcterms:modified xsi:type="dcterms:W3CDTF">2009-03-25T11:58:00Z</dcterms:modified>
</cp:coreProperties>
</file>