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463F" w:rsidRPr="002A7BDB" w:rsidP="0023463F">
      <w:pPr>
        <w:jc w:val="right"/>
        <w:rPr>
          <w:rFonts w:ascii="Times New Roman" w:hAnsi="Times New Roman" w:cs="Times New Roman"/>
          <w:b/>
        </w:rPr>
      </w:pPr>
      <w:r w:rsidRPr="002A7BDB">
        <w:rPr>
          <w:rFonts w:ascii="Times New Roman" w:hAnsi="Times New Roman" w:cs="Times New Roman"/>
          <w:b/>
        </w:rPr>
        <w:t xml:space="preserve">Príloha č. </w:t>
      </w:r>
      <w:r w:rsidR="006C057B">
        <w:rPr>
          <w:rFonts w:ascii="Times New Roman" w:hAnsi="Times New Roman" w:cs="Times New Roman"/>
          <w:b/>
        </w:rPr>
        <w:t>2</w:t>
      </w:r>
    </w:p>
    <w:p w:rsidR="0023463F" w:rsidP="0023463F">
      <w:pPr>
        <w:spacing w:after="120"/>
        <w:jc w:val="right"/>
        <w:rPr>
          <w:rFonts w:ascii="Times New Roman" w:hAnsi="Times New Roman" w:cs="Times New Roman"/>
          <w:b/>
        </w:rPr>
      </w:pPr>
      <w:r w:rsidRPr="002A7BDB">
        <w:rPr>
          <w:rFonts w:ascii="Times New Roman" w:hAnsi="Times New Roman" w:cs="Times New Roman"/>
          <w:b/>
        </w:rPr>
        <w:t>k nariadeniu vlády č. .../200</w:t>
      </w:r>
      <w:r w:rsidR="006C057B">
        <w:rPr>
          <w:rFonts w:ascii="Times New Roman" w:hAnsi="Times New Roman" w:cs="Times New Roman"/>
          <w:b/>
        </w:rPr>
        <w:t>9</w:t>
      </w:r>
      <w:r w:rsidRPr="002A7BDB">
        <w:rPr>
          <w:rFonts w:ascii="Times New Roman" w:hAnsi="Times New Roman" w:cs="Times New Roman"/>
          <w:b/>
        </w:rPr>
        <w:t xml:space="preserve"> Z. z.</w:t>
      </w:r>
    </w:p>
    <w:p w:rsidR="0064779F" w:rsidP="0064779F">
      <w:pPr>
        <w:spacing w:before="120"/>
        <w:jc w:val="center"/>
        <w:rPr>
          <w:rFonts w:ascii="Times New Roman" w:hAnsi="Times New Roman" w:cs="Times New Roman"/>
          <w:b/>
        </w:rPr>
      </w:pPr>
    </w:p>
    <w:p w:rsidR="0064779F" w:rsidP="0064779F">
      <w:pPr>
        <w:spacing w:before="120"/>
        <w:jc w:val="center"/>
        <w:rPr>
          <w:rFonts w:ascii="Times New Roman" w:hAnsi="Times New Roman" w:cs="Times New Roman"/>
          <w:b/>
        </w:rPr>
      </w:pPr>
      <w:r>
        <w:rPr>
          <w:rFonts w:ascii="Times New Roman" w:hAnsi="Times New Roman" w:cs="Times New Roman"/>
          <w:b/>
        </w:rPr>
        <w:t xml:space="preserve">PODMIENKY TÝKAJÚCE SA EKVIVALENCIE MEDZI URČITÝMI SYSTÉMAMI BEZ </w:t>
      </w:r>
      <w:r>
        <w:rPr>
          <w:rFonts w:ascii="Times New Roman" w:hAnsi="Times New Roman" w:cs="Times New Roman"/>
        </w:rPr>
        <w:t xml:space="preserve"> </w:t>
      </w:r>
      <w:r>
        <w:rPr>
          <w:rFonts w:ascii="Times New Roman" w:hAnsi="Times New Roman" w:cs="Times New Roman"/>
          <w:b/>
        </w:rPr>
        <w:t>PNEUMATICKÉHO ZAVESENIA A S PNEUMATICKÝM ZAVESENÍM PRE HNACI</w:t>
      </w:r>
      <w:r w:rsidR="006C057B">
        <w:rPr>
          <w:rFonts w:ascii="Times New Roman" w:hAnsi="Times New Roman" w:cs="Times New Roman"/>
          <w:b/>
        </w:rPr>
        <w:t xml:space="preserve">U </w:t>
      </w:r>
      <w:r w:rsidR="002C4292">
        <w:rPr>
          <w:rFonts w:ascii="Times New Roman" w:hAnsi="Times New Roman" w:cs="Times New Roman"/>
          <w:b/>
        </w:rPr>
        <w:t xml:space="preserve">NÁPRAVU </w:t>
      </w:r>
      <w:r w:rsidR="006C057B">
        <w:rPr>
          <w:rFonts w:ascii="Times New Roman" w:hAnsi="Times New Roman" w:cs="Times New Roman"/>
          <w:b/>
        </w:rPr>
        <w:t xml:space="preserve">ALEBO HNACIE </w:t>
      </w:r>
      <w:r>
        <w:rPr>
          <w:rFonts w:ascii="Times New Roman" w:hAnsi="Times New Roman" w:cs="Times New Roman"/>
          <w:b/>
        </w:rPr>
        <w:t xml:space="preserve">NÁPRAVY </w: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 xml:space="preserve">1. </w:t>
        <w:tab/>
        <w:t>DEFINÍCIA ZÁVESU</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 </w:t>
        <w:tab/>
        <w:t>Závesný systém sa považuje za pneumatický záves, ak je aspoň 75% pružiaceho efektu spôsobené pneumatickou  pružinou.</w: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 xml:space="preserve">2. </w:t>
        <w:tab/>
        <w:t>EKVIVALENTNOSŤ PNEUMATICKÉHO ZÁVESU</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 </w:t>
        <w:tab/>
        <w:t>Záves uznaný za ekvivalentný pneumatickému závesu, musí spĺňať tieto požiadavky:</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2.1 </w:t>
        <w:tab/>
        <w:t xml:space="preserve">počas voľnej prechodovej nízkofrekvenčnej vertikálnej oscilácie odpruženej hmoty nad hnacou nápravou alebo podvozkom musí byť nameraná frekvencia a tlmenie so závesom pri prenose svojho maximálneho zaťaženia v rozmedzí definovanom v </w:t>
      </w:r>
      <w:r w:rsidR="006C057B">
        <w:rPr>
          <w:rFonts w:ascii="Times New Roman" w:hAnsi="Times New Roman" w:cs="Times New Roman"/>
        </w:rPr>
        <w:t>bodoch</w:t>
      </w:r>
      <w:r w:rsidR="002C4292">
        <w:rPr>
          <w:rFonts w:ascii="Times New Roman" w:hAnsi="Times New Roman" w:cs="Times New Roman"/>
        </w:rPr>
        <w:t xml:space="preserve"> 2.2 až 2.5,</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2.2 </w:t>
        <w:tab/>
        <w:t>každá náprava musí byť vybavená hydraulickými tlmičmi. Na podvozkoch so zdvojenými nápravami musia byť tlmiče umiestnené tak, aby min</w:t>
      </w:r>
      <w:r w:rsidR="002C4292">
        <w:rPr>
          <w:rFonts w:ascii="Times New Roman" w:hAnsi="Times New Roman" w:cs="Times New Roman"/>
        </w:rPr>
        <w:t>imalizovali osciláciu podvozkov,</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2.3 </w:t>
        <w:tab/>
        <w:t>hodnota stredného pomerného tlmenia D musí byť vyššia než 20% kritického tlmenia pre záves v jeho normálnom stave s umiestnenými a fu</w:t>
      </w:r>
      <w:r w:rsidR="002C4292">
        <w:rPr>
          <w:rFonts w:ascii="Times New Roman" w:hAnsi="Times New Roman" w:cs="Times New Roman"/>
        </w:rPr>
        <w:t>ngujúcimi hydraulickými tlmičmi,</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2.4 </w:t>
        <w:tab/>
        <w:t>pomerné tlmenie D závesu so všetkými hydraulickými tlmičmi odstránenými alebo nefungujúc</w:t>
      </w:r>
      <w:r w:rsidR="002C4292">
        <w:rPr>
          <w:rFonts w:ascii="Times New Roman" w:hAnsi="Times New Roman" w:cs="Times New Roman"/>
        </w:rPr>
        <w:t>imi nesmie byť vyššie než 50% D,</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2.5 </w:t>
        <w:tab/>
        <w:t>frekvencia odpruženej hmoty nad hnacou nápravou alebo podvozkom vo voľnej prechodovej vertikálnej oscilácii nesmie byť vyššia než 2,0 Hz</w:t>
      </w:r>
      <w:r w:rsidR="002C4292">
        <w:rPr>
          <w:rFonts w:ascii="Times New Roman" w:hAnsi="Times New Roman" w:cs="Times New Roman"/>
        </w:rPr>
        <w:t>,</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2.6 </w:t>
        <w:tab/>
        <w:t xml:space="preserve">frekvencia a tlmenie závesu sú uvedené v </w:t>
      </w:r>
      <w:r w:rsidR="006C057B">
        <w:rPr>
          <w:rFonts w:ascii="Times New Roman" w:hAnsi="Times New Roman" w:cs="Times New Roman"/>
        </w:rPr>
        <w:t>bode</w:t>
      </w:r>
      <w:r>
        <w:rPr>
          <w:rFonts w:ascii="Times New Roman" w:hAnsi="Times New Roman" w:cs="Times New Roman"/>
        </w:rPr>
        <w:t xml:space="preserve"> 3. Testovacie postupy pre meranie frekvencie a tlmenia sú </w:t>
      </w:r>
      <w:r w:rsidR="002C4292">
        <w:rPr>
          <w:rFonts w:ascii="Times New Roman" w:hAnsi="Times New Roman" w:cs="Times New Roman"/>
        </w:rPr>
        <w:t>u</w:t>
      </w:r>
      <w:r>
        <w:rPr>
          <w:rFonts w:ascii="Times New Roman" w:hAnsi="Times New Roman" w:cs="Times New Roman"/>
        </w:rPr>
        <w:t>stanovené v</w:t>
      </w:r>
      <w:r w:rsidR="006C057B">
        <w:rPr>
          <w:rFonts w:ascii="Times New Roman" w:hAnsi="Times New Roman" w:cs="Times New Roman"/>
        </w:rPr>
        <w:t xml:space="preserve"> bode </w:t>
      </w:r>
      <w:r>
        <w:rPr>
          <w:rFonts w:ascii="Times New Roman" w:hAnsi="Times New Roman" w:cs="Times New Roman"/>
        </w:rPr>
        <w:t xml:space="preserve"> 4.</w: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 xml:space="preserve">3. </w:t>
        <w:tab/>
        <w:t>DEFINÍCIA FREKVENCIE A TLMENIA</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 </w:t>
        <w:tab/>
        <w:t>V tejto definícii sa uvažuje s odpruženou hmotou M (kg) nad hnacou nápravou alebo podvozkom. Náprava alebo podvozok majú celkovú vertikálnu tuhosť medzi cestným povrchom a odpruženou hmotou K newton/meter (N/m) a celkový koeficient tlmenia C newton krát sekunda na meter (N.s/m). Vertikálne posunutie odpruženej hmoty je Z. Pohybová rovnica pre voľnú osciláciu odpruženej hmoty je:</w:t>
      </w:r>
    </w:p>
    <w:p w:rsidR="0064779F" w:rsidP="0064779F">
      <w:pPr>
        <w:tabs>
          <w:tab w:val="left" w:pos="567"/>
        </w:tabs>
        <w:spacing w:before="120"/>
        <w:ind w:left="567" w:hanging="567"/>
        <w:jc w:val="center"/>
        <w:rPr>
          <w:rFonts w:ascii="Times New Roman" w:hAnsi="Times New Roman" w:cs="Times New Roman"/>
        </w:rPr>
      </w:pPr>
      <w:r>
        <w:rPr>
          <w:rFonts w:ascii="Times New Roman" w:hAnsi="Times New Roman" w:cs="Times New Roman"/>
          <w:rtl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32.95pt" o:oleicon="f" o:ole="">
            <v:imagedata r:id="rId4" o:title=""/>
          </v:shape>
          <o:OLEObject Type="Embed" ProgID="Equation.2" ShapeID="_x0000_i1025" DrawAspect="Content" ObjectID="_1" r:id="rId5"/>
        </w:objec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ab/>
        <w:t>Frekvencia oscilácie odpruženej hmoty F (rad/sek ) je:</w:t>
      </w:r>
    </w:p>
    <w:p w:rsidR="0064779F" w:rsidP="0064779F">
      <w:pPr>
        <w:tabs>
          <w:tab w:val="left" w:pos="567"/>
        </w:tabs>
        <w:spacing w:before="120"/>
        <w:jc w:val="center"/>
        <w:rPr>
          <w:rFonts w:ascii="Times New Roman" w:hAnsi="Times New Roman" w:cs="Times New Roman"/>
        </w:rPr>
      </w:pPr>
      <w:r>
        <w:rPr>
          <w:rFonts w:ascii="Times New Roman" w:hAnsi="Times New Roman" w:cs="Times New Roman"/>
          <w:rtl w:val="0"/>
        </w:rPr>
        <w:object>
          <v:shape id="_x0000_i1026" type="#_x0000_t75" style="width:87.95pt;height:35.95pt" o:oleicon="f" o:ole="">
            <v:imagedata r:id="rId6" o:title=""/>
          </v:shape>
          <o:OLEObject Type="Embed" ProgID="Equation.2" ShapeID="_x0000_i1026" DrawAspect="Content" ObjectID="_2" r:id="rId7"/>
        </w:objec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ab/>
        <w:t>Tlmenie je kritické vtedy, keď C = C</w:t>
      </w:r>
      <w:r>
        <w:rPr>
          <w:rFonts w:ascii="Times New Roman" w:hAnsi="Times New Roman" w:cs="Times New Roman"/>
          <w:vertAlign w:val="subscript"/>
        </w:rPr>
        <w:t>o</w:t>
      </w:r>
      <w:r>
        <w:rPr>
          <w:rFonts w:ascii="Times New Roman" w:hAnsi="Times New Roman" w:cs="Times New Roman"/>
        </w:rPr>
        <w:t>, kde</w:t>
      </w:r>
    </w:p>
    <w:p w:rsidR="0064779F" w:rsidP="0064779F">
      <w:pPr>
        <w:tabs>
          <w:tab w:val="left" w:pos="567"/>
        </w:tabs>
        <w:spacing w:before="120"/>
        <w:jc w:val="center"/>
        <w:rPr>
          <w:rFonts w:ascii="Times New Roman" w:hAnsi="Times New Roman" w:cs="Times New Roman"/>
        </w:rPr>
      </w:pPr>
      <w:r>
        <w:rPr>
          <w:rFonts w:ascii="Times New Roman" w:hAnsi="Times New Roman" w:cs="Times New Roman"/>
          <w:rtl w:val="0"/>
        </w:rPr>
        <w:object>
          <v:shape id="_x0000_i1027" type="#_x0000_t75" style="width:64.95pt;height:18.95pt" o:oleicon="f" o:ole="">
            <v:imagedata r:id="rId8" o:title=""/>
          </v:shape>
          <o:OLEObject Type="Embed" ProgID="Equation.2" ShapeID="_x0000_i1027" DrawAspect="Content" ObjectID="_3" r:id="rId9"/>
        </w:objec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ab/>
        <w:t>Pomerné tlmenie ako zlomok kritického tlmenia je C/C</w:t>
      </w:r>
      <w:r>
        <w:rPr>
          <w:rFonts w:ascii="Times New Roman" w:hAnsi="Times New Roman" w:cs="Times New Roman"/>
          <w:vertAlign w:val="subscript"/>
        </w:rPr>
        <w:t>o</w:t>
      </w:r>
      <w:r>
        <w:rPr>
          <w:rFonts w:ascii="Times New Roman" w:hAnsi="Times New Roman" w:cs="Times New Roman"/>
        </w:rPr>
        <w:t>.</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 </w:t>
        <w:tab/>
        <w:t xml:space="preserve">Počas voľnej prechodnej oscilácie odpruženej hmoty bude vertikálny </w:t>
      </w:r>
      <w:r>
        <w:rPr>
          <w:rFonts w:ascii="Times New Roman" w:hAnsi="Times New Roman" w:cs="Times New Roman"/>
        </w:rPr>
        <w:t>pohyb hmoty sledovať tlmenú sínusoidnú dráhu (obrázok 2). Frekvenciu je možné odhadnúť tak, že sa  odmeria čas za toľko cyklov oscilácie, koľko je možné pozorovať. Tlmenie je možné odhadnúť tak, že sa odmerajú  výšky po sebe idúcich vrcholov oscilácie v rovnakom smere. Ak špičkové amplitúdy prvého a druhého cyklu oscilácie sú A</w:t>
      </w:r>
      <w:r>
        <w:rPr>
          <w:rFonts w:ascii="Times New Roman" w:hAnsi="Times New Roman" w:cs="Times New Roman"/>
          <w:vertAlign w:val="subscript"/>
        </w:rPr>
        <w:t xml:space="preserve">1 </w:t>
      </w:r>
      <w:r>
        <w:rPr>
          <w:rFonts w:ascii="Times New Roman" w:hAnsi="Times New Roman" w:cs="Times New Roman"/>
        </w:rPr>
        <w:t>a A</w:t>
      </w:r>
      <w:r>
        <w:rPr>
          <w:rFonts w:ascii="Times New Roman" w:hAnsi="Times New Roman" w:cs="Times New Roman"/>
          <w:vertAlign w:val="subscript"/>
        </w:rPr>
        <w:t>2</w:t>
      </w:r>
      <w:r>
        <w:rPr>
          <w:rFonts w:ascii="Times New Roman" w:hAnsi="Times New Roman" w:cs="Times New Roman"/>
        </w:rPr>
        <w:t>, potom je pomerné tlmenie D:</w:t>
      </w:r>
    </w:p>
    <w:p w:rsidR="0064779F" w:rsidP="0064779F">
      <w:pPr>
        <w:tabs>
          <w:tab w:val="left" w:pos="567"/>
        </w:tabs>
        <w:spacing w:before="12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tl w:val="0"/>
        </w:rPr>
        <w:object>
          <v:shape id="_x0000_i1028" type="#_x0000_t75" style="width:97.95pt;height:33.95pt" o:oleicon="f" o:ole="">
            <v:imagedata r:id="rId10" o:title=""/>
          </v:shape>
          <o:OLEObject Type="Embed" ProgID="Equation.2" ShapeID="_x0000_i1028" DrawAspect="Content" ObjectID="_4" r:id="rId11"/>
        </w:objec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ab/>
        <w:t>kde "ln" je prirodzený logaritmus pomeru amplitúd.</w:t>
      </w:r>
    </w:p>
    <w:p w:rsidR="0064779F" w:rsidP="0064779F">
      <w:pPr>
        <w:tabs>
          <w:tab w:val="left" w:pos="567"/>
        </w:tabs>
        <w:spacing w:before="120"/>
        <w:jc w:val="both"/>
        <w:rPr>
          <w:rFonts w:ascii="Times New Roman" w:hAnsi="Times New Roman" w:cs="Times New Roman"/>
        </w:rPr>
      </w:pPr>
      <w:r>
        <w:rPr>
          <w:rFonts w:ascii="Times New Roman" w:hAnsi="Times New Roman" w:cs="Times New Roman"/>
        </w:rPr>
        <w:t xml:space="preserve">4. </w:t>
        <w:tab/>
        <w:t>POSTUP TESTU</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 </w:t>
        <w:tab/>
        <w:t>Pre stanovenie pomerného tlmenia D, pomerné tlmenie s odstránenými hydraulickými tlmičmi a frekvenciou F závesu, malo by naložené vozidlo spĺňať jednu  z nasledovných podmienok:</w:t>
      </w:r>
    </w:p>
    <w:p w:rsidR="0064779F" w:rsidP="002C4292">
      <w:pPr>
        <w:numPr>
          <w:ilvl w:val="0"/>
          <w:numId w:val="1"/>
        </w:numPr>
        <w:tabs>
          <w:tab w:val="left" w:pos="567"/>
          <w:tab w:val="left" w:pos="824"/>
          <w:tab w:val="left" w:pos="993"/>
        </w:tabs>
        <w:spacing w:before="120"/>
        <w:jc w:val="both"/>
        <w:rPr>
          <w:rFonts w:ascii="Times New Roman" w:hAnsi="Times New Roman" w:cs="Times New Roman"/>
        </w:rPr>
      </w:pPr>
      <w:r>
        <w:rPr>
          <w:rFonts w:ascii="Times New Roman" w:hAnsi="Times New Roman" w:cs="Times New Roman"/>
        </w:rPr>
        <w:t>malo by sa pohybovať pri nízkej rýchlosti (</w:t>
      </w:r>
      <w:smartTag w:uri="urn:schemas-microsoft-com:office:smarttags" w:element="metricconverter">
        <w:smartTagPr>
          <w:attr w:name="ProductID" w:val="5 km/h"/>
        </w:smartTagPr>
        <w:r>
          <w:rPr>
            <w:rFonts w:ascii="Times New Roman" w:hAnsi="Times New Roman" w:cs="Times New Roman"/>
          </w:rPr>
          <w:t>5 km/h</w:t>
        </w:r>
      </w:smartTag>
      <w:r>
        <w:rPr>
          <w:rFonts w:ascii="Times New Roman" w:hAnsi="Times New Roman" w:cs="Times New Roman"/>
        </w:rPr>
        <w:t xml:space="preserve"> </w:t>
      </w:r>
      <w:r>
        <w:rPr>
          <w:rFonts w:ascii="Symbol" w:hAnsi="Symbol" w:cs="Times New Roman"/>
        </w:rPr>
        <w:sym w:font="Symbol" w:char="F0B1"/>
      </w:r>
      <w:r>
        <w:rPr>
          <w:rFonts w:ascii="Times New Roman" w:hAnsi="Times New Roman" w:cs="Times New Roman"/>
        </w:rPr>
        <w:t xml:space="preserve"> </w:t>
      </w:r>
      <w:smartTag w:uri="urn:schemas-microsoft-com:office:smarttags" w:element="metricconverter">
        <w:smartTagPr>
          <w:attr w:name="ProductID" w:val="1 km/h"/>
        </w:smartTagPr>
        <w:r>
          <w:rPr>
            <w:rFonts w:ascii="Times New Roman" w:hAnsi="Times New Roman" w:cs="Times New Roman"/>
          </w:rPr>
          <w:t>1 km/h</w:t>
        </w:r>
      </w:smartTag>
      <w:r>
        <w:rPr>
          <w:rFonts w:ascii="Times New Roman" w:hAnsi="Times New Roman" w:cs="Times New Roman"/>
        </w:rPr>
        <w:t xml:space="preserve">) cez </w:t>
      </w:r>
      <w:smartTag w:uri="urn:schemas-microsoft-com:office:smarttags" w:element="metricconverter">
        <w:smartTagPr>
          <w:attr w:name="ProductID" w:val="80 mm"/>
        </w:smartTagPr>
        <w:r>
          <w:rPr>
            <w:rFonts w:ascii="Times New Roman" w:hAnsi="Times New Roman" w:cs="Times New Roman"/>
          </w:rPr>
          <w:t>80 mm</w:t>
        </w:r>
      </w:smartTag>
      <w:r>
        <w:rPr>
          <w:rFonts w:ascii="Times New Roman" w:hAnsi="Times New Roman" w:cs="Times New Roman"/>
        </w:rPr>
        <w:t xml:space="preserve"> schod s profilom, ktorý je zobrazený na obrázku 1. Prechodová oscilácia, ktorá sa analyzuje na frekvenciu a tlmenie nastáva po tom, čo kolesá na hnacej náprave opustia schod</w:t>
      </w:r>
      <w:r w:rsidR="002C4292">
        <w:rPr>
          <w:rFonts w:ascii="Times New Roman" w:hAnsi="Times New Roman" w:cs="Times New Roman"/>
        </w:rPr>
        <w:t>,</w:t>
      </w:r>
      <w:r>
        <w:rPr>
          <w:rFonts w:ascii="Times New Roman" w:hAnsi="Times New Roman" w:cs="Times New Roman"/>
        </w:rPr>
        <w:t xml:space="preserve"> alebo</w:t>
      </w:r>
    </w:p>
    <w:p w:rsidR="0064779F" w:rsidP="002C4292">
      <w:pPr>
        <w:numPr>
          <w:ilvl w:val="0"/>
          <w:numId w:val="1"/>
        </w:numPr>
        <w:tabs>
          <w:tab w:val="left" w:pos="567"/>
          <w:tab w:val="left" w:pos="824"/>
          <w:tab w:val="left" w:pos="993"/>
        </w:tabs>
        <w:spacing w:before="120"/>
        <w:jc w:val="both"/>
        <w:rPr>
          <w:rFonts w:ascii="Times New Roman" w:hAnsi="Times New Roman" w:cs="Times New Roman"/>
        </w:rPr>
      </w:pPr>
      <w:r>
        <w:rPr>
          <w:rFonts w:ascii="Times New Roman" w:hAnsi="Times New Roman" w:cs="Times New Roman"/>
        </w:rPr>
        <w:t>malo by byť ťahané dole za svoj podvozok tak, aby záťaž hnacej nápravy bola 1,5 krát väčšia, než je jeho maximálna statická hodnota. Vozidlo, ktoré je  držané v dolnej polohe sa náhle uvoľní a analyzuje sa následná oscilácia</w:t>
      </w:r>
      <w:r w:rsidR="002C4292">
        <w:rPr>
          <w:rFonts w:ascii="Times New Roman" w:hAnsi="Times New Roman" w:cs="Times New Roman"/>
        </w:rPr>
        <w:t>,</w:t>
      </w:r>
      <w:r>
        <w:rPr>
          <w:rFonts w:ascii="Times New Roman" w:hAnsi="Times New Roman" w:cs="Times New Roman"/>
        </w:rPr>
        <w:t xml:space="preserve"> alebo</w:t>
      </w:r>
    </w:p>
    <w:p w:rsidR="0064779F" w:rsidP="002C4292">
      <w:pPr>
        <w:numPr>
          <w:ilvl w:val="0"/>
          <w:numId w:val="1"/>
        </w:numPr>
        <w:tabs>
          <w:tab w:val="left" w:pos="567"/>
          <w:tab w:val="left" w:pos="824"/>
          <w:tab w:val="left" w:pos="993"/>
        </w:tabs>
        <w:spacing w:before="120"/>
        <w:jc w:val="both"/>
        <w:rPr>
          <w:rFonts w:ascii="Times New Roman" w:hAnsi="Times New Roman" w:cs="Times New Roman"/>
        </w:rPr>
      </w:pPr>
      <w:r>
        <w:rPr>
          <w:rFonts w:ascii="Times New Roman" w:hAnsi="Times New Roman" w:cs="Times New Roman"/>
        </w:rPr>
        <w:t xml:space="preserve">malo by byť ťahané hore za svoj podvozok tak, aby odpružená hmota bola zdvihnutá o </w:t>
      </w:r>
      <w:smartTag w:uri="urn:schemas-microsoft-com:office:smarttags" w:element="metricconverter">
        <w:smartTagPr>
          <w:attr w:name="ProductID" w:val="80 mm"/>
        </w:smartTagPr>
        <w:r>
          <w:rPr>
            <w:rFonts w:ascii="Times New Roman" w:hAnsi="Times New Roman" w:cs="Times New Roman"/>
          </w:rPr>
          <w:t>80 mm</w:t>
        </w:r>
      </w:smartTag>
      <w:r>
        <w:rPr>
          <w:rFonts w:ascii="Times New Roman" w:hAnsi="Times New Roman" w:cs="Times New Roman"/>
        </w:rPr>
        <w:t xml:space="preserve"> nad hnaciu nápravu. Vozidlo držané v hornej polohe sa náhle pustí a </w:t>
      </w:r>
      <w:r w:rsidR="002C4292">
        <w:rPr>
          <w:rFonts w:ascii="Times New Roman" w:hAnsi="Times New Roman" w:cs="Times New Roman"/>
        </w:rPr>
        <w:t>analyzuje sa následná oscilácia,</w:t>
      </w:r>
      <w:r>
        <w:rPr>
          <w:rFonts w:ascii="Times New Roman" w:hAnsi="Times New Roman" w:cs="Times New Roman"/>
        </w:rPr>
        <w:t xml:space="preserve"> alebo</w:t>
      </w:r>
    </w:p>
    <w:p w:rsidR="0064779F" w:rsidP="002C4292">
      <w:pPr>
        <w:numPr>
          <w:ilvl w:val="0"/>
          <w:numId w:val="1"/>
        </w:numPr>
        <w:tabs>
          <w:tab w:val="left" w:pos="567"/>
          <w:tab w:val="left" w:pos="824"/>
          <w:tab w:val="left" w:pos="993"/>
        </w:tabs>
        <w:spacing w:before="120"/>
        <w:jc w:val="both"/>
        <w:rPr>
          <w:rFonts w:ascii="Times New Roman" w:hAnsi="Times New Roman" w:cs="Times New Roman"/>
        </w:rPr>
      </w:pPr>
      <w:r>
        <w:rPr>
          <w:rFonts w:ascii="Times New Roman" w:hAnsi="Times New Roman" w:cs="Times New Roman"/>
        </w:rPr>
        <w:t>malo by byť podrobené iným postupom do tej miery, pokiaľ výrobca k spokojnosti technického oddelenia nepreukáže, že sú ekvivalentné.</w:t>
      </w:r>
    </w:p>
    <w:p w:rsidR="0064779F" w:rsidP="0064779F">
      <w:pPr>
        <w:tabs>
          <w:tab w:val="left" w:pos="567"/>
        </w:tabs>
        <w:spacing w:before="120"/>
        <w:ind w:left="567" w:hanging="567"/>
        <w:jc w:val="both"/>
        <w:rPr>
          <w:rFonts w:ascii="Times New Roman" w:hAnsi="Times New Roman" w:cs="Times New Roman"/>
        </w:rPr>
      </w:pPr>
      <w:r>
        <w:rPr>
          <w:rFonts w:ascii="Times New Roman" w:hAnsi="Times New Roman" w:cs="Times New Roman"/>
        </w:rPr>
        <w:t xml:space="preserve"> </w:t>
        <w:tab/>
        <w:t>Dané vozidlo by malo byť vybavené meničom vertikálneho posunutia medzi hnacou nápravou a podvozkom, priamo nad hnacou nápravou. Zo stopy môže byť nameraný časový interval medzi prvým a druhým kompresným vrcholom na  zistenie frekvencie F a amplitúdový pomer na zistenie hodnoty tlmenia. Pre dvojnápravové podvozky by meniče vertikálneho posunutia mali byť namontované medzi každou hnacou nápravou a podvozkom priamo nad touto nápravou.</w:t>
      </w:r>
    </w:p>
    <w:p w:rsidR="0064779F" w:rsidP="0064779F">
      <w:pPr>
        <w:spacing w:before="120"/>
        <w:jc w:val="center"/>
        <w:rPr>
          <w:rFonts w:ascii="Times New Roman" w:hAnsi="Times New Roman" w:cs="Times New Roman"/>
          <w:i/>
        </w:rPr>
      </w:pPr>
      <w:r>
        <w:rPr>
          <w:rFonts w:ascii="Times New Roman" w:hAnsi="Times New Roman" w:cs="Times New Roman"/>
          <w:i/>
        </w:rPr>
        <w:t xml:space="preserve">Obrázok 1  </w:t>
      </w:r>
    </w:p>
    <w:p w:rsidR="0064779F" w:rsidP="0064779F">
      <w:pPr>
        <w:spacing w:before="120"/>
        <w:jc w:val="center"/>
        <w:rPr>
          <w:rFonts w:ascii="Times New Roman" w:hAnsi="Times New Roman" w:cs="Times New Roman"/>
          <w:b/>
        </w:rPr>
      </w:pPr>
      <w:r>
        <w:rPr>
          <w:rFonts w:ascii="Times New Roman" w:hAnsi="Times New Roman" w:cs="Times New Roman"/>
          <w:b/>
        </w:rPr>
        <w:t>Schod pre závesné testy</w:t>
      </w:r>
    </w:p>
    <w:p w:rsidR="0064779F" w:rsidP="0064779F">
      <w:pPr>
        <w:spacing w:before="120"/>
        <w:jc w:val="center"/>
        <w:rPr>
          <w:rFonts w:ascii="Times New Roman" w:hAnsi="Times New Roman" w:cs="Times New Roman"/>
          <w:b/>
        </w:rPr>
      </w:pPr>
      <w:r>
        <w:rPr>
          <w:rFonts w:ascii="Times New Roman" w:hAnsi="Times New Roman" w:cs="Times New Roman"/>
          <w:b/>
          <w:noProof/>
          <w:rtl w:val="0"/>
        </w:rPr>
        <w:pict>
          <v:shape id="_x0000_i1029" type="#_x0000_t75" style="width:370.05pt;height:104.18pt" filled="f" fillcolor="window" stroked="f">
            <v:imagedata r:id="rId12" o:title="" croptop="8053f" cropbottom="9109f" cropleft="3143f" cropright="7896f"/>
          </v:shape>
        </w:pict>
      </w:r>
    </w:p>
    <w:p w:rsidR="0064779F" w:rsidP="0064779F">
      <w:pPr>
        <w:spacing w:before="120"/>
        <w:jc w:val="center"/>
        <w:rPr>
          <w:rFonts w:ascii="Times New Roman" w:hAnsi="Times New Roman" w:cs="Times New Roman"/>
          <w:i/>
        </w:rPr>
      </w:pPr>
      <w:r>
        <w:rPr>
          <w:rFonts w:ascii="Times New Roman" w:hAnsi="Times New Roman" w:cs="Times New Roman"/>
          <w:i/>
        </w:rPr>
        <w:br w:type="page"/>
        <w:t xml:space="preserve">Obrázok 2  </w:t>
      </w:r>
    </w:p>
    <w:p w:rsidR="0064779F" w:rsidP="0064779F">
      <w:pPr>
        <w:spacing w:before="120"/>
        <w:jc w:val="center"/>
        <w:rPr>
          <w:rFonts w:ascii="Times New Roman" w:hAnsi="Times New Roman" w:cs="Times New Roman"/>
          <w:b/>
        </w:rPr>
      </w:pPr>
      <w:r>
        <w:rPr>
          <w:rFonts w:ascii="Times New Roman" w:hAnsi="Times New Roman" w:cs="Times New Roman"/>
          <w:b/>
        </w:rPr>
        <w:t>Tlmený prechodový jav</w:t>
      </w:r>
    </w:p>
    <w:p w:rsidR="0064779F" w:rsidRPr="002A7BDB" w:rsidP="0064779F">
      <w:pPr>
        <w:spacing w:after="120"/>
        <w:jc w:val="right"/>
        <w:rPr>
          <w:rFonts w:ascii="Times New Roman" w:hAnsi="Times New Roman" w:cs="Times New Roman"/>
          <w:b/>
        </w:rPr>
      </w:pPr>
      <w:r>
        <w:rPr>
          <w:rFonts w:ascii="Times New Roman" w:hAnsi="Times New Roman" w:cs="Times New Roman"/>
          <w:b/>
          <w:noProof/>
          <w:rtl w:val="0"/>
        </w:rPr>
        <w:pict>
          <v:shape id="_x0000_i1030" type="#_x0000_t75" style="width:357.24pt;height:123.37pt" filled="f" fillcolor="window" stroked="f">
            <v:imagedata r:id="rId13" o:title="" croptop="7527f" cropleft="6547f" cropright="5807f"/>
          </v:shape>
        </w:pict>
      </w:r>
    </w:p>
    <w:sectPr>
      <w:footerReference w:type="even" r:id="rId14"/>
      <w:footerReference w:type="default" r:id="rId15"/>
      <w:footnotePr>
        <w:numRestart w:val="eachSect"/>
      </w:footnotePr>
      <w:pgSz w:w="11906" w:h="16838"/>
      <w:pgMar w:top="1417" w:right="1417" w:bottom="1417" w:left="1417" w:header="720" w:footer="720" w:gutter="0"/>
      <w:cols w:space="72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9F" w:rsidP="0023463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4779F">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79F" w:rsidP="0023463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C4292">
      <w:rPr>
        <w:rStyle w:val="PageNumber"/>
        <w:rFonts w:ascii="Times New Roman" w:hAnsi="Times New Roman" w:cs="Times New Roman"/>
        <w:noProof/>
      </w:rPr>
      <w:t>2</w:t>
    </w:r>
    <w:r>
      <w:rPr>
        <w:rStyle w:val="PageNumber"/>
        <w:rFonts w:ascii="Times New Roman" w:hAnsi="Times New Roman" w:cs="Times New Roman"/>
      </w:rPr>
      <w:fldChar w:fldCharType="end"/>
    </w:r>
  </w:p>
  <w:p w:rsidR="0064779F">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F11C6"/>
    <w:multiLevelType w:val="hybridMultilevel"/>
    <w:tmpl w:val="0BDE9046"/>
    <w:lvl w:ilvl="0">
      <w:start w:val="1"/>
      <w:numFmt w:val="lowerLetter"/>
      <w:lvlText w:val="%1)"/>
      <w:lvlJc w:val="left"/>
      <w:pPr>
        <w:tabs>
          <w:tab w:val="num" w:pos="824"/>
        </w:tabs>
        <w:ind w:left="824" w:hanging="284"/>
      </w:pPr>
      <w:rPr>
        <w:b w:val="0"/>
        <w:i w:val="0"/>
        <w:rtl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numRestart w:val="eachSect"/>
  </w:footnotePr>
  <w:compat>
    <w:doNotUseIndentAsNumberingTabStop/>
    <w:allowSpaceOfSameStyleInTable/>
    <w:splitPgBreakAndParaMark/>
    <w:useAnsiKerningPairs/>
  </w:compat>
  <w:rsids>
    <w:rsidRoot w:val="00000000"/>
    <w:rsid w:val="0023463F"/>
    <w:rsid w:val="002A7BDB"/>
    <w:rsid w:val="002C4292"/>
    <w:rsid w:val="0064779F"/>
    <w:rsid w:val="006C057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63F"/>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Footer">
    <w:name w:val="footer"/>
    <w:basedOn w:val="Normal"/>
    <w:rsid w:val="0023463F"/>
    <w:pPr>
      <w:tabs>
        <w:tab w:val="center" w:pos="4536"/>
        <w:tab w:val="right" w:pos="9072"/>
      </w:tabs>
      <w:jc w:val="left"/>
    </w:pPr>
  </w:style>
  <w:style w:type="character" w:styleId="PageNumber">
    <w:name w:val="page number"/>
    <w:basedOn w:val="DefaultParagraphFont"/>
    <w:rsid w:val="0023463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4.bin"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TotalTime>
  <Pages>1</Pages>
  <Words>619</Words>
  <Characters>3531</Characters>
  <Application>Microsoft Office Word</Application>
  <DocSecurity>0</DocSecurity>
  <Lines>0</Lines>
  <Paragraphs>0</Paragraphs>
  <ScaleCrop>false</ScaleCrop>
  <Company>MDPT</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Michalikova</dc:creator>
  <cp:lastModifiedBy>Michalikova</cp:lastModifiedBy>
  <cp:revision>6</cp:revision>
  <dcterms:created xsi:type="dcterms:W3CDTF">2008-08-27T08:17:00Z</dcterms:created>
  <dcterms:modified xsi:type="dcterms:W3CDTF">2008-08-27T09:05:00Z</dcterms:modified>
</cp:coreProperties>
</file>