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440E9" w:rsidRPr="00F323A5" w:rsidP="00F323A5">
      <w:pPr>
        <w:pStyle w:val="Title"/>
        <w:bidi w:val="0"/>
        <w:spacing w:after="240"/>
        <w:rPr>
          <w:rFonts w:ascii="Times New Roman" w:hAnsi="Times New Roman"/>
          <w:b/>
          <w:bCs/>
        </w:rPr>
      </w:pPr>
      <w:r w:rsidRPr="00F323A5">
        <w:rPr>
          <w:rFonts w:ascii="Times New Roman" w:hAnsi="Times New Roman"/>
          <w:b/>
        </w:rPr>
        <w:t>Dôvodová správa</w:t>
      </w:r>
    </w:p>
    <w:p w:rsidR="006440E9" w:rsidRPr="00810942" w:rsidP="00810942">
      <w:pPr>
        <w:bidi w:val="0"/>
        <w:spacing w:after="120"/>
        <w:jc w:val="both"/>
        <w:rPr>
          <w:rFonts w:ascii="Times New Roman" w:hAnsi="Times New Roman"/>
          <w:b/>
          <w:bCs/>
          <w:u w:val="single"/>
        </w:rPr>
      </w:pPr>
      <w:r>
        <w:rPr>
          <w:rFonts w:ascii="Times New Roman" w:hAnsi="Times New Roman"/>
          <w:b/>
          <w:bCs/>
          <w:u w:val="single"/>
        </w:rPr>
        <w:t>Všeobecná časť:</w:t>
      </w:r>
    </w:p>
    <w:p w:rsidR="000D3C1C" w:rsidRPr="000D3C1C" w:rsidP="000D3C1C">
      <w:pPr>
        <w:bidi w:val="0"/>
        <w:spacing w:after="120"/>
        <w:ind w:firstLine="284"/>
        <w:jc w:val="both"/>
        <w:rPr>
          <w:rFonts w:ascii="Times New Roman" w:hAnsi="Times New Roman"/>
        </w:rPr>
      </w:pPr>
      <w:r w:rsidRPr="000D3C1C">
        <w:rPr>
          <w:rFonts w:ascii="Times New Roman" w:hAnsi="Times New Roman"/>
        </w:rPr>
        <w:t xml:space="preserve">Návrh zákona, ktorým sa mení a dopĺňa zákon č. 143/1998 Z.z. o civilnom letectve (letecký zákon) a o zmene a doplnení niektorých zákonov v znení neskorších predpisov sa predkladá v súlade s Plánom legislatívnych úloh vlády Slovenskej republiky na rok 2008. </w:t>
      </w:r>
    </w:p>
    <w:p w:rsidR="000D3C1C" w:rsidRPr="000D3C1C" w:rsidP="000D3C1C">
      <w:pPr>
        <w:bidi w:val="0"/>
        <w:spacing w:after="120"/>
        <w:ind w:firstLine="284"/>
        <w:jc w:val="both"/>
        <w:rPr>
          <w:rFonts w:ascii="Times New Roman" w:hAnsi="Times New Roman"/>
        </w:rPr>
      </w:pPr>
      <w:r w:rsidRPr="000D3C1C">
        <w:rPr>
          <w:rFonts w:ascii="Times New Roman" w:hAnsi="Times New Roman"/>
        </w:rPr>
        <w:t>Predkladaný návrh zákona upravuje tieto oblasti civilného letectva:</w:t>
      </w:r>
    </w:p>
    <w:p w:rsidR="000D3C1C" w:rsidRPr="000D3C1C" w:rsidP="000D3C1C">
      <w:pPr>
        <w:bidi w:val="0"/>
        <w:spacing w:after="120"/>
        <w:ind w:firstLine="284"/>
        <w:jc w:val="both"/>
        <w:rPr>
          <w:rFonts w:ascii="Times New Roman" w:hAnsi="Times New Roman"/>
        </w:rPr>
      </w:pPr>
      <w:r w:rsidRPr="000D3C1C">
        <w:rPr>
          <w:rFonts w:ascii="Times New Roman" w:hAnsi="Times New Roman"/>
        </w:rPr>
        <w:t>- útvar odborného vyšetrovania nehôd  a incidentov prechádza z leteckého úradu do organizačnej štruktúry ministerstva pri zachovaní funkčnej nezávislosti útvaru, čím sa zabezpečuje jeho reálne oddelenie od leteckého úradu ako orgánu vykonávajúceho štátny odborný dozor,</w:t>
      </w:r>
    </w:p>
    <w:p w:rsidR="000D3C1C" w:rsidRPr="000D3C1C" w:rsidP="000D3C1C">
      <w:pPr>
        <w:bidi w:val="0"/>
        <w:spacing w:after="120"/>
        <w:ind w:firstLine="284"/>
        <w:jc w:val="both"/>
        <w:rPr>
          <w:rFonts w:ascii="Times New Roman" w:hAnsi="Times New Roman"/>
        </w:rPr>
      </w:pPr>
      <w:r w:rsidRPr="000D3C1C">
        <w:rPr>
          <w:rFonts w:ascii="Times New Roman" w:hAnsi="Times New Roman"/>
        </w:rPr>
        <w:t>- zavádza sa osobitný systém financovania leteckého úradu zo spoločného systému spoplatňovania leteckých navigačných služieb</w:t>
      </w:r>
    </w:p>
    <w:p w:rsidR="000D3C1C" w:rsidRPr="000D3C1C" w:rsidP="000D3C1C">
      <w:pPr>
        <w:bidi w:val="0"/>
        <w:spacing w:after="120"/>
        <w:ind w:firstLine="284"/>
        <w:jc w:val="both"/>
        <w:rPr>
          <w:rFonts w:ascii="Times New Roman" w:hAnsi="Times New Roman"/>
        </w:rPr>
      </w:pPr>
      <w:r w:rsidRPr="000D3C1C">
        <w:rPr>
          <w:rFonts w:ascii="Times New Roman" w:hAnsi="Times New Roman"/>
        </w:rPr>
        <w:t>-  na základe požiadavky § 8a zákona č. 523/2004 Z.z. o rozpočtových pravidlách verejnej správy a o zmene a doplnení niektorých zákonov v znení neskorších predpisov dotácia zo štátneho rozpočtu sa môže poskytnúť iba na základe osobitného zákona a v súlade so zákonom o štátnom rozpočte na príslušný rok. Z toho dôvodu sa dopĺňa príslušná úprava, pričom podrobnosti o poskytovaní dotácií v oblasti civilného letectva ustanoví všeobecne záväzný právny predpis, ktorý vydá ministerstvo.</w:t>
      </w:r>
    </w:p>
    <w:p w:rsidR="000D3C1C" w:rsidRPr="000D3C1C" w:rsidP="000D3C1C">
      <w:pPr>
        <w:bidi w:val="0"/>
        <w:spacing w:after="120"/>
        <w:ind w:firstLine="284"/>
        <w:jc w:val="both"/>
        <w:rPr>
          <w:rFonts w:ascii="Times New Roman" w:hAnsi="Times New Roman"/>
        </w:rPr>
      </w:pPr>
      <w:r w:rsidRPr="000D3C1C">
        <w:rPr>
          <w:rFonts w:ascii="Times New Roman" w:hAnsi="Times New Roman"/>
        </w:rPr>
        <w:tab/>
        <w:t>Návrh zákona predpokladá v príjmovej časti štátneho rozpočtu pozitívny vplyv na štátny rozpočet, nebude mať dopad na rozpočty obcí a vyšších územných celkov, nebude mať negatívny vplyv na životné prostredie  a nebude mať dopad na zamestnanosť.</w:t>
      </w:r>
    </w:p>
    <w:p w:rsidR="000D3C1C" w:rsidRPr="000D3C1C" w:rsidP="000D3C1C">
      <w:pPr>
        <w:bidi w:val="0"/>
        <w:spacing w:after="120"/>
        <w:ind w:firstLine="284"/>
        <w:jc w:val="both"/>
        <w:rPr>
          <w:rFonts w:ascii="Times New Roman" w:hAnsi="Times New Roman"/>
        </w:rPr>
      </w:pPr>
      <w:r w:rsidRPr="000D3C1C">
        <w:rPr>
          <w:rFonts w:ascii="Times New Roman" w:hAnsi="Times New Roman"/>
        </w:rPr>
        <w:t xml:space="preserve">  Navrhovaná právna úprava je v súlade s Ústavou Slovenskej republiky, ústavnými zákonmi a ďalšími všeobecne záväznými právnymi predpismi, ako aj s medzinárodnými zmluvami a inými medzinárodnými dokumentmi, ktorými je Slovenská republika viazaná. </w:t>
      </w:r>
    </w:p>
    <w:p w:rsidR="006440E9" w:rsidP="00220123">
      <w:pPr>
        <w:bidi w:val="0"/>
        <w:spacing w:after="240"/>
        <w:ind w:firstLine="284"/>
        <w:jc w:val="both"/>
        <w:rPr>
          <w:rFonts w:ascii="Times New Roman" w:hAnsi="Times New Roman"/>
        </w:rPr>
      </w:pPr>
      <w:r w:rsidRPr="000D3C1C">
        <w:rPr>
          <w:rFonts w:ascii="Times New Roman" w:hAnsi="Times New Roman"/>
        </w:rPr>
        <w:t>Materiál podlieha sprístupňovaniu podľa zákona č. 211/2000 Z. z. o slobodnom prístupe k informáciám a o zmene a doplnení niektorých zákonov (zákon o slobode informácií) v znení neskorších predpisov.</w:t>
      </w:r>
    </w:p>
    <w:p w:rsidR="00DA4031" w:rsidRPr="00220123" w:rsidP="00DA4031">
      <w:pPr>
        <w:bidi w:val="0"/>
        <w:ind w:firstLine="284"/>
        <w:jc w:val="both"/>
        <w:rPr>
          <w:rFonts w:ascii="Times New Roman" w:hAnsi="Times New Roman"/>
          <w:b/>
          <w:bCs/>
        </w:rPr>
      </w:pPr>
    </w:p>
    <w:p w:rsidR="00DC4006" w:rsidP="00DC4006">
      <w:pPr>
        <w:bidi w:val="0"/>
        <w:spacing w:line="216" w:lineRule="auto"/>
        <w:jc w:val="center"/>
        <w:rPr>
          <w:rFonts w:ascii="Times New Roman" w:hAnsi="Times New Roman"/>
          <w:b/>
          <w:bCs/>
        </w:rPr>
      </w:pPr>
      <w:r>
        <w:rPr>
          <w:rFonts w:ascii="Times New Roman" w:hAnsi="Times New Roman"/>
          <w:b/>
          <w:bCs/>
        </w:rPr>
        <w:t>Doložka zlučiteľnosti</w:t>
      </w:r>
    </w:p>
    <w:p w:rsidR="00DC4006" w:rsidP="00DC4006">
      <w:pPr>
        <w:bidi w:val="0"/>
        <w:spacing w:line="216" w:lineRule="auto"/>
        <w:jc w:val="center"/>
        <w:rPr>
          <w:rFonts w:ascii="Times New Roman" w:hAnsi="Times New Roman"/>
          <w:b/>
          <w:bCs/>
        </w:rPr>
      </w:pPr>
      <w:r>
        <w:rPr>
          <w:rFonts w:ascii="Times New Roman" w:hAnsi="Times New Roman"/>
          <w:b/>
          <w:bCs/>
        </w:rPr>
        <w:t>návrhu právneho predpisu</w:t>
      </w:r>
    </w:p>
    <w:p w:rsidR="00DC4006" w:rsidP="00DC4006">
      <w:pPr>
        <w:bidi w:val="0"/>
        <w:spacing w:after="240" w:line="216" w:lineRule="auto"/>
        <w:jc w:val="center"/>
        <w:rPr>
          <w:rFonts w:ascii="Times New Roman" w:hAnsi="Times New Roman"/>
          <w:b/>
          <w:bCs/>
        </w:rPr>
      </w:pPr>
      <w:r>
        <w:rPr>
          <w:rFonts w:ascii="Times New Roman" w:hAnsi="Times New Roman"/>
          <w:b/>
          <w:bCs/>
        </w:rPr>
        <w:t>s právom Európskych spoločenstiev a právom Európskej únie</w:t>
      </w:r>
    </w:p>
    <w:p w:rsidR="00DC4006" w:rsidP="00DC4006">
      <w:pPr>
        <w:numPr>
          <w:ilvl w:val="0"/>
          <w:numId w:val="14"/>
        </w:numPr>
        <w:autoSpaceDE w:val="0"/>
        <w:autoSpaceDN w:val="0"/>
        <w:bidi w:val="0"/>
        <w:spacing w:after="60"/>
        <w:jc w:val="both"/>
        <w:rPr>
          <w:rFonts w:ascii="Times New Roman" w:hAnsi="Times New Roman"/>
          <w:b/>
          <w:bCs/>
        </w:rPr>
      </w:pPr>
      <w:r>
        <w:rPr>
          <w:rFonts w:ascii="Times New Roman" w:hAnsi="Times New Roman"/>
          <w:b/>
          <w:bCs/>
        </w:rPr>
        <w:t>Predkladateľ</w:t>
      </w:r>
      <w:r>
        <w:rPr>
          <w:rFonts w:ascii="Times New Roman" w:hAnsi="Times New Roman"/>
          <w:b/>
          <w:bCs/>
          <w:i/>
          <w:iCs/>
        </w:rPr>
        <w:t xml:space="preserve"> </w:t>
      </w:r>
      <w:r>
        <w:rPr>
          <w:rFonts w:ascii="Times New Roman" w:hAnsi="Times New Roman"/>
          <w:b/>
          <w:bCs/>
        </w:rPr>
        <w:t>právneho</w:t>
      </w:r>
      <w:r>
        <w:rPr>
          <w:rFonts w:ascii="Times New Roman" w:hAnsi="Times New Roman"/>
          <w:b/>
          <w:bCs/>
          <w:i/>
          <w:iCs/>
        </w:rPr>
        <w:t xml:space="preserve"> </w:t>
      </w:r>
      <w:r>
        <w:rPr>
          <w:rFonts w:ascii="Times New Roman" w:hAnsi="Times New Roman"/>
          <w:b/>
          <w:bCs/>
        </w:rPr>
        <w:t>predpisu:</w:t>
      </w:r>
    </w:p>
    <w:p w:rsidR="00DC4006" w:rsidP="00DC4006">
      <w:pPr>
        <w:bidi w:val="0"/>
        <w:spacing w:after="120"/>
        <w:ind w:firstLine="357"/>
        <w:rPr>
          <w:rFonts w:ascii="Times New Roman" w:hAnsi="Times New Roman"/>
        </w:rPr>
      </w:pPr>
      <w:r>
        <w:rPr>
          <w:rFonts w:ascii="Times New Roman" w:hAnsi="Times New Roman"/>
        </w:rPr>
        <w:t>Vláda Slovenskej republiky.</w:t>
      </w:r>
    </w:p>
    <w:p w:rsidR="00DC4006" w:rsidP="00DC4006">
      <w:pPr>
        <w:numPr>
          <w:ilvl w:val="0"/>
          <w:numId w:val="14"/>
        </w:numPr>
        <w:autoSpaceDE w:val="0"/>
        <w:autoSpaceDN w:val="0"/>
        <w:bidi w:val="0"/>
        <w:spacing w:after="60"/>
        <w:jc w:val="both"/>
        <w:rPr>
          <w:rFonts w:ascii="Times New Roman" w:hAnsi="Times New Roman"/>
          <w:b/>
          <w:bCs/>
        </w:rPr>
      </w:pPr>
      <w:r>
        <w:rPr>
          <w:rFonts w:ascii="Times New Roman" w:hAnsi="Times New Roman"/>
          <w:b/>
          <w:bCs/>
        </w:rPr>
        <w:t>Názov</w:t>
      </w:r>
      <w:r>
        <w:rPr>
          <w:rFonts w:ascii="Times New Roman" w:hAnsi="Times New Roman"/>
          <w:b/>
          <w:bCs/>
          <w:i/>
          <w:iCs/>
        </w:rPr>
        <w:t xml:space="preserve"> </w:t>
      </w:r>
      <w:r>
        <w:rPr>
          <w:rFonts w:ascii="Times New Roman" w:hAnsi="Times New Roman"/>
          <w:b/>
          <w:bCs/>
        </w:rPr>
        <w:t>návrhu</w:t>
      </w:r>
      <w:r>
        <w:rPr>
          <w:rFonts w:ascii="Times New Roman" w:hAnsi="Times New Roman"/>
          <w:b/>
          <w:bCs/>
          <w:i/>
          <w:iCs/>
        </w:rPr>
        <w:t xml:space="preserve"> </w:t>
      </w:r>
      <w:r>
        <w:rPr>
          <w:rFonts w:ascii="Times New Roman" w:hAnsi="Times New Roman"/>
          <w:b/>
          <w:bCs/>
        </w:rPr>
        <w:t>právneho</w:t>
      </w:r>
      <w:r>
        <w:rPr>
          <w:rFonts w:ascii="Times New Roman" w:hAnsi="Times New Roman"/>
          <w:b/>
          <w:bCs/>
          <w:i/>
          <w:iCs/>
        </w:rPr>
        <w:t xml:space="preserve"> </w:t>
      </w:r>
      <w:r>
        <w:rPr>
          <w:rFonts w:ascii="Times New Roman" w:hAnsi="Times New Roman"/>
          <w:b/>
          <w:bCs/>
        </w:rPr>
        <w:t>predpisu:</w:t>
      </w:r>
    </w:p>
    <w:p w:rsidR="000D3C1C" w:rsidP="000D3C1C">
      <w:pPr>
        <w:bidi w:val="0"/>
        <w:spacing w:before="120" w:after="120"/>
        <w:jc w:val="both"/>
        <w:rPr>
          <w:rFonts w:ascii="Times New Roman" w:hAnsi="Times New Roman"/>
        </w:rPr>
      </w:pPr>
      <w:r w:rsidRPr="00E75F5B">
        <w:rPr>
          <w:rFonts w:ascii="Times New Roman" w:hAnsi="Times New Roman"/>
        </w:rPr>
        <w:t>Zákon, ktorým sa mení a dopĺňa zákon č. 143/1998 Z.z. o civilnom letectve (letecký zákon) a o zmene a doplnení niektorých zákonov v znení neskorších predpisov</w:t>
      </w:r>
      <w:r>
        <w:rPr>
          <w:rFonts w:ascii="Times New Roman" w:hAnsi="Times New Roman"/>
        </w:rPr>
        <w:t>.</w:t>
      </w:r>
    </w:p>
    <w:p w:rsidR="00DC4006" w:rsidP="00DC4006">
      <w:pPr>
        <w:numPr>
          <w:ilvl w:val="0"/>
          <w:numId w:val="15"/>
        </w:numPr>
        <w:tabs>
          <w:tab w:val="num" w:pos="-1701"/>
        </w:tabs>
        <w:autoSpaceDE w:val="0"/>
        <w:autoSpaceDN w:val="0"/>
        <w:bidi w:val="0"/>
        <w:spacing w:after="60"/>
        <w:jc w:val="both"/>
        <w:rPr>
          <w:rFonts w:ascii="Times New Roman" w:hAnsi="Times New Roman"/>
          <w:b/>
          <w:bCs/>
        </w:rPr>
      </w:pPr>
      <w:r>
        <w:rPr>
          <w:rFonts w:ascii="Times New Roman" w:hAnsi="Times New Roman"/>
          <w:b/>
          <w:bCs/>
        </w:rPr>
        <w:t>Problematika návrhu právneho predpisu:</w:t>
      </w:r>
    </w:p>
    <w:p w:rsidR="00DC4006" w:rsidP="00DC4006">
      <w:pPr>
        <w:numPr>
          <w:ilvl w:val="0"/>
          <w:numId w:val="16"/>
        </w:numPr>
        <w:bidi w:val="0"/>
        <w:jc w:val="both"/>
        <w:rPr>
          <w:rFonts w:ascii="Times New Roman" w:hAnsi="Times New Roman"/>
        </w:rPr>
      </w:pPr>
      <w:r>
        <w:rPr>
          <w:rFonts w:ascii="Times New Roman" w:hAnsi="Times New Roman"/>
        </w:rPr>
        <w:t>je upravená v práve Európskych spoločenstiev:</w:t>
      </w:r>
    </w:p>
    <w:p w:rsidR="00DC4006" w:rsidP="00DC4006">
      <w:pPr>
        <w:bidi w:val="0"/>
        <w:ind w:left="720"/>
        <w:jc w:val="both"/>
        <w:rPr>
          <w:rFonts w:ascii="Times New Roman" w:hAnsi="Times New Roman"/>
        </w:rPr>
      </w:pPr>
      <w:r>
        <w:rPr>
          <w:rFonts w:ascii="Times New Roman" w:hAnsi="Times New Roman"/>
        </w:rPr>
        <w:t>- v primárnom práve v Zmluve o založení Európskych spoločenstiev v platnom znení</w:t>
      </w:r>
    </w:p>
    <w:p w:rsidR="00DC4006" w:rsidP="00DC4006">
      <w:pPr>
        <w:bidi w:val="0"/>
        <w:ind w:left="720"/>
        <w:jc w:val="both"/>
        <w:rPr>
          <w:rFonts w:ascii="Times New Roman" w:hAnsi="Times New Roman"/>
        </w:rPr>
      </w:pPr>
      <w:r>
        <w:rPr>
          <w:rFonts w:ascii="Times New Roman" w:hAnsi="Times New Roman"/>
        </w:rPr>
        <w:t>(Hlava V – Doprava)</w:t>
      </w:r>
    </w:p>
    <w:p w:rsidR="00DC4006" w:rsidP="00DC4006">
      <w:pPr>
        <w:numPr>
          <w:numId w:val="17"/>
        </w:numPr>
        <w:bidi w:val="0"/>
        <w:jc w:val="both"/>
        <w:rPr>
          <w:rFonts w:ascii="Times New Roman" w:hAnsi="Times New Roman"/>
        </w:rPr>
      </w:pPr>
      <w:r>
        <w:rPr>
          <w:rFonts w:ascii="Times New Roman" w:hAnsi="Times New Roman"/>
        </w:rPr>
        <w:t>v sekundárnom práve</w:t>
      </w:r>
    </w:p>
    <w:p w:rsidR="000D3C1C" w:rsidRPr="000D3C1C" w:rsidP="000D3C1C">
      <w:pPr>
        <w:bidi w:val="0"/>
        <w:ind w:left="1077"/>
        <w:jc w:val="both"/>
        <w:rPr>
          <w:rFonts w:ascii="Times New Roman" w:hAnsi="Times New Roman"/>
          <w:bCs/>
        </w:rPr>
      </w:pPr>
      <w:r w:rsidRPr="000D3C1C">
        <w:rPr>
          <w:rFonts w:ascii="Times New Roman" w:hAnsi="Times New Roman"/>
          <w:bCs/>
        </w:rPr>
        <w:t>Nariadenie Komisie (ES) č. 1794/2006 zo 6. decembra 2006, ktorým sa stanovuje spoločný systém spoplatňovania leteckých navigačných služieb.</w:t>
      </w:r>
    </w:p>
    <w:p w:rsidR="00DC4006" w:rsidP="00DC4006">
      <w:pPr>
        <w:numPr>
          <w:ilvl w:val="0"/>
          <w:numId w:val="16"/>
        </w:numPr>
        <w:autoSpaceDE w:val="0"/>
        <w:autoSpaceDN w:val="0"/>
        <w:bidi w:val="0"/>
        <w:jc w:val="both"/>
        <w:rPr>
          <w:rFonts w:ascii="Times New Roman" w:hAnsi="Times New Roman"/>
        </w:rPr>
      </w:pPr>
      <w:r>
        <w:rPr>
          <w:rFonts w:ascii="Times New Roman" w:hAnsi="Times New Roman"/>
        </w:rPr>
        <w:t>nie je upravená v práve Európskej únie,</w:t>
      </w:r>
    </w:p>
    <w:p w:rsidR="00DC4006" w:rsidP="00DC4006">
      <w:pPr>
        <w:numPr>
          <w:ilvl w:val="0"/>
          <w:numId w:val="16"/>
        </w:numPr>
        <w:autoSpaceDE w:val="0"/>
        <w:autoSpaceDN w:val="0"/>
        <w:bidi w:val="0"/>
        <w:spacing w:after="120"/>
        <w:ind w:left="714" w:hanging="357"/>
        <w:jc w:val="both"/>
        <w:rPr>
          <w:rFonts w:ascii="Times New Roman" w:hAnsi="Times New Roman"/>
        </w:rPr>
      </w:pPr>
      <w:r>
        <w:rPr>
          <w:rFonts w:ascii="Times New Roman" w:hAnsi="Times New Roman"/>
        </w:rPr>
        <w:t>nie je obsiahnutá v judikatúre Súdneho dvora Európskych spoločenstiev alebo Súdu prvého stupňa Európskych spoločenstiev.</w:t>
      </w:r>
    </w:p>
    <w:p w:rsidR="00DC4006" w:rsidP="00DC4006">
      <w:pPr>
        <w:pStyle w:val="BodyText"/>
        <w:numPr>
          <w:ilvl w:val="0"/>
          <w:numId w:val="15"/>
        </w:numPr>
        <w:autoSpaceDE w:val="0"/>
        <w:autoSpaceDN w:val="0"/>
        <w:bidi w:val="0"/>
        <w:spacing w:after="60"/>
        <w:jc w:val="left"/>
        <w:rPr>
          <w:rFonts w:ascii="Times New Roman" w:hAnsi="Times New Roman"/>
          <w:b/>
          <w:bCs/>
        </w:rPr>
      </w:pPr>
      <w:r>
        <w:rPr>
          <w:rFonts w:ascii="Times New Roman" w:hAnsi="Times New Roman"/>
          <w:b/>
          <w:bCs/>
        </w:rPr>
        <w:t>Záväzky Slovenskej republiky vo vzťahu k Európskym spoločenstvám a Európskej únii:</w:t>
      </w:r>
    </w:p>
    <w:p w:rsidR="000D3C1C" w:rsidRPr="000D3C1C" w:rsidP="000D3C1C">
      <w:pPr>
        <w:pStyle w:val="BodyText"/>
        <w:autoSpaceDE w:val="0"/>
        <w:autoSpaceDN w:val="0"/>
        <w:bidi w:val="0"/>
        <w:spacing w:after="60"/>
        <w:ind w:left="426"/>
        <w:jc w:val="left"/>
        <w:rPr>
          <w:rFonts w:ascii="Times New Roman" w:hAnsi="Times New Roman"/>
        </w:rPr>
      </w:pPr>
      <w:r w:rsidRPr="000D3C1C">
        <w:rPr>
          <w:rFonts w:ascii="Times New Roman" w:hAnsi="Times New Roman"/>
        </w:rPr>
        <w:t xml:space="preserve">a) bezpredmetné </w:t>
      </w:r>
    </w:p>
    <w:p w:rsidR="000D3C1C" w:rsidRPr="000D3C1C" w:rsidP="000D3C1C">
      <w:pPr>
        <w:pStyle w:val="BodyText"/>
        <w:autoSpaceDE w:val="0"/>
        <w:autoSpaceDN w:val="0"/>
        <w:bidi w:val="0"/>
        <w:spacing w:after="60"/>
        <w:ind w:left="426"/>
        <w:jc w:val="left"/>
        <w:rPr>
          <w:rFonts w:ascii="Times New Roman" w:hAnsi="Times New Roman"/>
        </w:rPr>
      </w:pPr>
      <w:r w:rsidRPr="000D3C1C">
        <w:rPr>
          <w:rFonts w:ascii="Times New Roman" w:hAnsi="Times New Roman"/>
        </w:rPr>
        <w:t xml:space="preserve">b) bezpredmetné </w:t>
      </w:r>
    </w:p>
    <w:p w:rsidR="000D3C1C" w:rsidRPr="000D3C1C" w:rsidP="000D3C1C">
      <w:pPr>
        <w:pStyle w:val="BodyText"/>
        <w:autoSpaceDE w:val="0"/>
        <w:autoSpaceDN w:val="0"/>
        <w:bidi w:val="0"/>
        <w:spacing w:after="60"/>
        <w:ind w:left="426"/>
        <w:jc w:val="left"/>
        <w:rPr>
          <w:rFonts w:ascii="Times New Roman" w:hAnsi="Times New Roman"/>
        </w:rPr>
      </w:pPr>
      <w:r w:rsidRPr="000D3C1C">
        <w:rPr>
          <w:rFonts w:ascii="Times New Roman" w:hAnsi="Times New Roman"/>
        </w:rPr>
        <w:t>c) bezpredmetné</w:t>
      </w:r>
    </w:p>
    <w:p w:rsidR="00DC4006" w:rsidP="00DC4006">
      <w:pPr>
        <w:pStyle w:val="BodyText"/>
        <w:numPr>
          <w:ilvl w:val="0"/>
          <w:numId w:val="15"/>
        </w:numPr>
        <w:autoSpaceDE w:val="0"/>
        <w:autoSpaceDN w:val="0"/>
        <w:bidi w:val="0"/>
        <w:spacing w:after="60"/>
        <w:jc w:val="left"/>
        <w:rPr>
          <w:rFonts w:ascii="Times New Roman" w:hAnsi="Times New Roman"/>
          <w:b/>
          <w:bCs/>
        </w:rPr>
      </w:pPr>
      <w:r>
        <w:rPr>
          <w:rFonts w:ascii="Times New Roman" w:hAnsi="Times New Roman"/>
          <w:b/>
          <w:bCs/>
        </w:rPr>
        <w:t>Stupeň zlučiteľn</w:t>
      </w:r>
      <w:r w:rsidR="0010356B">
        <w:rPr>
          <w:rFonts w:ascii="Times New Roman" w:hAnsi="Times New Roman"/>
          <w:b/>
          <w:bCs/>
        </w:rPr>
        <w:t>osti návrhu právneho predpisu</w:t>
      </w:r>
      <w:r>
        <w:rPr>
          <w:rFonts w:ascii="Times New Roman" w:hAnsi="Times New Roman"/>
          <w:b/>
          <w:bCs/>
        </w:rPr>
        <w:t xml:space="preserve"> s právom Európskych spoločenstiev alebo právom Európskej únie:</w:t>
      </w:r>
    </w:p>
    <w:p w:rsidR="00DC4006" w:rsidP="00DC4006">
      <w:pPr>
        <w:bidi w:val="0"/>
        <w:spacing w:after="120"/>
        <w:ind w:left="357"/>
        <w:jc w:val="both"/>
        <w:rPr>
          <w:rFonts w:ascii="Times New Roman" w:hAnsi="Times New Roman"/>
        </w:rPr>
      </w:pPr>
      <w:r>
        <w:rPr>
          <w:rFonts w:ascii="Times New Roman" w:hAnsi="Times New Roman"/>
        </w:rPr>
        <w:t>úplný</w:t>
      </w:r>
    </w:p>
    <w:p w:rsidR="00DC4006" w:rsidP="00DC4006">
      <w:pPr>
        <w:numPr>
          <w:ilvl w:val="0"/>
          <w:numId w:val="15"/>
        </w:numPr>
        <w:autoSpaceDE w:val="0"/>
        <w:autoSpaceDN w:val="0"/>
        <w:bidi w:val="0"/>
        <w:spacing w:after="60"/>
        <w:jc w:val="both"/>
        <w:rPr>
          <w:rFonts w:ascii="Times New Roman" w:hAnsi="Times New Roman"/>
          <w:b/>
          <w:bCs/>
        </w:rPr>
      </w:pPr>
      <w:r>
        <w:rPr>
          <w:rFonts w:ascii="Times New Roman" w:hAnsi="Times New Roman"/>
          <w:b/>
          <w:bCs/>
        </w:rPr>
        <w:t>Gestor a spolupracujúce rezorty:</w:t>
      </w:r>
    </w:p>
    <w:p w:rsidR="006440E9" w:rsidP="0010356B">
      <w:pPr>
        <w:bidi w:val="0"/>
        <w:spacing w:after="600"/>
        <w:ind w:firstLine="357"/>
        <w:rPr>
          <w:rFonts w:ascii="Times New Roman" w:hAnsi="Times New Roman"/>
        </w:rPr>
      </w:pPr>
      <w:r w:rsidR="00DC4006">
        <w:rPr>
          <w:rFonts w:ascii="Times New Roman" w:hAnsi="Times New Roman"/>
        </w:rPr>
        <w:t>Ministerstvo dopravy, pôšt a telekomunikácií Slovenskej republiky.</w:t>
      </w:r>
    </w:p>
    <w:p w:rsidR="001956EB" w:rsidRPr="0010356B" w:rsidP="0010356B">
      <w:pPr>
        <w:pStyle w:val="BodyText2"/>
        <w:bidi w:val="0"/>
        <w:spacing w:after="240"/>
        <w:ind w:left="397" w:firstLine="709"/>
        <w:jc w:val="center"/>
        <w:rPr>
          <w:rFonts w:ascii="Times New Roman" w:hAnsi="Times New Roman"/>
          <w:b/>
          <w:bCs/>
          <w:color w:val="auto"/>
        </w:rPr>
      </w:pPr>
      <w:r w:rsidRPr="0010356B">
        <w:rPr>
          <w:rFonts w:ascii="Times New Roman" w:hAnsi="Times New Roman"/>
          <w:b/>
          <w:bCs/>
          <w:color w:val="auto"/>
        </w:rPr>
        <w:t>Doložka finančných, ekonomických, environmentálnych vplyvov, vplyvov na zamestnanosť a podnikateľské prostredie</w:t>
      </w:r>
    </w:p>
    <w:p w:rsidR="001956EB" w:rsidP="001956EB">
      <w:pPr>
        <w:numPr>
          <w:numId w:val="11"/>
        </w:numPr>
        <w:bidi w:val="0"/>
        <w:spacing w:after="120"/>
        <w:jc w:val="both"/>
        <w:rPr>
          <w:rFonts w:ascii="Times New Roman" w:hAnsi="Times New Roman"/>
          <w:b/>
          <w:bCs/>
        </w:rPr>
      </w:pPr>
      <w:r>
        <w:rPr>
          <w:rFonts w:ascii="Times New Roman" w:hAnsi="Times New Roman"/>
          <w:b/>
          <w:bCs/>
        </w:rPr>
        <w:t>Odhad dopadov na verejné financie</w:t>
      </w:r>
    </w:p>
    <w:p w:rsidR="000D3C1C" w:rsidRPr="000D3C1C" w:rsidP="000D3C1C">
      <w:pPr>
        <w:bidi w:val="0"/>
        <w:ind w:firstLine="708"/>
        <w:jc w:val="both"/>
        <w:rPr>
          <w:rFonts w:ascii="ms sans serif" w:hAnsi="ms sans serif" w:cs="ms sans serif"/>
          <w:sz w:val="20"/>
          <w:szCs w:val="20"/>
        </w:rPr>
      </w:pPr>
      <w:r w:rsidRPr="00F453BA">
        <w:rPr>
          <w:rFonts w:ascii="Times New Roman" w:hAnsi="Times New Roman"/>
        </w:rPr>
        <w:t>Prijatím predloženého návrhu zákona sa predpokladá v príjmovej časti štátneho rozpočtu pozitívny vplyv na štátny rozpočet. Vplyv na rozpočty samosprávnych krajov a na rozpočty obcí sa nepredpokladá.</w:t>
      </w:r>
    </w:p>
    <w:p w:rsidR="000D3C1C" w:rsidRPr="00F453BA" w:rsidP="000D3C1C">
      <w:pPr>
        <w:bidi w:val="0"/>
        <w:jc w:val="both"/>
        <w:rPr>
          <w:rFonts w:ascii="Times New Roman" w:hAnsi="Times New Roman"/>
        </w:rPr>
      </w:pPr>
      <w:r w:rsidRPr="00F453BA">
        <w:rPr>
          <w:rFonts w:ascii="Times New Roman" w:hAnsi="Times New Roman"/>
        </w:rPr>
        <w:t xml:space="preserve">           Rozvoj civilného letectva na Slovensku si v súlade s Programovým vyhlásením vlády Slovenskej republiky s členstvom v Medzinárodnej organizácii civilného letectva (ICAO) a najmä s členstvom v Európskej únii vyžaduje reguláciu v oblasti bezpečnosti civilného letectva, zabezpečovanú nezávislým a odborne spôsobilým dozorným orgánom. Kapacity dozorného orgánu majú byť dostatočné pre plnenie medzinárodných záväzkov štátu v oblasti bezpečnosti využívania vzdušného priestoru civilným letectvom.</w:t>
      </w:r>
    </w:p>
    <w:p w:rsidR="000D3C1C" w:rsidRPr="00F453BA" w:rsidP="000D3C1C">
      <w:pPr>
        <w:bidi w:val="0"/>
        <w:ind w:firstLine="567"/>
        <w:jc w:val="both"/>
        <w:rPr>
          <w:rFonts w:ascii="Times New Roman" w:hAnsi="Times New Roman"/>
        </w:rPr>
      </w:pPr>
      <w:r w:rsidRPr="00F453BA">
        <w:rPr>
          <w:rFonts w:ascii="Times New Roman" w:hAnsi="Times New Roman"/>
        </w:rPr>
        <w:t xml:space="preserve"> Na tento účel bol v roku 1998 zriadený Letecký úrad Slovenskej republiky ako orgán štátnej správy na úseku civilného letectva, ktorého úlohou je zabezpečiť plnenie medzinárodných záväzkov na zaistenie čo najvyššej úrovne bezpečnosti civilného letectva prostredníctvom vykonávania nepretržitého štátneho odborného dozoru.</w:t>
      </w:r>
    </w:p>
    <w:p w:rsidR="000D3C1C" w:rsidRPr="00F453BA" w:rsidP="000D3C1C">
      <w:pPr>
        <w:bidi w:val="0"/>
        <w:ind w:firstLine="567"/>
        <w:jc w:val="both"/>
        <w:rPr>
          <w:rFonts w:ascii="Times New Roman" w:hAnsi="Times New Roman"/>
        </w:rPr>
      </w:pPr>
      <w:r w:rsidRPr="00F453BA">
        <w:rPr>
          <w:rFonts w:ascii="Times New Roman" w:hAnsi="Times New Roman"/>
        </w:rPr>
        <w:t>Finančné, legislatívne, odborné a personálne podmienky sú jedným z určujúcich faktorov existencie a pôsobenia dozorného orgánu. Súčasný spôsob financovania leteckého úradu  nezohľadňuje jeho špecifické postavenie, pričom sa svojou činnosťou výrazne podieľa na zaisťovaní bezpečnosti civilného letectva ako v rámci Slovenskej republiky, tak aj v rámci medzinárodného spoločenstva. Funkciu leteckého úradu je možné zabezpečiť len za predpokladu:</w:t>
      </w:r>
    </w:p>
    <w:p w:rsidR="000D3C1C" w:rsidRPr="00F453BA" w:rsidP="000D3C1C">
      <w:pPr>
        <w:bidi w:val="0"/>
        <w:ind w:firstLine="567"/>
        <w:jc w:val="both"/>
        <w:rPr>
          <w:rFonts w:ascii="Times New Roman" w:hAnsi="Times New Roman"/>
        </w:rPr>
      </w:pPr>
      <w:r w:rsidRPr="00F453BA">
        <w:rPr>
          <w:rFonts w:ascii="Times New Roman" w:hAnsi="Times New Roman"/>
        </w:rPr>
        <w:t>dostatočného počtu odborne kompetentného personálu vo všetkých oblastiach, ktoré letecký úrad zabezpečuje (technická, legislatívna, jazyková, letová a pod.),</w:t>
      </w:r>
    </w:p>
    <w:p w:rsidR="000D3C1C" w:rsidRPr="00F453BA" w:rsidP="000D3C1C">
      <w:pPr>
        <w:bidi w:val="0"/>
        <w:ind w:firstLine="567"/>
        <w:jc w:val="both"/>
        <w:rPr>
          <w:rFonts w:ascii="Times New Roman" w:hAnsi="Times New Roman"/>
        </w:rPr>
      </w:pPr>
      <w:r w:rsidRPr="00F453BA">
        <w:rPr>
          <w:rFonts w:ascii="Times New Roman" w:hAnsi="Times New Roman"/>
        </w:rPr>
        <w:t>odborne kompetentného personálu na komunikáciu a presadzovanie národných záujmov na medzinárodných fórach, kde sa vyžadujú najvyššie komunikačné a jazykové schopnosti,</w:t>
      </w:r>
    </w:p>
    <w:p w:rsidR="000D3C1C" w:rsidRPr="00F453BA" w:rsidP="000D3C1C">
      <w:pPr>
        <w:bidi w:val="0"/>
        <w:ind w:firstLine="567"/>
        <w:jc w:val="both"/>
        <w:rPr>
          <w:rFonts w:ascii="Times New Roman" w:hAnsi="Times New Roman"/>
        </w:rPr>
      </w:pPr>
      <w:r w:rsidRPr="00F453BA">
        <w:rPr>
          <w:rFonts w:ascii="Times New Roman" w:hAnsi="Times New Roman"/>
        </w:rPr>
        <w:t>technickej podpory v oblasti expertných úloh.</w:t>
      </w:r>
    </w:p>
    <w:p w:rsidR="000D3C1C" w:rsidRPr="00F453BA" w:rsidP="000D3C1C">
      <w:pPr>
        <w:bidi w:val="0"/>
        <w:jc w:val="both"/>
        <w:rPr>
          <w:rFonts w:ascii="Times New Roman" w:hAnsi="Times New Roman"/>
        </w:rPr>
      </w:pPr>
      <w:r w:rsidRPr="00F453BA">
        <w:rPr>
          <w:rFonts w:ascii="Times New Roman" w:hAnsi="Times New Roman"/>
        </w:rPr>
        <w:t>Toto, ako bolo uvedené, sa aj výslovne požaduje v čl.11 nariadenia komisie č.1315/2007 o dohľade nad bezpečnosťou v manažmente letovej prevádzky.</w:t>
      </w:r>
    </w:p>
    <w:p w:rsidR="000D3C1C" w:rsidRPr="00F453BA" w:rsidP="000D3C1C">
      <w:pPr>
        <w:bidi w:val="0"/>
        <w:jc w:val="both"/>
        <w:rPr>
          <w:rFonts w:ascii="Times New Roman" w:hAnsi="Times New Roman"/>
        </w:rPr>
      </w:pPr>
    </w:p>
    <w:p w:rsidR="000D3C1C" w:rsidRPr="000D3C1C" w:rsidP="000D3C1C">
      <w:pPr>
        <w:bidi w:val="0"/>
        <w:ind w:firstLine="567"/>
        <w:jc w:val="both"/>
        <w:rPr>
          <w:rFonts w:ascii="Times New Roman" w:hAnsi="Times New Roman"/>
          <w:u w:val="single"/>
        </w:rPr>
      </w:pPr>
      <w:r w:rsidRPr="000D3C1C">
        <w:rPr>
          <w:rFonts w:ascii="Times New Roman" w:hAnsi="Times New Roman"/>
          <w:u w:val="single"/>
        </w:rPr>
        <w:t>1. Súčasný stav financovania</w:t>
      </w:r>
    </w:p>
    <w:p w:rsidR="000D3C1C" w:rsidRPr="00F453BA" w:rsidP="000D3C1C">
      <w:pPr>
        <w:bidi w:val="0"/>
        <w:ind w:firstLine="567"/>
        <w:jc w:val="both"/>
        <w:rPr>
          <w:rFonts w:ascii="Times New Roman" w:hAnsi="Times New Roman"/>
        </w:rPr>
      </w:pPr>
      <w:r w:rsidRPr="00F453BA">
        <w:rPr>
          <w:rFonts w:ascii="Times New Roman" w:hAnsi="Times New Roman"/>
        </w:rPr>
        <w:t>Súčasné finančné podmienky neumožňujú v plnom rozsahu naplnenie uvedených požiadaviek najmä z nasledovných dôvodov:</w:t>
      </w:r>
    </w:p>
    <w:p w:rsidR="000D3C1C" w:rsidRPr="00F453BA" w:rsidP="000D3C1C">
      <w:pPr>
        <w:bidi w:val="0"/>
        <w:ind w:firstLine="567"/>
        <w:jc w:val="both"/>
        <w:rPr>
          <w:rFonts w:ascii="Times New Roman" w:hAnsi="Times New Roman"/>
        </w:rPr>
      </w:pPr>
    </w:p>
    <w:p w:rsidR="000D3C1C" w:rsidRPr="00F453BA" w:rsidP="000D3C1C">
      <w:pPr>
        <w:bidi w:val="0"/>
        <w:ind w:firstLine="567"/>
        <w:jc w:val="both"/>
        <w:outlineLvl w:val="0"/>
        <w:rPr>
          <w:rFonts w:ascii="Times New Roman" w:hAnsi="Times New Roman"/>
        </w:rPr>
      </w:pPr>
      <w:r w:rsidRPr="00F453BA">
        <w:rPr>
          <w:rFonts w:ascii="Times New Roman" w:hAnsi="Times New Roman"/>
        </w:rPr>
        <w:t>1.1. Mzdové podmienky</w:t>
      </w:r>
    </w:p>
    <w:p w:rsidR="000D3C1C" w:rsidRPr="00F453BA" w:rsidP="000D3C1C">
      <w:pPr>
        <w:bidi w:val="0"/>
        <w:ind w:firstLine="567"/>
        <w:jc w:val="both"/>
        <w:rPr>
          <w:rFonts w:ascii="Times New Roman" w:hAnsi="Times New Roman"/>
        </w:rPr>
      </w:pPr>
      <w:r w:rsidRPr="00F453BA">
        <w:rPr>
          <w:rFonts w:ascii="Times New Roman" w:hAnsi="Times New Roman"/>
        </w:rPr>
        <w:t xml:space="preserve">Súčasné mzdové ohodnotenie inšpektorov pre dodržiavanie bezpečnosti civilného letectva  nedosahuje ani 30% mzdového ohodnotenia zodpovedajúcich  výkonných funkcií v dozorovaných subjektoch a ani v iných organizáciách pôsobiacich v oblasti civilného letectva. Nedostatočné finančné prostriedky spôsobujú vysokú fluktuáciu zamestnancov, pričom súčasný stúpajúci trend rozvoja v civilnom letectve vedie k úniku odborne skúsených pracovníkov leteckého úradu a k možnej strate odborných kompetencií leteckého úradu. To by mohlo mať negatívny dopad na výkon dozorných činností leteckého úradu vykonávaných na základe medzinárodných noriem. </w:t>
      </w:r>
    </w:p>
    <w:p w:rsidR="000D3C1C" w:rsidRPr="00F453BA" w:rsidP="000D3C1C">
      <w:pPr>
        <w:bidi w:val="0"/>
        <w:ind w:firstLine="360"/>
        <w:jc w:val="both"/>
        <w:rPr>
          <w:rFonts w:ascii="Times New Roman" w:hAnsi="Times New Roman"/>
        </w:rPr>
      </w:pPr>
      <w:r w:rsidRPr="00F453BA">
        <w:rPr>
          <w:rFonts w:ascii="Times New Roman" w:hAnsi="Times New Roman"/>
        </w:rPr>
        <w:t xml:space="preserve">     Príprava a novelizácia osobitnej legislatívy civilného letectva, posudzovanie a hodnotenie dokumentácie leteckej techniky, kontrola súladu s požiadavkami a dodržiavanie noriem prevádzkovateľmi a užívateľmi zariadení v civilnom letectve, výkon štátneho odborného dozoru lietadiel doma a v zahraničí si vyžaduje systematický prístup, ktorý môžu zaistiť len špičkoví odborníci, majúci dostatočné skúsenosti v daných oblastiach a navyše disponujú vedomosťami v oblasti práva, dokážu efektívne komunikovať v odbornej leteckej angličtine. Vzhľadom na jazykové požiadavky a odbornosť, hľadanie záujemcov  je obmedzené a pokiaľ ide o finančné podmienky, v súčasnosti nie je možné dosiahnuť akceptovateľnú úroveň motivácie zamestnancov. </w:t>
      </w:r>
    </w:p>
    <w:p w:rsidR="000D3C1C" w:rsidRPr="00F453BA" w:rsidP="000D3C1C">
      <w:pPr>
        <w:bidi w:val="0"/>
        <w:ind w:firstLine="567"/>
        <w:jc w:val="both"/>
        <w:rPr>
          <w:rFonts w:ascii="Times New Roman" w:hAnsi="Times New Roman"/>
        </w:rPr>
      </w:pPr>
      <w:r w:rsidRPr="00F453BA">
        <w:rPr>
          <w:rFonts w:ascii="Times New Roman" w:hAnsi="Times New Roman"/>
        </w:rPr>
        <w:t xml:space="preserve">Záujem o odbornú prácu na leteckom úrade naznačuje trvalo klesajúci trend. Noví zamestnanci, ktorí prejavia záujem o zamestnanie na leteckom úrade sú väčšinou bez dostatočných odborných skúseností, alebo čerství absolventi vysokých škôl. Títo absolventi po absolvovaní odborného výcviku, často formou školení v zahraničí a jazykovej prípravy hradenej z prostriedkov štátneho rozpočtu, v krátkom čase odchádzajú na iné, atraktívnejšie miesta  k leteckým prevádzkovateľom, kde uplatnia znalosti nadobudnuté na leteckom úrade a tak opätovne vzniká problém s personálnym naplnením  odborne spôsobilých zamestnancov leteckého úradu. </w:t>
      </w:r>
    </w:p>
    <w:p w:rsidR="000D3C1C" w:rsidRPr="00F453BA" w:rsidP="000D3C1C">
      <w:pPr>
        <w:bidi w:val="0"/>
        <w:ind w:firstLine="567"/>
        <w:jc w:val="both"/>
        <w:rPr>
          <w:rFonts w:ascii="Times New Roman" w:hAnsi="Times New Roman"/>
        </w:rPr>
      </w:pPr>
      <w:r w:rsidRPr="00F453BA">
        <w:rPr>
          <w:rFonts w:ascii="Times New Roman" w:hAnsi="Times New Roman"/>
        </w:rPr>
        <w:t xml:space="preserve">Štatistické údaje naznačujú, že fluktuácia zamestnancov na leteckom úrade je veľmi vysoká. Od vzniku leteckého úradu s počtom zamestnancov 58 v roku 1998 ku koncu roku 2008  nastúpilo 202 zamestnancov a  odišlo 127  zamestnancov, pričom išlo najmä o vysoko odborné zamestnanecké miesta. Pri súčasnom stave 75 zamestnancov  túto situáciu považujeme za veľmi kritickú, pretože tento migračný proces poukazuje, že počas existencie leteckého úradu došlo v priemere k dvojnásobnej výmene každého zamestnanca, čo je najmä pre výkon činností štátneho odborného dozoru v oblasti bezpečnosti civilného letectva veľmi nežiaduci jav. Získať </w:t>
        <w:tab/>
        <w:t xml:space="preserve">kvalifikovaných expertov z oblasti civilného letectva a stabilizovať zamestnancov, najmä inšpektorov vykonávajúcich štátny odborný dozor bude možné zabezpečiť len formou dosiahnutia primeraného mzdového ohodnotenia, priblížením sa k platom dozorovaných subjektov.  </w:t>
      </w:r>
    </w:p>
    <w:p w:rsidR="000D3C1C" w:rsidRPr="00F453BA" w:rsidP="000D3C1C">
      <w:pPr>
        <w:bidi w:val="0"/>
        <w:ind w:firstLine="567"/>
        <w:jc w:val="both"/>
        <w:rPr>
          <w:rFonts w:ascii="Times New Roman" w:hAnsi="Times New Roman"/>
        </w:rPr>
      </w:pPr>
      <w:r w:rsidRPr="00F453BA">
        <w:rPr>
          <w:rFonts w:ascii="Times New Roman" w:hAnsi="Times New Roman"/>
        </w:rPr>
        <w:t>Pre porovnanie :</w:t>
      </w:r>
    </w:p>
    <w:p w:rsidR="000D3C1C" w:rsidRPr="00F453BA" w:rsidP="000D3C1C">
      <w:pPr>
        <w:bidi w:val="0"/>
        <w:jc w:val="both"/>
        <w:rPr>
          <w:rFonts w:ascii="Times New Roman" w:hAnsi="Times New Roman"/>
        </w:rPr>
      </w:pPr>
      <w:r w:rsidRPr="00F453BA">
        <w:rPr>
          <w:rFonts w:ascii="Times New Roman" w:hAnsi="Times New Roman"/>
        </w:rPr>
        <w:t>a) zamestnanec Európskej agentúry pre bezpečnosť letectva (EASA) má priemerný mesačný plat cca 4100 €</w:t>
      </w:r>
    </w:p>
    <w:p w:rsidR="000D3C1C" w:rsidRPr="00F453BA" w:rsidP="000D3C1C">
      <w:pPr>
        <w:bidi w:val="0"/>
        <w:jc w:val="both"/>
        <w:rPr>
          <w:rFonts w:ascii="Times New Roman" w:hAnsi="Times New Roman"/>
        </w:rPr>
      </w:pPr>
      <w:r w:rsidRPr="00F453BA">
        <w:rPr>
          <w:rFonts w:ascii="Times New Roman" w:hAnsi="Times New Roman"/>
        </w:rPr>
        <w:t>b) zamestnanci leteckých úradov európskej únie v oblasti štátneho odborného dozoru majú priemerný mesačný plat cca 4000 €</w:t>
      </w:r>
    </w:p>
    <w:p w:rsidR="000D3C1C" w:rsidRPr="00F453BA" w:rsidP="000D3C1C">
      <w:pPr>
        <w:bidi w:val="0"/>
        <w:jc w:val="both"/>
        <w:rPr>
          <w:rFonts w:ascii="Times New Roman" w:hAnsi="Times New Roman"/>
        </w:rPr>
      </w:pPr>
      <w:r w:rsidRPr="00F453BA">
        <w:rPr>
          <w:rFonts w:ascii="Times New Roman" w:hAnsi="Times New Roman"/>
        </w:rPr>
        <w:t>c) riadiaci letovej prevádzky v SR majú priemerný mesačný plat cca 3400,- €</w:t>
      </w:r>
    </w:p>
    <w:p w:rsidR="000D3C1C" w:rsidRPr="00F453BA" w:rsidP="000D3C1C">
      <w:pPr>
        <w:bidi w:val="0"/>
        <w:jc w:val="both"/>
        <w:rPr>
          <w:rFonts w:ascii="Times New Roman" w:hAnsi="Times New Roman"/>
        </w:rPr>
      </w:pPr>
      <w:r w:rsidRPr="00F453BA">
        <w:rPr>
          <w:rFonts w:ascii="Times New Roman" w:hAnsi="Times New Roman"/>
        </w:rPr>
        <w:t>d) piloti medzinárodnej leteckej dopravy majú priemerný mesačný plat cca 5000,- až 6000 €.</w:t>
      </w:r>
    </w:p>
    <w:p w:rsidR="000D3C1C" w:rsidRPr="00F453BA" w:rsidP="000D3C1C">
      <w:pPr>
        <w:bidi w:val="0"/>
        <w:jc w:val="both"/>
        <w:rPr>
          <w:rFonts w:ascii="Times New Roman" w:hAnsi="Times New Roman"/>
        </w:rPr>
      </w:pPr>
      <w:r w:rsidRPr="00F453BA">
        <w:rPr>
          <w:rFonts w:ascii="Times New Roman" w:hAnsi="Times New Roman"/>
        </w:rPr>
        <w:t>e) inšpektor leteckého úradu SR má priemerný mesačný príjem cca 916,4 €</w:t>
      </w:r>
    </w:p>
    <w:p w:rsidR="000D3C1C" w:rsidRPr="00F453BA" w:rsidP="000D3C1C">
      <w:pPr>
        <w:bidi w:val="0"/>
        <w:jc w:val="both"/>
        <w:rPr>
          <w:rFonts w:ascii="Times New Roman" w:hAnsi="Times New Roman"/>
        </w:rPr>
      </w:pPr>
      <w:r w:rsidRPr="00F453BA">
        <w:rPr>
          <w:rFonts w:ascii="Times New Roman" w:hAnsi="Times New Roman"/>
        </w:rPr>
        <w:t>Štátnemu odbornému dozoru podliehajú najmä :</w:t>
      </w:r>
    </w:p>
    <w:p w:rsidR="000D3C1C" w:rsidRPr="00F453BA" w:rsidP="000D3C1C">
      <w:pPr>
        <w:bidi w:val="0"/>
        <w:jc w:val="both"/>
        <w:rPr>
          <w:rFonts w:ascii="Times New Roman" w:hAnsi="Times New Roman"/>
        </w:rPr>
      </w:pPr>
      <w:r w:rsidRPr="00F453BA">
        <w:rPr>
          <w:rFonts w:ascii="Times New Roman" w:hAnsi="Times New Roman"/>
        </w:rPr>
        <w:t>a) výrobky leteckej techniky, letiská, letecké pozemné zariadenia, stavby v územných obvodoch a ochranných pásmach letísk i mimo nich a letecké prekážkové značenie (špeciálny stavebný úrad),</w:t>
      </w:r>
    </w:p>
    <w:p w:rsidR="000D3C1C" w:rsidRPr="00F453BA" w:rsidP="000D3C1C">
      <w:pPr>
        <w:bidi w:val="0"/>
        <w:jc w:val="both"/>
        <w:rPr>
          <w:rFonts w:ascii="Times New Roman" w:hAnsi="Times New Roman"/>
        </w:rPr>
      </w:pPr>
      <w:r w:rsidRPr="00F453BA">
        <w:rPr>
          <w:rFonts w:ascii="Times New Roman" w:hAnsi="Times New Roman"/>
        </w:rPr>
        <w:t xml:space="preserve">b) leteckí prevádzkovatelia, leteckí dopravcovia, vykonávatelia leteckých prác a jednotliví prevádzkovatelia lietadiel (ak sú vedení v registri lietadiel SR a lietadlá alebo sídla sú v zahraničí , inšpekcia sa vykonáva na príslušnom letisku v zahraničí alebo v sídle spoločnosti v zahraničí),  </w:t>
      </w:r>
    </w:p>
    <w:p w:rsidR="000D3C1C" w:rsidRPr="00F453BA" w:rsidP="000D3C1C">
      <w:pPr>
        <w:bidi w:val="0"/>
        <w:jc w:val="both"/>
        <w:rPr>
          <w:rFonts w:ascii="Times New Roman" w:hAnsi="Times New Roman"/>
        </w:rPr>
      </w:pPr>
      <w:r w:rsidRPr="00F453BA">
        <w:rPr>
          <w:rFonts w:ascii="Times New Roman" w:hAnsi="Times New Roman"/>
        </w:rPr>
        <w:t xml:space="preserve">c) organizácie vykonávajúce vývoj a výrobu výrobkov leteckej techniky, </w:t>
      </w:r>
    </w:p>
    <w:p w:rsidR="000D3C1C" w:rsidRPr="00F453BA" w:rsidP="000D3C1C">
      <w:pPr>
        <w:bidi w:val="0"/>
        <w:jc w:val="both"/>
        <w:rPr>
          <w:rFonts w:ascii="Times New Roman" w:hAnsi="Times New Roman"/>
        </w:rPr>
      </w:pPr>
      <w:r w:rsidRPr="00F453BA">
        <w:rPr>
          <w:rFonts w:ascii="Times New Roman" w:hAnsi="Times New Roman"/>
        </w:rPr>
        <w:t xml:space="preserve">d) organizácie vykonávajúce práce na zachovanie spôsobilosti výrobkov leteckej techniky, </w:t>
      </w:r>
    </w:p>
    <w:p w:rsidR="000D3C1C" w:rsidRPr="00F453BA" w:rsidP="000D3C1C">
      <w:pPr>
        <w:bidi w:val="0"/>
        <w:jc w:val="both"/>
        <w:rPr>
          <w:rFonts w:ascii="Times New Roman" w:hAnsi="Times New Roman"/>
        </w:rPr>
      </w:pPr>
      <w:r w:rsidRPr="00F453BA">
        <w:rPr>
          <w:rFonts w:ascii="Times New Roman" w:hAnsi="Times New Roman"/>
        </w:rPr>
        <w:t xml:space="preserve">e) letecký personál, ktorého pôsobnosť je podmienená príslušným osvedčením, resp. licenciou, </w:t>
      </w:r>
    </w:p>
    <w:p w:rsidR="000D3C1C" w:rsidRPr="00F453BA" w:rsidP="000D3C1C">
      <w:pPr>
        <w:bidi w:val="0"/>
        <w:jc w:val="both"/>
        <w:rPr>
          <w:rFonts w:ascii="Times New Roman" w:hAnsi="Times New Roman"/>
        </w:rPr>
      </w:pPr>
      <w:r w:rsidRPr="00F453BA">
        <w:rPr>
          <w:rFonts w:ascii="Times New Roman" w:hAnsi="Times New Roman"/>
        </w:rPr>
        <w:t xml:space="preserve">f) letecké školy a registrované zariadenia, </w:t>
      </w:r>
    </w:p>
    <w:p w:rsidR="000D3C1C" w:rsidRPr="00F453BA" w:rsidP="000D3C1C">
      <w:pPr>
        <w:bidi w:val="0"/>
        <w:jc w:val="both"/>
        <w:rPr>
          <w:rFonts w:ascii="Times New Roman" w:hAnsi="Times New Roman"/>
        </w:rPr>
      </w:pPr>
      <w:r w:rsidRPr="00F453BA">
        <w:rPr>
          <w:rFonts w:ascii="Times New Roman" w:hAnsi="Times New Roman"/>
        </w:rPr>
        <w:t xml:space="preserve">g) poskytovatelia leteckých navigačných služieb, pátrania a záchrany, </w:t>
      </w:r>
    </w:p>
    <w:p w:rsidR="000D3C1C" w:rsidRPr="00F453BA" w:rsidP="000D3C1C">
      <w:pPr>
        <w:bidi w:val="0"/>
        <w:jc w:val="both"/>
        <w:rPr>
          <w:rFonts w:ascii="Times New Roman" w:hAnsi="Times New Roman"/>
        </w:rPr>
      </w:pPr>
      <w:r w:rsidRPr="00F453BA">
        <w:rPr>
          <w:rFonts w:ascii="Times New Roman" w:hAnsi="Times New Roman"/>
        </w:rPr>
        <w:t xml:space="preserve">h) prevádzkovatelia letísk a leteckých pozemných zariadení, </w:t>
      </w:r>
    </w:p>
    <w:p w:rsidR="000D3C1C" w:rsidRPr="00F453BA" w:rsidP="000D3C1C">
      <w:pPr>
        <w:bidi w:val="0"/>
        <w:jc w:val="both"/>
        <w:rPr>
          <w:rFonts w:ascii="Times New Roman" w:hAnsi="Times New Roman"/>
        </w:rPr>
      </w:pPr>
      <w:r w:rsidRPr="00F453BA">
        <w:rPr>
          <w:rFonts w:ascii="Times New Roman" w:hAnsi="Times New Roman"/>
        </w:rPr>
        <w:t xml:space="preserve">i) poverené osoby a organizácie, </w:t>
      </w:r>
    </w:p>
    <w:p w:rsidR="000D3C1C" w:rsidRPr="00F453BA" w:rsidP="000D3C1C">
      <w:pPr>
        <w:bidi w:val="0"/>
        <w:jc w:val="both"/>
        <w:rPr>
          <w:rFonts w:ascii="Times New Roman" w:hAnsi="Times New Roman"/>
        </w:rPr>
      </w:pPr>
      <w:r w:rsidRPr="00F453BA">
        <w:rPr>
          <w:rFonts w:ascii="Times New Roman" w:hAnsi="Times New Roman"/>
        </w:rPr>
        <w:t xml:space="preserve">j) držitelia povolenia na iné podnikanie v civilnom letectve podľa osobitného predpisu, </w:t>
      </w:r>
      <w:r w:rsidRPr="000D3C1C">
        <w:rPr>
          <w:rFonts w:ascii="Times New Roman" w:hAnsi="Times New Roman"/>
          <w:position w:val="10"/>
          <w:vertAlign w:val="superscript"/>
        </w:rPr>
        <w:t xml:space="preserve"> </w:t>
      </w:r>
    </w:p>
    <w:p w:rsidR="000D3C1C" w:rsidRPr="00F453BA" w:rsidP="000D3C1C">
      <w:pPr>
        <w:bidi w:val="0"/>
        <w:jc w:val="both"/>
        <w:rPr>
          <w:rFonts w:ascii="Times New Roman" w:hAnsi="Times New Roman"/>
        </w:rPr>
      </w:pPr>
      <w:r w:rsidRPr="00F453BA">
        <w:rPr>
          <w:rFonts w:ascii="Times New Roman" w:hAnsi="Times New Roman"/>
        </w:rPr>
        <w:t xml:space="preserve">k) akreditované výcvikové centrá bezpečnostnej ochrany v civilnom letectve. </w:t>
      </w:r>
    </w:p>
    <w:p w:rsidR="000D3C1C" w:rsidRPr="00F453BA" w:rsidP="000D3C1C">
      <w:pPr>
        <w:bidi w:val="0"/>
        <w:jc w:val="both"/>
        <w:rPr>
          <w:rFonts w:ascii="Times New Roman" w:hAnsi="Times New Roman"/>
        </w:rPr>
      </w:pPr>
    </w:p>
    <w:p w:rsidR="000D3C1C" w:rsidRPr="00F453BA" w:rsidP="000D3C1C">
      <w:pPr>
        <w:bidi w:val="0"/>
        <w:ind w:firstLine="567"/>
        <w:jc w:val="both"/>
        <w:outlineLvl w:val="0"/>
        <w:rPr>
          <w:rFonts w:ascii="Times New Roman" w:hAnsi="Times New Roman"/>
        </w:rPr>
      </w:pPr>
      <w:r w:rsidRPr="00F453BA">
        <w:rPr>
          <w:rFonts w:ascii="Times New Roman" w:hAnsi="Times New Roman"/>
        </w:rPr>
        <w:t>1.2. Model alternatívneho financovania</w:t>
      </w:r>
    </w:p>
    <w:p w:rsidR="000D3C1C" w:rsidRPr="00F453BA" w:rsidP="000D3C1C">
      <w:pPr>
        <w:bidi w:val="0"/>
        <w:ind w:firstLine="567"/>
        <w:jc w:val="both"/>
        <w:rPr>
          <w:rFonts w:ascii="Times New Roman" w:hAnsi="Times New Roman"/>
        </w:rPr>
      </w:pPr>
      <w:r w:rsidRPr="00F453BA">
        <w:rPr>
          <w:rFonts w:ascii="Times New Roman" w:hAnsi="Times New Roman"/>
        </w:rPr>
        <w:tab/>
        <w:t xml:space="preserve">Základným princípom navrhovanej zmeny financovania je zabezpečenie dostatočných finančných zdrojov transparentným spôsobom pre výkon dozorných činností leteckého úradu, ktorého cieľom je: </w:t>
      </w:r>
    </w:p>
    <w:p w:rsidR="000D3C1C" w:rsidRPr="00F453BA" w:rsidP="000D3C1C">
      <w:pPr>
        <w:tabs>
          <w:tab w:val="left" w:pos="900"/>
          <w:tab w:val="left" w:pos="1260"/>
        </w:tabs>
        <w:bidi w:val="0"/>
        <w:ind w:firstLine="567"/>
        <w:jc w:val="both"/>
        <w:rPr>
          <w:rFonts w:ascii="Times New Roman" w:hAnsi="Times New Roman"/>
        </w:rPr>
      </w:pPr>
      <w:r w:rsidRPr="00F453BA">
        <w:rPr>
          <w:rFonts w:ascii="Times New Roman" w:hAnsi="Times New Roman"/>
        </w:rPr>
        <w:t>a)</w:t>
        <w:tab/>
        <w:t>zabezpečiť dodatočné finančné prostriedky na výkon dozorných činností nad bezpečnosťou civilného letectva,</w:t>
      </w:r>
    </w:p>
    <w:p w:rsidR="000D3C1C" w:rsidRPr="00F453BA" w:rsidP="000D3C1C">
      <w:pPr>
        <w:tabs>
          <w:tab w:val="left" w:pos="900"/>
        </w:tabs>
        <w:bidi w:val="0"/>
        <w:ind w:firstLine="567"/>
        <w:jc w:val="both"/>
        <w:rPr>
          <w:rFonts w:ascii="Times New Roman" w:hAnsi="Times New Roman"/>
        </w:rPr>
      </w:pPr>
      <w:r w:rsidRPr="00F453BA">
        <w:rPr>
          <w:rFonts w:ascii="Times New Roman" w:hAnsi="Times New Roman"/>
        </w:rPr>
        <w:t>b)</w:t>
        <w:tab/>
        <w:t>zabezpečenie dodatočných prostriedkov na udržanie odbornej kvalifikácie zamestnancov leteckého úradu a ich stabilizáciu,</w:t>
      </w:r>
    </w:p>
    <w:p w:rsidR="000D3C1C" w:rsidRPr="00F453BA" w:rsidP="000D3C1C">
      <w:pPr>
        <w:tabs>
          <w:tab w:val="left" w:pos="900"/>
        </w:tabs>
        <w:bidi w:val="0"/>
        <w:ind w:firstLine="567"/>
        <w:jc w:val="both"/>
        <w:rPr>
          <w:rFonts w:ascii="Times New Roman" w:hAnsi="Times New Roman"/>
        </w:rPr>
      </w:pPr>
      <w:r w:rsidRPr="00F453BA">
        <w:rPr>
          <w:rFonts w:ascii="Times New Roman" w:hAnsi="Times New Roman"/>
        </w:rPr>
        <w:t>c)</w:t>
        <w:tab/>
        <w:t>čiastočné zníženie celkových nárokov na štátny rozpočet získaním iných vonkajších zdrojov,</w:t>
      </w:r>
    </w:p>
    <w:p w:rsidR="000D3C1C" w:rsidRPr="00F453BA" w:rsidP="000D3C1C">
      <w:pPr>
        <w:tabs>
          <w:tab w:val="left" w:pos="900"/>
        </w:tabs>
        <w:bidi w:val="0"/>
        <w:ind w:firstLine="567"/>
        <w:jc w:val="both"/>
        <w:rPr>
          <w:rFonts w:ascii="Times New Roman" w:hAnsi="Times New Roman"/>
        </w:rPr>
      </w:pPr>
      <w:r w:rsidRPr="00F453BA">
        <w:rPr>
          <w:rFonts w:ascii="Times New Roman" w:hAnsi="Times New Roman"/>
        </w:rPr>
        <w:t>d)</w:t>
        <w:tab/>
        <w:t>optimalizácia počtu pracovných miest (v súlade s medzinárodnými odporúčaniami)</w:t>
      </w:r>
    </w:p>
    <w:p w:rsidR="000D3C1C" w:rsidRPr="00F453BA" w:rsidP="000D3C1C">
      <w:pPr>
        <w:tabs>
          <w:tab w:val="left" w:pos="900"/>
        </w:tabs>
        <w:bidi w:val="0"/>
        <w:ind w:firstLine="567"/>
        <w:jc w:val="both"/>
        <w:rPr>
          <w:rFonts w:ascii="Times New Roman" w:hAnsi="Times New Roman"/>
        </w:rPr>
      </w:pPr>
    </w:p>
    <w:p w:rsidR="000D3C1C" w:rsidRPr="000D3C1C" w:rsidP="000D3C1C">
      <w:pPr>
        <w:bidi w:val="0"/>
        <w:ind w:firstLine="567"/>
        <w:jc w:val="both"/>
        <w:rPr>
          <w:rFonts w:ascii="Times New Roman" w:hAnsi="Times New Roman"/>
          <w:u w:val="single"/>
        </w:rPr>
      </w:pPr>
      <w:r w:rsidRPr="000D3C1C">
        <w:rPr>
          <w:rFonts w:ascii="Times New Roman" w:hAnsi="Times New Roman"/>
          <w:u w:val="single"/>
        </w:rPr>
        <w:t>2.  Odhad celkovej výšky rozpočtu</w:t>
      </w:r>
    </w:p>
    <w:p w:rsidR="000D3C1C" w:rsidRPr="000D3C1C" w:rsidP="000D3C1C">
      <w:pPr>
        <w:bidi w:val="0"/>
        <w:ind w:firstLine="567"/>
        <w:jc w:val="both"/>
        <w:rPr>
          <w:rFonts w:ascii="Times New Roman" w:hAnsi="Times New Roman"/>
          <w:u w:val="single"/>
        </w:rPr>
      </w:pPr>
    </w:p>
    <w:p w:rsidR="000D3C1C" w:rsidRPr="00F453BA" w:rsidP="000D3C1C">
      <w:pPr>
        <w:bidi w:val="0"/>
        <w:ind w:firstLine="567"/>
        <w:jc w:val="both"/>
        <w:rPr>
          <w:rFonts w:ascii="Times New Roman" w:hAnsi="Times New Roman"/>
        </w:rPr>
      </w:pPr>
      <w:r w:rsidRPr="00F453BA">
        <w:rPr>
          <w:rFonts w:ascii="Times New Roman" w:hAnsi="Times New Roman"/>
        </w:rPr>
        <w:t>2.1. Príjmová časť</w:t>
      </w:r>
    </w:p>
    <w:p w:rsidR="000D3C1C" w:rsidRPr="000D3C1C" w:rsidP="000D3C1C">
      <w:pPr>
        <w:bidi w:val="0"/>
        <w:jc w:val="center"/>
        <w:outlineLvl w:val="0"/>
        <w:rPr>
          <w:rFonts w:ascii="Times New Roman" w:hAnsi="Times New Roman"/>
          <w:b/>
        </w:rPr>
      </w:pPr>
      <w:r w:rsidRPr="000D3C1C">
        <w:rPr>
          <w:rFonts w:ascii="Times New Roman" w:hAnsi="Times New Roman"/>
          <w:b/>
        </w:rPr>
        <w:t>Predpokladaný prínos pre štátny rozpočet v porovnaní s rokom 2008</w:t>
      </w:r>
    </w:p>
    <w:p w:rsidR="000D3C1C" w:rsidRPr="000D3C1C" w:rsidP="000D3C1C">
      <w:pPr>
        <w:tabs>
          <w:tab w:val="left" w:pos="708"/>
          <w:tab w:val="left" w:pos="1416"/>
          <w:tab w:val="left" w:pos="6570"/>
        </w:tabs>
        <w:bidi w:val="0"/>
        <w:jc w:val="both"/>
        <w:rPr>
          <w:rFonts w:ascii="Times New Roman" w:hAnsi="Times New Roman"/>
          <w:sz w:val="20"/>
          <w:szCs w:val="20"/>
        </w:rPr>
      </w:pPr>
      <w:r w:rsidRPr="000D3C1C">
        <w:rPr>
          <w:rFonts w:ascii="Times New Roman" w:hAnsi="Times New Roman"/>
          <w:sz w:val="20"/>
          <w:szCs w:val="20"/>
        </w:rPr>
        <w:t xml:space="preserve"> (tabuľka č. 1)</w:t>
        <w:tab/>
        <w:t xml:space="preserve">                                                                                                                                               (€)</w:t>
      </w:r>
    </w:p>
    <w:tbl>
      <w:tblPr>
        <w:tblStyle w:val="TableGrid"/>
        <w:tblW w:w="9606" w:type="dxa"/>
        <w:jc w:val="center"/>
        <w:tblInd w:w="331" w:type="dxa"/>
        <w:tblBorders>
          <w:top w:val="single" w:sz="18" w:space="0" w:color="auto"/>
          <w:left w:val="single" w:sz="18" w:space="0" w:color="auto"/>
          <w:bottom w:val="single" w:sz="18" w:space="0" w:color="auto"/>
          <w:right w:val="single" w:sz="18" w:space="0" w:color="auto"/>
        </w:tblBorders>
        <w:tblLayout w:type="fixed"/>
        <w:tblLook w:val="01E0"/>
      </w:tblPr>
      <w:tblGrid>
        <w:gridCol w:w="3886"/>
        <w:gridCol w:w="1285"/>
        <w:gridCol w:w="1286"/>
        <w:gridCol w:w="1049"/>
        <w:gridCol w:w="1050"/>
        <w:gridCol w:w="1050"/>
      </w:tblGrid>
      <w:tr>
        <w:tblPrEx>
          <w:tblW w:w="9606" w:type="dxa"/>
          <w:jc w:val="center"/>
          <w:tblInd w:w="331" w:type="dxa"/>
          <w:tblBorders>
            <w:top w:val="single" w:sz="18" w:space="0" w:color="auto"/>
            <w:left w:val="single" w:sz="18" w:space="0" w:color="auto"/>
            <w:bottom w:val="single" w:sz="18" w:space="0" w:color="auto"/>
            <w:right w:val="single" w:sz="18" w:space="0" w:color="auto"/>
          </w:tblBorders>
          <w:tblLayout w:type="fixed"/>
          <w:tblLook w:val="01E0"/>
        </w:tblPrEx>
        <w:trPr>
          <w:jc w:val="center"/>
        </w:trPr>
        <w:tc>
          <w:tcPr>
            <w:tcW w:w="3886" w:type="dxa"/>
            <w:tcBorders>
              <w:top w:val="single" w:sz="18" w:space="0" w:color="auto"/>
              <w:left w:val="single" w:sz="18" w:space="0" w:color="auto"/>
              <w:bottom w:val="double" w:sz="4" w:space="0" w:color="auto"/>
              <w:right w:val="single" w:sz="4"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Ukazovateľ</w:t>
            </w:r>
          </w:p>
        </w:tc>
        <w:tc>
          <w:tcPr>
            <w:tcW w:w="1285" w:type="dxa"/>
            <w:tcBorders>
              <w:top w:val="single" w:sz="18" w:space="0" w:color="auto"/>
              <w:left w:val="single" w:sz="4" w:space="0" w:color="auto"/>
              <w:bottom w:val="double" w:sz="4" w:space="0" w:color="auto"/>
              <w:right w:val="single" w:sz="4"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2008</w:t>
            </w:r>
          </w:p>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Skutočnosť</w:t>
            </w:r>
            <w:r w:rsidRPr="000D3C1C">
              <w:rPr>
                <w:rFonts w:ascii="Times New Roman" w:hAnsi="Times New Roman"/>
                <w:sz w:val="20"/>
                <w:szCs w:val="20"/>
              </w:rPr>
              <w:t xml:space="preserve">                                       </w:t>
            </w:r>
          </w:p>
        </w:tc>
        <w:tc>
          <w:tcPr>
            <w:tcW w:w="1286" w:type="dxa"/>
            <w:tcBorders>
              <w:top w:val="single" w:sz="18" w:space="0" w:color="auto"/>
              <w:left w:val="single" w:sz="4" w:space="0" w:color="auto"/>
              <w:bottom w:val="double" w:sz="4" w:space="0" w:color="auto"/>
              <w:right w:val="single" w:sz="4"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2009*</w:t>
            </w:r>
          </w:p>
          <w:p w:rsidR="000D3C1C" w:rsidRPr="000D3C1C" w:rsidP="000D3C1C">
            <w:pPr>
              <w:bidi w:val="0"/>
              <w:jc w:val="center"/>
              <w:rPr>
                <w:rFonts w:ascii="Times New Roman" w:hAnsi="Times New Roman"/>
                <w:b/>
                <w:sz w:val="20"/>
                <w:szCs w:val="20"/>
              </w:rPr>
            </w:pPr>
            <w:r w:rsidRPr="000D3C1C">
              <w:rPr>
                <w:rFonts w:ascii="Times New Roman" w:hAnsi="Times New Roman"/>
                <w:sz w:val="20"/>
                <w:szCs w:val="20"/>
              </w:rPr>
              <w:t xml:space="preserve">+                                    </w:t>
            </w:r>
          </w:p>
        </w:tc>
        <w:tc>
          <w:tcPr>
            <w:tcW w:w="1049" w:type="dxa"/>
            <w:tcBorders>
              <w:top w:val="single" w:sz="18" w:space="0" w:color="auto"/>
              <w:left w:val="single" w:sz="4" w:space="0" w:color="auto"/>
              <w:bottom w:val="double" w:sz="4" w:space="0" w:color="auto"/>
              <w:right w:val="single" w:sz="4"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2010</w:t>
            </w:r>
          </w:p>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w:t>
            </w:r>
            <w:r w:rsidRPr="000D3C1C">
              <w:rPr>
                <w:rFonts w:ascii="Times New Roman" w:hAnsi="Times New Roman"/>
                <w:sz w:val="20"/>
                <w:szCs w:val="20"/>
              </w:rPr>
              <w:t xml:space="preserve">                                           </w:t>
            </w:r>
          </w:p>
        </w:tc>
        <w:tc>
          <w:tcPr>
            <w:tcW w:w="1050" w:type="dxa"/>
            <w:tcBorders>
              <w:top w:val="single" w:sz="18" w:space="0" w:color="auto"/>
              <w:left w:val="single" w:sz="4" w:space="0" w:color="auto"/>
              <w:bottom w:val="double" w:sz="4" w:space="0" w:color="auto"/>
              <w:right w:val="single" w:sz="4"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2011</w:t>
            </w:r>
          </w:p>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w:t>
            </w:r>
            <w:r w:rsidRPr="000D3C1C">
              <w:rPr>
                <w:rFonts w:ascii="Times New Roman" w:hAnsi="Times New Roman"/>
                <w:sz w:val="20"/>
                <w:szCs w:val="20"/>
              </w:rPr>
              <w:t xml:space="preserve">                                         </w:t>
            </w:r>
          </w:p>
        </w:tc>
        <w:tc>
          <w:tcPr>
            <w:tcW w:w="1050" w:type="dxa"/>
            <w:tcBorders>
              <w:top w:val="single" w:sz="18" w:space="0" w:color="auto"/>
              <w:left w:val="single" w:sz="4" w:space="0" w:color="auto"/>
              <w:bottom w:val="double" w:sz="4" w:space="0" w:color="auto"/>
              <w:right w:val="single" w:sz="18"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2012</w:t>
            </w:r>
          </w:p>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w:t>
            </w:r>
            <w:r w:rsidRPr="000D3C1C">
              <w:rPr>
                <w:rFonts w:ascii="Times New Roman" w:hAnsi="Times New Roman"/>
                <w:sz w:val="20"/>
                <w:szCs w:val="20"/>
              </w:rPr>
              <w:t xml:space="preserve">                                      </w:t>
            </w:r>
          </w:p>
        </w:tc>
      </w:tr>
      <w:tr>
        <w:tblPrEx>
          <w:tblW w:w="9606" w:type="dxa"/>
          <w:jc w:val="center"/>
          <w:tblInd w:w="331" w:type="dxa"/>
          <w:tblLayout w:type="fixed"/>
          <w:tblLook w:val="01E0"/>
        </w:tblPrEx>
        <w:trPr>
          <w:jc w:val="center"/>
        </w:trPr>
        <w:tc>
          <w:tcPr>
            <w:tcW w:w="3886" w:type="dxa"/>
            <w:tcBorders>
              <w:top w:val="single" w:sz="4" w:space="0" w:color="auto"/>
              <w:left w:val="single" w:sz="18"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b/>
                <w:sz w:val="20"/>
                <w:szCs w:val="20"/>
              </w:rPr>
            </w:pPr>
            <w:r w:rsidRPr="000D3C1C">
              <w:rPr>
                <w:rFonts w:ascii="Times New Roman" w:hAnsi="Times New Roman"/>
                <w:b/>
                <w:sz w:val="20"/>
                <w:szCs w:val="20"/>
              </w:rPr>
              <w:t>Príjmy, ktoré sú príjmom kapitoly VPS:</w:t>
            </w:r>
          </w:p>
        </w:tc>
        <w:tc>
          <w:tcPr>
            <w:tcW w:w="1285" w:type="dxa"/>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553 874</w:t>
            </w:r>
          </w:p>
        </w:tc>
        <w:tc>
          <w:tcPr>
            <w:tcW w:w="1286" w:type="dxa"/>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38 849</w:t>
            </w:r>
          </w:p>
        </w:tc>
        <w:tc>
          <w:tcPr>
            <w:tcW w:w="1049" w:type="dxa"/>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51 849</w:t>
            </w:r>
          </w:p>
        </w:tc>
        <w:tc>
          <w:tcPr>
            <w:tcW w:w="1050" w:type="dxa"/>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62 849</w:t>
            </w:r>
          </w:p>
        </w:tc>
        <w:tc>
          <w:tcPr>
            <w:tcW w:w="1050" w:type="dxa"/>
            <w:tcBorders>
              <w:top w:val="single" w:sz="4" w:space="0" w:color="auto"/>
              <w:left w:val="single" w:sz="4" w:space="0" w:color="auto"/>
              <w:bottom w:val="single" w:sz="4" w:space="0" w:color="auto"/>
              <w:right w:val="single" w:sz="18" w:space="0" w:color="auto"/>
            </w:tcBorders>
            <w:textDirection w:val="lrTb"/>
            <w:vAlign w:val="top"/>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81 849</w:t>
            </w:r>
          </w:p>
        </w:tc>
      </w:tr>
      <w:tr>
        <w:tblPrEx>
          <w:tblW w:w="9606" w:type="dxa"/>
          <w:jc w:val="center"/>
          <w:tblInd w:w="331" w:type="dxa"/>
          <w:tblLayout w:type="fixed"/>
          <w:tblLook w:val="01E0"/>
        </w:tblPrEx>
        <w:trPr>
          <w:jc w:val="center"/>
        </w:trPr>
        <w:tc>
          <w:tcPr>
            <w:tcW w:w="3886" w:type="dxa"/>
            <w:tcBorders>
              <w:top w:val="single" w:sz="4" w:space="0" w:color="auto"/>
              <w:left w:val="single" w:sz="18"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sz w:val="20"/>
                <w:szCs w:val="20"/>
              </w:rPr>
            </w:pPr>
            <w:r w:rsidRPr="000D3C1C">
              <w:rPr>
                <w:rFonts w:ascii="Times New Roman" w:hAnsi="Times New Roman"/>
                <w:sz w:val="20"/>
                <w:szCs w:val="20"/>
              </w:rPr>
              <w:t>z toho:</w:t>
            </w:r>
          </w:p>
        </w:tc>
        <w:tc>
          <w:tcPr>
            <w:tcW w:w="1285" w:type="dxa"/>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sz w:val="20"/>
                <w:szCs w:val="20"/>
              </w:rPr>
            </w:pPr>
          </w:p>
        </w:tc>
        <w:tc>
          <w:tcPr>
            <w:tcW w:w="1286" w:type="dxa"/>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sz w:val="20"/>
                <w:szCs w:val="20"/>
              </w:rPr>
            </w:pPr>
          </w:p>
        </w:tc>
        <w:tc>
          <w:tcPr>
            <w:tcW w:w="1049" w:type="dxa"/>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sz w:val="20"/>
                <w:szCs w:val="20"/>
              </w:rPr>
            </w:pPr>
          </w:p>
        </w:tc>
        <w:tc>
          <w:tcPr>
            <w:tcW w:w="1050" w:type="dxa"/>
            <w:tcBorders>
              <w:top w:val="single" w:sz="4" w:space="0" w:color="auto"/>
              <w:left w:val="single" w:sz="4" w:space="0" w:color="auto"/>
              <w:bottom w:val="single" w:sz="4" w:space="0" w:color="auto"/>
              <w:right w:val="single" w:sz="18" w:space="0" w:color="auto"/>
            </w:tcBorders>
            <w:textDirection w:val="lrTb"/>
            <w:vAlign w:val="top"/>
          </w:tcPr>
          <w:p w:rsidR="000D3C1C" w:rsidRPr="000D3C1C" w:rsidP="000D3C1C">
            <w:pPr>
              <w:bidi w:val="0"/>
              <w:jc w:val="right"/>
              <w:rPr>
                <w:rFonts w:ascii="Times New Roman" w:hAnsi="Times New Roman"/>
                <w:sz w:val="20"/>
                <w:szCs w:val="20"/>
              </w:rPr>
            </w:pPr>
          </w:p>
        </w:tc>
      </w:tr>
      <w:tr>
        <w:tblPrEx>
          <w:tblW w:w="9606" w:type="dxa"/>
          <w:jc w:val="center"/>
          <w:tblInd w:w="331" w:type="dxa"/>
          <w:tblLayout w:type="fixed"/>
          <w:tblLook w:val="01E0"/>
        </w:tblPrEx>
        <w:trPr>
          <w:jc w:val="center"/>
        </w:trPr>
        <w:tc>
          <w:tcPr>
            <w:tcW w:w="3886" w:type="dxa"/>
            <w:tcBorders>
              <w:top w:val="single" w:sz="4" w:space="0" w:color="auto"/>
              <w:left w:val="single" w:sz="18"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sz w:val="20"/>
                <w:szCs w:val="20"/>
              </w:rPr>
            </w:pPr>
            <w:r w:rsidRPr="000D3C1C">
              <w:rPr>
                <w:rFonts w:ascii="Times New Roman" w:hAnsi="Times New Roman"/>
                <w:sz w:val="20"/>
                <w:szCs w:val="20"/>
              </w:rPr>
              <w:t>- príjmy z poplatkov na základe zákona</w:t>
            </w:r>
          </w:p>
          <w:p w:rsidR="000D3C1C" w:rsidRPr="000D3C1C" w:rsidP="000D3C1C">
            <w:pPr>
              <w:bidi w:val="0"/>
              <w:jc w:val="both"/>
              <w:rPr>
                <w:rFonts w:ascii="Times New Roman" w:hAnsi="Times New Roman"/>
                <w:sz w:val="20"/>
                <w:szCs w:val="20"/>
              </w:rPr>
            </w:pPr>
            <w:r w:rsidRPr="000D3C1C">
              <w:rPr>
                <w:rFonts w:ascii="Times New Roman" w:hAnsi="Times New Roman"/>
                <w:sz w:val="20"/>
                <w:szCs w:val="20"/>
              </w:rPr>
              <w:t xml:space="preserve">  o správnych poplatkoch</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46 471</w:t>
            </w:r>
          </w:p>
        </w:tc>
        <w:tc>
          <w:tcPr>
            <w:tcW w:w="1286" w:type="dxa"/>
            <w:tcBorders>
              <w:top w:val="single" w:sz="4" w:space="0" w:color="auto"/>
              <w:left w:val="single" w:sz="4" w:space="0" w:color="auto"/>
              <w:bottom w:val="single" w:sz="4" w:space="0" w:color="auto"/>
              <w:right w:val="single" w:sz="4" w:space="0" w:color="auto"/>
            </w:tcBorders>
            <w:textDirection w:val="lrTb"/>
            <w:vAlign w:val="center"/>
          </w:tcPr>
          <w:p w:rsidR="000D3C1C" w:rsidRPr="00F453BA" w:rsidP="000D3C1C">
            <w:pPr>
              <w:bidi w:val="0"/>
              <w:jc w:val="right"/>
              <w:rPr>
                <w:rFonts w:ascii="Times New Roman" w:hAnsi="Times New Roman"/>
              </w:rPr>
            </w:pPr>
            <w:r w:rsidRPr="000D3C1C">
              <w:rPr>
                <w:rFonts w:ascii="Times New Roman" w:hAnsi="Times New Roman"/>
                <w:sz w:val="20"/>
                <w:szCs w:val="20"/>
              </w:rPr>
              <w:t>3 529</w:t>
            </w:r>
          </w:p>
        </w:tc>
        <w:tc>
          <w:tcPr>
            <w:tcW w:w="1049"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13 529</w:t>
            </w:r>
          </w:p>
        </w:tc>
        <w:tc>
          <w:tcPr>
            <w:tcW w:w="1050"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19 529</w:t>
            </w:r>
          </w:p>
        </w:tc>
        <w:tc>
          <w:tcPr>
            <w:tcW w:w="1050" w:type="dxa"/>
            <w:tcBorders>
              <w:top w:val="single" w:sz="4" w:space="0" w:color="auto"/>
              <w:left w:val="single" w:sz="4" w:space="0" w:color="auto"/>
              <w:bottom w:val="single" w:sz="4" w:space="0" w:color="auto"/>
              <w:right w:val="single" w:sz="18"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28 529</w:t>
            </w:r>
          </w:p>
        </w:tc>
      </w:tr>
      <w:tr>
        <w:tblPrEx>
          <w:tblW w:w="9606" w:type="dxa"/>
          <w:jc w:val="center"/>
          <w:tblInd w:w="331" w:type="dxa"/>
          <w:tblLayout w:type="fixed"/>
          <w:tblLook w:val="01E0"/>
        </w:tblPrEx>
        <w:trPr>
          <w:jc w:val="center"/>
        </w:trPr>
        <w:tc>
          <w:tcPr>
            <w:tcW w:w="3886" w:type="dxa"/>
            <w:tcBorders>
              <w:top w:val="single" w:sz="4" w:space="0" w:color="auto"/>
              <w:left w:val="single" w:sz="18" w:space="0" w:color="auto"/>
              <w:bottom w:val="single" w:sz="4" w:space="0" w:color="auto"/>
              <w:right w:val="single" w:sz="4" w:space="0" w:color="auto"/>
            </w:tcBorders>
            <w:textDirection w:val="lrTb"/>
            <w:vAlign w:val="top"/>
          </w:tcPr>
          <w:p w:rsidR="000D3C1C" w:rsidRPr="000D3C1C" w:rsidP="000D3C1C">
            <w:pPr>
              <w:tabs>
                <w:tab w:val="left" w:pos="483"/>
              </w:tabs>
              <w:bidi w:val="0"/>
              <w:ind w:hanging="213"/>
              <w:rPr>
                <w:rFonts w:ascii="Times New Roman" w:hAnsi="Times New Roman"/>
                <w:sz w:val="20"/>
                <w:szCs w:val="20"/>
              </w:rPr>
            </w:pPr>
            <w:r w:rsidRPr="000D3C1C">
              <w:rPr>
                <w:rFonts w:ascii="Times New Roman" w:hAnsi="Times New Roman"/>
                <w:sz w:val="20"/>
                <w:szCs w:val="20"/>
              </w:rPr>
              <w:t>- príjmy z poplatkov na základe    leteckého zákona</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503 817**</w:t>
            </w:r>
          </w:p>
        </w:tc>
        <w:tc>
          <w:tcPr>
            <w:tcW w:w="1286"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32 000</w:t>
            </w:r>
          </w:p>
        </w:tc>
        <w:tc>
          <w:tcPr>
            <w:tcW w:w="1049" w:type="dxa"/>
            <w:tcBorders>
              <w:top w:val="single" w:sz="4" w:space="0" w:color="auto"/>
              <w:left w:val="single" w:sz="4" w:space="0" w:color="auto"/>
              <w:bottom w:val="single" w:sz="4" w:space="0" w:color="auto"/>
              <w:right w:val="single" w:sz="4" w:space="0" w:color="auto"/>
            </w:tcBorders>
            <w:textDirection w:val="lrTb"/>
            <w:vAlign w:val="center"/>
          </w:tcPr>
          <w:p w:rsidR="000D3C1C" w:rsidRPr="00F453BA" w:rsidP="000D3C1C">
            <w:pPr>
              <w:bidi w:val="0"/>
              <w:jc w:val="right"/>
              <w:rPr>
                <w:rFonts w:ascii="Times New Roman" w:hAnsi="Times New Roman"/>
              </w:rPr>
            </w:pPr>
            <w:r w:rsidRPr="000D3C1C">
              <w:rPr>
                <w:rFonts w:ascii="Times New Roman" w:hAnsi="Times New Roman"/>
                <w:sz w:val="20"/>
                <w:szCs w:val="20"/>
              </w:rPr>
              <w:t>35 000</w:t>
            </w:r>
          </w:p>
        </w:tc>
        <w:tc>
          <w:tcPr>
            <w:tcW w:w="1050" w:type="dxa"/>
            <w:tcBorders>
              <w:top w:val="single" w:sz="4" w:space="0" w:color="auto"/>
              <w:left w:val="single" w:sz="4" w:space="0" w:color="auto"/>
              <w:bottom w:val="single" w:sz="4" w:space="0" w:color="auto"/>
              <w:right w:val="single" w:sz="4" w:space="0" w:color="auto"/>
            </w:tcBorders>
            <w:textDirection w:val="lrTb"/>
            <w:vAlign w:val="center"/>
          </w:tcPr>
          <w:p w:rsidR="000D3C1C" w:rsidRPr="00F453BA" w:rsidP="000D3C1C">
            <w:pPr>
              <w:bidi w:val="0"/>
              <w:jc w:val="right"/>
              <w:rPr>
                <w:rFonts w:ascii="Times New Roman" w:hAnsi="Times New Roman"/>
              </w:rPr>
            </w:pPr>
            <w:r w:rsidRPr="000D3C1C">
              <w:rPr>
                <w:rFonts w:ascii="Times New Roman" w:hAnsi="Times New Roman"/>
                <w:sz w:val="20"/>
                <w:szCs w:val="20"/>
              </w:rPr>
              <w:t>40 000</w:t>
            </w:r>
          </w:p>
        </w:tc>
        <w:tc>
          <w:tcPr>
            <w:tcW w:w="1050" w:type="dxa"/>
            <w:tcBorders>
              <w:top w:val="single" w:sz="4" w:space="0" w:color="auto"/>
              <w:left w:val="single" w:sz="4" w:space="0" w:color="auto"/>
              <w:bottom w:val="single" w:sz="4" w:space="0" w:color="auto"/>
              <w:right w:val="single" w:sz="18" w:space="0" w:color="auto"/>
            </w:tcBorders>
            <w:textDirection w:val="lrTb"/>
            <w:vAlign w:val="center"/>
          </w:tcPr>
          <w:p w:rsidR="000D3C1C" w:rsidRPr="00F453BA" w:rsidP="000D3C1C">
            <w:pPr>
              <w:bidi w:val="0"/>
              <w:jc w:val="right"/>
              <w:rPr>
                <w:rFonts w:ascii="Times New Roman" w:hAnsi="Times New Roman"/>
              </w:rPr>
            </w:pPr>
            <w:r w:rsidRPr="000D3C1C">
              <w:rPr>
                <w:rFonts w:ascii="Times New Roman" w:hAnsi="Times New Roman"/>
                <w:sz w:val="20"/>
                <w:szCs w:val="20"/>
              </w:rPr>
              <w:t>50 000</w:t>
            </w:r>
          </w:p>
        </w:tc>
      </w:tr>
      <w:tr>
        <w:tblPrEx>
          <w:tblW w:w="9606" w:type="dxa"/>
          <w:jc w:val="center"/>
          <w:tblInd w:w="331" w:type="dxa"/>
          <w:tblLayout w:type="fixed"/>
          <w:tblLook w:val="01E0"/>
        </w:tblPrEx>
        <w:trPr>
          <w:jc w:val="center"/>
        </w:trPr>
        <w:tc>
          <w:tcPr>
            <w:tcW w:w="3886" w:type="dxa"/>
            <w:tcBorders>
              <w:top w:val="single" w:sz="4" w:space="0" w:color="auto"/>
              <w:left w:val="single" w:sz="18" w:space="0" w:color="auto"/>
              <w:bottom w:val="single" w:sz="18" w:space="0" w:color="auto"/>
              <w:right w:val="single" w:sz="4" w:space="0" w:color="auto"/>
            </w:tcBorders>
            <w:textDirection w:val="lrTb"/>
            <w:vAlign w:val="top"/>
          </w:tcPr>
          <w:p w:rsidR="000D3C1C" w:rsidRPr="000D3C1C" w:rsidP="000D3C1C">
            <w:pPr>
              <w:tabs>
                <w:tab w:val="left" w:pos="213"/>
              </w:tabs>
              <w:bidi w:val="0"/>
              <w:ind w:hanging="213"/>
              <w:rPr>
                <w:rFonts w:ascii="Times New Roman" w:hAnsi="Times New Roman"/>
                <w:sz w:val="20"/>
                <w:szCs w:val="20"/>
              </w:rPr>
            </w:pPr>
            <w:r w:rsidRPr="000D3C1C">
              <w:rPr>
                <w:rFonts w:ascii="Times New Roman" w:hAnsi="Times New Roman"/>
                <w:sz w:val="20"/>
                <w:szCs w:val="20"/>
              </w:rPr>
              <w:t>- ostatné príjmy (penále, pokuty, náhodilé príjmy a pod.)</w:t>
            </w:r>
          </w:p>
        </w:tc>
        <w:tc>
          <w:tcPr>
            <w:tcW w:w="1285" w:type="dxa"/>
            <w:tcBorders>
              <w:top w:val="single" w:sz="4" w:space="0" w:color="auto"/>
              <w:left w:val="single" w:sz="4" w:space="0" w:color="auto"/>
              <w:bottom w:val="single" w:sz="18"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3 586</w:t>
            </w:r>
          </w:p>
        </w:tc>
        <w:tc>
          <w:tcPr>
            <w:tcW w:w="1286" w:type="dxa"/>
            <w:tcBorders>
              <w:top w:val="single" w:sz="4" w:space="0" w:color="auto"/>
              <w:left w:val="single" w:sz="4" w:space="0" w:color="auto"/>
              <w:bottom w:val="single" w:sz="18"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3 320</w:t>
            </w:r>
          </w:p>
        </w:tc>
        <w:tc>
          <w:tcPr>
            <w:tcW w:w="1049" w:type="dxa"/>
            <w:tcBorders>
              <w:top w:val="single" w:sz="4" w:space="0" w:color="auto"/>
              <w:left w:val="single" w:sz="4" w:space="0" w:color="auto"/>
              <w:bottom w:val="single" w:sz="18" w:space="0" w:color="auto"/>
              <w:right w:val="single" w:sz="4" w:space="0" w:color="auto"/>
            </w:tcBorders>
            <w:textDirection w:val="lrTb"/>
            <w:vAlign w:val="center"/>
          </w:tcPr>
          <w:p w:rsidR="000D3C1C" w:rsidRPr="00F453BA" w:rsidP="000D3C1C">
            <w:pPr>
              <w:bidi w:val="0"/>
              <w:jc w:val="right"/>
              <w:rPr>
                <w:rFonts w:ascii="Times New Roman" w:hAnsi="Times New Roman"/>
              </w:rPr>
            </w:pPr>
            <w:r w:rsidRPr="000D3C1C">
              <w:rPr>
                <w:rFonts w:ascii="Times New Roman" w:hAnsi="Times New Roman"/>
                <w:sz w:val="20"/>
                <w:szCs w:val="20"/>
              </w:rPr>
              <w:t>3 320</w:t>
            </w:r>
          </w:p>
        </w:tc>
        <w:tc>
          <w:tcPr>
            <w:tcW w:w="1050" w:type="dxa"/>
            <w:tcBorders>
              <w:top w:val="single" w:sz="4" w:space="0" w:color="auto"/>
              <w:left w:val="single" w:sz="4" w:space="0" w:color="auto"/>
              <w:bottom w:val="single" w:sz="18" w:space="0" w:color="auto"/>
              <w:right w:val="single" w:sz="4" w:space="0" w:color="auto"/>
            </w:tcBorders>
            <w:textDirection w:val="lrTb"/>
            <w:vAlign w:val="center"/>
          </w:tcPr>
          <w:p w:rsidR="000D3C1C" w:rsidRPr="00F453BA" w:rsidP="000D3C1C">
            <w:pPr>
              <w:bidi w:val="0"/>
              <w:jc w:val="right"/>
              <w:rPr>
                <w:rFonts w:ascii="Times New Roman" w:hAnsi="Times New Roman"/>
              </w:rPr>
            </w:pPr>
            <w:r w:rsidRPr="000D3C1C">
              <w:rPr>
                <w:rFonts w:ascii="Times New Roman" w:hAnsi="Times New Roman"/>
                <w:sz w:val="20"/>
                <w:szCs w:val="20"/>
              </w:rPr>
              <w:t>3 320</w:t>
            </w:r>
          </w:p>
        </w:tc>
        <w:tc>
          <w:tcPr>
            <w:tcW w:w="1050" w:type="dxa"/>
            <w:tcBorders>
              <w:top w:val="single" w:sz="4" w:space="0" w:color="auto"/>
              <w:left w:val="single" w:sz="4" w:space="0" w:color="auto"/>
              <w:bottom w:val="single" w:sz="18" w:space="0" w:color="auto"/>
              <w:right w:val="single" w:sz="18" w:space="0" w:color="auto"/>
            </w:tcBorders>
            <w:textDirection w:val="lrTb"/>
            <w:vAlign w:val="center"/>
          </w:tcPr>
          <w:p w:rsidR="000D3C1C" w:rsidRPr="00F453BA" w:rsidP="000D3C1C">
            <w:pPr>
              <w:bidi w:val="0"/>
              <w:jc w:val="right"/>
              <w:rPr>
                <w:rFonts w:ascii="Times New Roman" w:hAnsi="Times New Roman"/>
              </w:rPr>
            </w:pPr>
            <w:r w:rsidRPr="000D3C1C">
              <w:rPr>
                <w:rFonts w:ascii="Times New Roman" w:hAnsi="Times New Roman"/>
                <w:sz w:val="20"/>
                <w:szCs w:val="20"/>
              </w:rPr>
              <w:t>3 320</w:t>
            </w:r>
          </w:p>
        </w:tc>
      </w:tr>
    </w:tbl>
    <w:p w:rsidR="000D3C1C" w:rsidRPr="000D3C1C" w:rsidP="000D3C1C">
      <w:pPr>
        <w:bidi w:val="0"/>
        <w:jc w:val="both"/>
        <w:rPr>
          <w:rFonts w:ascii="Times New Roman" w:hAnsi="Times New Roman"/>
          <w:i/>
          <w:sz w:val="20"/>
          <w:szCs w:val="20"/>
        </w:rPr>
      </w:pPr>
      <w:r w:rsidRPr="000D3C1C">
        <w:rPr>
          <w:rFonts w:ascii="Times New Roman" w:hAnsi="Times New Roman"/>
          <w:i/>
          <w:sz w:val="20"/>
          <w:szCs w:val="20"/>
        </w:rPr>
        <w:t>* Poznámka: účinnosť od 1.5.2009</w:t>
      </w:r>
    </w:p>
    <w:p w:rsidR="000D3C1C" w:rsidRPr="000D3C1C" w:rsidP="000D3C1C">
      <w:pPr>
        <w:bidi w:val="0"/>
        <w:jc w:val="both"/>
        <w:rPr>
          <w:rFonts w:ascii="Times New Roman" w:hAnsi="Times New Roman"/>
          <w:i/>
          <w:sz w:val="20"/>
          <w:szCs w:val="20"/>
        </w:rPr>
      </w:pPr>
      <w:r w:rsidRPr="000D3C1C">
        <w:rPr>
          <w:rFonts w:ascii="Times New Roman" w:hAnsi="Times New Roman"/>
          <w:i/>
          <w:sz w:val="20"/>
          <w:szCs w:val="20"/>
        </w:rPr>
        <w:t>**Poznámka: príjmy tvorené z poplatkov na základe  leteckého zákona v roku 2008 boli tvorené aj poskytovaním letových meraní lietadlom LU SR. V priebehu roka 2008 bola táto činnosť na základe zmluvy prevedená na inú spoločnosť. Z uvedeného dôvodu sú v porovnaní s rokom 2008 príjmy z poplatkov na základe leteckého zákona znížené o 498 tis. €. Po tomto znížení tvoria príjmy z poplatkov na základe leteckého zákona sumu 5 817 €. Predpokladaný prínos pre štátny rozpočet u tohto druhu poplatku  je porovnaný so  sumou 5 817 €.</w:t>
      </w:r>
    </w:p>
    <w:p w:rsidR="000D3C1C" w:rsidRPr="000D3C1C" w:rsidP="000D3C1C">
      <w:pPr>
        <w:bidi w:val="0"/>
        <w:jc w:val="both"/>
        <w:rPr>
          <w:rFonts w:ascii="Times New Roman" w:hAnsi="Times New Roman"/>
          <w:i/>
          <w:sz w:val="20"/>
          <w:szCs w:val="20"/>
        </w:rPr>
      </w:pPr>
    </w:p>
    <w:p w:rsidR="000D3C1C" w:rsidRPr="000D3C1C" w:rsidP="000D3C1C">
      <w:pPr>
        <w:autoSpaceDE w:val="0"/>
        <w:autoSpaceDN w:val="0"/>
        <w:bidi w:val="0"/>
        <w:adjustRightInd w:val="0"/>
        <w:ind w:firstLine="708"/>
        <w:jc w:val="center"/>
        <w:rPr>
          <w:rFonts w:ascii="Times New Roman" w:hAnsi="Times New Roman"/>
          <w:b/>
        </w:rPr>
      </w:pPr>
      <w:r w:rsidRPr="000D3C1C">
        <w:rPr>
          <w:rFonts w:ascii="Times New Roman" w:hAnsi="Times New Roman"/>
          <w:b/>
        </w:rPr>
        <w:t>Prehľad mimorozpočtových príjmov získaných zo spoločného systému spoplatňovania leteckých navigačných služieb a spôsob ich použitia je uvedený v tabuľke č. 2.</w:t>
      </w:r>
    </w:p>
    <w:p w:rsidR="000D3C1C" w:rsidRPr="000D3C1C" w:rsidP="000D3C1C">
      <w:pPr>
        <w:tabs>
          <w:tab w:val="left" w:pos="6675"/>
        </w:tabs>
        <w:bidi w:val="0"/>
        <w:jc w:val="both"/>
        <w:rPr>
          <w:rFonts w:ascii="Times New Roman" w:hAnsi="Times New Roman"/>
          <w:sz w:val="20"/>
          <w:szCs w:val="20"/>
        </w:rPr>
      </w:pPr>
      <w:r w:rsidRPr="00F453BA">
        <w:rPr>
          <w:rFonts w:ascii="Times New Roman" w:hAnsi="Times New Roman"/>
        </w:rPr>
        <w:t xml:space="preserve">                 </w:t>
      </w:r>
      <w:r w:rsidRPr="000D3C1C">
        <w:rPr>
          <w:rFonts w:ascii="Times New Roman" w:hAnsi="Times New Roman"/>
          <w:sz w:val="20"/>
          <w:szCs w:val="20"/>
        </w:rPr>
        <w:t>(tabuľka č. 2)                                                                                 (ročné vyjadrenie v tis. €)</w:t>
      </w:r>
    </w:p>
    <w:tbl>
      <w:tblPr>
        <w:tblStyle w:val="TableGrid"/>
        <w:tblW w:w="7567" w:type="dxa"/>
        <w:tblInd w:w="973" w:type="dxa"/>
        <w:tblLook w:val="01E0"/>
      </w:tblPr>
      <w:tblGrid>
        <w:gridCol w:w="3062"/>
        <w:gridCol w:w="968"/>
        <w:gridCol w:w="1158"/>
        <w:gridCol w:w="1221"/>
        <w:gridCol w:w="1158"/>
      </w:tblGrid>
      <w:tr>
        <w:tblPrEx>
          <w:tblW w:w="7567" w:type="dxa"/>
          <w:tblInd w:w="973" w:type="dxa"/>
          <w:tblLook w:val="01E0"/>
        </w:tblPrEx>
        <w:trPr>
          <w:trHeight w:val="1101"/>
        </w:trPr>
        <w:tc>
          <w:tcPr>
            <w:tcW w:w="0" w:type="auto"/>
            <w:tcBorders>
              <w:top w:val="single" w:sz="12" w:space="0" w:color="auto"/>
              <w:left w:val="single" w:sz="12" w:space="0" w:color="auto"/>
              <w:bottom w:val="double" w:sz="4" w:space="0" w:color="auto"/>
              <w:right w:val="single" w:sz="4" w:space="0" w:color="auto"/>
            </w:tcBorders>
            <w:textDirection w:val="lrTb"/>
            <w:vAlign w:val="center"/>
          </w:tcPr>
          <w:p w:rsidR="000D3C1C" w:rsidRPr="000D3C1C" w:rsidP="000D3C1C">
            <w:pPr>
              <w:bidi w:val="0"/>
              <w:jc w:val="center"/>
              <w:rPr>
                <w:rFonts w:ascii="Times New Roman" w:hAnsi="Times New Roman"/>
                <w:b/>
                <w:sz w:val="20"/>
                <w:szCs w:val="20"/>
              </w:rPr>
            </w:pPr>
          </w:p>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Ukazovateľ</w:t>
            </w:r>
          </w:p>
          <w:p w:rsidR="000D3C1C" w:rsidRPr="000D3C1C" w:rsidP="000D3C1C">
            <w:pPr>
              <w:bidi w:val="0"/>
              <w:jc w:val="center"/>
              <w:rPr>
                <w:rFonts w:ascii="Times New Roman" w:hAnsi="Times New Roman"/>
                <w:b/>
                <w:sz w:val="20"/>
                <w:szCs w:val="20"/>
              </w:rPr>
            </w:pPr>
          </w:p>
        </w:tc>
        <w:tc>
          <w:tcPr>
            <w:tcW w:w="0" w:type="auto"/>
            <w:tcBorders>
              <w:top w:val="single" w:sz="12" w:space="0" w:color="auto"/>
              <w:left w:val="single" w:sz="4" w:space="0" w:color="auto"/>
              <w:bottom w:val="double" w:sz="4" w:space="0" w:color="auto"/>
              <w:right w:val="single" w:sz="4"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2009*</w:t>
            </w:r>
          </w:p>
        </w:tc>
        <w:tc>
          <w:tcPr>
            <w:tcW w:w="0" w:type="auto"/>
            <w:tcBorders>
              <w:top w:val="single" w:sz="12" w:space="0" w:color="auto"/>
              <w:left w:val="single" w:sz="4" w:space="0" w:color="auto"/>
              <w:bottom w:val="double" w:sz="4" w:space="0" w:color="auto"/>
              <w:right w:val="single" w:sz="4"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2010</w:t>
            </w:r>
          </w:p>
        </w:tc>
        <w:tc>
          <w:tcPr>
            <w:tcW w:w="0" w:type="auto"/>
            <w:tcBorders>
              <w:top w:val="single" w:sz="12" w:space="0" w:color="auto"/>
              <w:left w:val="single" w:sz="4" w:space="0" w:color="auto"/>
              <w:bottom w:val="double" w:sz="4" w:space="0" w:color="auto"/>
              <w:right w:val="single" w:sz="4"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2011</w:t>
            </w:r>
          </w:p>
        </w:tc>
        <w:tc>
          <w:tcPr>
            <w:tcW w:w="0" w:type="auto"/>
            <w:tcBorders>
              <w:top w:val="single" w:sz="12" w:space="0" w:color="auto"/>
              <w:left w:val="single" w:sz="4" w:space="0" w:color="auto"/>
              <w:bottom w:val="double" w:sz="4" w:space="0" w:color="auto"/>
              <w:right w:val="single" w:sz="12"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2012</w:t>
            </w:r>
          </w:p>
        </w:tc>
      </w:tr>
      <w:tr>
        <w:tblPrEx>
          <w:tblW w:w="7567" w:type="dxa"/>
          <w:tblInd w:w="973" w:type="dxa"/>
          <w:tblLook w:val="01E0"/>
        </w:tblPrEx>
        <w:trPr>
          <w:trHeight w:val="337"/>
        </w:trPr>
        <w:tc>
          <w:tcPr>
            <w:tcW w:w="0" w:type="auto"/>
            <w:tcBorders>
              <w:top w:val="double" w:sz="4" w:space="0" w:color="auto"/>
              <w:left w:val="single" w:sz="12"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b/>
                <w:sz w:val="20"/>
                <w:szCs w:val="20"/>
              </w:rPr>
            </w:pPr>
            <w:r w:rsidRPr="000D3C1C">
              <w:rPr>
                <w:rFonts w:ascii="Times New Roman" w:hAnsi="Times New Roman"/>
                <w:b/>
                <w:sz w:val="20"/>
                <w:szCs w:val="20"/>
              </w:rPr>
              <w:t>Príjmy celkom</w:t>
            </w:r>
          </w:p>
        </w:tc>
        <w:tc>
          <w:tcPr>
            <w:tcW w:w="0" w:type="auto"/>
            <w:tcBorders>
              <w:top w:val="doub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995,82</w:t>
            </w:r>
          </w:p>
        </w:tc>
        <w:tc>
          <w:tcPr>
            <w:tcW w:w="0" w:type="auto"/>
            <w:tcBorders>
              <w:top w:val="doub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1 095,40</w:t>
            </w:r>
          </w:p>
        </w:tc>
        <w:tc>
          <w:tcPr>
            <w:tcW w:w="0" w:type="auto"/>
            <w:tcBorders>
              <w:top w:val="doub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 xml:space="preserve"> 1 194,98</w:t>
            </w:r>
          </w:p>
        </w:tc>
        <w:tc>
          <w:tcPr>
            <w:tcW w:w="0" w:type="auto"/>
            <w:tcBorders>
              <w:top w:val="double" w:sz="4" w:space="0" w:color="auto"/>
              <w:left w:val="single" w:sz="4" w:space="0" w:color="auto"/>
              <w:bottom w:val="single" w:sz="4" w:space="0" w:color="auto"/>
              <w:right w:val="single" w:sz="12" w:space="0" w:color="auto"/>
            </w:tcBorders>
            <w:textDirection w:val="lrTb"/>
            <w:vAlign w:val="top"/>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1 294,56</w:t>
            </w:r>
          </w:p>
        </w:tc>
      </w:tr>
      <w:tr>
        <w:tblPrEx>
          <w:tblW w:w="7567" w:type="dxa"/>
          <w:tblInd w:w="973" w:type="dxa"/>
          <w:tblLook w:val="01E0"/>
        </w:tblPrEx>
        <w:trPr>
          <w:trHeight w:val="367"/>
        </w:trPr>
        <w:tc>
          <w:tcPr>
            <w:tcW w:w="0" w:type="auto"/>
            <w:tcBorders>
              <w:top w:val="single" w:sz="4" w:space="0" w:color="auto"/>
              <w:left w:val="single" w:sz="12"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sz w:val="20"/>
                <w:szCs w:val="20"/>
              </w:rPr>
            </w:pPr>
            <w:r w:rsidRPr="000D3C1C">
              <w:rPr>
                <w:rFonts w:ascii="Times New Roman" w:hAnsi="Times New Roman"/>
                <w:sz w:val="20"/>
                <w:szCs w:val="20"/>
              </w:rPr>
              <w:t>z toho:</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0D3C1C" w:rsidRPr="000D3C1C" w:rsidP="000D3C1C">
            <w:pPr>
              <w:bidi w:val="0"/>
              <w:jc w:val="right"/>
              <w:rPr>
                <w:rFonts w:ascii="Times New Roman" w:hAnsi="Times New Roman"/>
                <w:sz w:val="20"/>
                <w:szCs w:val="20"/>
              </w:rPr>
            </w:pPr>
          </w:p>
        </w:tc>
      </w:tr>
      <w:tr>
        <w:tblPrEx>
          <w:tblW w:w="7567" w:type="dxa"/>
          <w:tblInd w:w="973" w:type="dxa"/>
          <w:tblLook w:val="01E0"/>
        </w:tblPrEx>
        <w:trPr>
          <w:trHeight w:val="367"/>
        </w:trPr>
        <w:tc>
          <w:tcPr>
            <w:tcW w:w="0" w:type="auto"/>
            <w:tcBorders>
              <w:top w:val="single" w:sz="4" w:space="0" w:color="auto"/>
              <w:left w:val="single" w:sz="12"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b/>
                <w:sz w:val="20"/>
                <w:szCs w:val="20"/>
              </w:rPr>
            </w:pPr>
            <w:r w:rsidRPr="000D3C1C">
              <w:rPr>
                <w:rFonts w:ascii="Times New Roman" w:hAnsi="Times New Roman"/>
                <w:b/>
                <w:sz w:val="20"/>
                <w:szCs w:val="20"/>
              </w:rPr>
              <w:t>700 – Kapitálové výdavky</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136,10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155,37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165,97</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165,97</w:t>
            </w:r>
          </w:p>
        </w:tc>
      </w:tr>
      <w:tr>
        <w:tblPrEx>
          <w:tblW w:w="7567" w:type="dxa"/>
          <w:tblInd w:w="973" w:type="dxa"/>
          <w:tblLook w:val="01E0"/>
        </w:tblPrEx>
        <w:trPr>
          <w:trHeight w:val="352"/>
        </w:trPr>
        <w:tc>
          <w:tcPr>
            <w:tcW w:w="0" w:type="auto"/>
            <w:tcBorders>
              <w:top w:val="single" w:sz="4" w:space="0" w:color="auto"/>
              <w:left w:val="single" w:sz="12"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b/>
                <w:sz w:val="20"/>
                <w:szCs w:val="20"/>
              </w:rPr>
            </w:pPr>
            <w:r w:rsidRPr="000D3C1C">
              <w:rPr>
                <w:rFonts w:ascii="Times New Roman" w:hAnsi="Times New Roman"/>
                <w:b/>
                <w:sz w:val="20"/>
                <w:szCs w:val="20"/>
              </w:rPr>
              <w:t>600 – Bežné výdavky</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859,72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940,03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1 029,01</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1 128,59</w:t>
            </w:r>
          </w:p>
        </w:tc>
      </w:tr>
      <w:tr>
        <w:tblPrEx>
          <w:tblW w:w="7567" w:type="dxa"/>
          <w:tblInd w:w="973" w:type="dxa"/>
          <w:tblLook w:val="01E0"/>
        </w:tblPrEx>
        <w:trPr>
          <w:trHeight w:val="367"/>
        </w:trPr>
        <w:tc>
          <w:tcPr>
            <w:tcW w:w="0" w:type="auto"/>
            <w:tcBorders>
              <w:top w:val="single" w:sz="4" w:space="0" w:color="auto"/>
              <w:left w:val="single" w:sz="12"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sz w:val="20"/>
                <w:szCs w:val="20"/>
              </w:rPr>
            </w:pPr>
            <w:r w:rsidRPr="000D3C1C">
              <w:rPr>
                <w:rFonts w:ascii="Times New Roman" w:hAnsi="Times New Roman"/>
                <w:sz w:val="20"/>
                <w:szCs w:val="20"/>
              </w:rPr>
              <w:t>z toho:</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0D3C1C" w:rsidRPr="000D3C1C" w:rsidP="000D3C1C">
            <w:pPr>
              <w:bidi w:val="0"/>
              <w:jc w:val="right"/>
              <w:rPr>
                <w:rFonts w:ascii="Times New Roman" w:hAnsi="Times New Roman"/>
                <w:sz w:val="20"/>
                <w:szCs w:val="20"/>
              </w:rPr>
            </w:pPr>
          </w:p>
        </w:tc>
      </w:tr>
      <w:tr>
        <w:tblPrEx>
          <w:tblW w:w="7567" w:type="dxa"/>
          <w:tblInd w:w="973" w:type="dxa"/>
          <w:tblLook w:val="01E0"/>
        </w:tblPrEx>
        <w:trPr>
          <w:trHeight w:val="352"/>
        </w:trPr>
        <w:tc>
          <w:tcPr>
            <w:tcW w:w="0" w:type="auto"/>
            <w:tcBorders>
              <w:top w:val="single" w:sz="4" w:space="0" w:color="auto"/>
              <w:left w:val="single" w:sz="12"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sz w:val="20"/>
                <w:szCs w:val="20"/>
              </w:rPr>
            </w:pPr>
            <w:r w:rsidRPr="000D3C1C">
              <w:rPr>
                <w:rFonts w:ascii="Times New Roman" w:hAnsi="Times New Roman"/>
                <w:sz w:val="20"/>
                <w:szCs w:val="20"/>
              </w:rPr>
              <w:t>610 – Mzdy a platy</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514,50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520,06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534,50</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586,00</w:t>
            </w:r>
          </w:p>
        </w:tc>
      </w:tr>
      <w:tr>
        <w:tblPrEx>
          <w:tblW w:w="7567" w:type="dxa"/>
          <w:tblInd w:w="973" w:type="dxa"/>
          <w:tblLook w:val="01E0"/>
        </w:tblPrEx>
        <w:trPr>
          <w:trHeight w:val="367"/>
        </w:trPr>
        <w:tc>
          <w:tcPr>
            <w:tcW w:w="0" w:type="auto"/>
            <w:tcBorders>
              <w:top w:val="single" w:sz="4" w:space="0" w:color="auto"/>
              <w:left w:val="single" w:sz="12"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sz w:val="20"/>
                <w:szCs w:val="20"/>
              </w:rPr>
            </w:pPr>
            <w:r w:rsidRPr="000D3C1C">
              <w:rPr>
                <w:rFonts w:ascii="Times New Roman" w:hAnsi="Times New Roman"/>
                <w:sz w:val="20"/>
                <w:szCs w:val="20"/>
              </w:rPr>
              <w:t>620 – Odvody do fondov</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179,25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181,76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186,81</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204,80</w:t>
            </w:r>
          </w:p>
        </w:tc>
      </w:tr>
      <w:tr>
        <w:tblPrEx>
          <w:tblW w:w="7567" w:type="dxa"/>
          <w:tblInd w:w="973" w:type="dxa"/>
          <w:tblLook w:val="01E0"/>
        </w:tblPrEx>
        <w:trPr>
          <w:trHeight w:val="352"/>
        </w:trPr>
        <w:tc>
          <w:tcPr>
            <w:tcW w:w="0" w:type="auto"/>
            <w:tcBorders>
              <w:top w:val="single" w:sz="4" w:space="0" w:color="auto"/>
              <w:left w:val="single" w:sz="12" w:space="0" w:color="auto"/>
              <w:bottom w:val="single" w:sz="12" w:space="0" w:color="auto"/>
              <w:right w:val="single" w:sz="4" w:space="0" w:color="auto"/>
            </w:tcBorders>
            <w:textDirection w:val="lrTb"/>
            <w:vAlign w:val="top"/>
          </w:tcPr>
          <w:p w:rsidR="000D3C1C" w:rsidRPr="000D3C1C" w:rsidP="000D3C1C">
            <w:pPr>
              <w:bidi w:val="0"/>
              <w:jc w:val="both"/>
              <w:rPr>
                <w:rFonts w:ascii="Times New Roman" w:hAnsi="Times New Roman"/>
                <w:sz w:val="20"/>
                <w:szCs w:val="20"/>
              </w:rPr>
            </w:pPr>
            <w:r w:rsidRPr="000D3C1C">
              <w:rPr>
                <w:rFonts w:ascii="Times New Roman" w:hAnsi="Times New Roman"/>
                <w:sz w:val="20"/>
                <w:szCs w:val="20"/>
              </w:rPr>
              <w:t>630 – Tovary a služby</w:t>
            </w:r>
          </w:p>
        </w:tc>
        <w:tc>
          <w:tcPr>
            <w:tcW w:w="0" w:type="auto"/>
            <w:tcBorders>
              <w:top w:val="single" w:sz="4" w:space="0" w:color="auto"/>
              <w:left w:val="single" w:sz="4" w:space="0" w:color="auto"/>
              <w:bottom w:val="single" w:sz="12" w:space="0" w:color="auto"/>
              <w:right w:val="single" w:sz="4" w:space="0" w:color="auto"/>
            </w:tcBorders>
            <w:textDirection w:val="lrTb"/>
            <w:vAlign w:val="top"/>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165,97</w:t>
            </w:r>
          </w:p>
        </w:tc>
        <w:tc>
          <w:tcPr>
            <w:tcW w:w="0" w:type="auto"/>
            <w:tcBorders>
              <w:top w:val="single" w:sz="4" w:space="0" w:color="auto"/>
              <w:left w:val="single" w:sz="4" w:space="0" w:color="auto"/>
              <w:bottom w:val="single" w:sz="12" w:space="0" w:color="auto"/>
              <w:right w:val="single" w:sz="4" w:space="0" w:color="auto"/>
            </w:tcBorders>
            <w:textDirection w:val="lrTb"/>
            <w:vAlign w:val="top"/>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238,21</w:t>
            </w:r>
          </w:p>
        </w:tc>
        <w:tc>
          <w:tcPr>
            <w:tcW w:w="0" w:type="auto"/>
            <w:tcBorders>
              <w:top w:val="single" w:sz="4" w:space="0" w:color="auto"/>
              <w:left w:val="single" w:sz="4" w:space="0" w:color="auto"/>
              <w:bottom w:val="single" w:sz="12" w:space="0" w:color="auto"/>
              <w:right w:val="single" w:sz="4" w:space="0" w:color="auto"/>
            </w:tcBorders>
            <w:textDirection w:val="lrTb"/>
            <w:vAlign w:val="top"/>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307,70</w:t>
            </w:r>
          </w:p>
        </w:tc>
        <w:tc>
          <w:tcPr>
            <w:tcW w:w="0" w:type="auto"/>
            <w:tcBorders>
              <w:top w:val="single" w:sz="4" w:space="0" w:color="auto"/>
              <w:left w:val="single" w:sz="4" w:space="0" w:color="auto"/>
              <w:bottom w:val="single" w:sz="12" w:space="0" w:color="auto"/>
              <w:right w:val="single" w:sz="12" w:space="0" w:color="auto"/>
            </w:tcBorders>
            <w:textDirection w:val="lrTb"/>
            <w:vAlign w:val="top"/>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337,79</w:t>
            </w:r>
          </w:p>
        </w:tc>
      </w:tr>
    </w:tbl>
    <w:p w:rsidR="000D3C1C" w:rsidRPr="000D3C1C" w:rsidP="000D3C1C">
      <w:pPr>
        <w:suppressAutoHyphens/>
        <w:bidi w:val="0"/>
        <w:jc w:val="both"/>
        <w:rPr>
          <w:rFonts w:ascii="Times New Roman" w:hAnsi="Times New Roman"/>
          <w:i/>
          <w:sz w:val="20"/>
          <w:szCs w:val="20"/>
        </w:rPr>
      </w:pPr>
      <w:r w:rsidRPr="000D3C1C">
        <w:rPr>
          <w:rFonts w:ascii="Times New Roman" w:hAnsi="Times New Roman"/>
          <w:i/>
          <w:sz w:val="22"/>
          <w:szCs w:val="22"/>
        </w:rPr>
        <w:t xml:space="preserve">              </w:t>
      </w:r>
      <w:r w:rsidRPr="000D3C1C">
        <w:rPr>
          <w:rFonts w:ascii="Times New Roman" w:hAnsi="Times New Roman"/>
          <w:i/>
          <w:sz w:val="20"/>
          <w:szCs w:val="20"/>
        </w:rPr>
        <w:t>*Poznámka: v roku 2009 účinnosť od 1.5.2009</w:t>
      </w:r>
    </w:p>
    <w:p w:rsidR="000D3C1C" w:rsidRPr="00F453BA" w:rsidP="000D3C1C">
      <w:pPr>
        <w:suppressAutoHyphens/>
        <w:bidi w:val="0"/>
        <w:jc w:val="both"/>
        <w:rPr>
          <w:rFonts w:ascii="Times New Roman" w:hAnsi="Times New Roman"/>
        </w:rPr>
      </w:pPr>
      <w:r w:rsidRPr="00F453BA">
        <w:rPr>
          <w:rFonts w:ascii="Times New Roman" w:hAnsi="Times New Roman"/>
        </w:rPr>
        <w:t xml:space="preserve">Tabuľka č.3 uvádza počty personálu leteckého úradu, ktorý môžu čerpať platové prostriedky s cieľom  dodržania transparentnosti čerpania týchto prostriedkov podľa tabuľky č.2, kde zamestnanci poverení priamym dohľadom môžu čerpať až 100 % a ostatní zamestnanci môžu čerpať pomernú časť na základe ich podielu na dohľade nad navigačnými službami. Vo vedení MDPT SR bola v roku 2008 schválená „Analýza súčasného postavenia Leteckého úradu Slovenskej republiky v európskom prostredí“ na základe ktorej sa MDPT SR zaviazalo zabezpečiť pre letecký úrad nárast pracovných miest v počte 127. Tento nárast bude pokrytý v rámci  kapitoly MDPT SR. </w:t>
      </w:r>
    </w:p>
    <w:p w:rsidR="000D3C1C" w:rsidRPr="000D3C1C" w:rsidP="000D3C1C">
      <w:pPr>
        <w:suppressAutoHyphens/>
        <w:bidi w:val="0"/>
        <w:ind w:firstLine="708"/>
        <w:rPr>
          <w:rFonts w:ascii="Times New Roman" w:hAnsi="Times New Roman"/>
          <w:sz w:val="22"/>
          <w:szCs w:val="22"/>
        </w:rPr>
      </w:pPr>
      <w:r w:rsidRPr="000D3C1C">
        <w:rPr>
          <w:rFonts w:ascii="Times New Roman" w:hAnsi="Times New Roman"/>
          <w:b/>
          <w:bCs/>
          <w:sz w:val="20"/>
          <w:szCs w:val="20"/>
        </w:rPr>
        <w:t xml:space="preserve">                                                                                                      (tabuľka č. 3)                                                                                         </w:t>
      </w:r>
    </w:p>
    <w:tbl>
      <w:tblPr>
        <w:tblStyle w:val="TableNormal"/>
        <w:tblW w:w="6772" w:type="dxa"/>
        <w:tblInd w:w="12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410"/>
        <w:gridCol w:w="2094"/>
        <w:gridCol w:w="2268"/>
      </w:tblGrid>
      <w:tr>
        <w:tblPrEx>
          <w:tblW w:w="6772" w:type="dxa"/>
          <w:tblInd w:w="12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Ex>
        <w:tc>
          <w:tcPr>
            <w:tcW w:w="2410" w:type="dxa"/>
            <w:tcBorders>
              <w:top w:val="single" w:sz="12" w:space="0" w:color="auto"/>
              <w:left w:val="single" w:sz="12" w:space="0" w:color="auto"/>
              <w:bottom w:val="double" w:sz="4" w:space="0" w:color="auto"/>
              <w:right w:val="single" w:sz="6" w:space="0" w:color="auto"/>
            </w:tcBorders>
            <w:textDirection w:val="lrTb"/>
            <w:vAlign w:val="top"/>
          </w:tcPr>
          <w:p w:rsidR="000D3C1C" w:rsidRPr="000D3C1C" w:rsidP="000D3C1C">
            <w:pPr>
              <w:suppressAutoHyphens/>
              <w:bidi w:val="0"/>
              <w:jc w:val="center"/>
              <w:rPr>
                <w:rFonts w:ascii="Times New Roman" w:hAnsi="Times New Roman"/>
                <w:b/>
                <w:bCs/>
                <w:sz w:val="20"/>
                <w:szCs w:val="20"/>
              </w:rPr>
            </w:pPr>
            <w:r w:rsidRPr="000D3C1C">
              <w:rPr>
                <w:rFonts w:ascii="Times New Roman" w:hAnsi="Times New Roman"/>
                <w:b/>
                <w:bCs/>
                <w:sz w:val="20"/>
                <w:szCs w:val="20"/>
              </w:rPr>
              <w:t>Položka 610</w:t>
            </w:r>
          </w:p>
        </w:tc>
        <w:tc>
          <w:tcPr>
            <w:tcW w:w="2094" w:type="dxa"/>
            <w:tcBorders>
              <w:top w:val="single" w:sz="12" w:space="0" w:color="auto"/>
              <w:left w:val="single" w:sz="6" w:space="0" w:color="auto"/>
              <w:bottom w:val="double" w:sz="4" w:space="0" w:color="auto"/>
              <w:right w:val="single" w:sz="6" w:space="0" w:color="auto"/>
            </w:tcBorders>
            <w:textDirection w:val="lrTb"/>
            <w:vAlign w:val="top"/>
          </w:tcPr>
          <w:p w:rsidR="000D3C1C" w:rsidRPr="000D3C1C" w:rsidP="000D3C1C">
            <w:pPr>
              <w:suppressAutoHyphens/>
              <w:bidi w:val="0"/>
              <w:jc w:val="center"/>
              <w:rPr>
                <w:rFonts w:ascii="Times New Roman" w:hAnsi="Times New Roman"/>
                <w:b/>
                <w:bCs/>
                <w:sz w:val="20"/>
                <w:szCs w:val="20"/>
              </w:rPr>
            </w:pPr>
            <w:r w:rsidRPr="000D3C1C">
              <w:rPr>
                <w:rFonts w:ascii="Times New Roman" w:hAnsi="Times New Roman"/>
                <w:b/>
                <w:bCs/>
                <w:sz w:val="20"/>
                <w:szCs w:val="20"/>
              </w:rPr>
              <w:t>Súčasný počet zamestnancov</w:t>
            </w:r>
          </w:p>
        </w:tc>
        <w:tc>
          <w:tcPr>
            <w:tcW w:w="2268" w:type="dxa"/>
            <w:tcBorders>
              <w:top w:val="single" w:sz="12" w:space="0" w:color="auto"/>
              <w:left w:val="single" w:sz="6" w:space="0" w:color="auto"/>
              <w:bottom w:val="double" w:sz="4" w:space="0" w:color="auto"/>
              <w:right w:val="single" w:sz="12" w:space="0" w:color="auto"/>
            </w:tcBorders>
            <w:textDirection w:val="lrTb"/>
            <w:vAlign w:val="top"/>
          </w:tcPr>
          <w:p w:rsidR="000D3C1C" w:rsidRPr="000D3C1C" w:rsidP="000D3C1C">
            <w:pPr>
              <w:suppressAutoHyphens/>
              <w:bidi w:val="0"/>
              <w:jc w:val="center"/>
              <w:rPr>
                <w:rFonts w:ascii="Times New Roman" w:hAnsi="Times New Roman"/>
                <w:b/>
                <w:bCs/>
                <w:sz w:val="20"/>
                <w:szCs w:val="20"/>
              </w:rPr>
            </w:pPr>
            <w:r w:rsidRPr="000D3C1C">
              <w:rPr>
                <w:rFonts w:ascii="Times New Roman" w:hAnsi="Times New Roman"/>
                <w:b/>
                <w:bCs/>
                <w:sz w:val="20"/>
                <w:szCs w:val="20"/>
              </w:rPr>
              <w:t>Plánovaný počet zamestnancov</w:t>
            </w:r>
          </w:p>
        </w:tc>
      </w:tr>
      <w:tr>
        <w:tblPrEx>
          <w:tblW w:w="6772" w:type="dxa"/>
          <w:tblInd w:w="1292" w:type="dxa"/>
          <w:tblLook w:val="01E0"/>
        </w:tblPrEx>
        <w:tc>
          <w:tcPr>
            <w:tcW w:w="2410" w:type="dxa"/>
            <w:tcBorders>
              <w:top w:val="double" w:sz="4" w:space="0" w:color="auto"/>
              <w:left w:val="single" w:sz="12" w:space="0" w:color="auto"/>
              <w:bottom w:val="single" w:sz="6" w:space="0" w:color="auto"/>
              <w:right w:val="single" w:sz="6" w:space="0" w:color="auto"/>
            </w:tcBorders>
            <w:textDirection w:val="lrTb"/>
            <w:vAlign w:val="center"/>
          </w:tcPr>
          <w:p w:rsidR="000D3C1C" w:rsidRPr="000D3C1C" w:rsidP="000D3C1C">
            <w:pPr>
              <w:suppressAutoHyphens/>
              <w:bidi w:val="0"/>
              <w:rPr>
                <w:rFonts w:ascii="Times New Roman" w:hAnsi="Times New Roman"/>
                <w:sz w:val="20"/>
                <w:szCs w:val="20"/>
              </w:rPr>
            </w:pPr>
            <w:r w:rsidRPr="000D3C1C">
              <w:rPr>
                <w:rFonts w:ascii="Times New Roman" w:hAnsi="Times New Roman"/>
                <w:sz w:val="20"/>
                <w:szCs w:val="20"/>
              </w:rPr>
              <w:t>Zamestnanci poverení priamym dohľadom  nad navigačnými službami</w:t>
            </w:r>
          </w:p>
        </w:tc>
        <w:tc>
          <w:tcPr>
            <w:tcW w:w="2094" w:type="dxa"/>
            <w:tcBorders>
              <w:top w:val="double" w:sz="4" w:space="0" w:color="auto"/>
              <w:left w:val="single" w:sz="6" w:space="0" w:color="auto"/>
              <w:bottom w:val="single" w:sz="6" w:space="0" w:color="auto"/>
              <w:right w:val="single" w:sz="6" w:space="0" w:color="auto"/>
            </w:tcBorders>
            <w:textDirection w:val="lrTb"/>
            <w:vAlign w:val="center"/>
          </w:tcPr>
          <w:p w:rsidR="000D3C1C" w:rsidRPr="000D3C1C" w:rsidP="000D3C1C">
            <w:pPr>
              <w:suppressAutoHyphens/>
              <w:bidi w:val="0"/>
              <w:jc w:val="center"/>
              <w:rPr>
                <w:rFonts w:ascii="Times New Roman" w:hAnsi="Times New Roman"/>
                <w:sz w:val="20"/>
                <w:szCs w:val="20"/>
              </w:rPr>
            </w:pPr>
            <w:r w:rsidRPr="000D3C1C">
              <w:rPr>
                <w:rFonts w:ascii="Times New Roman" w:hAnsi="Times New Roman"/>
                <w:sz w:val="20"/>
                <w:szCs w:val="20"/>
              </w:rPr>
              <w:t>9</w:t>
            </w:r>
          </w:p>
        </w:tc>
        <w:tc>
          <w:tcPr>
            <w:tcW w:w="2268" w:type="dxa"/>
            <w:tcBorders>
              <w:top w:val="double" w:sz="4" w:space="0" w:color="auto"/>
              <w:left w:val="single" w:sz="6" w:space="0" w:color="auto"/>
              <w:bottom w:val="single" w:sz="6" w:space="0" w:color="auto"/>
              <w:right w:val="single" w:sz="12" w:space="0" w:color="auto"/>
            </w:tcBorders>
            <w:textDirection w:val="lrTb"/>
            <w:vAlign w:val="center"/>
          </w:tcPr>
          <w:p w:rsidR="000D3C1C" w:rsidRPr="000D3C1C" w:rsidP="000D3C1C">
            <w:pPr>
              <w:suppressAutoHyphens/>
              <w:bidi w:val="0"/>
              <w:jc w:val="center"/>
              <w:rPr>
                <w:rFonts w:ascii="Times New Roman" w:hAnsi="Times New Roman"/>
                <w:sz w:val="20"/>
                <w:szCs w:val="20"/>
              </w:rPr>
            </w:pPr>
            <w:r w:rsidRPr="000D3C1C">
              <w:rPr>
                <w:rFonts w:ascii="Times New Roman" w:hAnsi="Times New Roman"/>
                <w:sz w:val="20"/>
                <w:szCs w:val="20"/>
              </w:rPr>
              <w:t>14</w:t>
            </w:r>
          </w:p>
        </w:tc>
      </w:tr>
      <w:tr>
        <w:tblPrEx>
          <w:tblW w:w="6772" w:type="dxa"/>
          <w:tblInd w:w="1292" w:type="dxa"/>
          <w:tblLook w:val="01E0"/>
        </w:tblPrEx>
        <w:tc>
          <w:tcPr>
            <w:tcW w:w="2410" w:type="dxa"/>
            <w:tcBorders>
              <w:top w:val="single" w:sz="6" w:space="0" w:color="auto"/>
              <w:left w:val="single" w:sz="12" w:space="0" w:color="auto"/>
              <w:bottom w:val="single" w:sz="6" w:space="0" w:color="auto"/>
              <w:right w:val="single" w:sz="6" w:space="0" w:color="auto"/>
            </w:tcBorders>
            <w:textDirection w:val="lrTb"/>
            <w:vAlign w:val="center"/>
          </w:tcPr>
          <w:p w:rsidR="000D3C1C" w:rsidRPr="000D3C1C" w:rsidP="000D3C1C">
            <w:pPr>
              <w:suppressAutoHyphens/>
              <w:bidi w:val="0"/>
              <w:rPr>
                <w:rFonts w:ascii="Times New Roman" w:hAnsi="Times New Roman"/>
                <w:sz w:val="20"/>
                <w:szCs w:val="20"/>
              </w:rPr>
            </w:pPr>
            <w:r w:rsidRPr="000D3C1C">
              <w:rPr>
                <w:rFonts w:ascii="Times New Roman" w:hAnsi="Times New Roman"/>
                <w:sz w:val="20"/>
                <w:szCs w:val="20"/>
              </w:rPr>
              <w:t>Zamestnanci pomerne sa podieľajúci na dohľade nad navigačnými službami</w:t>
            </w:r>
          </w:p>
        </w:tc>
        <w:tc>
          <w:tcPr>
            <w:tcW w:w="2094" w:type="dxa"/>
            <w:tcBorders>
              <w:top w:val="single" w:sz="6" w:space="0" w:color="auto"/>
              <w:left w:val="single" w:sz="6" w:space="0" w:color="auto"/>
              <w:bottom w:val="single" w:sz="6" w:space="0" w:color="auto"/>
              <w:right w:val="single" w:sz="6" w:space="0" w:color="auto"/>
            </w:tcBorders>
            <w:textDirection w:val="lrTb"/>
            <w:vAlign w:val="center"/>
          </w:tcPr>
          <w:p w:rsidR="000D3C1C" w:rsidRPr="000D3C1C" w:rsidP="000D3C1C">
            <w:pPr>
              <w:suppressAutoHyphens/>
              <w:bidi w:val="0"/>
              <w:jc w:val="center"/>
              <w:rPr>
                <w:rFonts w:ascii="Times New Roman" w:hAnsi="Times New Roman"/>
                <w:sz w:val="20"/>
                <w:szCs w:val="20"/>
              </w:rPr>
            </w:pPr>
            <w:r w:rsidRPr="000D3C1C">
              <w:rPr>
                <w:rFonts w:ascii="Times New Roman" w:hAnsi="Times New Roman"/>
                <w:sz w:val="20"/>
                <w:szCs w:val="20"/>
              </w:rPr>
              <w:t>38</w:t>
            </w:r>
          </w:p>
        </w:tc>
        <w:tc>
          <w:tcPr>
            <w:tcW w:w="2268" w:type="dxa"/>
            <w:tcBorders>
              <w:top w:val="single" w:sz="6" w:space="0" w:color="auto"/>
              <w:left w:val="single" w:sz="6" w:space="0" w:color="auto"/>
              <w:bottom w:val="single" w:sz="6" w:space="0" w:color="auto"/>
              <w:right w:val="single" w:sz="12" w:space="0" w:color="auto"/>
            </w:tcBorders>
            <w:textDirection w:val="lrTb"/>
            <w:vAlign w:val="center"/>
          </w:tcPr>
          <w:p w:rsidR="000D3C1C" w:rsidRPr="000D3C1C" w:rsidP="000D3C1C">
            <w:pPr>
              <w:suppressAutoHyphens/>
              <w:bidi w:val="0"/>
              <w:jc w:val="center"/>
              <w:rPr>
                <w:rFonts w:ascii="Times New Roman" w:hAnsi="Times New Roman"/>
                <w:sz w:val="20"/>
                <w:szCs w:val="20"/>
              </w:rPr>
            </w:pPr>
            <w:r w:rsidRPr="000D3C1C">
              <w:rPr>
                <w:rFonts w:ascii="Times New Roman" w:hAnsi="Times New Roman"/>
                <w:sz w:val="20"/>
                <w:szCs w:val="20"/>
              </w:rPr>
              <w:t>42</w:t>
            </w:r>
          </w:p>
        </w:tc>
      </w:tr>
      <w:tr>
        <w:tblPrEx>
          <w:tblW w:w="6772" w:type="dxa"/>
          <w:tblInd w:w="1292" w:type="dxa"/>
          <w:tblLook w:val="01E0"/>
        </w:tblPrEx>
        <w:tc>
          <w:tcPr>
            <w:tcW w:w="2410" w:type="dxa"/>
            <w:tcBorders>
              <w:top w:val="single" w:sz="6" w:space="0" w:color="auto"/>
              <w:left w:val="single" w:sz="12" w:space="0" w:color="auto"/>
              <w:bottom w:val="single" w:sz="6" w:space="0" w:color="auto"/>
              <w:right w:val="single" w:sz="6" w:space="0" w:color="auto"/>
            </w:tcBorders>
            <w:textDirection w:val="lrTb"/>
            <w:vAlign w:val="center"/>
          </w:tcPr>
          <w:p w:rsidR="000D3C1C" w:rsidRPr="000D3C1C" w:rsidP="000D3C1C">
            <w:pPr>
              <w:suppressAutoHyphens/>
              <w:bidi w:val="0"/>
              <w:rPr>
                <w:rFonts w:ascii="Times New Roman" w:hAnsi="Times New Roman"/>
                <w:sz w:val="20"/>
                <w:szCs w:val="20"/>
              </w:rPr>
            </w:pPr>
            <w:r w:rsidRPr="000D3C1C">
              <w:rPr>
                <w:rFonts w:ascii="Times New Roman" w:hAnsi="Times New Roman"/>
                <w:sz w:val="20"/>
                <w:szCs w:val="20"/>
              </w:rPr>
              <w:t>Ostatní zamestnanci*</w:t>
            </w:r>
          </w:p>
        </w:tc>
        <w:tc>
          <w:tcPr>
            <w:tcW w:w="2094" w:type="dxa"/>
            <w:tcBorders>
              <w:top w:val="single" w:sz="6" w:space="0" w:color="auto"/>
              <w:left w:val="single" w:sz="6" w:space="0" w:color="auto"/>
              <w:bottom w:val="single" w:sz="6" w:space="0" w:color="auto"/>
              <w:right w:val="single" w:sz="6" w:space="0" w:color="auto"/>
            </w:tcBorders>
            <w:textDirection w:val="lrTb"/>
            <w:vAlign w:val="center"/>
          </w:tcPr>
          <w:p w:rsidR="000D3C1C" w:rsidRPr="000D3C1C" w:rsidP="000D3C1C">
            <w:pPr>
              <w:suppressAutoHyphens/>
              <w:bidi w:val="0"/>
              <w:jc w:val="center"/>
              <w:rPr>
                <w:rFonts w:ascii="Times New Roman" w:hAnsi="Times New Roman"/>
                <w:sz w:val="20"/>
                <w:szCs w:val="20"/>
              </w:rPr>
            </w:pPr>
            <w:r w:rsidRPr="000D3C1C">
              <w:rPr>
                <w:rFonts w:ascii="Times New Roman" w:hAnsi="Times New Roman"/>
                <w:sz w:val="20"/>
                <w:szCs w:val="20"/>
              </w:rPr>
              <w:t>41</w:t>
            </w:r>
          </w:p>
        </w:tc>
        <w:tc>
          <w:tcPr>
            <w:tcW w:w="2268" w:type="dxa"/>
            <w:tcBorders>
              <w:top w:val="single" w:sz="6" w:space="0" w:color="auto"/>
              <w:left w:val="single" w:sz="6" w:space="0" w:color="auto"/>
              <w:bottom w:val="single" w:sz="6" w:space="0" w:color="auto"/>
              <w:right w:val="single" w:sz="12" w:space="0" w:color="auto"/>
            </w:tcBorders>
            <w:textDirection w:val="lrTb"/>
            <w:vAlign w:val="center"/>
          </w:tcPr>
          <w:p w:rsidR="000D3C1C" w:rsidRPr="000D3C1C" w:rsidP="000D3C1C">
            <w:pPr>
              <w:suppressAutoHyphens/>
              <w:bidi w:val="0"/>
              <w:jc w:val="center"/>
              <w:rPr>
                <w:rFonts w:ascii="Times New Roman" w:hAnsi="Times New Roman"/>
                <w:sz w:val="20"/>
                <w:szCs w:val="20"/>
              </w:rPr>
            </w:pPr>
            <w:r w:rsidRPr="000D3C1C">
              <w:rPr>
                <w:rFonts w:ascii="Times New Roman" w:hAnsi="Times New Roman"/>
                <w:sz w:val="20"/>
                <w:szCs w:val="20"/>
              </w:rPr>
              <w:t>71</w:t>
            </w:r>
          </w:p>
        </w:tc>
      </w:tr>
      <w:tr>
        <w:tblPrEx>
          <w:tblW w:w="6772" w:type="dxa"/>
          <w:tblInd w:w="1292" w:type="dxa"/>
          <w:tblLook w:val="01E0"/>
        </w:tblPrEx>
        <w:tc>
          <w:tcPr>
            <w:tcW w:w="2410" w:type="dxa"/>
            <w:tcBorders>
              <w:top w:val="single" w:sz="6" w:space="0" w:color="auto"/>
              <w:left w:val="single" w:sz="12" w:space="0" w:color="auto"/>
              <w:bottom w:val="single" w:sz="12" w:space="0" w:color="auto"/>
              <w:right w:val="single" w:sz="6" w:space="0" w:color="auto"/>
            </w:tcBorders>
            <w:textDirection w:val="lrTb"/>
            <w:vAlign w:val="center"/>
          </w:tcPr>
          <w:p w:rsidR="000D3C1C" w:rsidRPr="000D3C1C" w:rsidP="000D3C1C">
            <w:pPr>
              <w:suppressAutoHyphens/>
              <w:bidi w:val="0"/>
              <w:jc w:val="center"/>
              <w:rPr>
                <w:rFonts w:ascii="Times New Roman" w:hAnsi="Times New Roman"/>
                <w:b/>
                <w:sz w:val="20"/>
                <w:szCs w:val="20"/>
              </w:rPr>
            </w:pPr>
            <w:r w:rsidRPr="000D3C1C">
              <w:rPr>
                <w:rFonts w:ascii="Times New Roman" w:hAnsi="Times New Roman"/>
                <w:b/>
                <w:sz w:val="20"/>
                <w:szCs w:val="20"/>
              </w:rPr>
              <w:t>Spolu:</w:t>
            </w:r>
          </w:p>
        </w:tc>
        <w:tc>
          <w:tcPr>
            <w:tcW w:w="2094" w:type="dxa"/>
            <w:tcBorders>
              <w:top w:val="single" w:sz="6" w:space="0" w:color="auto"/>
              <w:left w:val="single" w:sz="6" w:space="0" w:color="auto"/>
              <w:bottom w:val="single" w:sz="12" w:space="0" w:color="auto"/>
              <w:right w:val="single" w:sz="6" w:space="0" w:color="auto"/>
            </w:tcBorders>
            <w:textDirection w:val="lrTb"/>
            <w:vAlign w:val="center"/>
          </w:tcPr>
          <w:p w:rsidR="000D3C1C" w:rsidRPr="000D3C1C" w:rsidP="000D3C1C">
            <w:pPr>
              <w:suppressAutoHyphens/>
              <w:bidi w:val="0"/>
              <w:jc w:val="center"/>
              <w:rPr>
                <w:rFonts w:ascii="Times New Roman" w:hAnsi="Times New Roman"/>
                <w:b/>
                <w:sz w:val="20"/>
                <w:szCs w:val="20"/>
              </w:rPr>
            </w:pPr>
            <w:r w:rsidRPr="000D3C1C">
              <w:rPr>
                <w:rFonts w:ascii="Times New Roman" w:hAnsi="Times New Roman"/>
                <w:b/>
                <w:sz w:val="20"/>
                <w:szCs w:val="20"/>
              </w:rPr>
              <w:t>88</w:t>
            </w:r>
          </w:p>
        </w:tc>
        <w:tc>
          <w:tcPr>
            <w:tcW w:w="2268" w:type="dxa"/>
            <w:tcBorders>
              <w:top w:val="single" w:sz="6" w:space="0" w:color="auto"/>
              <w:left w:val="single" w:sz="6" w:space="0" w:color="auto"/>
              <w:bottom w:val="single" w:sz="12" w:space="0" w:color="auto"/>
              <w:right w:val="single" w:sz="12" w:space="0" w:color="auto"/>
            </w:tcBorders>
            <w:textDirection w:val="lrTb"/>
            <w:vAlign w:val="center"/>
          </w:tcPr>
          <w:p w:rsidR="000D3C1C" w:rsidRPr="000D3C1C" w:rsidP="000D3C1C">
            <w:pPr>
              <w:suppressAutoHyphens/>
              <w:bidi w:val="0"/>
              <w:jc w:val="center"/>
              <w:rPr>
                <w:rFonts w:ascii="Times New Roman" w:hAnsi="Times New Roman"/>
                <w:b/>
                <w:sz w:val="20"/>
                <w:szCs w:val="20"/>
              </w:rPr>
            </w:pPr>
            <w:r w:rsidRPr="000D3C1C">
              <w:rPr>
                <w:rFonts w:ascii="Times New Roman" w:hAnsi="Times New Roman"/>
                <w:b/>
                <w:sz w:val="20"/>
                <w:szCs w:val="20"/>
              </w:rPr>
              <w:t>127**</w:t>
            </w:r>
          </w:p>
        </w:tc>
      </w:tr>
    </w:tbl>
    <w:p w:rsidR="000D3C1C" w:rsidRPr="000D3C1C" w:rsidP="000D3C1C">
      <w:pPr>
        <w:suppressAutoHyphens/>
        <w:bidi w:val="0"/>
        <w:jc w:val="both"/>
        <w:rPr>
          <w:rFonts w:ascii="Times New Roman" w:hAnsi="Times New Roman"/>
          <w:i/>
          <w:sz w:val="20"/>
          <w:szCs w:val="20"/>
        </w:rPr>
      </w:pPr>
      <w:r w:rsidRPr="000D3C1C">
        <w:rPr>
          <w:rFonts w:ascii="Times New Roman" w:hAnsi="Times New Roman"/>
          <w:i/>
          <w:sz w:val="20"/>
          <w:szCs w:val="20"/>
        </w:rPr>
        <w:t>* poznámka: platové prostriedky pre ostatných zamestnancov sú  zabezpečené v štátnom rozpočte</w:t>
      </w:r>
    </w:p>
    <w:p w:rsidR="000D3C1C" w:rsidRPr="000D3C1C" w:rsidP="000D3C1C">
      <w:pPr>
        <w:suppressAutoHyphens/>
        <w:bidi w:val="0"/>
        <w:ind w:hanging="273"/>
        <w:jc w:val="both"/>
        <w:rPr>
          <w:rFonts w:ascii="Times New Roman" w:hAnsi="Times New Roman"/>
          <w:sz w:val="20"/>
          <w:szCs w:val="20"/>
        </w:rPr>
      </w:pPr>
      <w:r w:rsidRPr="000D3C1C">
        <w:rPr>
          <w:rFonts w:ascii="Times New Roman" w:hAnsi="Times New Roman"/>
          <w:i/>
          <w:sz w:val="20"/>
          <w:szCs w:val="20"/>
        </w:rPr>
        <w:t xml:space="preserve">     ** poznámka: na základe schváleného </w:t>
      </w:r>
      <w:r w:rsidRPr="000D3C1C">
        <w:rPr>
          <w:rFonts w:ascii="Times New Roman" w:hAnsi="Times New Roman"/>
          <w:sz w:val="20"/>
          <w:szCs w:val="20"/>
        </w:rPr>
        <w:t>„Zhodnotenia inštitucionálneho postavenia a koncepcie Leteckého úradu...“ schváleného na 9. porade vedenia MDPT SR dňa 12.5.2008</w:t>
      </w:r>
    </w:p>
    <w:p w:rsidR="000D3C1C" w:rsidRPr="000D3C1C" w:rsidP="000D3C1C">
      <w:pPr>
        <w:suppressAutoHyphens/>
        <w:bidi w:val="0"/>
        <w:ind w:hanging="273"/>
        <w:jc w:val="both"/>
        <w:rPr>
          <w:rFonts w:ascii="Times New Roman" w:hAnsi="Times New Roman"/>
          <w:i/>
          <w:sz w:val="20"/>
          <w:szCs w:val="20"/>
        </w:rPr>
      </w:pPr>
    </w:p>
    <w:p w:rsidR="000D3C1C" w:rsidRPr="00F453BA" w:rsidP="000D3C1C">
      <w:pPr>
        <w:suppressAutoHyphens/>
        <w:bidi w:val="0"/>
        <w:ind w:firstLine="567"/>
        <w:jc w:val="both"/>
        <w:rPr>
          <w:rFonts w:ascii="Times New Roman" w:hAnsi="Times New Roman"/>
        </w:rPr>
      </w:pPr>
      <w:r w:rsidRPr="00F453BA">
        <w:rPr>
          <w:rFonts w:ascii="Times New Roman" w:hAnsi="Times New Roman"/>
        </w:rPr>
        <w:t>Náklady uvedené v  tabuľke č.2 obsahujú náklady na odmeňovanie, prevádzkové náklady, kapitálové náklady a všetky ostatné súvisiace náklady v súlade  s Nariadením komisie (ES) č. 1794/2006 z 6.decembra 2006, ktorým sa stanovuje spoločný systém spoplatňovania leteckých navigačných služieb, Tieto náklady sa prideľujú transparentným spôsobom na činnosti, v ktorých skutočne vznikli.</w:t>
      </w:r>
    </w:p>
    <w:p w:rsidR="000D3C1C" w:rsidRPr="00F453BA" w:rsidP="000D3C1C">
      <w:pPr>
        <w:suppressAutoHyphens/>
        <w:bidi w:val="0"/>
        <w:ind w:firstLine="567"/>
        <w:jc w:val="both"/>
        <w:rPr>
          <w:rFonts w:ascii="Times New Roman" w:hAnsi="Times New Roman"/>
        </w:rPr>
      </w:pPr>
      <w:r w:rsidRPr="00F453BA">
        <w:rPr>
          <w:rFonts w:ascii="Times New Roman" w:hAnsi="Times New Roman"/>
        </w:rPr>
        <w:t xml:space="preserve">Príjmovú časť rozpočtu v roku 2009 ovplyvnia viaceré skutočnosti. V prvom rade ide o novelu sadzobníka správnych poplatkov, ktorá zavádza nové a primerane zvyšuje pôvodné správne poplatky. Výrazným prvkom ovplyvňujúcim príjmovú časť rozpočtu budú úhrady za dozor nad poskytovateľmi navigačných  služieb formou získania finančných prostriedkov na základe Nariadenia Komisie (ES) č. 1794/2006, podľa ktorého je možné tieto príjmy použiť v plnom rozsahu na výkon štátneho odborného dozoru nad osvedčeným poskytovateľom navigačných služieb na území Slovenskej republiky. Alokovaná suma týchto prostriedkov  predstavuje pre rok  2009 cca 995,82 tis. €. </w:t>
      </w:r>
    </w:p>
    <w:p w:rsidR="000D3C1C" w:rsidRPr="00F453BA" w:rsidP="000D3C1C">
      <w:pPr>
        <w:suppressAutoHyphens/>
        <w:bidi w:val="0"/>
        <w:ind w:firstLine="567"/>
        <w:jc w:val="both"/>
        <w:rPr>
          <w:rFonts w:ascii="Times New Roman" w:hAnsi="Times New Roman"/>
        </w:rPr>
      </w:pPr>
      <w:r w:rsidRPr="00F453BA">
        <w:rPr>
          <w:rFonts w:ascii="Times New Roman" w:hAnsi="Times New Roman"/>
        </w:rPr>
        <w:t>Predpoklad plnenia príjmov, ktoré tvoria príjem Všeobecnej pokladničnej správy  v roku 2009 je vo výške 94 723 €, v roku 2010 vo výške 107 723 €, v roku 2011 vo výške 118 723 € a v roku 2012 vo výške 137 723 €. Okrem príjmov, ktoré tvoria príjem Všeobecnej pokladničnej správy bude letecký úrad disponovať príjmami zo spoločného spoplatňovania leteckých navigačných služieb. Tieto príjmy budú vedené na samostatnom mimorozpočtovom účte. Výška týchto príjmov ako aj spôsob ich použitia je uvedená v tabuľke č. 2.</w:t>
      </w:r>
    </w:p>
    <w:p w:rsidR="000D3C1C" w:rsidRPr="00F453BA" w:rsidP="000D3C1C">
      <w:pPr>
        <w:suppressAutoHyphens/>
        <w:bidi w:val="0"/>
        <w:ind w:firstLine="567"/>
        <w:jc w:val="both"/>
        <w:rPr>
          <w:rFonts w:ascii="Times New Roman" w:hAnsi="Times New Roman"/>
        </w:rPr>
      </w:pPr>
      <w:r w:rsidRPr="00F453BA">
        <w:rPr>
          <w:rFonts w:ascii="Times New Roman" w:hAnsi="Times New Roman"/>
        </w:rPr>
        <w:t>Predpoklad plnenia príjmov v rokoch 2010 až 2012 sú uvedené v tabuľke č. 1.</w:t>
      </w:r>
    </w:p>
    <w:p w:rsidR="000D3C1C" w:rsidRPr="00F453BA" w:rsidP="000D3C1C">
      <w:pPr>
        <w:suppressAutoHyphens/>
        <w:bidi w:val="0"/>
        <w:ind w:firstLine="567"/>
        <w:jc w:val="both"/>
        <w:rPr>
          <w:rFonts w:ascii="Times New Roman" w:hAnsi="Times New Roman"/>
        </w:rPr>
      </w:pPr>
    </w:p>
    <w:p w:rsidR="000D3C1C" w:rsidRPr="00F453BA" w:rsidP="000D3C1C">
      <w:pPr>
        <w:bidi w:val="0"/>
        <w:ind w:firstLine="567"/>
        <w:jc w:val="both"/>
        <w:outlineLvl w:val="0"/>
        <w:rPr>
          <w:rFonts w:ascii="Times New Roman" w:hAnsi="Times New Roman"/>
        </w:rPr>
      </w:pPr>
      <w:r w:rsidRPr="00F453BA">
        <w:rPr>
          <w:rFonts w:ascii="Times New Roman" w:hAnsi="Times New Roman"/>
        </w:rPr>
        <w:t>2.2. Výdavková časť</w:t>
      </w:r>
    </w:p>
    <w:p w:rsidR="000D3C1C" w:rsidRPr="00F453BA" w:rsidP="000D3C1C">
      <w:pPr>
        <w:bidi w:val="0"/>
        <w:ind w:firstLine="567"/>
        <w:jc w:val="both"/>
        <w:rPr>
          <w:rFonts w:ascii="Times New Roman" w:hAnsi="Times New Roman"/>
        </w:rPr>
      </w:pPr>
      <w:r w:rsidRPr="00F453BA">
        <w:rPr>
          <w:rFonts w:ascii="Times New Roman" w:hAnsi="Times New Roman"/>
        </w:rPr>
        <w:t xml:space="preserve"> </w:t>
        <w:tab/>
        <w:t xml:space="preserve">V súčasnosti sú všetky činnosti leteckého úradu uhrádzané zo štátneho rozpočtu. Vládny návrh zákona o štátnom rozpočte na roky 2009 – </w:t>
      </w:r>
      <w:smartTag w:uri="urn:schemas-microsoft-com:office:smarttags" w:element="metricconverter">
        <w:smartTagPr>
          <w:attr w:name="ProductID" w:val="2011 a"/>
        </w:smartTagPr>
        <w:r w:rsidRPr="00F453BA">
          <w:rPr>
            <w:rFonts w:ascii="Times New Roman" w:hAnsi="Times New Roman"/>
          </w:rPr>
          <w:t>2011 a</w:t>
        </w:r>
      </w:smartTag>
      <w:r w:rsidRPr="00F453BA">
        <w:rPr>
          <w:rFonts w:ascii="Times New Roman" w:hAnsi="Times New Roman"/>
        </w:rPr>
        <w:t xml:space="preserve"> 2012  uvažuje vyčleniť pre letecký úrad rozpočet, ktorý je uvedený v tabuľke č. 4.  </w:t>
      </w:r>
    </w:p>
    <w:p w:rsidR="000D3C1C" w:rsidRPr="00F453BA" w:rsidP="000D3C1C">
      <w:pPr>
        <w:bidi w:val="0"/>
        <w:ind w:firstLine="567"/>
        <w:jc w:val="both"/>
        <w:rPr>
          <w:rFonts w:ascii="Times New Roman" w:hAnsi="Times New Roman"/>
        </w:rPr>
      </w:pPr>
      <w:r w:rsidRPr="00F453BA">
        <w:rPr>
          <w:rFonts w:ascii="Times New Roman" w:hAnsi="Times New Roman"/>
        </w:rPr>
        <w:t>Pri odhade celkovej výšky rozpočtu sa vychádzalo z nasledovných predpokladov:</w:t>
      </w:r>
    </w:p>
    <w:p w:rsidR="000D3C1C" w:rsidRPr="00F453BA" w:rsidP="000D3C1C">
      <w:pPr>
        <w:tabs>
          <w:tab w:val="left" w:pos="900"/>
        </w:tabs>
        <w:bidi w:val="0"/>
        <w:ind w:firstLine="567"/>
        <w:jc w:val="both"/>
        <w:rPr>
          <w:rFonts w:ascii="Times New Roman" w:hAnsi="Times New Roman"/>
        </w:rPr>
      </w:pPr>
      <w:r w:rsidRPr="00F453BA">
        <w:rPr>
          <w:rFonts w:ascii="Times New Roman" w:hAnsi="Times New Roman"/>
        </w:rPr>
        <w:t>1)</w:t>
        <w:tab/>
        <w:t>Letecký úrad je vysoko špecializovaná, odborná organizácia štátnej správy, ktorá zamestnáva odborníkov; pracovné podmienky a spoločenské ohodnotenie musia byť úmerné významu inštitúcie tak, ako je to u odborných inštitúcií v zahraničí,</w:t>
      </w:r>
    </w:p>
    <w:p w:rsidR="000D3C1C" w:rsidRPr="000D3C1C" w:rsidP="000D3C1C">
      <w:pPr>
        <w:bidi w:val="0"/>
        <w:jc w:val="center"/>
        <w:rPr>
          <w:rFonts w:ascii="Times New Roman" w:hAnsi="Times New Roman"/>
          <w:b/>
        </w:rPr>
      </w:pPr>
      <w:r w:rsidRPr="000D3C1C">
        <w:rPr>
          <w:rFonts w:ascii="Times New Roman" w:hAnsi="Times New Roman"/>
          <w:b/>
        </w:rPr>
        <w:t>Prehľad výdavkov leteckého úradu zo štátneho rozpočtu do roku 2012 v ročnom vyjadrení.</w:t>
      </w:r>
    </w:p>
    <w:p w:rsidR="000D3C1C" w:rsidRPr="000D3C1C" w:rsidP="000D3C1C">
      <w:pPr>
        <w:tabs>
          <w:tab w:val="left" w:pos="6660"/>
        </w:tabs>
        <w:bidi w:val="0"/>
        <w:jc w:val="both"/>
        <w:rPr>
          <w:rFonts w:ascii="Times New Roman" w:hAnsi="Times New Roman"/>
          <w:sz w:val="20"/>
          <w:szCs w:val="20"/>
        </w:rPr>
      </w:pPr>
      <w:r w:rsidRPr="000D3C1C">
        <w:rPr>
          <w:rFonts w:ascii="Times New Roman" w:hAnsi="Times New Roman"/>
          <w:sz w:val="20"/>
          <w:szCs w:val="20"/>
        </w:rPr>
        <w:t xml:space="preserve">            (tabuľka č. 4)</w:t>
        <w:tab/>
        <w:t xml:space="preserve">                       (tis. €)</w:t>
      </w:r>
    </w:p>
    <w:tbl>
      <w:tblPr>
        <w:tblStyle w:val="TableGrid"/>
        <w:tblW w:w="8159" w:type="dxa"/>
        <w:jc w:val="center"/>
        <w:tblBorders>
          <w:top w:val="single" w:sz="18" w:space="0" w:color="auto"/>
          <w:left w:val="single" w:sz="18" w:space="0" w:color="auto"/>
          <w:bottom w:val="single" w:sz="18" w:space="0" w:color="auto"/>
          <w:right w:val="single" w:sz="18" w:space="0" w:color="auto"/>
        </w:tblBorders>
        <w:tblLook w:val="01E0"/>
      </w:tblPr>
      <w:tblGrid>
        <w:gridCol w:w="3221"/>
        <w:gridCol w:w="1284"/>
        <w:gridCol w:w="1218"/>
        <w:gridCol w:w="1218"/>
        <w:gridCol w:w="1218"/>
      </w:tblGrid>
      <w:tr>
        <w:tblPrEx>
          <w:tblW w:w="8159" w:type="dxa"/>
          <w:jc w:val="center"/>
          <w:tblBorders>
            <w:top w:val="single" w:sz="18" w:space="0" w:color="auto"/>
            <w:left w:val="single" w:sz="18" w:space="0" w:color="auto"/>
            <w:bottom w:val="single" w:sz="18" w:space="0" w:color="auto"/>
            <w:right w:val="single" w:sz="18" w:space="0" w:color="auto"/>
          </w:tblBorders>
          <w:tblLook w:val="01E0"/>
        </w:tblPrEx>
        <w:trPr>
          <w:trHeight w:val="479"/>
          <w:jc w:val="center"/>
        </w:trPr>
        <w:tc>
          <w:tcPr>
            <w:tcW w:w="0" w:type="auto"/>
            <w:tcBorders>
              <w:top w:val="single" w:sz="18" w:space="0" w:color="auto"/>
              <w:left w:val="single" w:sz="18"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Ukazovateľ</w:t>
            </w:r>
          </w:p>
        </w:tc>
        <w:tc>
          <w:tcPr>
            <w:tcW w:w="0" w:type="auto"/>
            <w:tcBorders>
              <w:top w:val="single" w:sz="18"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2009</w:t>
            </w:r>
          </w:p>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Plán</w:t>
            </w:r>
          </w:p>
        </w:tc>
        <w:tc>
          <w:tcPr>
            <w:tcW w:w="0" w:type="auto"/>
            <w:tcBorders>
              <w:top w:val="single" w:sz="18"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2010</w:t>
            </w:r>
          </w:p>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Plán</w:t>
            </w:r>
          </w:p>
        </w:tc>
        <w:tc>
          <w:tcPr>
            <w:tcW w:w="0" w:type="auto"/>
            <w:tcBorders>
              <w:top w:val="single" w:sz="18"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2011</w:t>
            </w:r>
          </w:p>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Plán</w:t>
            </w:r>
          </w:p>
        </w:tc>
        <w:tc>
          <w:tcPr>
            <w:tcW w:w="0" w:type="auto"/>
            <w:tcBorders>
              <w:top w:val="single" w:sz="18" w:space="0" w:color="auto"/>
              <w:left w:val="single" w:sz="4" w:space="0" w:color="auto"/>
              <w:bottom w:val="single" w:sz="4" w:space="0" w:color="auto"/>
              <w:right w:val="single" w:sz="18"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2012</w:t>
            </w:r>
          </w:p>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Plán</w:t>
            </w:r>
          </w:p>
        </w:tc>
      </w:tr>
      <w:tr>
        <w:tblPrEx>
          <w:tblW w:w="8159" w:type="dxa"/>
          <w:jc w:val="center"/>
          <w:tblLook w:val="01E0"/>
        </w:tblPrEx>
        <w:trPr>
          <w:trHeight w:val="442"/>
          <w:jc w:val="center"/>
        </w:trPr>
        <w:tc>
          <w:tcPr>
            <w:tcW w:w="0" w:type="auto"/>
            <w:tcBorders>
              <w:top w:val="double" w:sz="4" w:space="0" w:color="auto"/>
              <w:left w:val="single" w:sz="18"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b/>
                <w:sz w:val="20"/>
                <w:szCs w:val="20"/>
              </w:rPr>
            </w:pPr>
            <w:r w:rsidRPr="000D3C1C">
              <w:rPr>
                <w:rFonts w:ascii="Times New Roman" w:hAnsi="Times New Roman"/>
                <w:b/>
                <w:sz w:val="20"/>
                <w:szCs w:val="20"/>
              </w:rPr>
              <w:t xml:space="preserve">700 – Kapitálové výdavky  </w:t>
            </w:r>
          </w:p>
        </w:tc>
        <w:tc>
          <w:tcPr>
            <w:tcW w:w="0" w:type="auto"/>
            <w:tcBorders>
              <w:top w:val="doub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531,10</w:t>
            </w:r>
          </w:p>
        </w:tc>
        <w:tc>
          <w:tcPr>
            <w:tcW w:w="0" w:type="auto"/>
            <w:tcBorders>
              <w:top w:val="doub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33,19</w:t>
            </w:r>
          </w:p>
        </w:tc>
        <w:tc>
          <w:tcPr>
            <w:tcW w:w="0" w:type="auto"/>
            <w:tcBorders>
              <w:top w:val="double" w:sz="4" w:space="0" w:color="auto"/>
              <w:left w:val="single" w:sz="4" w:space="0" w:color="auto"/>
              <w:bottom w:val="single" w:sz="4" w:space="0" w:color="auto"/>
              <w:right w:val="single" w:sz="4" w:space="0" w:color="auto"/>
            </w:tcBorders>
            <w:textDirection w:val="lrTb"/>
            <w:vAlign w:val="top"/>
          </w:tcPr>
          <w:p w:rsidR="000D3C1C" w:rsidRPr="000D3C1C" w:rsidP="000D3C1C">
            <w:pPr>
              <w:bidi w:val="0"/>
              <w:jc w:val="right"/>
              <w:rPr>
                <w:rFonts w:ascii="Times New Roman" w:hAnsi="Times New Roman"/>
                <w:sz w:val="20"/>
                <w:szCs w:val="20"/>
              </w:rPr>
            </w:pPr>
            <w:r w:rsidRPr="000D3C1C">
              <w:rPr>
                <w:rFonts w:ascii="Times New Roman" w:hAnsi="Times New Roman"/>
                <w:b/>
                <w:sz w:val="20"/>
                <w:szCs w:val="20"/>
              </w:rPr>
              <w:t>33,19</w:t>
            </w:r>
          </w:p>
        </w:tc>
        <w:tc>
          <w:tcPr>
            <w:tcW w:w="0" w:type="auto"/>
            <w:tcBorders>
              <w:top w:val="double" w:sz="4" w:space="0" w:color="auto"/>
              <w:left w:val="single" w:sz="4" w:space="0" w:color="auto"/>
              <w:bottom w:val="single" w:sz="4" w:space="0" w:color="auto"/>
              <w:right w:val="single" w:sz="18" w:space="0" w:color="auto"/>
            </w:tcBorders>
            <w:textDirection w:val="lrTb"/>
            <w:vAlign w:val="top"/>
          </w:tcPr>
          <w:p w:rsidR="000D3C1C" w:rsidRPr="000D3C1C" w:rsidP="000D3C1C">
            <w:pPr>
              <w:bidi w:val="0"/>
              <w:jc w:val="right"/>
              <w:rPr>
                <w:rFonts w:ascii="Times New Roman" w:hAnsi="Times New Roman"/>
                <w:sz w:val="20"/>
                <w:szCs w:val="20"/>
              </w:rPr>
            </w:pPr>
            <w:r w:rsidRPr="000D3C1C">
              <w:rPr>
                <w:rFonts w:ascii="Times New Roman" w:hAnsi="Times New Roman"/>
                <w:b/>
                <w:sz w:val="20"/>
                <w:szCs w:val="20"/>
              </w:rPr>
              <w:t>33,19</w:t>
            </w:r>
          </w:p>
        </w:tc>
      </w:tr>
      <w:tr>
        <w:tblPrEx>
          <w:tblW w:w="8159" w:type="dxa"/>
          <w:jc w:val="center"/>
          <w:tblLook w:val="01E0"/>
        </w:tblPrEx>
        <w:trPr>
          <w:trHeight w:val="442"/>
          <w:jc w:val="center"/>
        </w:trPr>
        <w:tc>
          <w:tcPr>
            <w:tcW w:w="0" w:type="auto"/>
            <w:tcBorders>
              <w:top w:val="single" w:sz="4" w:space="0" w:color="auto"/>
              <w:left w:val="single" w:sz="18"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b/>
                <w:sz w:val="20"/>
                <w:szCs w:val="20"/>
              </w:rPr>
            </w:pPr>
            <w:r w:rsidRPr="000D3C1C">
              <w:rPr>
                <w:rFonts w:ascii="Times New Roman" w:hAnsi="Times New Roman"/>
                <w:b/>
                <w:sz w:val="20"/>
                <w:szCs w:val="20"/>
              </w:rPr>
              <w:t>600 – Bežné výdavky</w:t>
            </w:r>
          </w:p>
          <w:p w:rsidR="000D3C1C" w:rsidRPr="000D3C1C" w:rsidP="000D3C1C">
            <w:pPr>
              <w:bidi w:val="0"/>
              <w:jc w:val="both"/>
              <w:rPr>
                <w:rFonts w:ascii="Times New Roman" w:hAnsi="Times New Roman"/>
                <w:sz w:val="20"/>
                <w:szCs w:val="20"/>
              </w:rPr>
            </w:pPr>
            <w:r w:rsidRPr="000D3C1C">
              <w:rPr>
                <w:rFonts w:ascii="Times New Roman" w:hAnsi="Times New Roman"/>
                <w:b/>
                <w:sz w:val="20"/>
                <w:szCs w:val="20"/>
              </w:rPr>
              <w:t xml:space="preserve">          </w:t>
            </w:r>
            <w:r w:rsidRPr="000D3C1C">
              <w:rPr>
                <w:rFonts w:ascii="Times New Roman" w:hAnsi="Times New Roman"/>
                <w:sz w:val="20"/>
                <w:szCs w:val="20"/>
              </w:rPr>
              <w:t>z toho:</w:t>
            </w:r>
          </w:p>
        </w:tc>
        <w:tc>
          <w:tcPr>
            <w:tcW w:w="0" w:type="auto"/>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 xml:space="preserve"> 2 171,45</w:t>
            </w:r>
          </w:p>
        </w:tc>
        <w:tc>
          <w:tcPr>
            <w:tcW w:w="0" w:type="auto"/>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2 213,57</w:t>
            </w:r>
          </w:p>
        </w:tc>
        <w:tc>
          <w:tcPr>
            <w:tcW w:w="0" w:type="auto"/>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2 254,93</w:t>
            </w:r>
          </w:p>
        </w:tc>
        <w:tc>
          <w:tcPr>
            <w:tcW w:w="0" w:type="auto"/>
            <w:tcBorders>
              <w:top w:val="single" w:sz="4" w:space="0" w:color="auto"/>
              <w:left w:val="single" w:sz="4" w:space="0" w:color="auto"/>
              <w:bottom w:val="single" w:sz="4" w:space="0" w:color="auto"/>
              <w:right w:val="single" w:sz="18" w:space="0" w:color="auto"/>
            </w:tcBorders>
            <w:textDirection w:val="lrTb"/>
            <w:vAlign w:val="center"/>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2 296,59</w:t>
            </w:r>
          </w:p>
        </w:tc>
      </w:tr>
      <w:tr>
        <w:tblPrEx>
          <w:tblW w:w="8159" w:type="dxa"/>
          <w:jc w:val="center"/>
          <w:tblLook w:val="01E0"/>
        </w:tblPrEx>
        <w:trPr>
          <w:trHeight w:val="221"/>
          <w:jc w:val="center"/>
        </w:trPr>
        <w:tc>
          <w:tcPr>
            <w:tcW w:w="0" w:type="auto"/>
            <w:tcBorders>
              <w:top w:val="single" w:sz="4" w:space="0" w:color="auto"/>
              <w:left w:val="single" w:sz="18"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sz w:val="20"/>
                <w:szCs w:val="20"/>
              </w:rPr>
            </w:pPr>
            <w:r w:rsidRPr="000D3C1C">
              <w:rPr>
                <w:rFonts w:ascii="Times New Roman" w:hAnsi="Times New Roman"/>
                <w:sz w:val="20"/>
                <w:szCs w:val="20"/>
              </w:rPr>
              <w:t>610 – Mzdy a platy</w:t>
            </w:r>
          </w:p>
        </w:tc>
        <w:tc>
          <w:tcPr>
            <w:tcW w:w="0" w:type="auto"/>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967,70</w:t>
            </w:r>
          </w:p>
        </w:tc>
        <w:tc>
          <w:tcPr>
            <w:tcW w:w="0" w:type="auto"/>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998,90</w:t>
            </w:r>
          </w:p>
        </w:tc>
        <w:tc>
          <w:tcPr>
            <w:tcW w:w="0" w:type="auto"/>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1 029,57</w:t>
            </w:r>
          </w:p>
        </w:tc>
        <w:tc>
          <w:tcPr>
            <w:tcW w:w="0" w:type="auto"/>
            <w:tcBorders>
              <w:top w:val="single" w:sz="4" w:space="0" w:color="auto"/>
              <w:left w:val="single" w:sz="4" w:space="0" w:color="auto"/>
              <w:bottom w:val="single" w:sz="4" w:space="0" w:color="auto"/>
              <w:right w:val="single" w:sz="18"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1 060,45</w:t>
            </w:r>
          </w:p>
        </w:tc>
      </w:tr>
      <w:tr>
        <w:tblPrEx>
          <w:tblW w:w="8159" w:type="dxa"/>
          <w:jc w:val="center"/>
          <w:tblLook w:val="01E0"/>
        </w:tblPrEx>
        <w:trPr>
          <w:trHeight w:val="221"/>
          <w:jc w:val="center"/>
        </w:trPr>
        <w:tc>
          <w:tcPr>
            <w:tcW w:w="0" w:type="auto"/>
            <w:tcBorders>
              <w:top w:val="single" w:sz="4" w:space="0" w:color="auto"/>
              <w:left w:val="single" w:sz="18"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sz w:val="20"/>
                <w:szCs w:val="20"/>
              </w:rPr>
            </w:pPr>
            <w:r w:rsidRPr="000D3C1C">
              <w:rPr>
                <w:rFonts w:ascii="Times New Roman" w:hAnsi="Times New Roman"/>
                <w:sz w:val="20"/>
                <w:szCs w:val="20"/>
              </w:rPr>
              <w:t>620 – Poistné</w:t>
            </w:r>
          </w:p>
        </w:tc>
        <w:tc>
          <w:tcPr>
            <w:tcW w:w="0" w:type="auto"/>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338,21</w:t>
            </w:r>
          </w:p>
        </w:tc>
        <w:tc>
          <w:tcPr>
            <w:tcW w:w="0" w:type="auto"/>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349,13</w:t>
            </w:r>
          </w:p>
        </w:tc>
        <w:tc>
          <w:tcPr>
            <w:tcW w:w="0" w:type="auto"/>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359,82</w:t>
            </w:r>
          </w:p>
        </w:tc>
        <w:tc>
          <w:tcPr>
            <w:tcW w:w="0" w:type="auto"/>
            <w:tcBorders>
              <w:top w:val="single" w:sz="4" w:space="0" w:color="auto"/>
              <w:left w:val="single" w:sz="4" w:space="0" w:color="auto"/>
              <w:bottom w:val="single" w:sz="4" w:space="0" w:color="auto"/>
              <w:right w:val="single" w:sz="18"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370,61</w:t>
            </w:r>
          </w:p>
        </w:tc>
      </w:tr>
      <w:tr>
        <w:tblPrEx>
          <w:tblW w:w="8159" w:type="dxa"/>
          <w:jc w:val="center"/>
          <w:tblLook w:val="01E0"/>
        </w:tblPrEx>
        <w:trPr>
          <w:trHeight w:val="221"/>
          <w:jc w:val="center"/>
        </w:trPr>
        <w:tc>
          <w:tcPr>
            <w:tcW w:w="0" w:type="auto"/>
            <w:tcBorders>
              <w:top w:val="single" w:sz="4" w:space="0" w:color="auto"/>
              <w:left w:val="single" w:sz="18"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sz w:val="20"/>
                <w:szCs w:val="20"/>
              </w:rPr>
            </w:pPr>
            <w:r w:rsidRPr="000D3C1C">
              <w:rPr>
                <w:rFonts w:ascii="Times New Roman" w:hAnsi="Times New Roman"/>
                <w:sz w:val="20"/>
                <w:szCs w:val="20"/>
              </w:rPr>
              <w:t>630 – Tovary a služby</w:t>
            </w:r>
          </w:p>
        </w:tc>
        <w:tc>
          <w:tcPr>
            <w:tcW w:w="0" w:type="auto"/>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855,57</w:t>
            </w:r>
          </w:p>
        </w:tc>
        <w:tc>
          <w:tcPr>
            <w:tcW w:w="0" w:type="auto"/>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855,57</w:t>
            </w:r>
          </w:p>
        </w:tc>
        <w:tc>
          <w:tcPr>
            <w:tcW w:w="0" w:type="auto"/>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855,57</w:t>
            </w:r>
          </w:p>
        </w:tc>
        <w:tc>
          <w:tcPr>
            <w:tcW w:w="0" w:type="auto"/>
            <w:tcBorders>
              <w:top w:val="single" w:sz="4" w:space="0" w:color="auto"/>
              <w:left w:val="single" w:sz="4" w:space="0" w:color="auto"/>
              <w:bottom w:val="single" w:sz="4" w:space="0" w:color="auto"/>
              <w:right w:val="single" w:sz="18"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855,56</w:t>
            </w:r>
          </w:p>
        </w:tc>
      </w:tr>
      <w:tr>
        <w:tblPrEx>
          <w:tblW w:w="8159" w:type="dxa"/>
          <w:jc w:val="center"/>
          <w:tblLook w:val="01E0"/>
        </w:tblPrEx>
        <w:trPr>
          <w:trHeight w:val="234"/>
          <w:jc w:val="center"/>
        </w:trPr>
        <w:tc>
          <w:tcPr>
            <w:tcW w:w="0" w:type="auto"/>
            <w:tcBorders>
              <w:top w:val="single" w:sz="4" w:space="0" w:color="auto"/>
              <w:left w:val="single" w:sz="18"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sz w:val="20"/>
                <w:szCs w:val="20"/>
              </w:rPr>
            </w:pPr>
            <w:r w:rsidRPr="000D3C1C">
              <w:rPr>
                <w:rFonts w:ascii="Times New Roman" w:hAnsi="Times New Roman"/>
                <w:sz w:val="20"/>
                <w:szCs w:val="20"/>
              </w:rPr>
              <w:t>640 – Bežné transfery</w:t>
            </w:r>
          </w:p>
        </w:tc>
        <w:tc>
          <w:tcPr>
            <w:tcW w:w="0" w:type="auto"/>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9,97</w:t>
            </w:r>
          </w:p>
        </w:tc>
        <w:tc>
          <w:tcPr>
            <w:tcW w:w="0" w:type="auto"/>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9,97</w:t>
            </w:r>
          </w:p>
        </w:tc>
        <w:tc>
          <w:tcPr>
            <w:tcW w:w="0" w:type="auto"/>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9,97</w:t>
            </w:r>
          </w:p>
        </w:tc>
        <w:tc>
          <w:tcPr>
            <w:tcW w:w="0" w:type="auto"/>
            <w:tcBorders>
              <w:top w:val="single" w:sz="4" w:space="0" w:color="auto"/>
              <w:left w:val="single" w:sz="4" w:space="0" w:color="auto"/>
              <w:bottom w:val="single" w:sz="4" w:space="0" w:color="auto"/>
              <w:right w:val="single" w:sz="18"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9,97</w:t>
            </w:r>
          </w:p>
        </w:tc>
      </w:tr>
      <w:tr>
        <w:tblPrEx>
          <w:tblW w:w="8159" w:type="dxa"/>
          <w:jc w:val="center"/>
          <w:tblLook w:val="01E0"/>
        </w:tblPrEx>
        <w:trPr>
          <w:trHeight w:val="221"/>
          <w:jc w:val="center"/>
        </w:trPr>
        <w:tc>
          <w:tcPr>
            <w:tcW w:w="0" w:type="auto"/>
            <w:tcBorders>
              <w:top w:val="single" w:sz="4" w:space="0" w:color="auto"/>
              <w:left w:val="single" w:sz="18"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sz w:val="20"/>
                <w:szCs w:val="20"/>
              </w:rPr>
            </w:pPr>
            <w:r w:rsidRPr="000D3C1C">
              <w:rPr>
                <w:rFonts w:ascii="Times New Roman" w:hAnsi="Times New Roman"/>
                <w:sz w:val="20"/>
                <w:szCs w:val="20"/>
              </w:rPr>
              <w:t>Počet pracovníkov</w:t>
            </w:r>
          </w:p>
        </w:tc>
        <w:tc>
          <w:tcPr>
            <w:tcW w:w="0" w:type="auto"/>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sz w:val="20"/>
                <w:szCs w:val="20"/>
              </w:rPr>
            </w:pPr>
            <w:r w:rsidRPr="000D3C1C">
              <w:rPr>
                <w:rFonts w:ascii="Times New Roman" w:hAnsi="Times New Roman"/>
                <w:sz w:val="20"/>
                <w:szCs w:val="20"/>
              </w:rPr>
              <w:t>98</w:t>
            </w:r>
            <w:r w:rsidRPr="000D3C1C">
              <w:rPr>
                <w:rFonts w:ascii="Arial Narrow" w:hAnsi="Arial Narrow"/>
                <w:sz w:val="20"/>
                <w:szCs w:val="20"/>
              </w:rPr>
              <w:t>*</w:t>
            </w:r>
          </w:p>
        </w:tc>
        <w:tc>
          <w:tcPr>
            <w:tcW w:w="0" w:type="auto"/>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sz w:val="20"/>
                <w:szCs w:val="20"/>
              </w:rPr>
            </w:pPr>
            <w:r w:rsidRPr="000D3C1C">
              <w:rPr>
                <w:rFonts w:ascii="Times New Roman" w:hAnsi="Times New Roman"/>
                <w:sz w:val="20"/>
                <w:szCs w:val="20"/>
              </w:rPr>
              <w:t>88**</w:t>
            </w:r>
          </w:p>
        </w:tc>
        <w:tc>
          <w:tcPr>
            <w:tcW w:w="0" w:type="auto"/>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sz w:val="20"/>
                <w:szCs w:val="20"/>
              </w:rPr>
            </w:pPr>
            <w:r w:rsidRPr="000D3C1C">
              <w:rPr>
                <w:rFonts w:ascii="Times New Roman" w:hAnsi="Times New Roman"/>
                <w:sz w:val="20"/>
                <w:szCs w:val="20"/>
              </w:rPr>
              <w:t>88**</w:t>
            </w:r>
          </w:p>
        </w:tc>
        <w:tc>
          <w:tcPr>
            <w:tcW w:w="0" w:type="auto"/>
            <w:tcBorders>
              <w:top w:val="single" w:sz="4" w:space="0" w:color="auto"/>
              <w:left w:val="single" w:sz="4" w:space="0" w:color="auto"/>
              <w:bottom w:val="single" w:sz="4" w:space="0" w:color="auto"/>
              <w:right w:val="single" w:sz="18" w:space="0" w:color="auto"/>
            </w:tcBorders>
            <w:textDirection w:val="lrTb"/>
            <w:vAlign w:val="center"/>
          </w:tcPr>
          <w:p w:rsidR="000D3C1C" w:rsidRPr="000D3C1C" w:rsidP="000D3C1C">
            <w:pPr>
              <w:bidi w:val="0"/>
              <w:jc w:val="center"/>
              <w:rPr>
                <w:rFonts w:ascii="Times New Roman" w:hAnsi="Times New Roman"/>
                <w:sz w:val="20"/>
                <w:szCs w:val="20"/>
              </w:rPr>
            </w:pPr>
            <w:r w:rsidRPr="000D3C1C">
              <w:rPr>
                <w:rFonts w:ascii="Times New Roman" w:hAnsi="Times New Roman"/>
                <w:sz w:val="20"/>
                <w:szCs w:val="20"/>
              </w:rPr>
              <w:t>88**</w:t>
            </w:r>
          </w:p>
        </w:tc>
      </w:tr>
      <w:tr>
        <w:tblPrEx>
          <w:tblW w:w="8159" w:type="dxa"/>
          <w:jc w:val="center"/>
          <w:tblLook w:val="01E0"/>
        </w:tblPrEx>
        <w:trPr>
          <w:trHeight w:val="221"/>
          <w:jc w:val="center"/>
        </w:trPr>
        <w:tc>
          <w:tcPr>
            <w:tcW w:w="0" w:type="auto"/>
            <w:tcBorders>
              <w:top w:val="single" w:sz="4" w:space="0" w:color="auto"/>
              <w:left w:val="single" w:sz="18"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sz w:val="20"/>
                <w:szCs w:val="20"/>
              </w:rPr>
            </w:pPr>
            <w:r w:rsidRPr="000D3C1C">
              <w:rPr>
                <w:rFonts w:ascii="Times New Roman" w:hAnsi="Times New Roman"/>
                <w:sz w:val="20"/>
                <w:szCs w:val="20"/>
              </w:rPr>
              <w:t>Priemerná mzda</w:t>
            </w:r>
          </w:p>
        </w:tc>
        <w:tc>
          <w:tcPr>
            <w:tcW w:w="0" w:type="auto"/>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916,4</w:t>
            </w:r>
          </w:p>
        </w:tc>
        <w:tc>
          <w:tcPr>
            <w:tcW w:w="0" w:type="auto"/>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945,90</w:t>
            </w:r>
          </w:p>
        </w:tc>
        <w:tc>
          <w:tcPr>
            <w:tcW w:w="0" w:type="auto"/>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975,00</w:t>
            </w:r>
          </w:p>
        </w:tc>
        <w:tc>
          <w:tcPr>
            <w:tcW w:w="0" w:type="auto"/>
            <w:tcBorders>
              <w:top w:val="single" w:sz="4" w:space="0" w:color="auto"/>
              <w:left w:val="single" w:sz="4" w:space="0" w:color="auto"/>
              <w:bottom w:val="single" w:sz="4" w:space="0" w:color="auto"/>
              <w:right w:val="single" w:sz="18"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1 004,20</w:t>
            </w:r>
          </w:p>
        </w:tc>
      </w:tr>
      <w:tr>
        <w:tblPrEx>
          <w:tblW w:w="8159" w:type="dxa"/>
          <w:jc w:val="center"/>
          <w:tblLook w:val="01E0"/>
        </w:tblPrEx>
        <w:trPr>
          <w:trHeight w:val="221"/>
          <w:jc w:val="center"/>
        </w:trPr>
        <w:tc>
          <w:tcPr>
            <w:tcW w:w="0" w:type="auto"/>
            <w:tcBorders>
              <w:top w:val="single" w:sz="4" w:space="0" w:color="auto"/>
              <w:left w:val="single" w:sz="18" w:space="0" w:color="auto"/>
              <w:bottom w:val="single" w:sz="18" w:space="0" w:color="auto"/>
              <w:right w:val="single" w:sz="4" w:space="0" w:color="auto"/>
            </w:tcBorders>
            <w:textDirection w:val="lrTb"/>
            <w:vAlign w:val="top"/>
          </w:tcPr>
          <w:p w:rsidR="000D3C1C" w:rsidRPr="000D3C1C" w:rsidP="000D3C1C">
            <w:pPr>
              <w:bidi w:val="0"/>
              <w:jc w:val="both"/>
              <w:rPr>
                <w:rFonts w:ascii="Times New Roman" w:hAnsi="Times New Roman"/>
                <w:b/>
                <w:sz w:val="20"/>
                <w:szCs w:val="20"/>
              </w:rPr>
            </w:pPr>
            <w:r w:rsidRPr="000D3C1C">
              <w:rPr>
                <w:rFonts w:ascii="Times New Roman" w:hAnsi="Times New Roman"/>
                <w:b/>
                <w:sz w:val="20"/>
                <w:szCs w:val="20"/>
              </w:rPr>
              <w:t>Spolu:</w:t>
            </w:r>
          </w:p>
        </w:tc>
        <w:tc>
          <w:tcPr>
            <w:tcW w:w="0" w:type="auto"/>
            <w:tcBorders>
              <w:top w:val="single" w:sz="4" w:space="0" w:color="auto"/>
              <w:left w:val="single" w:sz="4" w:space="0" w:color="auto"/>
              <w:bottom w:val="single" w:sz="18" w:space="0" w:color="auto"/>
              <w:right w:val="single" w:sz="4" w:space="0" w:color="auto"/>
            </w:tcBorders>
            <w:textDirection w:val="lrTb"/>
            <w:vAlign w:val="center"/>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2 702,55</w:t>
            </w:r>
          </w:p>
        </w:tc>
        <w:tc>
          <w:tcPr>
            <w:tcW w:w="0" w:type="auto"/>
            <w:tcBorders>
              <w:top w:val="single" w:sz="4" w:space="0" w:color="auto"/>
              <w:left w:val="single" w:sz="4" w:space="0" w:color="auto"/>
              <w:bottom w:val="single" w:sz="18" w:space="0" w:color="auto"/>
              <w:right w:val="single" w:sz="4" w:space="0" w:color="auto"/>
            </w:tcBorders>
            <w:textDirection w:val="lrTb"/>
            <w:vAlign w:val="center"/>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2 246,76</w:t>
            </w:r>
          </w:p>
        </w:tc>
        <w:tc>
          <w:tcPr>
            <w:tcW w:w="0" w:type="auto"/>
            <w:tcBorders>
              <w:top w:val="single" w:sz="4" w:space="0" w:color="auto"/>
              <w:left w:val="single" w:sz="4" w:space="0" w:color="auto"/>
              <w:bottom w:val="single" w:sz="18" w:space="0" w:color="auto"/>
              <w:right w:val="single" w:sz="4" w:space="0" w:color="auto"/>
            </w:tcBorders>
            <w:textDirection w:val="lrTb"/>
            <w:vAlign w:val="center"/>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2 288,12</w:t>
            </w:r>
          </w:p>
        </w:tc>
        <w:tc>
          <w:tcPr>
            <w:tcW w:w="0" w:type="auto"/>
            <w:tcBorders>
              <w:top w:val="single" w:sz="4" w:space="0" w:color="auto"/>
              <w:left w:val="single" w:sz="4" w:space="0" w:color="auto"/>
              <w:bottom w:val="single" w:sz="18" w:space="0" w:color="auto"/>
              <w:right w:val="single" w:sz="18" w:space="0" w:color="auto"/>
            </w:tcBorders>
            <w:textDirection w:val="lrTb"/>
            <w:vAlign w:val="center"/>
          </w:tcPr>
          <w:p w:rsidR="000D3C1C" w:rsidRPr="000D3C1C" w:rsidP="000D3C1C">
            <w:pPr>
              <w:bidi w:val="0"/>
              <w:jc w:val="right"/>
              <w:rPr>
                <w:rFonts w:ascii="Times New Roman" w:hAnsi="Times New Roman"/>
                <w:b/>
                <w:sz w:val="20"/>
                <w:szCs w:val="20"/>
              </w:rPr>
            </w:pPr>
            <w:r w:rsidRPr="000D3C1C">
              <w:rPr>
                <w:rFonts w:ascii="Times New Roman" w:hAnsi="Times New Roman"/>
                <w:b/>
                <w:sz w:val="20"/>
                <w:szCs w:val="20"/>
              </w:rPr>
              <w:t>2 329,78</w:t>
            </w:r>
          </w:p>
        </w:tc>
      </w:tr>
    </w:tbl>
    <w:p w:rsidR="000D3C1C" w:rsidRPr="000D3C1C" w:rsidP="000D3C1C">
      <w:pPr>
        <w:bidi w:val="0"/>
        <w:jc w:val="both"/>
        <w:rPr>
          <w:rFonts w:ascii="Times New Roman" w:hAnsi="Times New Roman"/>
          <w:i/>
          <w:sz w:val="20"/>
          <w:szCs w:val="20"/>
        </w:rPr>
      </w:pPr>
      <w:r w:rsidRPr="000D3C1C">
        <w:rPr>
          <w:rFonts w:ascii="Times New Roman" w:hAnsi="Times New Roman"/>
          <w:sz w:val="20"/>
        </w:rPr>
        <w:t xml:space="preserve">* </w:t>
      </w:r>
      <w:r w:rsidRPr="000D3C1C">
        <w:rPr>
          <w:rFonts w:ascii="Times New Roman" w:hAnsi="Times New Roman"/>
          <w:i/>
          <w:sz w:val="20"/>
          <w:szCs w:val="20"/>
        </w:rPr>
        <w:t>pre rok 2009 bol MDPT SR leteckému úradu rozpisom rozpočtu stanovený limit pracovníkov 98 bez pridelenia mzdových prostriedkov. Priemerná mzda pre rok 2009 je preto prepočítaná na  počet pracovníkov 88, tak ako to bolo v pláne na rok 2008.</w:t>
      </w:r>
    </w:p>
    <w:p w:rsidR="000D3C1C" w:rsidRPr="000D3C1C" w:rsidP="000D3C1C">
      <w:pPr>
        <w:bidi w:val="0"/>
        <w:jc w:val="both"/>
        <w:rPr>
          <w:rFonts w:ascii="Times New Roman" w:hAnsi="Times New Roman"/>
          <w:i/>
          <w:sz w:val="20"/>
          <w:szCs w:val="20"/>
        </w:rPr>
      </w:pPr>
      <w:r w:rsidRPr="000D3C1C">
        <w:rPr>
          <w:rFonts w:ascii="Times New Roman" w:hAnsi="Times New Roman"/>
          <w:i/>
          <w:sz w:val="20"/>
          <w:szCs w:val="20"/>
        </w:rPr>
        <w:t>** v tabuľke č. 4 sú uvedené plánované počty pracovníkov  tak, ako má letecký úrad stanovené v pláne na roky 2009 až 2011. Tento počet by mal byť každoročne upravovaný v rámci aktualizácie plánov na jednotlivé roky, t.j. na roky 2010 až 2012.</w:t>
      </w:r>
    </w:p>
    <w:p w:rsidR="000D3C1C" w:rsidRPr="00F453BA" w:rsidP="000D3C1C">
      <w:pPr>
        <w:tabs>
          <w:tab w:val="left" w:pos="900"/>
        </w:tabs>
        <w:bidi w:val="0"/>
        <w:ind w:firstLine="567"/>
        <w:jc w:val="both"/>
        <w:rPr>
          <w:rFonts w:ascii="Times New Roman" w:hAnsi="Times New Roman"/>
        </w:rPr>
      </w:pPr>
      <w:r w:rsidRPr="00F453BA">
        <w:rPr>
          <w:rFonts w:ascii="Times New Roman" w:hAnsi="Times New Roman"/>
        </w:rPr>
        <w:t>2)</w:t>
        <w:tab/>
        <w:t xml:space="preserve"> Rozpočet leteckého úradu musí v plnom rozsahu umožňovať adekvátne plnenie záväzkov SR v medzinárodných organizáciách a programoch, ktoré sú koordinované leteckým úradom,</w:t>
      </w:r>
    </w:p>
    <w:p w:rsidR="000D3C1C" w:rsidRPr="00F453BA" w:rsidP="000D3C1C">
      <w:pPr>
        <w:tabs>
          <w:tab w:val="left" w:pos="900"/>
          <w:tab w:val="left" w:pos="1080"/>
        </w:tabs>
        <w:bidi w:val="0"/>
        <w:ind w:firstLine="567"/>
        <w:jc w:val="both"/>
        <w:rPr>
          <w:rFonts w:ascii="Times New Roman" w:hAnsi="Times New Roman"/>
        </w:rPr>
      </w:pPr>
      <w:r w:rsidRPr="00F453BA">
        <w:rPr>
          <w:rFonts w:ascii="Times New Roman" w:hAnsi="Times New Roman"/>
        </w:rPr>
        <w:t>3)</w:t>
        <w:tab/>
        <w:t xml:space="preserve">Náklady navrhované na uhradenie štátnym rozpočtom sú úmerné výkonom dozorného orgánu pre úlohy plnené iba v štátnom záujme (napr. medzinárodná spolupráca a členstvo v organizáciách). </w:t>
      </w:r>
    </w:p>
    <w:p w:rsidR="000D3C1C" w:rsidRPr="00F453BA" w:rsidP="000D3C1C">
      <w:pPr>
        <w:bidi w:val="0"/>
        <w:ind w:firstLine="567"/>
        <w:jc w:val="both"/>
        <w:rPr>
          <w:rFonts w:ascii="Times New Roman" w:hAnsi="Times New Roman"/>
        </w:rPr>
      </w:pPr>
      <w:r w:rsidRPr="00F453BA">
        <w:rPr>
          <w:rFonts w:ascii="Times New Roman" w:hAnsi="Times New Roman"/>
        </w:rPr>
        <w:t>4) Odhad a návrh rozpočtu leteckého úradu, ktorý predstavuje zdroje zo štátneho rozpočtu a v stĺpci nárast uvažuje z mimorozpočtovými prostriedkami (MRP) získanými zo spoločného systému spoplatňovania leteckých navigačných služieb je uvedený v tabuľke č. 5</w:t>
      </w:r>
    </w:p>
    <w:p w:rsidR="000D3C1C" w:rsidRPr="000D3C1C" w:rsidP="000D3C1C">
      <w:pPr>
        <w:tabs>
          <w:tab w:val="left" w:pos="7125"/>
        </w:tabs>
        <w:bidi w:val="0"/>
        <w:ind w:firstLine="567"/>
        <w:jc w:val="both"/>
        <w:rPr>
          <w:rFonts w:ascii="Times New Roman" w:hAnsi="Times New Roman"/>
          <w:sz w:val="20"/>
          <w:szCs w:val="20"/>
        </w:rPr>
      </w:pPr>
      <w:r w:rsidRPr="000D3C1C">
        <w:rPr>
          <w:rFonts w:ascii="Times New Roman" w:hAnsi="Times New Roman"/>
          <w:sz w:val="20"/>
          <w:szCs w:val="20"/>
        </w:rPr>
        <w:t>(tabuľka č. 5                                                                                                           (ročné vyjadrenie v tis. € )</w:t>
      </w:r>
    </w:p>
    <w:tbl>
      <w:tblPr>
        <w:tblStyle w:val="TableGrid"/>
        <w:tblW w:w="9348" w:type="dxa"/>
        <w:tblBorders>
          <w:top w:val="single" w:sz="18" w:space="0" w:color="auto"/>
          <w:left w:val="single" w:sz="18" w:space="0" w:color="auto"/>
          <w:bottom w:val="single" w:sz="18" w:space="0" w:color="auto"/>
          <w:right w:val="single" w:sz="18" w:space="0" w:color="auto"/>
        </w:tblBorders>
        <w:tblLook w:val="01E0"/>
      </w:tblPr>
      <w:tblGrid>
        <w:gridCol w:w="2013"/>
        <w:gridCol w:w="915"/>
        <w:gridCol w:w="895"/>
        <w:gridCol w:w="19"/>
        <w:gridCol w:w="900"/>
        <w:gridCol w:w="15"/>
        <w:gridCol w:w="905"/>
        <w:gridCol w:w="11"/>
        <w:gridCol w:w="909"/>
        <w:gridCol w:w="6"/>
        <w:gridCol w:w="917"/>
        <w:gridCol w:w="920"/>
        <w:gridCol w:w="923"/>
      </w:tblGrid>
      <w:tr>
        <w:tblPrEx>
          <w:tblW w:w="9348" w:type="dxa"/>
          <w:tblBorders>
            <w:top w:val="single" w:sz="18" w:space="0" w:color="auto"/>
            <w:left w:val="single" w:sz="18" w:space="0" w:color="auto"/>
            <w:bottom w:val="single" w:sz="18" w:space="0" w:color="auto"/>
            <w:right w:val="single" w:sz="18" w:space="0" w:color="auto"/>
          </w:tblBorders>
          <w:tblLook w:val="01E0"/>
        </w:tblPrEx>
        <w:tc>
          <w:tcPr>
            <w:tcW w:w="2013" w:type="dxa"/>
            <w:vMerge w:val="restart"/>
            <w:tcBorders>
              <w:top w:val="single" w:sz="18" w:space="0" w:color="auto"/>
              <w:left w:val="single" w:sz="18" w:space="0" w:color="auto"/>
              <w:bottom w:val="single" w:sz="4" w:space="0" w:color="auto"/>
              <w:right w:val="single" w:sz="4" w:space="0" w:color="auto"/>
            </w:tcBorders>
            <w:textDirection w:val="lrTb"/>
            <w:vAlign w:val="center"/>
          </w:tcPr>
          <w:p w:rsidR="000D3C1C" w:rsidRPr="000D3C1C" w:rsidP="000D3C1C">
            <w:pPr>
              <w:bidi w:val="0"/>
              <w:jc w:val="both"/>
              <w:rPr>
                <w:rFonts w:ascii="Times New Roman" w:hAnsi="Times New Roman"/>
                <w:sz w:val="18"/>
                <w:szCs w:val="18"/>
              </w:rPr>
            </w:pPr>
            <w:r w:rsidRPr="000D3C1C">
              <w:rPr>
                <w:rFonts w:ascii="Times New Roman" w:hAnsi="Times New Roman"/>
                <w:sz w:val="18"/>
                <w:szCs w:val="18"/>
              </w:rPr>
              <w:t>Ukazovateľ</w:t>
            </w:r>
          </w:p>
        </w:tc>
        <w:tc>
          <w:tcPr>
            <w:tcW w:w="0" w:type="auto"/>
            <w:gridSpan w:val="2"/>
            <w:tcBorders>
              <w:top w:val="single" w:sz="18"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sz w:val="18"/>
                <w:szCs w:val="18"/>
              </w:rPr>
            </w:pPr>
            <w:r w:rsidRPr="000D3C1C">
              <w:rPr>
                <w:rFonts w:ascii="Times New Roman" w:hAnsi="Times New Roman"/>
                <w:sz w:val="18"/>
                <w:szCs w:val="18"/>
              </w:rPr>
              <w:t>2009*</w:t>
            </w:r>
          </w:p>
        </w:tc>
        <w:tc>
          <w:tcPr>
            <w:tcW w:w="1839" w:type="dxa"/>
            <w:gridSpan w:val="4"/>
            <w:tcBorders>
              <w:top w:val="single" w:sz="18"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sz w:val="18"/>
                <w:szCs w:val="18"/>
              </w:rPr>
            </w:pPr>
            <w:r w:rsidRPr="000D3C1C">
              <w:rPr>
                <w:rFonts w:ascii="Times New Roman" w:hAnsi="Times New Roman"/>
                <w:sz w:val="18"/>
                <w:szCs w:val="18"/>
              </w:rPr>
              <w:t>2010</w:t>
            </w:r>
          </w:p>
        </w:tc>
        <w:tc>
          <w:tcPr>
            <w:tcW w:w="1843" w:type="dxa"/>
            <w:gridSpan w:val="4"/>
            <w:tcBorders>
              <w:top w:val="single" w:sz="18"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sz w:val="18"/>
                <w:szCs w:val="18"/>
              </w:rPr>
            </w:pPr>
            <w:r w:rsidRPr="000D3C1C">
              <w:rPr>
                <w:rFonts w:ascii="Times New Roman" w:hAnsi="Times New Roman"/>
                <w:sz w:val="18"/>
                <w:szCs w:val="18"/>
              </w:rPr>
              <w:t>2011</w:t>
            </w:r>
          </w:p>
        </w:tc>
        <w:tc>
          <w:tcPr>
            <w:tcW w:w="1843" w:type="dxa"/>
            <w:gridSpan w:val="2"/>
            <w:tcBorders>
              <w:top w:val="single" w:sz="18" w:space="0" w:color="auto"/>
              <w:left w:val="single" w:sz="4" w:space="0" w:color="auto"/>
              <w:bottom w:val="single" w:sz="4" w:space="0" w:color="auto"/>
              <w:right w:val="single" w:sz="18" w:space="0" w:color="auto"/>
            </w:tcBorders>
            <w:textDirection w:val="lrTb"/>
            <w:vAlign w:val="center"/>
          </w:tcPr>
          <w:p w:rsidR="000D3C1C" w:rsidRPr="000D3C1C" w:rsidP="000D3C1C">
            <w:pPr>
              <w:bidi w:val="0"/>
              <w:jc w:val="center"/>
              <w:rPr>
                <w:rFonts w:ascii="Times New Roman" w:hAnsi="Times New Roman"/>
                <w:sz w:val="18"/>
                <w:szCs w:val="18"/>
              </w:rPr>
            </w:pPr>
            <w:r w:rsidRPr="000D3C1C">
              <w:rPr>
                <w:rFonts w:ascii="Times New Roman" w:hAnsi="Times New Roman"/>
                <w:sz w:val="18"/>
                <w:szCs w:val="18"/>
              </w:rPr>
              <w:t>2012</w:t>
            </w:r>
          </w:p>
        </w:tc>
      </w:tr>
      <w:tr>
        <w:tblPrEx>
          <w:tblW w:w="9348" w:type="dxa"/>
          <w:tblLook w:val="01E0"/>
        </w:tblPrEx>
        <w:tc>
          <w:tcPr>
            <w:tcW w:w="2013" w:type="dxa"/>
            <w:vMerge/>
            <w:tcBorders>
              <w:top w:val="single" w:sz="4" w:space="0" w:color="auto"/>
              <w:left w:val="single" w:sz="18" w:space="0" w:color="auto"/>
              <w:bottom w:val="double" w:sz="4" w:space="0" w:color="auto"/>
              <w:right w:val="single" w:sz="4" w:space="0" w:color="auto"/>
            </w:tcBorders>
            <w:textDirection w:val="lrTb"/>
            <w:vAlign w:val="top"/>
          </w:tcPr>
          <w:p w:rsidR="000D3C1C" w:rsidRPr="000D3C1C" w:rsidP="000D3C1C">
            <w:pPr>
              <w:bidi w:val="0"/>
              <w:jc w:val="both"/>
              <w:rPr>
                <w:rFonts w:ascii="Times New Roman" w:hAnsi="Times New Roman"/>
                <w:sz w:val="18"/>
                <w:szCs w:val="18"/>
              </w:rPr>
            </w:pPr>
          </w:p>
        </w:tc>
        <w:tc>
          <w:tcPr>
            <w:tcW w:w="915" w:type="dxa"/>
            <w:tcBorders>
              <w:top w:val="single" w:sz="4" w:space="0" w:color="auto"/>
              <w:left w:val="single" w:sz="4" w:space="0" w:color="auto"/>
              <w:bottom w:val="double" w:sz="4" w:space="0" w:color="auto"/>
              <w:right w:val="single" w:sz="4" w:space="0" w:color="auto"/>
            </w:tcBorders>
            <w:textDirection w:val="lrTb"/>
            <w:vAlign w:val="top"/>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Rozpočet</w:t>
            </w:r>
          </w:p>
        </w:tc>
        <w:tc>
          <w:tcPr>
            <w:tcW w:w="895" w:type="dxa"/>
            <w:tcBorders>
              <w:top w:val="single" w:sz="4" w:space="0" w:color="auto"/>
              <w:left w:val="single" w:sz="4" w:space="0" w:color="auto"/>
              <w:bottom w:val="double" w:sz="4" w:space="0" w:color="auto"/>
              <w:right w:val="single" w:sz="4" w:space="0" w:color="auto"/>
            </w:tcBorders>
            <w:textDirection w:val="lrTb"/>
            <w:vAlign w:val="top"/>
          </w:tcPr>
          <w:p w:rsidR="000D3C1C" w:rsidRPr="000D3C1C" w:rsidP="000D3C1C">
            <w:pPr>
              <w:bidi w:val="0"/>
              <w:jc w:val="center"/>
              <w:rPr>
                <w:rFonts w:ascii="Times New Roman" w:hAnsi="Times New Roman"/>
                <w:sz w:val="18"/>
                <w:szCs w:val="18"/>
              </w:rPr>
            </w:pPr>
            <w:r w:rsidRPr="000D3C1C">
              <w:rPr>
                <w:rFonts w:ascii="Times New Roman" w:hAnsi="Times New Roman"/>
                <w:sz w:val="18"/>
                <w:szCs w:val="18"/>
              </w:rPr>
              <w:t>MRP</w:t>
            </w:r>
          </w:p>
        </w:tc>
        <w:tc>
          <w:tcPr>
            <w:tcW w:w="919" w:type="dxa"/>
            <w:gridSpan w:val="2"/>
            <w:tcBorders>
              <w:top w:val="single" w:sz="4" w:space="0" w:color="auto"/>
              <w:left w:val="single" w:sz="4" w:space="0" w:color="auto"/>
              <w:bottom w:val="double" w:sz="4" w:space="0" w:color="auto"/>
              <w:right w:val="single" w:sz="4" w:space="0" w:color="auto"/>
            </w:tcBorders>
            <w:textDirection w:val="lrTb"/>
            <w:vAlign w:val="top"/>
          </w:tcPr>
          <w:p w:rsidR="000D3C1C" w:rsidRPr="000D3C1C" w:rsidP="000D3C1C">
            <w:pPr>
              <w:bidi w:val="0"/>
              <w:jc w:val="both"/>
              <w:rPr>
                <w:rFonts w:ascii="Times New Roman" w:hAnsi="Times New Roman"/>
                <w:sz w:val="18"/>
                <w:szCs w:val="18"/>
              </w:rPr>
            </w:pPr>
            <w:r w:rsidRPr="000D3C1C">
              <w:rPr>
                <w:rFonts w:ascii="Times New Roman" w:hAnsi="Times New Roman"/>
                <w:sz w:val="18"/>
                <w:szCs w:val="18"/>
              </w:rPr>
              <w:t>Rozpočet</w:t>
            </w:r>
          </w:p>
        </w:tc>
        <w:tc>
          <w:tcPr>
            <w:tcW w:w="920" w:type="dxa"/>
            <w:gridSpan w:val="2"/>
            <w:tcBorders>
              <w:top w:val="single" w:sz="4" w:space="0" w:color="auto"/>
              <w:left w:val="single" w:sz="4" w:space="0" w:color="auto"/>
              <w:bottom w:val="double" w:sz="4" w:space="0" w:color="auto"/>
              <w:right w:val="single" w:sz="4" w:space="0" w:color="auto"/>
            </w:tcBorders>
            <w:textDirection w:val="lrTb"/>
            <w:vAlign w:val="top"/>
          </w:tcPr>
          <w:p w:rsidR="000D3C1C" w:rsidRPr="000D3C1C" w:rsidP="000D3C1C">
            <w:pPr>
              <w:bidi w:val="0"/>
              <w:jc w:val="center"/>
              <w:rPr>
                <w:rFonts w:ascii="Times New Roman" w:hAnsi="Times New Roman"/>
                <w:sz w:val="18"/>
                <w:szCs w:val="18"/>
              </w:rPr>
            </w:pPr>
            <w:r w:rsidRPr="000D3C1C">
              <w:rPr>
                <w:rFonts w:ascii="Times New Roman" w:hAnsi="Times New Roman"/>
                <w:sz w:val="18"/>
                <w:szCs w:val="18"/>
              </w:rPr>
              <w:t>MRP</w:t>
            </w:r>
          </w:p>
        </w:tc>
        <w:tc>
          <w:tcPr>
            <w:tcW w:w="920" w:type="dxa"/>
            <w:gridSpan w:val="2"/>
            <w:tcBorders>
              <w:top w:val="single" w:sz="4" w:space="0" w:color="auto"/>
              <w:left w:val="single" w:sz="4" w:space="0" w:color="auto"/>
              <w:bottom w:val="double" w:sz="4" w:space="0" w:color="auto"/>
              <w:right w:val="single" w:sz="4" w:space="0" w:color="auto"/>
            </w:tcBorders>
            <w:textDirection w:val="lrTb"/>
            <w:vAlign w:val="top"/>
          </w:tcPr>
          <w:p w:rsidR="000D3C1C" w:rsidRPr="000D3C1C" w:rsidP="000D3C1C">
            <w:pPr>
              <w:bidi w:val="0"/>
              <w:jc w:val="both"/>
              <w:rPr>
                <w:rFonts w:ascii="Times New Roman" w:hAnsi="Times New Roman"/>
                <w:sz w:val="18"/>
                <w:szCs w:val="18"/>
              </w:rPr>
            </w:pPr>
            <w:r w:rsidRPr="000D3C1C">
              <w:rPr>
                <w:rFonts w:ascii="Times New Roman" w:hAnsi="Times New Roman"/>
                <w:sz w:val="18"/>
                <w:szCs w:val="18"/>
              </w:rPr>
              <w:t>Rozpočet</w:t>
            </w:r>
          </w:p>
        </w:tc>
        <w:tc>
          <w:tcPr>
            <w:tcW w:w="923" w:type="dxa"/>
            <w:gridSpan w:val="2"/>
            <w:tcBorders>
              <w:top w:val="single" w:sz="4" w:space="0" w:color="auto"/>
              <w:left w:val="single" w:sz="4" w:space="0" w:color="auto"/>
              <w:bottom w:val="double" w:sz="4" w:space="0" w:color="auto"/>
              <w:right w:val="single" w:sz="4" w:space="0" w:color="auto"/>
            </w:tcBorders>
            <w:textDirection w:val="lrTb"/>
            <w:vAlign w:val="top"/>
          </w:tcPr>
          <w:p w:rsidR="000D3C1C" w:rsidRPr="000D3C1C" w:rsidP="000D3C1C">
            <w:pPr>
              <w:bidi w:val="0"/>
              <w:jc w:val="center"/>
              <w:rPr>
                <w:rFonts w:ascii="Times New Roman" w:hAnsi="Times New Roman"/>
                <w:sz w:val="18"/>
                <w:szCs w:val="18"/>
              </w:rPr>
            </w:pPr>
            <w:r w:rsidRPr="000D3C1C">
              <w:rPr>
                <w:rFonts w:ascii="Times New Roman" w:hAnsi="Times New Roman"/>
                <w:sz w:val="18"/>
                <w:szCs w:val="18"/>
              </w:rPr>
              <w:t>MRP</w:t>
            </w:r>
          </w:p>
        </w:tc>
        <w:tc>
          <w:tcPr>
            <w:tcW w:w="920" w:type="dxa"/>
            <w:tcBorders>
              <w:top w:val="single" w:sz="4" w:space="0" w:color="auto"/>
              <w:left w:val="single" w:sz="4" w:space="0" w:color="auto"/>
              <w:bottom w:val="double" w:sz="4" w:space="0" w:color="auto"/>
              <w:right w:val="single" w:sz="4" w:space="0" w:color="auto"/>
            </w:tcBorders>
            <w:textDirection w:val="lrTb"/>
            <w:vAlign w:val="top"/>
          </w:tcPr>
          <w:p w:rsidR="000D3C1C" w:rsidRPr="000D3C1C" w:rsidP="000D3C1C">
            <w:pPr>
              <w:bidi w:val="0"/>
              <w:jc w:val="both"/>
              <w:rPr>
                <w:rFonts w:ascii="Times New Roman" w:hAnsi="Times New Roman"/>
                <w:sz w:val="18"/>
                <w:szCs w:val="18"/>
              </w:rPr>
            </w:pPr>
            <w:r w:rsidRPr="000D3C1C">
              <w:rPr>
                <w:rFonts w:ascii="Times New Roman" w:hAnsi="Times New Roman"/>
                <w:sz w:val="18"/>
                <w:szCs w:val="18"/>
              </w:rPr>
              <w:t>Rozpočet</w:t>
            </w:r>
          </w:p>
        </w:tc>
        <w:tc>
          <w:tcPr>
            <w:tcW w:w="923" w:type="dxa"/>
            <w:tcBorders>
              <w:top w:val="single" w:sz="4" w:space="0" w:color="auto"/>
              <w:left w:val="single" w:sz="4" w:space="0" w:color="auto"/>
              <w:bottom w:val="double" w:sz="4" w:space="0" w:color="auto"/>
              <w:right w:val="single" w:sz="18" w:space="0" w:color="auto"/>
            </w:tcBorders>
            <w:textDirection w:val="lrTb"/>
            <w:vAlign w:val="top"/>
          </w:tcPr>
          <w:p w:rsidR="000D3C1C" w:rsidRPr="000D3C1C" w:rsidP="000D3C1C">
            <w:pPr>
              <w:bidi w:val="0"/>
              <w:jc w:val="center"/>
              <w:rPr>
                <w:rFonts w:ascii="Times New Roman" w:hAnsi="Times New Roman"/>
                <w:sz w:val="18"/>
                <w:szCs w:val="18"/>
              </w:rPr>
            </w:pPr>
            <w:r w:rsidRPr="000D3C1C">
              <w:rPr>
                <w:rFonts w:ascii="Times New Roman" w:hAnsi="Times New Roman"/>
                <w:sz w:val="18"/>
                <w:szCs w:val="18"/>
              </w:rPr>
              <w:t>MRP</w:t>
            </w:r>
          </w:p>
        </w:tc>
      </w:tr>
      <w:tr>
        <w:tblPrEx>
          <w:tblW w:w="9348" w:type="dxa"/>
          <w:tblLook w:val="01E0"/>
        </w:tblPrEx>
        <w:tc>
          <w:tcPr>
            <w:tcW w:w="2013" w:type="dxa"/>
            <w:tcBorders>
              <w:top w:val="double" w:sz="4" w:space="0" w:color="auto"/>
              <w:left w:val="single" w:sz="18"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sz w:val="18"/>
                <w:szCs w:val="18"/>
              </w:rPr>
            </w:pPr>
            <w:r w:rsidRPr="000D3C1C">
              <w:rPr>
                <w:rFonts w:ascii="Times New Roman" w:hAnsi="Times New Roman"/>
                <w:sz w:val="18"/>
                <w:szCs w:val="18"/>
              </w:rPr>
              <w:t xml:space="preserve">700 – Kapitálové      </w:t>
            </w:r>
          </w:p>
          <w:p w:rsidR="000D3C1C" w:rsidRPr="000D3C1C" w:rsidP="000D3C1C">
            <w:pPr>
              <w:bidi w:val="0"/>
              <w:jc w:val="both"/>
              <w:rPr>
                <w:rFonts w:ascii="Times New Roman" w:hAnsi="Times New Roman"/>
                <w:sz w:val="18"/>
                <w:szCs w:val="18"/>
              </w:rPr>
            </w:pPr>
            <w:r w:rsidRPr="000D3C1C">
              <w:rPr>
                <w:rFonts w:ascii="Times New Roman" w:hAnsi="Times New Roman"/>
                <w:sz w:val="18"/>
                <w:szCs w:val="18"/>
              </w:rPr>
              <w:t xml:space="preserve">          výdavky</w:t>
            </w:r>
          </w:p>
        </w:tc>
        <w:tc>
          <w:tcPr>
            <w:tcW w:w="915" w:type="dxa"/>
            <w:tcBorders>
              <w:top w:val="doub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531,10</w:t>
            </w:r>
          </w:p>
        </w:tc>
        <w:tc>
          <w:tcPr>
            <w:tcW w:w="914" w:type="dxa"/>
            <w:gridSpan w:val="2"/>
            <w:tcBorders>
              <w:top w:val="doub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136,10</w:t>
            </w:r>
          </w:p>
        </w:tc>
        <w:tc>
          <w:tcPr>
            <w:tcW w:w="915" w:type="dxa"/>
            <w:gridSpan w:val="2"/>
            <w:tcBorders>
              <w:top w:val="doub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33,19</w:t>
            </w:r>
          </w:p>
        </w:tc>
        <w:tc>
          <w:tcPr>
            <w:tcW w:w="916" w:type="dxa"/>
            <w:gridSpan w:val="2"/>
            <w:tcBorders>
              <w:top w:val="doub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155,37</w:t>
            </w:r>
          </w:p>
        </w:tc>
        <w:tc>
          <w:tcPr>
            <w:tcW w:w="915" w:type="dxa"/>
            <w:gridSpan w:val="2"/>
            <w:tcBorders>
              <w:top w:val="doub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33,19</w:t>
            </w:r>
          </w:p>
        </w:tc>
        <w:tc>
          <w:tcPr>
            <w:tcW w:w="917" w:type="dxa"/>
            <w:tcBorders>
              <w:top w:val="doub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165,97</w:t>
            </w:r>
          </w:p>
        </w:tc>
        <w:tc>
          <w:tcPr>
            <w:tcW w:w="920" w:type="dxa"/>
            <w:tcBorders>
              <w:top w:val="doub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33,19</w:t>
            </w:r>
          </w:p>
        </w:tc>
        <w:tc>
          <w:tcPr>
            <w:tcW w:w="923" w:type="dxa"/>
            <w:tcBorders>
              <w:top w:val="double" w:sz="4" w:space="0" w:color="auto"/>
              <w:left w:val="single" w:sz="4" w:space="0" w:color="auto"/>
              <w:bottom w:val="single" w:sz="4" w:space="0" w:color="auto"/>
              <w:right w:val="single" w:sz="18"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165,97</w:t>
            </w:r>
          </w:p>
        </w:tc>
      </w:tr>
      <w:tr>
        <w:tblPrEx>
          <w:tblW w:w="9348" w:type="dxa"/>
          <w:tblLook w:val="01E0"/>
        </w:tblPrEx>
        <w:tc>
          <w:tcPr>
            <w:tcW w:w="2013" w:type="dxa"/>
            <w:tcBorders>
              <w:top w:val="single" w:sz="4" w:space="0" w:color="auto"/>
              <w:left w:val="single" w:sz="18" w:space="0" w:color="auto"/>
              <w:bottom w:val="single" w:sz="4" w:space="0" w:color="auto"/>
              <w:right w:val="single" w:sz="4" w:space="0" w:color="auto"/>
            </w:tcBorders>
            <w:textDirection w:val="lrTb"/>
            <w:vAlign w:val="top"/>
          </w:tcPr>
          <w:p w:rsidR="000D3C1C" w:rsidRPr="000D3C1C" w:rsidP="000D3C1C">
            <w:pPr>
              <w:bidi w:val="0"/>
              <w:ind w:hanging="554"/>
              <w:rPr>
                <w:rFonts w:ascii="Times New Roman" w:hAnsi="Times New Roman"/>
                <w:sz w:val="18"/>
                <w:szCs w:val="18"/>
              </w:rPr>
            </w:pPr>
            <w:r w:rsidRPr="000D3C1C">
              <w:rPr>
                <w:rFonts w:ascii="Times New Roman" w:hAnsi="Times New Roman"/>
                <w:sz w:val="18"/>
                <w:szCs w:val="18"/>
              </w:rPr>
              <w:t>600 – Bežné    výdavky</w:t>
            </w:r>
          </w:p>
          <w:p w:rsidR="000D3C1C" w:rsidRPr="000D3C1C" w:rsidP="000D3C1C">
            <w:pPr>
              <w:bidi w:val="0"/>
              <w:ind w:hanging="554"/>
              <w:rPr>
                <w:rFonts w:ascii="Times New Roman" w:hAnsi="Times New Roman"/>
                <w:sz w:val="18"/>
                <w:szCs w:val="18"/>
              </w:rPr>
            </w:pPr>
            <w:r w:rsidRPr="000D3C1C">
              <w:rPr>
                <w:rFonts w:ascii="Times New Roman" w:hAnsi="Times New Roman"/>
                <w:sz w:val="18"/>
                <w:szCs w:val="18"/>
              </w:rPr>
              <w:t xml:space="preserve">          z toho:</w:t>
            </w:r>
          </w:p>
        </w:tc>
        <w:tc>
          <w:tcPr>
            <w:tcW w:w="915"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2 171,45</w:t>
            </w:r>
          </w:p>
        </w:tc>
        <w:tc>
          <w:tcPr>
            <w:tcW w:w="914"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859,72</w:t>
            </w:r>
          </w:p>
        </w:tc>
        <w:tc>
          <w:tcPr>
            <w:tcW w:w="915"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2 213,57</w:t>
            </w:r>
          </w:p>
        </w:tc>
        <w:tc>
          <w:tcPr>
            <w:tcW w:w="916"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940,03</w:t>
            </w:r>
          </w:p>
        </w:tc>
        <w:tc>
          <w:tcPr>
            <w:tcW w:w="915"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2 254,93</w:t>
            </w:r>
          </w:p>
        </w:tc>
        <w:tc>
          <w:tcPr>
            <w:tcW w:w="917"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1 029,01</w:t>
            </w:r>
          </w:p>
        </w:tc>
        <w:tc>
          <w:tcPr>
            <w:tcW w:w="920"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2 296,59</w:t>
            </w:r>
          </w:p>
        </w:tc>
        <w:tc>
          <w:tcPr>
            <w:tcW w:w="923" w:type="dxa"/>
            <w:tcBorders>
              <w:top w:val="single" w:sz="4" w:space="0" w:color="auto"/>
              <w:left w:val="single" w:sz="4" w:space="0" w:color="auto"/>
              <w:bottom w:val="single" w:sz="4" w:space="0" w:color="auto"/>
              <w:right w:val="single" w:sz="18"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1 128,59</w:t>
            </w:r>
          </w:p>
        </w:tc>
      </w:tr>
      <w:tr>
        <w:tblPrEx>
          <w:tblW w:w="9348" w:type="dxa"/>
          <w:tblLook w:val="01E0"/>
        </w:tblPrEx>
        <w:tc>
          <w:tcPr>
            <w:tcW w:w="2013" w:type="dxa"/>
            <w:tcBorders>
              <w:top w:val="single" w:sz="4" w:space="0" w:color="auto"/>
              <w:left w:val="single" w:sz="18"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sz w:val="18"/>
                <w:szCs w:val="18"/>
              </w:rPr>
            </w:pPr>
            <w:r w:rsidRPr="000D3C1C">
              <w:rPr>
                <w:rFonts w:ascii="Times New Roman" w:hAnsi="Times New Roman"/>
                <w:sz w:val="18"/>
                <w:szCs w:val="18"/>
              </w:rPr>
              <w:t>610 – Mzdy a platy</w:t>
            </w:r>
          </w:p>
        </w:tc>
        <w:tc>
          <w:tcPr>
            <w:tcW w:w="915"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967,70</w:t>
            </w:r>
          </w:p>
        </w:tc>
        <w:tc>
          <w:tcPr>
            <w:tcW w:w="914"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514,50</w:t>
            </w:r>
          </w:p>
        </w:tc>
        <w:tc>
          <w:tcPr>
            <w:tcW w:w="915"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998,90</w:t>
            </w:r>
          </w:p>
        </w:tc>
        <w:tc>
          <w:tcPr>
            <w:tcW w:w="916"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520,06</w:t>
            </w:r>
          </w:p>
        </w:tc>
        <w:tc>
          <w:tcPr>
            <w:tcW w:w="915"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1 029,57</w:t>
            </w:r>
          </w:p>
        </w:tc>
        <w:tc>
          <w:tcPr>
            <w:tcW w:w="917"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534,50</w:t>
            </w:r>
          </w:p>
        </w:tc>
        <w:tc>
          <w:tcPr>
            <w:tcW w:w="920"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1 060,45</w:t>
            </w:r>
          </w:p>
        </w:tc>
        <w:tc>
          <w:tcPr>
            <w:tcW w:w="923" w:type="dxa"/>
            <w:tcBorders>
              <w:top w:val="single" w:sz="4" w:space="0" w:color="auto"/>
              <w:left w:val="single" w:sz="4" w:space="0" w:color="auto"/>
              <w:bottom w:val="single" w:sz="4" w:space="0" w:color="auto"/>
              <w:right w:val="single" w:sz="18"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586,00</w:t>
            </w:r>
          </w:p>
        </w:tc>
      </w:tr>
      <w:tr>
        <w:tblPrEx>
          <w:tblW w:w="9348" w:type="dxa"/>
          <w:tblLook w:val="01E0"/>
        </w:tblPrEx>
        <w:tc>
          <w:tcPr>
            <w:tcW w:w="2013" w:type="dxa"/>
            <w:tcBorders>
              <w:top w:val="single" w:sz="4" w:space="0" w:color="auto"/>
              <w:left w:val="single" w:sz="18"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sz w:val="18"/>
                <w:szCs w:val="18"/>
              </w:rPr>
            </w:pPr>
            <w:r w:rsidRPr="000D3C1C">
              <w:rPr>
                <w:rFonts w:ascii="Times New Roman" w:hAnsi="Times New Roman"/>
                <w:sz w:val="18"/>
                <w:szCs w:val="18"/>
              </w:rPr>
              <w:t>620 – Poistné</w:t>
            </w:r>
          </w:p>
        </w:tc>
        <w:tc>
          <w:tcPr>
            <w:tcW w:w="915"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338,21</w:t>
            </w:r>
          </w:p>
        </w:tc>
        <w:tc>
          <w:tcPr>
            <w:tcW w:w="914"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179,25</w:t>
            </w:r>
          </w:p>
        </w:tc>
        <w:tc>
          <w:tcPr>
            <w:tcW w:w="915"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349,13</w:t>
            </w:r>
          </w:p>
        </w:tc>
        <w:tc>
          <w:tcPr>
            <w:tcW w:w="916"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181,76</w:t>
            </w:r>
          </w:p>
        </w:tc>
        <w:tc>
          <w:tcPr>
            <w:tcW w:w="915"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359,82</w:t>
            </w:r>
          </w:p>
        </w:tc>
        <w:tc>
          <w:tcPr>
            <w:tcW w:w="917"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186,81</w:t>
            </w:r>
          </w:p>
        </w:tc>
        <w:tc>
          <w:tcPr>
            <w:tcW w:w="920"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370,61</w:t>
            </w:r>
          </w:p>
        </w:tc>
        <w:tc>
          <w:tcPr>
            <w:tcW w:w="923" w:type="dxa"/>
            <w:tcBorders>
              <w:top w:val="single" w:sz="4" w:space="0" w:color="auto"/>
              <w:left w:val="single" w:sz="4" w:space="0" w:color="auto"/>
              <w:bottom w:val="single" w:sz="4" w:space="0" w:color="auto"/>
              <w:right w:val="single" w:sz="18"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204,80</w:t>
            </w:r>
          </w:p>
        </w:tc>
      </w:tr>
      <w:tr>
        <w:tblPrEx>
          <w:tblW w:w="9348" w:type="dxa"/>
          <w:tblLook w:val="01E0"/>
        </w:tblPrEx>
        <w:tc>
          <w:tcPr>
            <w:tcW w:w="2013" w:type="dxa"/>
            <w:tcBorders>
              <w:top w:val="single" w:sz="4" w:space="0" w:color="auto"/>
              <w:left w:val="single" w:sz="18" w:space="0" w:color="auto"/>
              <w:bottom w:val="single" w:sz="4" w:space="0" w:color="auto"/>
              <w:right w:val="single" w:sz="4" w:space="0" w:color="auto"/>
            </w:tcBorders>
            <w:textDirection w:val="lrTb"/>
            <w:vAlign w:val="top"/>
          </w:tcPr>
          <w:p w:rsidR="000D3C1C" w:rsidRPr="000D3C1C" w:rsidP="000D3C1C">
            <w:pPr>
              <w:bidi w:val="0"/>
              <w:ind w:hanging="554"/>
              <w:rPr>
                <w:rFonts w:ascii="Times New Roman" w:hAnsi="Times New Roman"/>
                <w:sz w:val="18"/>
                <w:szCs w:val="18"/>
              </w:rPr>
            </w:pPr>
            <w:r w:rsidRPr="000D3C1C">
              <w:rPr>
                <w:rFonts w:ascii="Times New Roman" w:hAnsi="Times New Roman"/>
                <w:sz w:val="18"/>
                <w:szCs w:val="18"/>
              </w:rPr>
              <w:t>630 – Tovary a služby</w:t>
            </w:r>
          </w:p>
        </w:tc>
        <w:tc>
          <w:tcPr>
            <w:tcW w:w="915"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25 775</w:t>
            </w:r>
          </w:p>
        </w:tc>
        <w:tc>
          <w:tcPr>
            <w:tcW w:w="914"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165,97</w:t>
            </w:r>
          </w:p>
        </w:tc>
        <w:tc>
          <w:tcPr>
            <w:tcW w:w="915"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855,57</w:t>
            </w:r>
          </w:p>
        </w:tc>
        <w:tc>
          <w:tcPr>
            <w:tcW w:w="916"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238,21</w:t>
            </w:r>
          </w:p>
        </w:tc>
        <w:tc>
          <w:tcPr>
            <w:tcW w:w="915"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855,57</w:t>
            </w:r>
          </w:p>
        </w:tc>
        <w:tc>
          <w:tcPr>
            <w:tcW w:w="917"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307,70</w:t>
            </w:r>
          </w:p>
        </w:tc>
        <w:tc>
          <w:tcPr>
            <w:tcW w:w="920"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855,56</w:t>
            </w:r>
          </w:p>
        </w:tc>
        <w:tc>
          <w:tcPr>
            <w:tcW w:w="923" w:type="dxa"/>
            <w:tcBorders>
              <w:top w:val="single" w:sz="4" w:space="0" w:color="auto"/>
              <w:left w:val="single" w:sz="4" w:space="0" w:color="auto"/>
              <w:bottom w:val="single" w:sz="4" w:space="0" w:color="auto"/>
              <w:right w:val="single" w:sz="18"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337,79</w:t>
            </w:r>
          </w:p>
        </w:tc>
      </w:tr>
      <w:tr>
        <w:tblPrEx>
          <w:tblW w:w="9348" w:type="dxa"/>
          <w:tblLook w:val="01E0"/>
        </w:tblPrEx>
        <w:tc>
          <w:tcPr>
            <w:tcW w:w="2013" w:type="dxa"/>
            <w:tcBorders>
              <w:top w:val="single" w:sz="4" w:space="0" w:color="auto"/>
              <w:left w:val="single" w:sz="18" w:space="0" w:color="auto"/>
              <w:bottom w:val="single" w:sz="4" w:space="0" w:color="auto"/>
              <w:right w:val="single" w:sz="4" w:space="0" w:color="auto"/>
            </w:tcBorders>
            <w:textDirection w:val="lrTb"/>
            <w:vAlign w:val="top"/>
          </w:tcPr>
          <w:p w:rsidR="000D3C1C" w:rsidRPr="000D3C1C" w:rsidP="000D3C1C">
            <w:pPr>
              <w:bidi w:val="0"/>
              <w:rPr>
                <w:rFonts w:ascii="Times New Roman" w:hAnsi="Times New Roman"/>
                <w:sz w:val="18"/>
                <w:szCs w:val="18"/>
              </w:rPr>
            </w:pPr>
            <w:r w:rsidRPr="000D3C1C">
              <w:rPr>
                <w:rFonts w:ascii="Times New Roman" w:hAnsi="Times New Roman"/>
                <w:sz w:val="18"/>
                <w:szCs w:val="18"/>
              </w:rPr>
              <w:t>640 – Bežné    transfery</w:t>
            </w:r>
          </w:p>
        </w:tc>
        <w:tc>
          <w:tcPr>
            <w:tcW w:w="915"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9,97</w:t>
            </w:r>
          </w:p>
        </w:tc>
        <w:tc>
          <w:tcPr>
            <w:tcW w:w="914"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sz w:val="18"/>
                <w:szCs w:val="18"/>
              </w:rPr>
            </w:pPr>
            <w:r w:rsidRPr="000D3C1C">
              <w:rPr>
                <w:rFonts w:ascii="Times New Roman" w:hAnsi="Times New Roman"/>
                <w:sz w:val="18"/>
                <w:szCs w:val="18"/>
              </w:rPr>
              <w:t>0</w:t>
            </w:r>
          </w:p>
        </w:tc>
        <w:tc>
          <w:tcPr>
            <w:tcW w:w="915"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9,97</w:t>
            </w:r>
          </w:p>
        </w:tc>
        <w:tc>
          <w:tcPr>
            <w:tcW w:w="916"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sz w:val="18"/>
                <w:szCs w:val="18"/>
              </w:rPr>
            </w:pPr>
            <w:r w:rsidRPr="000D3C1C">
              <w:rPr>
                <w:rFonts w:ascii="Times New Roman" w:hAnsi="Times New Roman"/>
                <w:sz w:val="18"/>
                <w:szCs w:val="18"/>
              </w:rPr>
              <w:t>0</w:t>
            </w:r>
          </w:p>
        </w:tc>
        <w:tc>
          <w:tcPr>
            <w:tcW w:w="915"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9,97</w:t>
            </w:r>
          </w:p>
        </w:tc>
        <w:tc>
          <w:tcPr>
            <w:tcW w:w="917"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sz w:val="18"/>
                <w:szCs w:val="18"/>
              </w:rPr>
            </w:pPr>
            <w:r w:rsidRPr="000D3C1C">
              <w:rPr>
                <w:rFonts w:ascii="Times New Roman" w:hAnsi="Times New Roman"/>
                <w:sz w:val="18"/>
                <w:szCs w:val="18"/>
              </w:rPr>
              <w:t>0</w:t>
            </w:r>
          </w:p>
        </w:tc>
        <w:tc>
          <w:tcPr>
            <w:tcW w:w="920"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9,97</w:t>
            </w:r>
          </w:p>
        </w:tc>
        <w:tc>
          <w:tcPr>
            <w:tcW w:w="923" w:type="dxa"/>
            <w:tcBorders>
              <w:top w:val="single" w:sz="4" w:space="0" w:color="auto"/>
              <w:left w:val="single" w:sz="4" w:space="0" w:color="auto"/>
              <w:bottom w:val="single" w:sz="4" w:space="0" w:color="auto"/>
              <w:right w:val="single" w:sz="18" w:space="0" w:color="auto"/>
            </w:tcBorders>
            <w:textDirection w:val="lrTb"/>
            <w:vAlign w:val="center"/>
          </w:tcPr>
          <w:p w:rsidR="000D3C1C" w:rsidRPr="000D3C1C" w:rsidP="000D3C1C">
            <w:pPr>
              <w:bidi w:val="0"/>
              <w:jc w:val="center"/>
              <w:rPr>
                <w:rFonts w:ascii="Times New Roman" w:hAnsi="Times New Roman"/>
                <w:sz w:val="18"/>
                <w:szCs w:val="18"/>
              </w:rPr>
            </w:pPr>
            <w:r w:rsidRPr="000D3C1C">
              <w:rPr>
                <w:rFonts w:ascii="Times New Roman" w:hAnsi="Times New Roman"/>
                <w:sz w:val="18"/>
                <w:szCs w:val="18"/>
              </w:rPr>
              <w:t>0</w:t>
            </w:r>
          </w:p>
        </w:tc>
      </w:tr>
      <w:tr>
        <w:tblPrEx>
          <w:tblW w:w="9348" w:type="dxa"/>
          <w:tblLook w:val="01E0"/>
        </w:tblPrEx>
        <w:tc>
          <w:tcPr>
            <w:tcW w:w="2013" w:type="dxa"/>
            <w:tcBorders>
              <w:top w:val="single" w:sz="4" w:space="0" w:color="auto"/>
              <w:left w:val="single" w:sz="18"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sz w:val="18"/>
                <w:szCs w:val="18"/>
              </w:rPr>
            </w:pPr>
            <w:r w:rsidRPr="000D3C1C">
              <w:rPr>
                <w:rFonts w:ascii="Times New Roman" w:hAnsi="Times New Roman"/>
                <w:sz w:val="18"/>
                <w:szCs w:val="18"/>
              </w:rPr>
              <w:t>Počet pracovníkov</w:t>
            </w:r>
          </w:p>
        </w:tc>
        <w:tc>
          <w:tcPr>
            <w:tcW w:w="915"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sz w:val="18"/>
                <w:szCs w:val="18"/>
              </w:rPr>
            </w:pPr>
            <w:r w:rsidRPr="000D3C1C">
              <w:rPr>
                <w:rFonts w:ascii="Times New Roman" w:hAnsi="Times New Roman"/>
                <w:sz w:val="18"/>
                <w:szCs w:val="18"/>
              </w:rPr>
              <w:t>98</w:t>
            </w:r>
            <w:r w:rsidRPr="000D3C1C">
              <w:rPr>
                <w:rFonts w:ascii="Arial Narrow" w:hAnsi="Arial Narrow"/>
                <w:sz w:val="18"/>
                <w:szCs w:val="18"/>
              </w:rPr>
              <w:t>**</w:t>
            </w:r>
          </w:p>
        </w:tc>
        <w:tc>
          <w:tcPr>
            <w:tcW w:w="914"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sz w:val="18"/>
                <w:szCs w:val="18"/>
              </w:rPr>
            </w:pPr>
            <w:r w:rsidRPr="000D3C1C">
              <w:rPr>
                <w:rFonts w:ascii="Times New Roman" w:hAnsi="Times New Roman"/>
                <w:sz w:val="18"/>
                <w:szCs w:val="18"/>
              </w:rPr>
              <w:t>47</w:t>
            </w:r>
          </w:p>
        </w:tc>
        <w:tc>
          <w:tcPr>
            <w:tcW w:w="915"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sz w:val="18"/>
                <w:szCs w:val="18"/>
              </w:rPr>
            </w:pPr>
            <w:r w:rsidRPr="000D3C1C">
              <w:rPr>
                <w:rFonts w:ascii="Times New Roman" w:hAnsi="Times New Roman"/>
                <w:sz w:val="18"/>
                <w:szCs w:val="18"/>
              </w:rPr>
              <w:t>88</w:t>
            </w:r>
          </w:p>
        </w:tc>
        <w:tc>
          <w:tcPr>
            <w:tcW w:w="916"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sz w:val="18"/>
                <w:szCs w:val="18"/>
              </w:rPr>
            </w:pPr>
            <w:r w:rsidRPr="000D3C1C">
              <w:rPr>
                <w:rFonts w:ascii="Times New Roman" w:hAnsi="Times New Roman"/>
                <w:sz w:val="18"/>
                <w:szCs w:val="18"/>
              </w:rPr>
              <w:t>47</w:t>
            </w:r>
          </w:p>
        </w:tc>
        <w:tc>
          <w:tcPr>
            <w:tcW w:w="915"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sz w:val="18"/>
                <w:szCs w:val="18"/>
              </w:rPr>
            </w:pPr>
            <w:r w:rsidRPr="000D3C1C">
              <w:rPr>
                <w:rFonts w:ascii="Times New Roman" w:hAnsi="Times New Roman"/>
                <w:sz w:val="18"/>
                <w:szCs w:val="18"/>
              </w:rPr>
              <w:t>88</w:t>
            </w:r>
          </w:p>
        </w:tc>
        <w:tc>
          <w:tcPr>
            <w:tcW w:w="917"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sz w:val="18"/>
                <w:szCs w:val="18"/>
              </w:rPr>
            </w:pPr>
            <w:r w:rsidRPr="000D3C1C">
              <w:rPr>
                <w:rFonts w:ascii="Times New Roman" w:hAnsi="Times New Roman"/>
                <w:sz w:val="18"/>
                <w:szCs w:val="18"/>
              </w:rPr>
              <w:t>47</w:t>
            </w:r>
          </w:p>
        </w:tc>
        <w:tc>
          <w:tcPr>
            <w:tcW w:w="920"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sz w:val="18"/>
                <w:szCs w:val="18"/>
              </w:rPr>
            </w:pPr>
            <w:r w:rsidRPr="000D3C1C">
              <w:rPr>
                <w:rFonts w:ascii="Times New Roman" w:hAnsi="Times New Roman"/>
                <w:sz w:val="18"/>
                <w:szCs w:val="18"/>
              </w:rPr>
              <w:t>88</w:t>
            </w:r>
          </w:p>
        </w:tc>
        <w:tc>
          <w:tcPr>
            <w:tcW w:w="923" w:type="dxa"/>
            <w:tcBorders>
              <w:top w:val="single" w:sz="4" w:space="0" w:color="auto"/>
              <w:left w:val="single" w:sz="4" w:space="0" w:color="auto"/>
              <w:bottom w:val="single" w:sz="4" w:space="0" w:color="auto"/>
              <w:right w:val="single" w:sz="18" w:space="0" w:color="auto"/>
            </w:tcBorders>
            <w:textDirection w:val="lrTb"/>
            <w:vAlign w:val="center"/>
          </w:tcPr>
          <w:p w:rsidR="000D3C1C" w:rsidRPr="000D3C1C" w:rsidP="000D3C1C">
            <w:pPr>
              <w:bidi w:val="0"/>
              <w:jc w:val="center"/>
              <w:rPr>
                <w:rFonts w:ascii="Times New Roman" w:hAnsi="Times New Roman"/>
                <w:sz w:val="18"/>
                <w:szCs w:val="18"/>
              </w:rPr>
            </w:pPr>
            <w:r w:rsidRPr="000D3C1C">
              <w:rPr>
                <w:rFonts w:ascii="Times New Roman" w:hAnsi="Times New Roman"/>
                <w:sz w:val="18"/>
                <w:szCs w:val="18"/>
              </w:rPr>
              <w:t>47</w:t>
            </w:r>
          </w:p>
        </w:tc>
      </w:tr>
      <w:tr>
        <w:tblPrEx>
          <w:tblW w:w="9348" w:type="dxa"/>
          <w:tblLook w:val="01E0"/>
        </w:tblPrEx>
        <w:tc>
          <w:tcPr>
            <w:tcW w:w="2013" w:type="dxa"/>
            <w:tcBorders>
              <w:top w:val="single" w:sz="4" w:space="0" w:color="auto"/>
              <w:left w:val="single" w:sz="18"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sz w:val="18"/>
                <w:szCs w:val="18"/>
              </w:rPr>
            </w:pPr>
            <w:r w:rsidRPr="000D3C1C">
              <w:rPr>
                <w:rFonts w:ascii="Times New Roman" w:hAnsi="Times New Roman"/>
                <w:sz w:val="18"/>
                <w:szCs w:val="18"/>
              </w:rPr>
              <w:t>Priemerná mzda</w:t>
            </w:r>
          </w:p>
        </w:tc>
        <w:tc>
          <w:tcPr>
            <w:tcW w:w="915"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916,4</w:t>
            </w:r>
          </w:p>
        </w:tc>
        <w:tc>
          <w:tcPr>
            <w:tcW w:w="914"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912,20</w:t>
            </w:r>
          </w:p>
        </w:tc>
        <w:tc>
          <w:tcPr>
            <w:tcW w:w="915"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945,90</w:t>
            </w:r>
          </w:p>
        </w:tc>
        <w:tc>
          <w:tcPr>
            <w:tcW w:w="916"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922,10</w:t>
            </w:r>
          </w:p>
        </w:tc>
        <w:tc>
          <w:tcPr>
            <w:tcW w:w="915" w:type="dxa"/>
            <w:gridSpan w:val="2"/>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975,00</w:t>
            </w:r>
          </w:p>
        </w:tc>
        <w:tc>
          <w:tcPr>
            <w:tcW w:w="917"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947,70</w:t>
            </w:r>
          </w:p>
        </w:tc>
        <w:tc>
          <w:tcPr>
            <w:tcW w:w="920"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1 004,20</w:t>
            </w:r>
          </w:p>
        </w:tc>
        <w:tc>
          <w:tcPr>
            <w:tcW w:w="923" w:type="dxa"/>
            <w:tcBorders>
              <w:top w:val="single" w:sz="4" w:space="0" w:color="auto"/>
              <w:left w:val="single" w:sz="4" w:space="0" w:color="auto"/>
              <w:bottom w:val="single" w:sz="4" w:space="0" w:color="auto"/>
              <w:right w:val="single" w:sz="18"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1 039,00</w:t>
            </w:r>
          </w:p>
        </w:tc>
      </w:tr>
      <w:tr>
        <w:tblPrEx>
          <w:tblW w:w="9348" w:type="dxa"/>
          <w:tblLook w:val="01E0"/>
        </w:tblPrEx>
        <w:tc>
          <w:tcPr>
            <w:tcW w:w="2013" w:type="dxa"/>
            <w:tcBorders>
              <w:top w:val="single" w:sz="4" w:space="0" w:color="auto"/>
              <w:left w:val="single" w:sz="18" w:space="0" w:color="auto"/>
              <w:bottom w:val="single" w:sz="18" w:space="0" w:color="auto"/>
              <w:right w:val="single" w:sz="4" w:space="0" w:color="auto"/>
            </w:tcBorders>
            <w:textDirection w:val="lrTb"/>
            <w:vAlign w:val="top"/>
          </w:tcPr>
          <w:p w:rsidR="000D3C1C" w:rsidRPr="000D3C1C" w:rsidP="000D3C1C">
            <w:pPr>
              <w:bidi w:val="0"/>
              <w:jc w:val="both"/>
              <w:rPr>
                <w:rFonts w:ascii="Times New Roman" w:hAnsi="Times New Roman"/>
                <w:sz w:val="18"/>
                <w:szCs w:val="18"/>
              </w:rPr>
            </w:pPr>
            <w:r w:rsidRPr="000D3C1C">
              <w:rPr>
                <w:rFonts w:ascii="Times New Roman" w:hAnsi="Times New Roman"/>
                <w:sz w:val="18"/>
                <w:szCs w:val="18"/>
              </w:rPr>
              <w:t>Spolu:</w:t>
            </w:r>
          </w:p>
        </w:tc>
        <w:tc>
          <w:tcPr>
            <w:tcW w:w="915" w:type="dxa"/>
            <w:tcBorders>
              <w:top w:val="single" w:sz="4" w:space="0" w:color="auto"/>
              <w:left w:val="single" w:sz="4" w:space="0" w:color="auto"/>
              <w:bottom w:val="single" w:sz="18"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2 702,55</w:t>
            </w:r>
          </w:p>
        </w:tc>
        <w:tc>
          <w:tcPr>
            <w:tcW w:w="914" w:type="dxa"/>
            <w:gridSpan w:val="2"/>
            <w:tcBorders>
              <w:top w:val="single" w:sz="4" w:space="0" w:color="auto"/>
              <w:left w:val="single" w:sz="4" w:space="0" w:color="auto"/>
              <w:bottom w:val="single" w:sz="18"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995,82</w:t>
            </w:r>
          </w:p>
        </w:tc>
        <w:tc>
          <w:tcPr>
            <w:tcW w:w="915" w:type="dxa"/>
            <w:gridSpan w:val="2"/>
            <w:tcBorders>
              <w:top w:val="single" w:sz="4" w:space="0" w:color="auto"/>
              <w:left w:val="single" w:sz="4" w:space="0" w:color="auto"/>
              <w:bottom w:val="single" w:sz="18"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2 246,76</w:t>
            </w:r>
          </w:p>
        </w:tc>
        <w:tc>
          <w:tcPr>
            <w:tcW w:w="916" w:type="dxa"/>
            <w:gridSpan w:val="2"/>
            <w:tcBorders>
              <w:top w:val="single" w:sz="4" w:space="0" w:color="auto"/>
              <w:left w:val="single" w:sz="4" w:space="0" w:color="auto"/>
              <w:bottom w:val="single" w:sz="18"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1 095,40</w:t>
            </w:r>
          </w:p>
        </w:tc>
        <w:tc>
          <w:tcPr>
            <w:tcW w:w="915" w:type="dxa"/>
            <w:gridSpan w:val="2"/>
            <w:tcBorders>
              <w:top w:val="single" w:sz="4" w:space="0" w:color="auto"/>
              <w:left w:val="single" w:sz="4" w:space="0" w:color="auto"/>
              <w:bottom w:val="single" w:sz="18"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2 288,12</w:t>
            </w:r>
          </w:p>
        </w:tc>
        <w:tc>
          <w:tcPr>
            <w:tcW w:w="917" w:type="dxa"/>
            <w:tcBorders>
              <w:top w:val="single" w:sz="4" w:space="0" w:color="auto"/>
              <w:left w:val="single" w:sz="4" w:space="0" w:color="auto"/>
              <w:bottom w:val="single" w:sz="18"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1 194,98</w:t>
            </w:r>
          </w:p>
        </w:tc>
        <w:tc>
          <w:tcPr>
            <w:tcW w:w="920" w:type="dxa"/>
            <w:tcBorders>
              <w:top w:val="single" w:sz="4" w:space="0" w:color="auto"/>
              <w:left w:val="single" w:sz="4" w:space="0" w:color="auto"/>
              <w:bottom w:val="single" w:sz="18" w:space="0" w:color="auto"/>
              <w:right w:val="single" w:sz="4"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2 329,78</w:t>
            </w:r>
          </w:p>
        </w:tc>
        <w:tc>
          <w:tcPr>
            <w:tcW w:w="923" w:type="dxa"/>
            <w:tcBorders>
              <w:top w:val="single" w:sz="4" w:space="0" w:color="auto"/>
              <w:left w:val="single" w:sz="4" w:space="0" w:color="auto"/>
              <w:bottom w:val="single" w:sz="18" w:space="0" w:color="auto"/>
              <w:right w:val="single" w:sz="18" w:space="0" w:color="auto"/>
            </w:tcBorders>
            <w:textDirection w:val="lrTb"/>
            <w:vAlign w:val="center"/>
          </w:tcPr>
          <w:p w:rsidR="000D3C1C" w:rsidRPr="000D3C1C" w:rsidP="000D3C1C">
            <w:pPr>
              <w:bidi w:val="0"/>
              <w:jc w:val="right"/>
              <w:rPr>
                <w:rFonts w:ascii="Times New Roman" w:hAnsi="Times New Roman"/>
                <w:sz w:val="18"/>
                <w:szCs w:val="18"/>
              </w:rPr>
            </w:pPr>
            <w:r w:rsidRPr="000D3C1C">
              <w:rPr>
                <w:rFonts w:ascii="Times New Roman" w:hAnsi="Times New Roman"/>
                <w:sz w:val="18"/>
                <w:szCs w:val="18"/>
              </w:rPr>
              <w:t>1 294,56</w:t>
            </w:r>
          </w:p>
        </w:tc>
      </w:tr>
    </w:tbl>
    <w:p w:rsidR="000D3C1C" w:rsidRPr="00F453BA" w:rsidP="000D3C1C">
      <w:pPr>
        <w:bidi w:val="0"/>
        <w:jc w:val="both"/>
        <w:rPr>
          <w:rFonts w:ascii="Times New Roman" w:hAnsi="Times New Roman"/>
        </w:rPr>
      </w:pPr>
      <w:r w:rsidRPr="000D3C1C">
        <w:rPr>
          <w:rFonts w:ascii="Times New Roman" w:hAnsi="Times New Roman"/>
          <w:i/>
          <w:sz w:val="20"/>
          <w:szCs w:val="20"/>
        </w:rPr>
        <w:t xml:space="preserve">* Poznámka: účinnosť od 1.5.2009 </w:t>
      </w:r>
    </w:p>
    <w:p w:rsidR="000D3C1C" w:rsidRPr="000D3C1C" w:rsidP="000D3C1C">
      <w:pPr>
        <w:bidi w:val="0"/>
        <w:jc w:val="both"/>
        <w:rPr>
          <w:rFonts w:ascii="Times New Roman" w:hAnsi="Times New Roman"/>
          <w:i/>
          <w:sz w:val="20"/>
          <w:szCs w:val="20"/>
        </w:rPr>
      </w:pPr>
      <w:r w:rsidRPr="000D3C1C">
        <w:rPr>
          <w:rFonts w:ascii="Times New Roman" w:hAnsi="Times New Roman"/>
          <w:sz w:val="20"/>
          <w:szCs w:val="20"/>
        </w:rPr>
        <w:t xml:space="preserve">** Poznámka: </w:t>
      </w:r>
      <w:r w:rsidRPr="000D3C1C">
        <w:rPr>
          <w:rFonts w:ascii="Times New Roman" w:hAnsi="Times New Roman"/>
          <w:i/>
          <w:sz w:val="20"/>
          <w:szCs w:val="20"/>
        </w:rPr>
        <w:t>pre rok 2009 bol MDPT SR leteckému úradu rozpisom rozpočtu stanovený limit pracovníkov 98 bez pridelenia mzdových prostriedkov. Priemerná mzda pre rok 2009 je preto prepočítaná na  počet pracovníkov 88, tak ako to bolo v pláne na rok 2008.</w:t>
      </w:r>
    </w:p>
    <w:p w:rsidR="000D3C1C" w:rsidRPr="000D3C1C" w:rsidP="000D3C1C">
      <w:pPr>
        <w:bidi w:val="0"/>
        <w:jc w:val="both"/>
        <w:rPr>
          <w:rFonts w:ascii="Arial Narrow" w:hAnsi="Arial Narrow"/>
          <w:i/>
          <w:sz w:val="20"/>
          <w:szCs w:val="20"/>
        </w:rPr>
      </w:pPr>
    </w:p>
    <w:p w:rsidR="000D3C1C" w:rsidRPr="00F453BA" w:rsidP="000D3C1C">
      <w:pPr>
        <w:bidi w:val="0"/>
        <w:jc w:val="both"/>
        <w:rPr>
          <w:rFonts w:ascii="Times New Roman" w:hAnsi="Times New Roman"/>
        </w:rPr>
      </w:pPr>
      <w:r w:rsidRPr="00F453BA">
        <w:rPr>
          <w:rFonts w:ascii="Times New Roman" w:hAnsi="Times New Roman"/>
        </w:rPr>
        <w:t>Návrh rozpočtu leteckého úradu vychádza z uvedených požiadaviek a predpokladov, ktoré sú uvedené v predchádzajúcej časti. Predpokladané finančné dôsledky na štátny rozpočet sú uvádzané nielen na bežný rok, ale aj na tri nasledujúce rozpočtové roky (v súlade s § 33 zákona č. 523/2004 Z. z. o rozpočtových pravidlách verejnej správy a o zmene a o doplnení niektorých zákonov v znení neskorších predpisov).</w:t>
      </w:r>
    </w:p>
    <w:p w:rsidR="000D3C1C" w:rsidRPr="00F453BA" w:rsidP="000D3C1C">
      <w:pPr>
        <w:bidi w:val="0"/>
        <w:jc w:val="both"/>
        <w:rPr>
          <w:rFonts w:ascii="Times New Roman" w:hAnsi="Times New Roman"/>
        </w:rPr>
      </w:pPr>
      <w:r w:rsidRPr="00F453BA">
        <w:rPr>
          <w:rFonts w:ascii="Times New Roman" w:hAnsi="Times New Roman"/>
        </w:rPr>
        <w:t>Základným princípom predkladaného modelu financovania leteckého úradu je zabezpečenie dostatočných finančných zdrojov pre výkon dozorných činností v oblasti bezpečnosti civilného letectva.</w:t>
      </w:r>
    </w:p>
    <w:p w:rsidR="000D3C1C" w:rsidRPr="00F453BA" w:rsidP="000D3C1C">
      <w:pPr>
        <w:bidi w:val="0"/>
        <w:jc w:val="both"/>
        <w:rPr>
          <w:rFonts w:ascii="Times New Roman" w:hAnsi="Times New Roman"/>
        </w:rPr>
      </w:pPr>
    </w:p>
    <w:p w:rsidR="000D3C1C" w:rsidRPr="00F453BA" w:rsidP="000D3C1C">
      <w:pPr>
        <w:bidi w:val="0"/>
        <w:ind w:firstLine="567"/>
        <w:jc w:val="both"/>
        <w:outlineLvl w:val="0"/>
        <w:rPr>
          <w:rFonts w:ascii="Times New Roman" w:hAnsi="Times New Roman"/>
        </w:rPr>
      </w:pPr>
      <w:r w:rsidRPr="00F453BA">
        <w:rPr>
          <w:rFonts w:ascii="Times New Roman" w:hAnsi="Times New Roman"/>
        </w:rPr>
        <w:t>3.1. Kalkulácia mzdových prostriedkov</w:t>
      </w:r>
    </w:p>
    <w:p w:rsidR="000D3C1C" w:rsidRPr="00F453BA" w:rsidP="000D3C1C">
      <w:pPr>
        <w:bidi w:val="0"/>
        <w:ind w:firstLine="567"/>
        <w:jc w:val="both"/>
        <w:rPr>
          <w:rFonts w:ascii="Times New Roman" w:hAnsi="Times New Roman"/>
        </w:rPr>
      </w:pPr>
      <w:r w:rsidRPr="00F453BA">
        <w:rPr>
          <w:rFonts w:ascii="Times New Roman" w:hAnsi="Times New Roman"/>
        </w:rPr>
        <w:t>Vzhľadom na súčasný nedostatok kvalifikovaných odborníkov v oblasti bezpečnosti civilného letectva stabilizácia odborných zamestnancov leteckého úradu si vyžaduje úpravu platových podmienok. Na základe zhodnotenia súčasných platových relácií sa od roku 2009 navrhuje zvýšenie mzdových prostriedkov pre skupinu ťažiskových štátnych zamestnancov  o zdroje získané z mimorozpočtových zdrojov. Táto skupina zahŕňa kľúčové pracovné pozície, ktoré sú</w:t>
      </w:r>
      <w:r w:rsidRPr="000D3C1C">
        <w:rPr>
          <w:rFonts w:ascii="Times New Roman" w:hAnsi="Times New Roman"/>
          <w:color w:val="FF0000"/>
        </w:rPr>
        <w:t xml:space="preserve"> </w:t>
      </w:r>
      <w:r w:rsidRPr="00F453BA">
        <w:rPr>
          <w:rFonts w:ascii="Times New Roman" w:hAnsi="Times New Roman"/>
        </w:rPr>
        <w:t xml:space="preserve">obsadené kvalifikovanými odborníkmi v oblasti civilného letectva. Tento nárast bude pokrytý z úhrad, ktoré získa letecký úrad z príspevku od Letových prevádzkových služieb SR, š.p. z navigačných poplatkov a zo správnych poplatkov upravených v rámci novely leteckého zákona. V tabuľke č. 6 je uvedený návrh prerozdelenia platových prostriedkov pre ťažiskových pracovníkov, ktoré tvoria prostriedky zo ŠR a mimorozpočtové prostriedky získané zo spoločného systému spoplatňovania leteckých navigačných služieb. </w:t>
      </w:r>
    </w:p>
    <w:p w:rsidR="000D3C1C" w:rsidRPr="00F453BA" w:rsidP="000D3C1C">
      <w:pPr>
        <w:bidi w:val="0"/>
        <w:ind w:firstLine="567"/>
        <w:jc w:val="both"/>
        <w:rPr>
          <w:rFonts w:ascii="Times New Roman" w:hAnsi="Times New Roman"/>
        </w:rPr>
      </w:pPr>
    </w:p>
    <w:p w:rsidR="000D3C1C" w:rsidRPr="000D3C1C" w:rsidP="000D3C1C">
      <w:pPr>
        <w:bidi w:val="0"/>
        <w:ind w:firstLine="567"/>
        <w:jc w:val="center"/>
        <w:rPr>
          <w:rFonts w:ascii="Times New Roman" w:hAnsi="Times New Roman"/>
          <w:b/>
        </w:rPr>
      </w:pPr>
      <w:r w:rsidRPr="000D3C1C">
        <w:rPr>
          <w:rFonts w:ascii="Times New Roman" w:hAnsi="Times New Roman"/>
          <w:b/>
        </w:rPr>
        <w:t>Prehľad prerozdelenia platových prostriedkov pre ťažiskových pracovníkov, ktorí sú uvedení v tabuľke č. 3.</w:t>
      </w:r>
    </w:p>
    <w:p w:rsidR="000D3C1C" w:rsidRPr="000D3C1C" w:rsidP="000D3C1C">
      <w:pPr>
        <w:bidi w:val="0"/>
        <w:jc w:val="both"/>
        <w:rPr>
          <w:rFonts w:ascii="Times New Roman" w:hAnsi="Times New Roman"/>
          <w:sz w:val="20"/>
          <w:szCs w:val="20"/>
        </w:rPr>
      </w:pPr>
      <w:r w:rsidRPr="000D3C1C">
        <w:rPr>
          <w:rFonts w:ascii="Times New Roman" w:hAnsi="Times New Roman"/>
          <w:sz w:val="20"/>
          <w:szCs w:val="20"/>
        </w:rPr>
        <w:t xml:space="preserve"> (tabuľka č. 6)                                                                                                                     (ročné vyjadrenie v tis. €) </w:t>
      </w:r>
    </w:p>
    <w:tbl>
      <w:tblPr>
        <w:tblStyle w:val="TableGrid"/>
        <w:tblW w:w="9835" w:type="dxa"/>
        <w:tblBorders>
          <w:top w:val="single" w:sz="12" w:space="0" w:color="auto"/>
          <w:left w:val="single" w:sz="12" w:space="0" w:color="auto"/>
          <w:bottom w:val="single" w:sz="12" w:space="0" w:color="auto"/>
          <w:right w:val="single" w:sz="12" w:space="0" w:color="auto"/>
        </w:tblBorders>
        <w:tblLayout w:type="fixed"/>
        <w:tblLook w:val="01E0"/>
      </w:tblPr>
      <w:tblGrid>
        <w:gridCol w:w="2421"/>
        <w:gridCol w:w="996"/>
        <w:gridCol w:w="996"/>
        <w:gridCol w:w="791"/>
        <w:gridCol w:w="792"/>
        <w:gridCol w:w="1016"/>
        <w:gridCol w:w="791"/>
        <w:gridCol w:w="1016"/>
        <w:gridCol w:w="1016"/>
      </w:tblGrid>
      <w:tr>
        <w:tblPrEx>
          <w:tblW w:w="9835" w:type="dxa"/>
          <w:tblBorders>
            <w:top w:val="single" w:sz="12" w:space="0" w:color="auto"/>
            <w:left w:val="single" w:sz="12" w:space="0" w:color="auto"/>
            <w:bottom w:val="single" w:sz="12" w:space="0" w:color="auto"/>
            <w:right w:val="single" w:sz="12" w:space="0" w:color="auto"/>
          </w:tblBorders>
          <w:tblLayout w:type="fixed"/>
          <w:tblLook w:val="01E0"/>
        </w:tblPrEx>
        <w:trPr>
          <w:trHeight w:val="210"/>
        </w:trPr>
        <w:tc>
          <w:tcPr>
            <w:tcW w:w="2421" w:type="dxa"/>
            <w:vMerge w:val="restart"/>
            <w:tcBorders>
              <w:top w:val="single" w:sz="12" w:space="0" w:color="auto"/>
              <w:left w:val="single" w:sz="12"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Ukazovateľ</w:t>
            </w:r>
          </w:p>
        </w:tc>
        <w:tc>
          <w:tcPr>
            <w:tcW w:w="1992" w:type="dxa"/>
            <w:gridSpan w:val="2"/>
            <w:tcBorders>
              <w:top w:val="single" w:sz="12" w:space="0" w:color="auto"/>
              <w:left w:val="single" w:sz="4" w:space="0" w:color="auto"/>
              <w:bottom w:val="single" w:sz="4" w:space="0" w:color="auto"/>
              <w:right w:val="single" w:sz="4" w:space="0" w:color="auto"/>
            </w:tcBorders>
            <w:textDirection w:val="lrTb"/>
            <w:vAlign w:val="top"/>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2009</w:t>
            </w:r>
          </w:p>
        </w:tc>
        <w:tc>
          <w:tcPr>
            <w:tcW w:w="1583" w:type="dxa"/>
            <w:gridSpan w:val="2"/>
            <w:tcBorders>
              <w:top w:val="single" w:sz="12" w:space="0" w:color="auto"/>
              <w:left w:val="single" w:sz="4" w:space="0" w:color="auto"/>
              <w:bottom w:val="single" w:sz="4" w:space="0" w:color="auto"/>
              <w:right w:val="single" w:sz="4" w:space="0" w:color="auto"/>
            </w:tcBorders>
            <w:textDirection w:val="lrTb"/>
            <w:vAlign w:val="top"/>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2010</w:t>
            </w:r>
          </w:p>
        </w:tc>
        <w:tc>
          <w:tcPr>
            <w:tcW w:w="1807" w:type="dxa"/>
            <w:gridSpan w:val="2"/>
            <w:tcBorders>
              <w:top w:val="single" w:sz="12" w:space="0" w:color="auto"/>
              <w:left w:val="single" w:sz="4" w:space="0" w:color="auto"/>
              <w:bottom w:val="single" w:sz="4" w:space="0" w:color="auto"/>
              <w:right w:val="single" w:sz="4" w:space="0" w:color="auto"/>
            </w:tcBorders>
            <w:textDirection w:val="lrTb"/>
            <w:vAlign w:val="top"/>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2011</w:t>
            </w:r>
          </w:p>
        </w:tc>
        <w:tc>
          <w:tcPr>
            <w:tcW w:w="2032" w:type="dxa"/>
            <w:gridSpan w:val="2"/>
            <w:tcBorders>
              <w:top w:val="single" w:sz="12" w:space="0" w:color="auto"/>
              <w:left w:val="single" w:sz="4" w:space="0" w:color="auto"/>
              <w:bottom w:val="single" w:sz="4" w:space="0" w:color="auto"/>
              <w:right w:val="single" w:sz="12" w:space="0" w:color="auto"/>
            </w:tcBorders>
            <w:textDirection w:val="lrTb"/>
            <w:vAlign w:val="top"/>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2012</w:t>
            </w:r>
          </w:p>
        </w:tc>
      </w:tr>
      <w:tr>
        <w:tblPrEx>
          <w:tblW w:w="9835" w:type="dxa"/>
          <w:tblLayout w:type="fixed"/>
          <w:tblLook w:val="01E0"/>
        </w:tblPrEx>
        <w:trPr>
          <w:trHeight w:val="330"/>
        </w:trPr>
        <w:tc>
          <w:tcPr>
            <w:tcW w:w="2421" w:type="dxa"/>
            <w:vMerge/>
            <w:tcBorders>
              <w:top w:val="single" w:sz="4" w:space="0" w:color="auto"/>
              <w:left w:val="single" w:sz="12"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b/>
                <w:sz w:val="20"/>
                <w:szCs w:val="20"/>
              </w:rPr>
            </w:pP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ŠR</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MRP</w:t>
            </w:r>
          </w:p>
        </w:tc>
        <w:tc>
          <w:tcPr>
            <w:tcW w:w="791"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ŠR</w:t>
            </w:r>
          </w:p>
        </w:tc>
        <w:tc>
          <w:tcPr>
            <w:tcW w:w="792"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MRP</w:t>
            </w:r>
          </w:p>
        </w:tc>
        <w:tc>
          <w:tcPr>
            <w:tcW w:w="1016"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ŠR</w:t>
            </w:r>
          </w:p>
        </w:tc>
        <w:tc>
          <w:tcPr>
            <w:tcW w:w="791"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MRP</w:t>
            </w:r>
          </w:p>
        </w:tc>
        <w:tc>
          <w:tcPr>
            <w:tcW w:w="1016"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ŠR</w:t>
            </w:r>
          </w:p>
        </w:tc>
        <w:tc>
          <w:tcPr>
            <w:tcW w:w="1016" w:type="dxa"/>
            <w:tcBorders>
              <w:top w:val="single" w:sz="4" w:space="0" w:color="auto"/>
              <w:left w:val="single" w:sz="4" w:space="0" w:color="auto"/>
              <w:bottom w:val="single" w:sz="4" w:space="0" w:color="auto"/>
              <w:right w:val="single" w:sz="12" w:space="0" w:color="auto"/>
            </w:tcBorders>
            <w:textDirection w:val="lrTb"/>
            <w:vAlign w:val="center"/>
          </w:tcPr>
          <w:p w:rsidR="000D3C1C" w:rsidRPr="000D3C1C" w:rsidP="000D3C1C">
            <w:pPr>
              <w:bidi w:val="0"/>
              <w:jc w:val="center"/>
              <w:rPr>
                <w:rFonts w:ascii="Times New Roman" w:hAnsi="Times New Roman"/>
                <w:b/>
                <w:sz w:val="20"/>
                <w:szCs w:val="20"/>
              </w:rPr>
            </w:pPr>
            <w:r w:rsidRPr="000D3C1C">
              <w:rPr>
                <w:rFonts w:ascii="Times New Roman" w:hAnsi="Times New Roman"/>
                <w:b/>
                <w:sz w:val="20"/>
                <w:szCs w:val="20"/>
              </w:rPr>
              <w:t>MRP</w:t>
            </w:r>
          </w:p>
        </w:tc>
      </w:tr>
      <w:tr>
        <w:tblPrEx>
          <w:tblW w:w="9835" w:type="dxa"/>
          <w:tblLayout w:type="fixed"/>
          <w:tblLook w:val="01E0"/>
        </w:tblPrEx>
        <w:tc>
          <w:tcPr>
            <w:tcW w:w="2421" w:type="dxa"/>
            <w:tcBorders>
              <w:top w:val="single" w:sz="4" w:space="0" w:color="auto"/>
              <w:left w:val="single" w:sz="12"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sz w:val="20"/>
                <w:szCs w:val="20"/>
              </w:rPr>
            </w:pPr>
            <w:r w:rsidRPr="000D3C1C">
              <w:rPr>
                <w:rFonts w:ascii="Times New Roman" w:hAnsi="Times New Roman"/>
                <w:sz w:val="20"/>
                <w:szCs w:val="20"/>
              </w:rPr>
              <w:t>Platové prostriedky</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967,70</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514,50</w:t>
            </w:r>
          </w:p>
        </w:tc>
        <w:tc>
          <w:tcPr>
            <w:tcW w:w="791"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998,90</w:t>
            </w:r>
          </w:p>
        </w:tc>
        <w:tc>
          <w:tcPr>
            <w:tcW w:w="792"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520,06</w:t>
            </w:r>
          </w:p>
        </w:tc>
        <w:tc>
          <w:tcPr>
            <w:tcW w:w="1016"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1 029,57</w:t>
            </w:r>
          </w:p>
        </w:tc>
        <w:tc>
          <w:tcPr>
            <w:tcW w:w="791"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534,50</w:t>
            </w:r>
          </w:p>
        </w:tc>
        <w:tc>
          <w:tcPr>
            <w:tcW w:w="1016"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1 060,45</w:t>
            </w:r>
          </w:p>
        </w:tc>
        <w:tc>
          <w:tcPr>
            <w:tcW w:w="1016" w:type="dxa"/>
            <w:tcBorders>
              <w:top w:val="single" w:sz="4" w:space="0" w:color="auto"/>
              <w:left w:val="single" w:sz="4" w:space="0" w:color="auto"/>
              <w:bottom w:val="single" w:sz="4" w:space="0" w:color="auto"/>
              <w:right w:val="single" w:sz="12"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586,00</w:t>
            </w:r>
          </w:p>
        </w:tc>
      </w:tr>
      <w:tr>
        <w:tblPrEx>
          <w:tblW w:w="9835" w:type="dxa"/>
          <w:tblLayout w:type="fixed"/>
          <w:tblLook w:val="01E0"/>
        </w:tblPrEx>
        <w:tc>
          <w:tcPr>
            <w:tcW w:w="2421" w:type="dxa"/>
            <w:tcBorders>
              <w:top w:val="single" w:sz="4" w:space="0" w:color="auto"/>
              <w:left w:val="single" w:sz="12"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sz w:val="20"/>
                <w:szCs w:val="20"/>
              </w:rPr>
            </w:pPr>
            <w:r w:rsidRPr="000D3C1C">
              <w:rPr>
                <w:rFonts w:ascii="Times New Roman" w:hAnsi="Times New Roman"/>
                <w:sz w:val="20"/>
                <w:szCs w:val="20"/>
              </w:rPr>
              <w:t>Počet pracovníkov</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sz w:val="20"/>
                <w:szCs w:val="20"/>
              </w:rPr>
            </w:pPr>
            <w:r w:rsidRPr="000D3C1C">
              <w:rPr>
                <w:rFonts w:ascii="Times New Roman" w:hAnsi="Times New Roman"/>
                <w:sz w:val="20"/>
                <w:szCs w:val="20"/>
              </w:rPr>
              <w:t xml:space="preserve">    98*</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sz w:val="20"/>
                <w:szCs w:val="20"/>
              </w:rPr>
            </w:pPr>
            <w:r w:rsidRPr="000D3C1C">
              <w:rPr>
                <w:rFonts w:ascii="Times New Roman" w:hAnsi="Times New Roman"/>
                <w:sz w:val="20"/>
                <w:szCs w:val="20"/>
              </w:rPr>
              <w:t>47</w:t>
            </w:r>
          </w:p>
        </w:tc>
        <w:tc>
          <w:tcPr>
            <w:tcW w:w="791"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sz w:val="20"/>
                <w:szCs w:val="20"/>
              </w:rPr>
            </w:pPr>
            <w:r w:rsidRPr="000D3C1C">
              <w:rPr>
                <w:rFonts w:ascii="Times New Roman" w:hAnsi="Times New Roman"/>
                <w:sz w:val="20"/>
                <w:szCs w:val="20"/>
              </w:rPr>
              <w:t>88</w:t>
            </w:r>
          </w:p>
        </w:tc>
        <w:tc>
          <w:tcPr>
            <w:tcW w:w="792"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sz w:val="20"/>
                <w:szCs w:val="20"/>
              </w:rPr>
            </w:pPr>
            <w:r w:rsidRPr="000D3C1C">
              <w:rPr>
                <w:rFonts w:ascii="Times New Roman" w:hAnsi="Times New Roman"/>
                <w:sz w:val="20"/>
                <w:szCs w:val="20"/>
              </w:rPr>
              <w:t>47</w:t>
            </w:r>
          </w:p>
        </w:tc>
        <w:tc>
          <w:tcPr>
            <w:tcW w:w="1016"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sz w:val="20"/>
                <w:szCs w:val="20"/>
              </w:rPr>
            </w:pPr>
            <w:r w:rsidRPr="000D3C1C">
              <w:rPr>
                <w:rFonts w:ascii="Times New Roman" w:hAnsi="Times New Roman"/>
                <w:sz w:val="20"/>
                <w:szCs w:val="20"/>
              </w:rPr>
              <w:t>88</w:t>
            </w:r>
          </w:p>
        </w:tc>
        <w:tc>
          <w:tcPr>
            <w:tcW w:w="791"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sz w:val="20"/>
                <w:szCs w:val="20"/>
              </w:rPr>
            </w:pPr>
            <w:r w:rsidRPr="000D3C1C">
              <w:rPr>
                <w:rFonts w:ascii="Times New Roman" w:hAnsi="Times New Roman"/>
                <w:sz w:val="20"/>
                <w:szCs w:val="20"/>
              </w:rPr>
              <w:t>47</w:t>
            </w:r>
          </w:p>
        </w:tc>
        <w:tc>
          <w:tcPr>
            <w:tcW w:w="1016"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center"/>
              <w:rPr>
                <w:rFonts w:ascii="Times New Roman" w:hAnsi="Times New Roman"/>
                <w:sz w:val="20"/>
                <w:szCs w:val="20"/>
              </w:rPr>
            </w:pPr>
            <w:r w:rsidRPr="000D3C1C">
              <w:rPr>
                <w:rFonts w:ascii="Times New Roman" w:hAnsi="Times New Roman"/>
                <w:sz w:val="20"/>
                <w:szCs w:val="20"/>
              </w:rPr>
              <w:t>88</w:t>
            </w:r>
          </w:p>
        </w:tc>
        <w:tc>
          <w:tcPr>
            <w:tcW w:w="1016" w:type="dxa"/>
            <w:tcBorders>
              <w:top w:val="single" w:sz="4" w:space="0" w:color="auto"/>
              <w:left w:val="single" w:sz="4" w:space="0" w:color="auto"/>
              <w:bottom w:val="single" w:sz="4" w:space="0" w:color="auto"/>
              <w:right w:val="single" w:sz="12" w:space="0" w:color="auto"/>
            </w:tcBorders>
            <w:textDirection w:val="lrTb"/>
            <w:vAlign w:val="center"/>
          </w:tcPr>
          <w:p w:rsidR="000D3C1C" w:rsidRPr="000D3C1C" w:rsidP="000D3C1C">
            <w:pPr>
              <w:bidi w:val="0"/>
              <w:jc w:val="center"/>
              <w:rPr>
                <w:rFonts w:ascii="Times New Roman" w:hAnsi="Times New Roman"/>
                <w:sz w:val="20"/>
                <w:szCs w:val="20"/>
              </w:rPr>
            </w:pPr>
            <w:r w:rsidRPr="000D3C1C">
              <w:rPr>
                <w:rFonts w:ascii="Times New Roman" w:hAnsi="Times New Roman"/>
                <w:sz w:val="20"/>
                <w:szCs w:val="20"/>
              </w:rPr>
              <w:t>47</w:t>
            </w:r>
          </w:p>
        </w:tc>
      </w:tr>
      <w:tr>
        <w:tblPrEx>
          <w:tblW w:w="9835" w:type="dxa"/>
          <w:tblLayout w:type="fixed"/>
          <w:tblLook w:val="01E0"/>
        </w:tblPrEx>
        <w:tc>
          <w:tcPr>
            <w:tcW w:w="2421" w:type="dxa"/>
            <w:tcBorders>
              <w:top w:val="single" w:sz="4" w:space="0" w:color="auto"/>
              <w:left w:val="single" w:sz="12" w:space="0" w:color="auto"/>
              <w:bottom w:val="single" w:sz="4" w:space="0" w:color="auto"/>
              <w:right w:val="single" w:sz="4" w:space="0" w:color="auto"/>
            </w:tcBorders>
            <w:textDirection w:val="lrTb"/>
            <w:vAlign w:val="top"/>
          </w:tcPr>
          <w:p w:rsidR="000D3C1C" w:rsidRPr="000D3C1C" w:rsidP="000D3C1C">
            <w:pPr>
              <w:bidi w:val="0"/>
              <w:jc w:val="both"/>
              <w:rPr>
                <w:rFonts w:ascii="Times New Roman" w:hAnsi="Times New Roman"/>
                <w:sz w:val="20"/>
                <w:szCs w:val="20"/>
              </w:rPr>
            </w:pPr>
            <w:r w:rsidRPr="000D3C1C">
              <w:rPr>
                <w:rFonts w:ascii="Times New Roman" w:hAnsi="Times New Roman"/>
                <w:sz w:val="20"/>
                <w:szCs w:val="20"/>
              </w:rPr>
              <w:t>Priemerná mzda</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916,4</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912,20</w:t>
            </w:r>
          </w:p>
        </w:tc>
        <w:tc>
          <w:tcPr>
            <w:tcW w:w="791"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945,90</w:t>
            </w:r>
          </w:p>
        </w:tc>
        <w:tc>
          <w:tcPr>
            <w:tcW w:w="792"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922,10</w:t>
            </w:r>
          </w:p>
        </w:tc>
        <w:tc>
          <w:tcPr>
            <w:tcW w:w="1016"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975,00</w:t>
            </w:r>
          </w:p>
        </w:tc>
        <w:tc>
          <w:tcPr>
            <w:tcW w:w="791"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947,70</w:t>
            </w:r>
          </w:p>
        </w:tc>
        <w:tc>
          <w:tcPr>
            <w:tcW w:w="1016" w:type="dxa"/>
            <w:tcBorders>
              <w:top w:val="single" w:sz="4" w:space="0" w:color="auto"/>
              <w:left w:val="single" w:sz="4" w:space="0" w:color="auto"/>
              <w:bottom w:val="single" w:sz="4" w:space="0" w:color="auto"/>
              <w:right w:val="single" w:sz="4"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1 004,20</w:t>
            </w:r>
          </w:p>
        </w:tc>
        <w:tc>
          <w:tcPr>
            <w:tcW w:w="1016" w:type="dxa"/>
            <w:tcBorders>
              <w:top w:val="single" w:sz="4" w:space="0" w:color="auto"/>
              <w:left w:val="single" w:sz="4" w:space="0" w:color="auto"/>
              <w:bottom w:val="single" w:sz="4" w:space="0" w:color="auto"/>
              <w:right w:val="single" w:sz="12" w:space="0" w:color="auto"/>
            </w:tcBorders>
            <w:textDirection w:val="lrTb"/>
            <w:vAlign w:val="center"/>
          </w:tcPr>
          <w:p w:rsidR="000D3C1C" w:rsidRPr="000D3C1C" w:rsidP="000D3C1C">
            <w:pPr>
              <w:bidi w:val="0"/>
              <w:jc w:val="right"/>
              <w:rPr>
                <w:rFonts w:ascii="Times New Roman" w:hAnsi="Times New Roman"/>
                <w:sz w:val="20"/>
                <w:szCs w:val="20"/>
              </w:rPr>
            </w:pPr>
            <w:r w:rsidRPr="000D3C1C">
              <w:rPr>
                <w:rFonts w:ascii="Times New Roman" w:hAnsi="Times New Roman"/>
                <w:sz w:val="20"/>
                <w:szCs w:val="20"/>
              </w:rPr>
              <w:t>1 039,00</w:t>
            </w:r>
          </w:p>
        </w:tc>
      </w:tr>
      <w:tr>
        <w:tblPrEx>
          <w:tblW w:w="9835" w:type="dxa"/>
          <w:tblLayout w:type="fixed"/>
          <w:tblLook w:val="01E0"/>
        </w:tblPrEx>
        <w:tc>
          <w:tcPr>
            <w:tcW w:w="2421" w:type="dxa"/>
            <w:tcBorders>
              <w:top w:val="single" w:sz="4" w:space="0" w:color="auto"/>
              <w:left w:val="single" w:sz="12" w:space="0" w:color="auto"/>
              <w:bottom w:val="single" w:sz="12" w:space="0" w:color="auto"/>
              <w:right w:val="single" w:sz="4" w:space="0" w:color="auto"/>
            </w:tcBorders>
            <w:textDirection w:val="lrTb"/>
            <w:vAlign w:val="top"/>
          </w:tcPr>
          <w:p w:rsidR="000D3C1C" w:rsidRPr="000D3C1C" w:rsidP="000D3C1C">
            <w:pPr>
              <w:bidi w:val="0"/>
              <w:rPr>
                <w:rFonts w:ascii="Times New Roman" w:hAnsi="Times New Roman"/>
                <w:sz w:val="20"/>
                <w:szCs w:val="20"/>
              </w:rPr>
            </w:pPr>
            <w:r w:rsidRPr="000D3C1C">
              <w:rPr>
                <w:rFonts w:ascii="Times New Roman" w:hAnsi="Times New Roman"/>
                <w:sz w:val="20"/>
                <w:szCs w:val="20"/>
              </w:rPr>
              <w:t>Priemerná mzda pre ťažiskových pracovníkov ŠR+MRZ</w:t>
            </w:r>
          </w:p>
        </w:tc>
        <w:tc>
          <w:tcPr>
            <w:tcW w:w="1992" w:type="dxa"/>
            <w:gridSpan w:val="2"/>
            <w:tcBorders>
              <w:top w:val="single" w:sz="4" w:space="0" w:color="auto"/>
              <w:left w:val="single" w:sz="4" w:space="0" w:color="auto"/>
              <w:bottom w:val="single" w:sz="12" w:space="0" w:color="auto"/>
              <w:right w:val="single" w:sz="4" w:space="0" w:color="auto"/>
            </w:tcBorders>
            <w:textDirection w:val="lrTb"/>
            <w:vAlign w:val="center"/>
          </w:tcPr>
          <w:p w:rsidR="000D3C1C" w:rsidRPr="000D3C1C" w:rsidP="000D3C1C">
            <w:pPr>
              <w:bidi w:val="0"/>
              <w:jc w:val="center"/>
              <w:rPr>
                <w:rFonts w:ascii="Times New Roman" w:hAnsi="Times New Roman"/>
                <w:sz w:val="20"/>
                <w:szCs w:val="20"/>
              </w:rPr>
            </w:pPr>
            <w:r w:rsidRPr="000D3C1C">
              <w:rPr>
                <w:rFonts w:ascii="Times New Roman" w:hAnsi="Times New Roman"/>
                <w:sz w:val="20"/>
                <w:szCs w:val="20"/>
              </w:rPr>
              <w:t>1 828,62</w:t>
            </w:r>
          </w:p>
        </w:tc>
        <w:tc>
          <w:tcPr>
            <w:tcW w:w="1583" w:type="dxa"/>
            <w:gridSpan w:val="2"/>
            <w:tcBorders>
              <w:top w:val="single" w:sz="4" w:space="0" w:color="auto"/>
              <w:left w:val="single" w:sz="4" w:space="0" w:color="auto"/>
              <w:bottom w:val="single" w:sz="12" w:space="0" w:color="auto"/>
              <w:right w:val="single" w:sz="4" w:space="0" w:color="auto"/>
            </w:tcBorders>
            <w:textDirection w:val="lrTb"/>
            <w:vAlign w:val="center"/>
          </w:tcPr>
          <w:p w:rsidR="000D3C1C" w:rsidRPr="000D3C1C" w:rsidP="000D3C1C">
            <w:pPr>
              <w:bidi w:val="0"/>
              <w:jc w:val="center"/>
              <w:rPr>
                <w:rFonts w:ascii="Times New Roman" w:hAnsi="Times New Roman"/>
                <w:sz w:val="20"/>
                <w:szCs w:val="20"/>
              </w:rPr>
            </w:pPr>
            <w:r w:rsidRPr="000D3C1C">
              <w:rPr>
                <w:rFonts w:ascii="Times New Roman" w:hAnsi="Times New Roman"/>
                <w:sz w:val="20"/>
                <w:szCs w:val="20"/>
              </w:rPr>
              <w:t>1 868,00</w:t>
            </w:r>
          </w:p>
        </w:tc>
        <w:tc>
          <w:tcPr>
            <w:tcW w:w="1807" w:type="dxa"/>
            <w:gridSpan w:val="2"/>
            <w:tcBorders>
              <w:top w:val="single" w:sz="4" w:space="0" w:color="auto"/>
              <w:left w:val="single" w:sz="4" w:space="0" w:color="auto"/>
              <w:bottom w:val="single" w:sz="12" w:space="0" w:color="auto"/>
              <w:right w:val="single" w:sz="4" w:space="0" w:color="auto"/>
            </w:tcBorders>
            <w:textDirection w:val="lrTb"/>
            <w:vAlign w:val="center"/>
          </w:tcPr>
          <w:p w:rsidR="000D3C1C" w:rsidRPr="000D3C1C" w:rsidP="000D3C1C">
            <w:pPr>
              <w:bidi w:val="0"/>
              <w:jc w:val="center"/>
              <w:rPr>
                <w:rFonts w:ascii="Times New Roman" w:hAnsi="Times New Roman"/>
                <w:sz w:val="20"/>
                <w:szCs w:val="20"/>
              </w:rPr>
            </w:pPr>
            <w:r w:rsidRPr="000D3C1C">
              <w:rPr>
                <w:rFonts w:ascii="Times New Roman" w:hAnsi="Times New Roman"/>
                <w:sz w:val="20"/>
                <w:szCs w:val="20"/>
              </w:rPr>
              <w:t>1 922,62</w:t>
            </w:r>
          </w:p>
        </w:tc>
        <w:tc>
          <w:tcPr>
            <w:tcW w:w="2032" w:type="dxa"/>
            <w:gridSpan w:val="2"/>
            <w:tcBorders>
              <w:top w:val="single" w:sz="4" w:space="0" w:color="auto"/>
              <w:left w:val="single" w:sz="4" w:space="0" w:color="auto"/>
              <w:bottom w:val="single" w:sz="12" w:space="0" w:color="auto"/>
              <w:right w:val="single" w:sz="12" w:space="0" w:color="auto"/>
            </w:tcBorders>
            <w:textDirection w:val="lrTb"/>
            <w:vAlign w:val="center"/>
          </w:tcPr>
          <w:p w:rsidR="000D3C1C" w:rsidRPr="000D3C1C" w:rsidP="000D3C1C">
            <w:pPr>
              <w:bidi w:val="0"/>
              <w:jc w:val="center"/>
              <w:rPr>
                <w:rFonts w:ascii="Times New Roman" w:hAnsi="Times New Roman"/>
                <w:sz w:val="20"/>
                <w:szCs w:val="20"/>
              </w:rPr>
            </w:pPr>
            <w:r w:rsidRPr="000D3C1C">
              <w:rPr>
                <w:rFonts w:ascii="Times New Roman" w:hAnsi="Times New Roman"/>
                <w:sz w:val="20"/>
                <w:szCs w:val="20"/>
              </w:rPr>
              <w:t>2 043,20</w:t>
            </w:r>
          </w:p>
        </w:tc>
      </w:tr>
    </w:tbl>
    <w:p w:rsidR="000D3C1C" w:rsidRPr="00F453BA" w:rsidP="000D3C1C">
      <w:pPr>
        <w:bidi w:val="0"/>
        <w:jc w:val="both"/>
        <w:rPr>
          <w:rFonts w:ascii="Times New Roman" w:hAnsi="Times New Roman"/>
        </w:rPr>
      </w:pPr>
      <w:r w:rsidRPr="000D3C1C">
        <w:rPr>
          <w:rFonts w:ascii="Times New Roman" w:hAnsi="Times New Roman"/>
          <w:sz w:val="20"/>
          <w:szCs w:val="20"/>
        </w:rPr>
        <w:t xml:space="preserve">* </w:t>
      </w:r>
      <w:r w:rsidRPr="000D3C1C">
        <w:rPr>
          <w:rFonts w:ascii="Times New Roman" w:hAnsi="Times New Roman"/>
          <w:i/>
          <w:sz w:val="20"/>
          <w:szCs w:val="20"/>
        </w:rPr>
        <w:t>pre rok 2009 bol MDPT SR leteckému úradu rozpisom rozpočtu stanovený limit pracovníkov 98 bez pridelenia mzdových prostriedkov. Priemerná mzda pre rok 2009 je preto prepočítaná na  počet pracovníkov 88, tak ako to bolo v pláne na rok 2008.</w:t>
      </w:r>
    </w:p>
    <w:p w:rsidR="000D3C1C" w:rsidRPr="004D6ADB" w:rsidP="000D3C1C">
      <w:pPr>
        <w:bidi w:val="0"/>
        <w:ind w:firstLine="567"/>
        <w:jc w:val="both"/>
        <w:rPr>
          <w:rFonts w:ascii="Times New Roman" w:hAnsi="Times New Roman"/>
          <w:highlight w:val="yellow"/>
        </w:rPr>
      </w:pPr>
    </w:p>
    <w:p w:rsidR="000D3C1C" w:rsidRPr="00F453BA" w:rsidP="000D3C1C">
      <w:pPr>
        <w:bidi w:val="0"/>
        <w:ind w:firstLine="567"/>
        <w:jc w:val="both"/>
        <w:outlineLvl w:val="0"/>
        <w:rPr>
          <w:rFonts w:ascii="Times New Roman" w:hAnsi="Times New Roman"/>
        </w:rPr>
      </w:pPr>
      <w:r w:rsidRPr="00F453BA">
        <w:rPr>
          <w:rFonts w:ascii="Times New Roman" w:hAnsi="Times New Roman"/>
        </w:rPr>
        <w:t>3.2. Kapitálové výdavky</w:t>
      </w:r>
    </w:p>
    <w:p w:rsidR="000D3C1C" w:rsidRPr="00F453BA" w:rsidP="000D3C1C">
      <w:pPr>
        <w:bidi w:val="0"/>
        <w:ind w:firstLine="567"/>
        <w:jc w:val="both"/>
        <w:rPr>
          <w:rFonts w:ascii="Times New Roman" w:hAnsi="Times New Roman"/>
        </w:rPr>
      </w:pPr>
      <w:r w:rsidRPr="00F453BA">
        <w:rPr>
          <w:rFonts w:ascii="Times New Roman" w:hAnsi="Times New Roman"/>
        </w:rPr>
        <w:t xml:space="preserve">Požiadavka na kapitálové výdavky vychádza z potrieb leteckého úradu. V roku 2009 je z plánovaných 531,10 </w:t>
      </w:r>
      <w:r w:rsidRPr="000D3C1C">
        <w:rPr>
          <w:rFonts w:ascii="Times New Roman" w:hAnsi="Times New Roman"/>
          <w:sz w:val="22"/>
          <w:szCs w:val="22"/>
        </w:rPr>
        <w:t>tis. €</w:t>
      </w:r>
      <w:r w:rsidRPr="00F453BA">
        <w:rPr>
          <w:rFonts w:ascii="Times New Roman" w:hAnsi="Times New Roman"/>
        </w:rPr>
        <w:t xml:space="preserve"> vyčlenených na dokončenie rekonštrukcie budovy a jej vybavenia 497,91 tis. €. Zostávajúce prostriedky sú určené na obmenu a nákup  výpočtovej  techniky pre nových zamestnancov, na informačné systémy vrátane softvérových prostriedkov, na komunikačnú infraštruktúru a obmenu dopravných prostriedkov. </w:t>
      </w:r>
    </w:p>
    <w:p w:rsidR="000D3C1C" w:rsidRPr="00F453BA" w:rsidP="000D3C1C">
      <w:pPr>
        <w:bidi w:val="0"/>
        <w:ind w:firstLine="567"/>
        <w:jc w:val="both"/>
        <w:rPr>
          <w:rFonts w:ascii="Times New Roman" w:hAnsi="Times New Roman"/>
        </w:rPr>
      </w:pPr>
    </w:p>
    <w:p w:rsidR="000D3C1C" w:rsidRPr="00F453BA" w:rsidP="000D3C1C">
      <w:pPr>
        <w:bidi w:val="0"/>
        <w:ind w:firstLine="567"/>
        <w:jc w:val="both"/>
        <w:outlineLvl w:val="0"/>
        <w:rPr>
          <w:rFonts w:ascii="Times New Roman" w:hAnsi="Times New Roman"/>
        </w:rPr>
      </w:pPr>
      <w:r w:rsidRPr="00F453BA">
        <w:rPr>
          <w:rFonts w:ascii="Times New Roman" w:hAnsi="Times New Roman"/>
        </w:rPr>
        <w:t>3.3. Tovary a služby</w:t>
      </w:r>
    </w:p>
    <w:p w:rsidR="000D3C1C" w:rsidRPr="00F453BA" w:rsidP="000D3C1C">
      <w:pPr>
        <w:bidi w:val="0"/>
        <w:ind w:firstLine="567"/>
        <w:jc w:val="both"/>
        <w:rPr>
          <w:rFonts w:ascii="Times New Roman" w:hAnsi="Times New Roman"/>
        </w:rPr>
      </w:pPr>
      <w:r w:rsidRPr="00F453BA">
        <w:rPr>
          <w:rFonts w:ascii="Times New Roman" w:hAnsi="Times New Roman"/>
        </w:rPr>
        <w:t xml:space="preserve">Činnosť v pracovných skupinách medzinárodných organizácií ICAO, ECAC, EUROCONTROL, EÚ, EASA a JAA a ďalšie súvisiace výdavky kladú vyššie nároky na financovanie zahraničných pracovných ciest. Ostatné položky, ktoré spadajú do tejto kategórie (energia, komunikácia, nájomné, zmluvné záväzky) majú každoročne stúpajúci trend. </w:t>
      </w:r>
    </w:p>
    <w:p w:rsidR="000D3C1C" w:rsidRPr="00F453BA" w:rsidP="000D3C1C">
      <w:pPr>
        <w:bidi w:val="0"/>
        <w:ind w:firstLine="567"/>
        <w:jc w:val="both"/>
        <w:rPr>
          <w:rFonts w:ascii="Times New Roman" w:hAnsi="Times New Roman"/>
        </w:rPr>
      </w:pPr>
    </w:p>
    <w:p w:rsidR="000D3C1C" w:rsidRPr="000D3C1C" w:rsidP="000D3C1C">
      <w:pPr>
        <w:bidi w:val="0"/>
        <w:ind w:firstLine="567"/>
        <w:jc w:val="both"/>
        <w:rPr>
          <w:rFonts w:ascii="Times New Roman" w:hAnsi="Times New Roman"/>
          <w:u w:val="single"/>
        </w:rPr>
      </w:pPr>
      <w:r w:rsidRPr="000D3C1C">
        <w:rPr>
          <w:rFonts w:ascii="Times New Roman" w:hAnsi="Times New Roman"/>
          <w:u w:val="single"/>
        </w:rPr>
        <w:t>Záver</w:t>
      </w:r>
    </w:p>
    <w:p w:rsidR="000D3C1C" w:rsidP="000D3C1C">
      <w:pPr>
        <w:bidi w:val="0"/>
        <w:ind w:firstLine="567"/>
        <w:jc w:val="both"/>
        <w:rPr>
          <w:rFonts w:ascii="Times New Roman" w:hAnsi="Times New Roman"/>
        </w:rPr>
      </w:pPr>
      <w:r w:rsidRPr="00F453BA">
        <w:rPr>
          <w:rFonts w:ascii="Times New Roman" w:hAnsi="Times New Roman"/>
        </w:rPr>
        <w:t xml:space="preserve">Nový model financovania potrieb leteckého úradu vychádza z predpokladu, že prijatím novely leteckého zákona  nevzniknú zvýšené požiadavky na prostriedky statného rozpočtu nad rámec schválených limitov výdavkov kapitoly MDPT SR na príslušný rozpočtový rok.  Pre potreby leteckého úradu budú použité prostriedky získané zo spoločného systému spoplatňovania leteckých navigačných služieb, ktoré budú vedené na samostatnom mimorozpočtovom účte. </w:t>
      </w:r>
    </w:p>
    <w:p w:rsidR="000D3C1C" w:rsidRPr="000D3C1C" w:rsidP="000D3C1C">
      <w:pPr>
        <w:bidi w:val="0"/>
        <w:ind w:firstLine="567"/>
        <w:jc w:val="both"/>
        <w:rPr>
          <w:rFonts w:ascii="Times New Roman" w:hAnsi="Times New Roman"/>
          <w:b/>
          <w:bCs/>
          <w:color w:val="FF0000"/>
        </w:rPr>
      </w:pPr>
    </w:p>
    <w:p w:rsidR="001956EB" w:rsidP="001956EB">
      <w:pPr>
        <w:numPr>
          <w:numId w:val="11"/>
        </w:numPr>
        <w:bidi w:val="0"/>
        <w:spacing w:after="120"/>
        <w:jc w:val="both"/>
        <w:rPr>
          <w:rFonts w:ascii="Times New Roman" w:hAnsi="Times New Roman"/>
        </w:rPr>
      </w:pPr>
      <w:r>
        <w:rPr>
          <w:rFonts w:ascii="Times New Roman" w:hAnsi="Times New Roman"/>
          <w:b/>
          <w:bCs/>
        </w:rPr>
        <w:t>Odhad dopadov na obyvateľov, hospodárenie podnikateľskej sféry a iných právnických osôb</w:t>
      </w:r>
    </w:p>
    <w:p w:rsidR="000D3C1C" w:rsidRPr="000D3C1C" w:rsidP="000D3C1C">
      <w:pPr>
        <w:bidi w:val="0"/>
        <w:spacing w:after="120"/>
        <w:ind w:left="426"/>
        <w:jc w:val="both"/>
        <w:rPr>
          <w:rFonts w:ascii="Times New Roman" w:hAnsi="Times New Roman"/>
          <w:b/>
          <w:bCs/>
        </w:rPr>
      </w:pPr>
      <w:r w:rsidRPr="00F453BA">
        <w:rPr>
          <w:rFonts w:ascii="Times New Roman" w:hAnsi="Times New Roman"/>
        </w:rPr>
        <w:t>Materiál nemá priamy dopad na obyvateľov. Je pravdepodobný nepriamy dopad na podnikateľskú sféru, ktorý sa možno premietne do mierneho zvýšenia cien pre konečného spotrebiteľa.</w:t>
      </w:r>
    </w:p>
    <w:p w:rsidR="001956EB" w:rsidP="001956EB">
      <w:pPr>
        <w:numPr>
          <w:numId w:val="11"/>
        </w:numPr>
        <w:bidi w:val="0"/>
        <w:spacing w:after="120"/>
        <w:jc w:val="both"/>
        <w:rPr>
          <w:rFonts w:ascii="Times New Roman" w:hAnsi="Times New Roman"/>
          <w:b/>
          <w:bCs/>
        </w:rPr>
      </w:pPr>
      <w:r>
        <w:rPr>
          <w:rFonts w:ascii="Times New Roman" w:hAnsi="Times New Roman"/>
          <w:b/>
          <w:bCs/>
        </w:rPr>
        <w:t>Odhad dopadov na životné prostredie</w:t>
      </w:r>
    </w:p>
    <w:p w:rsidR="001956EB" w:rsidP="001956EB">
      <w:pPr>
        <w:autoSpaceDE w:val="0"/>
        <w:autoSpaceDN w:val="0"/>
        <w:bidi w:val="0"/>
        <w:adjustRightInd w:val="0"/>
        <w:spacing w:after="120"/>
        <w:ind w:left="357"/>
        <w:jc w:val="both"/>
        <w:rPr>
          <w:rFonts w:ascii="Times New Roman" w:hAnsi="Times New Roman"/>
        </w:rPr>
      </w:pPr>
      <w:r w:rsidRPr="00F453BA" w:rsidR="000D3C1C">
        <w:rPr>
          <w:rFonts w:ascii="Times New Roman" w:hAnsi="Times New Roman"/>
        </w:rPr>
        <w:t>Predložený materiál nebude mať negatívny dopad na životné prostredie.</w:t>
      </w:r>
    </w:p>
    <w:p w:rsidR="001956EB" w:rsidRPr="00FE6EB4" w:rsidP="001956EB">
      <w:pPr>
        <w:pStyle w:val="BodyTextIndent2"/>
        <w:numPr>
          <w:numId w:val="11"/>
        </w:numPr>
        <w:bidi w:val="0"/>
        <w:spacing w:after="120"/>
        <w:rPr>
          <w:rFonts w:ascii="Times New Roman" w:hAnsi="Times New Roman"/>
          <w:b/>
        </w:rPr>
      </w:pPr>
      <w:r w:rsidRPr="00FE6EB4">
        <w:rPr>
          <w:rFonts w:ascii="Times New Roman" w:hAnsi="Times New Roman"/>
          <w:b/>
        </w:rPr>
        <w:t>Odhad dopadov na zamestnanosť</w:t>
      </w:r>
    </w:p>
    <w:p w:rsidR="001956EB" w:rsidRPr="00FE6EB4" w:rsidP="001956EB">
      <w:pPr>
        <w:pStyle w:val="BodyTextIndent2"/>
        <w:bidi w:val="0"/>
        <w:spacing w:after="120"/>
        <w:ind w:left="357" w:firstLine="0"/>
        <w:rPr>
          <w:rFonts w:ascii="Times New Roman" w:hAnsi="Times New Roman"/>
          <w:bCs/>
        </w:rPr>
      </w:pPr>
      <w:r w:rsidRPr="00F453BA" w:rsidR="000D3C1C">
        <w:rPr>
          <w:rFonts w:ascii="Times New Roman" w:hAnsi="Times New Roman"/>
        </w:rPr>
        <w:t>Materiál predpokladá pozitívny dopad na zamestnanosť, keďže sa plánuje rozšírenie poč</w:t>
      </w:r>
      <w:r w:rsidR="000D3C1C">
        <w:rPr>
          <w:rFonts w:ascii="Times New Roman" w:hAnsi="Times New Roman"/>
        </w:rPr>
        <w:t>tu zamestnancov leteckého úradu</w:t>
      </w:r>
      <w:r w:rsidRPr="00FE6EB4">
        <w:rPr>
          <w:rFonts w:ascii="Times New Roman" w:hAnsi="Times New Roman"/>
          <w:bCs/>
        </w:rPr>
        <w:t>.</w:t>
      </w:r>
    </w:p>
    <w:p w:rsidR="001956EB" w:rsidRPr="00FE6EB4" w:rsidP="001956EB">
      <w:pPr>
        <w:pStyle w:val="BodyTextIndent2"/>
        <w:numPr>
          <w:numId w:val="11"/>
        </w:numPr>
        <w:bidi w:val="0"/>
        <w:spacing w:after="120"/>
        <w:rPr>
          <w:rFonts w:ascii="Times New Roman" w:hAnsi="Times New Roman"/>
          <w:b/>
        </w:rPr>
      </w:pPr>
      <w:r w:rsidRPr="00FE6EB4">
        <w:rPr>
          <w:rFonts w:ascii="Times New Roman" w:hAnsi="Times New Roman"/>
          <w:b/>
        </w:rPr>
        <w:t>Odhad dopadov na podnikateľské prostredie</w:t>
      </w:r>
    </w:p>
    <w:p w:rsidR="001956EB" w:rsidRPr="001956EB" w:rsidP="001956EB">
      <w:pPr>
        <w:bidi w:val="0"/>
        <w:spacing w:after="240"/>
        <w:ind w:left="357"/>
        <w:jc w:val="both"/>
        <w:rPr>
          <w:rFonts w:ascii="Times New Roman" w:hAnsi="Times New Roman"/>
        </w:rPr>
      </w:pPr>
      <w:r w:rsidRPr="00F453BA" w:rsidR="000D3C1C">
        <w:rPr>
          <w:rFonts w:ascii="Times New Roman" w:hAnsi="Times New Roman"/>
        </w:rPr>
        <w:t>Predložený materiál nebude mať negatívny dopad na podnikateľské prostredie</w:t>
      </w:r>
      <w:r>
        <w:rPr>
          <w:rFonts w:ascii="Times New Roman" w:hAnsi="Times New Roman"/>
        </w:rPr>
        <w:t>.</w:t>
      </w:r>
    </w:p>
    <w:p w:rsidR="00DA4031">
      <w:pPr>
        <w:bidi w:val="0"/>
        <w:rPr>
          <w:rFonts w:ascii="Times New Roman" w:hAnsi="Times New Roman"/>
          <w:b/>
          <w:bCs/>
          <w:u w:val="single"/>
        </w:rPr>
      </w:pPr>
    </w:p>
    <w:p w:rsidR="006440E9">
      <w:pPr>
        <w:bidi w:val="0"/>
        <w:rPr>
          <w:rFonts w:ascii="Times New Roman" w:hAnsi="Times New Roman"/>
          <w:b/>
          <w:bCs/>
          <w:u w:val="single"/>
        </w:rPr>
      </w:pPr>
      <w:r>
        <w:rPr>
          <w:rFonts w:ascii="Times New Roman" w:hAnsi="Times New Roman"/>
          <w:b/>
          <w:bCs/>
          <w:u w:val="single"/>
        </w:rPr>
        <w:t>Osobitná časť:</w:t>
      </w:r>
    </w:p>
    <w:p w:rsidR="006440E9">
      <w:pPr>
        <w:bidi w:val="0"/>
        <w:rPr>
          <w:rFonts w:ascii="Times New Roman" w:hAnsi="Times New Roman"/>
          <w:b/>
          <w:bCs/>
          <w:sz w:val="12"/>
          <w:szCs w:val="12"/>
          <w:u w:val="single"/>
        </w:rPr>
      </w:pPr>
    </w:p>
    <w:p w:rsidR="006440E9">
      <w:pPr>
        <w:pStyle w:val="Heading4"/>
        <w:bidi w:val="0"/>
        <w:rPr>
          <w:rFonts w:ascii="Times New Roman" w:hAnsi="Times New Roman"/>
        </w:rPr>
      </w:pPr>
      <w:r>
        <w:rPr>
          <w:rFonts w:ascii="Times New Roman" w:hAnsi="Times New Roman"/>
        </w:rPr>
        <w:t>K čl. I</w:t>
      </w:r>
    </w:p>
    <w:p w:rsidR="006440E9">
      <w:pPr>
        <w:bidi w:val="0"/>
        <w:rPr>
          <w:rFonts w:ascii="Times New Roman" w:hAnsi="Times New Roman"/>
          <w:sz w:val="12"/>
          <w:szCs w:val="12"/>
        </w:rPr>
      </w:pPr>
    </w:p>
    <w:p w:rsidR="006440E9">
      <w:pPr>
        <w:bidi w:val="0"/>
        <w:jc w:val="both"/>
        <w:rPr>
          <w:rFonts w:ascii="Times New Roman" w:hAnsi="Times New Roman"/>
          <w:u w:val="single"/>
        </w:rPr>
      </w:pPr>
      <w:r>
        <w:rPr>
          <w:rFonts w:ascii="Times New Roman" w:hAnsi="Times New Roman"/>
          <w:u w:val="single"/>
        </w:rPr>
        <w:t>K bodu 1:</w:t>
      </w:r>
    </w:p>
    <w:p w:rsidR="000D3C1C" w:rsidRPr="000D3C1C" w:rsidP="000D3C1C">
      <w:pPr>
        <w:bidi w:val="0"/>
        <w:ind w:firstLine="708"/>
        <w:jc w:val="both"/>
        <w:rPr>
          <w:rFonts w:ascii="Times New Roman" w:hAnsi="Times New Roman"/>
          <w:color w:val="000000"/>
        </w:rPr>
      </w:pPr>
      <w:r w:rsidRPr="000D3C1C">
        <w:rPr>
          <w:rFonts w:ascii="Times New Roman" w:hAnsi="Times New Roman"/>
          <w:color w:val="000000"/>
        </w:rPr>
        <w:t>Povinnosť odborného vyšetrovania príčin leteckých nehôd za účelom zabránenia ďal</w:t>
      </w:r>
      <w:r w:rsidRPr="000D3C1C">
        <w:rPr>
          <w:rFonts w:ascii="Times New Roman" w:hAnsi="Times New Roman"/>
          <w:color w:val="000000"/>
        </w:rPr>
        <w:softHyphen/>
        <w:t xml:space="preserve">ším obdobným nehodám je pevne zakotvená v medzinárodných leteckých predpisoch založených na Dohovore, ale tiež v národnej legislatíve štátov. Ustanovenie § 18 komplexne  upravuje systém vyšetrovania, za ktorý zodpovedá ministerstvo, predovšetkým minister vymenúva </w:t>
      </w:r>
      <w:r w:rsidR="00921723">
        <w:rPr>
          <w:rFonts w:ascii="Times New Roman" w:hAnsi="Times New Roman"/>
          <w:color w:val="000000"/>
        </w:rPr>
        <w:t xml:space="preserve">a </w:t>
      </w:r>
      <w:r w:rsidRPr="000D3C1C">
        <w:rPr>
          <w:rFonts w:ascii="Times New Roman" w:hAnsi="Times New Roman"/>
          <w:color w:val="000000"/>
        </w:rPr>
        <w:t xml:space="preserve">odvoláva členov stálej vyšetrovacej komisie. Technickú podporu výkonu vyšetrovania zabezpečuje útvar odborného vyšetrovania príčin leteckých nehôd a incidentov, ktorý je samostatnou organizačnou zložkou ministerstva (predtým leteckého úradu), je však nezávislý od ministerstva pri výkone vyšetrovania. Úlohou útvaru je organizačné zabezpečenie vyšetrovania a dozor nad vyšetrovaním,  vykonáva znaleckú činnosť, zabezpečuje potrebné expertízne skúmanie, prijíma hlásenia o nehodách a incidentoch, zabezpečuje prijímanie a spracovanie hlásení o udalostiach podľa nariadenia vlády Slovenskej republiky č. 661/2005 Z.z. o ohlasovaní udalostí v civilnom letectve – na to slúži špeciálny európska databáza ECCAIRS.  </w:t>
      </w:r>
    </w:p>
    <w:p w:rsidR="000D3C1C" w:rsidRPr="000D3C1C" w:rsidP="000D3C1C">
      <w:pPr>
        <w:bidi w:val="0"/>
        <w:ind w:firstLine="708"/>
        <w:jc w:val="both"/>
        <w:rPr>
          <w:rFonts w:ascii="Times New Roman" w:hAnsi="Times New Roman"/>
          <w:color w:val="000000"/>
        </w:rPr>
      </w:pPr>
      <w:r w:rsidRPr="000D3C1C">
        <w:rPr>
          <w:rFonts w:ascii="Times New Roman" w:hAnsi="Times New Roman"/>
          <w:color w:val="000000"/>
        </w:rPr>
        <w:t>V konkrétnych prípadoch vedie vyšetrovanie funkčne nezávislá odborná vyšetrovacia komisia, ktorej kreovanie závisí od charakteru prípadu, najčastejšie ju menuje predseda stálej vyšetrovacej komisie z jej členov. Ak sa na nehode podieľajú len štátne lietadlá (lietadlo v pôsobnosti ministerstva obrany alebo ministerstva vnútra), ktoré nie sú zapísané v registri lietadiel, ktorý vedie letecký úrad, vyšetrovanie zabezpečuje ministerstvo obrany alebo ministerstvo vnútra samostatne. Príslušné ministerstvo však môže do svojej odbornej vyšetrovacej komisie vymenovať aj členov stálej vyšetrovacej komisie.</w:t>
      </w:r>
    </w:p>
    <w:p w:rsidR="000D3C1C" w:rsidRPr="000D3C1C" w:rsidP="000D3C1C">
      <w:pPr>
        <w:bidi w:val="0"/>
        <w:ind w:firstLine="708"/>
        <w:jc w:val="both"/>
        <w:rPr>
          <w:rFonts w:ascii="Times New Roman" w:hAnsi="Times New Roman"/>
          <w:color w:val="000000"/>
        </w:rPr>
      </w:pPr>
      <w:r w:rsidRPr="000D3C1C">
        <w:rPr>
          <w:rFonts w:ascii="Times New Roman" w:hAnsi="Times New Roman"/>
          <w:color w:val="000000"/>
        </w:rPr>
        <w:t>Odborné vyšetrovanie je zložitý proces, ktorý je podrobne upravený leteckým predpisom L13 – Predpis o odbornom vyšetrovaní príčin leteckých nehôd, ktorý je vydaný v súlade s dokumentmi Medzinárodnej organizácie civilného letectva (ICAO).</w:t>
      </w:r>
    </w:p>
    <w:p w:rsidR="006440E9">
      <w:pPr>
        <w:bidi w:val="0"/>
        <w:jc w:val="both"/>
        <w:rPr>
          <w:rFonts w:ascii="Times New Roman" w:hAnsi="Times New Roman"/>
          <w:color w:val="000000"/>
        </w:rPr>
      </w:pPr>
    </w:p>
    <w:p w:rsidR="006440E9">
      <w:pPr>
        <w:bidi w:val="0"/>
        <w:jc w:val="both"/>
        <w:rPr>
          <w:rFonts w:ascii="Times New Roman" w:hAnsi="Times New Roman"/>
          <w:u w:val="single"/>
        </w:rPr>
      </w:pPr>
      <w:r>
        <w:rPr>
          <w:rFonts w:ascii="Times New Roman" w:hAnsi="Times New Roman"/>
          <w:u w:val="single"/>
        </w:rPr>
        <w:t>K bod</w:t>
      </w:r>
      <w:r w:rsidR="000D3C1C">
        <w:rPr>
          <w:rFonts w:ascii="Times New Roman" w:hAnsi="Times New Roman"/>
          <w:u w:val="single"/>
        </w:rPr>
        <w:t>om</w:t>
      </w:r>
      <w:r>
        <w:rPr>
          <w:rFonts w:ascii="Times New Roman" w:hAnsi="Times New Roman"/>
          <w:u w:val="single"/>
        </w:rPr>
        <w:t xml:space="preserve"> 2</w:t>
      </w:r>
      <w:r w:rsidR="000D3C1C">
        <w:rPr>
          <w:rFonts w:ascii="Times New Roman" w:hAnsi="Times New Roman"/>
          <w:u w:val="single"/>
        </w:rPr>
        <w:t xml:space="preserve"> až 4</w:t>
      </w:r>
      <w:r>
        <w:rPr>
          <w:rFonts w:ascii="Times New Roman" w:hAnsi="Times New Roman"/>
          <w:u w:val="single"/>
        </w:rPr>
        <w:t>:</w:t>
      </w:r>
    </w:p>
    <w:p w:rsidR="006440E9">
      <w:pPr>
        <w:pStyle w:val="BodyText2"/>
        <w:bidi w:val="0"/>
        <w:ind w:firstLine="708"/>
        <w:rPr>
          <w:rFonts w:ascii="Times New Roman" w:hAnsi="Times New Roman"/>
          <w:color w:val="auto"/>
        </w:rPr>
      </w:pPr>
      <w:r w:rsidRPr="000D3C1C" w:rsidR="000D3C1C">
        <w:rPr>
          <w:rFonts w:ascii="Times New Roman" w:hAnsi="Times New Roman"/>
          <w:bCs/>
          <w:color w:val="auto"/>
        </w:rPr>
        <w:t>V nadväznosti na zmenu v § 18 sa dopĺňa pôsobnosť ministerstva v § 47 a súčasne sa upravuje pôsobnosť leteckého úradu v § 48 ods. 1 a 3</w:t>
      </w:r>
      <w:r>
        <w:rPr>
          <w:rFonts w:ascii="Times New Roman" w:hAnsi="Times New Roman"/>
          <w:color w:val="auto"/>
        </w:rPr>
        <w:t>.</w:t>
      </w:r>
    </w:p>
    <w:p w:rsidR="006440E9">
      <w:pPr>
        <w:pStyle w:val="BodyText2"/>
        <w:bidi w:val="0"/>
        <w:rPr>
          <w:rFonts w:ascii="Times New Roman" w:hAnsi="Times New Roman"/>
          <w:color w:val="auto"/>
        </w:rPr>
      </w:pPr>
    </w:p>
    <w:p w:rsidR="006440E9">
      <w:pPr>
        <w:bidi w:val="0"/>
        <w:jc w:val="both"/>
        <w:rPr>
          <w:rFonts w:ascii="Times New Roman" w:hAnsi="Times New Roman"/>
          <w:u w:val="single"/>
        </w:rPr>
      </w:pPr>
      <w:r>
        <w:rPr>
          <w:rFonts w:ascii="Times New Roman" w:hAnsi="Times New Roman"/>
          <w:u w:val="single"/>
        </w:rPr>
        <w:t xml:space="preserve">K bodu </w:t>
      </w:r>
      <w:r w:rsidR="00C24B20">
        <w:rPr>
          <w:rFonts w:ascii="Times New Roman" w:hAnsi="Times New Roman"/>
          <w:u w:val="single"/>
        </w:rPr>
        <w:t>5</w:t>
      </w:r>
      <w:r>
        <w:rPr>
          <w:rFonts w:ascii="Times New Roman" w:hAnsi="Times New Roman"/>
          <w:u w:val="single"/>
        </w:rPr>
        <w:t>:</w:t>
      </w:r>
    </w:p>
    <w:p w:rsidR="006440E9" w:rsidP="000D3C1C">
      <w:pPr>
        <w:pStyle w:val="BodyText"/>
        <w:bidi w:val="0"/>
        <w:ind w:firstLine="708"/>
        <w:rPr>
          <w:rFonts w:ascii="Times New Roman" w:hAnsi="Times New Roman"/>
        </w:rPr>
      </w:pPr>
      <w:r w:rsidR="000D3C1C">
        <w:rPr>
          <w:rFonts w:ascii="Times New Roman" w:hAnsi="Times New Roman"/>
          <w:bCs/>
        </w:rPr>
        <w:t>V § 48 sa vypúšťa sa odsek 4, keďže sa táto problematika upravuje v novom § 49a</w:t>
      </w:r>
      <w:r>
        <w:rPr>
          <w:rFonts w:ascii="Times New Roman" w:hAnsi="Times New Roman"/>
        </w:rPr>
        <w:t>.</w:t>
      </w:r>
    </w:p>
    <w:p w:rsidR="006440E9">
      <w:pPr>
        <w:pStyle w:val="BodyText"/>
        <w:bidi w:val="0"/>
        <w:rPr>
          <w:rFonts w:ascii="Times New Roman" w:hAnsi="Times New Roman"/>
        </w:rPr>
      </w:pPr>
    </w:p>
    <w:p w:rsidR="006440E9" w:rsidRPr="00E57DFB">
      <w:pPr>
        <w:bidi w:val="0"/>
        <w:jc w:val="both"/>
        <w:rPr>
          <w:rFonts w:ascii="Times New Roman" w:hAnsi="Times New Roman"/>
          <w:u w:val="single"/>
        </w:rPr>
      </w:pPr>
      <w:r w:rsidRPr="00E57DFB" w:rsidR="00C24B20">
        <w:rPr>
          <w:rFonts w:ascii="Times New Roman" w:hAnsi="Times New Roman"/>
          <w:u w:val="single"/>
        </w:rPr>
        <w:t>K bodu 6</w:t>
      </w:r>
      <w:r w:rsidRPr="00E57DFB">
        <w:rPr>
          <w:rFonts w:ascii="Times New Roman" w:hAnsi="Times New Roman"/>
          <w:u w:val="single"/>
        </w:rPr>
        <w:t>:</w:t>
      </w:r>
    </w:p>
    <w:p w:rsidR="006440E9" w:rsidRPr="00E57DFB" w:rsidP="004A093A">
      <w:pPr>
        <w:bidi w:val="0"/>
        <w:ind w:firstLine="708"/>
        <w:jc w:val="both"/>
        <w:rPr>
          <w:rFonts w:ascii="Times New Roman" w:hAnsi="Times New Roman"/>
        </w:rPr>
      </w:pPr>
      <w:r w:rsidR="000D3C1C">
        <w:rPr>
          <w:rFonts w:ascii="Times New Roman" w:hAnsi="Times New Roman"/>
          <w:bCs/>
        </w:rPr>
        <w:t>Touto zmenou sa vytvoria predpoklady na vydanie vykonávacieho predpisu, ktorým sa zabezpečí transpozícia smernice Komisie 2008/49/ES zo 16.apríla 2008, ktorou sa mení a dopĺňa príloha II k smernici Európskeho parlamentu a Rady2004/36/ES, pokiaľ ide o kritériá na vykonávanie inšpekcií lietadiel používajúcich letiská Spoločenstva na ploche</w:t>
      </w:r>
      <w:r w:rsidRPr="00E57DFB">
        <w:rPr>
          <w:rFonts w:ascii="Times New Roman" w:hAnsi="Times New Roman"/>
        </w:rPr>
        <w:t>.</w:t>
      </w:r>
    </w:p>
    <w:p w:rsidR="006440E9" w:rsidRPr="00E57DFB">
      <w:pPr>
        <w:bidi w:val="0"/>
        <w:jc w:val="both"/>
        <w:rPr>
          <w:rFonts w:ascii="Times New Roman" w:hAnsi="Times New Roman"/>
        </w:rPr>
      </w:pPr>
    </w:p>
    <w:p w:rsidR="006440E9" w:rsidRPr="00E57DFB">
      <w:pPr>
        <w:pStyle w:val="BodyText"/>
        <w:bidi w:val="0"/>
        <w:rPr>
          <w:rFonts w:ascii="Times New Roman" w:hAnsi="Times New Roman"/>
          <w:u w:val="single"/>
        </w:rPr>
      </w:pPr>
      <w:r w:rsidRPr="00E57DFB" w:rsidR="004A093A">
        <w:rPr>
          <w:rFonts w:ascii="Times New Roman" w:hAnsi="Times New Roman"/>
          <w:u w:val="single"/>
        </w:rPr>
        <w:t>K bodu 7</w:t>
      </w:r>
      <w:r w:rsidRPr="00E57DFB">
        <w:rPr>
          <w:rFonts w:ascii="Times New Roman" w:hAnsi="Times New Roman"/>
          <w:u w:val="single"/>
        </w:rPr>
        <w:t>:</w:t>
      </w:r>
    </w:p>
    <w:p w:rsidR="000D3C1C" w:rsidRPr="000D3C1C" w:rsidP="000D3C1C">
      <w:pPr>
        <w:pStyle w:val="BodyText2"/>
        <w:bidi w:val="0"/>
        <w:ind w:firstLine="708"/>
        <w:rPr>
          <w:rFonts w:ascii="Times New Roman" w:hAnsi="Times New Roman"/>
          <w:color w:val="auto"/>
        </w:rPr>
      </w:pPr>
      <w:r w:rsidRPr="000D3C1C">
        <w:rPr>
          <w:rFonts w:ascii="Times New Roman" w:hAnsi="Times New Roman"/>
          <w:color w:val="auto"/>
        </w:rPr>
        <w:t>Účelom ustanovenia je posilniť financovanie leteckého úradu zo zdrojov mimo štátneho rozpočtu, finančnými prostriedkami získanými zo spoločného systému spoplatňovania leteckých navigačných služieb, vyberaných prostredníctvom organizácie EUROCONTROL a štátom zastupujúcej organizácie (Letové prevádzkové služby Slovenskej republiky š.p.) na základe Nariadení európskej komisie č. 1974/2006, 549/2004 a 1315/2007.</w:t>
      </w:r>
    </w:p>
    <w:p w:rsidR="000D3C1C" w:rsidRPr="000D3C1C" w:rsidP="000D3C1C">
      <w:pPr>
        <w:pStyle w:val="BodyText2"/>
        <w:bidi w:val="0"/>
        <w:ind w:firstLine="708"/>
        <w:rPr>
          <w:rFonts w:ascii="Times New Roman" w:hAnsi="Times New Roman"/>
          <w:color w:val="auto"/>
        </w:rPr>
      </w:pPr>
      <w:r w:rsidRPr="000D3C1C">
        <w:rPr>
          <w:rFonts w:ascii="Times New Roman" w:hAnsi="Times New Roman"/>
          <w:color w:val="auto"/>
        </w:rPr>
        <w:t xml:space="preserve">V odseku 2 sa ustanovuje spôsob získania a použitia finančných prostriedkov podľa čl.5 a čl.6 nariadenia komisie (ES) č. 1794/2006, ktorým sa ustanovuje spoločný systém spoplatňovania  leteckých navigačných služieb. Toto nariadenie v predmetných článkoch umožňuje štátu vyčísliť náklady, ktoré vzniknú v súvislosti so zabezpečením štátneho odborného dozoru nad poskytovateľmi leteckých navigačných služieb. Tieto náklady tvoria súčasť cenového základu na výpočet traťových a terminálnych odplát za lety vo vzdušnom priestore Slovenskej republiky. Tieto odplaty na základe pristúpenia Slovenskej republiky k Medzinárodnému dohovoru EUROCONTROL týkajúceho sa spolupráce v záujme bezpečnosti letovej prevádzky vyberá táto organizácia a za Slovenskú republiku sú jej partnerom v tejto oblasti Letové prevádzkové služby Slovenskej republiky š.p. Súčasťou týchto  odplát sú okrem nákladov  vznikajúcich  poskytovaním navigačných služieb  LPS SR š.p. aj náklady Slovenského hydrometeorologického ústavu (SHMU), ktorý poskytuje leteckú meteorologickú službu. Príslušnou časťou tohto poplatku v zmysle predmetného nariadenia môže letecký úrad pokryť náklady na štátny odborný dozor nad poskytovaním navigačných služieb. Výška aj použitie takto získaných prostriedkov pritom podlieha v zmysle medzinárodných dohôd kontrole zo strany Európskej komisie a organizácie EUROCONTROL.  Z dôvodu transparentnosti požadovanej nariadením komisie (ES) č. 1794/2006 sa predmetné prostriedky musia použiť na odmeňovanie, odvody, tovary a služby, kapitálové výdavky a logistické zabezpečenie štátneho odborného dozoru nad poskytovaním navigačných služieb.  </w:t>
      </w:r>
    </w:p>
    <w:p w:rsidR="000D3C1C" w:rsidRPr="000D3C1C" w:rsidP="000D3C1C">
      <w:pPr>
        <w:pStyle w:val="BodyText2"/>
        <w:bidi w:val="0"/>
        <w:ind w:firstLine="708"/>
        <w:rPr>
          <w:rFonts w:ascii="Times New Roman" w:hAnsi="Times New Roman"/>
          <w:color w:val="auto"/>
        </w:rPr>
      </w:pPr>
      <w:r w:rsidRPr="000D3C1C">
        <w:rPr>
          <w:rFonts w:ascii="Times New Roman" w:hAnsi="Times New Roman"/>
          <w:color w:val="auto"/>
        </w:rPr>
        <w:t>Dôležitým pilierom systematického zvyšovania úrovne bezpečnosti v civilnom letectve   je pripravenosť leteckého úradu na plnohodnotné plnenie úloh, ktoré vyplývajú zo súčasného dynamického rozvoja civilného letectva na medzinárodnej scéne. Konkrétne ide o zachovanie schopnosti plniť úlohy vyplývajúce z koncepcie jednotného európskeho vzdušného priestoru - SES. V súčasnosti je ukončená jej prvá etapa (ktorá aktuálne obsahuje 25 záväzných právnych aktov) a pripravuje sa druhá, čo je spojené s nárastom povinností, ktoré v mene Slovenskej republiky plní letecký úrad. Koncepcia SES je tvorená štyrmi základnými nariadeniami (549/2004 až 552/2004) a vo vzťahu k štátnym dozorným orgánom hlavne v súčasnosti  nariadením komisie (ES) č. 1315/2007 z 8. novembra 2007 o dohľade nad bezpečnosťou v manažmente letovej prevádzky, ktorým sa mení a dopĺňa nariadenie (ES) č. 2096/2005. Spôsob použitia finančných prostriedkov bude zároveň slúžiť aj ako preukázanie zhody s čl.11 tohto nariadenia týkajúci sa spôsobilosti na výkon dohľadu nad bezpečnosťou (v SR túto úlohu plní letecký úrad), ktorý požaduje, aby</w:t>
      </w:r>
    </w:p>
    <w:p w:rsidR="000D3C1C" w:rsidRPr="000D3C1C" w:rsidP="000D3C1C">
      <w:pPr>
        <w:pStyle w:val="BodyText2"/>
        <w:bidi w:val="0"/>
        <w:ind w:firstLine="708"/>
        <w:rPr>
          <w:rFonts w:ascii="Times New Roman" w:hAnsi="Times New Roman"/>
          <w:color w:val="auto"/>
        </w:rPr>
      </w:pPr>
      <w:r w:rsidRPr="000D3C1C">
        <w:rPr>
          <w:rFonts w:ascii="Times New Roman" w:hAnsi="Times New Roman"/>
          <w:color w:val="auto"/>
        </w:rPr>
        <w:t xml:space="preserve">- členské   štáty   zabezpečili,   aby   vnútroštátne   dozorné orgány  mali  potrebnú  spôsobilosť  na  zabezpečenie  dohľadu nad  bezpečnosťou  vo  všetkých  organizáciách  vykonávajúcich činnosť v rámci ich dohľadu vrátane dostatočných zdrojov na vykonanie opatrení uvedených v tomto nariadení, </w:t>
      </w:r>
    </w:p>
    <w:p w:rsidR="000D3C1C" w:rsidRPr="000D3C1C" w:rsidP="000D3C1C">
      <w:pPr>
        <w:pStyle w:val="BodyText2"/>
        <w:bidi w:val="0"/>
        <w:ind w:firstLine="708"/>
        <w:rPr>
          <w:rFonts w:ascii="Times New Roman" w:hAnsi="Times New Roman"/>
          <w:color w:val="auto"/>
        </w:rPr>
      </w:pPr>
      <w:r w:rsidRPr="000D3C1C">
        <w:rPr>
          <w:rFonts w:ascii="Times New Roman" w:hAnsi="Times New Roman"/>
          <w:color w:val="auto"/>
        </w:rPr>
        <w:t>- vnútroštátne dozorné orgány vypracovali a každé dva roky aktualizovali posúdenie ľudských zdrojov potrebných na vykonávanie  svojich  funkcií  dohľadu  nad  bezpečnosťou  na  základe analýzy procesov vyžadovaných týmto nariadením a ich uplatňovania.</w:t>
      </w:r>
    </w:p>
    <w:p w:rsidR="000D3C1C" w:rsidRPr="000D3C1C" w:rsidP="000D3C1C">
      <w:pPr>
        <w:pStyle w:val="BodyText2"/>
        <w:bidi w:val="0"/>
        <w:ind w:firstLine="708"/>
        <w:rPr>
          <w:rFonts w:ascii="Times New Roman" w:hAnsi="Times New Roman"/>
          <w:color w:val="auto"/>
        </w:rPr>
      </w:pPr>
      <w:r w:rsidRPr="000D3C1C">
        <w:rPr>
          <w:rFonts w:ascii="Times New Roman" w:hAnsi="Times New Roman"/>
          <w:color w:val="auto"/>
        </w:rPr>
        <w:t>Z tohto nariadenia vyplývajú úlohy, ktoré bude musieť letecký úrad plniť. Aj naďalej sa očakáva  vydávanie ďalších nariadení a smerníc Európskeho spoločenstva a ich potreba implementácie do národnej legislatívy  s tým, že hlavný dôraz sa bude klásť na harmonizáciu procesov vo vnútri  členských štátov EÚ, aby sa zvýšila bezpečnosť a zároveň aj kapacita vzdušného priestoru EÚ.</w:t>
      </w:r>
    </w:p>
    <w:p w:rsidR="000D3C1C" w:rsidRPr="000D3C1C" w:rsidP="000D3C1C">
      <w:pPr>
        <w:pStyle w:val="BodyText2"/>
        <w:bidi w:val="0"/>
        <w:ind w:firstLine="708"/>
        <w:rPr>
          <w:rFonts w:ascii="Times New Roman" w:hAnsi="Times New Roman"/>
          <w:color w:val="auto"/>
        </w:rPr>
      </w:pPr>
      <w:r w:rsidRPr="000D3C1C">
        <w:rPr>
          <w:rFonts w:ascii="Times New Roman" w:hAnsi="Times New Roman"/>
          <w:color w:val="auto"/>
        </w:rPr>
        <w:t xml:space="preserve">Podľa čl. 11 uvedeného nariadenia je teda povinnosťou štátu vytvárať podmienky na vzdelávanie všetkých zamestnancov vykonávajúcich dohľad nad poskytovaním navigačných služieb  tak, aby boli schopní plniť svoje pracovné povinnosti a nové úlohy vyplývajúce z existujúcich nariadení alebo nových nariadení, ktorých účinnosť v súvislosti s prechodným obdobím nastane v budúcnosti. </w:t>
      </w:r>
    </w:p>
    <w:p w:rsidR="000D3C1C" w:rsidRPr="000D3C1C" w:rsidP="000D3C1C">
      <w:pPr>
        <w:pStyle w:val="BodyText2"/>
        <w:bidi w:val="0"/>
        <w:ind w:firstLine="708"/>
        <w:rPr>
          <w:rFonts w:ascii="Times New Roman" w:hAnsi="Times New Roman"/>
          <w:color w:val="auto"/>
        </w:rPr>
      </w:pPr>
      <w:r w:rsidRPr="000D3C1C">
        <w:rPr>
          <w:rFonts w:ascii="Times New Roman" w:hAnsi="Times New Roman"/>
          <w:color w:val="auto"/>
        </w:rPr>
        <w:t>Nosným prvkom stratégie jednotného európskeho vzdušného priestoru je koncepcia tzv. funkčných blokov. Poskytovatelia navigačných služieb  spolupracujú na vytvorení takéhoto funkčného bloku s názvom  „FAB CE“. Súčasťou tohto procesu bude aj zabezpečenie harmonizácie výkonu štátnej správy vo všetkých oblastiach dohľadu nad poskytovateľmi leteckých navigačných služieb.</w:t>
      </w:r>
    </w:p>
    <w:p w:rsidR="000D3C1C" w:rsidRPr="000D3C1C" w:rsidP="000D3C1C">
      <w:pPr>
        <w:pStyle w:val="BodyText2"/>
        <w:bidi w:val="0"/>
        <w:ind w:firstLine="708"/>
        <w:rPr>
          <w:rFonts w:ascii="Times New Roman" w:hAnsi="Times New Roman"/>
          <w:color w:val="auto"/>
        </w:rPr>
      </w:pPr>
      <w:r w:rsidRPr="000D3C1C">
        <w:rPr>
          <w:rFonts w:ascii="Times New Roman" w:hAnsi="Times New Roman"/>
          <w:color w:val="auto"/>
        </w:rPr>
        <w:t>Pripravovaná nová koncepcia   zahŕňa aj vytvorenie tzv. „new ATM system“ pre manažment  letovej prevádzky, ktorý je známy pod názvom „SESAR- Single European Sky ATM Research“ a zahŕňa vytvorenie úplne nového systému s využitím najnovších technologických prvkov (datalink, Mód S, ADS, atď).</w:t>
      </w:r>
    </w:p>
    <w:p w:rsidR="000D3C1C" w:rsidRPr="000D3C1C" w:rsidP="000D3C1C">
      <w:pPr>
        <w:pStyle w:val="BodyText2"/>
        <w:bidi w:val="0"/>
        <w:ind w:firstLine="708"/>
        <w:rPr>
          <w:rFonts w:ascii="Times New Roman" w:hAnsi="Times New Roman"/>
          <w:color w:val="auto"/>
        </w:rPr>
      </w:pPr>
      <w:r w:rsidRPr="000D3C1C">
        <w:rPr>
          <w:rFonts w:ascii="Times New Roman" w:hAnsi="Times New Roman"/>
          <w:color w:val="auto"/>
        </w:rPr>
        <w:t>Prostriedky potrebné na zabezpečenie činností leteckého úradu v súvislosti s predchádzajúcimi požiadavkami je možné v budúcnosti zabezpečiť navrhovanou novelou leteckého zákona uplatnením  nariadenia komisie (ES) č. 1794/2006 zo 6. decembra 2006, ktorým sa stanovuje spoločný systém spoplatňovania leteckých navigačných služieb. Konkrétne: Kapitola II, článok 5, bod 2. kde si členské štáty môžu stanoviť nasledujúce náklady, pokiaľ vzniknú v súvislosti k poskytovaním leteckých navigačných služieb:</w:t>
      </w:r>
    </w:p>
    <w:p w:rsidR="000D3C1C" w:rsidRPr="000D3C1C" w:rsidP="000D3C1C">
      <w:pPr>
        <w:pStyle w:val="BodyText2"/>
        <w:bidi w:val="0"/>
        <w:ind w:firstLine="708"/>
        <w:rPr>
          <w:rFonts w:ascii="Times New Roman" w:hAnsi="Times New Roman"/>
          <w:color w:val="auto"/>
        </w:rPr>
      </w:pPr>
      <w:r w:rsidRPr="000D3C1C">
        <w:rPr>
          <w:rFonts w:ascii="Times New Roman" w:hAnsi="Times New Roman"/>
          <w:color w:val="auto"/>
        </w:rPr>
        <w:t>a) náklady, ktoré vznikli príslušným národným orgánom;</w:t>
      </w:r>
    </w:p>
    <w:p w:rsidR="000D3C1C" w:rsidRPr="000D3C1C" w:rsidP="000D3C1C">
      <w:pPr>
        <w:pStyle w:val="BodyText2"/>
        <w:bidi w:val="0"/>
        <w:ind w:firstLine="708"/>
        <w:rPr>
          <w:rFonts w:ascii="Times New Roman" w:hAnsi="Times New Roman"/>
          <w:color w:val="auto"/>
        </w:rPr>
      </w:pPr>
      <w:r w:rsidRPr="000D3C1C">
        <w:rPr>
          <w:rFonts w:ascii="Times New Roman" w:hAnsi="Times New Roman"/>
          <w:color w:val="auto"/>
        </w:rPr>
        <w:t>b) náklady, ktoré vznikli povereným organizáciám uvedeným v článku 3 nariadenia o poskytovaní služieb;</w:t>
      </w:r>
    </w:p>
    <w:p w:rsidR="006440E9" w:rsidRPr="00E57DFB" w:rsidP="000D3C1C">
      <w:pPr>
        <w:pStyle w:val="BodyText2"/>
        <w:bidi w:val="0"/>
        <w:ind w:firstLine="708"/>
        <w:rPr>
          <w:rFonts w:ascii="Times New Roman" w:hAnsi="Times New Roman"/>
          <w:color w:val="auto"/>
        </w:rPr>
      </w:pPr>
      <w:r w:rsidRPr="000D3C1C" w:rsidR="000D3C1C">
        <w:rPr>
          <w:rFonts w:ascii="Times New Roman" w:hAnsi="Times New Roman"/>
          <w:color w:val="auto"/>
        </w:rPr>
        <w:t>c) náklady vyplývajúce z medzinárodných dohôd</w:t>
      </w:r>
      <w:r w:rsidRPr="00E57DFB">
        <w:rPr>
          <w:rFonts w:ascii="Times New Roman" w:hAnsi="Times New Roman"/>
          <w:color w:val="auto"/>
        </w:rPr>
        <w:t>.</w:t>
      </w:r>
    </w:p>
    <w:p w:rsidR="006440E9" w:rsidRPr="00E57DFB">
      <w:pPr>
        <w:pStyle w:val="BodyText"/>
        <w:bidi w:val="0"/>
        <w:rPr>
          <w:rFonts w:ascii="Times New Roman" w:hAnsi="Times New Roman"/>
        </w:rPr>
      </w:pPr>
    </w:p>
    <w:p w:rsidR="006440E9">
      <w:pPr>
        <w:pStyle w:val="BodyText"/>
        <w:bidi w:val="0"/>
        <w:rPr>
          <w:rFonts w:ascii="Times New Roman" w:hAnsi="Times New Roman"/>
          <w:u w:val="single"/>
        </w:rPr>
      </w:pPr>
      <w:r w:rsidRPr="00E57DFB" w:rsidR="004A093A">
        <w:rPr>
          <w:rFonts w:ascii="Times New Roman" w:hAnsi="Times New Roman"/>
          <w:u w:val="single"/>
        </w:rPr>
        <w:t>K bodu 8</w:t>
      </w:r>
      <w:r w:rsidRPr="00E57DFB">
        <w:rPr>
          <w:rFonts w:ascii="Times New Roman" w:hAnsi="Times New Roman"/>
          <w:u w:val="single"/>
        </w:rPr>
        <w:t>:</w:t>
      </w:r>
    </w:p>
    <w:p w:rsidR="006440E9">
      <w:pPr>
        <w:pStyle w:val="BodyText"/>
        <w:bidi w:val="0"/>
        <w:ind w:firstLine="708"/>
        <w:rPr>
          <w:rFonts w:ascii="Times New Roman" w:hAnsi="Times New Roman"/>
        </w:rPr>
      </w:pPr>
      <w:r w:rsidRPr="004952E8" w:rsidR="000D3C1C">
        <w:rPr>
          <w:rFonts w:ascii="Times New Roman" w:hAnsi="Times New Roman"/>
        </w:rPr>
        <w:t>V súvislosti s novelou zákona č. 523/2004 Z.z. o rozpočtových pravidlách verejnej správy a o zmene a doplnení niektorých zákonov v znení neskorších predpisov dochádza hlavne k zjednoteniu a sprísneniu právnej úpravy v oblasti poskytovania dotácií zo štátneho rozpočtu. Podľa § 8a novej právnej úpravy dotácia zo štátneho rozpočtu sa môže poskytnúť iba na základe osobitného zákona a v súlade so zákonom o štátnom rozpočte na príslušný rok. Podrobnosti o poskytovaní dotácií v oblasti civilného letectva ustanoví všeobecne záväzný právny predpis, ktorý vydá ministerstvo</w:t>
      </w:r>
      <w:r>
        <w:rPr>
          <w:rFonts w:ascii="Times New Roman" w:hAnsi="Times New Roman"/>
        </w:rPr>
        <w:t>.</w:t>
      </w:r>
    </w:p>
    <w:p w:rsidR="006440E9">
      <w:pPr>
        <w:pStyle w:val="BodyText2"/>
        <w:bidi w:val="0"/>
        <w:rPr>
          <w:rFonts w:ascii="Times New Roman" w:hAnsi="Times New Roman"/>
          <w:color w:val="auto"/>
        </w:rPr>
      </w:pPr>
    </w:p>
    <w:p w:rsidR="006440E9">
      <w:pPr>
        <w:pStyle w:val="BodyText"/>
        <w:bidi w:val="0"/>
        <w:rPr>
          <w:rFonts w:ascii="Times New Roman" w:hAnsi="Times New Roman"/>
          <w:u w:val="single"/>
        </w:rPr>
      </w:pPr>
      <w:r w:rsidRPr="00E57DFB" w:rsidR="004A093A">
        <w:rPr>
          <w:rFonts w:ascii="Times New Roman" w:hAnsi="Times New Roman"/>
          <w:u w:val="single"/>
        </w:rPr>
        <w:t>K bodu 9</w:t>
      </w:r>
      <w:r w:rsidRPr="00E57DFB">
        <w:rPr>
          <w:rFonts w:ascii="Times New Roman" w:hAnsi="Times New Roman"/>
          <w:u w:val="single"/>
        </w:rPr>
        <w:t>:</w:t>
      </w:r>
    </w:p>
    <w:p w:rsidR="006440E9">
      <w:pPr>
        <w:pStyle w:val="BodyText"/>
        <w:bidi w:val="0"/>
        <w:ind w:firstLine="708"/>
        <w:rPr>
          <w:rFonts w:ascii="Times New Roman" w:hAnsi="Times New Roman"/>
        </w:rPr>
      </w:pPr>
      <w:r w:rsidRPr="00D714B0" w:rsidR="000D3C1C">
        <w:rPr>
          <w:rFonts w:ascii="Times New Roman" w:hAnsi="Times New Roman"/>
          <w:spacing w:val="-1"/>
        </w:rPr>
        <w:t>Navrhovaná úprava je vyvolaná novelizáciou § 18, konkrétne sa jedná o odsek 12 a následnou úpravou § 48 ods. 3</w:t>
      </w:r>
      <w:r>
        <w:rPr>
          <w:rFonts w:ascii="Times New Roman" w:hAnsi="Times New Roman"/>
        </w:rPr>
        <w:t>.</w:t>
      </w:r>
    </w:p>
    <w:p w:rsidR="006440E9">
      <w:pPr>
        <w:pStyle w:val="BodyText2"/>
        <w:bidi w:val="0"/>
        <w:rPr>
          <w:rFonts w:ascii="Times New Roman" w:hAnsi="Times New Roman"/>
          <w:color w:val="auto"/>
        </w:rPr>
      </w:pPr>
    </w:p>
    <w:p w:rsidR="006440E9">
      <w:pPr>
        <w:pStyle w:val="BodyText2"/>
        <w:bidi w:val="0"/>
        <w:rPr>
          <w:rFonts w:ascii="Times New Roman" w:hAnsi="Times New Roman"/>
          <w:b/>
          <w:bCs/>
          <w:color w:val="auto"/>
        </w:rPr>
      </w:pPr>
      <w:r>
        <w:rPr>
          <w:rFonts w:ascii="Times New Roman" w:hAnsi="Times New Roman"/>
          <w:b/>
          <w:bCs/>
          <w:color w:val="auto"/>
        </w:rPr>
        <w:t>K čl. II</w:t>
      </w:r>
    </w:p>
    <w:p w:rsidR="006440E9" w:rsidP="000D3C1C">
      <w:pPr>
        <w:pStyle w:val="BodyText2"/>
        <w:bidi w:val="0"/>
        <w:ind w:firstLine="708"/>
        <w:rPr>
          <w:rFonts w:ascii="Times New Roman" w:hAnsi="Times New Roman"/>
          <w:color w:val="auto"/>
        </w:rPr>
      </w:pPr>
      <w:r w:rsidRPr="000D3C1C" w:rsidR="000D3C1C">
        <w:rPr>
          <w:rFonts w:ascii="Times New Roman" w:hAnsi="Times New Roman"/>
          <w:color w:val="auto"/>
        </w:rPr>
        <w:t>Účinnosť zákona sa navrhuje 1. septembra 2009</w:t>
      </w:r>
      <w:r w:rsidR="00AD6CB6">
        <w:rPr>
          <w:rFonts w:ascii="Times New Roman" w:hAnsi="Times New Roman"/>
          <w:color w:val="auto"/>
        </w:rPr>
        <w:t>.</w:t>
      </w:r>
    </w:p>
    <w:p w:rsidR="00A25E1F" w:rsidP="007B51F4">
      <w:pPr>
        <w:pStyle w:val="BodyText2"/>
        <w:bidi w:val="0"/>
        <w:rPr>
          <w:rFonts w:ascii="Times New Roman" w:hAnsi="Times New Roman"/>
          <w:color w:val="auto"/>
        </w:rPr>
      </w:pPr>
    </w:p>
    <w:p w:rsidR="007B51F4" w:rsidP="007B51F4">
      <w:pPr>
        <w:pStyle w:val="BodyText2"/>
        <w:bidi w:val="0"/>
        <w:rPr>
          <w:rFonts w:ascii="Times New Roman" w:hAnsi="Times New Roman"/>
          <w:color w:val="auto"/>
        </w:rPr>
      </w:pPr>
    </w:p>
    <w:p w:rsidR="00A25E1F" w:rsidRPr="004F6CF5" w:rsidP="00A25E1F">
      <w:pPr>
        <w:bidi w:val="0"/>
        <w:rPr>
          <w:rFonts w:ascii="Times New Roman" w:hAnsi="Times New Roman"/>
        </w:rPr>
      </w:pPr>
      <w:r w:rsidRPr="004F6CF5">
        <w:rPr>
          <w:rFonts w:ascii="Times New Roman" w:hAnsi="Times New Roman"/>
        </w:rPr>
        <w:t>Bratislav</w:t>
      </w:r>
      <w:r>
        <w:rPr>
          <w:rFonts w:ascii="Times New Roman" w:hAnsi="Times New Roman"/>
        </w:rPr>
        <w:t xml:space="preserve">a </w:t>
      </w:r>
      <w:r w:rsidR="000D3C1C">
        <w:rPr>
          <w:rFonts w:ascii="Times New Roman" w:hAnsi="Times New Roman"/>
        </w:rPr>
        <w:t>2</w:t>
      </w:r>
      <w:r w:rsidR="004D6A3F">
        <w:rPr>
          <w:rFonts w:ascii="Times New Roman" w:hAnsi="Times New Roman"/>
        </w:rPr>
        <w:t>5</w:t>
      </w:r>
      <w:r>
        <w:rPr>
          <w:rFonts w:ascii="Times New Roman" w:hAnsi="Times New Roman"/>
        </w:rPr>
        <w:t xml:space="preserve">. </w:t>
      </w:r>
      <w:r w:rsidR="000D3C1C">
        <w:rPr>
          <w:rFonts w:ascii="Times New Roman" w:hAnsi="Times New Roman"/>
        </w:rPr>
        <w:t>marca</w:t>
      </w:r>
      <w:r>
        <w:rPr>
          <w:rFonts w:ascii="Times New Roman" w:hAnsi="Times New Roman"/>
        </w:rPr>
        <w:t xml:space="preserve"> 2009</w:t>
      </w:r>
    </w:p>
    <w:p w:rsidR="00A25E1F" w:rsidRPr="004F6CF5" w:rsidP="00A25E1F">
      <w:pPr>
        <w:bidi w:val="0"/>
        <w:rPr>
          <w:rFonts w:ascii="Times New Roman" w:hAnsi="Times New Roman"/>
        </w:rPr>
      </w:pPr>
    </w:p>
    <w:p w:rsidR="00A25E1F" w:rsidRPr="004F6CF5" w:rsidP="00A25E1F">
      <w:pPr>
        <w:bidi w:val="0"/>
        <w:rPr>
          <w:rFonts w:ascii="Times New Roman" w:hAnsi="Times New Roman"/>
        </w:rPr>
      </w:pPr>
    </w:p>
    <w:p w:rsidR="00A25E1F" w:rsidRPr="004F6CF5" w:rsidP="00A25E1F">
      <w:pPr>
        <w:bidi w:val="0"/>
        <w:rPr>
          <w:rFonts w:ascii="Times New Roman" w:hAnsi="Times New Roman"/>
        </w:rPr>
      </w:pPr>
    </w:p>
    <w:p w:rsidR="00A25E1F" w:rsidRPr="004F6CF5" w:rsidP="00A25E1F">
      <w:pPr>
        <w:bidi w:val="0"/>
        <w:rPr>
          <w:rFonts w:ascii="Times New Roman" w:hAnsi="Times New Roman"/>
        </w:rPr>
      </w:pPr>
    </w:p>
    <w:p w:rsidR="00A25E1F" w:rsidRPr="004F6CF5" w:rsidP="00A25E1F">
      <w:pPr>
        <w:bidi w:val="0"/>
        <w:rPr>
          <w:rFonts w:ascii="Times New Roman" w:hAnsi="Times New Roman"/>
        </w:rPr>
      </w:pPr>
    </w:p>
    <w:p w:rsidR="00A25E1F" w:rsidRPr="004F6CF5" w:rsidP="00A25E1F">
      <w:pPr>
        <w:bidi w:val="0"/>
        <w:rPr>
          <w:rFonts w:ascii="Times New Roman" w:hAnsi="Times New Roman"/>
        </w:rPr>
      </w:pPr>
    </w:p>
    <w:p w:rsidR="00A25E1F" w:rsidRPr="004F6CF5" w:rsidP="00A25E1F">
      <w:pPr>
        <w:bidi w:val="0"/>
        <w:rPr>
          <w:rFonts w:ascii="Times New Roman" w:hAnsi="Times New Roman"/>
        </w:rPr>
      </w:pPr>
    </w:p>
    <w:p w:rsidR="00A25E1F" w:rsidRPr="004F6CF5" w:rsidP="00A25E1F">
      <w:pPr>
        <w:bidi w:val="0"/>
        <w:jc w:val="center"/>
        <w:rPr>
          <w:rFonts w:ascii="Times New Roman" w:hAnsi="Times New Roman"/>
        </w:rPr>
      </w:pPr>
      <w:r w:rsidRPr="004F6CF5">
        <w:rPr>
          <w:rFonts w:ascii="Times New Roman" w:hAnsi="Times New Roman"/>
        </w:rPr>
        <w:t>Robert Fico v. r.</w:t>
      </w:r>
    </w:p>
    <w:p w:rsidR="00A25E1F" w:rsidRPr="004F6CF5" w:rsidP="00A25E1F">
      <w:pPr>
        <w:bidi w:val="0"/>
        <w:jc w:val="center"/>
        <w:rPr>
          <w:rFonts w:ascii="Times New Roman" w:hAnsi="Times New Roman"/>
        </w:rPr>
      </w:pPr>
      <w:r w:rsidRPr="004F6CF5">
        <w:rPr>
          <w:rFonts w:ascii="Times New Roman" w:hAnsi="Times New Roman"/>
        </w:rPr>
        <w:t>predseda vlády Slovenskej republiky</w:t>
      </w:r>
    </w:p>
    <w:p w:rsidR="00A25E1F" w:rsidRPr="004F6CF5" w:rsidP="00A25E1F">
      <w:pPr>
        <w:bidi w:val="0"/>
        <w:jc w:val="center"/>
        <w:rPr>
          <w:rFonts w:ascii="Times New Roman" w:hAnsi="Times New Roman"/>
        </w:rPr>
      </w:pPr>
    </w:p>
    <w:p w:rsidR="00A25E1F" w:rsidRPr="004F6CF5" w:rsidP="00A25E1F">
      <w:pPr>
        <w:bidi w:val="0"/>
        <w:jc w:val="center"/>
        <w:rPr>
          <w:rFonts w:ascii="Times New Roman" w:hAnsi="Times New Roman"/>
        </w:rPr>
      </w:pPr>
    </w:p>
    <w:p w:rsidR="00A25E1F" w:rsidRPr="004F6CF5" w:rsidP="00A25E1F">
      <w:pPr>
        <w:bidi w:val="0"/>
        <w:jc w:val="center"/>
        <w:rPr>
          <w:rFonts w:ascii="Times New Roman" w:hAnsi="Times New Roman"/>
        </w:rPr>
      </w:pPr>
    </w:p>
    <w:p w:rsidR="00A25E1F" w:rsidRPr="004F6CF5" w:rsidP="00A25E1F">
      <w:pPr>
        <w:bidi w:val="0"/>
        <w:jc w:val="center"/>
        <w:rPr>
          <w:rFonts w:ascii="Times New Roman" w:hAnsi="Times New Roman"/>
        </w:rPr>
      </w:pPr>
    </w:p>
    <w:p w:rsidR="00A25E1F" w:rsidRPr="004F6CF5" w:rsidP="00A25E1F">
      <w:pPr>
        <w:bidi w:val="0"/>
        <w:jc w:val="center"/>
        <w:rPr>
          <w:rFonts w:ascii="Times New Roman" w:hAnsi="Times New Roman"/>
        </w:rPr>
      </w:pPr>
    </w:p>
    <w:p w:rsidR="00A25E1F" w:rsidRPr="004F6CF5" w:rsidP="00A25E1F">
      <w:pPr>
        <w:bidi w:val="0"/>
        <w:jc w:val="center"/>
        <w:rPr>
          <w:rFonts w:ascii="Times New Roman" w:hAnsi="Times New Roman"/>
        </w:rPr>
      </w:pPr>
    </w:p>
    <w:p w:rsidR="00A25E1F" w:rsidRPr="004F6CF5" w:rsidP="00A25E1F">
      <w:pPr>
        <w:bidi w:val="0"/>
        <w:jc w:val="center"/>
        <w:rPr>
          <w:rFonts w:ascii="Times New Roman" w:hAnsi="Times New Roman"/>
        </w:rPr>
      </w:pPr>
    </w:p>
    <w:p w:rsidR="00A25E1F" w:rsidRPr="004F6CF5" w:rsidP="00A25E1F">
      <w:pPr>
        <w:bidi w:val="0"/>
        <w:jc w:val="center"/>
        <w:rPr>
          <w:rFonts w:ascii="Times New Roman" w:hAnsi="Times New Roman"/>
        </w:rPr>
      </w:pPr>
      <w:r w:rsidRPr="004F6CF5">
        <w:rPr>
          <w:rFonts w:ascii="Times New Roman" w:hAnsi="Times New Roman"/>
        </w:rPr>
        <w:t>Ľubomír Vážny v. r.</w:t>
      </w:r>
    </w:p>
    <w:p w:rsidR="00A25E1F" w:rsidRPr="004F6CF5" w:rsidP="00A25E1F">
      <w:pPr>
        <w:bidi w:val="0"/>
        <w:jc w:val="center"/>
        <w:rPr>
          <w:rFonts w:ascii="Times New Roman" w:hAnsi="Times New Roman"/>
        </w:rPr>
      </w:pPr>
      <w:r w:rsidRPr="004F6CF5">
        <w:rPr>
          <w:rFonts w:ascii="Times New Roman" w:hAnsi="Times New Roman"/>
        </w:rPr>
        <w:t>minister dopravy, pôšt a telekomunikácií</w:t>
      </w:r>
    </w:p>
    <w:p w:rsidR="00A25E1F" w:rsidP="00A25E1F">
      <w:pPr>
        <w:bidi w:val="0"/>
        <w:jc w:val="center"/>
        <w:rPr>
          <w:rFonts w:ascii="Times New Roman" w:hAnsi="Times New Roman"/>
        </w:rPr>
      </w:pPr>
      <w:r w:rsidRPr="004F6CF5">
        <w:rPr>
          <w:rFonts w:ascii="Times New Roman" w:hAnsi="Times New Roman"/>
        </w:rPr>
        <w:t>Slovenskej republiky</w:t>
      </w:r>
    </w:p>
    <w:p w:rsidR="00A25E1F">
      <w:pPr>
        <w:pStyle w:val="BodyText2"/>
        <w:bidi w:val="0"/>
        <w:ind w:firstLine="708"/>
        <w:rPr>
          <w:rFonts w:ascii="Times New Roman" w:hAnsi="Times New Roman"/>
          <w:color w:val="auto"/>
        </w:rPr>
      </w:pPr>
    </w:p>
    <w:sectPr>
      <w:footerReference w:type="default" r:id="rId4"/>
      <w:pgSz w:w="11906" w:h="16838"/>
      <w:pgMar w:top="1417" w:right="1417" w:bottom="1417" w:left="1417" w:header="708" w:footer="708" w:gutter="0"/>
      <w:lnNumType w:distance="0"/>
      <w:cols w:space="708"/>
      <w:noEndnote w:val="0"/>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Arial Narrow">
    <w:panose1 w:val="00000000000000000000"/>
    <w:charset w:val="EE"/>
    <w:family w:val="swiss"/>
    <w:pitch w:val="variable"/>
    <w:sig w:usb0="00000000" w:usb1="00000000" w:usb2="00000000" w:usb3="00000000" w:csb0="0000009F" w:csb1="00000000"/>
  </w:font>
  <w:font w:name="ms sans serif">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C1C">
    <w:pPr>
      <w:pStyle w:val="Footer"/>
      <w:framePr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sidR="004D6A3F">
      <w:rPr>
        <w:rStyle w:val="PageNumber"/>
        <w:noProof/>
      </w:rPr>
      <w:t>11</w:t>
    </w:r>
    <w:r>
      <w:rPr>
        <w:rStyle w:val="PageNumber"/>
      </w:rPr>
      <w:fldChar w:fldCharType="end"/>
    </w:r>
  </w:p>
  <w:p w:rsidR="000D3C1C">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075CA"/>
    <w:multiLevelType w:val="singleLevel"/>
    <w:tmpl w:val="E0967B62"/>
    <w:lvl w:ilvl="0">
      <w:start w:val="1"/>
      <w:numFmt w:val="decimal"/>
      <w:lvlText w:val="%1."/>
      <w:lvlJc w:val="left"/>
      <w:pPr>
        <w:tabs>
          <w:tab w:val="num" w:pos="360"/>
        </w:tabs>
        <w:ind w:left="360" w:hanging="360"/>
      </w:pPr>
      <w:rPr>
        <w:rFonts w:ascii="Times New Roman" w:hAnsi="Times New Roman" w:cs="Times New Roman" w:hint="default"/>
        <w:b w:val="0"/>
        <w:bCs w:val="0"/>
        <w:i w:val="0"/>
        <w:iCs w:val="0"/>
        <w:caps w:val="0"/>
        <w:smallCaps w:val="0"/>
        <w:strike w:val="0"/>
        <w:outline w:val="0"/>
        <w:shadow w:val="0"/>
        <w:vanish w:val="0"/>
        <w:sz w:val="24"/>
        <w:szCs w:val="24"/>
        <w:rtl w:val="0"/>
        <w:cs w:val="0"/>
      </w:rPr>
    </w:lvl>
  </w:abstractNum>
  <w:abstractNum w:abstractNumId="1">
    <w:nsid w:val="0DFB1B4C"/>
    <w:multiLevelType w:val="multilevel"/>
    <w:tmpl w:val="06F689C2"/>
    <w:lvl w:ilvl="0">
      <w:start w:val="1"/>
      <w:numFmt w:val="lowerLetter"/>
      <w:lvlText w:val="%1)"/>
      <w:lvlJc w:val="left"/>
      <w:pPr>
        <w:tabs>
          <w:tab w:val="num" w:pos="680"/>
        </w:tabs>
        <w:ind w:left="680" w:hanging="34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decimal"/>
      <w:lvlText w:val="%3."/>
      <w:lvlJc w:val="left"/>
      <w:pPr>
        <w:tabs>
          <w:tab w:val="num" w:pos="2160"/>
        </w:tabs>
        <w:ind w:left="2160" w:hanging="36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decimal"/>
      <w:lvlText w:val="%5."/>
      <w:lvlJc w:val="left"/>
      <w:pPr>
        <w:tabs>
          <w:tab w:val="num" w:pos="3600"/>
        </w:tabs>
        <w:ind w:left="3600" w:hanging="360"/>
      </w:pPr>
      <w:rPr>
        <w:rFonts w:ascii="Times New Roman" w:hAnsi="Times New Roman" w:cs="Times New Roman"/>
        <w:rtl w:val="0"/>
        <w:cs w:val="0"/>
      </w:rPr>
    </w:lvl>
    <w:lvl w:ilvl="5">
      <w:start w:val="1"/>
      <w:numFmt w:val="decimal"/>
      <w:lvlText w:val="%6."/>
      <w:lvlJc w:val="left"/>
      <w:pPr>
        <w:tabs>
          <w:tab w:val="num" w:pos="4320"/>
        </w:tabs>
        <w:ind w:left="4320" w:hanging="36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decimal"/>
      <w:lvlText w:val="%8."/>
      <w:lvlJc w:val="left"/>
      <w:pPr>
        <w:tabs>
          <w:tab w:val="num" w:pos="5760"/>
        </w:tabs>
        <w:ind w:left="5760" w:hanging="360"/>
      </w:pPr>
      <w:rPr>
        <w:rFonts w:ascii="Times New Roman" w:hAnsi="Times New Roman" w:cs="Times New Roman"/>
        <w:rtl w:val="0"/>
        <w:cs w:val="0"/>
      </w:rPr>
    </w:lvl>
    <w:lvl w:ilvl="8">
      <w:start w:val="1"/>
      <w:numFmt w:val="decimal"/>
      <w:lvlText w:val="%9."/>
      <w:lvlJc w:val="left"/>
      <w:pPr>
        <w:tabs>
          <w:tab w:val="num" w:pos="6480"/>
        </w:tabs>
        <w:ind w:left="6480" w:hanging="360"/>
      </w:pPr>
      <w:rPr>
        <w:rFonts w:ascii="Times New Roman" w:hAnsi="Times New Roman" w:cs="Times New Roman"/>
        <w:rtl w:val="0"/>
        <w:cs w:val="0"/>
      </w:rPr>
    </w:lvl>
  </w:abstractNum>
  <w:abstractNum w:abstractNumId="2">
    <w:nsid w:val="280460C1"/>
    <w:multiLevelType w:val="hybridMultilevel"/>
    <w:tmpl w:val="AA40E836"/>
    <w:lvl w:ilvl="0">
      <w:start w:val="6"/>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b w:val="0"/>
        <w:i/>
        <w:caps w:val="0"/>
        <w:smallCaps w:val="0"/>
        <w:strike w:val="0"/>
        <w:outline w:val="0"/>
        <w:shadow w:val="0"/>
        <w:vanish w:val="0"/>
      </w:rPr>
    </w:lvl>
    <w:lvl w:ilvl="2">
      <w:start w:val="1"/>
      <w:numFmt w:val="bullet"/>
      <w:lvlText w:val=""/>
      <w:lvlJc w:val="left"/>
      <w:pPr>
        <w:tabs>
          <w:tab w:val="num" w:pos="2520"/>
        </w:tabs>
        <w:ind w:left="2520" w:hanging="360"/>
      </w:pPr>
      <w:rPr>
        <w:rFonts w:ascii="Wingdings" w:hAnsi="Wingdings" w:hint="default"/>
        <w:b w:val="0"/>
        <w:i/>
        <w:caps w:val="0"/>
        <w:smallCaps w:val="0"/>
        <w:strike w:val="0"/>
        <w:outline/>
        <w:shadow w:val="0"/>
        <w:vanish w:val="0"/>
      </w:rPr>
    </w:lvl>
    <w:lvl w:ilvl="3">
      <w:start w:val="1"/>
      <w:numFmt w:val="bullet"/>
      <w:lvlText w:val=""/>
      <w:lvlJc w:val="left"/>
      <w:pPr>
        <w:tabs>
          <w:tab w:val="num" w:pos="3240"/>
        </w:tabs>
        <w:ind w:left="3240" w:hanging="360"/>
      </w:pPr>
      <w:rPr>
        <w:rFonts w:ascii="Symbol" w:hAnsi="Symbol" w:hint="default"/>
        <w:b/>
        <w:i/>
        <w:caps w:val="0"/>
        <w:smallCaps w:val="0"/>
        <w:strike w:val="0"/>
        <w:outline w:val="0"/>
        <w:shadow w:val="0"/>
        <w:vanish w:val="0"/>
      </w:rPr>
    </w:lvl>
    <w:lvl w:ilvl="4">
      <w:start w:val="1"/>
      <w:numFmt w:val="bullet"/>
      <w:lvlText w:val="o"/>
      <w:lvlJc w:val="left"/>
      <w:pPr>
        <w:tabs>
          <w:tab w:val="num" w:pos="3960"/>
        </w:tabs>
        <w:ind w:left="3960" w:hanging="360"/>
      </w:pPr>
      <w:rPr>
        <w:rFonts w:ascii="Courier New" w:hAnsi="Courier New" w:hint="default"/>
        <w:b w:val="0"/>
        <w:i/>
        <w:caps w:val="0"/>
        <w:smallCaps w:val="0"/>
        <w:strike w:val="0"/>
        <w:outline w:val="0"/>
        <w:shadow w:val="0"/>
        <w:vanish w:val="0"/>
      </w:rPr>
    </w:lvl>
    <w:lvl w:ilvl="5">
      <w:start w:val="1"/>
      <w:numFmt w:val="bullet"/>
      <w:lvlText w:val=""/>
      <w:lvlJc w:val="left"/>
      <w:pPr>
        <w:tabs>
          <w:tab w:val="num" w:pos="4680"/>
        </w:tabs>
        <w:ind w:left="4680" w:hanging="360"/>
      </w:pPr>
      <w:rPr>
        <w:rFonts w:ascii="Wingdings" w:hAnsi="Wingdings" w:hint="default"/>
        <w:b w:val="0"/>
        <w:i/>
        <w:caps w:val="0"/>
        <w:smallCaps w:val="0"/>
        <w:strike w:val="0"/>
        <w:outline/>
        <w:shadow w:val="0"/>
        <w:vanish w:val="0"/>
      </w:rPr>
    </w:lvl>
    <w:lvl w:ilvl="6">
      <w:start w:val="1"/>
      <w:numFmt w:val="bullet"/>
      <w:lvlText w:val=""/>
      <w:lvlJc w:val="left"/>
      <w:pPr>
        <w:tabs>
          <w:tab w:val="num" w:pos="5400"/>
        </w:tabs>
        <w:ind w:left="5400" w:hanging="360"/>
      </w:pPr>
      <w:rPr>
        <w:rFonts w:ascii="Symbol" w:hAnsi="Symbol" w:hint="default"/>
        <w:b/>
        <w:i/>
        <w:caps w:val="0"/>
        <w:smallCaps w:val="0"/>
        <w:strike w:val="0"/>
        <w:outline w:val="0"/>
        <w:shadow w:val="0"/>
        <w:vanish w:val="0"/>
      </w:rPr>
    </w:lvl>
    <w:lvl w:ilvl="7">
      <w:start w:val="1"/>
      <w:numFmt w:val="bullet"/>
      <w:lvlText w:val="o"/>
      <w:lvlJc w:val="left"/>
      <w:pPr>
        <w:tabs>
          <w:tab w:val="num" w:pos="6120"/>
        </w:tabs>
        <w:ind w:left="6120" w:hanging="360"/>
      </w:pPr>
      <w:rPr>
        <w:rFonts w:ascii="Courier New" w:hAnsi="Courier New" w:hint="default"/>
        <w:b w:val="0"/>
        <w:i/>
        <w:caps w:val="0"/>
        <w:smallCaps w:val="0"/>
        <w:strike w:val="0"/>
        <w:outline w:val="0"/>
        <w:shadow w:val="0"/>
        <w:vanish w:val="0"/>
      </w:rPr>
    </w:lvl>
    <w:lvl w:ilvl="8">
      <w:start w:val="1"/>
      <w:numFmt w:val="bullet"/>
      <w:lvlText w:val=""/>
      <w:lvlJc w:val="left"/>
      <w:pPr>
        <w:tabs>
          <w:tab w:val="num" w:pos="6840"/>
        </w:tabs>
        <w:ind w:left="6840" w:hanging="360"/>
      </w:pPr>
      <w:rPr>
        <w:rFonts w:ascii="Wingdings" w:hAnsi="Wingdings" w:hint="default"/>
        <w:b w:val="0"/>
        <w:i/>
        <w:caps w:val="0"/>
        <w:smallCaps w:val="0"/>
        <w:strike w:val="0"/>
        <w:outline/>
        <w:shadow w:val="0"/>
        <w:vanish w:val="0"/>
      </w:rPr>
    </w:lvl>
  </w:abstractNum>
  <w:abstractNum w:abstractNumId="3">
    <w:nsid w:val="2FBC6EDA"/>
    <w:multiLevelType w:val="hybridMultilevel"/>
    <w:tmpl w:val="E750ADA6"/>
    <w:lvl w:ilvl="0">
      <w:start w:val="1"/>
      <w:numFmt w:val="lowerLetter"/>
      <w:lvlText w:val="%1)"/>
      <w:lvlJc w:val="left"/>
      <w:pPr>
        <w:tabs>
          <w:tab w:val="num" w:pos="720"/>
        </w:tabs>
        <w:ind w:left="720" w:hanging="360"/>
      </w:pPr>
      <w:rPr>
        <w:rFonts w:ascii="Times New Roman" w:hAnsi="Times New Roman" w:cs="Times New Roman" w:hint="default"/>
        <w:b w:val="0"/>
        <w:bCs w:val="0"/>
        <w:i w:val="0"/>
        <w:iCs w:val="0"/>
        <w:caps w:val="0"/>
        <w:smallCaps w:val="0"/>
        <w:strike w:val="0"/>
        <w:outline w:val="0"/>
        <w:shadow w:val="0"/>
        <w:vanish w:val="0"/>
        <w:sz w:val="24"/>
        <w:szCs w:val="24"/>
        <w:rtl w:val="0"/>
        <w:cs w:val="0"/>
      </w:rPr>
    </w:lvl>
    <w:lvl w:ilvl="1">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outline w:val="0"/>
        <w:shadow w:val="0"/>
        <w:vanish w:val="0"/>
        <w:rtl w:val="0"/>
        <w:cs w:val="0"/>
      </w:rPr>
    </w:lvl>
    <w:lvl w:ilvl="2">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outline w:val="0"/>
        <w:shadow w:val="0"/>
        <w:vanish w:val="0"/>
        <w:rtl w:val="0"/>
        <w:cs w:val="0"/>
      </w:rPr>
    </w:lvl>
    <w:lvl w:ilvl="3">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outline w:val="0"/>
        <w:shadow w:val="0"/>
        <w:vanish w:val="0"/>
        <w:rtl w:val="0"/>
        <w:cs w:val="0"/>
      </w:rPr>
    </w:lvl>
    <w:lvl w:ilvl="4">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outline w:val="0"/>
        <w:shadow w:val="0"/>
        <w:vanish w:val="0"/>
        <w:rtl w:val="0"/>
        <w:cs w:val="0"/>
      </w:rPr>
    </w:lvl>
    <w:lvl w:ilvl="5">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outline w:val="0"/>
        <w:shadow w:val="0"/>
        <w:vanish w:val="0"/>
        <w:rtl w:val="0"/>
        <w:cs w:val="0"/>
      </w:rPr>
    </w:lvl>
    <w:lvl w:ilvl="6">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outline w:val="0"/>
        <w:shadow w:val="0"/>
        <w:vanish w:val="0"/>
        <w:rtl w:val="0"/>
        <w:cs w:val="0"/>
      </w:rPr>
    </w:lvl>
    <w:lvl w:ilvl="7">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outline w:val="0"/>
        <w:shadow w:val="0"/>
        <w:vanish w:val="0"/>
        <w:rtl w:val="0"/>
        <w:cs w:val="0"/>
      </w:rPr>
    </w:lvl>
    <w:lvl w:ilvl="8">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outline w:val="0"/>
        <w:shadow w:val="0"/>
        <w:vanish w:val="0"/>
        <w:rtl w:val="0"/>
        <w:cs w:val="0"/>
      </w:rPr>
    </w:lvl>
  </w:abstractNum>
  <w:abstractNum w:abstractNumId="4">
    <w:nsid w:val="4077635B"/>
    <w:multiLevelType w:val="hybridMultilevel"/>
    <w:tmpl w:val="C8388DF8"/>
    <w:lvl w:ilvl="0">
      <w:start w:val="1"/>
      <w:numFmt w:val="bullet"/>
      <w:lvlText w:val=""/>
      <w:lvlJc w:val="left"/>
      <w:pPr>
        <w:tabs>
          <w:tab w:val="num" w:pos="360"/>
        </w:tabs>
        <w:ind w:left="357" w:hanging="35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85223A3"/>
    <w:multiLevelType w:val="hybridMultilevel"/>
    <w:tmpl w:val="E0861440"/>
    <w:lvl w:ilvl="0">
      <w:start w:val="1"/>
      <w:numFmt w:val="decimal"/>
      <w:lvlText w:val="%1."/>
      <w:lvlJc w:val="left"/>
      <w:pPr>
        <w:tabs>
          <w:tab w:val="num" w:pos="360"/>
        </w:tabs>
        <w:ind w:left="357" w:hanging="357"/>
      </w:pPr>
      <w:rPr>
        <w:rFonts w:ascii="Times New Roman" w:hAnsi="Times New Roman" w:cs="Times New Roman" w:hint="default"/>
        <w:b/>
        <w:bCs/>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6">
    <w:nsid w:val="4A002E7A"/>
    <w:multiLevelType w:val="hybridMultilevel"/>
    <w:tmpl w:val="F47A6EC4"/>
    <w:lvl w:ilvl="0">
      <w:start w:val="1"/>
      <w:numFmt w:val="decimal"/>
      <w:lvlText w:val="(%1)"/>
      <w:lvlJc w:val="left"/>
      <w:pPr>
        <w:tabs>
          <w:tab w:val="num" w:pos="907"/>
        </w:tabs>
        <w:ind w:left="907" w:hanging="547"/>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360"/>
        </w:tabs>
        <w:ind w:left="36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7">
    <w:nsid w:val="4A073579"/>
    <w:multiLevelType w:val="singleLevel"/>
    <w:tmpl w:val="738898BA"/>
    <w:lvl w:ilvl="0">
      <w:start w:val="3"/>
      <w:numFmt w:val="decimal"/>
      <w:lvlText w:val="%1."/>
      <w:lvlJc w:val="left"/>
      <w:pPr>
        <w:tabs>
          <w:tab w:val="num" w:pos="360"/>
        </w:tabs>
        <w:ind w:left="357" w:hanging="357"/>
      </w:pPr>
      <w:rPr>
        <w:rFonts w:ascii="Times New Roman" w:hAnsi="Times New Roman" w:cs="Times New Roman" w:hint="default"/>
        <w:b w:val="0"/>
        <w:bCs w:val="0"/>
        <w:i w:val="0"/>
        <w:iCs w:val="0"/>
        <w:caps w:val="0"/>
        <w:smallCaps w:val="0"/>
        <w:strike w:val="0"/>
        <w:outline w:val="0"/>
        <w:shadow w:val="0"/>
        <w:vanish w:val="0"/>
        <w:sz w:val="24"/>
        <w:szCs w:val="24"/>
        <w:u w:val="none"/>
        <w:rtl w:val="0"/>
        <w:cs w:val="0"/>
      </w:rPr>
    </w:lvl>
  </w:abstractNum>
  <w:abstractNum w:abstractNumId="8">
    <w:nsid w:val="4B0F30A9"/>
    <w:multiLevelType w:val="hybridMultilevel"/>
    <w:tmpl w:val="EAC8B106"/>
    <w:lvl w:ilvl="0">
      <w:start w:val="1"/>
      <w:numFmt w:val="decimal"/>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9">
    <w:nsid w:val="4E3D4A7E"/>
    <w:multiLevelType w:val="hybridMultilevel"/>
    <w:tmpl w:val="67C6B5C4"/>
    <w:lvl w:ilvl="0">
      <w:start w:val="0"/>
      <w:numFmt w:val="bullet"/>
      <w:lvlText w:val="-"/>
      <w:lvlJc w:val="left"/>
      <w:pPr>
        <w:tabs>
          <w:tab w:val="num" w:pos="1065"/>
        </w:tabs>
        <w:ind w:left="1065" w:hanging="360"/>
      </w:pPr>
      <w:rPr>
        <w:rFonts w:ascii="Times New Roman" w:eastAsia="Times New Roman" w:hAnsi="Times New Roman"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10">
    <w:nsid w:val="5BAB00DA"/>
    <w:multiLevelType w:val="singleLevel"/>
    <w:tmpl w:val="BFA4816E"/>
    <w:lvl w:ilvl="0">
      <w:start w:val="1"/>
      <w:numFmt w:val="lowerLetter"/>
      <w:lvlText w:val="%1)"/>
      <w:lvlJc w:val="left"/>
      <w:pPr>
        <w:tabs>
          <w:tab w:val="num" w:pos="720"/>
        </w:tabs>
        <w:ind w:left="720" w:hanging="360"/>
      </w:pPr>
      <w:rPr>
        <w:rFonts w:ascii="Times New Roman" w:hAnsi="Times New Roman" w:cs="Times New Roman" w:hint="default"/>
        <w:b w:val="0"/>
        <w:bCs w:val="0"/>
        <w:i w:val="0"/>
        <w:iCs w:val="0"/>
        <w:caps w:val="0"/>
        <w:smallCaps w:val="0"/>
        <w:strike w:val="0"/>
        <w:outline w:val="0"/>
        <w:shadow w:val="0"/>
        <w:vanish w:val="0"/>
        <w:rtl w:val="0"/>
        <w:cs w:val="0"/>
      </w:rPr>
    </w:lvl>
  </w:abstractNum>
  <w:abstractNum w:abstractNumId="11">
    <w:nsid w:val="63AB6E16"/>
    <w:multiLevelType w:val="hybridMultilevel"/>
    <w:tmpl w:val="F76228D0"/>
    <w:lvl w:ilvl="0">
      <w:start w:val="1"/>
      <w:numFmt w:val="lowerLetter"/>
      <w:lvlText w:val="%1)"/>
      <w:lvlJc w:val="left"/>
      <w:pPr>
        <w:tabs>
          <w:tab w:val="num" w:pos="680"/>
        </w:tabs>
        <w:ind w:left="680" w:hanging="340"/>
      </w:pPr>
      <w:rPr>
        <w:rFonts w:ascii="Times New Roman" w:hAnsi="Times New Roman" w:cs="Times New Roman" w:hint="default"/>
        <w:b w:val="0"/>
        <w:bCs w:val="0"/>
        <w:i w:val="0"/>
        <w:iCs w:val="0"/>
        <w:sz w:val="24"/>
        <w:szCs w:val="24"/>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decimal"/>
      <w:lvlText w:val="%3."/>
      <w:lvlJc w:val="left"/>
      <w:pPr>
        <w:tabs>
          <w:tab w:val="num" w:pos="2160"/>
        </w:tabs>
        <w:ind w:left="2160" w:hanging="36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decimal"/>
      <w:lvlText w:val="%5."/>
      <w:lvlJc w:val="left"/>
      <w:pPr>
        <w:tabs>
          <w:tab w:val="num" w:pos="3600"/>
        </w:tabs>
        <w:ind w:left="3600" w:hanging="360"/>
      </w:pPr>
      <w:rPr>
        <w:rFonts w:ascii="Times New Roman" w:hAnsi="Times New Roman" w:cs="Times New Roman"/>
        <w:rtl w:val="0"/>
        <w:cs w:val="0"/>
      </w:rPr>
    </w:lvl>
    <w:lvl w:ilvl="5">
      <w:start w:val="1"/>
      <w:numFmt w:val="decimal"/>
      <w:lvlText w:val="%6."/>
      <w:lvlJc w:val="left"/>
      <w:pPr>
        <w:tabs>
          <w:tab w:val="num" w:pos="4320"/>
        </w:tabs>
        <w:ind w:left="4320" w:hanging="36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decimal"/>
      <w:lvlText w:val="%8."/>
      <w:lvlJc w:val="left"/>
      <w:pPr>
        <w:tabs>
          <w:tab w:val="num" w:pos="5760"/>
        </w:tabs>
        <w:ind w:left="5760" w:hanging="360"/>
      </w:pPr>
      <w:rPr>
        <w:rFonts w:ascii="Times New Roman" w:hAnsi="Times New Roman" w:cs="Times New Roman"/>
        <w:rtl w:val="0"/>
        <w:cs w:val="0"/>
      </w:rPr>
    </w:lvl>
    <w:lvl w:ilvl="8">
      <w:start w:val="1"/>
      <w:numFmt w:val="decimal"/>
      <w:lvlText w:val="%9."/>
      <w:lvlJc w:val="left"/>
      <w:pPr>
        <w:tabs>
          <w:tab w:val="num" w:pos="6480"/>
        </w:tabs>
        <w:ind w:left="6480" w:hanging="360"/>
      </w:pPr>
      <w:rPr>
        <w:rFonts w:ascii="Times New Roman" w:hAnsi="Times New Roman" w:cs="Times New Roman"/>
        <w:rtl w:val="0"/>
        <w:cs w:val="0"/>
      </w:rPr>
    </w:lvl>
  </w:abstractNum>
  <w:abstractNum w:abstractNumId="12">
    <w:nsid w:val="67003015"/>
    <w:multiLevelType w:val="singleLevel"/>
    <w:tmpl w:val="9E2450A6"/>
    <w:lvl w:ilvl="0">
      <w:start w:val="1"/>
      <w:numFmt w:val="lowerLetter"/>
      <w:lvlText w:val="%1)"/>
      <w:lvlJc w:val="left"/>
      <w:pPr>
        <w:tabs>
          <w:tab w:val="num" w:pos="720"/>
        </w:tabs>
        <w:ind w:left="720" w:hanging="360"/>
      </w:pPr>
      <w:rPr>
        <w:rFonts w:ascii="Times New Roman" w:hAnsi="Times New Roman" w:cs="Times New Roman"/>
        <w:rtl w:val="0"/>
        <w:cs w:val="0"/>
      </w:rPr>
    </w:lvl>
  </w:abstractNum>
  <w:abstractNum w:abstractNumId="13">
    <w:nsid w:val="67921460"/>
    <w:multiLevelType w:val="hybridMultilevel"/>
    <w:tmpl w:val="BC743364"/>
    <w:lvl w:ilvl="0">
      <w:start w:val="1"/>
      <w:numFmt w:val="decimal"/>
      <w:lvlText w:val="%1."/>
      <w:lvlJc w:val="left"/>
      <w:pPr>
        <w:tabs>
          <w:tab w:val="num" w:pos="720"/>
        </w:tabs>
        <w:ind w:left="720" w:hanging="360"/>
      </w:pPr>
      <w:rPr>
        <w:rFonts w:ascii="Times New Roman" w:hAnsi="Times New Roman" w:cs="Times New Roman" w:hint="default"/>
        <w:b/>
        <w:bCs/>
        <w:rtl w:val="0"/>
        <w:cs w:val="0"/>
      </w:rPr>
    </w:lvl>
    <w:lvl w:ilvl="1">
      <w:start w:val="1"/>
      <w:numFmt w:val="lowerLetter"/>
      <w:lvlText w:val="%2)"/>
      <w:lvlJc w:val="left"/>
      <w:pPr>
        <w:tabs>
          <w:tab w:val="num" w:pos="1440"/>
        </w:tabs>
        <w:ind w:left="1440" w:hanging="360"/>
      </w:pPr>
      <w:rPr>
        <w:rFonts w:ascii="Times New Roman" w:hAnsi="Times New Roman" w:cs="Times New Roman" w:hint="default"/>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4">
    <w:nsid w:val="6A31210E"/>
    <w:multiLevelType w:val="hybridMultilevel"/>
    <w:tmpl w:val="938271EE"/>
    <w:lvl w:ilvl="0">
      <w:start w:val="1"/>
      <w:numFmt w:val="decimal"/>
      <w:lvlText w:val="%1."/>
      <w:lvlJc w:val="left"/>
      <w:pPr>
        <w:tabs>
          <w:tab w:val="num" w:pos="567"/>
        </w:tabs>
        <w:ind w:left="567" w:hanging="510"/>
      </w:pPr>
      <w:rPr>
        <w:rFonts w:ascii="Times New Roman" w:hAnsi="Times New Roman" w:cs="Times New Roman"/>
        <w:rtl w:val="0"/>
        <w:cs w:val="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decimal"/>
      <w:lvlText w:val="%5."/>
      <w:lvlJc w:val="left"/>
      <w:pPr>
        <w:tabs>
          <w:tab w:val="num" w:pos="3600"/>
        </w:tabs>
        <w:ind w:left="3600" w:hanging="360"/>
      </w:pPr>
      <w:rPr>
        <w:rFonts w:ascii="Times New Roman" w:hAnsi="Times New Roman" w:cs="Times New Roman"/>
        <w:rtl w:val="0"/>
        <w:cs w:val="0"/>
      </w:rPr>
    </w:lvl>
    <w:lvl w:ilvl="5">
      <w:start w:val="1"/>
      <w:numFmt w:val="decimal"/>
      <w:lvlText w:val="%6."/>
      <w:lvlJc w:val="left"/>
      <w:pPr>
        <w:tabs>
          <w:tab w:val="num" w:pos="4320"/>
        </w:tabs>
        <w:ind w:left="4320" w:hanging="36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decimal"/>
      <w:lvlText w:val="%8."/>
      <w:lvlJc w:val="left"/>
      <w:pPr>
        <w:tabs>
          <w:tab w:val="num" w:pos="5760"/>
        </w:tabs>
        <w:ind w:left="5760" w:hanging="360"/>
      </w:pPr>
      <w:rPr>
        <w:rFonts w:ascii="Times New Roman" w:hAnsi="Times New Roman" w:cs="Times New Roman"/>
        <w:rtl w:val="0"/>
        <w:cs w:val="0"/>
      </w:rPr>
    </w:lvl>
    <w:lvl w:ilvl="8">
      <w:start w:val="1"/>
      <w:numFmt w:val="decimal"/>
      <w:lvlText w:val="%9."/>
      <w:lvlJc w:val="left"/>
      <w:pPr>
        <w:tabs>
          <w:tab w:val="num" w:pos="6480"/>
        </w:tabs>
        <w:ind w:left="6480" w:hanging="360"/>
      </w:pPr>
      <w:rPr>
        <w:rFonts w:ascii="Times New Roman" w:hAnsi="Times New Roman" w:cs="Times New Roman"/>
        <w:rtl w:val="0"/>
        <w:cs w:val="0"/>
      </w:rPr>
    </w:lvl>
  </w:abstractNum>
  <w:abstractNum w:abstractNumId="15">
    <w:nsid w:val="713A1540"/>
    <w:multiLevelType w:val="hybridMultilevel"/>
    <w:tmpl w:val="198097F4"/>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3E84B7C"/>
    <w:multiLevelType w:val="singleLevel"/>
    <w:tmpl w:val="3F4A5EFE"/>
    <w:lvl w:ilvl="0">
      <w:start w:val="1"/>
      <w:numFmt w:val="upperLetter"/>
      <w:lvlText w:val="%1."/>
      <w:lvlJc w:val="left"/>
      <w:pPr>
        <w:tabs>
          <w:tab w:val="num" w:pos="360"/>
        </w:tabs>
        <w:ind w:left="360" w:hanging="360"/>
      </w:pPr>
      <w:rPr>
        <w:rFonts w:ascii="Times New Roman" w:hAnsi="Times New Roman" w:cs="Times New Roman" w:hint="default"/>
        <w:b/>
        <w:bCs/>
        <w:rtl w:val="0"/>
        <w:cs w:val="0"/>
      </w:rPr>
    </w:lvl>
  </w:abstractNum>
  <w:num w:numId="1">
    <w:abstractNumId w:val="8"/>
  </w:num>
  <w:num w:numId="2">
    <w:abstractNumId w:val="13"/>
  </w:num>
  <w:num w:numId="3">
    <w:abstractNumId w:val="9"/>
  </w:num>
  <w:num w:numId="4">
    <w:abstractNumId w:val="16"/>
  </w:num>
  <w:num w:numId="5">
    <w:abstractNumId w:val="4"/>
  </w:num>
  <w:num w:numId="6">
    <w:abstractNumId w:val="15"/>
  </w:num>
  <w:num w:numId="7">
    <w:abstractNumId w:val="6"/>
  </w:num>
  <w:num w:numId="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num>
  <w:num w:numId="10">
    <w:abstractNumId w:val="11"/>
  </w:num>
  <w:num w:numId="11">
    <w:abstractNumId w:val="5"/>
  </w:num>
  <w:num w:numId="12">
    <w:abstractNumId w:val="1"/>
  </w:num>
  <w:num w:numId="13">
    <w:abstractNumId w:val="11"/>
  </w:num>
  <w:num w:numId="14">
    <w:abstractNumId w:val="0"/>
  </w:num>
  <w:num w:numId="15">
    <w:abstractNumId w:val="7"/>
  </w:num>
  <w:num w:numId="16">
    <w:abstractNumId w:val="10"/>
  </w:num>
  <w:num w:numId="17">
    <w:abstractNumId w:val="2"/>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C24B20"/>
    <w:rsid w:val="000105E6"/>
    <w:rsid w:val="000712C4"/>
    <w:rsid w:val="0008717F"/>
    <w:rsid w:val="000C0B83"/>
    <w:rsid w:val="000D3C1C"/>
    <w:rsid w:val="0010254F"/>
    <w:rsid w:val="0010356B"/>
    <w:rsid w:val="00160047"/>
    <w:rsid w:val="001716C5"/>
    <w:rsid w:val="001722D2"/>
    <w:rsid w:val="00194A50"/>
    <w:rsid w:val="001956EB"/>
    <w:rsid w:val="001A33BD"/>
    <w:rsid w:val="001A565F"/>
    <w:rsid w:val="001C133E"/>
    <w:rsid w:val="001C1EE2"/>
    <w:rsid w:val="00220123"/>
    <w:rsid w:val="00240AA8"/>
    <w:rsid w:val="0026213D"/>
    <w:rsid w:val="00292243"/>
    <w:rsid w:val="002B149D"/>
    <w:rsid w:val="002F031A"/>
    <w:rsid w:val="00301812"/>
    <w:rsid w:val="003242E7"/>
    <w:rsid w:val="003422B6"/>
    <w:rsid w:val="00381B6A"/>
    <w:rsid w:val="003A3F44"/>
    <w:rsid w:val="003D24D9"/>
    <w:rsid w:val="004074A2"/>
    <w:rsid w:val="00420E8C"/>
    <w:rsid w:val="00440F0D"/>
    <w:rsid w:val="00442292"/>
    <w:rsid w:val="00464BA7"/>
    <w:rsid w:val="004952E8"/>
    <w:rsid w:val="004A093A"/>
    <w:rsid w:val="004A2B91"/>
    <w:rsid w:val="004D6A3F"/>
    <w:rsid w:val="004D6ADB"/>
    <w:rsid w:val="004D70DB"/>
    <w:rsid w:val="004F6CF5"/>
    <w:rsid w:val="00561A40"/>
    <w:rsid w:val="005F3D63"/>
    <w:rsid w:val="006074F7"/>
    <w:rsid w:val="006144F6"/>
    <w:rsid w:val="006221D2"/>
    <w:rsid w:val="006440E9"/>
    <w:rsid w:val="00660C62"/>
    <w:rsid w:val="00732B84"/>
    <w:rsid w:val="007A5698"/>
    <w:rsid w:val="007B51F4"/>
    <w:rsid w:val="007B6A22"/>
    <w:rsid w:val="007C006E"/>
    <w:rsid w:val="00810942"/>
    <w:rsid w:val="00815F6C"/>
    <w:rsid w:val="00835A31"/>
    <w:rsid w:val="00853DE7"/>
    <w:rsid w:val="008B35A1"/>
    <w:rsid w:val="008C1D55"/>
    <w:rsid w:val="0091770F"/>
    <w:rsid w:val="00921723"/>
    <w:rsid w:val="009310F9"/>
    <w:rsid w:val="00965CF4"/>
    <w:rsid w:val="009739DC"/>
    <w:rsid w:val="00976B10"/>
    <w:rsid w:val="00981CAB"/>
    <w:rsid w:val="00982EE4"/>
    <w:rsid w:val="009A7D43"/>
    <w:rsid w:val="009B4363"/>
    <w:rsid w:val="009E44A5"/>
    <w:rsid w:val="00A25E1F"/>
    <w:rsid w:val="00A45645"/>
    <w:rsid w:val="00A52AC6"/>
    <w:rsid w:val="00A97556"/>
    <w:rsid w:val="00AD6CB6"/>
    <w:rsid w:val="00B045B8"/>
    <w:rsid w:val="00B21B96"/>
    <w:rsid w:val="00B55BEF"/>
    <w:rsid w:val="00B60C0B"/>
    <w:rsid w:val="00B758DE"/>
    <w:rsid w:val="00B96215"/>
    <w:rsid w:val="00BA00A4"/>
    <w:rsid w:val="00BA3377"/>
    <w:rsid w:val="00BB49AB"/>
    <w:rsid w:val="00BE40EF"/>
    <w:rsid w:val="00C24B20"/>
    <w:rsid w:val="00C55A14"/>
    <w:rsid w:val="00C62100"/>
    <w:rsid w:val="00C75198"/>
    <w:rsid w:val="00CB1CC7"/>
    <w:rsid w:val="00D65247"/>
    <w:rsid w:val="00D714B0"/>
    <w:rsid w:val="00D71E3F"/>
    <w:rsid w:val="00D777F0"/>
    <w:rsid w:val="00DA4031"/>
    <w:rsid w:val="00DB151E"/>
    <w:rsid w:val="00DC4006"/>
    <w:rsid w:val="00E22401"/>
    <w:rsid w:val="00E57DFB"/>
    <w:rsid w:val="00E75F5B"/>
    <w:rsid w:val="00EC05A6"/>
    <w:rsid w:val="00F323A5"/>
    <w:rsid w:val="00F41441"/>
    <w:rsid w:val="00F453BA"/>
    <w:rsid w:val="00F5095E"/>
    <w:rsid w:val="00FA3594"/>
    <w:rsid w:val="00FC1A07"/>
    <w:rsid w:val="00FD79F9"/>
    <w:rsid w:val="00FE6EB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autoSpaceDN/>
      <w:adjustRightInd/>
      <w:ind w:left="0" w:right="0"/>
      <w:jc w:val="left"/>
      <w:textAlignment w:val="auto"/>
    </w:pPr>
    <w:rPr>
      <w:rFonts w:cs="Times New Roman"/>
      <w:sz w:val="24"/>
      <w:szCs w:val="24"/>
      <w:rtl w:val="0"/>
      <w:cs w:val="0"/>
      <w:lang w:val="sk-SK" w:eastAsia="cs-CZ" w:bidi="ar-SA"/>
    </w:rPr>
  </w:style>
  <w:style w:type="paragraph" w:styleId="Heading2">
    <w:name w:val="heading 2"/>
    <w:basedOn w:val="Normal"/>
    <w:next w:val="Normal"/>
    <w:uiPriority w:val="99"/>
    <w:pPr>
      <w:keepNext/>
      <w:jc w:val="left"/>
      <w:outlineLvl w:val="1"/>
    </w:pPr>
    <w:rPr>
      <w:b/>
      <w:bCs/>
    </w:rPr>
  </w:style>
  <w:style w:type="paragraph" w:styleId="Heading4">
    <w:name w:val="heading 4"/>
    <w:basedOn w:val="Normal"/>
    <w:next w:val="Normal"/>
    <w:uiPriority w:val="99"/>
    <w:pPr>
      <w:keepNext/>
      <w:autoSpaceDE w:val="0"/>
      <w:autoSpaceDN w:val="0"/>
      <w:jc w:val="both"/>
      <w:outlineLvl w:val="3"/>
    </w:pPr>
    <w:rPr>
      <w:b/>
      <w:bCs/>
    </w:rPr>
  </w:style>
  <w:style w:type="character" w:default="1" w:styleId="DefaultParagraphFont">
    <w:name w:val="Default Paragraph Font"/>
    <w:uiPriority w:val="99"/>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odyText2">
    <w:name w:val="Body Text 2"/>
    <w:basedOn w:val="Normal"/>
    <w:uiPriority w:val="99"/>
    <w:pPr>
      <w:jc w:val="both"/>
    </w:pPr>
    <w:rPr>
      <w:color w:val="0000FF"/>
    </w:rPr>
  </w:style>
  <w:style w:type="paragraph" w:styleId="BodyText">
    <w:name w:val="Body Text"/>
    <w:basedOn w:val="Normal"/>
    <w:uiPriority w:val="99"/>
    <w:pPr>
      <w:jc w:val="both"/>
    </w:pPr>
  </w:style>
  <w:style w:type="paragraph" w:styleId="Title">
    <w:name w:val="Title"/>
    <w:basedOn w:val="Normal"/>
    <w:uiPriority w:val="99"/>
    <w:pPr>
      <w:jc w:val="center"/>
    </w:pPr>
    <w:rPr>
      <w:sz w:val="28"/>
      <w:szCs w:val="28"/>
      <w:lang w:eastAsia="sk-SK"/>
    </w:rPr>
  </w:style>
  <w:style w:type="paragraph" w:styleId="BodyTextIndent2">
    <w:name w:val="Body Text Indent 2"/>
    <w:basedOn w:val="Normal"/>
    <w:uiPriority w:val="99"/>
    <w:pPr>
      <w:ind w:firstLine="284"/>
      <w:jc w:val="both"/>
    </w:pPr>
  </w:style>
  <w:style w:type="paragraph" w:styleId="Footer">
    <w:name w:val="footer"/>
    <w:basedOn w:val="Normal"/>
    <w:uiPriority w:val="99"/>
    <w:pPr>
      <w:tabs>
        <w:tab w:val="center" w:pos="4536"/>
        <w:tab w:val="right" w:pos="9072"/>
      </w:tabs>
      <w:jc w:val="left"/>
    </w:pPr>
  </w:style>
  <w:style w:type="character" w:styleId="PageNumber">
    <w:name w:val="page number"/>
    <w:basedOn w:val="DefaultParagraphFont"/>
    <w:uiPriority w:val="99"/>
    <w:rPr>
      <w:rFonts w:ascii="Times New Roman" w:hAnsi="Times New Roman" w:cs="Times New Roman"/>
      <w:rtl w:val="0"/>
      <w:cs w:val="0"/>
    </w:rPr>
  </w:style>
  <w:style w:type="character" w:styleId="Strong">
    <w:name w:val="Strong"/>
    <w:basedOn w:val="DefaultParagraphFont"/>
    <w:uiPriority w:val="99"/>
    <w:rPr>
      <w:rFonts w:ascii="Times New Roman" w:hAnsi="Times New Roman" w:cs="Times New Roman"/>
      <w:b/>
      <w:bCs/>
      <w:rtl w:val="0"/>
      <w:cs w:val="0"/>
    </w:rPr>
  </w:style>
  <w:style w:type="paragraph" w:styleId="Header">
    <w:name w:val="header"/>
    <w:basedOn w:val="Normal"/>
    <w:uiPriority w:val="99"/>
    <w:pPr>
      <w:tabs>
        <w:tab w:val="center" w:pos="4536"/>
        <w:tab w:val="right" w:pos="9072"/>
      </w:tabs>
      <w:jc w:val="both"/>
    </w:pPr>
    <w:rPr>
      <w:lang w:eastAsia="sk-SK"/>
    </w:rPr>
  </w:style>
  <w:style w:type="table" w:styleId="TableGrid">
    <w:name w:val="Table Grid"/>
    <w:basedOn w:val="TableNormal"/>
    <w:uiPriority w:val="99"/>
    <w:rsid w:val="000D3C1C"/>
    <w:rPr>
      <w:noProof w:val="0"/>
      <w:lang w:val="sk-SK" w:eastAsia="sk-SK"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TotalTime>
  <Pages>11</Pages>
  <Words>4918</Words>
  <Characters>28038</Characters>
  <Application>Microsoft Office Word</Application>
  <DocSecurity>0</DocSecurity>
  <Lines>0</Lines>
  <Paragraphs>0</Paragraphs>
  <ScaleCrop>false</ScaleCrop>
  <Company>mdpt</Company>
  <LinksUpToDate>false</LinksUpToDate>
  <CharactersWithSpaces>32891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Csobokova</dc:creator>
  <cp:lastModifiedBy>taboryjurkova</cp:lastModifiedBy>
  <cp:revision>5</cp:revision>
  <dcterms:created xsi:type="dcterms:W3CDTF">2009-01-14T14:56:00Z</dcterms:created>
  <dcterms:modified xsi:type="dcterms:W3CDTF">2009-03-27T11:45:00Z</dcterms:modified>
</cp:coreProperties>
</file>