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6402"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719"/>
        <w:gridCol w:w="721"/>
        <w:gridCol w:w="2703"/>
        <w:gridCol w:w="897"/>
        <w:gridCol w:w="1620"/>
        <w:gridCol w:w="1322"/>
        <w:gridCol w:w="3721"/>
        <w:gridCol w:w="779"/>
        <w:gridCol w:w="720"/>
        <w:gridCol w:w="1800"/>
        <w:gridCol w:w="1400"/>
      </w:tblGrid>
      <w:tr>
        <w:tblPrEx>
          <w:tblW w:w="16402"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hRule="auto" w:val="0"/>
          <w:jc w:val="center"/>
        </w:trPr>
        <w:tc>
          <w:tcPr>
            <w:tcW w:w="16402" w:type="dxa"/>
            <w:gridSpan w:val="11"/>
            <w:tcBorders>
              <w:top w:val="single" w:sz="12" w:space="0" w:color="auto"/>
              <w:left w:val="single" w:sz="12" w:space="0" w:color="auto"/>
              <w:bottom w:val="single" w:sz="4" w:space="0" w:color="auto"/>
              <w:right w:val="single" w:sz="12" w:space="0" w:color="auto"/>
              <w:tl2br w:val="nil"/>
              <w:tr2bl w:val="nil"/>
            </w:tcBorders>
            <w:textDirection w:val="lrTb"/>
            <w:vAlign w:val="top"/>
          </w:tcPr>
          <w:p>
            <w:pPr>
              <w:pStyle w:val="Heading1"/>
              <w:rPr>
                <w:rFonts w:ascii="Times New Roman" w:hAnsi="Times New Roman" w:cs="Times New Roman"/>
                <w:sz w:val="20"/>
                <w:szCs w:val="20"/>
              </w:rPr>
            </w:pPr>
            <w:r>
              <w:rPr>
                <w:rFonts w:ascii="Times New Roman" w:hAnsi="Times New Roman" w:cs="Times New Roman"/>
                <w:sz w:val="20"/>
                <w:szCs w:val="20"/>
              </w:rPr>
              <w:t>TABUĽKA  ZHODY</w:t>
            </w:r>
            <w:r>
              <w:rPr>
                <w:rStyle w:val="FootnoteReference"/>
                <w:rFonts w:ascii="Times New Roman" w:hAnsi="Times New Roman" w:cs="Times New Roman"/>
                <w:sz w:val="20"/>
                <w:szCs w:val="20"/>
                <w:rtl w:val="0"/>
              </w:rPr>
              <w:footnoteReference w:id="2"/>
            </w:r>
          </w:p>
          <w:p>
            <w:pPr>
              <w:pStyle w:val="Heading1"/>
              <w:rPr>
                <w:rFonts w:ascii="Times New Roman" w:hAnsi="Times New Roman" w:cs="Times New Roman"/>
                <w:b w:val="0"/>
                <w:bCs w:val="0"/>
                <w:sz w:val="20"/>
                <w:szCs w:val="20"/>
              </w:rPr>
            </w:pPr>
            <w:r>
              <w:rPr>
                <w:rFonts w:ascii="Times New Roman" w:hAnsi="Times New Roman" w:cs="Times New Roman"/>
                <w:sz w:val="20"/>
                <w:szCs w:val="20"/>
              </w:rPr>
              <w:t>smernice ES/EÚ s ustanoveniami všetkých všeobecne záväzných právnych predpisov, ktoré danú smernicu preberajú</w:t>
            </w:r>
          </w:p>
        </w:tc>
      </w:tr>
      <w:tr>
        <w:tblPrEx>
          <w:tblW w:w="16402" w:type="dxa"/>
          <w:jc w:val="center"/>
          <w:tblLayout w:type="fixed"/>
          <w:tblCellMar>
            <w:left w:w="43" w:type="dxa"/>
            <w:right w:w="43" w:type="dxa"/>
          </w:tblCellMar>
        </w:tblPrEx>
        <w:trPr>
          <w:cantSplit/>
          <w:trHeight w:val="567"/>
          <w:jc w:val="center"/>
        </w:trPr>
        <w:tc>
          <w:tcPr>
            <w:tcW w:w="1440" w:type="dxa"/>
            <w:gridSpan w:val="2"/>
            <w:tcBorders>
              <w:top w:val="single" w:sz="4" w:space="0" w:color="auto"/>
              <w:left w:val="single" w:sz="12" w:space="0" w:color="auto"/>
              <w:bottom w:val="single" w:sz="4" w:space="0" w:color="auto"/>
              <w:right w:val="nil"/>
              <w:tl2br w:val="nil"/>
              <w:tr2bl w:val="nil"/>
            </w:tcBorders>
            <w:textDirection w:val="lrTb"/>
            <w:vAlign w:val="top"/>
          </w:tcPr>
          <w:p>
            <w:pPr>
              <w:pStyle w:val="Heading4"/>
              <w:jc w:val="both"/>
              <w:rPr>
                <w:rFonts w:ascii="Times New Roman" w:hAnsi="Times New Roman" w:cs="Times New Roman"/>
                <w:sz w:val="20"/>
                <w:szCs w:val="20"/>
              </w:rPr>
            </w:pPr>
            <w:r>
              <w:rPr>
                <w:rFonts w:ascii="Times New Roman" w:hAnsi="Times New Roman" w:cs="Times New Roman"/>
                <w:sz w:val="20"/>
                <w:szCs w:val="20"/>
              </w:rPr>
              <w:t>Názov smernice:</w:t>
            </w:r>
          </w:p>
        </w:tc>
        <w:tc>
          <w:tcPr>
            <w:tcW w:w="14962" w:type="dxa"/>
            <w:gridSpan w:val="9"/>
            <w:tcBorders>
              <w:top w:val="single" w:sz="4" w:space="0" w:color="auto"/>
              <w:left w:val="nil"/>
              <w:bottom w:val="single" w:sz="4" w:space="0" w:color="auto"/>
              <w:right w:val="single" w:sz="12" w:space="0" w:color="auto"/>
              <w:tl2br w:val="nil"/>
              <w:tr2bl w:val="nil"/>
            </w:tcBorders>
            <w:textDirection w:val="lrTb"/>
            <w:vAlign w:val="top"/>
          </w:tcPr>
          <w:p>
            <w:pPr>
              <w:pStyle w:val="Heading4"/>
              <w:jc w:val="both"/>
              <w:rPr>
                <w:rFonts w:ascii="Times New Roman" w:hAnsi="Times New Roman" w:cs="Times New Roman"/>
                <w:b w:val="0"/>
                <w:bCs w:val="0"/>
                <w:sz w:val="20"/>
                <w:szCs w:val="20"/>
              </w:rPr>
            </w:pPr>
            <w:r>
              <w:rPr>
                <w:rFonts w:ascii="Times New Roman" w:hAnsi="Times New Roman" w:cs="Times New Roman"/>
              </w:rPr>
              <w:t>Smernica Európskeho parlamentu a Rady 2004/8/ES z 11. februára 2004 o podpore kogenerácie založenej na dopyte po využiteľnom teple na vnútornom trhu s energiou, ktorou sa mení a dopĺňa smernica 92/42/EHS</w:t>
            </w:r>
          </w:p>
        </w:tc>
      </w:tr>
      <w:tr>
        <w:tblPrEx>
          <w:tblW w:w="16402" w:type="dxa"/>
          <w:jc w:val="center"/>
          <w:tblLayout w:type="fixed"/>
          <w:tblCellMar>
            <w:left w:w="43" w:type="dxa"/>
            <w:right w:w="43" w:type="dxa"/>
          </w:tblCellMar>
        </w:tblPrEx>
        <w:trPr>
          <w:trHeight w:val="567"/>
          <w:jc w:val="center"/>
        </w:trPr>
        <w:tc>
          <w:tcPr>
            <w:tcW w:w="5040" w:type="dxa"/>
            <w:gridSpan w:val="4"/>
            <w:tcBorders>
              <w:top w:val="single" w:sz="4" w:space="0" w:color="auto"/>
              <w:left w:val="single" w:sz="12" w:space="0" w:color="auto"/>
              <w:bottom w:val="single" w:sz="4" w:space="0" w:color="auto"/>
              <w:right w:val="single" w:sz="12" w:space="0" w:color="auto"/>
              <w:tl2br w:val="nil"/>
              <w:tr2bl w:val="nil"/>
            </w:tcBorders>
            <w:textDirection w:val="lrTb"/>
            <w:vAlign w:val="top"/>
          </w:tcPr>
          <w:p>
            <w:pPr>
              <w:pStyle w:val="Heading4"/>
              <w:rPr>
                <w:rFonts w:ascii="Times New Roman" w:hAnsi="Times New Roman" w:cs="Times New Roman"/>
                <w:sz w:val="20"/>
                <w:szCs w:val="20"/>
              </w:rPr>
            </w:pPr>
            <w:r>
              <w:rPr>
                <w:rFonts w:ascii="Times New Roman" w:hAnsi="Times New Roman" w:cs="Times New Roman"/>
                <w:sz w:val="20"/>
                <w:szCs w:val="20"/>
              </w:rPr>
              <w:t>Smernica ES/EÚ</w:t>
            </w:r>
          </w:p>
          <w:p>
            <w:pPr>
              <w:pStyle w:val="BodyText3"/>
              <w:spacing w:line="240" w:lineRule="auto"/>
              <w:rPr>
                <w:rFonts w:ascii="Times New Roman" w:hAnsi="Times New Roman" w:cs="Times New Roman"/>
                <w:sz w:val="20"/>
                <w:szCs w:val="20"/>
              </w:rPr>
            </w:pPr>
          </w:p>
        </w:tc>
        <w:tc>
          <w:tcPr>
            <w:tcW w:w="11362" w:type="dxa"/>
            <w:gridSpan w:val="7"/>
            <w:tcBorders>
              <w:top w:val="single" w:sz="4" w:space="0" w:color="auto"/>
              <w:left w:val="nil"/>
              <w:bottom w:val="single" w:sz="4" w:space="0" w:color="auto"/>
              <w:right w:val="single" w:sz="12" w:space="0" w:color="auto"/>
              <w:tl2br w:val="nil"/>
              <w:tr2bl w:val="nil"/>
            </w:tcBorders>
            <w:textDirection w:val="lrTb"/>
            <w:vAlign w:val="top"/>
          </w:tcPr>
          <w:p>
            <w:pPr>
              <w:pStyle w:val="Heading4"/>
              <w:jc w:val="both"/>
              <w:rPr>
                <w:rFonts w:ascii="Times New Roman" w:hAnsi="Times New Roman" w:cs="Times New Roman"/>
                <w:sz w:val="20"/>
                <w:szCs w:val="20"/>
              </w:rPr>
            </w:pPr>
            <w:r>
              <w:rPr>
                <w:rFonts w:ascii="Times New Roman" w:hAnsi="Times New Roman" w:cs="Times New Roman"/>
                <w:sz w:val="20"/>
                <w:szCs w:val="20"/>
              </w:rPr>
              <w:t>Všeobecne záväzné právne predpisy Slovenskej republiky</w:t>
            </w:r>
          </w:p>
          <w:p>
            <w:pPr>
              <w:pStyle w:val="Header"/>
              <w:tabs>
                <w:tab w:val="left" w:pos="709"/>
              </w:tabs>
              <w:jc w:val="both"/>
              <w:rPr>
                <w:rFonts w:ascii="Times New Roman" w:hAnsi="Times New Roman" w:cs="Times New Roman"/>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4</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rPr>
                <w:rFonts w:ascii="Times New Roman" w:hAnsi="Times New Roman" w:cs="Times New Roman"/>
              </w:rPr>
            </w:pPr>
            <w:r>
              <w:rPr>
                <w:rFonts w:ascii="Times New Roman" w:hAnsi="Times New Roman" w:cs="Times New Roman"/>
              </w:rPr>
              <w:t>5</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jc w:val="both"/>
              <w:rPr>
                <w:rFonts w:ascii="Times New Roman" w:hAnsi="Times New Roman" w:cs="Times New Roman"/>
              </w:rPr>
            </w:pPr>
            <w:r>
              <w:rPr>
                <w:rFonts w:ascii="Times New Roman" w:hAnsi="Times New Roman" w:cs="Times New Roman"/>
              </w:rPr>
              <w:t>6</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9</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10</w:t>
            </w: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Článok</w:t>
            </w:r>
          </w:p>
          <w:p>
            <w:pPr>
              <w:pStyle w:val="Normlny"/>
              <w:rPr>
                <w:rFonts w:ascii="Times New Roman" w:hAnsi="Times New Roman" w:cs="Times New Roman"/>
              </w:rPr>
            </w:pPr>
            <w:r>
              <w:rPr>
                <w:rFonts w:ascii="Times New Roman" w:hAnsi="Times New Roman" w:cs="Times New Roman"/>
              </w:rPr>
              <w:t>(Č, O,</w:t>
            </w:r>
          </w:p>
          <w:p>
            <w:pPr>
              <w:pStyle w:val="Normlny"/>
              <w:rPr>
                <w:rFonts w:ascii="Times New Roman" w:hAnsi="Times New Roman" w:cs="Times New Roman"/>
              </w:rPr>
            </w:pPr>
            <w:r>
              <w:rPr>
                <w:rFonts w:ascii="Times New Roman" w:hAnsi="Times New Roman" w:cs="Times New Roman"/>
              </w:rPr>
              <w:t>V, P)</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Text</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Spôsob transp.</w:t>
            </w:r>
          </w:p>
          <w:p>
            <w:pPr>
              <w:pStyle w:val="Normlny"/>
              <w:jc w:val="center"/>
              <w:rPr>
                <w:rFonts w:ascii="Times New Roman" w:hAnsi="Times New Roman" w:cs="Times New Roman"/>
              </w:rPr>
            </w:pPr>
            <w:r>
              <w:rPr>
                <w:rFonts w:ascii="Times New Roman" w:hAnsi="Times New Roman" w:cs="Times New Roman"/>
              </w:rPr>
              <w:t>(N, O, D, 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Číslo predpis</w:t>
            </w:r>
            <w:r>
              <w:rPr>
                <w:rFonts w:ascii="Times New Roman" w:hAnsi="Times New Roman" w:cs="Times New Roman"/>
              </w:rPr>
              <w:t>u</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Článok (Č, §, O, V, P)</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Text</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Zhoda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Admin. infraštr.</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Poznámky</w:t>
            </w:r>
          </w:p>
          <w:p>
            <w:pPr>
              <w:pStyle w:val="Normlny"/>
              <w:rPr>
                <w:rFonts w:ascii="Times New Roman" w:hAnsi="Times New Roman" w:cs="Times New Roman"/>
              </w:rPr>
            </w:pPr>
            <w:r>
              <w:rPr>
                <w:rFonts w:ascii="Times New Roman" w:hAnsi="Times New Roman" w:cs="Times New Roman"/>
              </w:rPr>
              <w:t>(pri návrhu predpisu – predpokladaný dátum účinnosti**)</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Štádium legislatívneho procesu</w:t>
            </w: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Účel</w:t>
            </w:r>
          </w:p>
          <w:p>
            <w:pPr>
              <w:pStyle w:val="Normlny"/>
              <w:jc w:val="both"/>
              <w:rPr>
                <w:rFonts w:ascii="Times New Roman" w:hAnsi="Times New Roman" w:cs="Times New Roman"/>
              </w:rPr>
            </w:pPr>
            <w:r>
              <w:rPr>
                <w:rFonts w:ascii="Times New Roman" w:hAnsi="Times New Roman" w:cs="Times New Roman"/>
              </w:rPr>
              <w:t>Účelom tejto smernice je zvýšiť energetickú účinnosť a zlepšiť bezpečnosť dodávky vytvorením rámca na podporu a rozvoj vysoko účinnej kombinovanej výroby tepla a elektriny založenej na dopyte po využiteľnom teple a úsporách primárnej energie na vnútornom trhu s energiou pri zohľadnení osobitných národných okolností týkajúcich sa najmä klimatických a h</w:t>
            </w:r>
            <w:r>
              <w:rPr>
                <w:rFonts w:ascii="Times New Roman" w:hAnsi="Times New Roman" w:cs="Times New Roman"/>
              </w:rPr>
              <w:t>ospodárskych podmienok.</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FF0000"/>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lang w:eastAsia="sk-SK"/>
              </w:rPr>
            </w:pPr>
            <w:r>
              <w:rPr>
                <w:rFonts w:ascii="Times New Roman" w:hAnsi="Times New Roman" w:cs="Times New Roman"/>
                <w:lang w:eastAsia="sk-SK"/>
              </w:rPr>
              <w:t>§: 1</w:t>
            </w:r>
          </w:p>
          <w:p>
            <w:pPr>
              <w:pStyle w:val="Normlny"/>
              <w:jc w:val="center"/>
              <w:rPr>
                <w:rFonts w:ascii="Times New Roman" w:hAnsi="Times New Roman" w:cs="Times New Roman"/>
                <w:color w:val="FF0000"/>
                <w:lang w:eastAsia="sk-SK"/>
              </w:rPr>
            </w:pPr>
            <w:r>
              <w:rPr>
                <w:rFonts w:ascii="Times New Roman" w:hAnsi="Times New Roman" w:cs="Times New Roman"/>
                <w:lang w:eastAsia="sk-SK"/>
              </w:rPr>
              <w:t>P: a)</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autoSpaceDE/>
              <w:autoSpaceDN/>
              <w:jc w:val="both"/>
              <w:rPr>
                <w:rFonts w:ascii="Times New Roman" w:hAnsi="Times New Roman" w:cs="Times New Roman"/>
                <w:sz w:val="20"/>
                <w:szCs w:val="20"/>
              </w:rPr>
            </w:pPr>
            <w:r>
              <w:rPr>
                <w:rFonts w:ascii="Times New Roman" w:hAnsi="Times New Roman" w:cs="Times New Roman"/>
                <w:sz w:val="20"/>
                <w:szCs w:val="20"/>
              </w:rPr>
              <w:t xml:space="preserve">Tento zákon ustanovuje </w:t>
            </w:r>
          </w:p>
          <w:p>
            <w:pPr>
              <w:autoSpaceDE/>
              <w:autoSpaceDN/>
              <w:jc w:val="both"/>
              <w:rPr>
                <w:rFonts w:ascii="Times New Roman" w:hAnsi="Times New Roman" w:cs="Times New Roman"/>
                <w:sz w:val="20"/>
                <w:szCs w:val="20"/>
              </w:rPr>
            </w:pPr>
            <w:r>
              <w:rPr>
                <w:rFonts w:ascii="Times New Roman" w:hAnsi="Times New Roman" w:cs="Times New Roman"/>
                <w:sz w:val="20"/>
                <w:szCs w:val="20"/>
              </w:rPr>
              <w:t>a) spôsob podpory a podmienky výroby</w:t>
            </w:r>
          </w:p>
          <w:p>
            <w:pPr>
              <w:pStyle w:val="BodyTextIndent"/>
              <w:jc w:val="both"/>
              <w:rPr>
                <w:rFonts w:ascii="Times New Roman" w:hAnsi="Times New Roman" w:cs="Times New Roman"/>
                <w:color w:val="FF0000"/>
              </w:rPr>
            </w:pPr>
            <w:r>
              <w:rPr>
                <w:rFonts w:ascii="Times New Roman" w:hAnsi="Times New Roman" w:cs="Times New Roman"/>
              </w:rPr>
              <w:t>2. elektriny vysoko účinnou kombinovanou výrobou,</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Rozsah pôsobnosti</w:t>
            </w:r>
          </w:p>
          <w:p>
            <w:pPr>
              <w:pStyle w:val="Normlny"/>
              <w:jc w:val="both"/>
              <w:rPr>
                <w:rFonts w:ascii="Times New Roman" w:hAnsi="Times New Roman" w:cs="Times New Roman"/>
              </w:rPr>
            </w:pPr>
            <w:r>
              <w:rPr>
                <w:rFonts w:ascii="Times New Roman" w:hAnsi="Times New Roman" w:cs="Times New Roman"/>
              </w:rPr>
              <w:t>Táto smernica sa vzťahuje na kogeneráciu definovanú v článku 3 a kogeneračné technológie uvedené v prílohe I.</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lang w:eastAsia="sk-SK"/>
              </w:rPr>
            </w:pPr>
            <w:r>
              <w:rPr>
                <w:rFonts w:ascii="Times New Roman" w:hAnsi="Times New Roman" w:cs="Times New Roman"/>
                <w:lang w:eastAsia="sk-SK"/>
              </w:rPr>
              <w:t>§: 1</w:t>
            </w:r>
          </w:p>
          <w:p>
            <w:pPr>
              <w:pStyle w:val="Normlny"/>
              <w:jc w:val="center"/>
              <w:rPr>
                <w:rFonts w:ascii="Times New Roman" w:hAnsi="Times New Roman" w:cs="Times New Roman"/>
                <w:lang w:eastAsia="sk-SK"/>
              </w:rPr>
            </w:pPr>
            <w:r>
              <w:rPr>
                <w:rFonts w:ascii="Times New Roman" w:hAnsi="Times New Roman" w:cs="Times New Roman"/>
                <w:lang w:eastAsia="sk-SK"/>
              </w:rPr>
              <w:t>P: a)</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autoSpaceDE/>
              <w:autoSpaceDN/>
              <w:jc w:val="both"/>
              <w:rPr>
                <w:rFonts w:ascii="Times New Roman" w:hAnsi="Times New Roman" w:cs="Times New Roman"/>
                <w:sz w:val="20"/>
                <w:szCs w:val="20"/>
              </w:rPr>
            </w:pPr>
            <w:r>
              <w:rPr>
                <w:rFonts w:ascii="Times New Roman" w:hAnsi="Times New Roman" w:cs="Times New Roman"/>
                <w:sz w:val="20"/>
                <w:szCs w:val="20"/>
              </w:rPr>
              <w:t xml:space="preserve">Tento zákon ustanovuje </w:t>
            </w:r>
          </w:p>
          <w:p>
            <w:pPr>
              <w:autoSpaceDE/>
              <w:autoSpaceDN/>
              <w:jc w:val="both"/>
              <w:rPr>
                <w:rFonts w:ascii="Times New Roman" w:hAnsi="Times New Roman" w:cs="Times New Roman"/>
                <w:sz w:val="20"/>
                <w:szCs w:val="20"/>
              </w:rPr>
            </w:pPr>
            <w:r>
              <w:rPr>
                <w:rFonts w:ascii="Times New Roman" w:hAnsi="Times New Roman" w:cs="Times New Roman"/>
                <w:sz w:val="20"/>
                <w:szCs w:val="20"/>
              </w:rPr>
              <w:t>a) spôsob podpory a podmienky výroby</w:t>
            </w:r>
          </w:p>
          <w:p>
            <w:pPr>
              <w:autoSpaceDE/>
              <w:autoSpaceDN/>
              <w:ind w:left="168"/>
              <w:jc w:val="both"/>
              <w:rPr>
                <w:rFonts w:ascii="Times New Roman" w:hAnsi="Times New Roman" w:cs="Times New Roman"/>
                <w:sz w:val="20"/>
                <w:szCs w:val="20"/>
              </w:rPr>
            </w:pPr>
            <w:r>
              <w:rPr>
                <w:rFonts w:ascii="Times New Roman" w:hAnsi="Times New Roman" w:cs="Times New Roman"/>
                <w:sz w:val="20"/>
                <w:szCs w:val="20"/>
              </w:rPr>
              <w:t>2. elektriny vysoko účinnou kombinovanou výrobou,</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Definície</w:t>
            </w:r>
          </w:p>
          <w:p>
            <w:pPr>
              <w:pStyle w:val="Normlny"/>
              <w:jc w:val="both"/>
              <w:rPr>
                <w:rFonts w:ascii="Times New Roman" w:hAnsi="Times New Roman" w:cs="Times New Roman"/>
              </w:rPr>
            </w:pPr>
            <w:r>
              <w:rPr>
                <w:rFonts w:ascii="Times New Roman" w:hAnsi="Times New Roman" w:cs="Times New Roman"/>
              </w:rPr>
              <w:t>Na účel tejto smernice platia nasledujúce definície:</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color w:val="FF6600"/>
                <w:sz w:val="20"/>
                <w:szCs w:val="20"/>
              </w:rPr>
            </w:pP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pStyle w:val="BodyTextIndent"/>
              <w:jc w:val="both"/>
              <w:rPr>
                <w:rFonts w:ascii="Times New Roman" w:hAnsi="Times New Roman" w:cs="Times New Roman"/>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P:a</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„kogenerácia“ je súčasne prebiehajúca výroba tepelnej energie a elektrickej a/alebo mechanickej energie v jednom procese;</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 2</w:t>
              <w:br/>
              <w:t xml:space="preserve">P: b) </w:t>
            </w:r>
          </w:p>
        </w:tc>
        <w:tc>
          <w:tcPr>
            <w:tcW w:w="3721" w:type="dxa"/>
            <w:tcBorders>
              <w:top w:val="nil"/>
              <w:left w:val="single" w:sz="4" w:space="0" w:color="auto"/>
              <w:bottom w:val="nil"/>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b) kombinovanou výrobou technologický proces, pri ktorom súčasne prebieha výroba</w:t>
            </w:r>
          </w:p>
          <w:p>
            <w:pPr>
              <w:pStyle w:val="Normlny"/>
              <w:rPr>
                <w:rFonts w:ascii="Times New Roman" w:hAnsi="Times New Roman" w:cs="Times New Roman"/>
              </w:rPr>
            </w:pPr>
            <w:r>
              <w:rPr>
                <w:rFonts w:ascii="Times New Roman" w:hAnsi="Times New Roman" w:cs="Times New Roman"/>
              </w:rPr>
              <w:t xml:space="preserve"> 1.elektri</w:t>
            </w:r>
            <w:r>
              <w:rPr>
                <w:rFonts w:ascii="Times New Roman" w:hAnsi="Times New Roman" w:cs="Times New Roman"/>
              </w:rPr>
              <w:t xml:space="preserve">ny a tepla, </w:t>
            </w:r>
          </w:p>
          <w:p>
            <w:pPr>
              <w:pStyle w:val="Normlny"/>
              <w:rPr>
                <w:rFonts w:ascii="Times New Roman" w:hAnsi="Times New Roman" w:cs="Times New Roman"/>
              </w:rPr>
            </w:pPr>
            <w:r>
              <w:rPr>
                <w:rFonts w:ascii="Times New Roman" w:hAnsi="Times New Roman" w:cs="Times New Roman"/>
              </w:rPr>
              <w:t xml:space="preserve"> 2. mechanickej energie a tepla,</w:t>
            </w:r>
          </w:p>
          <w:p>
            <w:pPr>
              <w:pStyle w:val="Normlny"/>
              <w:rPr>
                <w:rFonts w:ascii="Times New Roman" w:hAnsi="Times New Roman" w:cs="Times New Roman"/>
              </w:rPr>
            </w:pPr>
            <w:r>
              <w:rPr>
                <w:rFonts w:ascii="Times New Roman" w:hAnsi="Times New Roman" w:cs="Times New Roman"/>
              </w:rPr>
              <w:t xml:space="preserve"> 3. mechanickej energie, tepla a elektriny,</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P:b</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xml:space="preserve">"využiteľné teplo" je teplo vyrobené v kogeneračnom procese určené </w:t>
            </w:r>
          </w:p>
          <w:p>
            <w:pPr>
              <w:pStyle w:val="Normlny"/>
              <w:jc w:val="both"/>
              <w:rPr>
                <w:rFonts w:ascii="Times New Roman" w:hAnsi="Times New Roman" w:cs="Times New Roman"/>
              </w:rPr>
            </w:pPr>
            <w:r>
              <w:rPr>
                <w:rFonts w:ascii="Times New Roman" w:hAnsi="Times New Roman" w:cs="Times New Roman"/>
              </w:rPr>
              <w:t>na uspokojenie ekonomicky zdôvodneného dopytu po teple alebo chladení;</w:t>
            </w:r>
          </w:p>
        </w:tc>
        <w:tc>
          <w:tcPr>
            <w:tcW w:w="897" w:type="dxa"/>
            <w:tcBorders>
              <w:top w:val="nil"/>
              <w:left w:val="single" w:sz="4" w:space="0" w:color="auto"/>
              <w:bottom w:val="single" w:sz="4" w:space="0" w:color="auto"/>
              <w:right w:val="single" w:sz="12"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nil"/>
              <w:left w:val="nil"/>
              <w:bottom w:val="single" w:sz="4" w:space="0" w:color="auto"/>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single" w:sz="4" w:space="0" w:color="auto"/>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P: e)</w:t>
            </w: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tabs>
                <w:tab w:val="left" w:pos="-3060"/>
                <w:tab w:val="left" w:pos="540"/>
              </w:tabs>
              <w:jc w:val="both"/>
              <w:rPr>
                <w:rFonts w:ascii="Times New Roman" w:hAnsi="Times New Roman" w:cs="Times New Roman"/>
                <w:sz w:val="20"/>
                <w:szCs w:val="20"/>
              </w:rPr>
            </w:pPr>
          </w:p>
          <w:p>
            <w:pPr>
              <w:tabs>
                <w:tab w:val="left" w:pos="-3060"/>
                <w:tab w:val="left" w:pos="540"/>
              </w:tabs>
              <w:jc w:val="both"/>
              <w:rPr>
                <w:rFonts w:ascii="Times New Roman" w:hAnsi="Times New Roman" w:cs="Times New Roman"/>
                <w:sz w:val="20"/>
                <w:szCs w:val="20"/>
              </w:rPr>
            </w:pPr>
            <w:r>
              <w:rPr>
                <w:rFonts w:ascii="Times New Roman" w:hAnsi="Times New Roman" w:cs="Times New Roman"/>
                <w:sz w:val="20"/>
                <w:szCs w:val="20"/>
              </w:rPr>
              <w:t>e) využiteľným teplom teplo vyrobené v procese kombinovanej výroby určené na uspokojenie ekonomicky zdôvodneného dopytu po teple alebo po chlade,</w:t>
            </w: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P:c</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"ekonomicky zdôvodnený dopyt" je dopyt, ktorý neprekračuje potreby tepla alebo chladenia, ktorý by bol v opačnom prípade uspokojený za trhových podmienok inými procesmi výroby energie než je kogenerácia;</w:t>
            </w:r>
          </w:p>
        </w:tc>
        <w:tc>
          <w:tcPr>
            <w:tcW w:w="897" w:type="dxa"/>
            <w:tcBorders>
              <w:top w:val="single" w:sz="4" w:space="0" w:color="auto"/>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single" w:sz="4" w:space="0" w:color="auto"/>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single" w:sz="4" w:space="0" w:color="auto"/>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 xml:space="preserve">O: 2 </w:t>
            </w:r>
          </w:p>
          <w:p>
            <w:pPr>
              <w:pStyle w:val="Normlny"/>
              <w:jc w:val="center"/>
              <w:rPr>
                <w:rFonts w:ascii="Times New Roman" w:hAnsi="Times New Roman" w:cs="Times New Roman"/>
              </w:rPr>
            </w:pPr>
            <w:r>
              <w:rPr>
                <w:rFonts w:ascii="Times New Roman" w:hAnsi="Times New Roman" w:cs="Times New Roman"/>
              </w:rPr>
              <w:t>P: f)</w:t>
            </w: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tabs>
                <w:tab w:val="left" w:pos="-3060"/>
                <w:tab w:val="left" w:pos="540"/>
              </w:tabs>
              <w:jc w:val="both"/>
              <w:rPr>
                <w:rFonts w:ascii="Times New Roman" w:hAnsi="Times New Roman" w:cs="Times New Roman"/>
                <w:sz w:val="20"/>
                <w:szCs w:val="20"/>
              </w:rPr>
            </w:pPr>
            <w:r>
              <w:rPr>
                <w:rFonts w:ascii="Times New Roman" w:hAnsi="Times New Roman" w:cs="Times New Roman"/>
                <w:sz w:val="20"/>
                <w:szCs w:val="20"/>
              </w:rPr>
              <w:t>f) ekonomicky zdôvodneným dopytom dopyt, ktorý neprekračuje potreby tepla alebo chladu a ktorý by bol uspokojený za podmienok hospodárskej súťaže inými procesmi ako je kombinovaná výroba,</w:t>
            </w: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P:d</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"elektrina vyrobená kogeneráciou" je elektrina, ktorá bola vyrobená v procese spojenom s výrobou využiteľného tepla, a ktorej množstvo sa počíta v súlade s met</w:t>
            </w:r>
            <w:r>
              <w:rPr>
                <w:rFonts w:ascii="Times New Roman" w:hAnsi="Times New Roman" w:cs="Times New Roman"/>
              </w:rPr>
              <w:t>odikou ustanovenou v prílohe II;</w:t>
            </w:r>
          </w:p>
        </w:tc>
        <w:tc>
          <w:tcPr>
            <w:tcW w:w="897" w:type="dxa"/>
            <w:tcBorders>
              <w:top w:val="nil"/>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xml:space="preserve">§: 2 </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P: c)</w:t>
            </w:r>
          </w:p>
          <w:p>
            <w:pPr>
              <w:pStyle w:val="Normlny"/>
              <w:jc w:val="center"/>
              <w:rPr>
                <w:rFonts w:ascii="Times New Roman" w:hAnsi="Times New Roman" w:cs="Times New Roman"/>
                <w:color w:val="FF0000"/>
              </w:rPr>
            </w:pPr>
          </w:p>
        </w:tc>
        <w:tc>
          <w:tcPr>
            <w:tcW w:w="3721" w:type="dxa"/>
            <w:tcBorders>
              <w:top w:val="nil"/>
              <w:left w:val="single" w:sz="4" w:space="0" w:color="auto"/>
              <w:bottom w:val="nil"/>
              <w:right w:val="single" w:sz="4" w:space="0" w:color="auto"/>
              <w:tl2br w:val="nil"/>
              <w:tr2bl w:val="nil"/>
            </w:tcBorders>
            <w:textDirection w:val="lrTb"/>
            <w:vAlign w:val="top"/>
          </w:tcPr>
          <w:p>
            <w:pPr>
              <w:tabs>
                <w:tab w:val="left" w:pos="-3060"/>
                <w:tab w:val="left" w:pos="540"/>
              </w:tabs>
              <w:jc w:val="both"/>
              <w:rPr>
                <w:rFonts w:ascii="Times New Roman" w:hAnsi="Times New Roman" w:cs="Times New Roman"/>
                <w:sz w:val="20"/>
                <w:szCs w:val="20"/>
              </w:rPr>
            </w:pPr>
            <w:r>
              <w:rPr>
                <w:rFonts w:ascii="Times New Roman" w:hAnsi="Times New Roman" w:cs="Times New Roman"/>
                <w:sz w:val="20"/>
                <w:szCs w:val="20"/>
              </w:rPr>
              <w:t xml:space="preserve">c) elektrinou vyrobenou kombinovanou výrobou elektrina vyrobená </w:t>
            </w:r>
            <w:r>
              <w:rPr>
                <w:rFonts w:ascii="Times New Roman" w:hAnsi="Times New Roman" w:cs="Times New Roman"/>
                <w:sz w:val="20"/>
              </w:rPr>
              <w:t>v procese kombinovanej výroby v  zariadení na kombinovanú výrobu,</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nil"/>
              <w:left w:val="single" w:sz="4" w:space="0" w:color="auto"/>
              <w:bottom w:val="nil"/>
              <w:right w:val="single" w:sz="4" w:space="0" w:color="auto"/>
              <w:tl2br w:val="nil"/>
              <w:tr2bl w:val="nil"/>
            </w:tcBorders>
            <w:textDirection w:val="lrTb"/>
            <w:vAlign w:val="top"/>
          </w:tcPr>
          <w:p>
            <w:pPr>
              <w:rPr>
                <w:rFonts w:ascii="Times New Roman" w:hAnsi="Times New Roman" w:cs="Times New Roman"/>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1581"/>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P:e</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"záložná elektrina" je elektrina dodávaná prostredníctvom elektrickej siete vždy, keď sa kogeneračný proces preruší, vrátane období údržby, alebo keď v ňom príde k poruche;</w:t>
            </w:r>
          </w:p>
        </w:tc>
        <w:tc>
          <w:tcPr>
            <w:tcW w:w="897" w:type="dxa"/>
            <w:tcBorders>
              <w:top w:val="nil"/>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Zákon č. 656/2004 Z. z.</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2 </w:t>
              <w:br/>
              <w:t>P: b)</w:t>
            </w:r>
          </w:p>
          <w:p>
            <w:pPr>
              <w:pStyle w:val="Normlny"/>
              <w:jc w:val="center"/>
              <w:rPr>
                <w:rFonts w:ascii="Times New Roman" w:hAnsi="Times New Roman" w:cs="Times New Roman"/>
              </w:rPr>
            </w:pPr>
            <w:r>
              <w:rPr>
                <w:rFonts w:ascii="Times New Roman" w:hAnsi="Times New Roman" w:cs="Times New Roman"/>
              </w:rPr>
              <w:t>B: 28.</w:t>
            </w:r>
          </w:p>
        </w:tc>
        <w:tc>
          <w:tcPr>
            <w:tcW w:w="3721" w:type="dxa"/>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color w:val="000000"/>
              </w:rPr>
            </w:pPr>
            <w:r>
              <w:rPr>
                <w:rFonts w:ascii="Times New Roman" w:hAnsi="Times New Roman" w:cs="Times New Roman"/>
                <w:color w:val="000000"/>
              </w:rPr>
              <w:t xml:space="preserve">regulačnou elektrinou elektrina obstaraná v reálnom čase prevádzkovateľom prenosovej sústavy na zabezpečenie rovnováhy spotreby a výroby na trhu s elektrinou na vymedzenom území s ohľadom na dovoz a vývoz elektriny, </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V podmienkach</w:t>
            </w:r>
          </w:p>
          <w:p>
            <w:pPr>
              <w:rPr>
                <w:rFonts w:ascii="Times New Roman" w:hAnsi="Times New Roman" w:cs="Times New Roman"/>
              </w:rPr>
            </w:pPr>
            <w:r>
              <w:rPr>
                <w:rFonts w:ascii="Times New Roman" w:hAnsi="Times New Roman" w:cs="Times New Roman"/>
                <w:sz w:val="20"/>
                <w:szCs w:val="20"/>
              </w:rPr>
              <w:t>prevádzky sústavy SR aj záložná aj špičková elektrina podľa definície smernice je regulačnou elektrinou</w:t>
            </w: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P:f</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"špičková elektrina" je elektrina dodávaná prostredníctvom elektrickej siete v prípadoch, keď je dopyt po elektrine vyšší než množstvo elektriny vyrobené v kogeneračnom procese;</w:t>
            </w:r>
          </w:p>
        </w:tc>
        <w:tc>
          <w:tcPr>
            <w:tcW w:w="897" w:type="dxa"/>
            <w:tcBorders>
              <w:top w:val="nil"/>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nil"/>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Zákon č. 656/2004 Z. z.</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2 </w:t>
              <w:br/>
              <w:t>P: b)</w:t>
            </w:r>
          </w:p>
          <w:p>
            <w:pPr>
              <w:pStyle w:val="Normlny"/>
              <w:jc w:val="center"/>
              <w:rPr>
                <w:rFonts w:ascii="Times New Roman" w:hAnsi="Times New Roman" w:cs="Times New Roman"/>
              </w:rPr>
            </w:pPr>
            <w:r>
              <w:rPr>
                <w:rFonts w:ascii="Times New Roman" w:hAnsi="Times New Roman" w:cs="Times New Roman"/>
              </w:rPr>
              <w:t>B: 28.</w:t>
            </w:r>
          </w:p>
        </w:tc>
        <w:tc>
          <w:tcPr>
            <w:tcW w:w="3721" w:type="dxa"/>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color w:val="000000"/>
              </w:rPr>
              <w:t>regulačnou elektrinou elektrina obstaraná v reálnom čase prevádzkovateľom prenosovej sústavy na zabezpečenie rovnováhy spotreby a výroby na trhu s elektrinou na vymedzenom území s ohľadom na dovoz a vývoz elektriny, ".</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Navrhnutá úprava definície zodpovedá angl. originálu textu smernice</w:t>
            </w: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P:g</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"celková účinnosť" je ročný súčet množstva vyrobenej elektrickej a mechanickej energie a vyrobeného využiteľného tepla delený množstvom paliva na vstupe použitým na výrobu tepla v kogeneračnom procese a na hrubú výrobu elektrickej a mechanickej ener</w:t>
            </w:r>
            <w:r>
              <w:rPr>
                <w:rFonts w:ascii="Times New Roman" w:hAnsi="Times New Roman" w:cs="Times New Roman"/>
              </w:rPr>
              <w:t>gie;</w:t>
            </w:r>
          </w:p>
        </w:tc>
        <w:tc>
          <w:tcPr>
            <w:tcW w:w="897" w:type="dxa"/>
            <w:tcBorders>
              <w:top w:val="nil"/>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P: l)</w:t>
            </w:r>
          </w:p>
        </w:tc>
        <w:tc>
          <w:tcPr>
            <w:tcW w:w="3721" w:type="dxa"/>
            <w:tcBorders>
              <w:top w:val="nil"/>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l) celkovou účinnosťou kombinovanej výroby ročný súčet množstva elektriny, tepla a mechanickej energie vyrobenej kombinovanou výrobou delený súčinom výhrevnosti paliva a množstva paliva spotrebovaného na ich výrobu,</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P:h</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42"/>
              </w:tabs>
              <w:jc w:val="both"/>
              <w:rPr>
                <w:rFonts w:ascii="Times New Roman" w:hAnsi="Times New Roman" w:cs="Times New Roman"/>
                <w:color w:val="auto"/>
                <w:sz w:val="20"/>
              </w:rPr>
            </w:pPr>
            <w:r>
              <w:rPr>
                <w:rFonts w:ascii="Times New Roman" w:hAnsi="Times New Roman" w:cs="Times New Roman"/>
                <w:color w:val="auto"/>
                <w:sz w:val="20"/>
              </w:rPr>
              <w:t>"účinnosť" je účinnosť vypočítaná na základe "výhrevností" palív (označovaných tiež ako "dolné výhrevnosti");</w:t>
            </w:r>
          </w:p>
          <w:p>
            <w:pPr>
              <w:shd w:val="clear" w:color="auto" w:fill="FFFFFF"/>
              <w:tabs>
                <w:tab w:val="left" w:pos="-42"/>
              </w:tabs>
              <w:jc w:val="both"/>
              <w:rPr>
                <w:rFonts w:ascii="Times New Roman" w:hAnsi="Times New Roman" w:cs="Times New Roman"/>
                <w:sz w:val="20"/>
                <w:szCs w:val="20"/>
              </w:rPr>
            </w:pPr>
          </w:p>
        </w:tc>
        <w:tc>
          <w:tcPr>
            <w:tcW w:w="897" w:type="dxa"/>
            <w:tcBorders>
              <w:top w:val="nil"/>
              <w:left w:val="single" w:sz="4" w:space="0" w:color="auto"/>
              <w:bottom w:val="single" w:sz="4" w:space="0" w:color="auto"/>
              <w:right w:val="single" w:sz="12" w:space="0" w:color="auto"/>
              <w:tl2br w:val="nil"/>
              <w:tr2bl w:val="nil"/>
            </w:tcBorders>
            <w:textDirection w:val="lrTb"/>
            <w:vAlign w:val="center"/>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sz w:val="20"/>
                <w:szCs w:val="20"/>
              </w:rPr>
              <w:t>návrh zákona</w:t>
            </w: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color w:val="FF0000"/>
              </w:rPr>
            </w:pPr>
            <w:r>
              <w:rPr>
                <w:rFonts w:ascii="Times New Roman" w:hAnsi="Times New Roman" w:cs="Times New Roman"/>
              </w:rPr>
              <w:t>P: k)</w:t>
            </w: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tabs>
                <w:tab w:val="left" w:pos="-3060"/>
                <w:tab w:val="left" w:pos="540"/>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k) </w:t>
            </w:r>
            <w:r>
              <w:rPr>
                <w:rFonts w:ascii="Times New Roman" w:hAnsi="Times New Roman" w:cs="Times New Roman"/>
                <w:sz w:val="20"/>
              </w:rPr>
              <w:t>výhrevnosťou paliva dolná výhrevnosť paliva</w:t>
            </w:r>
            <w:r>
              <w:rPr>
                <w:rFonts w:ascii="Times New Roman" w:hAnsi="Times New Roman" w:cs="Times New Roman"/>
                <w:color w:val="auto"/>
                <w:sz w:val="20"/>
                <w:szCs w:val="20"/>
              </w:rPr>
              <w:t>,</w:t>
            </w: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r>
              <w:rPr>
                <w:rFonts w:ascii="Times New Roman" w:hAnsi="Times New Roman" w:cs="Times New Roman"/>
                <w:b w:val="0"/>
                <w:bCs w:val="0"/>
                <w:sz w:val="20"/>
                <w:szCs w:val="20"/>
              </w:rPr>
              <w:t>Pri navrhnutej def. celkovej účinnosti je potrebná v zákone táto def. , aby bolo jasné, ako sa energia v palive počíta</w:t>
            </w: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P:i</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"vysoko účinná kogenerácia" je kogenerácia spĺňajúca kritériá stanovené v prílohe III;</w:t>
            </w:r>
          </w:p>
        </w:tc>
        <w:tc>
          <w:tcPr>
            <w:tcW w:w="897" w:type="dxa"/>
            <w:tcBorders>
              <w:top w:val="single" w:sz="4" w:space="0" w:color="auto"/>
              <w:left w:val="single" w:sz="4" w:space="0" w:color="auto"/>
              <w:bottom w:val="nil"/>
              <w:right w:val="single" w:sz="12" w:space="0" w:color="auto"/>
              <w:tl2br w:val="nil"/>
              <w:tr2bl w:val="nil"/>
            </w:tcBorders>
            <w:textDirection w:val="lrTb"/>
            <w:vAlign w:val="center"/>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r>
              <w:rPr>
                <w:rFonts w:ascii="Times New Roman" w:hAnsi="Times New Roman" w:cs="Times New Roman"/>
              </w:rPr>
              <w:t>P: j)</w:t>
            </w: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autoSpaceDE/>
              <w:autoSpaceDN/>
              <w:jc w:val="both"/>
              <w:rPr>
                <w:rFonts w:ascii="Times New Roman" w:hAnsi="Times New Roman" w:cs="Times New Roman"/>
                <w:sz w:val="20"/>
              </w:rPr>
            </w:pPr>
            <w:r>
              <w:rPr>
                <w:rFonts w:ascii="Times New Roman" w:hAnsi="Times New Roman" w:cs="Times New Roman"/>
                <w:sz w:val="20"/>
              </w:rPr>
              <w:t>j) vysoko účinnou kombinovanou výrobou kombinovaná výroba</w:t>
            </w:r>
          </w:p>
          <w:p>
            <w:pPr>
              <w:pStyle w:val="Normlny"/>
              <w:rPr>
                <w:rFonts w:ascii="Times New Roman" w:hAnsi="Times New Roman" w:cs="Times New Roman"/>
              </w:rPr>
            </w:pPr>
            <w:r>
              <w:rPr>
                <w:rFonts w:ascii="Times New Roman" w:hAnsi="Times New Roman" w:cs="Times New Roman"/>
              </w:rPr>
              <w:t>1.veľmi malýc</w:t>
            </w:r>
            <w:r>
              <w:rPr>
                <w:rFonts w:ascii="Times New Roman" w:hAnsi="Times New Roman" w:cs="Times New Roman"/>
              </w:rPr>
              <w:t xml:space="preserve">h výkonov, </w:t>
            </w:r>
          </w:p>
          <w:p>
            <w:pPr>
              <w:pStyle w:val="Normlny"/>
              <w:rPr>
                <w:rFonts w:ascii="Times New Roman" w:hAnsi="Times New Roman" w:cs="Times New Roman"/>
              </w:rPr>
            </w:pPr>
            <w:r>
              <w:rPr>
                <w:rFonts w:ascii="Times New Roman" w:hAnsi="Times New Roman" w:cs="Times New Roman"/>
              </w:rPr>
              <w:t>2. malých výkonov, pri ktorej v porovnaní so  samostatnou výrobou tepla a samostatnou výrobou elektriny vzniká úspora primárnej energie,</w:t>
            </w:r>
          </w:p>
          <w:p>
            <w:pPr>
              <w:pStyle w:val="Normlny"/>
              <w:rPr>
                <w:rFonts w:ascii="Times New Roman" w:hAnsi="Times New Roman" w:cs="Times New Roman"/>
              </w:rPr>
            </w:pPr>
            <w:r>
              <w:rPr>
                <w:rFonts w:ascii="Times New Roman" w:hAnsi="Times New Roman" w:cs="Times New Roman"/>
              </w:rPr>
              <w:t>3. veľkých výkonov, pri ktorej v porovnaní so samostatnou výrobou tepla a samostatnou výrobou elektriny vzn</w:t>
            </w:r>
            <w:r>
              <w:rPr>
                <w:rFonts w:ascii="Times New Roman" w:hAnsi="Times New Roman" w:cs="Times New Roman"/>
              </w:rPr>
              <w:t>iká úspora primárnej energie vo výške najmenej 10 %,</w:t>
            </w:r>
          </w:p>
          <w:p>
            <w:pPr>
              <w:tabs>
                <w:tab w:val="left" w:pos="-3060"/>
                <w:tab w:val="left" w:pos="540"/>
              </w:tabs>
              <w:jc w:val="both"/>
              <w:rPr>
                <w:rFonts w:ascii="Times New Roman" w:hAnsi="Times New Roman" w:cs="Times New Roman"/>
                <w:sz w:val="20"/>
                <w:szCs w:val="20"/>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P:j</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"referenčná hodnota účinnosti samostatnej výroby" je účinnosť alternatívnych samostatných výrob tepla a elektriny, ktoré má nahradiť kogeneračný proces;</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single" w:sz="4" w:space="0" w:color="auto"/>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Návrh vyhlášky MH SR, ktorou sa stanovujú kritériá pre vysoko účinnú kombinovanú výrobu </w:t>
            </w:r>
          </w:p>
        </w:tc>
        <w:tc>
          <w:tcPr>
            <w:tcW w:w="1322" w:type="dxa"/>
            <w:tcBorders>
              <w:top w:val="nil"/>
              <w:left w:val="single" w:sz="4" w:space="0" w:color="auto"/>
              <w:bottom w:val="single" w:sz="4" w:space="0" w:color="auto"/>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P:a</w:t>
            </w:r>
          </w:p>
          <w:p>
            <w:pPr>
              <w:pStyle w:val="Normlny"/>
              <w:jc w:val="center"/>
              <w:rPr>
                <w:rFonts w:ascii="Times New Roman" w:hAnsi="Times New Roman" w:cs="Times New Roman"/>
              </w:rPr>
            </w:pPr>
          </w:p>
          <w:p>
            <w:pPr>
              <w:pStyle w:val="Normlny"/>
              <w:jc w:val="center"/>
              <w:rPr>
                <w:rFonts w:ascii="Times New Roman" w:hAnsi="Times New Roman" w:cs="Times New Roman"/>
              </w:rPr>
            </w:pPr>
          </w:p>
        </w:tc>
        <w:tc>
          <w:tcPr>
            <w:tcW w:w="3721" w:type="dxa"/>
            <w:tcBorders>
              <w:top w:val="nil"/>
              <w:left w:val="single" w:sz="4" w:space="0" w:color="auto"/>
              <w:bottom w:val="single" w:sz="4" w:space="0" w:color="auto"/>
              <w:right w:val="single" w:sz="4" w:space="0" w:color="auto"/>
              <w:tl2br w:val="nil"/>
              <w:tr2bl w:val="nil"/>
            </w:tcBorders>
            <w:textDirection w:val="lrTb"/>
            <w:vAlign w:val="center"/>
          </w:tcPr>
          <w:p>
            <w:pPr>
              <w:pStyle w:val="Normlny"/>
              <w:jc w:val="both"/>
              <w:rPr>
                <w:rFonts w:ascii="Times New Roman" w:hAnsi="Times New Roman" w:cs="Times New Roman"/>
              </w:rPr>
            </w:pPr>
            <w:r>
              <w:rPr>
                <w:rFonts w:ascii="Times New Roman" w:hAnsi="Times New Roman" w:cs="Times New Roman"/>
              </w:rPr>
              <w:t>a)</w:t>
              <w:tab/>
              <w:t xml:space="preserve">referenčnou hodnotou účinnosti samostatnej výroby účinnosť alternatívnych samostatných výrob elektriny a tepla, ktorú sú nahradené kombinovanou výrobou, </w:t>
            </w: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1451"/>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Č:3</w:t>
            </w:r>
          </w:p>
          <w:p>
            <w:pPr>
              <w:jc w:val="center"/>
              <w:rPr>
                <w:rFonts w:ascii="Times New Roman" w:hAnsi="Times New Roman" w:cs="Times New Roman"/>
                <w:sz w:val="20"/>
                <w:szCs w:val="20"/>
              </w:rPr>
            </w:pPr>
            <w:r>
              <w:rPr>
                <w:rFonts w:ascii="Times New Roman" w:hAnsi="Times New Roman" w:cs="Times New Roman"/>
                <w:sz w:val="20"/>
                <w:szCs w:val="20"/>
              </w:rPr>
              <w:t>P:k</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"pomer elektriny k teplu" je pomer množstva elektriny vyrobenej kogeneráciou k množstvu využiteľného teplu pri prevádzke v režime úplnej kogenerácie využívajúci prevádzkové údaje konkrétnej jednotky;</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single" w:sz="4" w:space="0" w:color="auto"/>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vyhlášky MH SR, ktorou sa stanovujú kritériá pre vysoko účinnú kombinov</w:t>
            </w:r>
            <w:r>
              <w:rPr>
                <w:rFonts w:ascii="Times New Roman" w:hAnsi="Times New Roman" w:cs="Times New Roman"/>
                <w:color w:val="auto"/>
                <w:sz w:val="20"/>
                <w:szCs w:val="20"/>
              </w:rPr>
              <w:t xml:space="preserve">anú výrobu </w:t>
            </w:r>
          </w:p>
        </w:tc>
        <w:tc>
          <w:tcPr>
            <w:tcW w:w="1322" w:type="dxa"/>
            <w:tcBorders>
              <w:top w:val="single" w:sz="4" w:space="0" w:color="auto"/>
              <w:left w:val="single" w:sz="4" w:space="0" w:color="auto"/>
              <w:bottom w:val="nil"/>
              <w:right w:val="single" w:sz="4" w:space="0" w:color="auto"/>
              <w:tl2br w:val="nil"/>
              <w:tr2bl w:val="nil"/>
            </w:tcBorders>
            <w:textDirection w:val="lrTb"/>
            <w:vAlign w:val="center"/>
          </w:tcPr>
          <w:p>
            <w:pPr>
              <w:jc w:val="center"/>
              <w:rPr>
                <w:rFonts w:ascii="Times New Roman" w:hAnsi="Times New Roman" w:cs="Times New Roman"/>
                <w:color w:val="808080"/>
              </w:rPr>
            </w:pPr>
          </w:p>
        </w:tc>
        <w:tc>
          <w:tcPr>
            <w:tcW w:w="3721" w:type="dxa"/>
            <w:tcBorders>
              <w:top w:val="single" w:sz="4" w:space="0" w:color="auto"/>
              <w:left w:val="single" w:sz="4" w:space="0" w:color="auto"/>
              <w:bottom w:val="nil"/>
              <w:right w:val="single" w:sz="4" w:space="0" w:color="auto"/>
              <w:tl2br w:val="nil"/>
              <w:tr2bl w:val="nil"/>
            </w:tcBorders>
            <w:textDirection w:val="lrTb"/>
            <w:vAlign w:val="center"/>
          </w:tcPr>
          <w:p>
            <w:pPr>
              <w:pStyle w:val="Normlny"/>
              <w:jc w:val="both"/>
              <w:rPr>
                <w:rFonts w:ascii="Times New Roman" w:hAnsi="Times New Roman" w:cs="Times New Roman"/>
                <w:color w:val="808080"/>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144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P:l</w:t>
            </w:r>
          </w:p>
        </w:tc>
        <w:tc>
          <w:tcPr>
            <w:tcW w:w="3424" w:type="dxa"/>
            <w:gridSpan w:val="2"/>
            <w:tcBorders>
              <w:top w:val="nil"/>
              <w:left w:val="single" w:sz="4" w:space="0" w:color="auto"/>
              <w:bottom w:val="nil"/>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"kogeneračná jednotka" je jednotka, ktorá je schopná pracovať v režime kogenerácie;</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 xml:space="preserve">P: b) </w:t>
            </w:r>
          </w:p>
          <w:p>
            <w:pPr>
              <w:pStyle w:val="Normlny"/>
              <w:jc w:val="center"/>
              <w:rPr>
                <w:rFonts w:ascii="Times New Roman" w:hAnsi="Times New Roman" w:cs="Times New Roman"/>
              </w:rPr>
            </w:pPr>
          </w:p>
        </w:tc>
        <w:tc>
          <w:tcPr>
            <w:tcW w:w="3721" w:type="dxa"/>
            <w:tcBorders>
              <w:top w:val="nil"/>
              <w:left w:val="single" w:sz="4" w:space="0" w:color="auto"/>
              <w:bottom w:val="nil"/>
              <w:right w:val="single" w:sz="4" w:space="0" w:color="auto"/>
              <w:tl2br w:val="nil"/>
              <w:tr2bl w:val="nil"/>
            </w:tcBorders>
            <w:textDirection w:val="lrTb"/>
            <w:vAlign w:val="center"/>
          </w:tcPr>
          <w:p>
            <w:pPr>
              <w:pStyle w:val="Normlny"/>
              <w:rPr>
                <w:rFonts w:ascii="Times New Roman" w:hAnsi="Times New Roman" w:cs="Times New Roman"/>
              </w:rPr>
            </w:pPr>
            <w:r>
              <w:rPr>
                <w:rFonts w:ascii="Times New Roman" w:hAnsi="Times New Roman" w:cs="Times New Roman"/>
              </w:rPr>
              <w:t>b) kombinovanou výrobou technologický proces, pri ktorom súčasne prebieha výroba</w:t>
            </w:r>
          </w:p>
          <w:p>
            <w:pPr>
              <w:pStyle w:val="Normlny"/>
              <w:rPr>
                <w:rFonts w:ascii="Times New Roman" w:hAnsi="Times New Roman" w:cs="Times New Roman"/>
              </w:rPr>
            </w:pPr>
            <w:r>
              <w:rPr>
                <w:rFonts w:ascii="Times New Roman" w:hAnsi="Times New Roman" w:cs="Times New Roman"/>
              </w:rPr>
              <w:t xml:space="preserve"> 1. elektriny a tepla, </w:t>
            </w:r>
          </w:p>
          <w:p>
            <w:pPr>
              <w:pStyle w:val="Normlny"/>
              <w:rPr>
                <w:rFonts w:ascii="Times New Roman" w:hAnsi="Times New Roman" w:cs="Times New Roman"/>
              </w:rPr>
            </w:pPr>
            <w:r>
              <w:rPr>
                <w:rFonts w:ascii="Times New Roman" w:hAnsi="Times New Roman" w:cs="Times New Roman"/>
              </w:rPr>
              <w:t xml:space="preserve"> 2. mechan</w:t>
            </w:r>
            <w:r>
              <w:rPr>
                <w:rFonts w:ascii="Times New Roman" w:hAnsi="Times New Roman" w:cs="Times New Roman"/>
              </w:rPr>
              <w:t>ickej energie a tepla,</w:t>
            </w:r>
          </w:p>
          <w:p>
            <w:pPr>
              <w:pStyle w:val="Normlny"/>
              <w:jc w:val="both"/>
              <w:rPr>
                <w:rFonts w:ascii="Times New Roman" w:hAnsi="Times New Roman" w:cs="Times New Roman"/>
              </w:rPr>
            </w:pPr>
            <w:r>
              <w:rPr>
                <w:rFonts w:ascii="Times New Roman" w:hAnsi="Times New Roman" w:cs="Times New Roman"/>
              </w:rPr>
              <w:t xml:space="preserve"> 3. mechanickej energie, tepla a elektriny,</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P:m</w:t>
            </w:r>
          </w:p>
        </w:tc>
        <w:tc>
          <w:tcPr>
            <w:tcW w:w="3424" w:type="dxa"/>
            <w:gridSpan w:val="2"/>
            <w:tcBorders>
              <w:top w:val="nil"/>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"mikrokogeneračná jednotka" je kogeneračná jednotka s maximálnym výkonom menším než 50 kWe;</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 xml:space="preserve">O: 2 </w:t>
              <w:br/>
              <w:t>P: g)</w:t>
            </w:r>
          </w:p>
        </w:tc>
        <w:tc>
          <w:tcPr>
            <w:tcW w:w="3721" w:type="dxa"/>
            <w:tcBorders>
              <w:top w:val="nil"/>
              <w:left w:val="single" w:sz="4" w:space="0" w:color="auto"/>
              <w:bottom w:val="nil"/>
              <w:right w:val="single" w:sz="4" w:space="0" w:color="auto"/>
              <w:tl2br w:val="nil"/>
              <w:tr2bl w:val="nil"/>
            </w:tcBorders>
            <w:textDirection w:val="lrTb"/>
            <w:vAlign w:val="center"/>
          </w:tcPr>
          <w:p>
            <w:pPr>
              <w:tabs>
                <w:tab w:val="left" w:pos="-3060"/>
                <w:tab w:val="left" w:pos="540"/>
              </w:tabs>
              <w:jc w:val="both"/>
              <w:rPr>
                <w:rFonts w:ascii="Times New Roman" w:hAnsi="Times New Roman" w:cs="Times New Roman"/>
                <w:sz w:val="20"/>
                <w:szCs w:val="20"/>
              </w:rPr>
            </w:pPr>
            <w:r>
              <w:rPr>
                <w:rFonts w:ascii="Times New Roman" w:hAnsi="Times New Roman" w:cs="Times New Roman"/>
                <w:sz w:val="20"/>
                <w:szCs w:val="20"/>
              </w:rPr>
              <w:t>g)</w:t>
              <w:tab/>
              <w:t>kombinovanou výrobou veľmi malých výkonov kombinovan</w:t>
            </w:r>
            <w:r>
              <w:rPr>
                <w:rFonts w:ascii="Times New Roman" w:hAnsi="Times New Roman" w:cs="Times New Roman"/>
                <w:sz w:val="20"/>
                <w:szCs w:val="20"/>
              </w:rPr>
              <w:t>á výroba v zariadeniach s inštalovaným elektrickým výkonom menším ako 50 kW,</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P:n</w:t>
            </w:r>
          </w:p>
        </w:tc>
        <w:tc>
          <w:tcPr>
            <w:tcW w:w="3424" w:type="dxa"/>
            <w:gridSpan w:val="2"/>
            <w:tcBorders>
              <w:top w:val="nil"/>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"kogenerácia malých výkonov" sú kogeneračné jednotky s inštalovaným výkonom menej než 1 MWe;</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center"/>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 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P: h)</w:t>
            </w:r>
          </w:p>
        </w:tc>
        <w:tc>
          <w:tcPr>
            <w:tcW w:w="3721" w:type="dxa"/>
            <w:tcBorders>
              <w:top w:val="nil"/>
              <w:left w:val="single" w:sz="4" w:space="0" w:color="auto"/>
              <w:bottom w:val="nil"/>
              <w:right w:val="single" w:sz="4" w:space="0" w:color="auto"/>
              <w:tl2br w:val="nil"/>
              <w:tr2bl w:val="nil"/>
            </w:tcBorders>
            <w:textDirection w:val="lrTb"/>
            <w:vAlign w:val="center"/>
          </w:tcPr>
          <w:p>
            <w:pPr>
              <w:tabs>
                <w:tab w:val="left" w:pos="-3060"/>
                <w:tab w:val="left" w:pos="540"/>
              </w:tabs>
              <w:jc w:val="both"/>
              <w:rPr>
                <w:rFonts w:ascii="Times New Roman" w:hAnsi="Times New Roman" w:cs="Times New Roman"/>
                <w:sz w:val="20"/>
                <w:szCs w:val="20"/>
              </w:rPr>
            </w:pPr>
            <w:r>
              <w:rPr>
                <w:rFonts w:ascii="Times New Roman" w:hAnsi="Times New Roman" w:cs="Times New Roman"/>
                <w:sz w:val="20"/>
                <w:szCs w:val="20"/>
              </w:rPr>
              <w:t>h)</w:t>
              <w:tab/>
              <w:t>kombinovanou výrobou malých výkonov kombin</w:t>
            </w:r>
            <w:r>
              <w:rPr>
                <w:rFonts w:ascii="Times New Roman" w:hAnsi="Times New Roman" w:cs="Times New Roman"/>
                <w:sz w:val="20"/>
                <w:szCs w:val="20"/>
              </w:rPr>
              <w:t>ovaná výroba v zariadeniach s inštalovaným elektrickým výkonom od 50 kW vrátane do 1 MW,</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P:o</w:t>
            </w:r>
          </w:p>
        </w:tc>
        <w:tc>
          <w:tcPr>
            <w:tcW w:w="3424" w:type="dxa"/>
            <w:gridSpan w:val="2"/>
            <w:tcBorders>
              <w:top w:val="nil"/>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"kogeneračná výroba" je súčet elektrickej a mechanickej energie a využiteľného tepla vyrobených kogeneráciou.</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Zákon č. 657/2004 Z. z.</w:t>
            </w:r>
          </w:p>
          <w:p>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Zákon č. 656/2004 Z. </w:t>
            </w:r>
            <w:r>
              <w:rPr>
                <w:rFonts w:ascii="Times New Roman" w:hAnsi="Times New Roman" w:cs="Times New Roman"/>
                <w:color w:val="auto"/>
                <w:sz w:val="20"/>
                <w:szCs w:val="20"/>
              </w:rPr>
              <w:t>z.</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2 </w:t>
            </w:r>
          </w:p>
          <w:p>
            <w:pPr>
              <w:pStyle w:val="Normlny"/>
              <w:jc w:val="center"/>
              <w:rPr>
                <w:rFonts w:ascii="Times New Roman" w:hAnsi="Times New Roman" w:cs="Times New Roman"/>
              </w:rPr>
            </w:pPr>
            <w:r>
              <w:rPr>
                <w:rFonts w:ascii="Times New Roman" w:hAnsi="Times New Roman" w:cs="Times New Roman"/>
              </w:rPr>
              <w:t xml:space="preserve">P: r) </w:t>
            </w: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xml:space="preserve">§: 2 </w:t>
            </w:r>
          </w:p>
          <w:p>
            <w:pPr>
              <w:pStyle w:val="Normlny"/>
              <w:jc w:val="center"/>
              <w:rPr>
                <w:rFonts w:ascii="Times New Roman" w:hAnsi="Times New Roman" w:cs="Times New Roman"/>
              </w:rPr>
            </w:pPr>
            <w:r>
              <w:rPr>
                <w:rFonts w:ascii="Times New Roman" w:hAnsi="Times New Roman" w:cs="Times New Roman"/>
              </w:rPr>
              <w:t xml:space="preserve">P: b. 3 </w:t>
            </w:r>
          </w:p>
        </w:tc>
        <w:tc>
          <w:tcPr>
            <w:tcW w:w="3721" w:type="dxa"/>
            <w:tcBorders>
              <w:top w:val="nil"/>
              <w:left w:val="single" w:sz="4" w:space="0" w:color="auto"/>
              <w:bottom w:val="nil"/>
              <w:right w:val="single" w:sz="4" w:space="0" w:color="auto"/>
              <w:tl2br w:val="nil"/>
              <w:tr2bl w:val="nil"/>
            </w:tcBorders>
            <w:textDirection w:val="lrTb"/>
            <w:vAlign w:val="top"/>
          </w:tcPr>
          <w:p>
            <w:pPr>
              <w:pStyle w:val="BodyTextIndent"/>
              <w:jc w:val="both"/>
              <w:rPr>
                <w:rFonts w:ascii="Times New Roman" w:hAnsi="Times New Roman" w:cs="Times New Roman"/>
              </w:rPr>
            </w:pPr>
            <w:r>
              <w:rPr>
                <w:rFonts w:ascii="Times New Roman" w:hAnsi="Times New Roman" w:cs="Times New Roman"/>
                <w:color w:val="000000"/>
              </w:rPr>
              <w:t>kombinovanou výrobou tepla a elektriny súčasná výroba tepla a elektriny technológiami, ktoré umožňujú súčasné využitie tepla a elektriny na účely ich dodávok odberateľom alebo konečným spotrebiteľom,</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Okrem toho platia</w:t>
            </w:r>
            <w:r>
              <w:rPr>
                <w:rFonts w:ascii="Times New Roman" w:hAnsi="Times New Roman" w:cs="Times New Roman"/>
                <w:sz w:val="20"/>
              </w:rPr>
              <w:t xml:space="preserve"> príslušné definície uvedené v smernici 2003/54/ES a v smernici 2001/77/ES.</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Zákon č. 656/2004 Z. z.</w:t>
            </w: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2</w:t>
            </w: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strike/>
              </w:rPr>
            </w:pP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Kritériá účinnosti kogenerácie</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vyhlášky MH SR, ktorou sa stanovujú kritériá pre vysoko účinnú kombinovanú výrobu</w:t>
            </w:r>
          </w:p>
        </w:tc>
        <w:tc>
          <w:tcPr>
            <w:tcW w:w="1322" w:type="dxa"/>
            <w:tcBorders>
              <w:top w:val="single" w:sz="4" w:space="0" w:color="auto"/>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rPr>
            </w:pPr>
            <w:r>
              <w:rPr>
                <w:rFonts w:ascii="Times New Roman" w:hAnsi="Times New Roman" w:cs="Times New Roman"/>
              </w:rPr>
              <w:t>§:3</w:t>
            </w:r>
          </w:p>
          <w:p>
            <w:pPr>
              <w:pStyle w:val="Normlny"/>
              <w:jc w:val="center"/>
              <w:rPr>
                <w:rFonts w:ascii="Times New Roman" w:hAnsi="Times New Roman" w:cs="Times New Roman"/>
              </w:rPr>
            </w:pPr>
            <w:r>
              <w:rPr>
                <w:rFonts w:ascii="Times New Roman" w:hAnsi="Times New Roman" w:cs="Times New Roman"/>
              </w:rPr>
              <w:t>O:1</w:t>
            </w: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Kritériá pre vysoko účinnú kombinovanú výrobu</w:t>
            </w: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(1) Vysoko účinná kombinovaná výroba je kombinovaná výroba, ktorá spĺňa nasledovné kritériá</w:t>
            </w:r>
          </w:p>
          <w:p>
            <w:pPr>
              <w:pStyle w:val="Normlny"/>
              <w:jc w:val="both"/>
              <w:rPr>
                <w:rFonts w:ascii="Times New Roman" w:hAnsi="Times New Roman" w:cs="Times New Roman"/>
              </w:rPr>
            </w:pPr>
            <w:r>
              <w:rPr>
                <w:rFonts w:ascii="Times New Roman" w:hAnsi="Times New Roman" w:cs="Times New Roman"/>
              </w:rPr>
              <w:t>a)</w:t>
              <w:tab/>
              <w:t xml:space="preserve">v zariadeniach na kombinovanú výrobu malých výkonov a v zariadeniach na kombinovanú výrobu veľmi malých výkonov vzniká úspora primárnej energie v porovnaní s referenčnými hodnotami účinnosti samostatnej výroby tepla a samostatnej výroby elektriny,  </w:t>
            </w:r>
          </w:p>
          <w:p>
            <w:pPr>
              <w:pStyle w:val="Normlny"/>
              <w:jc w:val="both"/>
              <w:rPr>
                <w:rFonts w:ascii="Times New Roman" w:hAnsi="Times New Roman" w:cs="Times New Roman"/>
              </w:rPr>
            </w:pPr>
            <w:r>
              <w:rPr>
                <w:rFonts w:ascii="Times New Roman" w:hAnsi="Times New Roman" w:cs="Times New Roman"/>
              </w:rPr>
              <w:t>b)</w:t>
              <w:tab/>
              <w:t>v  zariadeniach na kombinovanú výrobu, okrem zariadení uvedených v písm. a), vzniká úspora primárnej energie vo výške najmenej 10 % v porovnaní s referenčnými hodnotami účinnosti samostatnej výroby tepla a samostatnej výroby elektriny.</w:t>
            </w: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Na účel určenia účinnosti kogenerácie v súlade s prílohou III Komisia v súlade s postupom uvedeným v článku 14 ods. 2 najneskôr do 21. februára 2006 stanoví harmonizované referenčné hodnoty účinnosti samostatnej výroby elektriny a tepla. Tieto harmonizované referenčné hodnoty účinnosti pozostávajú z matice hodnôt rozlíšených podľa príslušných faktorov vrátane roku postavenia a typov palív a musia byť založené na riadne zdokumentovanej analýze zohľadňujúcej okrem iného aj údaje z prevádzkového používania v realistických podmienkach, o cezhraničnej výmene elektriny, palivovej zmesi a klimatických podmienkach, ako aj o uplatnených kogeneračných</w:t>
            </w:r>
            <w:r>
              <w:rPr>
                <w:rFonts w:ascii="Times New Roman" w:hAnsi="Times New Roman" w:cs="Times New Roman"/>
                <w:sz w:val="20"/>
              </w:rPr>
              <w:t xml:space="preserve"> technológiách v súlade so zásadami uvedenými v prílohe III.</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p>
        </w:tc>
        <w:tc>
          <w:tcPr>
            <w:tcW w:w="1322" w:type="dxa"/>
            <w:tcBorders>
              <w:top w:val="nil"/>
              <w:left w:val="single" w:sz="4" w:space="0" w:color="auto"/>
              <w:bottom w:val="single" w:sz="4" w:space="0" w:color="auto"/>
              <w:right w:val="single" w:sz="4" w:space="0" w:color="auto"/>
              <w:tl2br w:val="nil"/>
              <w:tr2bl w:val="nil"/>
            </w:tcBorders>
            <w:textDirection w:val="lrTb"/>
            <w:vAlign w:val="center"/>
          </w:tcPr>
          <w:p>
            <w:pPr>
              <w:pStyle w:val="Normlny"/>
              <w:jc w:val="center"/>
              <w:rPr>
                <w:rFonts w:ascii="Times New Roman" w:hAnsi="Times New Roman" w:cs="Times New Roman"/>
              </w:rPr>
            </w:pP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cantSplit/>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Č:4</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color w:val="auto"/>
                <w:sz w:val="20"/>
                <w:szCs w:val="20"/>
              </w:rPr>
            </w:pPr>
            <w:r>
              <w:rPr>
                <w:rFonts w:ascii="Times New Roman" w:hAnsi="Times New Roman" w:cs="Times New Roman"/>
                <w:color w:val="auto"/>
                <w:sz w:val="20"/>
              </w:rPr>
              <w:t>Komisia v súlade s postupom uvedeným v článku 14 ods. 2 posúdi harmonizované referenčné hodnoty účinnosti samostatnej výroby elektriny a tepla uvedené v odseku 1, po prvý raz 21. februára 2011 a potom každé štyri roky tak, aby zohľadnila technologický vývoj a zmeny v rozložení energetických zdrojov.</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n.a.</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color w:val="FF0000"/>
                <w:sz w:val="20"/>
                <w:szCs w:val="20"/>
              </w:rPr>
            </w:pPr>
          </w:p>
        </w:tc>
        <w:tc>
          <w:tcPr>
            <w:tcW w:w="1322" w:type="dxa"/>
            <w:tcBorders>
              <w:top w:val="single" w:sz="4" w:space="0" w:color="auto"/>
              <w:left w:val="single" w:sz="4" w:space="0" w:color="auto"/>
              <w:bottom w:val="nil"/>
              <w:right w:val="single" w:sz="4" w:space="0" w:color="auto"/>
              <w:tl2br w:val="nil"/>
              <w:tr2bl w:val="nil"/>
            </w:tcBorders>
            <w:textDirection w:val="lrTb"/>
            <w:vAlign w:val="center"/>
          </w:tcPr>
          <w:p>
            <w:pPr>
              <w:pStyle w:val="Normlny"/>
              <w:jc w:val="center"/>
              <w:rPr>
                <w:rFonts w:ascii="Times New Roman" w:hAnsi="Times New Roman" w:cs="Times New Roman"/>
                <w:color w:val="FF0000"/>
              </w:rPr>
            </w:pPr>
            <w:r>
              <w:rPr>
                <w:rFonts w:ascii="Times New Roman" w:hAnsi="Times New Roman" w:cs="Times New Roman"/>
                <w:color w:val="FF0000"/>
              </w:rPr>
              <w:t xml:space="preserve"> </w:t>
            </w: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jc w:val="both"/>
              <w:rPr>
                <w:rFonts w:ascii="Times New Roman" w:hAnsi="Times New Roman" w:cs="Times New Roman"/>
                <w:color w:val="FF0000"/>
                <w:sz w:val="20"/>
                <w:szCs w:val="20"/>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shd w:val="clear" w:color="auto" w:fill="FFFFFF"/>
              <w:jc w:val="both"/>
              <w:rPr>
                <w:rFonts w:ascii="Times New Roman" w:hAnsi="Times New Roman" w:cs="Times New Roman"/>
                <w:color w:val="auto"/>
                <w:sz w:val="20"/>
                <w:szCs w:val="20"/>
              </w:rPr>
            </w:pPr>
            <w:r>
              <w:rPr>
                <w:rFonts w:ascii="Times New Roman" w:hAnsi="Times New Roman" w:cs="Times New Roman"/>
                <w:color w:val="auto"/>
                <w:sz w:val="20"/>
              </w:rPr>
              <w:t>Členské štáty vykonávajúce túto smernicu predtým, než Komisia určí harmonizované referenčné hodnoty účinnosti samostatnej výroby elektriny a tepla uvedené v odseku 1, by mali až do termínu uvedeného v odseku 1 prijať svoje národné referenčné hodnoty účinnosti samostatnej výroby tepla a elektriny, ktoré budú používať pri výpočte úspor primárnej energie vyrábanej kog</w:t>
            </w:r>
            <w:r>
              <w:rPr>
                <w:rFonts w:ascii="Times New Roman" w:hAnsi="Times New Roman" w:cs="Times New Roman"/>
                <w:color w:val="auto"/>
                <w:sz w:val="20"/>
              </w:rPr>
              <w:t>eneráciou v súlade s metodikou ustanovenou v prílohe III.</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n.a.</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FF0000"/>
                <w:sz w:val="20"/>
                <w:szCs w:val="20"/>
              </w:rPr>
            </w:pPr>
          </w:p>
        </w:tc>
        <w:tc>
          <w:tcPr>
            <w:tcW w:w="1322" w:type="dxa"/>
            <w:tcBorders>
              <w:top w:val="nil"/>
              <w:left w:val="single" w:sz="4" w:space="0" w:color="auto"/>
              <w:bottom w:val="single" w:sz="4" w:space="0" w:color="auto"/>
              <w:right w:val="single" w:sz="4" w:space="0" w:color="auto"/>
              <w:tl2br w:val="nil"/>
              <w:tr2bl w:val="nil"/>
            </w:tcBorders>
            <w:textDirection w:val="lrTb"/>
            <w:vAlign w:val="center"/>
          </w:tcPr>
          <w:p>
            <w:pPr>
              <w:pStyle w:val="Normlny"/>
              <w:jc w:val="center"/>
              <w:rPr>
                <w:rFonts w:ascii="Times New Roman" w:hAnsi="Times New Roman" w:cs="Times New Roman"/>
                <w:color w:val="FF0000"/>
              </w:rPr>
            </w:pP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FF0000"/>
              </w:rPr>
            </w:pP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Záruka pôvodu elektriny z vysokoúčinnej kogenerácie</w:t>
            </w:r>
          </w:p>
          <w:p>
            <w:pPr>
              <w:shd w:val="clear" w:color="auto" w:fill="FFFFFF"/>
              <w:jc w:val="both"/>
              <w:rPr>
                <w:rFonts w:ascii="Times New Roman" w:hAnsi="Times New Roman" w:cs="Times New Roman"/>
                <w:sz w:val="20"/>
              </w:rPr>
            </w:pPr>
            <w:r>
              <w:rPr>
                <w:rFonts w:ascii="Times New Roman" w:hAnsi="Times New Roman" w:cs="Times New Roman"/>
                <w:sz w:val="20"/>
              </w:rPr>
              <w:t xml:space="preserve">Členské štáty na základe harmonizovaných referenčných hodnôt účinnosti uvedených v článku 4 ods. 1 najneskôr do šiestich mesiacov od prijatia týchto hodnôt zabezpečia, že pôvod elektriny vyrobenej vysokoúčinnou kogeneráciou bude možné garantovať podľa objektívnych, transparentných a nediskriminačných kritérií, ktoré stanoví každý členský štát. </w:t>
            </w:r>
          </w:p>
          <w:p>
            <w:pPr>
              <w:shd w:val="clear" w:color="auto" w:fill="FFFFFF"/>
              <w:jc w:val="both"/>
              <w:rPr>
                <w:rFonts w:ascii="Times New Roman" w:hAnsi="Times New Roman" w:cs="Times New Roman"/>
                <w:sz w:val="20"/>
                <w:szCs w:val="20"/>
              </w:rPr>
            </w:pPr>
            <w:r>
              <w:rPr>
                <w:rFonts w:ascii="Times New Roman" w:hAnsi="Times New Roman" w:cs="Times New Roman"/>
                <w:sz w:val="20"/>
              </w:rPr>
              <w:t>Členské štáty zabezpečia, že táto záruka pôvodu elektriny umožní výrobcom preukázať, že elektrina, ktorú predávajú, je vyrobená vysokoúčinnou kogeneráciou, a že je vydaná na tento účel v nadväznosti na žiadosť od výrobcu.</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8</w:t>
            </w:r>
          </w:p>
          <w:p>
            <w:pPr>
              <w:pStyle w:val="Normlny"/>
              <w:jc w:val="center"/>
              <w:rPr>
                <w:rFonts w:ascii="Times New Roman" w:hAnsi="Times New Roman" w:cs="Times New Roman"/>
              </w:rPr>
            </w:pPr>
            <w:r>
              <w:rPr>
                <w:rFonts w:ascii="Times New Roman" w:hAnsi="Times New Roman" w:cs="Times New Roman"/>
              </w:rPr>
              <w:t>O: 1, 2</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color w:val="000000"/>
                <w:szCs w:val="24"/>
              </w:rPr>
              <w:t xml:space="preserve">Potvrdenie o pôvode elektriny vyrobenej vysoko účinnou kombinovanou výrobou </w:t>
            </w:r>
            <w:r>
              <w:rPr>
                <w:rFonts w:ascii="Times New Roman" w:hAnsi="Times New Roman" w:cs="Times New Roman"/>
                <w:szCs w:val="22"/>
              </w:rPr>
              <w:t xml:space="preserve"> </w:t>
            </w:r>
            <w:r>
              <w:rPr>
                <w:rFonts w:ascii="Times New Roman" w:hAnsi="Times New Roman" w:cs="Times New Roman"/>
                <w:color w:val="000000"/>
                <w:szCs w:val="24"/>
              </w:rPr>
              <w:t xml:space="preserve">preukazuje, že elektrina, na ktorú sa potvrdenie vzťahuje, je vyrobená </w:t>
            </w:r>
            <w:r>
              <w:rPr>
                <w:rFonts w:ascii="Times New Roman" w:hAnsi="Times New Roman" w:cs="Times New Roman"/>
                <w:color w:val="000000"/>
              </w:rPr>
              <w:t>vysoko účinnou kombinovanou výrobou</w:t>
            </w:r>
            <w:r>
              <w:rPr>
                <w:rFonts w:ascii="Times New Roman" w:hAnsi="Times New Roman" w:cs="Times New Roman"/>
                <w:color w:val="000000"/>
                <w:szCs w:val="24"/>
              </w:rPr>
              <w:t>.</w:t>
            </w:r>
          </w:p>
          <w:p>
            <w:pPr>
              <w:pStyle w:val="Normlny"/>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color w:val="000000"/>
                <w:szCs w:val="24"/>
              </w:rPr>
              <w:t xml:space="preserve">Potvrdenie o </w:t>
            </w:r>
            <w:r>
              <w:rPr>
                <w:rFonts w:ascii="Times New Roman" w:hAnsi="Times New Roman" w:cs="Times New Roman"/>
              </w:rPr>
              <w:t xml:space="preserve">pôvode vydáva </w:t>
            </w:r>
            <w:r>
              <w:rPr>
                <w:rFonts w:ascii="Times New Roman" w:hAnsi="Times New Roman" w:cs="Times New Roman"/>
                <w:color w:val="000000"/>
                <w:szCs w:val="24"/>
              </w:rPr>
              <w:t xml:space="preserve">úrad výrobcovi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na základe žia</w:t>
            </w:r>
            <w:r>
              <w:rPr>
                <w:rFonts w:ascii="Times New Roman" w:hAnsi="Times New Roman" w:cs="Times New Roman"/>
                <w:color w:val="000000"/>
                <w:szCs w:val="24"/>
              </w:rPr>
              <w:t>dosti..</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color w:val="auto"/>
                <w:sz w:val="20"/>
                <w:szCs w:val="20"/>
              </w:rPr>
            </w:pPr>
            <w:r>
              <w:rPr>
                <w:rFonts w:ascii="Times New Roman" w:hAnsi="Times New Roman" w:cs="Times New Roman"/>
                <w:color w:val="auto"/>
                <w:sz w:val="20"/>
              </w:rPr>
              <w:t>Členské štáty môžu určiť jeden alebo viac príslušných orgánov nezávislých od výrobných alebo distribučných činností, ktoré budú vykonávať dohľad nad vydávaním záruk pôvodu uvedených v odseku 1.</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n.a.</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color w:val="FF0000"/>
              </w:rPr>
            </w:pP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pStyle w:val="BodyTextIndent"/>
              <w:jc w:val="both"/>
              <w:rPr>
                <w:rFonts w:ascii="Times New Roman" w:hAnsi="Times New Roman" w:cs="Times New Roman"/>
                <w:color w:val="FF0000"/>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6945"/>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nil"/>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Členské štáty alebo tieto príslušné orgány zavedú vhodné mechanizmy, ktorými zabezpečia, že záruky pôvodu sú správne aj spoľahlivé a v správe uvedenej v článku 10 ods. 1 opíšu opatrenia prijaté na zabezpečenie spoľahlivosti systému záruk.</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lang w:eastAsia="sk-SK"/>
              </w:rPr>
            </w:pPr>
            <w:r>
              <w:rPr>
                <w:rFonts w:ascii="Times New Roman" w:hAnsi="Times New Roman" w:cs="Times New Roman"/>
                <w:lang w:eastAsia="sk-SK"/>
              </w:rPr>
              <w:t>§:  8</w:t>
              <w:br/>
              <w:t xml:space="preserve">O: 6-8 </w:t>
            </w: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p>
            <w:pPr>
              <w:pStyle w:val="Normlny"/>
              <w:jc w:val="center"/>
              <w:rPr>
                <w:rFonts w:ascii="Times New Roman" w:hAnsi="Times New Roman" w:cs="Times New Roman"/>
                <w:lang w:eastAsia="sk-SK"/>
              </w:rPr>
            </w:pPr>
          </w:p>
        </w:tc>
        <w:tc>
          <w:tcPr>
            <w:tcW w:w="3721" w:type="dxa"/>
            <w:tcBorders>
              <w:top w:val="nil"/>
              <w:left w:val="single" w:sz="4" w:space="0" w:color="auto"/>
              <w:bottom w:val="nil"/>
              <w:right w:val="single" w:sz="4" w:space="0" w:color="auto"/>
              <w:tl2br w:val="nil"/>
              <w:tr2bl w:val="nil"/>
            </w:tcBorders>
            <w:textDirection w:val="lrTb"/>
            <w:vAlign w:val="top"/>
          </w:tcPr>
          <w:p>
            <w:pPr>
              <w:pStyle w:val="BodyTextIndent"/>
              <w:jc w:val="both"/>
              <w:rPr>
                <w:rFonts w:ascii="Times New Roman" w:hAnsi="Times New Roman" w:cs="Times New Roman"/>
              </w:rPr>
            </w:pPr>
            <w:r>
              <w:rPr>
                <w:rFonts w:ascii="Times New Roman" w:hAnsi="Times New Roman" w:cs="Times New Roman"/>
                <w:color w:val="000000"/>
              </w:rPr>
              <w:t xml:space="preserve">(6) </w:t>
            </w:r>
            <w:r>
              <w:rPr>
                <w:rFonts w:ascii="Times New Roman" w:hAnsi="Times New Roman" w:cs="Times New Roman"/>
              </w:rPr>
              <w:t xml:space="preserve">Ak žiadosť o vydanie potvrdenia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 xml:space="preserve">nie je úplná, úrad vyzve </w:t>
            </w:r>
            <w:r>
              <w:rPr>
                <w:rFonts w:ascii="Times New Roman" w:hAnsi="Times New Roman" w:cs="Times New Roman"/>
                <w:color w:val="000000"/>
                <w:szCs w:val="24"/>
              </w:rPr>
              <w:t xml:space="preserve">výrobcu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w:t>
            </w:r>
            <w:r>
              <w:rPr>
                <w:rFonts w:ascii="Times New Roman" w:hAnsi="Times New Roman" w:cs="Times New Roman"/>
              </w:rPr>
              <w:t>na doplnenie žiadosti v ním určenej lehote. Ak žiadosť v st</w:t>
            </w:r>
            <w:r>
              <w:rPr>
                <w:rFonts w:ascii="Times New Roman" w:hAnsi="Times New Roman" w:cs="Times New Roman"/>
              </w:rPr>
              <w:t xml:space="preserve">anovenej lehote nebude doplnená, úrad konanie o vydanie potvrdenia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zastaví.</w:t>
            </w:r>
          </w:p>
          <w:p>
            <w:pPr>
              <w:pStyle w:val="Normlny"/>
              <w:rPr>
                <w:rFonts w:ascii="Times New Roman" w:hAnsi="Times New Roman" w:cs="Times New Roman"/>
                <w:color w:val="000000"/>
                <w:szCs w:val="24"/>
              </w:rPr>
            </w:pPr>
            <w:r>
              <w:rPr>
                <w:rFonts w:ascii="Times New Roman" w:hAnsi="Times New Roman" w:cs="Times New Roman"/>
              </w:rPr>
              <w:t xml:space="preserve"> (7) Ak je žiadosť o vydanie potvrdenia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rPr>
              <w:t>úplná, úra</w:t>
            </w:r>
            <w:r>
              <w:rPr>
                <w:rFonts w:ascii="Times New Roman" w:hAnsi="Times New Roman" w:cs="Times New Roman"/>
              </w:rPr>
              <w:t>d posúdi údaje o</w:t>
            </w:r>
          </w:p>
          <w:p>
            <w:pPr>
              <w:pStyle w:val="Normlny"/>
              <w:numPr>
                <w:ilvl w:val="0"/>
                <w:numId w:val="58"/>
              </w:numPr>
              <w:tabs>
                <w:tab w:val="left" w:pos="348"/>
                <w:tab w:val="clear" w:pos="720"/>
              </w:tabs>
              <w:ind w:left="348"/>
              <w:rPr>
                <w:rFonts w:ascii="Times New Roman" w:hAnsi="Times New Roman" w:cs="Times New Roman"/>
                <w:szCs w:val="19"/>
              </w:rPr>
            </w:pPr>
            <w:r>
              <w:rPr>
                <w:rFonts w:ascii="Times New Roman" w:hAnsi="Times New Roman" w:cs="Times New Roman"/>
              </w:rPr>
              <w:t>množstve elektriny vyrobenej kombinovanou výrobou</w:t>
            </w:r>
            <w:r>
              <w:rPr>
                <w:rFonts w:ascii="Times New Roman" w:hAnsi="Times New Roman" w:cs="Times New Roman"/>
                <w:szCs w:val="19"/>
              </w:rPr>
              <w:t>,</w:t>
            </w:r>
          </w:p>
          <w:p>
            <w:pPr>
              <w:pStyle w:val="Normlny"/>
              <w:numPr>
                <w:ilvl w:val="0"/>
                <w:numId w:val="58"/>
              </w:numPr>
              <w:tabs>
                <w:tab w:val="left" w:pos="348"/>
                <w:tab w:val="clear" w:pos="720"/>
              </w:tabs>
              <w:ind w:left="348"/>
              <w:rPr>
                <w:rFonts w:ascii="Times New Roman" w:hAnsi="Times New Roman" w:cs="Times New Roman"/>
                <w:szCs w:val="19"/>
              </w:rPr>
            </w:pPr>
            <w:r>
              <w:rPr>
                <w:rFonts w:ascii="Times New Roman" w:hAnsi="Times New Roman" w:cs="Times New Roman"/>
              </w:rPr>
              <w:t>úsporách primárnej energie,</w:t>
            </w:r>
          </w:p>
          <w:p>
            <w:pPr>
              <w:pStyle w:val="Normlny"/>
              <w:numPr>
                <w:ilvl w:val="0"/>
                <w:numId w:val="58"/>
              </w:numPr>
              <w:tabs>
                <w:tab w:val="left" w:pos="348"/>
                <w:tab w:val="clear" w:pos="720"/>
              </w:tabs>
              <w:ind w:left="348"/>
              <w:rPr>
                <w:rFonts w:ascii="Times New Roman" w:hAnsi="Times New Roman" w:cs="Times New Roman"/>
                <w:szCs w:val="19"/>
              </w:rPr>
            </w:pPr>
            <w:r>
              <w:rPr>
                <w:rFonts w:ascii="Times New Roman" w:hAnsi="Times New Roman" w:cs="Times New Roman"/>
              </w:rPr>
              <w:t xml:space="preserve">množstve elektriny vyrobenej vysoko účinnou kombinovanou výrobou, na ktoré </w:t>
            </w:r>
            <w:r>
              <w:rPr>
                <w:rFonts w:ascii="Times New Roman" w:hAnsi="Times New Roman" w:cs="Times New Roman"/>
                <w:szCs w:val="19"/>
              </w:rPr>
              <w:t>potvrdenie o pôvode žiadateľ požaduje.</w:t>
            </w:r>
          </w:p>
          <w:p>
            <w:pPr>
              <w:pStyle w:val="Normlny"/>
              <w:jc w:val="both"/>
              <w:rPr>
                <w:rFonts w:ascii="Times New Roman" w:hAnsi="Times New Roman" w:cs="Times New Roman"/>
                <w:lang w:eastAsia="sk-SK"/>
              </w:rPr>
            </w:pPr>
            <w:r>
              <w:rPr>
                <w:rFonts w:ascii="Times New Roman" w:hAnsi="Times New Roman" w:cs="Times New Roman"/>
                <w:color w:val="000000"/>
              </w:rPr>
              <w:t xml:space="preserve">(8) Ak sa po posúdení údajov podľa odseku 7 preukáže, že ide o elektrinu vyrobenú vysoko účinnou kombinovanou výrobou, vydá úrad potvrdenie o pôvode </w:t>
            </w:r>
            <w:r>
              <w:rPr>
                <w:rFonts w:ascii="Times New Roman" w:hAnsi="Times New Roman" w:cs="Times New Roman"/>
                <w:bCs/>
              </w:rPr>
              <w:t>elektriny vyrobenej vysoko účinnou kombinovanou výrobou</w:t>
            </w:r>
            <w:r>
              <w:rPr>
                <w:rFonts w:ascii="Times New Roman" w:hAnsi="Times New Roman" w:cs="Times New Roman"/>
                <w:color w:val="000000"/>
              </w:rPr>
              <w:t xml:space="preserve"> a  doručí ho výrobcovi </w:t>
            </w:r>
            <w:r>
              <w:rPr>
                <w:rFonts w:ascii="Times New Roman" w:hAnsi="Times New Roman" w:cs="Times New Roman"/>
                <w:color w:val="000000"/>
                <w:szCs w:val="24"/>
              </w:rPr>
              <w:t xml:space="preserve">elektriny </w:t>
            </w:r>
            <w:r>
              <w:rPr>
                <w:rFonts w:ascii="Times New Roman" w:hAnsi="Times New Roman" w:cs="Times New Roman"/>
                <w:color w:val="000000"/>
              </w:rPr>
              <w:t>vysoko účinnou kombinovanou výrobou a ministerstvu.</w:t>
            </w: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O:4</w:t>
            </w:r>
          </w:p>
        </w:tc>
        <w:tc>
          <w:tcPr>
            <w:tcW w:w="3424" w:type="dxa"/>
            <w:gridSpan w:val="2"/>
            <w:tcBorders>
              <w:top w:val="nil"/>
              <w:left w:val="single" w:sz="4" w:space="0" w:color="auto"/>
              <w:bottom w:val="nil"/>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Programy záruk pôvodu samotné neposkytujú právo požívať prospech       z národných podporných mechanizmov.</w:t>
            </w:r>
          </w:p>
        </w:tc>
        <w:tc>
          <w:tcPr>
            <w:tcW w:w="897" w:type="dxa"/>
            <w:tcBorders>
              <w:top w:val="nil"/>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nil"/>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3</w:t>
            </w:r>
          </w:p>
          <w:p>
            <w:pPr>
              <w:pStyle w:val="Normlny"/>
              <w:jc w:val="center"/>
              <w:rPr>
                <w:rFonts w:ascii="Times New Roman" w:hAnsi="Times New Roman" w:cs="Times New Roman"/>
              </w:rPr>
            </w:pPr>
            <w:r>
              <w:rPr>
                <w:rFonts w:ascii="Times New Roman" w:hAnsi="Times New Roman" w:cs="Times New Roman"/>
              </w:rPr>
              <w:t>O: 3</w:t>
            </w:r>
          </w:p>
        </w:tc>
        <w:tc>
          <w:tcPr>
            <w:tcW w:w="3721" w:type="dxa"/>
            <w:tcBorders>
              <w:top w:val="nil"/>
              <w:left w:val="single" w:sz="4" w:space="0" w:color="auto"/>
              <w:bottom w:val="nil"/>
              <w:right w:val="single" w:sz="4" w:space="0" w:color="auto"/>
              <w:tl2br w:val="nil"/>
              <w:tr2bl w:val="nil"/>
            </w:tcBorders>
            <w:textDirection w:val="lrTb"/>
            <w:vAlign w:val="top"/>
          </w:tcPr>
          <w:p>
            <w:pPr>
              <w:pStyle w:val="abc"/>
              <w:tabs>
                <w:tab w:val="clear" w:pos="360"/>
                <w:tab w:val="clear" w:pos="680"/>
              </w:tabs>
              <w:rPr>
                <w:rFonts w:ascii="Times New Roman" w:hAnsi="Times New Roman" w:cs="Times New Roman"/>
                <w:szCs w:val="19"/>
                <w:lang w:eastAsia="sk-SK"/>
              </w:rPr>
            </w:pPr>
            <w:r>
              <w:rPr>
                <w:rFonts w:ascii="Times New Roman" w:hAnsi="Times New Roman" w:cs="Times New Roman"/>
                <w:szCs w:val="19"/>
                <w:lang w:eastAsia="sk-SK"/>
              </w:rPr>
              <w:t xml:space="preserve"> Podpora podľa odseku 1 písm. b) a c) sa vzťahuje na zariadenia výrobcu elektriny</w:t>
            </w:r>
          </w:p>
          <w:p>
            <w:pPr>
              <w:autoSpaceDE/>
              <w:autoSpaceDN/>
              <w:jc w:val="both"/>
              <w:rPr>
                <w:rFonts w:ascii="Times New Roman" w:hAnsi="Times New Roman" w:cs="Times New Roman"/>
                <w:color w:val="auto"/>
                <w:sz w:val="20"/>
                <w:szCs w:val="28"/>
              </w:rPr>
            </w:pPr>
            <w:r>
              <w:rPr>
                <w:rFonts w:ascii="Times New Roman" w:hAnsi="Times New Roman" w:cs="Times New Roman"/>
                <w:color w:val="auto"/>
                <w:sz w:val="20"/>
              </w:rPr>
              <w:t xml:space="preserve">a) </w:t>
            </w:r>
            <w:r>
              <w:rPr>
                <w:rFonts w:ascii="Times New Roman" w:hAnsi="Times New Roman" w:cs="Times New Roman"/>
                <w:color w:val="auto"/>
                <w:sz w:val="20"/>
                <w:szCs w:val="28"/>
              </w:rPr>
              <w:t xml:space="preserve"> s celkovým </w:t>
            </w:r>
            <w:r>
              <w:rPr>
                <w:rFonts w:ascii="Times New Roman" w:hAnsi="Times New Roman" w:cs="Times New Roman"/>
                <w:color w:val="auto"/>
                <w:sz w:val="20"/>
                <w:szCs w:val="28"/>
              </w:rPr>
              <w:t>inštalovaným výkonom do 30 MW,</w:t>
            </w:r>
          </w:p>
          <w:p>
            <w:pPr>
              <w:autoSpaceDE/>
              <w:autoSpaceDN/>
              <w:jc w:val="both"/>
              <w:rPr>
                <w:rFonts w:ascii="Times New Roman" w:hAnsi="Times New Roman" w:cs="Times New Roman"/>
                <w:bCs/>
                <w:iCs/>
                <w:szCs w:val="28"/>
              </w:rPr>
            </w:pPr>
            <w:r>
              <w:rPr>
                <w:rFonts w:ascii="Times New Roman" w:hAnsi="Times New Roman" w:cs="Times New Roman"/>
                <w:color w:val="auto"/>
                <w:sz w:val="20"/>
                <w:szCs w:val="28"/>
              </w:rPr>
              <w:t xml:space="preserve">b)  s celkovým inštalovaným výkonom do 50 MW, </w:t>
            </w:r>
            <w:r>
              <w:rPr>
                <w:rFonts w:ascii="Times New Roman" w:hAnsi="Times New Roman" w:cs="Times New Roman"/>
                <w:bCs/>
                <w:iCs/>
                <w:sz w:val="20"/>
                <w:szCs w:val="28"/>
              </w:rPr>
              <w:t>ak je elektrina vyrábaná vysoko účinnou kombinovanou výrobou a </w:t>
            </w:r>
            <w:r>
              <w:rPr>
                <w:rFonts w:ascii="Times New Roman" w:hAnsi="Times New Roman" w:cs="Times New Roman"/>
                <w:bCs/>
                <w:iCs/>
                <w:color w:val="auto"/>
                <w:sz w:val="20"/>
                <w:szCs w:val="28"/>
              </w:rPr>
              <w:t>energetický</w:t>
            </w:r>
            <w:r>
              <w:rPr>
                <w:rFonts w:ascii="Times New Roman" w:hAnsi="Times New Roman" w:cs="Times New Roman"/>
                <w:bCs/>
                <w:iCs/>
                <w:sz w:val="20"/>
                <w:szCs w:val="28"/>
              </w:rPr>
              <w:t xml:space="preserve"> podiel </w:t>
            </w:r>
            <w:r>
              <w:rPr>
                <w:rFonts w:ascii="Times New Roman" w:hAnsi="Times New Roman" w:cs="Times New Roman"/>
                <w:color w:val="auto"/>
                <w:sz w:val="20"/>
              </w:rPr>
              <w:t xml:space="preserve">obnoviteľných zdrojov energie v palive </w:t>
            </w:r>
            <w:r>
              <w:rPr>
                <w:rFonts w:ascii="Times New Roman" w:hAnsi="Times New Roman" w:cs="Times New Roman"/>
                <w:bCs/>
                <w:iCs/>
                <w:sz w:val="20"/>
                <w:szCs w:val="28"/>
              </w:rPr>
              <w:t>je vyšší ako 20%.</w:t>
            </w:r>
          </w:p>
          <w:p>
            <w:pPr>
              <w:autoSpaceDE/>
              <w:autoSpaceDN/>
              <w:ind w:left="168" w:hanging="168"/>
              <w:jc w:val="both"/>
              <w:rPr>
                <w:rFonts w:ascii="Times New Roman" w:hAnsi="Times New Roman" w:cs="Times New Roman"/>
                <w:iCs/>
                <w:sz w:val="20"/>
                <w:szCs w:val="20"/>
              </w:rPr>
            </w:pPr>
          </w:p>
        </w:tc>
        <w:tc>
          <w:tcPr>
            <w:tcW w:w="779"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4568"/>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O:5</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Záruka pôvodu:</w:t>
            </w:r>
          </w:p>
          <w:p>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 presne určuje dolnú výhrevnosť palivového zdroja, z ktorého bola daná elektrina vyrobená, presne určuje spôsob využitia tepla vyrobeného spolu s elektrinou a nakoniec presne uvádza dátumy a miesta výroby,</w:t>
            </w:r>
          </w:p>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 presne určuje množstvo elektriny vyrobenej vysokoúčinnou koge</w:t>
            </w:r>
            <w:r>
              <w:rPr>
                <w:rFonts w:ascii="Times New Roman" w:hAnsi="Times New Roman" w:cs="Times New Roman"/>
                <w:sz w:val="20"/>
              </w:rPr>
              <w:t>neráciou v súlade s prílohou II, ktoré táto záruka predstavuje,</w:t>
            </w:r>
          </w:p>
          <w:p>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 presne určuje úspory primárnej energie vypočítané v súlade s prílohou III na základe harmonizovaných referenčných hodnôt účinnosti, ktoré určila Komisia spôsobom uvedeným v článku 4 ods. 1.</w:t>
            </w:r>
          </w:p>
          <w:p>
            <w:pPr>
              <w:shd w:val="clear" w:color="auto" w:fill="FFFFFF"/>
              <w:rPr>
                <w:rFonts w:ascii="Times New Roman" w:hAnsi="Times New Roman" w:cs="Times New Roman"/>
                <w:sz w:val="20"/>
                <w:szCs w:val="20"/>
              </w:rPr>
            </w:pPr>
            <w:r>
              <w:rPr>
                <w:rFonts w:ascii="Times New Roman" w:hAnsi="Times New Roman" w:cs="Times New Roman"/>
                <w:sz w:val="20"/>
              </w:rPr>
              <w:t>Členské štáty môžu do záruky pôvodu zahrnúť aj ďalšie informácie.</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p>
            <w:pPr>
              <w:jc w:val="center"/>
              <w:rPr>
                <w:rFonts w:ascii="Times New Roman" w:hAnsi="Times New Roman" w:cs="Times New Roman"/>
                <w:sz w:val="20"/>
                <w:szCs w:val="20"/>
              </w:rPr>
            </w:pP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8 </w:t>
            </w:r>
          </w:p>
          <w:p>
            <w:pPr>
              <w:pStyle w:val="Normlny"/>
              <w:jc w:val="center"/>
              <w:rPr>
                <w:rFonts w:ascii="Times New Roman" w:hAnsi="Times New Roman" w:cs="Times New Roman"/>
              </w:rPr>
            </w:pPr>
            <w:r>
              <w:rPr>
                <w:rFonts w:ascii="Times New Roman" w:hAnsi="Times New Roman" w:cs="Times New Roman"/>
              </w:rPr>
              <w:t>O: 4, 5</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BodyTextIndent"/>
              <w:jc w:val="both"/>
              <w:rPr>
                <w:rFonts w:ascii="Times New Roman" w:hAnsi="Times New Roman" w:cs="Times New Roman"/>
              </w:rPr>
            </w:pPr>
            <w:r>
              <w:rPr>
                <w:rFonts w:ascii="Times New Roman" w:hAnsi="Times New Roman" w:cs="Times New Roman"/>
                <w:color w:val="000000"/>
                <w:szCs w:val="24"/>
              </w:rPr>
              <w:t xml:space="preserve">      (3) Výrobca elektriny </w:t>
            </w:r>
            <w:r>
              <w:rPr>
                <w:rFonts w:ascii="Times New Roman" w:hAnsi="Times New Roman" w:cs="Times New Roman"/>
                <w:color w:val="000000"/>
              </w:rPr>
              <w:t>vysoko účinnou kombinovanou výrobou</w:t>
            </w:r>
            <w:r>
              <w:rPr>
                <w:rFonts w:ascii="Times New Roman" w:hAnsi="Times New Roman" w:cs="Times New Roman"/>
                <w:color w:val="000000"/>
                <w:szCs w:val="24"/>
              </w:rPr>
              <w:t xml:space="preserve"> v žiadosti pri výpočte údajov podľa odseku 2 písm. g), i) a j) postupuje podľa všeobecne záväzného právneho predpisu, ktorý vydá ministerstvo podľa § 19.</w:t>
            </w:r>
          </w:p>
          <w:p>
            <w:pPr>
              <w:pStyle w:val="BodyTextIndent"/>
              <w:jc w:val="left"/>
              <w:rPr>
                <w:rFonts w:ascii="Times New Roman" w:hAnsi="Times New Roman" w:cs="Times New Roman"/>
                <w:color w:val="000000"/>
                <w:szCs w:val="24"/>
              </w:rPr>
            </w:pPr>
            <w:r>
              <w:rPr>
                <w:rFonts w:ascii="Times New Roman" w:hAnsi="Times New Roman" w:cs="Times New Roman"/>
              </w:rPr>
              <w:t xml:space="preserve"> (4) </w:t>
            </w:r>
            <w:r>
              <w:rPr>
                <w:rFonts w:ascii="Times New Roman" w:hAnsi="Times New Roman" w:cs="Times New Roman"/>
                <w:color w:val="000000"/>
              </w:rPr>
              <w:t>Potvrdenie o pôvode obsahuje</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szCs w:val="19"/>
              </w:rPr>
              <w:t>identifikačné údaje žiadateľa,</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szCs w:val="19"/>
              </w:rPr>
              <w:t xml:space="preserve">popis technológie a </w:t>
            </w:r>
            <w:r>
              <w:rPr>
                <w:rFonts w:ascii="Times New Roman" w:hAnsi="Times New Roman" w:cs="Times New Roman"/>
                <w:sz w:val="20"/>
                <w:szCs w:val="22"/>
              </w:rPr>
              <w:t xml:space="preserve">dátum uvedenia zariadenia do prevádzky alebo dátum rekonštrukcie alebo modernizácie </w:t>
            </w:r>
            <w:r>
              <w:rPr>
                <w:rFonts w:ascii="Times New Roman" w:hAnsi="Times New Roman" w:cs="Times New Roman"/>
                <w:sz w:val="20"/>
              </w:rPr>
              <w:t>technologickej časti energetického zariadenia</w:t>
            </w:r>
            <w:r>
              <w:rPr>
                <w:rFonts w:ascii="Times New Roman" w:hAnsi="Times New Roman" w:cs="Times New Roman"/>
                <w:color w:val="000000"/>
                <w:sz w:val="20"/>
                <w:szCs w:val="19"/>
              </w:rPr>
              <w:t>,</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szCs w:val="19"/>
              </w:rPr>
              <w:t>množstvo a výhrevnosť paliva, ktoré bolo použité v premene na využiteľnú energiu,</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szCs w:val="19"/>
              </w:rPr>
              <w:t>spôsob využitia tepla,</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szCs w:val="19"/>
              </w:rPr>
              <w:t xml:space="preserve">miesto výroby elektriny a množstvo elektriny vyrobenej </w:t>
            </w:r>
            <w:r>
              <w:rPr>
                <w:rFonts w:ascii="Times New Roman" w:hAnsi="Times New Roman" w:cs="Times New Roman"/>
                <w:color w:val="000000"/>
                <w:sz w:val="20"/>
              </w:rPr>
              <w:t>vysoko účinnou kombinovanou výrobou za obdobie</w:t>
            </w:r>
            <w:r>
              <w:rPr>
                <w:rFonts w:ascii="Times New Roman" w:hAnsi="Times New Roman" w:cs="Times New Roman"/>
                <w:color w:val="000000"/>
                <w:sz w:val="20"/>
                <w:szCs w:val="19"/>
              </w:rPr>
              <w:t>, na ktoré sa p</w:t>
            </w:r>
            <w:r>
              <w:rPr>
                <w:rFonts w:ascii="Times New Roman" w:hAnsi="Times New Roman" w:cs="Times New Roman"/>
                <w:color w:val="000000"/>
                <w:sz w:val="20"/>
                <w:szCs w:val="19"/>
              </w:rPr>
              <w:t>otvrdenie o pôvode vydáva,</w:t>
            </w:r>
          </w:p>
          <w:p>
            <w:pPr>
              <w:pStyle w:val="BodyText3"/>
              <w:numPr>
                <w:ilvl w:val="1"/>
                <w:numId w:val="26"/>
              </w:numPr>
              <w:tabs>
                <w:tab w:val="left" w:pos="360"/>
              </w:tabs>
              <w:ind w:left="0" w:firstLine="0"/>
              <w:rPr>
                <w:rFonts w:ascii="Times New Roman" w:hAnsi="Times New Roman" w:cs="Times New Roman"/>
                <w:color w:val="000000"/>
                <w:sz w:val="20"/>
                <w:szCs w:val="19"/>
              </w:rPr>
            </w:pPr>
            <w:r>
              <w:rPr>
                <w:rFonts w:ascii="Times New Roman" w:hAnsi="Times New Roman" w:cs="Times New Roman"/>
                <w:color w:val="000000"/>
                <w:sz w:val="20"/>
              </w:rPr>
              <w:t>úspory primárnej energie,</w:t>
            </w:r>
          </w:p>
          <w:p>
            <w:pPr>
              <w:pStyle w:val="BodyText3"/>
              <w:numPr>
                <w:ilvl w:val="1"/>
                <w:numId w:val="26"/>
              </w:numPr>
              <w:tabs>
                <w:tab w:val="left" w:pos="360"/>
              </w:tabs>
              <w:ind w:left="0" w:firstLine="0"/>
              <w:rPr>
                <w:rFonts w:ascii="Times New Roman" w:hAnsi="Times New Roman" w:cs="Times New Roman"/>
                <w:sz w:val="20"/>
              </w:rPr>
            </w:pPr>
            <w:r>
              <w:rPr>
                <w:rFonts w:ascii="Times New Roman" w:hAnsi="Times New Roman" w:cs="Times New Roman"/>
                <w:sz w:val="20"/>
              </w:rPr>
              <w:t>výšku investičnej pomoci zo štátneho rozpočtu alebo fondov Európskej únie.</w:t>
            </w:r>
          </w:p>
          <w:p>
            <w:pPr>
              <w:pStyle w:val="BodyText3"/>
              <w:rPr>
                <w:rFonts w:ascii="Times New Roman" w:hAnsi="Times New Roman" w:cs="Times New Roman"/>
                <w:sz w:val="20"/>
                <w:szCs w:val="20"/>
              </w:rPr>
            </w:pP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cantSplit/>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Č:5</w:t>
            </w:r>
          </w:p>
          <w:p>
            <w:pPr>
              <w:jc w:val="center"/>
              <w:rPr>
                <w:rFonts w:ascii="Times New Roman" w:hAnsi="Times New Roman" w:cs="Times New Roman"/>
                <w:sz w:val="20"/>
                <w:szCs w:val="20"/>
              </w:rPr>
            </w:pPr>
            <w:r>
              <w:rPr>
                <w:rFonts w:ascii="Times New Roman" w:hAnsi="Times New Roman" w:cs="Times New Roman"/>
                <w:sz w:val="20"/>
                <w:szCs w:val="20"/>
              </w:rPr>
              <w:t>O:6</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Členské štáty by si mali tieto záruky pôvodu vydané podľa odseku 1 vzájomne uznávať výhradne ako dôkaz o prvkoch uvedených v odseku 5. Každé odmietnutie uznať záruku pôvodu ako dôkaz, najmä z dôvodov týkajúcich sa predchádzania podvodom, musí byť založené na objektívnych, transparentných a nediskriminačných kritériách.</w:t>
            </w:r>
          </w:p>
          <w:p>
            <w:pPr>
              <w:shd w:val="clear" w:color="auto" w:fill="FFFFFF"/>
              <w:rPr>
                <w:rFonts w:ascii="Times New Roman" w:hAnsi="Times New Roman" w:cs="Times New Roman"/>
                <w:sz w:val="20"/>
                <w:szCs w:val="20"/>
              </w:rPr>
            </w:pPr>
            <w:r>
              <w:rPr>
                <w:rFonts w:ascii="Times New Roman" w:hAnsi="Times New Roman" w:cs="Times New Roman"/>
                <w:sz w:val="20"/>
              </w:rPr>
              <w:t>V prípade odmietnutia uznať záruku pôvodu môže Komisia prinútiť odmietajúcu stranu, aby záruku uznala, najmä pokiaľ ide o objektívne, transparentné a nediskriminačné kritériá, na ktorých je toto uznanie založené.</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8 </w:t>
            </w:r>
          </w:p>
          <w:p>
            <w:pPr>
              <w:pStyle w:val="Normlny"/>
              <w:jc w:val="center"/>
              <w:rPr>
                <w:rFonts w:ascii="Times New Roman" w:hAnsi="Times New Roman" w:cs="Times New Roman"/>
              </w:rPr>
            </w:pPr>
            <w:r>
              <w:rPr>
                <w:rFonts w:ascii="Times New Roman" w:hAnsi="Times New Roman" w:cs="Times New Roman"/>
              </w:rPr>
              <w:t>O: 10</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tabs>
                <w:tab w:val="left" w:pos="0"/>
              </w:tabs>
              <w:autoSpaceDE/>
              <w:autoSpaceDN/>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color w:val="000000"/>
                <w:sz w:val="20"/>
                <w:szCs w:val="19"/>
              </w:rPr>
              <w:t>) Záruka pôvodu elektriny z vysoko účinnej kombinovanej výroby, ktorá bola vydaná v členských štátoch Európskej únie a ktorá je vydaná na základe mechanizmu zaručujúceho presnosť a spoľahlivosť vydávania záruk pôvodu, platí ako potvrdenie o pôvode elektriny vyrobenej vysoko účinnou kombinovanou výrobou pre elektrinu podľa tohto paragrafu aj v Slovenskej republike. Odmietnutie uznania záruk pôvodu elektriny z vysoko účinnej kombinovanej výroby iného členského štátu z dôvodu podvodu musí vychádzať z objektívnych, transparentných a nediskriminačných kritérií.</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345"/>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Národné potenciály pre vysokoúčinnú kogeneráciu</w:t>
            </w:r>
          </w:p>
          <w:p>
            <w:pPr>
              <w:shd w:val="clear" w:color="auto" w:fill="FFFFFF"/>
              <w:rPr>
                <w:rFonts w:ascii="Times New Roman" w:hAnsi="Times New Roman" w:cs="Times New Roman"/>
                <w:sz w:val="20"/>
                <w:szCs w:val="20"/>
              </w:rPr>
            </w:pPr>
            <w:r>
              <w:rPr>
                <w:rFonts w:ascii="Times New Roman" w:hAnsi="Times New Roman" w:cs="Times New Roman"/>
                <w:sz w:val="20"/>
              </w:rPr>
              <w:t>Členské štáty vypracujú analýzu národného potenciálu pre uplatnenie vysokoúčinnej kogenerácie vrátane vysokoúčinnej mikrokogenerácie.</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r>
              <w:rPr>
                <w:rFonts w:ascii="Times New Roman" w:hAnsi="Times New Roman" w:cs="Times New Roman"/>
              </w:rPr>
              <w:t xml:space="preserve">§: 14 </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tabs>
                <w:tab w:val="left" w:pos="540"/>
              </w:tabs>
              <w:jc w:val="both"/>
              <w:rPr>
                <w:rFonts w:ascii="Times New Roman" w:hAnsi="Times New Roman" w:cs="Times New Roman"/>
                <w:iCs/>
                <w:sz w:val="20"/>
              </w:rPr>
            </w:pPr>
          </w:p>
          <w:p>
            <w:pPr>
              <w:tabs>
                <w:tab w:val="left" w:pos="540"/>
              </w:tabs>
              <w:jc w:val="both"/>
              <w:rPr>
                <w:rFonts w:ascii="Times New Roman" w:hAnsi="Times New Roman" w:cs="Times New Roman"/>
                <w:iCs/>
                <w:sz w:val="20"/>
              </w:rPr>
            </w:pPr>
          </w:p>
          <w:p>
            <w:pPr>
              <w:tabs>
                <w:tab w:val="left" w:pos="540"/>
              </w:tabs>
              <w:jc w:val="both"/>
              <w:rPr>
                <w:rFonts w:ascii="Times New Roman" w:hAnsi="Times New Roman" w:cs="Times New Roman"/>
                <w:sz w:val="20"/>
                <w:szCs w:val="20"/>
              </w:rPr>
            </w:pPr>
            <w:r>
              <w:rPr>
                <w:rFonts w:ascii="Times New Roman" w:hAnsi="Times New Roman" w:cs="Times New Roman"/>
                <w:iCs/>
                <w:sz w:val="20"/>
              </w:rPr>
              <w:t xml:space="preserve">(2) </w:t>
            </w:r>
            <w:r>
              <w:rPr>
                <w:rFonts w:ascii="Times New Roman" w:hAnsi="Times New Roman" w:cs="Times New Roman"/>
                <w:bCs/>
                <w:iCs/>
                <w:sz w:val="20"/>
                <w:szCs w:val="28"/>
              </w:rPr>
              <w:t>Ministerstvo vypracúva a uverejňuje na internete analýzu národného potenciálu pre uplatnenie vysoko účinnej kombinovanej výroby</w:t>
            </w:r>
            <w:r>
              <w:rPr>
                <w:rFonts w:ascii="Times New Roman" w:hAnsi="Times New Roman" w:cs="Times New Roman"/>
                <w:sz w:val="20"/>
                <w:szCs w:val="20"/>
              </w:rPr>
              <w:t>, ktorá obsahuje:</w:t>
            </w: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rPr>
                <w:rFonts w:ascii="Times New Roman" w:hAnsi="Times New Roman" w:cs="Times New Roman"/>
                <w:color w:val="auto"/>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O:2</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Táto analýza:</w:t>
            </w:r>
          </w:p>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 je založená na riadne zdokumentovaných vedeckých údajoch a spĺňa kritériá uvedené v prílohe IV,</w:t>
            </w:r>
          </w:p>
          <w:p>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 určuje celý potenciál pre dopyt po využiteľnom teple a chladení, vhodný pre uplatnenie vysokoúčinnej kogenerácie, ako aj dostupnosť palív a iných energetických zdrojov, ktoré sa majú využívať pri kogenerácii,</w:t>
            </w:r>
          </w:p>
          <w:p>
            <w:pPr>
              <w:shd w:val="clear" w:color="auto" w:fill="FFFFFF"/>
              <w:jc w:val="both"/>
              <w:rPr>
                <w:rFonts w:ascii="Times New Roman" w:hAnsi="Times New Roman" w:cs="Times New Roman"/>
                <w:color w:val="auto"/>
                <w:sz w:val="20"/>
                <w:szCs w:val="20"/>
              </w:rPr>
            </w:pPr>
            <w:r>
              <w:rPr>
                <w:rFonts w:ascii="Times New Roman" w:hAnsi="Times New Roman" w:cs="Times New Roman"/>
                <w:color w:val="auto"/>
                <w:sz w:val="20"/>
              </w:rPr>
              <w:t>- obsahuje samostatnú analýzu prekážok, ktoré môžu brániť realizácii národného potenciálu pre vysokoúčinnú kogeneráciu. V tejto analýze sú zohľadnené najmä prekážky súvisiace s cenami a nákladmi na palivá a s prístupom k nim, prekážky vzhľadom na problémy s distribučnou sieťou, prekážky vzhľadom na administratívne postupy a prekážky súvisiace s internalizáciou externých nákladov v cenách energie.</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14</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BodyTextIndent"/>
              <w:tabs>
                <w:tab w:val="left" w:pos="168"/>
              </w:tabs>
              <w:ind w:left="168"/>
              <w:jc w:val="left"/>
              <w:rPr>
                <w:rFonts w:ascii="Times New Roman" w:hAnsi="Times New Roman" w:cs="Times New Roman"/>
                <w:bCs/>
                <w:iCs/>
                <w:color w:val="000000"/>
                <w:szCs w:val="28"/>
              </w:rPr>
            </w:pPr>
            <w:r>
              <w:rPr>
                <w:rFonts w:ascii="Times New Roman" w:hAnsi="Times New Roman" w:cs="Times New Roman"/>
                <w:bCs/>
                <w:iCs/>
                <w:color w:val="000000"/>
                <w:szCs w:val="28"/>
              </w:rPr>
              <w:t>a) posúdenie právnych predpisov upravujúcich podmienky podnikania, ktoré sa týkajú vysoko účinnej kombinovanej výroby,</w:t>
            </w:r>
          </w:p>
          <w:p>
            <w:pPr>
              <w:pStyle w:val="BodyTextIndent"/>
              <w:tabs>
                <w:tab w:val="left" w:pos="168"/>
              </w:tabs>
              <w:ind w:left="168"/>
              <w:jc w:val="left"/>
              <w:rPr>
                <w:rFonts w:ascii="Times New Roman" w:hAnsi="Times New Roman" w:cs="Times New Roman"/>
              </w:rPr>
            </w:pPr>
            <w:r>
              <w:rPr>
                <w:rFonts w:ascii="Times New Roman" w:hAnsi="Times New Roman" w:cs="Times New Roman"/>
              </w:rPr>
              <w:t>b)  vyhodnotenie dopytu po využiteľnom teple a chlade, ktorý je vhodný na uplatnenie vysoko  účinnou kombinovanou výrobou,</w:t>
            </w:r>
          </w:p>
          <w:p>
            <w:pPr>
              <w:pStyle w:val="BodyTextIndent"/>
              <w:tabs>
                <w:tab w:val="left" w:pos="168"/>
              </w:tabs>
              <w:ind w:left="168"/>
              <w:jc w:val="left"/>
              <w:rPr>
                <w:rFonts w:ascii="Times New Roman" w:hAnsi="Times New Roman" w:cs="Times New Roman"/>
              </w:rPr>
            </w:pPr>
            <w:r>
              <w:rPr>
                <w:rFonts w:ascii="Times New Roman" w:hAnsi="Times New Roman" w:cs="Times New Roman"/>
              </w:rPr>
              <w:t>c) posúdenie dostupnosti palív a iných energetických zdrojov, ktoré sa môžu využiť pri kombinovanej výrobe,</w:t>
            </w:r>
          </w:p>
          <w:p>
            <w:pPr>
              <w:pStyle w:val="BodyTextIndent"/>
              <w:tabs>
                <w:tab w:val="left" w:pos="168"/>
              </w:tabs>
              <w:ind w:left="168"/>
              <w:jc w:val="left"/>
              <w:rPr>
                <w:rFonts w:ascii="Times New Roman" w:hAnsi="Times New Roman" w:cs="Times New Roman"/>
              </w:rPr>
            </w:pPr>
            <w:r>
              <w:rPr>
                <w:rFonts w:ascii="Times New Roman" w:hAnsi="Times New Roman" w:cs="Times New Roman"/>
              </w:rPr>
              <w:t>d)  návrh riešenia, ktorým sa zvýši podiel vysoko úči</w:t>
            </w:r>
            <w:r>
              <w:rPr>
                <w:rFonts w:ascii="Times New Roman" w:hAnsi="Times New Roman" w:cs="Times New Roman"/>
              </w:rPr>
              <w:t>nnou kombinovanou výrobou na trhu s energiami,</w:t>
            </w:r>
          </w:p>
          <w:p>
            <w:pPr>
              <w:pStyle w:val="BodyTextIndent"/>
              <w:tabs>
                <w:tab w:val="left" w:pos="168"/>
              </w:tabs>
              <w:ind w:left="168"/>
              <w:jc w:val="left"/>
              <w:rPr>
                <w:rFonts w:ascii="Times New Roman" w:hAnsi="Times New Roman" w:cs="Times New Roman"/>
              </w:rPr>
            </w:pPr>
            <w:r>
              <w:rPr>
                <w:rFonts w:ascii="Times New Roman" w:hAnsi="Times New Roman" w:cs="Times New Roman"/>
              </w:rPr>
              <w:t>e) analýzu prekážok, ktoré zabraňujú realizácii národného potenciálu vysoko účinnou kombinovanou výrobou,</w:t>
            </w:r>
          </w:p>
          <w:p>
            <w:pPr>
              <w:pStyle w:val="BodyTextIndent"/>
              <w:tabs>
                <w:tab w:val="left" w:pos="168"/>
              </w:tabs>
              <w:ind w:left="168"/>
              <w:jc w:val="left"/>
              <w:rPr>
                <w:rFonts w:ascii="Times New Roman" w:hAnsi="Times New Roman" w:cs="Times New Roman"/>
              </w:rPr>
            </w:pPr>
            <w:r>
              <w:rPr>
                <w:rFonts w:ascii="Times New Roman" w:hAnsi="Times New Roman" w:cs="Times New Roman"/>
              </w:rPr>
              <w:t>f)  analýzu typu palív, ktoré môžu byť použité pri výrobe energie kombinovanou výrobou, vrátane možného potenciálu využívania obnoviteľných zdrojov energie a iných typov zariadení na kombinovanú výrobu podľa § 2 písm. b) a z rozdelenia potenciálu výroby medzi doteraz využívanými technológiami kombinovanej výroby a výstavbou nových technológií kombinovanej výroby pre každý z týchto časových rámcov,</w:t>
            </w:r>
          </w:p>
          <w:p>
            <w:pPr>
              <w:pStyle w:val="BodyTextIndent"/>
              <w:tabs>
                <w:tab w:val="left" w:pos="168"/>
              </w:tabs>
              <w:ind w:left="168"/>
              <w:jc w:val="left"/>
              <w:rPr>
                <w:rFonts w:ascii="Times New Roman" w:hAnsi="Times New Roman" w:cs="Times New Roman"/>
              </w:rPr>
            </w:pPr>
            <w:r>
              <w:rPr>
                <w:rFonts w:ascii="Times New Roman" w:hAnsi="Times New Roman" w:cs="Times New Roman"/>
              </w:rPr>
              <w:t>g) analýzu národného potenciálu kombinovanej výroby vo vzťahu k časovým rámcom do roku 2010, 2015 a 2020,</w:t>
            </w:r>
          </w:p>
          <w:p>
            <w:pPr>
              <w:tabs>
                <w:tab w:val="left" w:pos="168"/>
              </w:tabs>
              <w:ind w:left="168"/>
              <w:jc w:val="both"/>
              <w:rPr>
                <w:rFonts w:ascii="Times New Roman" w:hAnsi="Times New Roman" w:cs="Times New Roman"/>
                <w:color w:val="auto"/>
                <w:sz w:val="20"/>
                <w:szCs w:val="20"/>
              </w:rPr>
            </w:pPr>
            <w:r>
              <w:rPr>
                <w:rFonts w:ascii="Times New Roman" w:hAnsi="Times New Roman" w:cs="Times New Roman"/>
                <w:sz w:val="20"/>
              </w:rPr>
              <w:t>h) efektívnosť vynaloženia nákladov, zohľadňujúcich aj národné záväzky prijaté v súvislosti so záväzkami týkajúcimi sa klimatických zmien, ktoré prijalo Európske spoločenstvo podľa Kjótskeho protokolu k Rámcovému dohovoru Organizácie spojených národov o klimatickej zmene.</w:t>
            </w: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Č:6</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jc w:val="both"/>
              <w:rPr>
                <w:rFonts w:ascii="Times New Roman" w:hAnsi="Times New Roman" w:cs="Times New Roman"/>
                <w:sz w:val="20"/>
                <w:szCs w:val="20"/>
              </w:rPr>
            </w:pPr>
            <w:r>
              <w:rPr>
                <w:rFonts w:ascii="Times New Roman" w:hAnsi="Times New Roman" w:cs="Times New Roman"/>
                <w:sz w:val="20"/>
              </w:rPr>
              <w:t>Členské štáty posúdia pokrok smerom k zvýšeniu podielu vysokoúčinnej kogenerácie po prvý raz najneskôr do 21. februára 2007 a potom každé štyri roky na žiadosť Komisie predloženú najmenej šesť mesiacov pred príslušným termínom.</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14</w:t>
            </w:r>
          </w:p>
          <w:p>
            <w:pPr>
              <w:pStyle w:val="Normlny"/>
              <w:jc w:val="center"/>
              <w:rPr>
                <w:rFonts w:ascii="Times New Roman" w:hAnsi="Times New Roman" w:cs="Times New Roman"/>
              </w:rPr>
            </w:pPr>
            <w:r>
              <w:rPr>
                <w:rFonts w:ascii="Times New Roman" w:hAnsi="Times New Roman" w:cs="Times New Roman"/>
              </w:rPr>
              <w:t>O:1</w:t>
            </w:r>
          </w:p>
          <w:p>
            <w:pPr>
              <w:pStyle w:val="Normlny"/>
              <w:jc w:val="center"/>
              <w:rPr>
                <w:rFonts w:ascii="Times New Roman" w:hAnsi="Times New Roman" w:cs="Times New Roman"/>
              </w:rPr>
            </w:pPr>
            <w:r>
              <w:rPr>
                <w:rFonts w:ascii="Times New Roman" w:hAnsi="Times New Roman" w:cs="Times New Roman"/>
              </w:rPr>
              <w:t>P: c)</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540"/>
              </w:tabs>
              <w:jc w:val="both"/>
              <w:rPr>
                <w:rFonts w:ascii="Times New Roman" w:hAnsi="Times New Roman" w:cs="Times New Roman"/>
                <w:sz w:val="20"/>
                <w:szCs w:val="20"/>
              </w:rPr>
            </w:pPr>
            <w:r>
              <w:rPr>
                <w:rFonts w:ascii="Times New Roman" w:hAnsi="Times New Roman" w:cs="Times New Roman"/>
                <w:sz w:val="20"/>
                <w:szCs w:val="20"/>
              </w:rPr>
              <w:t xml:space="preserve">c) predkladá na požiadanie Komisie </w:t>
            </w:r>
            <w:r>
              <w:rPr>
                <w:rFonts w:ascii="Times New Roman" w:hAnsi="Times New Roman" w:cs="Times New Roman"/>
                <w:sz w:val="20"/>
              </w:rPr>
              <w:t>správu o pokroku pri zvyšovaní podielu vysoko účinnej kombinovanej výroby</w:t>
            </w:r>
            <w:r>
              <w:rPr>
                <w:rFonts w:ascii="Times New Roman" w:hAnsi="Times New Roman" w:cs="Times New Roman"/>
                <w:sz w:val="20"/>
                <w:szCs w:val="20"/>
              </w:rPr>
              <w:t>,</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172"/>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0:1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Podporné programy</w:t>
            </w:r>
          </w:p>
          <w:p>
            <w:pPr>
              <w:shd w:val="clear" w:color="auto" w:fill="FFFFFF"/>
              <w:rPr>
                <w:rFonts w:ascii="Times New Roman" w:hAnsi="Times New Roman" w:cs="Times New Roman"/>
                <w:sz w:val="20"/>
                <w:szCs w:val="20"/>
              </w:rPr>
            </w:pPr>
            <w:r>
              <w:rPr>
                <w:rFonts w:ascii="Times New Roman" w:hAnsi="Times New Roman" w:cs="Times New Roman"/>
                <w:sz w:val="20"/>
                <w:szCs w:val="20"/>
              </w:rPr>
              <w:t>Členské štáty zabezpečia, aby bola podpora kogenerácii – existujúcim a budúcim jednotkám – založená na dopyte po využiteľnom teple a na úsporách primárnej energie vzhľadom na existujúce príležitosti na znižovanie dopytu po energii prostredníctvom ekonomicky realizovateľných alebo environmentálne výhodných opatrení, ako sú iné opatrenia zamerané na energetickú účinnosť.</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xml:space="preserve">§: 3 </w:t>
            </w:r>
          </w:p>
          <w:p>
            <w:pPr>
              <w:pStyle w:val="Normlny"/>
              <w:jc w:val="center"/>
              <w:rPr>
                <w:rFonts w:ascii="Times New Roman" w:hAnsi="Times New Roman" w:cs="Times New Roman"/>
              </w:rPr>
            </w:pPr>
            <w:r>
              <w:rPr>
                <w:rFonts w:ascii="Times New Roman" w:hAnsi="Times New Roman" w:cs="Times New Roman"/>
              </w:rPr>
              <w:t>O: 3</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bc"/>
              <w:tabs>
                <w:tab w:val="clear" w:pos="360"/>
                <w:tab w:val="clear" w:pos="680"/>
              </w:tabs>
              <w:rPr>
                <w:rFonts w:ascii="Times New Roman" w:hAnsi="Times New Roman" w:cs="Times New Roman"/>
                <w:szCs w:val="19"/>
                <w:lang w:eastAsia="sk-SK"/>
              </w:rPr>
            </w:pPr>
            <w:r>
              <w:rPr>
                <w:rFonts w:ascii="Times New Roman" w:hAnsi="Times New Roman" w:cs="Times New Roman"/>
              </w:rPr>
              <w:t xml:space="preserve">(3) </w:t>
            </w:r>
            <w:r>
              <w:rPr>
                <w:rFonts w:ascii="Times New Roman" w:hAnsi="Times New Roman" w:cs="Times New Roman"/>
                <w:szCs w:val="19"/>
                <w:lang w:eastAsia="sk-SK"/>
              </w:rPr>
              <w:t>Podpora podľa odseku 1 písm. b) a c) sa vzťahuje na zariadenia výrobcu elektriny</w:t>
            </w:r>
          </w:p>
          <w:p>
            <w:pPr>
              <w:pStyle w:val="BodyText2"/>
              <w:tabs>
                <w:tab w:val="left" w:pos="168"/>
                <w:tab w:val="clear" w:pos="254"/>
              </w:tabs>
              <w:ind w:left="168" w:hanging="168"/>
              <w:jc w:val="both"/>
              <w:rPr>
                <w:rFonts w:ascii="Times New Roman" w:hAnsi="Times New Roman" w:cs="Times New Roman"/>
              </w:rPr>
            </w:pPr>
            <w:r>
              <w:rPr>
                <w:rFonts w:ascii="Times New Roman" w:hAnsi="Times New Roman" w:cs="Times New Roman"/>
                <w:color w:val="auto"/>
              </w:rPr>
              <w:t xml:space="preserve">a) </w:t>
            </w:r>
            <w:r>
              <w:rPr>
                <w:rFonts w:ascii="Times New Roman" w:hAnsi="Times New Roman" w:cs="Times New Roman"/>
                <w:color w:val="auto"/>
                <w:szCs w:val="28"/>
              </w:rPr>
              <w:t xml:space="preserve"> s celkovým inštalovaným výkonom do 30 MW,..</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0:2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jc w:val="both"/>
              <w:rPr>
                <w:rFonts w:ascii="Times New Roman" w:hAnsi="Times New Roman" w:cs="Times New Roman"/>
                <w:sz w:val="20"/>
                <w:szCs w:val="20"/>
              </w:rPr>
            </w:pPr>
            <w:r>
              <w:rPr>
                <w:rFonts w:ascii="Times New Roman" w:hAnsi="Times New Roman" w:cs="Times New Roman"/>
                <w:sz w:val="20"/>
                <w:szCs w:val="20"/>
              </w:rPr>
              <w:t>Bez toho, aby boli dotknuté články 87 a 88 zmluvy, Komisia posudzuje uplatňovanie podporných mechanizmov používaných v členských štátoch, podľa ktorých výrobca využívajúci kogeneráciu poberá na základe nariadení, ktoré vydali štátne orgány, priamu alebo nepriamu podporu, ktorá by mohla mať za účinok obmedzenie obchodu.</w:t>
            </w:r>
          </w:p>
          <w:p>
            <w:pPr>
              <w:shd w:val="clear" w:color="auto" w:fill="FFFFFF"/>
              <w:rPr>
                <w:rFonts w:ascii="Times New Roman" w:hAnsi="Times New Roman" w:cs="Times New Roman"/>
                <w:sz w:val="20"/>
                <w:szCs w:val="20"/>
              </w:rPr>
            </w:pPr>
            <w:r>
              <w:rPr>
                <w:rFonts w:ascii="Times New Roman" w:hAnsi="Times New Roman" w:cs="Times New Roman"/>
                <w:sz w:val="20"/>
                <w:szCs w:val="20"/>
              </w:rPr>
              <w:t>Komisia posúdi, či tieto mechanizmy prispievajú k dosahovaniu cieľov stanovených v článku 6 a v článku 17 ods. 1 zmluvy.</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000000"/>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Č:7</w:t>
            </w:r>
          </w:p>
          <w:p>
            <w:pPr>
              <w:jc w:val="center"/>
              <w:rPr>
                <w:rFonts w:ascii="Times New Roman" w:hAnsi="Times New Roman" w:cs="Times New Roman"/>
                <w:sz w:val="20"/>
                <w:szCs w:val="20"/>
              </w:rPr>
            </w:pPr>
            <w:r>
              <w:rPr>
                <w:rFonts w:ascii="Times New Roman" w:hAnsi="Times New Roman" w:cs="Times New Roman"/>
                <w:sz w:val="20"/>
                <w:szCs w:val="20"/>
              </w:rPr>
              <w:t>0:3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240"/>
              </w:tabs>
              <w:jc w:val="both"/>
              <w:rPr>
                <w:rFonts w:ascii="Times New Roman" w:hAnsi="Times New Roman" w:cs="Times New Roman"/>
                <w:sz w:val="20"/>
                <w:szCs w:val="20"/>
              </w:rPr>
            </w:pPr>
            <w:r>
              <w:rPr>
                <w:rFonts w:ascii="Times New Roman" w:hAnsi="Times New Roman" w:cs="Times New Roman"/>
                <w:sz w:val="20"/>
                <w:szCs w:val="20"/>
              </w:rPr>
              <w:t>V správe uvedenej v článku 11 Komisia predloží riadne zdokumentovanú analýzu skúseností získaných pri uplatňovaní a koexistencii rôznych podporných mechanizmov uvedených v odseku 2 tohto článku. V tejto správe zhodnotí úspešnosť programov podpory pri podpore využívania vysokoúčinnej kogenerácie v súlade s národnými potenciálmi uvedenými v článku 6, vrátane efektívnosti vynaloženia nákladov. V tejto správe ďalej posúdi, do akej miery prispeli tiet</w:t>
            </w:r>
            <w:r>
              <w:rPr>
                <w:rFonts w:ascii="Times New Roman" w:hAnsi="Times New Roman" w:cs="Times New Roman"/>
                <w:sz w:val="20"/>
                <w:szCs w:val="20"/>
              </w:rPr>
              <w:t>o podporné programy k vytvoreniu stabilných podmienok pre investície do kogenerácie.</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color w:val="000000"/>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Č:8</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tavec"/>
              <w:spacing w:before="0" w:line="240" w:lineRule="auto"/>
              <w:rPr>
                <w:rFonts w:ascii="Times New Roman" w:hAnsi="Times New Roman" w:cs="Times New Roman"/>
                <w:color w:val="000000"/>
                <w:sz w:val="20"/>
                <w:lang w:eastAsia="sk-SK"/>
              </w:rPr>
            </w:pPr>
            <w:r>
              <w:rPr>
                <w:rFonts w:ascii="Times New Roman" w:hAnsi="Times New Roman" w:cs="Times New Roman"/>
                <w:color w:val="000000"/>
                <w:sz w:val="20"/>
                <w:lang w:eastAsia="sk-SK"/>
              </w:rPr>
              <w:t>Záležitosti distribučnej el. siete a taríf</w:t>
            </w:r>
          </w:p>
          <w:p>
            <w:pPr>
              <w:shd w:val="clear" w:color="auto" w:fill="FFFFFF"/>
              <w:jc w:val="both"/>
              <w:rPr>
                <w:rFonts w:ascii="Times New Roman" w:hAnsi="Times New Roman" w:cs="Times New Roman"/>
                <w:sz w:val="20"/>
                <w:szCs w:val="20"/>
              </w:rPr>
            </w:pPr>
            <w:r>
              <w:rPr>
                <w:rFonts w:ascii="Times New Roman" w:hAnsi="Times New Roman" w:cs="Times New Roman"/>
                <w:sz w:val="20"/>
                <w:szCs w:val="20"/>
              </w:rPr>
              <w:t>Na účel zabezpečenia prenosu a distribúcie elektriny vyrobenej vysokoúčinnou kogeneráciou platia ustanovenia článku 7 ods. 1, ods. 2 a ods. 5 smernice 2001/77/ES, ako aj príslušné ustanovenia smernice 2003/54/ES.</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Ná</w:t>
            </w:r>
            <w:r>
              <w:rPr>
                <w:rFonts w:ascii="Times New Roman" w:hAnsi="Times New Roman" w:cs="Times New Roman"/>
                <w:sz w:val="20"/>
                <w:szCs w:val="20"/>
              </w:rPr>
              <w:t>vrh zákona</w:t>
            </w:r>
          </w:p>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r>
              <w:rPr>
                <w:rFonts w:ascii="Times New Roman" w:hAnsi="Times New Roman"/>
                <w:sz w:val="20"/>
              </w:rPr>
              <w:t>§:4</w:t>
            </w:r>
          </w:p>
          <w:p>
            <w:pPr>
              <w:pStyle w:val="EnvelopeReturn"/>
              <w:jc w:val="center"/>
              <w:rPr>
                <w:rFonts w:ascii="Times New Roman" w:hAnsi="Times New Roman"/>
                <w:sz w:val="20"/>
              </w:rPr>
            </w:pPr>
            <w:r>
              <w:rPr>
                <w:rFonts w:ascii="Times New Roman" w:hAnsi="Times New Roman"/>
                <w:sz w:val="20"/>
              </w:rPr>
              <w:t>O:1</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§:22</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P:w</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P:m</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P:b</w:t>
            </w: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P:c</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§:5</w:t>
            </w:r>
          </w:p>
          <w:p>
            <w:pPr>
              <w:pStyle w:val="EnvelopeReturn"/>
              <w:jc w:val="center"/>
              <w:rPr>
                <w:rFonts w:ascii="Times New Roman" w:hAnsi="Times New Roman"/>
                <w:sz w:val="20"/>
              </w:rPr>
            </w:pPr>
            <w:r>
              <w:rPr>
                <w:rFonts w:ascii="Times New Roman" w:hAnsi="Times New Roman"/>
                <w:sz w:val="20"/>
              </w:rPr>
              <w:t>O:3</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pStyle w:val="EnvelopeReturn"/>
              <w:jc w:val="center"/>
              <w:rPr>
                <w:rFonts w:ascii="Times New Roman" w:hAnsi="Times New Roman"/>
                <w:sz w:val="20"/>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autoSpaceDE/>
              <w:autoSpaceDN/>
              <w:jc w:val="both"/>
              <w:rPr>
                <w:rFonts w:ascii="Times New Roman" w:hAnsi="Times New Roman" w:cs="Times New Roman"/>
                <w:sz w:val="20"/>
              </w:rPr>
            </w:pPr>
            <w:r>
              <w:rPr>
                <w:rFonts w:ascii="Times New Roman" w:hAnsi="Times New Roman" w:cs="Times New Roman"/>
                <w:sz w:val="20"/>
              </w:rPr>
              <w:t>Výrobca elektriny z obnoviteľných zdrojov energie a výrobca elektriny kombinovanou výrobou (ďalej len „výrobca e</w:t>
            </w:r>
            <w:r>
              <w:rPr>
                <w:rFonts w:ascii="Times New Roman" w:hAnsi="Times New Roman" w:cs="Times New Roman"/>
                <w:sz w:val="20"/>
              </w:rPr>
              <w:t>lektriny“) má právo na</w:t>
            </w:r>
          </w:p>
          <w:p>
            <w:pPr>
              <w:pStyle w:val="BodyText"/>
              <w:rPr>
                <w:rFonts w:ascii="Times New Roman" w:hAnsi="Times New Roman" w:cs="Times New Roman"/>
                <w:color w:val="auto"/>
              </w:rPr>
            </w:pPr>
            <w:r>
              <w:rPr>
                <w:rFonts w:ascii="Times New Roman" w:hAnsi="Times New Roman" w:cs="Times New Roman"/>
              </w:rPr>
              <w:t xml:space="preserve">a) prednostné pripojenie, </w:t>
            </w:r>
            <w:r>
              <w:rPr>
                <w:rFonts w:ascii="Times New Roman" w:hAnsi="Times New Roman" w:cs="Times New Roman"/>
                <w:color w:val="auto"/>
              </w:rPr>
              <w:t>prednostný prenos, prednostnú distribúciu a prednostnú dodávku elektriny, ak zariadenie na výrobu elektriny spĺňa technické podmienky prevádzkovateľa sústavy podľa osobitného predpisu</w:t>
            </w:r>
            <w:r>
              <w:rPr>
                <w:rStyle w:val="FootnoteReference"/>
                <w:rFonts w:ascii="Times New Roman" w:hAnsi="Times New Roman" w:cs="Times New Roman"/>
                <w:color w:val="auto"/>
                <w:rtl w:val="0"/>
              </w:rPr>
              <w:footnoteReference w:id="3"/>
            </w:r>
            <w:r>
              <w:rPr>
                <w:rFonts w:ascii="Times New Roman" w:hAnsi="Times New Roman" w:cs="Times New Roman"/>
                <w:color w:val="auto"/>
                <w:vertAlign w:val="superscript"/>
              </w:rPr>
              <w:t>)</w:t>
            </w:r>
            <w:r>
              <w:rPr>
                <w:rFonts w:ascii="Times New Roman" w:hAnsi="Times New Roman" w:cs="Times New Roman"/>
                <w:color w:val="auto"/>
              </w:rPr>
              <w:t xml:space="preserve"> a neohrozí bezpečnosť a spoľahlivosť prevádzky sústavy; prednostný prenos elektriny sa nevzťahuje na prenos elektriny spojovacím vedením,</w:t>
            </w:r>
          </w:p>
          <w:p>
            <w:pPr>
              <w:pStyle w:val="BodyText"/>
              <w:rPr>
                <w:rFonts w:ascii="Times New Roman" w:hAnsi="Times New Roman" w:cs="Times New Roman"/>
              </w:rPr>
            </w:pPr>
          </w:p>
          <w:p>
            <w:pPr>
              <w:pStyle w:val="BodyText"/>
              <w:rPr>
                <w:rFonts w:ascii="Times New Roman" w:hAnsi="Times New Roman" w:cs="Times New Roman"/>
                <w:szCs w:val="20"/>
              </w:rPr>
            </w:pPr>
            <w:r>
              <w:rPr>
                <w:rFonts w:ascii="Times New Roman" w:hAnsi="Times New Roman" w:cs="Times New Roman"/>
              </w:rPr>
              <w:t xml:space="preserve"> (2) </w:t>
            </w:r>
            <w:r>
              <w:rPr>
                <w:rFonts w:ascii="Times New Roman" w:hAnsi="Times New Roman" w:cs="Times New Roman"/>
                <w:color w:val="auto"/>
                <w:szCs w:val="20"/>
              </w:rPr>
              <w:t>Prevádzkovateľ distribučnej sústavy je povinný po úhrade poplatku za pripojenie do distribučnej sústavy prednostne pripojiť zariadenia výrobcu elektriny z obnoviteľných zdrojov energie a  kombinovanou výrobou do svojej sústavy,</w:t>
            </w:r>
            <w:r>
              <w:rPr>
                <w:rFonts w:ascii="Times New Roman" w:hAnsi="Times New Roman" w:cs="Times New Roman"/>
                <w:color w:val="auto"/>
              </w:rPr>
              <w:t xml:space="preserve"> ak výrobca spĺňa technické podmienky3) a obchodné podmienky pripojenia do sústavy tak, aby bola zachovaná bezpečnosť, spoľahlivosť a stabilita prevádzky sústavy.</w:t>
            </w:r>
          </w:p>
          <w:p>
            <w:pPr>
              <w:jc w:val="both"/>
              <w:rPr>
                <w:rFonts w:ascii="Times New Roman" w:hAnsi="Times New Roman" w:cs="Times New Roman"/>
                <w:sz w:val="20"/>
              </w:rPr>
            </w:pPr>
          </w:p>
          <w:p>
            <w:pPr>
              <w:jc w:val="both"/>
              <w:rPr>
                <w:rFonts w:ascii="Times New Roman" w:hAnsi="Times New Roman" w:cs="Times New Roman"/>
                <w:b/>
                <w:i/>
                <w:sz w:val="20"/>
                <w:szCs w:val="28"/>
              </w:rPr>
            </w:pPr>
            <w:r>
              <w:rPr>
                <w:rFonts w:ascii="Times New Roman" w:hAnsi="Times New Roman" w:cs="Times New Roman"/>
                <w:sz w:val="20"/>
                <w:szCs w:val="28"/>
              </w:rPr>
              <w:t>Prevádzkovateľ prenosovej sústavy je povinný</w:t>
            </w:r>
          </w:p>
          <w:p>
            <w:pPr>
              <w:jc w:val="both"/>
              <w:rPr>
                <w:rFonts w:ascii="Times New Roman" w:hAnsi="Times New Roman" w:cs="Times New Roman"/>
                <w:sz w:val="20"/>
                <w:szCs w:val="28"/>
              </w:rPr>
            </w:pPr>
            <w:r>
              <w:rPr>
                <w:rFonts w:ascii="Times New Roman" w:hAnsi="Times New Roman" w:cs="Times New Roman"/>
                <w:sz w:val="20"/>
                <w:szCs w:val="28"/>
              </w:rPr>
              <w:t xml:space="preserve">poskytnúť  informácie potrebné  na prístup do sústavy, </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 xml:space="preserve">Prevádzkovateľ distribučnej sústavy je povinný </w:t>
            </w:r>
          </w:p>
          <w:p>
            <w:pPr>
              <w:jc w:val="both"/>
              <w:rPr>
                <w:rFonts w:ascii="Times New Roman" w:hAnsi="Times New Roman" w:cs="Times New Roman"/>
                <w:sz w:val="20"/>
                <w:szCs w:val="28"/>
              </w:rPr>
            </w:pPr>
            <w:r>
              <w:rPr>
                <w:rFonts w:ascii="Times New Roman" w:hAnsi="Times New Roman" w:cs="Times New Roman"/>
                <w:sz w:val="20"/>
                <w:szCs w:val="28"/>
              </w:rPr>
              <w:t xml:space="preserve">poskytnúť  informácie potrebné  na prístup do sústavy, </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zabezpečiť užívateľom distribučnej sústavy nediskriminačné podmienky pre pripojenie  k  sústave,</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zabezpečiť prístup do sústavy na transparentnom a nediskriminačnom princípe s výnimkou plnenia povinností vo všeobecnom  hospodárskom záujme,</w:t>
            </w:r>
          </w:p>
          <w:p>
            <w:pPr>
              <w:autoSpaceDE/>
              <w:autoSpaceDN/>
              <w:rPr>
                <w:rFonts w:ascii="Times New Roman" w:hAnsi="Times New Roman" w:cs="Times New Roman"/>
                <w:sz w:val="20"/>
                <w:szCs w:val="22"/>
              </w:rPr>
            </w:pPr>
          </w:p>
          <w:p>
            <w:pPr>
              <w:jc w:val="both"/>
              <w:rPr>
                <w:rFonts w:ascii="Times New Roman" w:hAnsi="Times New Roman" w:cs="Times New Roman"/>
                <w:sz w:val="20"/>
                <w:szCs w:val="22"/>
              </w:rPr>
            </w:pPr>
            <w:r>
              <w:rPr>
                <w:rFonts w:ascii="Times New Roman" w:hAnsi="Times New Roman" w:cs="Times New Roman"/>
                <w:color w:val="auto"/>
                <w:sz w:val="20"/>
                <w:szCs w:val="22"/>
              </w:rPr>
              <w:t>(3) Povinnosť podľa odseku 2 sa vzťahuje na prevádzkovateľa distribučnej sústavy, ktorého distribučná sústava je technicky spôsobilá na pripojenie a je najbližšie k miestu, kde sa nachádza zariadenie na výrobu elektriny a iná sústava nevykazuje technicky a hospodársky lepší bod napojenia. Sústava sa považuje za technicky spôsobilú aj vtedy, keď je odber elektriny bez ujmy prednosti podľa odseku 2 možný až ekonomicky výhodným rozšírením sústavy; v takomto prípade je prevádzkovateľ sústavy na požiadanie záujemcu o pripojenie povinný sústavu rozšíriť. Ak výstavba zariadenia vyžaduje osvedčenie podľa osobitného predpisu, vzniká povinnosť na rozšírenie len vtedy, ak prevádzkovateľ zariadenia predloží príslušné osvedčenie. Povinnosť na rozšírenie sa týka aj všetkých technických zariadení potrebných na prevádzku sústavy.</w:t>
            </w:r>
          </w:p>
          <w:p>
            <w:pPr>
              <w:jc w:val="both"/>
              <w:rPr>
                <w:rFonts w:ascii="Times New Roman" w:hAnsi="Times New Roman" w:cs="Times New Roman"/>
                <w:sz w:val="20"/>
              </w:rPr>
            </w:pPr>
            <w:r>
              <w:rPr>
                <w:rFonts w:ascii="Times New Roman" w:hAnsi="Times New Roman" w:cs="Times New Roman"/>
                <w:sz w:val="20"/>
                <w:szCs w:val="22"/>
              </w:rPr>
              <w:t xml:space="preserve">(4) </w:t>
            </w:r>
            <w:r>
              <w:rPr>
                <w:rFonts w:ascii="Times New Roman" w:hAnsi="Times New Roman" w:cs="Times New Roman"/>
                <w:color w:val="auto"/>
                <w:sz w:val="20"/>
                <w:szCs w:val="28"/>
              </w:rPr>
              <w:t xml:space="preserve">Náklady na pripojenie podľa odseku 2 a náklady na rozšírenie podľa odseku 3 znáša žiadateľ o pripojenie a prevádzkovateľ distribučnej sústavy. Podrobnosti rozdelenia nákladov na pripojenie a nákladov na rozšírenie medzi žiadateľa a prevádzkovateľa sústavy </w:t>
            </w:r>
            <w:r>
              <w:rPr>
                <w:rFonts w:ascii="Times New Roman" w:hAnsi="Times New Roman" w:cs="Times New Roman"/>
                <w:color w:val="auto"/>
                <w:sz w:val="20"/>
                <w:szCs w:val="28"/>
              </w:rPr>
              <w:t>stanoví všeobecne záväzný právny predpis, ktorý vydá úrad.</w:t>
            </w:r>
          </w:p>
          <w:p>
            <w:pPr>
              <w:pStyle w:val="FootnoteText"/>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Č:8</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Dovtedy, kým sa výrobca využívajúci kogeneráciu nestane podľa vnútroštátnych právnych predpisov oprávneným odberateľom v zmysle článku 21 ods. 1 smernice 2003/54/ES, mali by členské štáty prijať potrebné opatrenia, ktorými zabezpečia, že tarify za nákup záložnej elektriny alebo špičkovej elektriny sa budú určovať na základe uverejnených taríf a podmienok.</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xml:space="preserve">Zákon č. 656/04 </w:t>
              <w:br/>
              <w:t xml:space="preserve">Z. z. </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jc w:val="center"/>
              <w:rPr>
                <w:rFonts w:ascii="Times New Roman" w:hAnsi="Times New Roman" w:cs="Times New Roman"/>
              </w:rPr>
            </w:pPr>
            <w:r>
              <w:rPr>
                <w:rFonts w:ascii="Times New Roman" w:hAnsi="Times New Roman" w:cs="Times New Roman"/>
              </w:rPr>
              <w:t>§: 29</w:t>
            </w:r>
          </w:p>
          <w:p>
            <w:pPr>
              <w:pStyle w:val="Normlny"/>
              <w:jc w:val="center"/>
              <w:rPr>
                <w:rFonts w:ascii="Times New Roman" w:hAnsi="Times New Roman" w:cs="Times New Roman"/>
              </w:rPr>
            </w:pPr>
            <w:r>
              <w:rPr>
                <w:rFonts w:ascii="Times New Roman" w:hAnsi="Times New Roman" w:cs="Times New Roman"/>
              </w:rPr>
              <w:t>O: 1</w:t>
            </w: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(1) Oprávnený odberateľ má právo</w:t>
            </w:r>
          </w:p>
          <w:p>
            <w:pPr>
              <w:jc w:val="both"/>
              <w:rPr>
                <w:rFonts w:ascii="Times New Roman" w:hAnsi="Times New Roman" w:cs="Times New Roman"/>
                <w:sz w:val="20"/>
                <w:szCs w:val="20"/>
              </w:rPr>
            </w:pPr>
            <w:r>
              <w:rPr>
                <w:rFonts w:ascii="Times New Roman" w:hAnsi="Times New Roman" w:cs="Times New Roman"/>
                <w:sz w:val="20"/>
                <w:szCs w:val="20"/>
              </w:rPr>
              <w:t xml:space="preserve">a) uzatvoriť zmluvu o dodávke elektriny s dodávateľom elektriny alebo obchodníkom s elektrinou; </w:t>
            </w:r>
          </w:p>
          <w:p>
            <w:pPr>
              <w:jc w:val="both"/>
              <w:rPr>
                <w:rFonts w:ascii="Times New Roman" w:hAnsi="Times New Roman" w:cs="Times New Roman"/>
                <w:sz w:val="20"/>
                <w:szCs w:val="20"/>
              </w:rPr>
            </w:pPr>
            <w:r>
              <w:rPr>
                <w:rFonts w:ascii="Times New Roman" w:hAnsi="Times New Roman" w:cs="Times New Roman"/>
                <w:sz w:val="20"/>
                <w:szCs w:val="20"/>
              </w:rPr>
              <w:t xml:space="preserve">odmietnutie uzatvoriť zmluvu o dodávke elektriny musí dodávateľ elektriny a obchodník s elektrinou odôvodniť, </w:t>
              <w:br/>
              <w:t xml:space="preserve">b) uzatvoriť zmluvu o prenose elektriny s prevádzkovateľom prenosovej sústavy alebo zmluvu o distribúcii elektriny s prevádzkovateľom distribučnej sústavy, ak tieto služby nezabezpečil dodávateľ elektriny alebo obchodník s elektrinou, </w:t>
            </w:r>
          </w:p>
          <w:p>
            <w:pPr>
              <w:jc w:val="both"/>
              <w:rPr>
                <w:rFonts w:ascii="Times New Roman" w:hAnsi="Times New Roman" w:cs="Times New Roman"/>
              </w:rPr>
            </w:pPr>
            <w:r>
              <w:rPr>
                <w:rFonts w:ascii="Times New Roman" w:hAnsi="Times New Roman" w:cs="Times New Roman"/>
                <w:sz w:val="20"/>
                <w:szCs w:val="20"/>
              </w:rPr>
              <w:t xml:space="preserve">c) na pripojenie k sústave, ak odberné zariadenie oprávneného odberateľa spĺňa technické podmienky pripojenia, </w:t>
              <w:br/>
              <w:t>d) uzatvoriť zmluvu o pripojení vlastného zariadenia na výrobu elektriny k sústave s prevádzkovateľom prenosovej sústavy alebo prevádzkovateľom distribučnej sústavy, ak spĺňa technické a obchodné podmienky pripojenia.</w:t>
              <w:br/>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Č:8</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Členské štáty môžu na základe oznámenia Komisii uľahčiť prístup do distribučnej siete elektriny vyrobenej vysokoúčinnou kogeneráciou v kogeneračných jednotkách malých výkonov a v mikrokogeneračných jednotkách</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D</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808080"/>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jc w:val="both"/>
              <w:rPr>
                <w:rFonts w:ascii="Times New Roman" w:hAnsi="Times New Roman" w:cs="Times New Roman"/>
                <w:szCs w:val="20"/>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val="2323"/>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w:t>
            </w:r>
            <w:r>
              <w:rPr>
                <w:rFonts w:ascii="Times New Roman" w:hAnsi="Times New Roman" w:cs="Times New Roman"/>
                <w:sz w:val="20"/>
                <w:szCs w:val="20"/>
              </w:rPr>
              <w:t>:9</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Administratívne postupy</w:t>
            </w: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Členské štáty alebo príslušné orgány určené členskými štátmi posudzujú existujúce právne predpisy a regulačný rámec vzhľadom na povoľovacie postupy alebo iné postupy ustanovené v článku 6 smernice 2003/54/ES, ktoré sú uplatniteľné na vysoko účinné kogeneračné jednotky.</w:t>
            </w:r>
          </w:p>
          <w:p>
            <w:pPr>
              <w:shd w:val="clear" w:color="auto" w:fill="FFFFFF"/>
              <w:tabs>
                <w:tab w:val="left" w:pos="245"/>
              </w:tabs>
              <w:jc w:val="both"/>
              <w:rPr>
                <w:rFonts w:ascii="Times New Roman" w:hAnsi="Times New Roman" w:cs="Times New Roman"/>
                <w:sz w:val="20"/>
                <w:szCs w:val="20"/>
              </w:rPr>
            </w:pP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nil"/>
              <w:right w:val="single" w:sz="4" w:space="0" w:color="auto"/>
              <w:tl2br w:val="nil"/>
              <w:tr2bl w:val="nil"/>
            </w:tcBorders>
            <w:textDirection w:val="lrTb"/>
            <w:vAlign w:val="top"/>
          </w:tcPr>
          <w:p>
            <w:pPr>
              <w:pStyle w:val="FootnoteText"/>
              <w:jc w:val="center"/>
              <w:rPr>
                <w:rFonts w:ascii="Times New Roman" w:hAnsi="Times New Roman" w:cs="Times New Roman"/>
                <w:szCs w:val="24"/>
              </w:rPr>
            </w:pPr>
            <w:r>
              <w:rPr>
                <w:rFonts w:ascii="Times New Roman" w:hAnsi="Times New Roman" w:cs="Times New Roman"/>
                <w:szCs w:val="24"/>
              </w:rPr>
              <w:t xml:space="preserve"> </w:t>
            </w:r>
          </w:p>
          <w:p>
            <w:pPr>
              <w:pStyle w:val="FootnoteText"/>
              <w:jc w:val="center"/>
              <w:rPr>
                <w:rFonts w:ascii="Times New Roman" w:hAnsi="Times New Roman" w:cs="Times New Roman"/>
              </w:rPr>
            </w:pPr>
            <w:r>
              <w:rPr>
                <w:rFonts w:ascii="Times New Roman" w:hAnsi="Times New Roman" w:cs="Times New Roman"/>
              </w:rPr>
              <w:t>návrh zákona</w:t>
            </w: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p>
            <w:pPr>
              <w:pStyle w:val="FootnoteText"/>
              <w:jc w:val="center"/>
              <w:rPr>
                <w:rFonts w:ascii="Times New Roman" w:hAnsi="Times New Roman" w:cs="Times New Roman"/>
              </w:rPr>
            </w:pP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 14</w:t>
            </w: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r>
              <w:rPr>
                <w:rFonts w:ascii="Times New Roman" w:hAnsi="Times New Roman" w:cs="Times New Roman"/>
                <w:sz w:val="20"/>
                <w:szCs w:val="20"/>
              </w:rPr>
              <w:t>P: a</w:t>
            </w: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pStyle w:val="Normlny"/>
              <w:jc w:val="center"/>
              <w:rPr>
                <w:rFonts w:ascii="Times New Roman" w:hAnsi="Times New Roman" w:cs="Times New Roman"/>
              </w:rPr>
            </w:pP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pStyle w:val="BodyTextIndent"/>
              <w:tabs>
                <w:tab w:val="left" w:pos="540"/>
              </w:tabs>
              <w:jc w:val="both"/>
              <w:rPr>
                <w:rFonts w:ascii="Times New Roman" w:hAnsi="Times New Roman" w:cs="Times New Roman"/>
              </w:rPr>
            </w:pPr>
            <w:r>
              <w:rPr>
                <w:rFonts w:ascii="Times New Roman" w:hAnsi="Times New Roman" w:cs="Times New Roman"/>
                <w:bCs/>
                <w:iCs/>
                <w:color w:val="000000"/>
                <w:szCs w:val="28"/>
              </w:rPr>
              <w:t xml:space="preserve">a) </w:t>
            </w:r>
            <w:r>
              <w:rPr>
                <w:rFonts w:ascii="Times New Roman" w:hAnsi="Times New Roman" w:cs="Times New Roman"/>
              </w:rPr>
              <w:t>posúdenie právnych predpisov upravujúcich podmienky podnikania, ktoré sa týkajú vysoko účinnej kombinovanej výroby,</w:t>
            </w:r>
          </w:p>
          <w:p>
            <w:pPr>
              <w:pStyle w:val="BodyTextIndent"/>
              <w:tabs>
                <w:tab w:val="left" w:pos="540"/>
              </w:tabs>
              <w:jc w:val="both"/>
              <w:rPr>
                <w:rFonts w:ascii="Times New Roman" w:hAnsi="Times New Roman" w:cs="Times New Roman"/>
              </w:rPr>
            </w:pPr>
          </w:p>
          <w:p>
            <w:pPr>
              <w:pStyle w:val="BodyTextIndent"/>
              <w:tabs>
                <w:tab w:val="left" w:pos="540"/>
              </w:tabs>
              <w:jc w:val="both"/>
              <w:rPr>
                <w:rFonts w:ascii="Times New Roman" w:hAnsi="Times New Roman" w:cs="Times New Roman"/>
              </w:rPr>
            </w:pPr>
          </w:p>
          <w:p>
            <w:pPr>
              <w:pStyle w:val="BodyTextIndent"/>
              <w:tabs>
                <w:tab w:val="left" w:pos="540"/>
              </w:tabs>
              <w:jc w:val="both"/>
              <w:rPr>
                <w:rFonts w:ascii="Times New Roman" w:hAnsi="Times New Roman" w:cs="Times New Roman"/>
              </w:rPr>
            </w:pPr>
          </w:p>
          <w:p>
            <w:pPr>
              <w:pStyle w:val="Normlny"/>
              <w:jc w:val="both"/>
              <w:rPr>
                <w:rFonts w:ascii="Times New Roman" w:hAnsi="Times New Roman" w:cs="Times New Roman"/>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cantSplit/>
          <w:trHeight w:val="5026"/>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P:a</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P:b</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P:c</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:d</w:t>
            </w: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Toto posudzovanie sa vykonáva s cieľom:</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podnecovať navrhovanie kogeneračných jednotiek kvôli uspokojovaniu zdôvodneného dopytu po výrobe využiteľného tepla a predchádzať výrobe väčšieho množstva tepla, než je využiteľné teplo;</w:t>
            </w:r>
          </w:p>
          <w:p>
            <w:pPr>
              <w:pStyle w:val="Normlnywebov8"/>
              <w:spacing w:before="0" w:after="0"/>
              <w:ind w:left="0" w:right="0"/>
              <w:rPr>
                <w:rFonts w:ascii="Times New Roman" w:hAnsi="Times New Roman" w:cs="Times New Roman"/>
                <w:sz w:val="20"/>
                <w:szCs w:val="20"/>
              </w:rPr>
            </w:pP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zmenšovať regulačné a mimo regulačné prekážky zvyšovania kogenerácie;</w:t>
            </w:r>
          </w:p>
          <w:p>
            <w:pPr>
              <w:pStyle w:val="Normlnywebov8"/>
              <w:spacing w:before="0" w:after="0"/>
              <w:ind w:left="0" w:right="0"/>
              <w:rPr>
                <w:rFonts w:ascii="Times New Roman" w:hAnsi="Times New Roman" w:cs="Times New Roman"/>
                <w:sz w:val="20"/>
                <w:szCs w:val="20"/>
              </w:rPr>
            </w:pPr>
          </w:p>
          <w:p>
            <w:pPr>
              <w:pStyle w:val="Normlnywebov8"/>
              <w:spacing w:before="0" w:after="0"/>
              <w:ind w:left="0" w:right="-43"/>
              <w:jc w:val="both"/>
              <w:rPr>
                <w:rFonts w:ascii="Times New Roman" w:hAnsi="Times New Roman" w:cs="Times New Roman"/>
                <w:sz w:val="20"/>
                <w:szCs w:val="20"/>
              </w:rPr>
            </w:pPr>
            <w:r>
              <w:rPr>
                <w:rFonts w:ascii="Times New Roman" w:hAnsi="Times New Roman" w:cs="Times New Roman"/>
                <w:sz w:val="20"/>
                <w:szCs w:val="20"/>
              </w:rPr>
              <w:t>zjednodušovať a urýchľovať postupy na príslušnej administratívnej úrovni a</w:t>
            </w:r>
          </w:p>
          <w:p>
            <w:pPr>
              <w:shd w:val="clear" w:color="auto" w:fill="FFFFFF"/>
              <w:tabs>
                <w:tab w:val="left" w:pos="245"/>
              </w:tabs>
              <w:jc w:val="both"/>
              <w:rPr>
                <w:rFonts w:ascii="Times New Roman" w:hAnsi="Times New Roman" w:cs="Times New Roman"/>
                <w:sz w:val="20"/>
                <w:szCs w:val="20"/>
              </w:rPr>
            </w:pP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zabezpečovať, aby tieto pravidlá boli objektívne, transparentné a nediskriminačné a plne zohľadňovali zvláštnosti rôznych kogeneračnýc</w:t>
            </w:r>
            <w:r>
              <w:rPr>
                <w:rFonts w:ascii="Times New Roman" w:hAnsi="Times New Roman" w:cs="Times New Roman"/>
                <w:sz w:val="20"/>
                <w:szCs w:val="20"/>
              </w:rPr>
              <w:t>h technológií.</w:t>
            </w:r>
          </w:p>
          <w:p>
            <w:pPr>
              <w:shd w:val="clear" w:color="auto" w:fill="FFFFFF"/>
              <w:tabs>
                <w:tab w:val="left" w:pos="245"/>
              </w:tabs>
              <w:rPr>
                <w:rFonts w:ascii="Times New Roman" w:hAnsi="Times New Roman" w:cs="Times New Roman"/>
                <w:sz w:val="20"/>
                <w:szCs w:val="20"/>
              </w:rPr>
            </w:pP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N</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 xml:space="preserve"> </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 14</w:t>
            </w:r>
          </w:p>
          <w:p>
            <w:pPr>
              <w:jc w:val="center"/>
              <w:rPr>
                <w:rFonts w:ascii="Times New Roman" w:hAnsi="Times New Roman" w:cs="Times New Roman"/>
                <w:sz w:val="20"/>
                <w:szCs w:val="20"/>
              </w:rPr>
            </w:pPr>
            <w:r>
              <w:rPr>
                <w:rFonts w:ascii="Times New Roman" w:hAnsi="Times New Roman" w:cs="Times New Roman"/>
                <w:sz w:val="20"/>
                <w:szCs w:val="20"/>
              </w:rPr>
              <w:t>O: 2</w:t>
            </w:r>
          </w:p>
          <w:p>
            <w:pPr>
              <w:jc w:val="center"/>
              <w:rPr>
                <w:rFonts w:ascii="Times New Roman" w:hAnsi="Times New Roman" w:cs="Times New Roman"/>
                <w:sz w:val="20"/>
                <w:szCs w:val="20"/>
              </w:rPr>
            </w:pPr>
            <w:r>
              <w:rPr>
                <w:rFonts w:ascii="Times New Roman" w:hAnsi="Times New Roman" w:cs="Times New Roman"/>
                <w:sz w:val="20"/>
                <w:szCs w:val="20"/>
              </w:rPr>
              <w:t>P: b), c)</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 14</w:t>
            </w:r>
          </w:p>
          <w:p>
            <w:pPr>
              <w:jc w:val="center"/>
              <w:rPr>
                <w:rFonts w:ascii="Times New Roman" w:hAnsi="Times New Roman" w:cs="Times New Roman"/>
                <w:sz w:val="20"/>
                <w:szCs w:val="20"/>
              </w:rPr>
            </w:pPr>
            <w:r>
              <w:rPr>
                <w:rFonts w:ascii="Times New Roman" w:hAnsi="Times New Roman" w:cs="Times New Roman"/>
                <w:sz w:val="20"/>
                <w:szCs w:val="20"/>
              </w:rPr>
              <w:t>O: 2</w:t>
            </w:r>
          </w:p>
          <w:p>
            <w:pPr>
              <w:jc w:val="center"/>
              <w:rPr>
                <w:rFonts w:ascii="Times New Roman" w:hAnsi="Times New Roman" w:cs="Times New Roman"/>
                <w:sz w:val="20"/>
                <w:szCs w:val="20"/>
              </w:rPr>
            </w:pPr>
            <w:r>
              <w:rPr>
                <w:rFonts w:ascii="Times New Roman" w:hAnsi="Times New Roman" w:cs="Times New Roman"/>
                <w:sz w:val="20"/>
                <w:szCs w:val="20"/>
              </w:rPr>
              <w:t>P: e)</w:t>
            </w: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d)</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 14</w:t>
            </w:r>
          </w:p>
          <w:p>
            <w:pPr>
              <w:jc w:val="center"/>
              <w:rPr>
                <w:rFonts w:ascii="Times New Roman" w:hAnsi="Times New Roman" w:cs="Times New Roman"/>
                <w:sz w:val="20"/>
                <w:szCs w:val="20"/>
              </w:rPr>
            </w:pPr>
            <w:r>
              <w:rPr>
                <w:rFonts w:ascii="Times New Roman" w:hAnsi="Times New Roman" w:cs="Times New Roman"/>
                <w:sz w:val="20"/>
                <w:szCs w:val="20"/>
              </w:rPr>
              <w:t>O:1</w:t>
            </w:r>
          </w:p>
          <w:p>
            <w:pPr>
              <w:pStyle w:val="Normlny"/>
              <w:jc w:val="center"/>
              <w:rPr>
                <w:rFonts w:ascii="Times New Roman" w:hAnsi="Times New Roman" w:cs="Times New Roman"/>
              </w:rPr>
            </w:pPr>
            <w:r>
              <w:rPr>
                <w:rFonts w:ascii="Times New Roman" w:hAnsi="Times New Roman" w:cs="Times New Roman"/>
              </w:rPr>
              <w:t>P: a)</w:t>
            </w: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BodyTextIndent"/>
              <w:tabs>
                <w:tab w:val="left" w:pos="540"/>
              </w:tabs>
              <w:jc w:val="left"/>
              <w:rPr>
                <w:rFonts w:ascii="Times New Roman" w:hAnsi="Times New Roman" w:cs="Times New Roman"/>
              </w:rPr>
            </w:pPr>
            <w:r>
              <w:rPr>
                <w:rFonts w:ascii="Times New Roman" w:hAnsi="Times New Roman" w:cs="Times New Roman"/>
              </w:rPr>
              <w:t>b) vyhodnotenie dopytu po využiteľnom teple a chlade, ktorý je vhodný na uplatnenie vysoko  účinnou kombinovanou výrobou,</w:t>
            </w:r>
          </w:p>
          <w:p>
            <w:pPr>
              <w:pStyle w:val="BodyTextIndent"/>
              <w:tabs>
                <w:tab w:val="left" w:pos="540"/>
              </w:tabs>
              <w:jc w:val="left"/>
              <w:rPr>
                <w:rFonts w:ascii="Times New Roman" w:hAnsi="Times New Roman" w:cs="Times New Roman"/>
              </w:rPr>
            </w:pPr>
            <w:r>
              <w:rPr>
                <w:rFonts w:ascii="Times New Roman" w:hAnsi="Times New Roman" w:cs="Times New Roman"/>
              </w:rPr>
              <w:t>c) posúdenie dostupnosti palív a iných energetických zdrojov, ktoré sa môžu využiť pri kombinovanej výrobe,</w:t>
            </w:r>
          </w:p>
          <w:p>
            <w:pPr>
              <w:pStyle w:val="BodyTextIndent"/>
              <w:tabs>
                <w:tab w:val="left" w:pos="540"/>
              </w:tabs>
              <w:jc w:val="left"/>
              <w:rPr>
                <w:rFonts w:ascii="Times New Roman" w:hAnsi="Times New Roman" w:cs="Times New Roman"/>
              </w:rPr>
            </w:pPr>
          </w:p>
          <w:p>
            <w:pPr>
              <w:pStyle w:val="BodyTextIndent"/>
              <w:tabs>
                <w:tab w:val="left" w:pos="540"/>
              </w:tabs>
              <w:jc w:val="both"/>
              <w:rPr>
                <w:rFonts w:ascii="Times New Roman" w:hAnsi="Times New Roman" w:cs="Times New Roman"/>
              </w:rPr>
            </w:pPr>
            <w:r>
              <w:rPr>
                <w:rFonts w:ascii="Times New Roman" w:hAnsi="Times New Roman" w:cs="Times New Roman"/>
              </w:rPr>
              <w:t>e) analýzu prekážok, ktoré zabraňujú realizácii národného potenciálu vysoko účinnou kombinovanou výrobou</w:t>
            </w:r>
          </w:p>
          <w:p>
            <w:pPr>
              <w:pStyle w:val="BodyTextIndent"/>
              <w:tabs>
                <w:tab w:val="left" w:pos="540"/>
              </w:tabs>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d)  návrh riešenia, ktorým sa zvýši podiel vysoko účinnou kombinovanou výrobou na trhu s energiami,</w:t>
            </w: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a) zabezpečuje, aby vysoko účinná kombinovaná výroba bola u všetkých výrobcov elektriny vykonávaná nediskriminačne a  plne zohľadňovala zvláštnosti rôznych technológií výroby.</w:t>
            </w: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Č:9</w:t>
            </w:r>
          </w:p>
          <w:p>
            <w:pPr>
              <w:jc w:val="center"/>
              <w:rPr>
                <w:rFonts w:ascii="Times New Roman" w:hAnsi="Times New Roman" w:cs="Times New Roman"/>
                <w:sz w:val="20"/>
                <w:szCs w:val="20"/>
              </w:rPr>
            </w:pPr>
            <w:r>
              <w:rPr>
                <w:rFonts w:ascii="Times New Roman" w:hAnsi="Times New Roman" w:cs="Times New Roman"/>
                <w:sz w:val="20"/>
                <w:szCs w:val="20"/>
              </w:rPr>
              <w:t>0:2</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P:a</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P:b</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P:c</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tabs>
                <w:tab w:val="left" w:pos="3335"/>
              </w:tabs>
              <w:spacing w:before="0" w:after="0"/>
              <w:ind w:left="0"/>
              <w:jc w:val="both"/>
              <w:rPr>
                <w:rFonts w:ascii="Times New Roman" w:hAnsi="Times New Roman" w:cs="Times New Roman"/>
                <w:sz w:val="20"/>
                <w:szCs w:val="20"/>
              </w:rPr>
            </w:pPr>
            <w:r>
              <w:rPr>
                <w:rFonts w:ascii="Times New Roman" w:hAnsi="Times New Roman" w:cs="Times New Roman"/>
                <w:sz w:val="20"/>
                <w:szCs w:val="20"/>
              </w:rPr>
              <w:t>Členské štáty v prípadoch, keď je to v kontexte vnútroštátnych právnych predpisov vhodné, poskytujú informácie o dosiahnutom stupni, najmä v oblasti:</w:t>
            </w:r>
          </w:p>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koordinácie medzi rôznymi administratívnymi orgánmi, pokiaľ ide o konečné termíny, prijímanie a spracovanie žiadostí o povolenia;</w:t>
            </w:r>
          </w:p>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vypracovania možných metodík pre činnosti uvedené v odseku 1 a realizovateľnosti postupu rýchleho plánovania pre výrobcov využívajúcich kogeneráciu a</w:t>
            </w:r>
          </w:p>
          <w:p>
            <w:pPr>
              <w:shd w:val="clear" w:color="auto" w:fill="FFFFFF"/>
              <w:tabs>
                <w:tab w:val="left" w:pos="245"/>
              </w:tabs>
              <w:rPr>
                <w:rFonts w:ascii="Times New Roman" w:hAnsi="Times New Roman" w:cs="Times New Roman"/>
                <w:sz w:val="20"/>
                <w:szCs w:val="20"/>
              </w:rPr>
            </w:pPr>
            <w:r>
              <w:rPr>
                <w:rFonts w:ascii="Times New Roman" w:hAnsi="Times New Roman" w:cs="Times New Roman"/>
                <w:sz w:val="20"/>
                <w:szCs w:val="20"/>
              </w:rPr>
              <w:t>určenia orgánov, ktoré majú pôsobiť ako sprostredkovatelia v sporoch medzi orgánmi zodpovednými za vydávanie povolení a žiadateľmi o povolenia.</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D</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540"/>
              </w:tabs>
              <w:jc w:val="both"/>
              <w:rPr>
                <w:rFonts w:ascii="Times New Roman" w:hAnsi="Times New Roman" w:cs="Times New Roman"/>
                <w:sz w:val="20"/>
                <w:szCs w:val="20"/>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Predkladanie správ členskými štátmi</w:t>
            </w: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Členské štáty najneskôr do 21. februára 2006 uverejnia správu o výsledkoch analýzy a posúdenia vykonaného v súlade s článkom 5 ods. 3, článkom 6 ods. 1, článkom 9 ods. 1 a článkom 9 ods. 2</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14</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tabs>
                <w:tab w:val="left" w:pos="540"/>
              </w:tabs>
              <w:jc w:val="both"/>
              <w:rPr>
                <w:rFonts w:ascii="Times New Roman" w:hAnsi="Times New Roman" w:cs="Times New Roman"/>
                <w:bCs/>
                <w:iCs/>
                <w:color w:val="000000"/>
                <w:szCs w:val="28"/>
              </w:rPr>
            </w:pPr>
            <w:r>
              <w:rPr>
                <w:rFonts w:ascii="Times New Roman" w:hAnsi="Times New Roman" w:cs="Times New Roman"/>
                <w:bCs/>
                <w:iCs/>
                <w:color w:val="000000"/>
                <w:szCs w:val="28"/>
              </w:rPr>
              <w:t xml:space="preserve">(2) Ministerstvo vypracúva a uverejňuje na internete analýzu národného potenciálu pre uplatnenie vysoko účinnej kombinovanej výroby, ktorá obsahuje </w:t>
            </w:r>
          </w:p>
          <w:p>
            <w:pPr>
              <w:pStyle w:val="BodyTextIndent"/>
              <w:tabs>
                <w:tab w:val="left" w:pos="540"/>
              </w:tabs>
              <w:jc w:val="both"/>
              <w:rPr>
                <w:rFonts w:ascii="Times New Roman" w:hAnsi="Times New Roman" w:cs="Times New Roman"/>
              </w:rPr>
            </w:pPr>
            <w:r>
              <w:rPr>
                <w:rFonts w:ascii="Times New Roman" w:hAnsi="Times New Roman" w:cs="Times New Roman"/>
                <w:bCs/>
                <w:iCs/>
                <w:color w:val="000000"/>
                <w:szCs w:val="28"/>
              </w:rPr>
              <w:t xml:space="preserve">b) </w:t>
            </w:r>
            <w:r>
              <w:rPr>
                <w:rFonts w:ascii="Times New Roman" w:hAnsi="Times New Roman" w:cs="Times New Roman"/>
              </w:rPr>
              <w:t>vyhodnotenia dopytu po využiteľnom teple a chlade, ktorý je vhodný na uplatnenie vysoko účinnou kombinovanou výrobou,..</w:t>
            </w:r>
          </w:p>
          <w:p>
            <w:pPr>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cantSplit/>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Členské štáty najneskôr do 21. februára 2007 a potom každé štyri roky na žiadosť Komisie predloženú najmenej šesť mesiacov pred príslušným termínom uverejnia správu o výsledku posúdenia uvedeného v článku 6 ods. 3</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14</w:t>
            </w:r>
          </w:p>
          <w:p>
            <w:pPr>
              <w:pStyle w:val="Normlny"/>
              <w:jc w:val="center"/>
              <w:rPr>
                <w:rFonts w:ascii="Times New Roman" w:hAnsi="Times New Roman" w:cs="Times New Roman"/>
              </w:rPr>
            </w:pPr>
            <w:r>
              <w:rPr>
                <w:rFonts w:ascii="Times New Roman" w:hAnsi="Times New Roman" w:cs="Times New Roman"/>
              </w:rPr>
              <w:t>O:1</w:t>
            </w:r>
          </w:p>
          <w:p>
            <w:pPr>
              <w:pStyle w:val="Normlny"/>
              <w:jc w:val="center"/>
              <w:rPr>
                <w:rFonts w:ascii="Times New Roman" w:hAnsi="Times New Roman" w:cs="Times New Roman"/>
              </w:rPr>
            </w:pPr>
            <w:r>
              <w:rPr>
                <w:rFonts w:ascii="Times New Roman" w:hAnsi="Times New Roman" w:cs="Times New Roman"/>
              </w:rPr>
              <w:t>P: c</w:t>
            </w:r>
          </w:p>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540"/>
              </w:tabs>
              <w:jc w:val="both"/>
              <w:rPr>
                <w:rFonts w:ascii="Times New Roman" w:hAnsi="Times New Roman" w:cs="Times New Roman"/>
                <w:sz w:val="20"/>
                <w:szCs w:val="20"/>
              </w:rPr>
            </w:pPr>
            <w:r>
              <w:rPr>
                <w:rFonts w:ascii="Times New Roman" w:hAnsi="Times New Roman" w:cs="Times New Roman"/>
                <w:sz w:val="20"/>
                <w:szCs w:val="20"/>
              </w:rPr>
              <w:t>c) predkladá na požiadanie Európskej komisie správu o pokroku pri zvyšovaní podielu vysoko účinnej kombinovanej výroby,</w:t>
            </w:r>
          </w:p>
          <w:p>
            <w:pPr>
              <w:jc w:val="both"/>
              <w:rPr>
                <w:rFonts w:ascii="Times New Roman" w:hAnsi="Times New Roman" w:cs="Times New Roman"/>
                <w:sz w:val="20"/>
                <w:szCs w:val="20"/>
              </w:rPr>
            </w:pPr>
          </w:p>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Č:10</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tabs>
                <w:tab w:val="left" w:pos="3335"/>
              </w:tabs>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predložia Komisii v súlade s metodikou uvedenou v prílohe II po prvý raz pred koncom decembra 2004 krycie údaje za rok 2003 a potom každoročne štatistické údaje o národnej výrobe elektriny a tepla kogeneráciou.</w:t>
            </w: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Predkladajú aj ročné štatistické údaje o kogeneračných výkonoch a o palivách používaných pri kogenerácii. Členské štáty môžu v súlade s metodikou uvedenou v prílohe III predkladať aj štatistické údaje o úsporách primárnej energie dosiahnutých uplatňovaním kogenerácie.</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zákon č. 540/2001 Z. z. o štátnej štatistike v znení zákona  č. </w:t>
            </w:r>
            <w:r>
              <w:rPr>
                <w:rFonts w:ascii="Times New Roman" w:hAnsi="Times New Roman" w:cs="Times New Roman"/>
                <w:b w:val="0"/>
                <w:bCs w:val="0"/>
                <w:color w:val="000000"/>
                <w:sz w:val="20"/>
                <w:szCs w:val="20"/>
              </w:rPr>
              <w:t>215/2004 Z. z.</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nil"/>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Predkladanie správ zo strany Komisie</w:t>
            </w: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Komisia na základe správ predkladaných podľa článku 10 posúdi uplatňovanie tejto smernice a najneskôr do 21. februára 2008 a potom každé štyri roky predloží Európskemu parlamentu a Rade správu o postupe uplatňovania tejto smernice.</w:t>
            </w:r>
          </w:p>
        </w:tc>
        <w:tc>
          <w:tcPr>
            <w:tcW w:w="897" w:type="dxa"/>
            <w:tcBorders>
              <w:top w:val="single" w:sz="4" w:space="0" w:color="auto"/>
              <w:left w:val="single" w:sz="4" w:space="0" w:color="auto"/>
              <w:bottom w:val="nil"/>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nil"/>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nil"/>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nil"/>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nil"/>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nil"/>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V tejto správe najmä:</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a) posúdi pokrok v realizácii národných potenciálov pre vysoko účinnú kogeneráciu uvedených v článku 6;</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b) zhodnotí rozsah, v ktorom sú pravidlá a postupy definujúce rámcové podmienky pre kogeneráciu na vnútornom trhu s energiou stanovené na základe objektívnych, transparentných a nediskriminačných kritérií riadne zohľadňujúcich prínosy kogenerácie;</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c) preskúma skúsenosti získané pri uplatňovaní a koexistencii rôznych mechanizmov podpory kogenerácie;</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d) posúdi referenčné hodnoty účinnosti samostatnej výroby na základe súčasných technológií.</w:t>
            </w:r>
          </w:p>
          <w:p>
            <w:pPr>
              <w:shd w:val="clear" w:color="auto" w:fill="FFFFFF"/>
              <w:tabs>
                <w:tab w:val="left" w:pos="245"/>
              </w:tabs>
              <w:jc w:val="both"/>
              <w:rPr>
                <w:rFonts w:ascii="Times New Roman" w:hAnsi="Times New Roman" w:cs="Times New Roman"/>
                <w:sz w:val="20"/>
                <w:szCs w:val="20"/>
              </w:rPr>
            </w:pPr>
            <w:r>
              <w:rPr>
                <w:rFonts w:ascii="Times New Roman" w:hAnsi="Times New Roman" w:cs="Times New Roman"/>
                <w:sz w:val="20"/>
                <w:szCs w:val="20"/>
              </w:rPr>
              <w:t>Spolu s touto správou Komisia podľa potreby predloží Európskemu parlamentu a Rade ďalšie</w:t>
            </w:r>
            <w:r>
              <w:rPr>
                <w:rFonts w:ascii="Times New Roman" w:hAnsi="Times New Roman" w:cs="Times New Roman"/>
                <w:sz w:val="20"/>
                <w:szCs w:val="20"/>
              </w:rPr>
              <w:t xml:space="preserve"> návrhy.</w:t>
            </w:r>
          </w:p>
        </w:tc>
        <w:tc>
          <w:tcPr>
            <w:tcW w:w="897" w:type="dxa"/>
            <w:tcBorders>
              <w:top w:val="nil"/>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nil"/>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nil"/>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nil"/>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nil"/>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0:2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Komisia pri posudzovaní pokroku uvedeného v odseku 1 písm. a) zváži, v akom rozsahu boli národné potenciály pre vysokoúčinnú kogeneráciu uvedené v článku 6 realizované, alebo v akom rozsahu je ich realizácia naplánovaná, tak, aby sa zohľadnili opatrenia a podmienky členského štátu vrátane klimatických podmienok, vplyvy na vnútorný trh s energiou a dôsledky iných iniciatív spoločenstva, ako je smernica Európskeho parlamentu a Rady 2003/87/ES z 13. októbra 2003, ktorou sa vytvára program obchodovania s pridelenými množstvami emisií skleníkových plynov v rámci spoločenstva, a ktorou sa mení a dopĺňa smernica Rady 96/61/ES</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Č:11</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Komisia pri posudzovaní rozsahu ďalšej harmonizácie výpočtových metód uvedených v článku 4 ods. 1 zváži vplyv koexistencie výpočtov uvedených v článku 12, v prílohe II a v prílohe III na vnútorný trh s energiou, pričom zohľadní aj získané skúsenosti s národnými podpornými mechanizmami.</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Komisia podľa potreby predloží Európskemu parlamentu a Rade ďalšie návrhy zamerané na ďalšiu harmonizáciu týchto výpočtových metód</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Alternatívne výpočty</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môžu do konca roku 2010 a na základe predchádzajúceho schválenia zo strany Komisie používať na odčítanie možného množstva elektriny, ktorá nebola vyrobená kogeneráciou v kogeneračnom procese, od hlásených číselných údajov iné metódy, než je metóda ustanovená v bode b) prílohy II. Na účely uvedené v článku 5 ods. 1 a v článku 10 ods. 3 sa však množstvo elektriny vyrobenej kogeneráciou určuje v súlade s prílohou II.</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môžu počítať úspory primárnej energie z výroby tepla a elektriny a mechanickej energie podľa bodu c) príloha III bez toho, aby použili prílohu II na vylúčenie tepla a elektriny, ktoré neboli vyrobené kogeneráciou, a ktoré sú súčasťou toho istého procesu. Takúto výrobu je možné považovať za vysokoúčinnú kogeneráciu za predpokladu, že spĺňa kritériá účinnosti uvedené v bode a) prílohy III, a že v prípade kogeneračných jednotiek s elektrickým výkonom viac než 25 MW je jej celková účinnosť vyššia než 70 %. Určenie množstva elektriny vyrobenej kogeneráciou, ktoré bolo vyrobené uvedeným typom výroby, sa však pre potreby vydania záruky pôvodu a na štatistické účely vykoná v súlade s</w:t>
            </w:r>
            <w:r>
              <w:rPr>
                <w:rFonts w:ascii="Times New Roman" w:hAnsi="Times New Roman" w:cs="Times New Roman"/>
                <w:sz w:val="20"/>
                <w:szCs w:val="20"/>
              </w:rPr>
              <w:t xml:space="preserve"> prílohou II.</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Č:12</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môžu do konca roku 2010 definovať pomocou alternatívnej metodiky kogeneráciu ako vysokoúčinnú kogeneráciu bez toho, aby overili, či táto kogeneračná výroba spĺňa kritériá uvedené v bode a) prílohy III, ak sa na národnej úrovni preukáže, že táto kogeneračná výroba identifikovaná touto metodikou alternatívneho výpočtu v priemere spĺňa kritériá uvedené v bode a) prílohy III. Ak sa pre túto výrobu vydá záruka pôvodu, hodnota účinnosti kogeneračnej výroby stanovená v tejto záruke nesmie prekročiť prahové hodnoty kritérií uvedených v bode a) prílohy III, pokiaľ sa výpočtami vykonanými v súlade s prílohou III nepreukáže opak. Určenie množstva elektriny z kogenerácie, ktoré bolo vyrobené v takom type výroby, pre potreby vydania záruky pôvodu a na štatistické účely sa však vykoná v súlade s prílohou II.</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O</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Č:13</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Posúdenie</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1. Prahové hodnoty používané pri výpočte množstva elektriny vyrobeného kogeneráciou uvedené v bode a) prílohy II sa prispôsobujú technickému pokroku v súlade s postupom uvedeným v článku 14 ods. 2</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2. Prahové hodnoty používané pri výpočte účinnosti kogeneračnej výroby a úspor primárnej energie uvedené v bode a) prílohy III sa prispôsobujú technickému pokroku v súlade s postupom uvedeným v článku 14 ods. 2</w:t>
            </w:r>
          </w:p>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3. Metodika určenia pomeru elektriny k teplu uvedená v bode d) prílohy II sa prispôsobuje technickému pokroku v súlade s postupom uvedeným v článku 14 ods. 2</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Č:14</w:t>
            </w:r>
          </w:p>
          <w:p>
            <w:pPr>
              <w:jc w:val="center"/>
              <w:rPr>
                <w:rFonts w:ascii="Times New Roman" w:hAnsi="Times New Roman" w:cs="Times New Roman"/>
                <w:sz w:val="20"/>
                <w:szCs w:val="20"/>
              </w:rPr>
            </w:pPr>
            <w:r>
              <w:rPr>
                <w:rFonts w:ascii="Times New Roman" w:hAnsi="Times New Roman" w:cs="Times New Roman"/>
                <w:sz w:val="20"/>
                <w:szCs w:val="20"/>
              </w:rPr>
              <w:t>O:1</w:t>
            </w:r>
          </w:p>
          <w:p>
            <w:pPr>
              <w:jc w:val="center"/>
              <w:rPr>
                <w:rFonts w:ascii="Times New Roman" w:hAnsi="Times New Roman" w:cs="Times New Roman"/>
                <w:sz w:val="20"/>
                <w:szCs w:val="20"/>
              </w:rPr>
            </w:pPr>
            <w:r>
              <w:rPr>
                <w:rFonts w:ascii="Times New Roman" w:hAnsi="Times New Roman" w:cs="Times New Roman"/>
                <w:sz w:val="20"/>
                <w:szCs w:val="20"/>
              </w:rPr>
              <w:t>O:2</w:t>
            </w: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Postup výboru</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1. Komisii pomáha výbor</w:t>
            </w:r>
            <w:r>
              <w:rPr>
                <w:rFonts w:ascii="Times New Roman" w:hAnsi="Times New Roman" w:cs="Times New Roman"/>
                <w:sz w:val="20"/>
                <w:szCs w:val="20"/>
              </w:rPr>
              <w:t>.</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2. Ak sa odkazuje na tento odsek, uplatnia sa články 5 a 7 rozhodnutia 1999/468/ES so zreteľom na ustanovenia jeho článku 8.</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Lehota stanovená v článku 5 ods. 6 rozhodnutia 1999/468/ES sa stanovuje na tri mesiace.</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3. Výbor prijme svoj rokovací poriadok</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z w:val="20"/>
                <w:szCs w:val="20"/>
              </w:rPr>
              <w:t>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Č:15</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Transpozícia</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uvedú do účinnosti zákony, iné predpisy a správne opatrenia potrebné na dosiahnutie súladu s touto smernicou do 21. februára 2006. Bezodkladne o tom informujú Komisiu.</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Členské štáty uvedú priamo v prijatých ustanoveniach alebo pri ich úradnom uverejnení odkaz na túto smernicu. Podrobnosti o odkaze upravia členské štáty</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Č:16</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Zmena a doplnenie smernice 92/42/EHS</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K článku 3 ods. 1 smernice 92/42/EHS sa dopĺňa táto zarážka:</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 kogeneračné jednotky definované v smernici Európskeho parlamentu a Rady 2004/8/ES z 11. februára 2004 o podpore kogenerácie založenej na dopyte po využiteľnom teple na vnútornom trhu s energiou</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Č:17</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Nadobudnutie účinnosti</w:t>
            </w:r>
          </w:p>
          <w:p>
            <w:pPr>
              <w:pStyle w:val="Normlnywebov8"/>
              <w:spacing w:before="0" w:after="0"/>
              <w:ind w:left="0" w:right="0"/>
              <w:jc w:val="both"/>
              <w:rPr>
                <w:rFonts w:ascii="Times New Roman" w:hAnsi="Times New Roman" w:cs="Times New Roman"/>
                <w:sz w:val="20"/>
                <w:szCs w:val="20"/>
              </w:rPr>
            </w:pPr>
            <w:r>
              <w:rPr>
                <w:rFonts w:ascii="Times New Roman" w:hAnsi="Times New Roman" w:cs="Times New Roman"/>
                <w:sz w:val="20"/>
                <w:szCs w:val="20"/>
              </w:rPr>
              <w:t xml:space="preserve">Táto smernica nadobúda účinnosť v deň uverejnenia </w:t>
            </w:r>
            <w:r>
              <w:rPr>
                <w:rFonts w:ascii="Times New Roman" w:hAnsi="Times New Roman" w:cs="Times New Roman"/>
                <w:sz w:val="20"/>
                <w:szCs w:val="20"/>
              </w:rPr>
              <w:t>v Úradnom vestníku Európskej únie.</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Č:18</w:t>
            </w: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rPr>
                <w:rFonts w:ascii="Times New Roman" w:hAnsi="Times New Roman" w:cs="Times New Roman"/>
                <w:sz w:val="20"/>
                <w:szCs w:val="20"/>
              </w:rPr>
            </w:pPr>
            <w:r>
              <w:rPr>
                <w:rFonts w:ascii="Times New Roman" w:hAnsi="Times New Roman" w:cs="Times New Roman"/>
                <w:sz w:val="20"/>
                <w:szCs w:val="20"/>
              </w:rPr>
              <w:t>Adresáti</w:t>
            </w:r>
          </w:p>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Táto smernica je adresovaná členským štátom</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n.a.</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rPr>
                <w:rFonts w:ascii="Times New Roman" w:hAnsi="Times New Roman" w:cs="Times New Roman"/>
                <w:sz w:val="20"/>
                <w:szCs w:val="20"/>
              </w:rPr>
            </w:pP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PRÍLOHA I</w:t>
            </w:r>
          </w:p>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Kogeneračné technológie, na ktoré sa vzťahuje táto smernica</w:t>
            </w:r>
          </w:p>
          <w:p>
            <w:pPr>
              <w:pStyle w:val="Normlnywebov8"/>
              <w:spacing w:before="0" w:after="0"/>
              <w:ind w:left="0" w:right="0"/>
              <w:rPr>
                <w:rFonts w:ascii="Times New Roman" w:hAnsi="Times New Roman" w:cs="Times New Roman"/>
                <w:sz w:val="20"/>
                <w:szCs w:val="20"/>
              </w:rPr>
            </w:pP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§:2</w:t>
            </w:r>
          </w:p>
          <w:p>
            <w:pPr>
              <w:pStyle w:val="Normlny"/>
              <w:jc w:val="center"/>
              <w:rPr>
                <w:rFonts w:ascii="Times New Roman" w:hAnsi="Times New Roman" w:cs="Times New Roman"/>
              </w:rPr>
            </w:pPr>
            <w:r>
              <w:rPr>
                <w:rFonts w:ascii="Times New Roman" w:hAnsi="Times New Roman" w:cs="Times New Roman"/>
              </w:rPr>
              <w:t>O: 2</w:t>
            </w:r>
          </w:p>
          <w:p>
            <w:pPr>
              <w:pStyle w:val="Normlny"/>
              <w:jc w:val="center"/>
              <w:rPr>
                <w:rFonts w:ascii="Times New Roman" w:hAnsi="Times New Roman" w:cs="Times New Roman"/>
              </w:rPr>
            </w:pPr>
            <w:r>
              <w:rPr>
                <w:rFonts w:ascii="Times New Roman" w:hAnsi="Times New Roman" w:cs="Times New Roman"/>
              </w:rPr>
              <w:t>P: a)</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a) technológiou kombinova</w:t>
            </w:r>
            <w:r>
              <w:rPr>
                <w:rFonts w:ascii="Times New Roman" w:hAnsi="Times New Roman" w:cs="Times New Roman"/>
              </w:rPr>
              <w:t>nej výroby</w:t>
            </w:r>
          </w:p>
          <w:p>
            <w:pPr>
              <w:pStyle w:val="Normlny"/>
              <w:numPr>
                <w:ilvl w:val="2"/>
                <w:numId w:val="45"/>
              </w:numPr>
              <w:tabs>
                <w:tab w:val="left" w:pos="348"/>
                <w:tab w:val="clear" w:pos="2340"/>
              </w:tabs>
              <w:ind w:left="348" w:hanging="180"/>
              <w:jc w:val="both"/>
              <w:rPr>
                <w:rFonts w:ascii="Times New Roman" w:hAnsi="Times New Roman" w:cs="Times New Roman"/>
              </w:rPr>
            </w:pPr>
            <w:r>
              <w:rPr>
                <w:rFonts w:ascii="Times New Roman" w:hAnsi="Times New Roman" w:cs="Times New Roman"/>
              </w:rPr>
              <w:t>spaľovacia turbína s kombinovaným cyklom,</w:t>
            </w:r>
          </w:p>
          <w:p>
            <w:pPr>
              <w:pStyle w:val="Normlny"/>
              <w:numPr>
                <w:ilvl w:val="2"/>
                <w:numId w:val="45"/>
              </w:numPr>
              <w:tabs>
                <w:tab w:val="left" w:pos="348"/>
                <w:tab w:val="clear" w:pos="2340"/>
              </w:tabs>
              <w:ind w:left="348" w:hanging="180"/>
              <w:jc w:val="both"/>
              <w:rPr>
                <w:rFonts w:ascii="Times New Roman" w:hAnsi="Times New Roman" w:cs="Times New Roman"/>
              </w:rPr>
            </w:pPr>
            <w:r>
              <w:rPr>
                <w:rFonts w:ascii="Times New Roman" w:hAnsi="Times New Roman" w:cs="Times New Roman"/>
              </w:rPr>
              <w:t>protitlaková parná turbína,..</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PRÍLOHA II</w:t>
            </w:r>
          </w:p>
          <w:p>
            <w:pPr>
              <w:pStyle w:val="Normlnywebov8"/>
              <w:spacing w:before="0" w:after="0"/>
              <w:ind w:left="0" w:right="137"/>
              <w:rPr>
                <w:rFonts w:ascii="Times New Roman" w:hAnsi="Times New Roman" w:cs="Times New Roman"/>
                <w:sz w:val="20"/>
                <w:szCs w:val="20"/>
              </w:rPr>
            </w:pPr>
            <w:r>
              <w:rPr>
                <w:rFonts w:ascii="Times New Roman" w:hAnsi="Times New Roman" w:cs="Times New Roman"/>
                <w:sz w:val="20"/>
                <w:szCs w:val="20"/>
              </w:rPr>
              <w:t>Výpočet množstva elektriny vyrobenej kogeneráciou</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zákona</w:t>
            </w: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p>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vyhlášky MH SR, ktorou sa stanovujú kritériá pre vysoko účinnú kom</w:t>
            </w:r>
            <w:r>
              <w:rPr>
                <w:rFonts w:ascii="Times New Roman" w:hAnsi="Times New Roman" w:cs="Times New Roman"/>
                <w:color w:val="auto"/>
                <w:sz w:val="20"/>
                <w:szCs w:val="20"/>
              </w:rPr>
              <w:t>binovanú výrobu</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19</w:t>
            </w:r>
          </w:p>
          <w:p>
            <w:pPr>
              <w:pStyle w:val="Normlny"/>
              <w:jc w:val="center"/>
              <w:rPr>
                <w:rFonts w:ascii="Times New Roman" w:hAnsi="Times New Roman" w:cs="Times New Roman"/>
              </w:rPr>
            </w:pPr>
            <w:r>
              <w:rPr>
                <w:rFonts w:ascii="Times New Roman" w:hAnsi="Times New Roman" w:cs="Times New Roman"/>
              </w:rPr>
              <w:t>O: 1</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tabs>
                <w:tab w:val="left" w:pos="360"/>
              </w:tabs>
              <w:jc w:val="both"/>
              <w:rPr>
                <w:rFonts w:ascii="Times New Roman" w:hAnsi="Times New Roman" w:cs="Times New Roman"/>
                <w:iCs/>
              </w:rPr>
            </w:pPr>
            <w:r>
              <w:rPr>
                <w:rFonts w:ascii="Times New Roman" w:hAnsi="Times New Roman" w:cs="Times New Roman"/>
                <w:iCs/>
              </w:rPr>
              <w:t>(1) Ministerstvo všeobecne záväzným právnym predpisom ustanoví</w:t>
            </w:r>
          </w:p>
          <w:p>
            <w:pPr>
              <w:pStyle w:val="BodyText2"/>
              <w:numPr>
                <w:ilvl w:val="0"/>
                <w:numId w:val="59"/>
              </w:numPr>
              <w:tabs>
                <w:tab w:val="left" w:pos="360"/>
                <w:tab w:val="left" w:pos="540"/>
              </w:tabs>
              <w:jc w:val="both"/>
              <w:rPr>
                <w:rFonts w:ascii="Times New Roman" w:hAnsi="Times New Roman" w:cs="Times New Roman"/>
                <w:iCs/>
                <w:szCs w:val="28"/>
              </w:rPr>
            </w:pPr>
            <w:r>
              <w:rPr>
                <w:rFonts w:ascii="Times New Roman" w:hAnsi="Times New Roman" w:cs="Times New Roman"/>
                <w:iCs/>
                <w:szCs w:val="28"/>
              </w:rPr>
              <w:t>spôsob výpočtu množstva elektriny vyrobenej kombinovanou výrobou,</w:t>
            </w:r>
          </w:p>
          <w:p>
            <w:pPr>
              <w:pStyle w:val="BodyText2"/>
              <w:numPr>
                <w:ilvl w:val="0"/>
                <w:numId w:val="59"/>
              </w:numPr>
              <w:tabs>
                <w:tab w:val="left" w:pos="360"/>
                <w:tab w:val="left" w:pos="540"/>
              </w:tabs>
              <w:jc w:val="both"/>
              <w:rPr>
                <w:rFonts w:ascii="Times New Roman" w:hAnsi="Times New Roman" w:cs="Times New Roman"/>
                <w:iCs/>
                <w:szCs w:val="28"/>
              </w:rPr>
            </w:pPr>
            <w:r>
              <w:rPr>
                <w:rFonts w:ascii="Times New Roman" w:hAnsi="Times New Roman" w:cs="Times New Roman"/>
                <w:iCs/>
                <w:szCs w:val="28"/>
              </w:rPr>
              <w:t>spôsob vykonávania mesačnej bilancie výroby a dodávky elektriny, výroby a dodávky tepla a využívania</w:t>
            </w:r>
            <w:r>
              <w:rPr>
                <w:rFonts w:ascii="Times New Roman" w:hAnsi="Times New Roman" w:cs="Times New Roman"/>
                <w:iCs/>
                <w:szCs w:val="28"/>
              </w:rPr>
              <w:t xml:space="preserve"> mechanickej energie vyrobenej kombinovanou výrobou,</w:t>
            </w:r>
          </w:p>
          <w:p>
            <w:pPr>
              <w:pStyle w:val="BodyText2"/>
              <w:numPr>
                <w:ilvl w:val="0"/>
                <w:numId w:val="59"/>
              </w:numPr>
              <w:tabs>
                <w:tab w:val="left" w:pos="360"/>
                <w:tab w:val="left" w:pos="540"/>
              </w:tabs>
              <w:jc w:val="both"/>
              <w:rPr>
                <w:rFonts w:ascii="Times New Roman" w:hAnsi="Times New Roman" w:cs="Times New Roman"/>
                <w:iCs/>
                <w:szCs w:val="28"/>
              </w:rPr>
            </w:pPr>
            <w:r>
              <w:rPr>
                <w:rFonts w:ascii="Times New Roman" w:hAnsi="Times New Roman" w:cs="Times New Roman"/>
                <w:iCs/>
                <w:szCs w:val="28"/>
              </w:rPr>
              <w:t xml:space="preserve">kritériá pre </w:t>
            </w:r>
            <w:r>
              <w:rPr>
                <w:rFonts w:ascii="Times New Roman" w:hAnsi="Times New Roman" w:cs="Times New Roman"/>
                <w:iCs/>
              </w:rPr>
              <w:t>vysoko účinnú kombinovanú výrobu,</w:t>
            </w:r>
          </w:p>
          <w:p>
            <w:pPr>
              <w:pStyle w:val="BodyText2"/>
              <w:numPr>
                <w:ilvl w:val="0"/>
                <w:numId w:val="59"/>
              </w:numPr>
              <w:tabs>
                <w:tab w:val="left" w:pos="360"/>
                <w:tab w:val="left" w:pos="540"/>
              </w:tabs>
              <w:jc w:val="both"/>
              <w:rPr>
                <w:rFonts w:ascii="Times New Roman" w:hAnsi="Times New Roman" w:cs="Times New Roman"/>
                <w:iCs/>
                <w:szCs w:val="28"/>
              </w:rPr>
            </w:pPr>
            <w:r>
              <w:rPr>
                <w:rFonts w:ascii="Times New Roman" w:hAnsi="Times New Roman" w:cs="Times New Roman"/>
                <w:iCs/>
                <w:szCs w:val="28"/>
              </w:rPr>
              <w:t>hraničné a harmonizované referenčné hodnoty pre výpočet množstva elektriny vyrobenej kombinovanou výrobou,</w:t>
            </w:r>
          </w:p>
          <w:p>
            <w:pPr>
              <w:pStyle w:val="BodyText2"/>
              <w:numPr>
                <w:ilvl w:val="0"/>
                <w:numId w:val="59"/>
              </w:numPr>
              <w:tabs>
                <w:tab w:val="left" w:pos="360"/>
                <w:tab w:val="left" w:pos="540"/>
              </w:tabs>
              <w:jc w:val="both"/>
              <w:rPr>
                <w:rFonts w:ascii="Times New Roman" w:hAnsi="Times New Roman" w:cs="Times New Roman"/>
                <w:iCs/>
                <w:szCs w:val="28"/>
              </w:rPr>
            </w:pPr>
            <w:r>
              <w:rPr>
                <w:rFonts w:ascii="Times New Roman" w:hAnsi="Times New Roman" w:cs="Times New Roman"/>
                <w:iCs/>
                <w:szCs w:val="28"/>
              </w:rPr>
              <w:t xml:space="preserve">harmonizované referenčné hodnoty pre výpočet účinnosti kombinovanej výroby a pre výpočet úspor primárnej energie pri kombinovanej výrobe, </w:t>
            </w:r>
          </w:p>
          <w:p>
            <w:pPr>
              <w:jc w:val="both"/>
              <w:rPr>
                <w:rFonts w:ascii="Times New Roman" w:hAnsi="Times New Roman" w:cs="Times New Roman"/>
                <w:color w:val="auto"/>
                <w:sz w:val="20"/>
                <w:szCs w:val="20"/>
              </w:rPr>
            </w:pPr>
          </w:p>
          <w:p>
            <w:pPr>
              <w:jc w:val="both"/>
              <w:rPr>
                <w:rFonts w:ascii="Times New Roman" w:hAnsi="Times New Roman" w:cs="Times New Roman"/>
                <w:color w:val="auto"/>
                <w:sz w:val="20"/>
                <w:szCs w:val="20"/>
              </w:rPr>
            </w:pPr>
          </w:p>
          <w:p>
            <w:pPr>
              <w:jc w:val="both"/>
              <w:rPr>
                <w:rFonts w:ascii="Times New Roman" w:hAnsi="Times New Roman" w:cs="Times New Roman"/>
                <w:color w:val="auto"/>
                <w:sz w:val="20"/>
                <w:szCs w:val="20"/>
              </w:rPr>
            </w:pPr>
            <w:r>
              <w:rPr>
                <w:rFonts w:ascii="Times New Roman" w:hAnsi="Times New Roman" w:cs="Times New Roman"/>
                <w:color w:val="auto"/>
                <w:sz w:val="20"/>
                <w:szCs w:val="20"/>
              </w:rPr>
              <w:t>(1) Množstvo elektriny vyrobené kombinovanou výrobou sa rovná celkovej ročnej výrobe elektriny vyrobenej v zariadení na kombinovanú výrobu meranej na výstupe z hlav</w:t>
            </w:r>
            <w:r>
              <w:rPr>
                <w:rFonts w:ascii="Times New Roman" w:hAnsi="Times New Roman" w:cs="Times New Roman"/>
                <w:color w:val="auto"/>
                <w:sz w:val="20"/>
                <w:szCs w:val="20"/>
              </w:rPr>
              <w:t>ných generátorov</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w:t>
              <w:tab/>
              <w:t xml:space="preserve">s celkovou ročnou účinnosťou najmenej  75 % v technológiách kombinovanej výroby )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1.</w:t>
              <w:tab/>
              <w:t>protitlaková parná turbína,</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2.</w:t>
              <w:tab/>
              <w:t>spaľovacia turbína s regeneráciou tepla,</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3.</w:t>
              <w:tab/>
              <w:t>spaľovací motor,</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4.</w:t>
              <w:tab/>
              <w:t>mikroturbína,</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5.</w:t>
              <w:tab/>
              <w:t>Stirlingov motor,</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6.</w:t>
              <w:tab/>
              <w:t>palivový článok,</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b)</w:t>
              <w:tab/>
              <w:t xml:space="preserve">celkovou ročnou účinnosťou najmenej  80% v technológiách kombinovanej výroby1)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1.</w:t>
              <w:tab/>
              <w:t>spaľovacia turbína s kombinovaným cyklom a s regeneráciou tepla,</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2.</w:t>
              <w:tab/>
              <w:t>kondenzačná parná turbína s odberom tepla,</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b/>
              <w:t>(2) V prípade zariadení na kombinovanú výrobu, ktorých celková ročná účinnosť je nižšia ako hodnota uvedená v ods. 1 písm. a) a b) a v zariadeniach s technológiami kombinovanej výroby1)</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w:t>
              <w:tab/>
              <w:t>parný stroj,</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b)</w:t>
              <w:tab/>
              <w:t>Rankinov organický cyklus,</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c)akýkoľvek iný typ technológie, alebo ich kombinácia, prostredníctvom ktorej je zabezpečená súčasne prebiehajúca výroba tepla a elektriny alebo súčasne prebiehajúca výroba tepla a mechanickej energie alebo súčasne prebiehajúca výroba tepla, elektriny a mechanickej, </w:t>
            </w:r>
          </w:p>
          <w:p>
            <w:pPr>
              <w:jc w:val="both"/>
              <w:rPr>
                <w:rFonts w:ascii="Times New Roman" w:hAnsi="Times New Roman" w:cs="Times New Roman"/>
                <w:color w:val="auto"/>
                <w:sz w:val="20"/>
                <w:szCs w:val="20"/>
              </w:rPr>
            </w:pPr>
          </w:p>
          <w:p>
            <w:pPr>
              <w:jc w:val="both"/>
              <w:rPr>
                <w:rFonts w:ascii="Times New Roman" w:hAnsi="Times New Roman" w:cs="Times New Roman"/>
                <w:color w:val="auto"/>
                <w:sz w:val="20"/>
                <w:szCs w:val="20"/>
              </w:rPr>
            </w:pPr>
            <w:r>
              <w:rPr>
                <w:rFonts w:ascii="Times New Roman" w:hAnsi="Times New Roman" w:cs="Times New Roman"/>
                <w:color w:val="auto"/>
                <w:sz w:val="20"/>
                <w:szCs w:val="20"/>
              </w:rPr>
              <w:t>sa množstvo elektriny vyrobenej kombinovanou výrobou vypočíta podľa</w:t>
            </w:r>
            <w:r>
              <w:rPr>
                <w:rFonts w:ascii="Times New Roman" w:hAnsi="Times New Roman" w:cs="Times New Roman"/>
                <w:color w:val="auto"/>
                <w:sz w:val="20"/>
                <w:szCs w:val="20"/>
              </w:rPr>
              <w:t xml:space="preserve"> vzorca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AKVET = QKVET . σ</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b/>
              <w:t>kde:</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AKVET</w:t>
              <w:tab/>
              <w:t xml:space="preserve">je množstvo elektriny vyrobenej kombinovanou výrobou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σ</w:t>
              <w:tab/>
              <w:tab/>
              <w:t xml:space="preserve">ukazovateľ kombinovanej výroby  </w:t>
            </w:r>
          </w:p>
          <w:p>
            <w:pPr>
              <w:jc w:val="both"/>
              <w:rPr>
                <w:rFonts w:ascii="Times New Roman" w:hAnsi="Times New Roman" w:cs="Times New Roman"/>
                <w:color w:val="auto"/>
                <w:sz w:val="20"/>
                <w:szCs w:val="20"/>
              </w:rPr>
            </w:pPr>
            <w:r>
              <w:rPr>
                <w:rFonts w:ascii="Times New Roman" w:hAnsi="Times New Roman" w:cs="Times New Roman"/>
                <w:color w:val="auto"/>
                <w:sz w:val="20"/>
                <w:szCs w:val="20"/>
              </w:rPr>
              <w:t>QKVET</w:t>
              <w:tab/>
              <w:t xml:space="preserve">je množstvo využiteľného tepla vyrobeného kombinovanou výrobou, vypočítané na tento účel ako celková výroba tepla mínus akékoľvek množstvo tepla vyrobeného v samostatných kotloch alebo odberom ostrej pary z parného generátora pred turbínou.  </w:t>
            </w:r>
          </w:p>
          <w:p>
            <w:pPr>
              <w:jc w:val="both"/>
              <w:rPr>
                <w:rFonts w:ascii="Times New Roman" w:hAnsi="Times New Roman" w:cs="Times New Roman"/>
                <w:color w:val="auto"/>
                <w:sz w:val="20"/>
                <w:szCs w:val="20"/>
              </w:rPr>
            </w:pPr>
          </w:p>
          <w:p>
            <w:pPr>
              <w:jc w:val="both"/>
              <w:rPr>
                <w:rFonts w:ascii="Times New Roman" w:hAnsi="Times New Roman" w:cs="Times New Roman"/>
                <w:color w:val="auto"/>
                <w:sz w:val="20"/>
                <w:szCs w:val="20"/>
              </w:rPr>
            </w:pPr>
            <w:r>
              <w:rPr>
                <w:rFonts w:ascii="Times New Roman" w:hAnsi="Times New Roman" w:cs="Times New Roman"/>
                <w:color w:val="auto"/>
                <w:sz w:val="20"/>
                <w:szCs w:val="20"/>
              </w:rPr>
              <w:tab/>
              <w:t>(3) Pri výpočte množstva elektriny vyrobenej kombinovanou výrobou sa použije ukazovateľ kombinovanej výroby ), ktorý je vypočítaný z nameraného ročných hodnôt vyrobenej elektriny a tepla. Ak namerané ročné hodnoty vyrobenej elektriny a tepla nie sú známe, je možné za predpokladu, že vypočítané množstvo elektriny vyrobenej kombinovanou výrobou je menšie alebo rovné celkovému množstvu elektriny vyrobenej v zariadení s technológiami kombinovanej výroby podľa ods. 1 písm. a) a b) a podľa ods. 2 písm. a) a b), sa použijú hraničné a harmonizované referenčné hodnoty pre výpočet množstva elektriny vyrobenej kombinovanou výrobou podľa prílohy č. 1.</w:t>
            </w:r>
          </w:p>
          <w:p>
            <w:pPr>
              <w:jc w:val="both"/>
              <w:rPr>
                <w:rFonts w:ascii="Times New Roman" w:hAnsi="Times New Roman" w:cs="Times New Roman"/>
                <w:color w:val="auto"/>
                <w:sz w:val="20"/>
                <w:szCs w:val="20"/>
              </w:rPr>
            </w:pPr>
          </w:p>
          <w:p>
            <w:pPr>
              <w:jc w:val="both"/>
              <w:rPr>
                <w:rFonts w:ascii="Times New Roman" w:hAnsi="Times New Roman" w:cs="Times New Roman"/>
                <w:color w:val="auto"/>
              </w:rPr>
            </w:pPr>
            <w:r>
              <w:rPr>
                <w:rFonts w:ascii="Times New Roman" w:hAnsi="Times New Roman" w:cs="Times New Roman"/>
                <w:color w:val="auto"/>
                <w:sz w:val="20"/>
                <w:szCs w:val="20"/>
              </w:rPr>
              <w:t xml:space="preserve">(4) Ak je časť energetického obsahu paliva na vstupe do procesu kombinovanej výroby rekuperovaná v chemikáliách a recyklovaná, túto časť je možné odčítať od množstva paliva na vstupe pred výpočtom celkovej účinnosti použitým v odsekoch 1, 2 a 3.  </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Pr>
                <w:rFonts w:ascii="Times New Roman" w:hAnsi="Times New Roman" w:cs="Times New Roman"/>
                <w:sz w:val="20"/>
                <w:szCs w:val="20"/>
              </w:rPr>
            </w:pPr>
            <w:r>
              <w:rPr>
                <w:rFonts w:ascii="Times New Roman" w:hAnsi="Times New Roman" w:cs="Times New Roman"/>
                <w:sz w:val="20"/>
                <w:szCs w:val="20"/>
              </w:rPr>
              <w:t>PRÍLOHA III</w:t>
            </w:r>
          </w:p>
          <w:p>
            <w:pPr>
              <w:pStyle w:val="Normlnywebov8"/>
              <w:spacing w:before="0" w:after="0"/>
              <w:ind w:left="0" w:right="0"/>
              <w:rPr>
                <w:rFonts w:ascii="Times New Roman" w:hAnsi="Times New Roman" w:cs="Times New Roman"/>
                <w:sz w:val="20"/>
                <w:szCs w:val="20"/>
              </w:rPr>
            </w:pPr>
            <w:r>
              <w:rPr>
                <w:rFonts w:ascii="Times New Roman" w:hAnsi="Times New Roman" w:cs="Times New Roman"/>
                <w:sz w:val="20"/>
                <w:szCs w:val="20"/>
              </w:rPr>
              <w:t>Metodika určovania účinnosti procesu kogenerácie</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color w:val="auto"/>
                <w:sz w:val="20"/>
                <w:szCs w:val="20"/>
              </w:rPr>
            </w:pPr>
            <w:r>
              <w:rPr>
                <w:rFonts w:ascii="Times New Roman" w:hAnsi="Times New Roman" w:cs="Times New Roman"/>
                <w:color w:val="auto"/>
                <w:sz w:val="20"/>
                <w:szCs w:val="20"/>
              </w:rPr>
              <w:t>Návrh vyhlášky MH SR, ktorou sa stanovujú kritériá pre vysoko účinnú kombinovanú výrobu</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 :5</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jc w:val="both"/>
              <w:rPr>
                <w:rFonts w:ascii="Times New Roman" w:hAnsi="Times New Roman" w:cs="Times New Roman"/>
                <w:color w:val="auto"/>
              </w:rPr>
            </w:pPr>
            <w:r>
              <w:rPr>
                <w:rFonts w:ascii="Times New Roman" w:hAnsi="Times New Roman" w:cs="Times New Roman"/>
                <w:color w:val="auto"/>
              </w:rPr>
              <w:t>§ 5</w:t>
            </w:r>
          </w:p>
          <w:p>
            <w:pPr>
              <w:pStyle w:val="BodyText2"/>
              <w:jc w:val="both"/>
              <w:rPr>
                <w:rFonts w:ascii="Times New Roman" w:hAnsi="Times New Roman" w:cs="Times New Roman"/>
                <w:color w:val="auto"/>
              </w:rPr>
            </w:pPr>
            <w:r>
              <w:rPr>
                <w:rFonts w:ascii="Times New Roman" w:hAnsi="Times New Roman" w:cs="Times New Roman"/>
                <w:color w:val="auto"/>
              </w:rPr>
              <w:t xml:space="preserve">Spôsob výpočtu úspor primárnej energie a určenie účinnosti </w:t>
            </w:r>
          </w:p>
          <w:p>
            <w:pPr>
              <w:pStyle w:val="BodyText2"/>
              <w:jc w:val="both"/>
              <w:rPr>
                <w:rFonts w:ascii="Times New Roman" w:hAnsi="Times New Roman" w:cs="Times New Roman"/>
                <w:color w:val="auto"/>
              </w:rPr>
            </w:pPr>
            <w:r>
              <w:rPr>
                <w:rFonts w:ascii="Times New Roman" w:hAnsi="Times New Roman" w:cs="Times New Roman"/>
                <w:color w:val="auto"/>
              </w:rPr>
              <w:t>kombinovanej výroby</w:t>
            </w:r>
          </w:p>
          <w:p>
            <w:pPr>
              <w:pStyle w:val="BodyText2"/>
              <w:jc w:val="both"/>
              <w:rPr>
                <w:rFonts w:ascii="Times New Roman" w:hAnsi="Times New Roman" w:cs="Times New Roman"/>
                <w:color w:val="auto"/>
              </w:rPr>
            </w:pPr>
          </w:p>
          <w:p>
            <w:pPr>
              <w:pStyle w:val="BodyText2"/>
              <w:jc w:val="both"/>
              <w:rPr>
                <w:rFonts w:ascii="Times New Roman" w:hAnsi="Times New Roman" w:cs="Times New Roman"/>
                <w:color w:val="auto"/>
              </w:rPr>
            </w:pPr>
          </w:p>
          <w:p>
            <w:pPr>
              <w:pStyle w:val="BodyText2"/>
              <w:jc w:val="both"/>
              <w:rPr>
                <w:rFonts w:ascii="Times New Roman" w:hAnsi="Times New Roman" w:cs="Times New Roman"/>
                <w:color w:val="auto"/>
              </w:rPr>
            </w:pPr>
            <w:r>
              <w:rPr>
                <w:rFonts w:ascii="Times New Roman" w:hAnsi="Times New Roman" w:cs="Times New Roman"/>
                <w:color w:val="auto"/>
              </w:rPr>
              <w:t xml:space="preserve">Úspory primárnej energie, ktoré sa dosiahnu v zariadeniach na kombinovanú výrobu  sa vypočítajú podľa vzorca   </w:t>
            </w:r>
          </w:p>
          <w:p>
            <w:pPr>
              <w:pStyle w:val="BodyText2"/>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rtl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76pt" o:oleicon="f" o:ole="" o:preferrelative="t" filled="f" stroked="f">
                  <v:fill o:detectmouseclick="f"/>
                  <v:imagedata r:id="rId5" o:title=""/>
                  <o:lock v:ext="edit" aspectratio="t"/>
                </v:shape>
                <o:OLEObject Type="Embed" ProgID="Equation.3" ShapeID="_x0000_i1025" DrawAspect="Content" ObjectID="_1" r:id="rId6"/>
              </w:object>
            </w:r>
            <w:r>
              <w:rPr>
                <w:rFonts w:ascii="Times New Roman" w:hAnsi="Times New Roman" w:cs="Times New Roman"/>
                <w:color w:val="auto"/>
              </w:rPr>
              <w:t xml:space="preserve">   </w:t>
            </w:r>
          </w:p>
          <w:p>
            <w:pPr>
              <w:pStyle w:val="BodyText2"/>
              <w:jc w:val="both"/>
              <w:rPr>
                <w:rFonts w:ascii="Times New Roman" w:hAnsi="Times New Roman" w:cs="Times New Roman"/>
                <w:color w:val="auto"/>
              </w:rPr>
            </w:pPr>
            <w:r>
              <w:rPr>
                <w:rFonts w:ascii="Times New Roman" w:hAnsi="Times New Roman" w:cs="Times New Roman"/>
                <w:color w:val="auto"/>
              </w:rPr>
              <w:t>kde:</w:t>
            </w:r>
          </w:p>
          <w:p>
            <w:pPr>
              <w:pStyle w:val="BodyText2"/>
              <w:jc w:val="both"/>
              <w:rPr>
                <w:rFonts w:ascii="Times New Roman" w:hAnsi="Times New Roman" w:cs="Times New Roman"/>
                <w:color w:val="auto"/>
              </w:rPr>
            </w:pPr>
            <w:r>
              <w:rPr>
                <w:rFonts w:ascii="Times New Roman" w:hAnsi="Times New Roman" w:cs="Times New Roman"/>
                <w:color w:val="auto"/>
              </w:rPr>
              <w:t>ΔE</w:t>
              <w:tab/>
              <w:t xml:space="preserve">sú úspory primárnej energie.  </w:t>
            </w:r>
          </w:p>
          <w:p>
            <w:pPr>
              <w:pStyle w:val="BodyText2"/>
              <w:jc w:val="both"/>
              <w:rPr>
                <w:rFonts w:ascii="Times New Roman" w:hAnsi="Times New Roman" w:cs="Times New Roman"/>
                <w:color w:val="auto"/>
              </w:rPr>
            </w:pPr>
            <w:r>
              <w:rPr>
                <w:rFonts w:ascii="Times New Roman" w:hAnsi="Times New Roman" w:cs="Times New Roman"/>
                <w:color w:val="auto"/>
              </w:rPr>
              <w:t xml:space="preserve"> </w:t>
              <w:tab/>
            </w:r>
            <w:r>
              <w:rPr>
                <w:rFonts w:ascii="Times New Roman" w:hAnsi="Times New Roman" w:cs="Times New Roman"/>
                <w:rtl w:val="0"/>
              </w:rPr>
              <w:object>
                <v:shape id="_x0000_i1026" type="#_x0000_t75" style="width:29pt;height:19pt" o:oleicon="f" o:ole="" o:preferrelative="t" filled="f" stroked="f">
                  <v:fill o:detectmouseclick="f"/>
                  <v:imagedata r:id="rId7" o:title=""/>
                  <o:lock v:ext="edit" aspectratio="t"/>
                </v:shape>
                <o:OLEObject Type="Embed" ProgID="Equation.3" ShapeID="_x0000_i1026" DrawAspect="Content" ObjectID="_2" r:id="rId8"/>
              </w:object>
            </w:r>
            <w:r>
              <w:rPr>
                <w:rFonts w:ascii="Times New Roman" w:hAnsi="Times New Roman" w:cs="Times New Roman"/>
                <w:color w:val="auto"/>
              </w:rPr>
              <w:t xml:space="preserve">je tepelná účinnosť kombinovanej výroby definovaná ako ročné vyrobené množstvo využiteľného tepla delené množstvom energie v palive použitým na výrobu množstva využiteľného tepla a množstva elektriny vyrobenej kombinovanou výrobou   </w:t>
            </w:r>
          </w:p>
          <w:p>
            <w:pPr>
              <w:pStyle w:val="BodyText2"/>
              <w:jc w:val="both"/>
              <w:rPr>
                <w:rFonts w:ascii="Times New Roman" w:hAnsi="Times New Roman" w:cs="Times New Roman"/>
                <w:color w:val="auto"/>
              </w:rPr>
            </w:pPr>
            <w:r>
              <w:rPr>
                <w:rFonts w:ascii="Times New Roman" w:hAnsi="Times New Roman" w:cs="Times New Roman"/>
                <w:rtl w:val="0"/>
              </w:rPr>
              <w:object>
                <v:shape id="_x0000_i1027" type="#_x0000_t75" style="width:22pt;height:20pt" o:oleicon="f" o:ole="" o:preferrelative="t" filled="f" stroked="f">
                  <v:fill o:detectmouseclick="f"/>
                  <v:imagedata r:id="rId9" o:title=""/>
                  <o:lock v:ext="edit" aspectratio="t"/>
                </v:shape>
                <o:OLEObject Type="Embed" ProgID="Equation.3" ShapeID="_x0000_i1027" DrawAspect="Content" ObjectID="_3" r:id="rId10"/>
              </w:object>
            </w:r>
            <w:r>
              <w:rPr>
                <w:rFonts w:ascii="Times New Roman" w:hAnsi="Times New Roman" w:cs="Times New Roman"/>
                <w:color w:val="auto"/>
              </w:rPr>
              <w:t xml:space="preserve">je referenčná hodnota účinnosti samostatnej výroby </w:t>
            </w:r>
            <w:r>
              <w:rPr>
                <w:rFonts w:ascii="Times New Roman" w:hAnsi="Times New Roman" w:cs="Times New Roman"/>
                <w:color w:val="auto"/>
              </w:rPr>
              <w:t xml:space="preserve">tepla.  </w:t>
            </w:r>
          </w:p>
          <w:p>
            <w:pPr>
              <w:pStyle w:val="BodyText2"/>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rtl w:val="0"/>
              </w:rPr>
              <w:object>
                <v:shape id="_x0000_i1028" type="#_x0000_t75" style="width:27.95pt;height:18.95pt" o:oleicon="f" o:ole="" o:preferrelative="t" filled="f" stroked="f">
                  <v:fill o:detectmouseclick="f"/>
                  <v:imagedata r:id="rId11" o:title=""/>
                  <o:lock v:ext="edit" aspectratio="t"/>
                </v:shape>
                <o:OLEObject Type="Embed" ProgID="Equation.3" ShapeID="_x0000_i1028" DrawAspect="Content" ObjectID="_4" r:id="rId12"/>
              </w:object>
            </w:r>
            <w:r>
              <w:rPr>
                <w:rFonts w:ascii="Times New Roman" w:hAnsi="Times New Roman" w:cs="Times New Roman"/>
                <w:color w:val="auto"/>
              </w:rPr>
              <w:t>je elektrická účinnosť kombinovanej výroby definovaná ako ročné množstvo elektriny vyrobené kombinovanou výrobou delené množstvom energie v palive použitým na výrobu množstva využiteľného tepla a množstva elektriny vyrobene</w:t>
            </w:r>
            <w:r>
              <w:rPr>
                <w:rFonts w:ascii="Times New Roman" w:hAnsi="Times New Roman" w:cs="Times New Roman"/>
                <w:color w:val="auto"/>
              </w:rPr>
              <w:t xml:space="preserve">j kombinovanou výrobou   </w:t>
            </w:r>
          </w:p>
          <w:p>
            <w:pPr>
              <w:pStyle w:val="BodyText2"/>
              <w:jc w:val="both"/>
              <w:rPr>
                <w:rFonts w:ascii="Times New Roman" w:hAnsi="Times New Roman" w:cs="Times New Roman"/>
                <w:color w:val="auto"/>
              </w:rPr>
            </w:pPr>
            <w:r>
              <w:rPr>
                <w:rFonts w:ascii="Times New Roman" w:hAnsi="Times New Roman" w:cs="Times New Roman"/>
                <w:color w:val="auto"/>
              </w:rPr>
              <w:tab/>
              <w:t>V prípade, že zariadenie na kombinovanú výrobu vyrába mechanickú energiu, je možné zvýšiť ročné množstvo elektriny vyrobené kombinovanou výrobou o dodatočný prvok predstavujúci množstvo elektriny, ktoré je ekvivalentné množstvu m</w:t>
            </w:r>
            <w:r>
              <w:rPr>
                <w:rFonts w:ascii="Times New Roman" w:hAnsi="Times New Roman" w:cs="Times New Roman"/>
                <w:color w:val="auto"/>
              </w:rPr>
              <w:t xml:space="preserve">echanickej energie. </w:t>
            </w:r>
          </w:p>
          <w:p>
            <w:pPr>
              <w:pStyle w:val="BodyText2"/>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rtl w:val="0"/>
              </w:rPr>
              <w:object>
                <v:shape id="_x0000_i1029" type="#_x0000_t75" style="width:22pt;height:20pt" o:oleicon="f" o:ole="" o:preferrelative="t" filled="f" stroked="f">
                  <v:fill o:detectmouseclick="f"/>
                  <v:imagedata r:id="rId13" o:title=""/>
                  <o:lock v:ext="edit" aspectratio="t"/>
                </v:shape>
                <o:OLEObject Type="Embed" ProgID="Equation.3" ShapeID="_x0000_i1029" DrawAspect="Content" ObjectID="_5" r:id="rId14"/>
              </w:object>
            </w:r>
            <w:r>
              <w:rPr>
                <w:rFonts w:ascii="Times New Roman" w:hAnsi="Times New Roman" w:cs="Times New Roman"/>
                <w:color w:val="auto"/>
              </w:rPr>
              <w:t xml:space="preserve"> je referenčná hodnota účinnosti samostatnej výroby elektriny.  </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402" w:type="dxa"/>
          <w:jc w:val="center"/>
          <w:tblLayout w:type="fixed"/>
          <w:tblCellMar>
            <w:left w:w="43" w:type="dxa"/>
            <w:right w:w="43" w:type="dxa"/>
          </w:tblCellMar>
        </w:tblPrEx>
        <w:trPr>
          <w:trHeight w:hRule="auto" w:val="0"/>
          <w:jc w:val="center"/>
        </w:trPr>
        <w:tc>
          <w:tcPr>
            <w:tcW w:w="71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3424"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webov8"/>
              <w:spacing w:before="0" w:after="0"/>
              <w:ind w:left="0" w:right="1217"/>
              <w:rPr>
                <w:rFonts w:ascii="Times New Roman" w:hAnsi="Times New Roman" w:cs="Times New Roman"/>
                <w:sz w:val="20"/>
                <w:szCs w:val="20"/>
              </w:rPr>
            </w:pPr>
            <w:r>
              <w:rPr>
                <w:rFonts w:ascii="Times New Roman" w:hAnsi="Times New Roman" w:cs="Times New Roman"/>
                <w:sz w:val="20"/>
                <w:szCs w:val="20"/>
              </w:rPr>
              <w:t>PRÍLOHA IV</w:t>
            </w:r>
          </w:p>
          <w:p>
            <w:pPr>
              <w:pStyle w:val="Normlny"/>
              <w:rPr>
                <w:rFonts w:ascii="Times New Roman" w:hAnsi="Times New Roman" w:cs="Times New Roman"/>
              </w:rPr>
            </w:pPr>
            <w:r>
              <w:rPr>
                <w:rFonts w:ascii="Times New Roman" w:hAnsi="Times New Roman" w:cs="Times New Roman"/>
              </w:rPr>
              <w:t>Kritériá pre analýzu národných potenciálov pre vysoko účinnú kogeneráciu</w:t>
            </w:r>
          </w:p>
        </w:tc>
        <w:tc>
          <w:tcPr>
            <w:tcW w:w="897"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w:t>
            </w:r>
          </w:p>
        </w:tc>
        <w:tc>
          <w:tcPr>
            <w:tcW w:w="1620" w:type="dxa"/>
            <w:tcBorders>
              <w:top w:val="single" w:sz="4" w:space="0" w:color="auto"/>
              <w:left w:val="nil"/>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Návrh zákona</w:t>
            </w:r>
          </w:p>
        </w:tc>
        <w:tc>
          <w:tcPr>
            <w:tcW w:w="132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§:14</w:t>
            </w:r>
          </w:p>
          <w:p>
            <w:pPr>
              <w:pStyle w:val="Normlny"/>
              <w:jc w:val="center"/>
              <w:rPr>
                <w:rFonts w:ascii="Times New Roman" w:hAnsi="Times New Roman" w:cs="Times New Roman"/>
              </w:rPr>
            </w:pPr>
            <w:r>
              <w:rPr>
                <w:rFonts w:ascii="Times New Roman" w:hAnsi="Times New Roman" w:cs="Times New Roman"/>
              </w:rPr>
              <w:t>O:2</w:t>
            </w:r>
          </w:p>
          <w:p>
            <w:pPr>
              <w:pStyle w:val="Normlny"/>
              <w:jc w:val="center"/>
              <w:rPr>
                <w:rFonts w:ascii="Times New Roman" w:hAnsi="Times New Roman" w:cs="Times New Roman"/>
              </w:rPr>
            </w:pPr>
            <w:r>
              <w:rPr>
                <w:rFonts w:ascii="Times New Roman" w:hAnsi="Times New Roman" w:cs="Times New Roman"/>
              </w:rPr>
              <w:t>P: f), g), h)</w:t>
            </w:r>
          </w:p>
        </w:tc>
        <w:tc>
          <w:tcPr>
            <w:tcW w:w="37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numPr>
                <w:ilvl w:val="0"/>
                <w:numId w:val="56"/>
              </w:numPr>
              <w:tabs>
                <w:tab w:val="left" w:pos="360"/>
                <w:tab w:val="left" w:pos="540"/>
              </w:tabs>
              <w:jc w:val="both"/>
              <w:rPr>
                <w:rFonts w:ascii="Times New Roman" w:hAnsi="Times New Roman" w:cs="Times New Roman"/>
              </w:rPr>
            </w:pPr>
            <w:r>
              <w:rPr>
                <w:rFonts w:ascii="Times New Roman" w:hAnsi="Times New Roman" w:cs="Times New Roman"/>
              </w:rPr>
              <w:t>analýzy typu palív, ktoré môžu byť použité pri výrobe energie kombinovanou výrobou, vrátane možného potenciálu využívania obnoviteľných zdrojov energie a iných typov zariadení na kombinovanú výrobu podľa § 2 písm. b) a z rozdelenia potenciálu výroby medzi doteraz využívanými technológiami kombinovanej výroby a výstavbou nových technológií kombinovanej výroby pre každý z týchto časových rámcov,</w:t>
            </w:r>
          </w:p>
          <w:p>
            <w:pPr>
              <w:pStyle w:val="BodyTextIndent"/>
              <w:numPr>
                <w:ilvl w:val="0"/>
                <w:numId w:val="56"/>
              </w:numPr>
              <w:tabs>
                <w:tab w:val="left" w:pos="360"/>
                <w:tab w:val="left" w:pos="540"/>
              </w:tabs>
              <w:jc w:val="both"/>
              <w:rPr>
                <w:rFonts w:ascii="Times New Roman" w:hAnsi="Times New Roman" w:cs="Times New Roman"/>
              </w:rPr>
            </w:pPr>
            <w:r>
              <w:rPr>
                <w:rFonts w:ascii="Times New Roman" w:hAnsi="Times New Roman" w:cs="Times New Roman"/>
              </w:rPr>
              <w:t>analýzy národného potenciálu kombinovanej výroby vo vzťahu k časovým rámcom do roku 2010, 2015 a 2020; analýza bude obsahovať vhodné</w:t>
            </w:r>
            <w:r>
              <w:rPr>
                <w:rFonts w:ascii="Times New Roman" w:hAnsi="Times New Roman" w:cs="Times New Roman"/>
              </w:rPr>
              <w:t xml:space="preserve"> odhady nákladov,</w:t>
            </w:r>
          </w:p>
          <w:p>
            <w:pPr>
              <w:pStyle w:val="BodyTextIndent"/>
              <w:numPr>
                <w:ilvl w:val="0"/>
                <w:numId w:val="56"/>
              </w:numPr>
              <w:tabs>
                <w:tab w:val="left" w:pos="360"/>
                <w:tab w:val="left" w:pos="540"/>
              </w:tabs>
              <w:jc w:val="both"/>
              <w:rPr>
                <w:rFonts w:ascii="Times New Roman" w:hAnsi="Times New Roman" w:cs="Times New Roman"/>
              </w:rPr>
            </w:pPr>
            <w:r>
              <w:rPr>
                <w:rFonts w:ascii="Times New Roman" w:hAnsi="Times New Roman" w:cs="Times New Roman"/>
              </w:rPr>
              <w:t>efektívnosti vynaloženia nákladov, zohľadňujúcich aj národné záväzky prijaté v súvislosti so záväzkami týkajúcimi sa klimatických zmien, ktoré prijalo Európske spoločenstvo podľa Kjótskeho protokolu k Rámcovému dohovoru Organizácie spojen</w:t>
            </w:r>
            <w:r>
              <w:rPr>
                <w:rFonts w:ascii="Times New Roman" w:hAnsi="Times New Roman" w:cs="Times New Roman"/>
              </w:rPr>
              <w:t>ých národov o klimatickej zmene.</w:t>
            </w:r>
          </w:p>
        </w:tc>
        <w:tc>
          <w:tcPr>
            <w:tcW w:w="7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bl>
    <w:p>
      <w:pPr>
        <w:ind w:left="360" w:hanging="360"/>
        <w:rPr>
          <w:rFonts w:ascii="Times New Roman" w:hAnsi="Times New Roman" w:cs="Times New Roman"/>
          <w:sz w:val="20"/>
          <w:szCs w:val="20"/>
        </w:rPr>
      </w:pPr>
      <w:r>
        <w:rPr>
          <w:rFonts w:ascii="Times New Roman" w:hAnsi="Times New Roman" w:cs="Times New Roman"/>
          <w:sz w:val="20"/>
          <w:szCs w:val="20"/>
        </w:rPr>
        <w:t>*    členenie smernice je vecou gestora</w:t>
      </w:r>
    </w:p>
    <w:p>
      <w:pPr>
        <w:rPr>
          <w:rFonts w:ascii="Times New Roman" w:hAnsi="Times New Roman" w:cs="Times New Roman"/>
          <w:sz w:val="20"/>
          <w:szCs w:val="20"/>
        </w:rPr>
      </w:pPr>
      <w:r>
        <w:rPr>
          <w:rFonts w:ascii="Times New Roman" w:hAnsi="Times New Roman" w:cs="Times New Roman"/>
          <w:sz w:val="20"/>
          <w:szCs w:val="20"/>
        </w:rPr>
        <w:t>** dátum účinnosti zapíšte vo formáte dd/mm/rrrr, napr. 17/07/2005</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rPr>
          <w:trHeight w:val="1264"/>
        </w:trPr>
        <w:tc>
          <w:tcPr>
            <w:tcW w:w="241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(1):</w:t>
            </w:r>
          </w:p>
          <w:p>
            <w:pPr>
              <w:rPr>
                <w:rFonts w:ascii="Times New Roman" w:hAnsi="Times New Roman" w:cs="Times New Roman"/>
                <w:sz w:val="20"/>
                <w:szCs w:val="20"/>
              </w:rPr>
            </w:pPr>
            <w:r>
              <w:rPr>
                <w:rFonts w:ascii="Times New Roman" w:hAnsi="Times New Roman" w:cs="Times New Roman"/>
                <w:sz w:val="20"/>
                <w:szCs w:val="20"/>
              </w:rPr>
              <w:t>Č – článok</w:t>
            </w:r>
          </w:p>
          <w:p>
            <w:pPr>
              <w:rPr>
                <w:rFonts w:ascii="Times New Roman" w:hAnsi="Times New Roman" w:cs="Times New Roman"/>
                <w:sz w:val="20"/>
                <w:szCs w:val="20"/>
              </w:rPr>
            </w:pPr>
            <w:r>
              <w:rPr>
                <w:rFonts w:ascii="Times New Roman" w:hAnsi="Times New Roman" w:cs="Times New Roman"/>
                <w:sz w:val="20"/>
                <w:szCs w:val="20"/>
              </w:rPr>
              <w:t>O – odsek</w:t>
            </w:r>
          </w:p>
          <w:p>
            <w:pPr>
              <w:rPr>
                <w:rFonts w:ascii="Times New Roman" w:hAnsi="Times New Roman" w:cs="Times New Roman"/>
                <w:sz w:val="20"/>
                <w:szCs w:val="20"/>
              </w:rPr>
            </w:pPr>
            <w:r>
              <w:rPr>
                <w:rFonts w:ascii="Times New Roman" w:hAnsi="Times New Roman" w:cs="Times New Roman"/>
                <w:sz w:val="20"/>
                <w:szCs w:val="20"/>
              </w:rPr>
              <w:t>V – veta</w:t>
            </w:r>
          </w:p>
          <w:p>
            <w:pPr>
              <w:rPr>
                <w:rFonts w:ascii="Times New Roman" w:hAnsi="Times New Roman" w:cs="Times New Roman"/>
                <w:sz w:val="20"/>
                <w:szCs w:val="20"/>
              </w:rPr>
            </w:pPr>
            <w:r>
              <w:rPr>
                <w:rFonts w:ascii="Times New Roman" w:hAnsi="Times New Roman" w:cs="Times New Roman"/>
                <w:sz w:val="20"/>
                <w:szCs w:val="20"/>
              </w:rPr>
              <w:t>P – písmeno (číslo)</w:t>
            </w:r>
          </w:p>
          <w:p>
            <w:pPr>
              <w:rPr>
                <w:rFonts w:ascii="Times New Roman" w:hAnsi="Times New Roman" w:cs="Times New Roman"/>
                <w:sz w:val="20"/>
                <w:szCs w:val="20"/>
              </w:rPr>
            </w:pPr>
          </w:p>
        </w:tc>
        <w:tc>
          <w:tcPr>
            <w:tcW w:w="414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(3):</w:t>
            </w:r>
          </w:p>
          <w:p>
            <w:pPr>
              <w:rPr>
                <w:rFonts w:ascii="Times New Roman" w:hAnsi="Times New Roman" w:cs="Times New Roman"/>
                <w:sz w:val="20"/>
                <w:szCs w:val="20"/>
              </w:rPr>
            </w:pPr>
            <w:r>
              <w:rPr>
                <w:rFonts w:ascii="Times New Roman" w:hAnsi="Times New Roman" w:cs="Times New Roman"/>
                <w:sz w:val="20"/>
                <w:szCs w:val="20"/>
              </w:rPr>
              <w:t>N – bežná transpozíci</w:t>
            </w:r>
            <w:r>
              <w:rPr>
                <w:rFonts w:ascii="Times New Roman" w:hAnsi="Times New Roman" w:cs="Times New Roman"/>
                <w:sz w:val="20"/>
                <w:szCs w:val="20"/>
              </w:rPr>
              <w:t>a</w:t>
            </w:r>
          </w:p>
          <w:p>
            <w:pPr>
              <w:rPr>
                <w:rFonts w:ascii="Times New Roman" w:hAnsi="Times New Roman" w:cs="Times New Roman"/>
                <w:sz w:val="20"/>
                <w:szCs w:val="20"/>
              </w:rPr>
            </w:pPr>
            <w:r>
              <w:rPr>
                <w:rFonts w:ascii="Times New Roman" w:hAnsi="Times New Roman" w:cs="Times New Roman"/>
                <w:sz w:val="20"/>
                <w:szCs w:val="20"/>
              </w:rPr>
              <w:t>O – transpozícia s možnosťou voľby</w:t>
            </w:r>
          </w:p>
          <w:p>
            <w:pPr>
              <w:rPr>
                <w:rFonts w:ascii="Times New Roman" w:hAnsi="Times New Roman" w:cs="Times New Roman"/>
                <w:sz w:val="20"/>
                <w:szCs w:val="20"/>
              </w:rPr>
            </w:pPr>
            <w:r>
              <w:rPr>
                <w:rFonts w:ascii="Times New Roman" w:hAnsi="Times New Roman" w:cs="Times New Roman"/>
                <w:sz w:val="20"/>
                <w:szCs w:val="20"/>
              </w:rPr>
              <w:t>D – transpozícia podľa úvahy (dobrovoľná)</w:t>
            </w:r>
          </w:p>
          <w:p>
            <w:pPr>
              <w:rPr>
                <w:rFonts w:ascii="Times New Roman" w:hAnsi="Times New Roman" w:cs="Times New Roman"/>
                <w:sz w:val="20"/>
                <w:szCs w:val="20"/>
              </w:rPr>
            </w:pPr>
            <w:r>
              <w:rPr>
                <w:rFonts w:ascii="Times New Roman" w:hAnsi="Times New Roman" w:cs="Times New Roman"/>
                <w:sz w:val="20"/>
                <w:szCs w:val="20"/>
              </w:rPr>
              <w:t>n.a. – transpozícia sa neuskutočňuje</w:t>
            </w:r>
          </w:p>
        </w:tc>
        <w:tc>
          <w:tcPr>
            <w:tcW w:w="241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(5):</w:t>
            </w:r>
          </w:p>
          <w:p>
            <w:pPr>
              <w:rPr>
                <w:rFonts w:ascii="Times New Roman" w:hAnsi="Times New Roman" w:cs="Times New Roman"/>
                <w:sz w:val="20"/>
                <w:szCs w:val="20"/>
              </w:rPr>
            </w:pPr>
            <w:r>
              <w:rPr>
                <w:rFonts w:ascii="Times New Roman" w:hAnsi="Times New Roman" w:cs="Times New Roman"/>
                <w:sz w:val="20"/>
                <w:szCs w:val="20"/>
              </w:rPr>
              <w:t>Č – článok</w:t>
            </w:r>
          </w:p>
          <w:p>
            <w:pPr>
              <w:rPr>
                <w:rFonts w:ascii="Times New Roman" w:hAnsi="Times New Roman" w:cs="Times New Roman"/>
                <w:sz w:val="20"/>
                <w:szCs w:val="20"/>
              </w:rPr>
            </w:pPr>
            <w:r>
              <w:rPr>
                <w:rFonts w:ascii="Times New Roman" w:hAnsi="Times New Roman" w:cs="Times New Roman"/>
                <w:sz w:val="20"/>
                <w:szCs w:val="20"/>
              </w:rPr>
              <w:t>§ – paragraf</w:t>
            </w:r>
          </w:p>
          <w:p>
            <w:pPr>
              <w:rPr>
                <w:rFonts w:ascii="Times New Roman" w:hAnsi="Times New Roman" w:cs="Times New Roman"/>
                <w:sz w:val="20"/>
                <w:szCs w:val="20"/>
              </w:rPr>
            </w:pPr>
            <w:r>
              <w:rPr>
                <w:rFonts w:ascii="Times New Roman" w:hAnsi="Times New Roman" w:cs="Times New Roman"/>
                <w:sz w:val="20"/>
                <w:szCs w:val="20"/>
              </w:rPr>
              <w:t>O – odsek</w:t>
            </w:r>
          </w:p>
          <w:p>
            <w:pPr>
              <w:rPr>
                <w:rFonts w:ascii="Times New Roman" w:hAnsi="Times New Roman" w:cs="Times New Roman"/>
                <w:sz w:val="20"/>
                <w:szCs w:val="20"/>
              </w:rPr>
            </w:pPr>
            <w:r>
              <w:rPr>
                <w:rFonts w:ascii="Times New Roman" w:hAnsi="Times New Roman" w:cs="Times New Roman"/>
                <w:sz w:val="20"/>
                <w:szCs w:val="20"/>
              </w:rPr>
              <w:t>V – veta</w:t>
            </w:r>
          </w:p>
          <w:p>
            <w:pPr>
              <w:rPr>
                <w:rFonts w:ascii="Times New Roman" w:hAnsi="Times New Roman" w:cs="Times New Roman"/>
                <w:sz w:val="20"/>
                <w:szCs w:val="20"/>
              </w:rPr>
            </w:pPr>
            <w:r>
              <w:rPr>
                <w:rFonts w:ascii="Times New Roman" w:hAnsi="Times New Roman" w:cs="Times New Roman"/>
                <w:sz w:val="20"/>
                <w:szCs w:val="20"/>
              </w:rPr>
              <w:t>P – písmeno (číslo)</w:t>
            </w:r>
          </w:p>
        </w:tc>
        <w:tc>
          <w:tcPr>
            <w:tcW w:w="6770" w:type="dxa"/>
            <w:tcBorders>
              <w:top w:val="nil"/>
              <w:left w:val="nil"/>
              <w:bottom w:val="nil"/>
              <w:right w:val="nil"/>
              <w:tl2br w:val="nil"/>
              <w:tr2bl w:val="nil"/>
            </w:tcBorders>
            <w:textDirection w:val="lrTb"/>
            <w:vAlign w:val="top"/>
          </w:tcPr>
          <w:p>
            <w:pPr>
              <w:pStyle w:val="Normlny"/>
              <w:spacing w:after="60"/>
              <w:rPr>
                <w:rFonts w:ascii="Times New Roman" w:hAnsi="Times New Roman" w:cs="Times New Roman"/>
                <w:lang w:eastAsia="sk-SK"/>
              </w:rPr>
            </w:pPr>
            <w:r>
              <w:rPr>
                <w:rFonts w:ascii="Times New Roman" w:hAnsi="Times New Roman" w:cs="Times New Roman"/>
                <w:lang w:eastAsia="sk-SK"/>
              </w:rPr>
              <w:t>V stĺpci (7):</w:t>
            </w:r>
          </w:p>
          <w:p>
            <w:pPr>
              <w:rPr>
                <w:rFonts w:ascii="Times New Roman" w:hAnsi="Times New Roman" w:cs="Times New Roman"/>
                <w:sz w:val="20"/>
                <w:szCs w:val="20"/>
              </w:rPr>
            </w:pPr>
            <w:r>
              <w:rPr>
                <w:rFonts w:ascii="Times New Roman" w:hAnsi="Times New Roman" w:cs="Times New Roman"/>
                <w:sz w:val="20"/>
                <w:szCs w:val="20"/>
              </w:rPr>
              <w:t>Ú – úplná zhoda</w:t>
            </w:r>
          </w:p>
          <w:p>
            <w:pPr>
              <w:rPr>
                <w:rFonts w:ascii="Times New Roman" w:hAnsi="Times New Roman" w:cs="Times New Roman"/>
                <w:sz w:val="20"/>
                <w:szCs w:val="20"/>
              </w:rPr>
            </w:pPr>
            <w:r>
              <w:rPr>
                <w:rFonts w:ascii="Times New Roman" w:hAnsi="Times New Roman" w:cs="Times New Roman"/>
                <w:sz w:val="20"/>
                <w:szCs w:val="20"/>
              </w:rPr>
              <w:t>Č – čiastočná zhoda</w:t>
            </w:r>
          </w:p>
          <w:p>
            <w:pPr>
              <w:rPr>
                <w:rFonts w:ascii="Times New Roman" w:hAnsi="Times New Roman" w:cs="Times New Roman"/>
                <w:sz w:val="20"/>
                <w:szCs w:val="20"/>
              </w:rPr>
            </w:pPr>
            <w:r>
              <w:rPr>
                <w:rFonts w:ascii="Times New Roman" w:hAnsi="Times New Roman" w:cs="Times New Roman"/>
                <w:sz w:val="20"/>
                <w:szCs w:val="20"/>
              </w:rPr>
              <w:t>R – rozpor (v príp., že zatiaľ nedošlo k transp., ale príde k nej v </w:t>
            </w:r>
            <w:r>
              <w:rPr>
                <w:rFonts w:ascii="Times New Roman" w:hAnsi="Times New Roman" w:cs="Times New Roman"/>
                <w:color w:val="auto"/>
                <w:sz w:val="20"/>
                <w:szCs w:val="20"/>
              </w:rPr>
              <w:t>budúcnosti</w:t>
            </w:r>
          </w:p>
          <w:p>
            <w:pPr>
              <w:rPr>
                <w:rFonts w:ascii="Times New Roman" w:hAnsi="Times New Roman" w:cs="Times New Roman"/>
                <w:sz w:val="20"/>
                <w:szCs w:val="20"/>
              </w:rPr>
            </w:pPr>
            <w:r>
              <w:rPr>
                <w:rFonts w:ascii="Times New Roman" w:hAnsi="Times New Roman" w:cs="Times New Roman"/>
                <w:sz w:val="20"/>
                <w:szCs w:val="20"/>
              </w:rPr>
              <w:t>N – neaplikovateľné</w:t>
            </w:r>
          </w:p>
        </w:tc>
      </w:tr>
    </w:tbl>
    <w:p>
      <w:pPr>
        <w:rPr>
          <w:rFonts w:ascii="Times New Roman" w:hAnsi="Times New Roman" w:cs="Times New Roman"/>
          <w:sz w:val="20"/>
          <w:szCs w:val="20"/>
        </w:rPr>
      </w:pPr>
    </w:p>
    <w:tbl>
      <w:tblPr>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hRule="auto" w:val="0"/>
        </w:trPr>
        <w:tc>
          <w:tcPr>
            <w:tcW w:w="16160" w:type="dxa"/>
            <w:gridSpan w:val="2"/>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color w:val="auto"/>
                <w:sz w:val="20"/>
                <w:szCs w:val="20"/>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spacing w:before="120"/>
              <w:jc w:val="center"/>
              <w:rPr>
                <w:rFonts w:ascii="Times New Roman" w:hAnsi="Times New Roman" w:cs="Times New Roman"/>
                <w:color w:val="auto"/>
                <w:sz w:val="20"/>
                <w:szCs w:val="20"/>
              </w:rPr>
            </w:pP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rPr>
                <w:rFonts w:ascii="Times New Roman" w:hAnsi="Times New Roman" w:cs="Times New Roman"/>
                <w:lang w:eastAsia="sk-SK"/>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numPr>
                <w:ilvl w:val="0"/>
                <w:numId w:val="1"/>
              </w:numPr>
              <w:tabs>
                <w:tab w:val="left" w:pos="720"/>
              </w:tabs>
              <w:jc w:val="center"/>
              <w:rPr>
                <w:rFonts w:ascii="Times New Roman" w:hAnsi="Times New Roman" w:cs="Times New Roman"/>
                <w:color w:val="auto"/>
                <w:sz w:val="20"/>
                <w:szCs w:val="20"/>
              </w:rPr>
            </w:pP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rPr>
                <w:rFonts w:ascii="Times New Roman" w:hAnsi="Times New Roman" w:cs="Times New Roman"/>
                <w:bCs/>
                <w:lang w:eastAsia="sk-SK"/>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numPr>
                <w:ilvl w:val="0"/>
                <w:numId w:val="1"/>
              </w:numPr>
              <w:tabs>
                <w:tab w:val="left" w:pos="720"/>
              </w:tabs>
              <w:jc w:val="center"/>
              <w:rPr>
                <w:rFonts w:ascii="Times New Roman" w:hAnsi="Times New Roman" w:cs="Times New Roman"/>
                <w:color w:val="auto"/>
                <w:sz w:val="20"/>
                <w:szCs w:val="20"/>
              </w:rPr>
            </w:pP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abc"/>
              <w:tabs>
                <w:tab w:val="clear" w:pos="360"/>
                <w:tab w:val="clear" w:pos="680"/>
              </w:tabs>
              <w:rPr>
                <w:rFonts w:ascii="Times New Roman" w:hAnsi="Times New Roman" w:cs="Times New Roman"/>
                <w:lang w:eastAsia="sk-SK"/>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numPr>
                <w:ilvl w:val="0"/>
                <w:numId w:val="1"/>
              </w:numPr>
              <w:tabs>
                <w:tab w:val="left" w:pos="720"/>
              </w:tabs>
              <w:jc w:val="center"/>
              <w:rPr>
                <w:rFonts w:ascii="Times New Roman" w:hAnsi="Times New Roman" w:cs="Times New Roman"/>
                <w:color w:val="auto"/>
                <w:sz w:val="20"/>
                <w:szCs w:val="20"/>
              </w:rPr>
            </w:pP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abc"/>
              <w:tabs>
                <w:tab w:val="clear" w:pos="360"/>
                <w:tab w:val="clear" w:pos="680"/>
              </w:tabs>
              <w:rPr>
                <w:rFonts w:ascii="Times New Roman" w:hAnsi="Times New Roman" w:cs="Times New Roman"/>
                <w:lang w:eastAsia="sk-SK"/>
              </w:rPr>
            </w:pPr>
          </w:p>
        </w:tc>
      </w:tr>
      <w:tr>
        <w:tblPrEx>
          <w:tblW w:w="16160" w:type="dxa"/>
          <w:tblInd w:w="-497" w:type="dxa"/>
          <w:tblLayout w:type="fixed"/>
          <w:tblCellMar>
            <w:left w:w="43" w:type="dxa"/>
            <w:right w:w="43" w:type="dxa"/>
          </w:tblCellMar>
        </w:tblPrEx>
        <w:trPr>
          <w:cantSplit/>
          <w:trHeight w:hRule="auto" w:val="0"/>
        </w:trPr>
        <w:tc>
          <w:tcPr>
            <w:tcW w:w="118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numPr>
                <w:ilvl w:val="0"/>
                <w:numId w:val="1"/>
              </w:numPr>
              <w:tabs>
                <w:tab w:val="left" w:pos="720"/>
              </w:tabs>
              <w:jc w:val="center"/>
              <w:rPr>
                <w:rFonts w:ascii="Times New Roman" w:hAnsi="Times New Roman" w:cs="Times New Roman"/>
                <w:color w:val="auto"/>
                <w:sz w:val="20"/>
                <w:szCs w:val="20"/>
              </w:rPr>
            </w:pPr>
          </w:p>
        </w:tc>
        <w:tc>
          <w:tcPr>
            <w:tcW w:w="14974"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abc"/>
              <w:tabs>
                <w:tab w:val="clear" w:pos="360"/>
                <w:tab w:val="clear" w:pos="680"/>
              </w:tabs>
              <w:rPr>
                <w:rFonts w:ascii="Times New Roman" w:hAnsi="Times New Roman" w:cs="Times New Roman"/>
                <w:lang w:eastAsia="sk-SK"/>
              </w:rPr>
            </w:pPr>
          </w:p>
        </w:tc>
      </w:tr>
    </w:tbl>
    <w:p>
      <w:pPr>
        <w:rPr>
          <w:rFonts w:ascii="Times New Roman" w:hAnsi="Times New Roman" w:cs="Times New Roman"/>
          <w:sz w:val="20"/>
          <w:szCs w:val="20"/>
        </w:rPr>
      </w:pPr>
    </w:p>
    <w:p>
      <w:pPr>
        <w:rPr>
          <w:rFonts w:ascii="Times New Roman" w:hAnsi="Times New Roman" w:cs="Times New Roman"/>
          <w:sz w:val="20"/>
          <w:szCs w:val="20"/>
        </w:rPr>
      </w:pPr>
    </w:p>
    <w:sectPr>
      <w:footerReference w:type="even" r:id="rId15"/>
      <w:footerReference w:type="default" r:id="rId16"/>
      <w:pgSz w:w="16838" w:h="11906" w:orient="landscape" w:code="9"/>
      <w:pgMar w:top="719" w:right="851" w:bottom="851" w:left="851"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instrText xml:space="preserv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0"/>
      </w:rPr>
    </w:pPr>
    <w:r>
      <w:rPr>
        <w:rStyle w:val="PageNumber"/>
        <w:rFonts w:ascii="Times New Roman" w:hAnsi="Times New Roman" w:cs="Times New Roman"/>
        <w:sz w:val="20"/>
      </w:rPr>
      <w:fldChar w:fldCharType="begin"/>
    </w:r>
    <w:r>
      <w:rPr>
        <w:rStyle w:val="PageNumber"/>
        <w:rFonts w:ascii="Times New Roman" w:hAnsi="Times New Roman" w:cs="Times New Roman"/>
        <w:sz w:val="20"/>
      </w:rPr>
      <w:instrText xml:space="preserve">PAGE  </w:instrText>
    </w:r>
    <w:r>
      <w:rPr>
        <w:rStyle w:val="PageNumber"/>
        <w:rFonts w:ascii="Times New Roman" w:hAnsi="Times New Roman" w:cs="Times New Roman"/>
        <w:sz w:val="20"/>
      </w:rPr>
      <w:fldChar w:fldCharType="separate"/>
    </w:r>
    <w:r>
      <w:rPr>
        <w:rStyle w:val="PageNumber"/>
        <w:rFonts w:ascii="Times New Roman" w:hAnsi="Times New Roman" w:cs="Times New Roman"/>
        <w:noProof/>
        <w:sz w:val="20"/>
      </w:rPr>
      <w:t>18</w:t>
    </w:r>
    <w:r>
      <w:rPr>
        <w:rStyle w:val="PageNumber"/>
        <w:rFonts w:ascii="Times New Roman" w:hAnsi="Times New Roman" w:cs="Times New Roman"/>
        <w:sz w:val="20"/>
      </w:rPr>
      <w:fldChar w:fldCharType="end"/>
    </w:r>
  </w:p>
  <w:p>
    <w:pPr>
      <w:pStyle w:val="Footer"/>
      <w:framePr w:vAnchor="text" w:hAnchor="margin" w:xAlign="center" w:y="1"/>
      <w:rPr>
        <w:rStyle w:val="PageNumber"/>
        <w:rFonts w:ascii="Times New Roman" w:hAnsi="Times New Roman" w:cs="Times New Roman"/>
        <w:sz w:val="20"/>
      </w:rPr>
    </w:pPr>
  </w:p>
  <w:p>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Tabuľku zhody uložte s názvom súboru vo formáte CT_celex. číslo smernice, napr. CT_32005L0001</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17 zákona č. 656/2004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DEB212"/>
    <w:lvl w:ilvl="0">
      <w:start w:val="0"/>
      <w:numFmt w:val="decimal"/>
      <w:lvlText w:val="*"/>
      <w:lvlJc w:val="left"/>
      <w:pPr>
        <w:ind w:left="0"/>
      </w:pPr>
    </w:lvl>
  </w:abstractNum>
  <w:abstractNum w:abstractNumId="1">
    <w:nsid w:val="030E4FFC"/>
    <w:multiLevelType w:val="hybridMultilevel"/>
    <w:tmpl w:val="4A505F54"/>
    <w:lvl w:ilvl="0">
      <w:start w:val="1"/>
      <w:numFmt w:val="lowerLetter"/>
      <w:lvlText w:val="%1)"/>
      <w:lvlJc w:val="left"/>
      <w:pPr>
        <w:tabs>
          <w:tab w:val="num" w:pos="360"/>
        </w:tabs>
        <w:ind w:left="284" w:hanging="284"/>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49B5AA9"/>
    <w:multiLevelType w:val="multilevel"/>
    <w:tmpl w:val="B524B284"/>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28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E0113E"/>
    <w:multiLevelType w:val="singleLevel"/>
    <w:tmpl w:val="68CE3298"/>
    <w:lvl w:ilvl="0">
      <w:start w:val="1"/>
      <w:numFmt w:val="decimal"/>
      <w:lvlText w:val="%1."/>
      <w:legacy w:legacy="1" w:legacySpace="0" w:legacyIndent="240"/>
      <w:lvlJc w:val="left"/>
      <w:pPr>
        <w:ind w:left="0"/>
      </w:pPr>
      <w:rPr>
        <w:rFonts w:ascii="Times New Roman" w:hAnsi="Times New Roman"/>
        <w:rtl w:val="0"/>
      </w:rPr>
    </w:lvl>
  </w:abstractNum>
  <w:abstractNum w:abstractNumId="4">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E873AB"/>
    <w:multiLevelType w:val="hybridMultilevel"/>
    <w:tmpl w:val="692AF4C4"/>
    <w:lvl w:ilvl="0">
      <w:start w:val="1"/>
      <w:numFmt w:val="decimal"/>
      <w:lvlText w:val="%1."/>
      <w:lvlJc w:val="left"/>
      <w:pPr>
        <w:tabs>
          <w:tab w:val="num" w:pos="70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7F85A27"/>
    <w:multiLevelType w:val="hybridMultilevel"/>
    <w:tmpl w:val="DF78BA90"/>
    <w:lvl w:ilvl="0">
      <w:start w:val="1"/>
      <w:numFmt w:val="decimal"/>
      <w:lvlText w:val="(%1)"/>
      <w:lvlJc w:val="left"/>
      <w:pPr>
        <w:tabs>
          <w:tab w:val="num" w:pos="450"/>
        </w:tabs>
        <w:ind w:left="450" w:hanging="39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
    <w:nsid w:val="0E3373E1"/>
    <w:multiLevelType w:val="singleLevel"/>
    <w:tmpl w:val="9A928060"/>
    <w:lvl w:ilvl="0">
      <w:start w:val="1"/>
      <w:numFmt w:val="lowerLetter"/>
      <w:lvlText w:val="%1)"/>
      <w:legacy w:legacy="1" w:legacySpace="0" w:legacyIndent="254"/>
      <w:lvlJc w:val="left"/>
      <w:pPr>
        <w:ind w:left="0"/>
      </w:pPr>
      <w:rPr>
        <w:rFonts w:ascii="Times New Roman" w:hAnsi="Times New Roman"/>
        <w:rtl w:val="0"/>
      </w:rPr>
    </w:lvl>
  </w:abstractNum>
  <w:abstractNum w:abstractNumId="8">
    <w:nsid w:val="0E951A0A"/>
    <w:multiLevelType w:val="hybridMultilevel"/>
    <w:tmpl w:val="4434FE92"/>
    <w:lvl w:ilvl="0">
      <w:start w:val="0"/>
      <w:numFmt w:val="bullet"/>
      <w:lvlText w:val="-"/>
      <w:lvlJc w:val="left"/>
      <w:pPr>
        <w:tabs>
          <w:tab w:val="num" w:pos="360"/>
        </w:tabs>
        <w:ind w:left="360" w:hanging="360"/>
      </w:pPr>
      <w:rPr>
        <w:rFonts w:ascii="Times New Roman" w:hAnsi="Times New Roman" w:cs="Times New Roman"/>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9">
    <w:nsid w:val="12B0265D"/>
    <w:multiLevelType w:val="hybridMultilevel"/>
    <w:tmpl w:val="E0304A80"/>
    <w:lvl w:ilvl="0">
      <w:start w:val="1"/>
      <w:numFmt w:val="lowerLetter"/>
      <w:lvlText w:val="%1)"/>
      <w:lvlJc w:val="left"/>
      <w:pPr>
        <w:tabs>
          <w:tab w:val="num" w:pos="814"/>
        </w:tabs>
        <w:ind w:left="794" w:hanging="340"/>
      </w:pPr>
      <w:rPr>
        <w:rFonts w:ascii="Times New Roman" w:hAnsi="Times New Roman"/>
        <w:b w:val="0"/>
        <w:i w:val="0"/>
        <w:caps w:val="0"/>
        <w:strike w:val="0"/>
        <w:dstrike w:val="0"/>
        <w:outline w:val="0"/>
        <w:shadow w:val="0"/>
        <w:emboss w:val="0"/>
        <w:imprint w:val="0"/>
        <w:vanish w:val="0"/>
        <w:sz w:val="24"/>
        <w:rtl w:val="0"/>
      </w:rPr>
    </w:lvl>
    <w:lvl w:ilvl="1">
      <w:start w:val="1"/>
      <w:numFmt w:val="decimal"/>
      <w:lvlText w:val="%2."/>
      <w:lvlJc w:val="left"/>
      <w:pPr>
        <w:tabs>
          <w:tab w:val="num" w:pos="794"/>
        </w:tabs>
        <w:ind w:left="1134" w:hanging="340"/>
      </w:pPr>
      <w:rPr>
        <w:b w:val="0"/>
        <w:i w:val="0"/>
        <w:caps w:val="0"/>
        <w:strike w:val="0"/>
        <w:dstrike w:val="0"/>
        <w:outline w:val="0"/>
        <w:shadow w:val="0"/>
        <w:emboss w:val="0"/>
        <w:imprint w:val="0"/>
        <w:vanish w:val="0"/>
        <w:sz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D2761E"/>
    <w:multiLevelType w:val="hybridMultilevel"/>
    <w:tmpl w:val="7A187A22"/>
    <w:lvl w:ilvl="0">
      <w:start w:val="1"/>
      <w:numFmt w:val="lowerLetter"/>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FA29B0"/>
    <w:multiLevelType w:val="multilevel"/>
    <w:tmpl w:val="AEA208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055737"/>
    <w:multiLevelType w:val="hybridMultilevel"/>
    <w:tmpl w:val="6450E996"/>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E8213A"/>
    <w:multiLevelType w:val="hybridMultilevel"/>
    <w:tmpl w:val="D5A22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B157444"/>
    <w:multiLevelType w:val="hybridMultilevel"/>
    <w:tmpl w:val="DECE0156"/>
    <w:lvl w:ilvl="0">
      <w:start w:val="2"/>
      <w:numFmt w:val="bullet"/>
      <w:lvlText w:val="-"/>
      <w:lvlJc w:val="left"/>
      <w:pPr>
        <w:tabs>
          <w:tab w:val="num" w:pos="318"/>
        </w:tabs>
        <w:ind w:left="318" w:hanging="360"/>
      </w:pPr>
      <w:rPr>
        <w:rFonts w:ascii="Times New Roman" w:hAnsi="Times New Roman" w:cs="Times New Roman"/>
        <w:rtl w:val="0"/>
      </w:rPr>
    </w:lvl>
    <w:lvl w:ilvl="1">
      <w:start w:val="1"/>
      <w:numFmt w:val="bullet"/>
      <w:lvlText w:val="o"/>
      <w:lvlJc w:val="left"/>
      <w:pPr>
        <w:tabs>
          <w:tab w:val="num" w:pos="1038"/>
        </w:tabs>
        <w:ind w:left="1038" w:hanging="360"/>
      </w:pPr>
      <w:rPr>
        <w:rFonts w:ascii="Courier New" w:hAnsi="Courier New"/>
        <w:rtl w:val="0"/>
      </w:rPr>
    </w:lvl>
    <w:lvl w:ilvl="2">
      <w:start w:val="1"/>
      <w:numFmt w:val="bullet"/>
      <w:lvlText w:val=""/>
      <w:lvlJc w:val="left"/>
      <w:pPr>
        <w:tabs>
          <w:tab w:val="num" w:pos="1758"/>
        </w:tabs>
        <w:ind w:left="1758" w:hanging="360"/>
      </w:pPr>
      <w:rPr>
        <w:rFonts w:ascii="Wingdings" w:hAnsi="Wingdings"/>
        <w:rtl w:val="0"/>
      </w:rPr>
    </w:lvl>
    <w:lvl w:ilvl="3">
      <w:start w:val="1"/>
      <w:numFmt w:val="bullet"/>
      <w:lvlText w:val=""/>
      <w:lvlJc w:val="left"/>
      <w:pPr>
        <w:tabs>
          <w:tab w:val="num" w:pos="2478"/>
        </w:tabs>
        <w:ind w:left="2478" w:hanging="360"/>
      </w:pPr>
      <w:rPr>
        <w:rFonts w:ascii="Symbol" w:hAnsi="Symbol"/>
        <w:rtl w:val="0"/>
      </w:rPr>
    </w:lvl>
    <w:lvl w:ilvl="4">
      <w:start w:val="1"/>
      <w:numFmt w:val="bullet"/>
      <w:lvlText w:val="o"/>
      <w:lvlJc w:val="left"/>
      <w:pPr>
        <w:tabs>
          <w:tab w:val="num" w:pos="3198"/>
        </w:tabs>
        <w:ind w:left="3198" w:hanging="360"/>
      </w:pPr>
      <w:rPr>
        <w:rFonts w:ascii="Courier New" w:hAnsi="Courier New"/>
        <w:rtl w:val="0"/>
      </w:rPr>
    </w:lvl>
    <w:lvl w:ilvl="5">
      <w:start w:val="1"/>
      <w:numFmt w:val="bullet"/>
      <w:lvlText w:val=""/>
      <w:lvlJc w:val="left"/>
      <w:pPr>
        <w:tabs>
          <w:tab w:val="num" w:pos="3918"/>
        </w:tabs>
        <w:ind w:left="3918" w:hanging="360"/>
      </w:pPr>
      <w:rPr>
        <w:rFonts w:ascii="Wingdings" w:hAnsi="Wingdings"/>
        <w:rtl w:val="0"/>
      </w:rPr>
    </w:lvl>
    <w:lvl w:ilvl="6">
      <w:start w:val="1"/>
      <w:numFmt w:val="bullet"/>
      <w:lvlText w:val=""/>
      <w:lvlJc w:val="left"/>
      <w:pPr>
        <w:tabs>
          <w:tab w:val="num" w:pos="4638"/>
        </w:tabs>
        <w:ind w:left="4638" w:hanging="360"/>
      </w:pPr>
      <w:rPr>
        <w:rFonts w:ascii="Symbol" w:hAnsi="Symbol"/>
        <w:rtl w:val="0"/>
      </w:rPr>
    </w:lvl>
    <w:lvl w:ilvl="7">
      <w:start w:val="1"/>
      <w:numFmt w:val="bullet"/>
      <w:lvlText w:val="o"/>
      <w:lvlJc w:val="left"/>
      <w:pPr>
        <w:tabs>
          <w:tab w:val="num" w:pos="5358"/>
        </w:tabs>
        <w:ind w:left="5358" w:hanging="360"/>
      </w:pPr>
      <w:rPr>
        <w:rFonts w:ascii="Courier New" w:hAnsi="Courier New"/>
        <w:rtl w:val="0"/>
      </w:rPr>
    </w:lvl>
    <w:lvl w:ilvl="8">
      <w:start w:val="1"/>
      <w:numFmt w:val="bullet"/>
      <w:lvlText w:val=""/>
      <w:lvlJc w:val="left"/>
      <w:pPr>
        <w:tabs>
          <w:tab w:val="num" w:pos="6078"/>
        </w:tabs>
        <w:ind w:left="6078" w:hanging="360"/>
      </w:pPr>
      <w:rPr>
        <w:rFonts w:ascii="Wingdings" w:hAnsi="Wingdings"/>
        <w:rtl w:val="0"/>
      </w:rPr>
    </w:lvl>
  </w:abstractNum>
  <w:abstractNum w:abstractNumId="15">
    <w:nsid w:val="2B6627CC"/>
    <w:multiLevelType w:val="singleLevel"/>
    <w:tmpl w:val="0964C114"/>
    <w:lvl w:ilvl="0">
      <w:start w:val="1"/>
      <w:numFmt w:val="decimal"/>
      <w:lvlText w:val="%1."/>
      <w:legacy w:legacy="1" w:legacySpace="0" w:legacyIndent="254"/>
      <w:lvlJc w:val="left"/>
      <w:pPr>
        <w:ind w:left="0"/>
      </w:pPr>
      <w:rPr>
        <w:rFonts w:ascii="Times New Roman" w:hAnsi="Times New Roman"/>
        <w:rtl w:val="0"/>
      </w:rPr>
    </w:lvl>
  </w:abstractNum>
  <w:abstractNum w:abstractNumId="16">
    <w:nsid w:val="2C491C30"/>
    <w:multiLevelType w:val="hybridMultilevel"/>
    <w:tmpl w:val="4C18BD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D6D6DE7"/>
    <w:multiLevelType w:val="multilevel"/>
    <w:tmpl w:val="B524B284"/>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28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3A156E"/>
    <w:multiLevelType w:val="hybridMultilevel"/>
    <w:tmpl w:val="DA8E0554"/>
    <w:lvl w:ilvl="0">
      <w:start w:val="1"/>
      <w:numFmt w:val="lowerLetter"/>
      <w:lvlText w:val="%1)"/>
      <w:lvlJc w:val="left"/>
      <w:pPr>
        <w:tabs>
          <w:tab w:val="num" w:pos="360"/>
        </w:tabs>
        <w:ind w:left="340" w:hanging="340"/>
      </w:pPr>
      <w:rPr>
        <w:b w:val="0"/>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D316D8"/>
    <w:multiLevelType w:val="hybridMultilevel"/>
    <w:tmpl w:val="433A8A92"/>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D367E9"/>
    <w:multiLevelType w:val="hybridMultilevel"/>
    <w:tmpl w:val="AEA208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5872D1"/>
    <w:multiLevelType w:val="hybridMultilevel"/>
    <w:tmpl w:val="2FF4193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9CA494D"/>
    <w:multiLevelType w:val="hybridMultilevel"/>
    <w:tmpl w:val="A50657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663AC7"/>
    <w:multiLevelType w:val="hybridMultilevel"/>
    <w:tmpl w:val="C4A235AE"/>
    <w:lvl w:ilvl="0">
      <w:start w:val="1"/>
      <w:numFmt w:val="lowerLetter"/>
      <w:lvlText w:val="%1)"/>
      <w:lvlJc w:val="left"/>
      <w:pPr>
        <w:tabs>
          <w:tab w:val="num" w:pos="360"/>
        </w:tabs>
        <w:ind w:left="284" w:hanging="284"/>
      </w:pPr>
    </w:lvl>
    <w:lvl w:ilvl="1">
      <w:start w:val="1"/>
      <w:numFmt w:val="decimal"/>
      <w:lvlText w:val="(%2)"/>
      <w:lvlJc w:val="left"/>
      <w:pPr>
        <w:tabs>
          <w:tab w:val="num" w:pos="1995"/>
        </w:tabs>
        <w:ind w:left="1995" w:hanging="91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A832C2"/>
    <w:multiLevelType w:val="hybridMultilevel"/>
    <w:tmpl w:val="74A66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B1017B"/>
    <w:multiLevelType w:val="hybridMultilevel"/>
    <w:tmpl w:val="7F124B0C"/>
    <w:lvl w:ilvl="0">
      <w:start w:val="1"/>
      <w:numFmt w:val="lowerLetter"/>
      <w:lvlText w:val="%1)"/>
      <w:lvlJc w:val="left"/>
      <w:pPr>
        <w:tabs>
          <w:tab w:val="num" w:pos="720"/>
        </w:tabs>
        <w:ind w:left="720" w:hanging="360"/>
      </w:pPr>
      <w:rPr>
        <w:rFonts w:ascii="Times New Roman" w:hAnsi="Times New Roman" w:cs="Times New Roman"/>
        <w:b w:val="0"/>
        <w:rtl w:val="0"/>
      </w:rPr>
    </w:lvl>
    <w:lvl w:ilvl="1">
      <w:start w:val="1"/>
      <w:numFmt w:val="decimal"/>
      <w:lvlText w:val="(%2)"/>
      <w:lvlJc w:val="left"/>
      <w:pPr>
        <w:tabs>
          <w:tab w:val="num" w:pos="1860"/>
        </w:tabs>
        <w:ind w:left="1860" w:hanging="7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C21200"/>
    <w:multiLevelType w:val="hybridMultilevel"/>
    <w:tmpl w:val="9C50370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5C3AC8"/>
    <w:multiLevelType w:val="singleLevel"/>
    <w:tmpl w:val="9760D9C0"/>
    <w:lvl w:ilvl="0">
      <w:start w:val="3"/>
      <w:numFmt w:val="decimal"/>
      <w:lvlText w:val="%1."/>
      <w:legacy w:legacy="1" w:legacySpace="0" w:legacyIndent="240"/>
      <w:lvlJc w:val="left"/>
      <w:pPr>
        <w:ind w:left="0"/>
      </w:pPr>
      <w:rPr>
        <w:rFonts w:ascii="Times New Roman" w:hAnsi="Times New Roman"/>
        <w:rtl w:val="0"/>
      </w:rPr>
    </w:lvl>
  </w:abstractNum>
  <w:abstractNum w:abstractNumId="28">
    <w:nsid w:val="419D755E"/>
    <w:multiLevelType w:val="singleLevel"/>
    <w:tmpl w:val="CB063174"/>
    <w:lvl w:ilvl="0">
      <w:start w:val="1"/>
      <w:numFmt w:val="decimal"/>
      <w:lvlText w:val="(%1)"/>
      <w:legacy w:legacy="1" w:legacySpace="0" w:legacyIndent="274"/>
      <w:lvlJc w:val="left"/>
      <w:pPr>
        <w:ind w:left="0"/>
      </w:pPr>
      <w:rPr>
        <w:rFonts w:ascii="Times New Roman" w:hAnsi="Times New Roman"/>
        <w:rtl w:val="0"/>
      </w:rPr>
    </w:lvl>
  </w:abstractNum>
  <w:abstractNum w:abstractNumId="29">
    <w:nsid w:val="44663AA7"/>
    <w:multiLevelType w:val="hybridMultilevel"/>
    <w:tmpl w:val="8000171E"/>
    <w:lvl w:ilvl="0">
      <w:start w:val="1"/>
      <w:numFmt w:val="lowerLetter"/>
      <w:lvlText w:val="%1)"/>
      <w:lvlJc w:val="left"/>
      <w:pPr>
        <w:tabs>
          <w:tab w:val="num" w:pos="1440"/>
        </w:tabs>
        <w:ind w:left="1440" w:hanging="360"/>
      </w:pPr>
    </w:lvl>
    <w:lvl w:ilvl="1">
      <w:start w:val="13"/>
      <w:numFmt w:val="decimal"/>
      <w:lvlText w:val="(%2)"/>
      <w:lvlJc w:val="left"/>
      <w:pPr>
        <w:tabs>
          <w:tab w:val="num" w:pos="2190"/>
        </w:tabs>
        <w:ind w:left="2190" w:hanging="39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47CB6B95"/>
    <w:multiLevelType w:val="multilevel"/>
    <w:tmpl w:val="850470C6"/>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8B05CB0"/>
    <w:multiLevelType w:val="hybridMultilevel"/>
    <w:tmpl w:val="3E105F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2A7428"/>
    <w:multiLevelType w:val="hybridMultilevel"/>
    <w:tmpl w:val="C1B007BA"/>
    <w:lvl w:ilvl="0">
      <w:start w:val="1"/>
      <w:numFmt w:val="lowerLetter"/>
      <w:lvlText w:val="%1)"/>
      <w:lvlJc w:val="left"/>
      <w:pPr>
        <w:tabs>
          <w:tab w:val="num" w:pos="360"/>
        </w:tabs>
        <w:ind w:left="360" w:hanging="360"/>
      </w:pPr>
    </w:lvl>
    <w:lvl w:ilvl="1">
      <w:start w:val="1"/>
      <w:numFmt w:val="lowerLetter"/>
      <w:lvlText w:val="%2."/>
      <w:lvlJc w:val="left"/>
      <w:pPr>
        <w:tabs>
          <w:tab w:val="num" w:pos="24"/>
        </w:tabs>
        <w:ind w:left="24" w:hanging="360"/>
      </w:pPr>
    </w:lvl>
    <w:lvl w:ilvl="2">
      <w:start w:val="1"/>
      <w:numFmt w:val="lowerRoman"/>
      <w:lvlText w:val="%3."/>
      <w:lvlJc w:val="right"/>
      <w:pPr>
        <w:tabs>
          <w:tab w:val="num" w:pos="744"/>
        </w:tabs>
        <w:ind w:left="744" w:hanging="180"/>
      </w:pPr>
    </w:lvl>
    <w:lvl w:ilvl="3">
      <w:start w:val="1"/>
      <w:numFmt w:val="decimal"/>
      <w:lvlText w:val="%4."/>
      <w:lvlJc w:val="left"/>
      <w:pPr>
        <w:tabs>
          <w:tab w:val="num" w:pos="1464"/>
        </w:tabs>
        <w:ind w:left="1464" w:hanging="360"/>
      </w:pPr>
    </w:lvl>
    <w:lvl w:ilvl="4">
      <w:start w:val="1"/>
      <w:numFmt w:val="lowerLetter"/>
      <w:lvlText w:val="%5."/>
      <w:lvlJc w:val="left"/>
      <w:pPr>
        <w:tabs>
          <w:tab w:val="num" w:pos="2184"/>
        </w:tabs>
        <w:ind w:left="2184" w:hanging="360"/>
      </w:pPr>
    </w:lvl>
    <w:lvl w:ilvl="5">
      <w:start w:val="1"/>
      <w:numFmt w:val="lowerRoman"/>
      <w:lvlText w:val="%6."/>
      <w:lvlJc w:val="right"/>
      <w:pPr>
        <w:tabs>
          <w:tab w:val="num" w:pos="2904"/>
        </w:tabs>
        <w:ind w:left="2904" w:hanging="180"/>
      </w:pPr>
    </w:lvl>
    <w:lvl w:ilvl="6">
      <w:start w:val="1"/>
      <w:numFmt w:val="decimal"/>
      <w:lvlText w:val="%7."/>
      <w:lvlJc w:val="left"/>
      <w:pPr>
        <w:tabs>
          <w:tab w:val="num" w:pos="3624"/>
        </w:tabs>
        <w:ind w:left="3624" w:hanging="360"/>
      </w:pPr>
    </w:lvl>
    <w:lvl w:ilvl="7">
      <w:start w:val="1"/>
      <w:numFmt w:val="lowerLetter"/>
      <w:lvlText w:val="%8."/>
      <w:lvlJc w:val="left"/>
      <w:pPr>
        <w:tabs>
          <w:tab w:val="num" w:pos="4344"/>
        </w:tabs>
        <w:ind w:left="4344" w:hanging="360"/>
      </w:pPr>
    </w:lvl>
    <w:lvl w:ilvl="8">
      <w:start w:val="1"/>
      <w:numFmt w:val="lowerRoman"/>
      <w:lvlText w:val="%9."/>
      <w:lvlJc w:val="right"/>
      <w:pPr>
        <w:tabs>
          <w:tab w:val="num" w:pos="5064"/>
        </w:tabs>
        <w:ind w:left="5064" w:hanging="180"/>
      </w:pPr>
    </w:lvl>
  </w:abstractNum>
  <w:abstractNum w:abstractNumId="33">
    <w:nsid w:val="4C866C41"/>
    <w:multiLevelType w:val="hybridMultilevel"/>
    <w:tmpl w:val="B524B284"/>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28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DD36F35"/>
    <w:multiLevelType w:val="hybridMultilevel"/>
    <w:tmpl w:val="32C62D44"/>
    <w:lvl w:ilvl="0">
      <w:start w:val="3"/>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5744D0"/>
    <w:multiLevelType w:val="hybridMultilevel"/>
    <w:tmpl w:val="76EA5862"/>
    <w:lvl w:ilvl="0">
      <w:start w:val="1"/>
      <w:numFmt w:val="lowerLetter"/>
      <w:lvlText w:val="%1)"/>
      <w:lvlJc w:val="left"/>
      <w:pPr>
        <w:tabs>
          <w:tab w:val="num" w:pos="1778"/>
        </w:tabs>
        <w:ind w:left="177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1C11908"/>
    <w:multiLevelType w:val="hybridMultilevel"/>
    <w:tmpl w:val="E0026F5E"/>
    <w:lvl w:ilvl="0">
      <w:start w:val="1"/>
      <w:numFmt w:val="lowerLetter"/>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30779C7"/>
    <w:multiLevelType w:val="hybridMultilevel"/>
    <w:tmpl w:val="B598414E"/>
    <w:lvl w:ilvl="0">
      <w:start w:val="1"/>
      <w:numFmt w:val="lowerLetter"/>
      <w:lvlText w:val="%1)"/>
      <w:lvlJc w:val="left"/>
      <w:pPr>
        <w:tabs>
          <w:tab w:val="num" w:pos="360"/>
        </w:tabs>
        <w:ind w:left="340" w:hanging="340"/>
      </w:pPr>
      <w:rPr>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94741AF"/>
    <w:multiLevelType w:val="hybridMultilevel"/>
    <w:tmpl w:val="1B0012D0"/>
    <w:lvl w:ilvl="0">
      <w:start w:val="6"/>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E85F40"/>
    <w:multiLevelType w:val="multilevel"/>
    <w:tmpl w:val="F9142EE4"/>
    <w:lvl w:ilvl="0">
      <w:start w:val="1"/>
      <w:numFmt w:val="lowerLetter"/>
      <w:lvlText w:val="%1)"/>
      <w:lvlJc w:val="left"/>
      <w:pPr>
        <w:tabs>
          <w:tab w:val="num" w:pos="814"/>
        </w:tabs>
        <w:ind w:left="794" w:hanging="340"/>
      </w:pPr>
      <w:rPr>
        <w:rFonts w:ascii="Times New Roman" w:hAnsi="Times New Roman"/>
        <w:b w:val="0"/>
        <w:i w:val="0"/>
        <w:caps w:val="0"/>
        <w:strike w:val="0"/>
        <w:dstrike w:val="0"/>
        <w:outline w:val="0"/>
        <w:shadow w:val="0"/>
        <w:emboss w:val="0"/>
        <w:imprint w:val="0"/>
        <w:vanish w:val="0"/>
        <w:sz w:val="24"/>
        <w:rtl w:val="0"/>
      </w:rPr>
    </w:lvl>
    <w:lvl w:ilvl="1">
      <w:start w:val="1"/>
      <w:numFmt w:val="decimal"/>
      <w:lvlText w:val="%2."/>
      <w:lvlJc w:val="left"/>
      <w:pPr>
        <w:tabs>
          <w:tab w:val="num" w:pos="1154"/>
        </w:tabs>
        <w:ind w:left="1134"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BD26153"/>
    <w:multiLevelType w:val="hybridMultilevel"/>
    <w:tmpl w:val="ED00BED2"/>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BA3F61"/>
    <w:multiLevelType w:val="hybridMultilevel"/>
    <w:tmpl w:val="4F48F9D8"/>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47C23E9"/>
    <w:multiLevelType w:val="hybridMultilevel"/>
    <w:tmpl w:val="AD227962"/>
    <w:lvl w:ilvl="0">
      <w:start w:val="1"/>
      <w:numFmt w:val="lowerLetter"/>
      <w:lvlText w:val="%1)"/>
      <w:lvlJc w:val="left"/>
      <w:pPr>
        <w:tabs>
          <w:tab w:val="num" w:pos="360"/>
        </w:tabs>
        <w:ind w:left="360" w:hanging="360"/>
      </w:pPr>
      <w:rPr>
        <w:b w:val="0"/>
        <w:i w:val="0"/>
        <w:rtl w:val="0"/>
      </w:rPr>
    </w:lvl>
    <w:lvl w:ilvl="1">
      <w:start w:val="1"/>
      <w:numFmt w:val="decimal"/>
      <w:lvlText w:val="%2."/>
      <w:lvlJc w:val="left"/>
      <w:pPr>
        <w:tabs>
          <w:tab w:val="num" w:pos="1380"/>
        </w:tabs>
        <w:ind w:left="1190" w:hanging="17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3">
    <w:nsid w:val="678F2B03"/>
    <w:multiLevelType w:val="hybridMultilevel"/>
    <w:tmpl w:val="89F2B00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4">
    <w:nsid w:val="68734620"/>
    <w:multiLevelType w:val="multilevel"/>
    <w:tmpl w:val="9C50370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8F8342D"/>
    <w:multiLevelType w:val="hybridMultilevel"/>
    <w:tmpl w:val="D2AEFFEE"/>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6">
    <w:nsid w:val="698D17EE"/>
    <w:multiLevelType w:val="hybridMultilevel"/>
    <w:tmpl w:val="F3C468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0EB3862"/>
    <w:multiLevelType w:val="hybridMultilevel"/>
    <w:tmpl w:val="B1CC63B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1DF4703"/>
    <w:multiLevelType w:val="hybridMultilevel"/>
    <w:tmpl w:val="53C63FCA"/>
    <w:lvl w:ilvl="0">
      <w:start w:val="1"/>
      <w:numFmt w:val="lowerLetter"/>
      <w:lvlText w:val="%1)"/>
      <w:lvlJc w:val="left"/>
      <w:pPr>
        <w:tabs>
          <w:tab w:val="num" w:pos="357"/>
        </w:tabs>
        <w:ind w:left="357" w:hanging="357"/>
      </w:pPr>
    </w:lvl>
    <w:lvl w:ilvl="1">
      <w:start w:val="1"/>
      <w:numFmt w:val="lowerLetter"/>
      <w:lvlText w:val="%2)"/>
      <w:lvlJc w:val="left"/>
      <w:pPr>
        <w:tabs>
          <w:tab w:val="num" w:pos="34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318247C"/>
    <w:multiLevelType w:val="multilevel"/>
    <w:tmpl w:val="850470C6"/>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3CE0323"/>
    <w:multiLevelType w:val="hybridMultilevel"/>
    <w:tmpl w:val="2AF4520C"/>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4A81DC1"/>
    <w:multiLevelType w:val="hybridMultilevel"/>
    <w:tmpl w:val="5CEC5F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4B76CAD"/>
    <w:multiLevelType w:val="hybridMultilevel"/>
    <w:tmpl w:val="893E86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5213F26"/>
    <w:multiLevelType w:val="hybridMultilevel"/>
    <w:tmpl w:val="A4AA7786"/>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4">
    <w:nsid w:val="76156438"/>
    <w:multiLevelType w:val="hybridMultilevel"/>
    <w:tmpl w:val="1320060C"/>
    <w:lvl w:ilvl="0">
      <w:start w:val="2"/>
      <w:numFmt w:val="lowerLetter"/>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7C8F507F"/>
    <w:multiLevelType w:val="singleLevel"/>
    <w:tmpl w:val="9A928060"/>
    <w:lvl w:ilvl="0">
      <w:start w:val="1"/>
      <w:numFmt w:val="lowerLetter"/>
      <w:lvlText w:val="%1)"/>
      <w:legacy w:legacy="1" w:legacySpace="0" w:legacyIndent="254"/>
      <w:lvlJc w:val="left"/>
      <w:pPr>
        <w:ind w:left="0"/>
      </w:pPr>
      <w:rPr>
        <w:rFonts w:ascii="Times New Roman" w:hAnsi="Times New Roman"/>
        <w:rtl w:val="0"/>
      </w:rPr>
    </w:lvl>
  </w:abstractNum>
  <w:abstractNum w:abstractNumId="56">
    <w:nsid w:val="7D267FE5"/>
    <w:multiLevelType w:val="hybridMultilevel"/>
    <w:tmpl w:val="7214E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F275424"/>
    <w:multiLevelType w:val="hybridMultilevel"/>
    <w:tmpl w:val="49385CC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8"/>
  </w:num>
  <w:num w:numId="3">
    <w:abstractNumId w:val="0"/>
    <w:lvlOverride w:ilvl="0">
      <w:lvl w:ilvl="0">
        <w:start w:val="1"/>
        <w:numFmt w:val="bullet"/>
        <w:lvlText w:val="—"/>
        <w:legacy w:legacy="1" w:legacySpace="0" w:legacyIndent="278"/>
        <w:lvlJc w:val="left"/>
        <w:pPr>
          <w:ind w:left="0"/>
        </w:pPr>
        <w:rPr>
          <w:rFonts w:ascii="Times New Roman" w:hAnsi="Times New Roman"/>
          <w:rtl w:val="0"/>
        </w:rPr>
      </w:lvl>
    </w:lvlOverride>
  </w:num>
  <w:num w:numId="4">
    <w:abstractNumId w:val="55"/>
  </w:num>
  <w:num w:numId="5">
    <w:abstractNumId w:val="0"/>
    <w:lvlOverride w:ilvl="0">
      <w:lvl w:ilvl="0">
        <w:start w:val="1"/>
        <w:numFmt w:val="bullet"/>
        <w:lvlText w:val="—"/>
        <w:legacy w:legacy="1" w:legacySpace="0" w:legacyIndent="274"/>
        <w:lvlJc w:val="left"/>
        <w:pPr>
          <w:ind w:left="0"/>
        </w:pPr>
        <w:rPr>
          <w:rFonts w:ascii="Times New Roman" w:hAnsi="Times New Roman"/>
          <w:rtl w:val="0"/>
        </w:rPr>
      </w:lvl>
    </w:lvlOverride>
  </w:num>
  <w:num w:numId="6">
    <w:abstractNumId w:val="7"/>
  </w:num>
  <w:num w:numId="7">
    <w:abstractNumId w:val="15"/>
  </w:num>
  <w:num w:numId="8">
    <w:abstractNumId w:val="3"/>
  </w:num>
  <w:num w:numId="9">
    <w:abstractNumId w:val="27"/>
  </w:num>
  <w:num w:numId="10">
    <w:abstractNumId w:val="14"/>
  </w:num>
  <w:num w:numId="11">
    <w:abstractNumId w:val="53"/>
  </w:num>
  <w:num w:numId="12">
    <w:abstractNumId w:val="45"/>
  </w:num>
  <w:num w:numId="13">
    <w:abstractNumId w:val="8"/>
  </w:num>
  <w:num w:numId="14">
    <w:abstractNumId w:val="16"/>
  </w:num>
  <w:num w:numId="15">
    <w:abstractNumId w:val="13"/>
  </w:num>
  <w:num w:numId="16">
    <w:abstractNumId w:val="46"/>
  </w:num>
  <w:num w:numId="17">
    <w:abstractNumId w:val="22"/>
  </w:num>
  <w:num w:numId="18">
    <w:abstractNumId w:val="9"/>
  </w:num>
  <w:num w:numId="19">
    <w:abstractNumId w:val="39"/>
  </w:num>
  <w:num w:numId="20">
    <w:abstractNumId w:val="29"/>
  </w:num>
  <w:num w:numId="21">
    <w:abstractNumId w:val="19"/>
  </w:num>
  <w:num w:numId="22">
    <w:abstractNumId w:val="56"/>
  </w:num>
  <w:num w:numId="23">
    <w:abstractNumId w:val="37"/>
  </w:num>
  <w:num w:numId="24">
    <w:abstractNumId w:val="1"/>
  </w:num>
  <w:num w:numId="25">
    <w:abstractNumId w:val="23"/>
  </w:num>
  <w:num w:numId="26">
    <w:abstractNumId w:val="33"/>
  </w:num>
  <w:num w:numId="27">
    <w:abstractNumId w:val="18"/>
  </w:num>
  <w:num w:numId="28">
    <w:abstractNumId w:val="12"/>
  </w:num>
  <w:num w:numId="29">
    <w:abstractNumId w:val="54"/>
  </w:num>
  <w:num w:numId="30">
    <w:abstractNumId w:val="5"/>
  </w:num>
  <w:num w:numId="31">
    <w:abstractNumId w:val="30"/>
  </w:num>
  <w:num w:numId="32">
    <w:abstractNumId w:val="49"/>
  </w:num>
  <w:num w:numId="33">
    <w:abstractNumId w:val="35"/>
  </w:num>
  <w:num w:numId="34">
    <w:abstractNumId w:val="25"/>
  </w:num>
  <w:num w:numId="35">
    <w:abstractNumId w:val="41"/>
  </w:num>
  <w:num w:numId="36">
    <w:abstractNumId w:val="50"/>
  </w:num>
  <w:num w:numId="37">
    <w:abstractNumId w:val="26"/>
  </w:num>
  <w:num w:numId="38">
    <w:abstractNumId w:val="20"/>
  </w:num>
  <w:num w:numId="39">
    <w:abstractNumId w:val="52"/>
  </w:num>
  <w:num w:numId="40">
    <w:abstractNumId w:val="17"/>
  </w:num>
  <w:num w:numId="41">
    <w:abstractNumId w:val="2"/>
  </w:num>
  <w:num w:numId="42">
    <w:abstractNumId w:val="36"/>
  </w:num>
  <w:num w:numId="43">
    <w:abstractNumId w:val="11"/>
  </w:num>
  <w:num w:numId="44">
    <w:abstractNumId w:val="44"/>
  </w:num>
  <w:num w:numId="45">
    <w:abstractNumId w:val="21"/>
  </w:num>
  <w:num w:numId="46">
    <w:abstractNumId w:val="32"/>
  </w:num>
  <w:num w:numId="47">
    <w:abstractNumId w:val="42"/>
  </w:num>
  <w:num w:numId="48">
    <w:abstractNumId w:val="48"/>
  </w:num>
  <w:num w:numId="49">
    <w:abstractNumId w:val="6"/>
  </w:num>
  <w:num w:numId="50">
    <w:abstractNumId w:val="40"/>
  </w:num>
  <w:num w:numId="51">
    <w:abstractNumId w:val="10"/>
  </w:num>
  <w:num w:numId="52">
    <w:abstractNumId w:val="43"/>
  </w:num>
  <w:num w:numId="53">
    <w:abstractNumId w:val="47"/>
  </w:num>
  <w:num w:numId="54">
    <w:abstractNumId w:val="34"/>
  </w:num>
  <w:num w:numId="55">
    <w:abstractNumId w:val="51"/>
  </w:num>
  <w:num w:numId="56">
    <w:abstractNumId w:val="38"/>
  </w:num>
  <w:num w:numId="57">
    <w:abstractNumId w:val="31"/>
  </w:num>
  <w:num w:numId="58">
    <w:abstractNumId w:val="24"/>
  </w:num>
  <w:num w:numId="59">
    <w:abstractNumId w:val="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color w:val="000000"/>
      <w:sz w:val="24"/>
      <w:szCs w:val="19"/>
      <w:rtl w:val="0"/>
      <w:lang w:val="sk-SK" w:bidi="ar-SA"/>
    </w:rPr>
  </w:style>
  <w:style w:type="paragraph" w:styleId="Heading1">
    <w:name w:val="heading 1"/>
    <w:basedOn w:val="Normal"/>
    <w:next w:val="Normal"/>
    <w:uiPriority w:val="9"/>
    <w:qFormat/>
    <w:pPr>
      <w:keepNext/>
      <w:autoSpaceDE/>
      <w:autoSpaceDN/>
      <w:jc w:val="center"/>
      <w:outlineLvl w:val="0"/>
    </w:pPr>
    <w:rPr>
      <w:b/>
      <w:bCs/>
      <w:color w:val="auto"/>
      <w:szCs w:val="24"/>
    </w:rPr>
  </w:style>
  <w:style w:type="paragraph" w:styleId="Heading2">
    <w:name w:val="heading 2"/>
    <w:basedOn w:val="Normal"/>
    <w:next w:val="Normal"/>
    <w:uiPriority w:val="9"/>
    <w:qFormat/>
    <w:pPr>
      <w:keepNext/>
      <w:autoSpaceDE/>
      <w:autoSpaceDN/>
      <w:spacing w:before="120"/>
      <w:jc w:val="center"/>
      <w:outlineLvl w:val="1"/>
    </w:pPr>
    <w:rPr>
      <w:b/>
      <w:bCs/>
      <w:color w:val="auto"/>
      <w:sz w:val="20"/>
      <w:szCs w:val="20"/>
    </w:rPr>
  </w:style>
  <w:style w:type="paragraph" w:styleId="Heading3">
    <w:name w:val="heading 3"/>
    <w:basedOn w:val="Normal"/>
    <w:next w:val="Normal"/>
    <w:uiPriority w:val="9"/>
    <w:qFormat/>
    <w:pPr>
      <w:keepNext/>
      <w:jc w:val="left"/>
      <w:outlineLvl w:val="2"/>
    </w:pPr>
    <w:rPr>
      <w:b/>
      <w:bCs/>
      <w:sz w:val="20"/>
      <w:szCs w:val="20"/>
    </w:rPr>
  </w:style>
  <w:style w:type="paragraph" w:styleId="Heading4">
    <w:name w:val="heading 4"/>
    <w:basedOn w:val="Normal"/>
    <w:next w:val="Normal"/>
    <w:uiPriority w:val="9"/>
    <w:qFormat/>
    <w:pPr>
      <w:keepNext/>
      <w:autoSpaceDE/>
      <w:autoSpaceDN/>
      <w:jc w:val="center"/>
      <w:outlineLvl w:val="3"/>
    </w:pPr>
    <w:rPr>
      <w:b/>
      <w:bCs/>
      <w:color w:val="auto"/>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pPr>
      <w:autoSpaceDE/>
      <w:autoSpaceDN/>
      <w:spacing w:line="240" w:lineRule="atLeast"/>
      <w:jc w:val="both"/>
    </w:pPr>
    <w:rPr>
      <w:color w:val="auto"/>
      <w:szCs w:val="24"/>
    </w:rPr>
  </w:style>
  <w:style w:type="paragraph" w:styleId="Header">
    <w:name w:val="header"/>
    <w:basedOn w:val="Normal"/>
    <w:pPr>
      <w:tabs>
        <w:tab w:val="center" w:pos="4536"/>
        <w:tab w:val="right" w:pos="9072"/>
      </w:tabs>
      <w:autoSpaceDE/>
      <w:autoSpaceDN/>
      <w:jc w:val="left"/>
    </w:pPr>
    <w:rPr>
      <w:color w:val="auto"/>
      <w:szCs w:val="24"/>
    </w:rPr>
  </w:style>
  <w:style w:type="paragraph" w:styleId="BodyTextIndent">
    <w:name w:val="Body Text Indent"/>
    <w:basedOn w:val="Normal"/>
    <w:pPr>
      <w:autoSpaceDE/>
      <w:autoSpaceDN/>
      <w:jc w:val="center"/>
    </w:pPr>
    <w:rPr>
      <w:color w:val="auto"/>
      <w:sz w:val="20"/>
      <w:szCs w:val="20"/>
    </w:rPr>
  </w:style>
  <w:style w:type="paragraph" w:customStyle="1" w:styleId="Normlny">
    <w:name w:val="_Normálny"/>
    <w:basedOn w:val="Normal"/>
    <w:pPr>
      <w:autoSpaceDE/>
      <w:autoSpaceDN/>
      <w:jc w:val="left"/>
    </w:pPr>
    <w:rPr>
      <w:color w:val="auto"/>
      <w:sz w:val="20"/>
      <w:szCs w:val="20"/>
    </w:rPr>
  </w:style>
  <w:style w:type="paragraph" w:styleId="FootnoteText">
    <w:name w:val="footnote text"/>
    <w:basedOn w:val="Normal"/>
    <w:semiHidden/>
    <w:pPr>
      <w:autoSpaceDE/>
      <w:autoSpaceDN/>
      <w:jc w:val="left"/>
    </w:pPr>
    <w:rPr>
      <w:color w:val="auto"/>
      <w:sz w:val="20"/>
      <w:szCs w:val="20"/>
    </w:rPr>
  </w:style>
  <w:style w:type="paragraph" w:customStyle="1" w:styleId="abc">
    <w:name w:val="abc"/>
    <w:basedOn w:val="Normal"/>
    <w:pPr>
      <w:tabs>
        <w:tab w:val="left" w:pos="360"/>
        <w:tab w:val="left" w:pos="680"/>
      </w:tabs>
      <w:autoSpaceDE/>
      <w:autoSpaceDN/>
      <w:jc w:val="both"/>
    </w:pPr>
    <w:rPr>
      <w:color w:val="auto"/>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536"/>
        <w:tab w:val="right" w:pos="9072"/>
      </w:tabs>
      <w:jc w:val="left"/>
    </w:pPr>
    <w:rPr>
      <w:color w:val="auto"/>
      <w:szCs w:val="24"/>
    </w:rPr>
  </w:style>
  <w:style w:type="character" w:styleId="PageNumber">
    <w:name w:val="page number"/>
    <w:basedOn w:val="DefaultParagraphFont"/>
  </w:style>
  <w:style w:type="paragraph" w:styleId="BodyTextIndent2">
    <w:name w:val="Body Text Indent 2"/>
    <w:basedOn w:val="Normal"/>
    <w:pPr>
      <w:shd w:val="clear" w:color="auto" w:fill="FFFFFF"/>
      <w:tabs>
        <w:tab w:val="left" w:pos="278"/>
      </w:tabs>
      <w:ind w:hanging="278"/>
      <w:jc w:val="left"/>
    </w:pPr>
    <w:rPr>
      <w:sz w:val="20"/>
      <w:szCs w:val="18"/>
    </w:rPr>
  </w:style>
  <w:style w:type="paragraph" w:styleId="BodyText">
    <w:name w:val="Body Text"/>
    <w:basedOn w:val="Normal"/>
    <w:pPr>
      <w:shd w:val="clear" w:color="auto" w:fill="FFFFFF"/>
      <w:jc w:val="both"/>
    </w:pPr>
    <w:rPr>
      <w:sz w:val="20"/>
    </w:rPr>
  </w:style>
  <w:style w:type="paragraph" w:styleId="BodyText2">
    <w:name w:val="Body Text 2"/>
    <w:basedOn w:val="Normal"/>
    <w:pPr>
      <w:shd w:val="clear" w:color="auto" w:fill="FFFFFF"/>
      <w:tabs>
        <w:tab w:val="left" w:pos="254"/>
      </w:tabs>
      <w:jc w:val="left"/>
    </w:pPr>
    <w:rPr>
      <w:sz w:val="20"/>
    </w:rPr>
  </w:style>
  <w:style w:type="paragraph" w:styleId="BodyTextIndent3">
    <w:name w:val="Body Text Indent 3"/>
    <w:basedOn w:val="Normal"/>
    <w:pPr>
      <w:shd w:val="clear" w:color="auto" w:fill="FFFFFF"/>
      <w:ind w:hanging="42"/>
      <w:jc w:val="both"/>
    </w:pPr>
    <w:rPr>
      <w:sz w:val="20"/>
    </w:rPr>
  </w:style>
  <w:style w:type="character" w:styleId="Emphasis">
    <w:name w:val="Emphasis"/>
    <w:basedOn w:val="DefaultParagraphFont"/>
    <w:uiPriority w:val="20"/>
    <w:qFormat/>
    <w:rPr>
      <w:i/>
      <w:iCs/>
      <w:rtl w:val="0"/>
    </w:rPr>
  </w:style>
  <w:style w:type="paragraph" w:customStyle="1" w:styleId="funkce">
    <w:name w:val="funkce"/>
    <w:basedOn w:val="Normal"/>
    <w:pPr>
      <w:jc w:val="center"/>
    </w:pPr>
    <w:rPr>
      <w:color w:val="auto"/>
      <w:szCs w:val="20"/>
      <w:lang w:val="cs-CZ"/>
    </w:rPr>
  </w:style>
  <w:style w:type="character" w:styleId="Hyperlink">
    <w:name w:val="Hyperlink"/>
    <w:basedOn w:val="DefaultParagraphFont"/>
    <w:rPr>
      <w:b/>
      <w:bCs/>
      <w:strike w:val="0"/>
      <w:dstrike w:val="0"/>
      <w:color w:val="00204E"/>
      <w:u w:val="none"/>
      <w:effect w:val="none"/>
      <w:rtl w:val="0"/>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jc w:val="left"/>
    </w:pPr>
    <w:rPr>
      <w:rFonts w:ascii="Arial Unicode MS" w:hAnsi="Arial Unicode MS" w:cs="Arial Unicode MS"/>
      <w:color w:val="auto"/>
      <w:szCs w:val="24"/>
    </w:rPr>
  </w:style>
  <w:style w:type="paragraph" w:customStyle="1" w:styleId="Normlnywebov8">
    <w:name w:val="Normálny (webový)8"/>
    <w:basedOn w:val="Normal"/>
    <w:pPr>
      <w:spacing w:before="84" w:after="84"/>
      <w:ind w:left="251" w:right="251"/>
      <w:jc w:val="left"/>
    </w:pPr>
    <w:rPr>
      <w:color w:val="auto"/>
      <w:sz w:val="22"/>
      <w:szCs w:val="22"/>
    </w:rPr>
  </w:style>
  <w:style w:type="paragraph" w:customStyle="1" w:styleId="Odstavec">
    <w:name w:val="Odstavec"/>
    <w:basedOn w:val="Normal"/>
    <w:pPr>
      <w:tabs>
        <w:tab w:val="left" w:pos="567"/>
      </w:tabs>
      <w:overflowPunct w:val="0"/>
      <w:autoSpaceDE/>
      <w:autoSpaceDN/>
      <w:spacing w:before="180" w:line="360" w:lineRule="auto"/>
      <w:jc w:val="both"/>
      <w:textAlignment w:val="baseline"/>
    </w:pPr>
    <w:rPr>
      <w:color w:val="auto"/>
      <w:szCs w:val="20"/>
    </w:rPr>
  </w:style>
  <w:style w:type="paragraph" w:styleId="List">
    <w:name w:val="List"/>
    <w:basedOn w:val="Odstavec"/>
    <w:autoRedefine/>
    <w:pPr>
      <w:tabs>
        <w:tab w:val="left" w:pos="110"/>
        <w:tab w:val="clear" w:pos="567"/>
      </w:tabs>
      <w:overflowPunct/>
      <w:spacing w:before="0" w:line="240" w:lineRule="auto"/>
      <w:jc w:val="both"/>
      <w:textAlignment w:val="auto"/>
    </w:pPr>
    <w:rPr>
      <w:sz w:val="20"/>
      <w:szCs w:val="19"/>
    </w:rPr>
  </w:style>
  <w:style w:type="paragraph" w:customStyle="1" w:styleId="Odstavecodsadeny1">
    <w:name w:val="Odstavec odsadeny 1"/>
    <w:basedOn w:val="Odstavec"/>
    <w:next w:val="Odstavec"/>
    <w:pPr>
      <w:tabs>
        <w:tab w:val="left" w:pos="1134"/>
      </w:tabs>
      <w:ind w:left="567"/>
      <w:jc w:val="both"/>
    </w:pPr>
  </w:style>
  <w:style w:type="paragraph" w:customStyle="1" w:styleId="Textbubliny">
    <w:name w:val="Text bubliny"/>
    <w:basedOn w:val="Normal"/>
    <w:semiHidden/>
    <w:pPr>
      <w:jc w:val="left"/>
    </w:pPr>
    <w:rPr>
      <w:rFonts w:ascii="Tahoma" w:hAnsi="Tahoma" w:cs="Tahoma"/>
      <w:sz w:val="16"/>
      <w:szCs w:val="16"/>
    </w:rPr>
  </w:style>
  <w:style w:type="paragraph" w:styleId="Subtitle">
    <w:name w:val="Subtitle"/>
    <w:basedOn w:val="Normal"/>
    <w:uiPriority w:val="11"/>
    <w:qFormat/>
    <w:pPr>
      <w:jc w:val="center"/>
    </w:pPr>
    <w:rPr>
      <w:b/>
      <w:bCs/>
      <w:color w:val="auto"/>
      <w:szCs w:val="24"/>
    </w:rPr>
  </w:style>
  <w:style w:type="paragraph" w:styleId="EnvelopeReturn">
    <w:name w:val="envelope return"/>
    <w:basedOn w:val="Normal"/>
    <w:pPr>
      <w:jc w:val="left"/>
    </w:pPr>
    <w:rPr>
      <w:rFonts w:ascii="Arial" w:hAnsi="Arial" w:cs="Arial"/>
      <w:color w:val="auto"/>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5866</Words>
  <Characters>33440</Characters>
  <Application>Microsoft Office Word</Application>
  <DocSecurity>0</DocSecurity>
  <Lines>0</Lines>
  <Paragraphs>0</Paragraphs>
  <ScaleCrop>false</ScaleCrop>
  <Company>MH SR</Company>
  <LinksUpToDate>false</LinksUpToDate>
  <CharactersWithSpaces>41066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1994-22 bansky</dc:title>
  <dc:creator>Baranovsky</dc:creator>
  <cp:lastModifiedBy>Talapkova</cp:lastModifiedBy>
  <cp:revision>2</cp:revision>
  <cp:lastPrinted>2008-09-29T11:53:00Z</cp:lastPrinted>
  <dcterms:created xsi:type="dcterms:W3CDTF">2009-03-19T09:11:00Z</dcterms:created>
  <dcterms:modified xsi:type="dcterms:W3CDTF">2009-03-19T09:11:00Z</dcterms:modified>
</cp:coreProperties>
</file>