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shd w:val="clear" w:color="auto" w:fill="FFFFFF"/>
        <w:ind w:right="34"/>
        <w:jc w:val="center"/>
        <w:outlineLvl w:val="0"/>
        <w:rPr>
          <w:rFonts w:ascii="Times New Roman" w:hAnsi="Times New Roman" w:cs="Times New Roman"/>
          <w:b/>
          <w:bCs/>
          <w:szCs w:val="24"/>
        </w:rPr>
      </w:pPr>
      <w:r>
        <w:rPr>
          <w:rFonts w:ascii="Times New Roman" w:hAnsi="Times New Roman" w:cs="Times New Roman"/>
          <w:b/>
          <w:bCs/>
          <w:szCs w:val="24"/>
        </w:rPr>
        <w:t xml:space="preserve">Dôvodová správa </w:t>
      </w:r>
    </w:p>
    <w:p>
      <w:pPr>
        <w:shd w:val="clear" w:color="auto" w:fill="FFFFFF"/>
        <w:ind w:right="34"/>
        <w:jc w:val="center"/>
        <w:rPr>
          <w:rFonts w:ascii="Times New Roman" w:hAnsi="Times New Roman" w:cs="Times New Roman"/>
          <w:b/>
          <w:bCs/>
          <w:szCs w:val="24"/>
        </w:rPr>
      </w:pPr>
    </w:p>
    <w:p>
      <w:pPr>
        <w:shd w:val="clear" w:color="auto" w:fill="FFFFFF"/>
        <w:ind w:right="34"/>
        <w:rPr>
          <w:rFonts w:ascii="Times New Roman" w:hAnsi="Times New Roman" w:cs="Times New Roman"/>
          <w:b/>
          <w:bCs/>
          <w:szCs w:val="24"/>
        </w:rPr>
      </w:pPr>
    </w:p>
    <w:p>
      <w:pPr>
        <w:shd w:val="clear" w:color="auto" w:fill="FFFFFF"/>
        <w:tabs>
          <w:tab w:val="left" w:pos="2835"/>
          <w:tab w:val="center" w:pos="4677"/>
        </w:tabs>
        <w:ind w:right="34"/>
        <w:jc w:val="both"/>
        <w:outlineLvl w:val="0"/>
        <w:rPr>
          <w:rFonts w:ascii="Times New Roman" w:hAnsi="Times New Roman" w:cs="Times New Roman"/>
          <w:szCs w:val="24"/>
        </w:rPr>
      </w:pPr>
      <w:r>
        <w:rPr>
          <w:rFonts w:ascii="Times New Roman" w:hAnsi="Times New Roman" w:cs="Times New Roman"/>
          <w:b/>
          <w:bCs/>
          <w:spacing w:val="-2"/>
          <w:szCs w:val="24"/>
        </w:rPr>
        <w:t>Všeobecná časť</w:t>
      </w:r>
      <w:r>
        <w:rPr>
          <w:rFonts w:ascii="Times New Roman" w:hAnsi="Times New Roman" w:cs="Times New Roman"/>
          <w:szCs w:val="24"/>
        </w:rPr>
        <w:t xml:space="preserve"> </w:t>
      </w:r>
    </w:p>
    <w:p>
      <w:pPr>
        <w:jc w:val="both"/>
        <w:rPr>
          <w:rFonts w:ascii="Times New Roman" w:hAnsi="Times New Roman" w:cs="Times New Roman"/>
          <w:szCs w:val="24"/>
        </w:rPr>
      </w:pPr>
    </w:p>
    <w:p>
      <w:pPr>
        <w:pStyle w:val="BodyTextIndent"/>
        <w:rPr>
          <w:rFonts w:ascii="Times New Roman" w:hAnsi="Times New Roman" w:cs="Times New Roman"/>
        </w:rPr>
      </w:pPr>
      <w:r>
        <w:rPr>
          <w:rFonts w:ascii="Times New Roman" w:hAnsi="Times New Roman" w:cs="Times New Roman"/>
        </w:rPr>
        <w:t>Právne vzťahy súvisiace s dovozom a vývozom niektorých výrobkov, ktorých držanie a nakladanie s nimi je na území Slovenskej republiky obmedzené z bezpečnostných dôvodov, teda zbraní, streliva, výbušnín, zbrojárskej a bezpečnostnej techniky a služieb, ktoré nie sú vojenským materiálom v zmysle zákona č. 179/1998 Z. z. o obchodovaní s vojenským materiálom a o doplnení zákona č. 455/1991 Zb. o živnostenskom podnikaní (živnostenský zákon) v znení v neskorších predpisov v platnom znení v súčasnosti upravuje zákon č. 42/1980 Zb. o hospodárskych stykoch so zahraničím v platnom znení, pričom tento zákon vo svojom ustanovení § 56 ods. 1 písm. b) uvádza, že „na ochranu obchodnopolitických alebo iných dôležitých záujmov Československej socialistickej republiky alebo na zabezpečenie plnenia medzinárodných záväzkov môže Federálne ministerstvo zahraničného obchodu všeobecne záväzným právnym predpisom vykonávanie zahraničnohospodárskych činností alebo prevoz tovaru územím Československej socialistickej republiky viazať na splnenie určitých podmienok včítane udelenia úradného povolenia alebo na predloženie určených dokladov.</w:t>
      </w:r>
    </w:p>
    <w:p>
      <w:pPr>
        <w:ind w:firstLine="540"/>
        <w:jc w:val="both"/>
        <w:rPr>
          <w:rFonts w:ascii="Times New Roman" w:hAnsi="Times New Roman" w:cs="Times New Roman"/>
        </w:rPr>
      </w:pPr>
    </w:p>
    <w:p>
      <w:pPr>
        <w:ind w:firstLine="567"/>
        <w:jc w:val="both"/>
        <w:rPr>
          <w:rFonts w:ascii="Times New Roman" w:hAnsi="Times New Roman" w:cs="Times New Roman"/>
        </w:rPr>
      </w:pPr>
      <w:r>
        <w:rPr>
          <w:rFonts w:ascii="Times New Roman" w:hAnsi="Times New Roman" w:cs="Times New Roman"/>
        </w:rPr>
        <w:t xml:space="preserve">V súčasnosti vykonávacím predpisom k tomuto ustanoveniu je vyhláška Ministerstva hospodárstva Slovenskej republiky č. 15/1998 Z. z. o podmienkach udeľovania úradného povolenia na dovoz a vývoz tovaru a služieb, ktorá bližšie upravuje podmienky, ktoré musí splniť žiadateľ o úradné povolenie (licenciu) na dovoz alebo vývoz tovaru a služieb taxatívne uvedených v prílohách </w:t>
      </w:r>
      <w:r>
        <w:rPr>
          <w:rFonts w:ascii="Times New Roman" w:hAnsi="Times New Roman" w:cs="Times New Roman"/>
        </w:rPr>
        <w:t>A, B, C, D a E vyhlášky.</w:t>
      </w:r>
    </w:p>
    <w:p>
      <w:pPr>
        <w:ind w:firstLine="540"/>
        <w:jc w:val="both"/>
        <w:rPr>
          <w:rFonts w:ascii="Times New Roman" w:hAnsi="Times New Roman" w:cs="Times New Roman"/>
        </w:rPr>
      </w:pPr>
    </w:p>
    <w:p>
      <w:pPr>
        <w:ind w:firstLine="567"/>
        <w:jc w:val="both"/>
        <w:rPr>
          <w:rFonts w:ascii="Times New Roman" w:hAnsi="Times New Roman" w:cs="Times New Roman"/>
        </w:rPr>
      </w:pPr>
      <w:r>
        <w:rPr>
          <w:rFonts w:ascii="Times New Roman" w:hAnsi="Times New Roman" w:cs="Times New Roman"/>
        </w:rPr>
        <w:t>Dňom pristúpenia Slovenskej republiky k Zmluve o Európskej únii sa stali prílohy A, B, C a D vyhlášky č. 15/1998 Z. z. obsolétnymi, keďže kompetencie v oblasti obchodnej politiky k tretím štátom, najmä v oblasti kontroly dovozu a vývozu v týchto prílohách uvedených tovarov a služieb prešli do pôsobnosti Európskej komisie, čo malo zároveň za následok, že na území SR platia v tejto oblasti v súčasnosti výlučne právne normy komunitárneho práva.</w:t>
      </w:r>
    </w:p>
    <w:p>
      <w:pPr>
        <w:ind w:firstLine="540"/>
        <w:jc w:val="both"/>
        <w:rPr>
          <w:rFonts w:ascii="Times New Roman" w:hAnsi="Times New Roman" w:cs="Times New Roman"/>
        </w:rPr>
      </w:pPr>
    </w:p>
    <w:p>
      <w:pPr>
        <w:ind w:firstLine="567"/>
        <w:jc w:val="both"/>
        <w:rPr>
          <w:rFonts w:ascii="Times New Roman" w:hAnsi="Times New Roman" w:cs="Times New Roman"/>
        </w:rPr>
      </w:pPr>
      <w:r>
        <w:rPr>
          <w:rFonts w:ascii="Times New Roman" w:hAnsi="Times New Roman" w:cs="Times New Roman"/>
        </w:rPr>
        <w:t>Komunitárnym právom však naďalej nie je upravená oblasť dovozu a vývozu tovarov uvedených v prílohe E vyhlášky č. 15/1998 Z. z., a to vzhľadom na článok 296 ods. 1 písm. b) Zmluvy o Európskej únii, v zmysle ktorého každý členský štát môže prijať opatrenia, ktoré pokladá za nevyhnutné na ochranu základných záujmov vlastnej bezpečnosti a ktoré sú späté s výrobou zbraní, munície a bojového materiálu alebo obchodu s nimi; tieto opatrenia nesmú nepriaznivo ovplyvniť podmienky hospodárskej súťaže na spoločnom trhu výrobkov, ktoré nie sú určené zvlášť na vojenské účely. Z tohto dôvodu odbor riadenia obchodovania s citlivými tovarmi Ministerstva hospodárstva Slovenskej republiky naďalej vydáva licencie na dovoz a vývoz tovarov uvedených v prílohe E vyhlášky č. 15/1998 Z. z., a to v postupe upravenom tout</w:t>
      </w:r>
      <w:r>
        <w:rPr>
          <w:rFonts w:ascii="Times New Roman" w:hAnsi="Times New Roman" w:cs="Times New Roman"/>
        </w:rPr>
        <w:t>o vyhláškou.</w:t>
      </w:r>
    </w:p>
    <w:p>
      <w:pPr>
        <w:ind w:firstLine="540"/>
        <w:jc w:val="both"/>
        <w:rPr>
          <w:rFonts w:ascii="Times New Roman" w:hAnsi="Times New Roman" w:cs="Times New Roman"/>
        </w:rPr>
      </w:pPr>
    </w:p>
    <w:p>
      <w:pPr>
        <w:ind w:firstLine="567"/>
        <w:jc w:val="both"/>
        <w:rPr>
          <w:rFonts w:ascii="Times New Roman" w:hAnsi="Times New Roman" w:cs="Times New Roman"/>
        </w:rPr>
      </w:pPr>
      <w:r>
        <w:rPr>
          <w:rFonts w:ascii="Times New Roman" w:hAnsi="Times New Roman" w:cs="Times New Roman"/>
        </w:rPr>
        <w:t>Vyhláška č. 15/1998 Z. z. ako podzákonný právny predpis nie je vhodným nástrojom na výkon kontroly dovozu a vývozu tovaru natoľko citlivého pre ochranu bezpečnostných záujmov SR, akým sú zbrane, strelivo, výbušniny, zbrojárska a bezpečnostná technika. Predmetná vyhláška neobsahuje žiadne ustanovenia o podmienkach intrakomunitárnej prepravy tohto materiálu v rámci Európskeho spoločenstva, žiadne ustanovenia oprávňujúce správny orgán, ktorý udelí licenciu preskúmať, či osoba, ktorej bola táto licencia udelená, splnila podmienky v nej uvedené, a v prípade, ak tieto podmienky nesplnila prípadne uložiť sankciu. Tiež v súčasnosti žiadna právna norma neumožňuje Ministerstvu hospodárstva SR vydať medzinárodný dovozný certifikát, čo spôsobuje vážne prob</w:t>
      </w:r>
      <w:r>
        <w:rPr>
          <w:rFonts w:ascii="Times New Roman" w:hAnsi="Times New Roman" w:cs="Times New Roman"/>
        </w:rPr>
        <w:t>lémy pri realizácii obchodného styku s niektorými krajinami.</w:t>
      </w:r>
    </w:p>
    <w:p>
      <w:pPr>
        <w:ind w:firstLine="540"/>
        <w:jc w:val="both"/>
        <w:rPr>
          <w:rFonts w:ascii="Times New Roman" w:hAnsi="Times New Roman" w:cs="Times New Roman"/>
        </w:rPr>
      </w:pPr>
    </w:p>
    <w:p>
      <w:pPr>
        <w:ind w:firstLine="567"/>
        <w:jc w:val="both"/>
        <w:rPr>
          <w:rFonts w:ascii="Times New Roman" w:hAnsi="Times New Roman" w:cs="Times New Roman"/>
        </w:rPr>
      </w:pPr>
      <w:r>
        <w:rPr>
          <w:rFonts w:ascii="Times New Roman" w:hAnsi="Times New Roman" w:cs="Times New Roman"/>
        </w:rPr>
        <w:t xml:space="preserve">Nová právna úprava tejto oblasti právnych vzťahov na úrovni zákona je nevyhnutná najmä z dôvodu harmonizácie právneho poriadku s právom Európskeho spoločenstva a je nevyhnutným dôsledkom vstupu </w:t>
      </w:r>
      <w:r>
        <w:rPr>
          <w:rFonts w:ascii="Times New Roman" w:hAnsi="Times New Roman" w:cs="Times New Roman"/>
        </w:rPr>
        <w:t xml:space="preserve">Slovenskej republiky do Európskej únie. </w:t>
      </w:r>
    </w:p>
    <w:p>
      <w:pPr>
        <w:ind w:firstLine="540"/>
        <w:jc w:val="both"/>
        <w:rPr>
          <w:rFonts w:ascii="Times New Roman" w:hAnsi="Times New Roman" w:cs="Times New Roman"/>
        </w:rPr>
      </w:pPr>
    </w:p>
    <w:p>
      <w:pPr>
        <w:ind w:firstLine="567"/>
        <w:jc w:val="both"/>
        <w:rPr>
          <w:rFonts w:ascii="Times New Roman" w:hAnsi="Times New Roman" w:cs="Times New Roman"/>
        </w:rPr>
      </w:pPr>
      <w:r>
        <w:rPr>
          <w:rFonts w:ascii="Times New Roman" w:hAnsi="Times New Roman" w:cs="Times New Roman"/>
        </w:rPr>
        <w:t>Návrh zákona komplexne upravuje postup udeľovania licencií na dovoz a vývoz tovarov v súčasnosti uvedených v prílohe E vyhlášky č. 15/1998 Z. z., pričom ich okruh je vymedzený v prílohe k zákonu, tiež podmienky prepravy takýchto výrobkov z územia členských štátov EÚ na územie SR ako aj pri ich preprave zo SR na územie členských štátov, vymedzuje okruh ústredných orgánov štátnej správy, ktoré sa budú vyjadrovať k žiadosti o udelenie licencie, pričom presne špecifikuje v akej lehote budú môcť poskytnúť svoje vyjadrenie. Zároveň prijatím návrhu zákona dôjde k prechodu kompetencie povoľovať prepravu výbušnín a pyrotechnických výrobkov cez štátne hranice z Hlavného banského úradu na ministerstvo hospodárstva, čím sa odstr</w:t>
      </w:r>
      <w:r>
        <w:rPr>
          <w:rFonts w:ascii="Times New Roman" w:hAnsi="Times New Roman" w:cs="Times New Roman"/>
        </w:rPr>
        <w:t>áni vykonávanie dvoch oddelených správnych konaní pri posudzovaní jedného obchodného prípadu.</w:t>
      </w:r>
    </w:p>
    <w:p>
      <w:pPr>
        <w:ind w:firstLine="540"/>
        <w:jc w:val="both"/>
        <w:rPr>
          <w:rFonts w:ascii="Times New Roman" w:hAnsi="Times New Roman" w:cs="Times New Roman"/>
          <w:szCs w:val="24"/>
        </w:rPr>
      </w:pPr>
    </w:p>
    <w:p>
      <w:pPr>
        <w:jc w:val="both"/>
        <w:rPr>
          <w:rFonts w:ascii="Times New Roman" w:hAnsi="Times New Roman" w:cs="Times New Roman"/>
        </w:rPr>
      </w:pPr>
      <w:r>
        <w:rPr>
          <w:rFonts w:ascii="Times New Roman" w:hAnsi="Times New Roman" w:cs="Times New Roman"/>
        </w:rPr>
        <w:t xml:space="preserve">     </w:t>
        <w:tab/>
        <w:t>Navrhovaná právna úprava zavádza záväznú formu vyhlásenia konečného používateľa a medzinárodného dovozného certifikátu, pričom vzor certifikátu ustanoví vy</w:t>
      </w:r>
      <w:r>
        <w:rPr>
          <w:rFonts w:ascii="Times New Roman" w:hAnsi="Times New Roman" w:cs="Times New Roman"/>
        </w:rPr>
        <w:t>konávací predpis vydaný Ministerstvom hospodárstva Slovenskej republiky.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w:t>
        <w:tab/>
        <w:t>Návrh zákona obsahuje tiež ustanovenia upravujúce výkon kontroly dodržiavania tohto zákona, ako aj vymedzenie sankcií za zistené porušenia jednotlivých ustanovení zákona náležite odstupňované podľa závažnosti porušenia.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w:t>
        <w:tab/>
      </w:r>
      <w:r>
        <w:rPr>
          <w:rFonts w:ascii="Times New Roman" w:hAnsi="Times New Roman" w:cs="Times New Roman"/>
          <w:color w:val="auto"/>
          <w:szCs w:val="24"/>
        </w:rPr>
        <w:t>Doterajší spôsob udeľovania licencií na tzv. určené výrobky sa z pohľadu žiadateľov o licenciu podstatne nemení, zjednodušuje sa administratívna náročnosť pri vybavovaní povolení na niektoré činnosti, na ktorých sa v súčasnosti zúčastňujú viaceré orgány, ako napríklad v prípade cezhraničnej prepravy výbušnín a pyrotechnických výrobkov. Nepočíta sa s podstatnou zmenou výšky správnych poplatkov, upravia sa len ich hodnoty v súvislosti s prechodom na euro a zároveň sa zosúladí príslušná terminológia v Sadzobníku správnych poplatkov.</w:t>
      </w:r>
    </w:p>
    <w:p>
      <w:pPr>
        <w:jc w:val="both"/>
        <w:rPr>
          <w:rFonts w:ascii="Times New Roman" w:hAnsi="Times New Roman" w:cs="Times New Roman"/>
          <w:color w:val="auto"/>
          <w:szCs w:val="24"/>
        </w:rPr>
      </w:pPr>
    </w:p>
    <w:p>
      <w:pPr>
        <w:ind w:firstLine="567"/>
        <w:jc w:val="both"/>
        <w:rPr>
          <w:rFonts w:ascii="Times New Roman" w:hAnsi="Times New Roman" w:cs="Times New Roman"/>
          <w:color w:val="auto"/>
          <w:szCs w:val="24"/>
        </w:rPr>
      </w:pPr>
      <w:r>
        <w:rPr>
          <w:rFonts w:ascii="Times New Roman" w:hAnsi="Times New Roman" w:cs="Times New Roman"/>
          <w:color w:val="auto"/>
          <w:szCs w:val="24"/>
        </w:rPr>
        <w:t>Vzhľadom na prechod kompetencií pri preprave výbušnín a pyrotechnických výrobkov z Hlavného banského úradu na ministerstvo hospodárstva je nevyhnutné novelizovať zákon SNR č. 51/198</w:t>
      </w:r>
      <w:r>
        <w:rPr>
          <w:rFonts w:ascii="Times New Roman" w:hAnsi="Times New Roman" w:cs="Times New Roman"/>
          <w:color w:val="auto"/>
          <w:szCs w:val="24"/>
        </w:rPr>
        <w:t xml:space="preserve">8 Zb. </w:t>
      </w:r>
      <w:r>
        <w:rPr>
          <w:rFonts w:ascii="Times New Roman" w:hAnsi="Times New Roman" w:cs="Times New Roman"/>
          <w:szCs w:val="24"/>
        </w:rPr>
        <w:t>o b</w:t>
      </w:r>
      <w:r>
        <w:rPr>
          <w:rFonts w:ascii="Times New Roman" w:hAnsi="Times New Roman" w:cs="Times New Roman"/>
        </w:rPr>
        <w:t>anskej činnosti, výbušninách a o štátnej banskej správe, pričom sa vypúšťajú príslušné ustanovenia. Zároveň sa novelou odstraňujú niektoré problémy aplikačnej praxe.</w:t>
      </w:r>
    </w:p>
    <w:p>
      <w:pPr>
        <w:jc w:val="both"/>
        <w:rPr>
          <w:rFonts w:ascii="Times New Roman" w:hAnsi="Times New Roman" w:cs="Times New Roman"/>
          <w:color w:val="auto"/>
          <w:szCs w:val="24"/>
        </w:rPr>
      </w:pPr>
    </w:p>
    <w:p>
      <w:pPr>
        <w:ind w:firstLine="567"/>
        <w:jc w:val="both"/>
        <w:rPr>
          <w:rFonts w:ascii="Times New Roman" w:hAnsi="Times New Roman" w:cs="Times New Roman"/>
          <w:color w:val="auto"/>
          <w:szCs w:val="24"/>
        </w:rPr>
      </w:pPr>
      <w:r>
        <w:rPr>
          <w:rFonts w:ascii="Times New Roman" w:hAnsi="Times New Roman" w:cs="Times New Roman"/>
          <w:color w:val="auto"/>
          <w:szCs w:val="24"/>
        </w:rPr>
        <w:t xml:space="preserve">Novým zákonom sa zrušuje </w:t>
      </w:r>
      <w:r>
        <w:rPr>
          <w:rFonts w:ascii="Times New Roman" w:hAnsi="Times New Roman" w:cs="Times New Roman"/>
        </w:rPr>
        <w:t>vyhláška Ministerstva hospodárstva Slovenskej republiky č. 15/1998 Z. z. o podmienkach udeľovania úradného povolenia na dovoz a vývoz tovaru a služieb v znení neskorších predpisov.</w:t>
      </w:r>
    </w:p>
    <w:p>
      <w:pPr>
        <w:jc w:val="both"/>
        <w:rPr>
          <w:rFonts w:ascii="Times New Roman" w:hAnsi="Times New Roman" w:cs="Times New Roman"/>
          <w:szCs w:val="24"/>
          <w:u w:val="single"/>
        </w:rPr>
      </w:pPr>
    </w:p>
    <w:p>
      <w:pPr>
        <w:ind w:firstLine="567"/>
        <w:jc w:val="both"/>
        <w:outlineLvl w:val="0"/>
        <w:rPr>
          <w:rFonts w:ascii="Times New Roman" w:hAnsi="Times New Roman" w:cs="Times New Roman"/>
          <w:szCs w:val="24"/>
        </w:rPr>
      </w:pPr>
      <w:r>
        <w:rPr>
          <w:rFonts w:ascii="Times New Roman" w:hAnsi="Times New Roman" w:cs="Times New Roman"/>
          <w:szCs w:val="24"/>
        </w:rPr>
        <w:t>Navrhovaný zákon je v súlade s Ústavou Slovenskej republiky, zákonmi a medzinárodnými zmluvami, ktorými je Slovenská republika vi</w:t>
      </w:r>
      <w:r>
        <w:rPr>
          <w:rFonts w:ascii="Times New Roman" w:hAnsi="Times New Roman" w:cs="Times New Roman"/>
          <w:szCs w:val="24"/>
        </w:rPr>
        <w:t>azaná.</w:t>
      </w:r>
    </w:p>
    <w:p>
      <w:pPr>
        <w:jc w:val="both"/>
        <w:rPr>
          <w:rFonts w:ascii="Times New Roman" w:hAnsi="Times New Roman" w:cs="Times New Roman"/>
          <w:szCs w:val="24"/>
        </w:rPr>
      </w:pPr>
    </w:p>
    <w:p>
      <w:pPr>
        <w:ind w:firstLine="567"/>
        <w:jc w:val="both"/>
        <w:rPr>
          <w:rFonts w:ascii="Times New Roman" w:hAnsi="Times New Roman" w:cs="Times New Roman"/>
          <w:color w:val="auto"/>
          <w:szCs w:val="24"/>
        </w:rPr>
      </w:pPr>
      <w:r>
        <w:rPr>
          <w:rFonts w:ascii="Times New Roman" w:hAnsi="Times New Roman" w:cs="Times New Roman"/>
          <w:szCs w:val="24"/>
        </w:rPr>
        <w:t>Navrhovaný zákon je plne zlučiteľný s právnou úpravou platnou v Európskej únii, keďže vzhľadom na článok 296 Zmluvy o založení Európskych spoločenstiev táto oblasť patrí do výlučnej právomoci členských štátov v rámci Spoločnej zahraničnej a bezpečn</w:t>
      </w:r>
      <w:r>
        <w:rPr>
          <w:rFonts w:ascii="Times New Roman" w:hAnsi="Times New Roman" w:cs="Times New Roman"/>
          <w:szCs w:val="24"/>
        </w:rPr>
        <w:t>ostnej politiky Európskej únie.</w:t>
      </w:r>
    </w:p>
    <w:p>
      <w:pPr>
        <w:ind w:firstLine="708"/>
        <w:jc w:val="both"/>
        <w:rPr>
          <w:rFonts w:ascii="Times New Roman" w:hAnsi="Times New Roman" w:cs="Times New Roman"/>
          <w:color w:val="auto"/>
          <w:szCs w:val="24"/>
        </w:rPr>
      </w:pPr>
    </w:p>
    <w:p>
      <w:pPr>
        <w:ind w:firstLine="567"/>
        <w:jc w:val="both"/>
        <w:rPr>
          <w:rFonts w:ascii="Times New Roman" w:hAnsi="Times New Roman" w:cs="Times New Roman"/>
          <w:color w:val="auto"/>
          <w:szCs w:val="24"/>
        </w:rPr>
      </w:pPr>
      <w:r>
        <w:rPr>
          <w:rFonts w:ascii="Times New Roman" w:hAnsi="Times New Roman" w:cs="Times New Roman"/>
          <w:color w:val="auto"/>
          <w:szCs w:val="24"/>
        </w:rPr>
        <w:t>Prijatie novej právnej úpravy nebude mať vplyv na štátny rozpočet Slovenskej republiky, ani ostatné verejné rozpočty. Rovnako sa nepredpokladajú ďalšie vplyvy na podnikateľské subjekty. V oblasti správnych poplatkov za udel</w:t>
      </w:r>
      <w:r>
        <w:rPr>
          <w:rFonts w:ascii="Times New Roman" w:hAnsi="Times New Roman" w:cs="Times New Roman"/>
          <w:color w:val="auto"/>
          <w:szCs w:val="24"/>
        </w:rPr>
        <w:t>enie povolenia ani licencie nedochádza k zmene vo výške správnych poplatkov, dochádza len k zosúladeniu terminológie.</w:t>
      </w:r>
    </w:p>
    <w:p>
      <w:pPr>
        <w:ind w:firstLine="708"/>
        <w:jc w:val="both"/>
        <w:rPr>
          <w:rFonts w:ascii="Times New Roman" w:hAnsi="Times New Roman" w:cs="Times New Roman"/>
          <w:szCs w:val="24"/>
        </w:rPr>
      </w:pPr>
      <w:r>
        <w:rPr>
          <w:rFonts w:ascii="Times New Roman" w:hAnsi="Times New Roman" w:cs="Times New Roman"/>
          <w:szCs w:val="24"/>
        </w:rPr>
        <w:t xml:space="preserve"> </w:t>
      </w:r>
    </w:p>
    <w:p>
      <w:pPr>
        <w:rPr>
          <w:rFonts w:ascii="Times New Roman" w:hAnsi="Times New Roman" w:cs="Times New Roman"/>
          <w:b/>
          <w:szCs w:val="24"/>
        </w:rPr>
      </w:pPr>
    </w:p>
    <w:p>
      <w:pPr>
        <w:jc w:val="center"/>
        <w:rPr>
          <w:rFonts w:ascii="Times New Roman" w:hAnsi="Times New Roman" w:cs="Times New Roman"/>
          <w:b/>
        </w:rPr>
      </w:pPr>
      <w:r>
        <w:rPr>
          <w:rFonts w:ascii="Times New Roman" w:hAnsi="Times New Roman" w:cs="Times New Roman"/>
          <w:b/>
        </w:rPr>
        <w:t xml:space="preserve">Doložka finančných, ekonomických, environmentálnych vplyvov, vplyvov </w:t>
      </w:r>
    </w:p>
    <w:p>
      <w:pPr>
        <w:jc w:val="center"/>
        <w:rPr>
          <w:rFonts w:ascii="Times New Roman" w:hAnsi="Times New Roman" w:cs="Times New Roman"/>
          <w:b/>
          <w:u w:val="single"/>
        </w:rPr>
      </w:pPr>
      <w:r>
        <w:rPr>
          <w:rFonts w:ascii="Times New Roman" w:hAnsi="Times New Roman" w:cs="Times New Roman"/>
          <w:b/>
        </w:rPr>
        <w:t>na zamestnanosť a podnikateľské prostredie</w:t>
      </w:r>
    </w:p>
    <w:p>
      <w:pPr>
        <w:jc w:val="center"/>
        <w:rPr>
          <w:rFonts w:ascii="Times New Roman" w:hAnsi="Times New Roman" w:cs="Times New Roman"/>
          <w:b/>
          <w:u w:val="single"/>
        </w:rPr>
      </w:pPr>
    </w:p>
    <w:p>
      <w:pPr>
        <w:rPr>
          <w:rFonts w:ascii="Times New Roman" w:hAnsi="Times New Roman" w:cs="Times New Roman"/>
          <w:b/>
          <w:u w:val="single"/>
        </w:rPr>
      </w:pPr>
    </w:p>
    <w:p>
      <w:pPr>
        <w:numPr>
          <w:ilvl w:val="0"/>
          <w:numId w:val="4"/>
        </w:numPr>
        <w:tabs>
          <w:tab w:val="left" w:pos="0"/>
          <w:tab w:val="left" w:pos="360"/>
        </w:tabs>
        <w:ind w:left="300" w:hanging="300"/>
        <w:rPr>
          <w:rFonts w:ascii="Times New Roman" w:hAnsi="Times New Roman" w:cs="Times New Roman"/>
          <w:b/>
        </w:rPr>
      </w:pPr>
      <w:r>
        <w:rPr>
          <w:rFonts w:ascii="Times New Roman" w:hAnsi="Times New Roman" w:cs="Times New Roman"/>
          <w:b/>
        </w:rPr>
        <w:t>Odhad vplyvov na ver</w:t>
      </w:r>
      <w:r>
        <w:rPr>
          <w:rFonts w:ascii="Times New Roman" w:hAnsi="Times New Roman" w:cs="Times New Roman"/>
          <w:b/>
        </w:rPr>
        <w:t>ejné financie</w:t>
      </w:r>
    </w:p>
    <w:p>
      <w:pPr>
        <w:ind w:left="300"/>
        <w:rPr>
          <w:rFonts w:ascii="Times New Roman" w:hAnsi="Times New Roman" w:cs="Times New Roman"/>
        </w:rPr>
      </w:pPr>
      <w:r>
        <w:rPr>
          <w:rFonts w:ascii="Times New Roman" w:hAnsi="Times New Roman" w:cs="Times New Roman"/>
        </w:rPr>
        <w:t xml:space="preserve"> Navrhovaná právna úprava nebude mať vplyv na verejné financie.</w:t>
      </w:r>
    </w:p>
    <w:p>
      <w:pPr>
        <w:rPr>
          <w:rFonts w:ascii="Times New Roman" w:hAnsi="Times New Roman" w:cs="Times New Roman"/>
          <w:b/>
        </w:rPr>
      </w:pPr>
    </w:p>
    <w:p>
      <w:pPr>
        <w:numPr>
          <w:ilvl w:val="0"/>
          <w:numId w:val="4"/>
        </w:numPr>
        <w:tabs>
          <w:tab w:val="left" w:pos="360"/>
        </w:tabs>
        <w:jc w:val="both"/>
        <w:rPr>
          <w:rFonts w:ascii="Times New Roman" w:hAnsi="Times New Roman" w:cs="Times New Roman"/>
          <w:b/>
        </w:rPr>
      </w:pPr>
      <w:r>
        <w:rPr>
          <w:rFonts w:ascii="Times New Roman" w:hAnsi="Times New Roman" w:cs="Times New Roman"/>
          <w:b/>
        </w:rPr>
        <w:t xml:space="preserve">Odhad vplyvov na obyvateľov, hospodárenie podnikateľskej sféry a iných právnických osôb </w:t>
      </w:r>
    </w:p>
    <w:p>
      <w:pPr>
        <w:ind w:left="360" w:hanging="59"/>
        <w:jc w:val="both"/>
        <w:rPr>
          <w:rFonts w:ascii="Times New Roman" w:hAnsi="Times New Roman" w:cs="Times New Roman"/>
        </w:rPr>
      </w:pPr>
      <w:r>
        <w:rPr>
          <w:rFonts w:ascii="Times New Roman" w:hAnsi="Times New Roman" w:cs="Times New Roman"/>
        </w:rPr>
        <w:t xml:space="preserve"> Navrhovaná právna úprava nebude mať negatívny vplyv na obyvateľov, hospodárenie  podnikateľskej sféry a právnických osôb.</w:t>
      </w:r>
    </w:p>
    <w:p>
      <w:pPr>
        <w:rPr>
          <w:rFonts w:ascii="Times New Roman" w:hAnsi="Times New Roman" w:cs="Times New Roman"/>
        </w:rPr>
      </w:pPr>
    </w:p>
    <w:p>
      <w:pPr>
        <w:numPr>
          <w:ilvl w:val="0"/>
          <w:numId w:val="4"/>
        </w:numPr>
        <w:tabs>
          <w:tab w:val="left" w:pos="360"/>
        </w:tabs>
        <w:rPr>
          <w:rFonts w:ascii="Times New Roman" w:hAnsi="Times New Roman" w:cs="Times New Roman"/>
          <w:b/>
        </w:rPr>
      </w:pPr>
      <w:r>
        <w:rPr>
          <w:rFonts w:ascii="Times New Roman" w:hAnsi="Times New Roman" w:cs="Times New Roman"/>
          <w:b/>
        </w:rPr>
        <w:t>Odhad vplyvov na životné prostredie</w:t>
      </w:r>
    </w:p>
    <w:p>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Prijatie navrhovaného zákona nebude mať negatívny vplyv na životné prostredie. </w:t>
      </w:r>
    </w:p>
    <w:p>
      <w:pPr>
        <w:rPr>
          <w:rFonts w:ascii="Times New Roman" w:hAnsi="Times New Roman" w:cs="Times New Roman"/>
        </w:rPr>
      </w:pPr>
    </w:p>
    <w:p>
      <w:pPr>
        <w:numPr>
          <w:ilvl w:val="0"/>
          <w:numId w:val="4"/>
        </w:numPr>
        <w:tabs>
          <w:tab w:val="left" w:pos="300"/>
          <w:tab w:val="left" w:pos="360"/>
        </w:tabs>
        <w:rPr>
          <w:rFonts w:ascii="Times New Roman" w:hAnsi="Times New Roman" w:cs="Times New Roman"/>
          <w:b/>
        </w:rPr>
      </w:pPr>
      <w:r>
        <w:rPr>
          <w:rFonts w:ascii="Times New Roman" w:hAnsi="Times New Roman" w:cs="Times New Roman"/>
          <w:b/>
        </w:rPr>
        <w:t xml:space="preserve"> Odhad vplyvov na zamestnanosť</w:t>
      </w:r>
    </w:p>
    <w:p>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Navrhovaná právna úprava nebude mať vplyv na zamestnanosť.</w:t>
      </w:r>
    </w:p>
    <w:p>
      <w:pPr>
        <w:rPr>
          <w:rFonts w:ascii="Times New Roman" w:hAnsi="Times New Roman" w:cs="Times New Roman"/>
        </w:rPr>
      </w:pPr>
    </w:p>
    <w:p>
      <w:pPr>
        <w:rPr>
          <w:rFonts w:ascii="Times New Roman" w:hAnsi="Times New Roman" w:cs="Times New Roman"/>
          <w:b/>
        </w:rPr>
      </w:pPr>
      <w:r>
        <w:rPr>
          <w:rFonts w:ascii="Times New Roman" w:hAnsi="Times New Roman" w:cs="Times New Roman"/>
          <w:b/>
        </w:rPr>
        <w:t>5.   Analýza vplyvov na podnikateľské prostredie</w:t>
      </w:r>
    </w:p>
    <w:p>
      <w:pPr>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Navrhovaná právna úprava nebude mať dopad na podnikateľské prostredie.</w:t>
      </w:r>
    </w:p>
    <w:p>
      <w:pPr>
        <w:rPr>
          <w:rFonts w:ascii="Times New Roman" w:hAnsi="Times New Roman" w:cs="Times New Roman"/>
        </w:rPr>
      </w:pPr>
    </w:p>
    <w:p>
      <w:pPr>
        <w:rPr>
          <w:rFonts w:ascii="Times New Roman" w:hAnsi="Times New Roman" w:cs="Times New Roman"/>
        </w:rPr>
      </w:pPr>
    </w:p>
    <w:p>
      <w:pPr>
        <w:pStyle w:val="Heading3"/>
        <w:rPr>
          <w:rFonts w:ascii="Times New Roman" w:hAnsi="Times New Roman" w:cs="Times New Roman"/>
        </w:rPr>
      </w:pPr>
      <w:r>
        <w:rPr>
          <w:rFonts w:ascii="Times New Roman" w:hAnsi="Times New Roman" w:cs="Times New Roman"/>
        </w:rPr>
        <w:t>DOLOŽKA ZLUČITEĽNOSTI</w:t>
      </w:r>
    </w:p>
    <w:p>
      <w:pPr>
        <w:jc w:val="center"/>
        <w:rPr>
          <w:rFonts w:ascii="Times New Roman" w:hAnsi="Times New Roman" w:cs="Times New Roman"/>
          <w:b/>
        </w:rPr>
      </w:pPr>
      <w:r>
        <w:rPr>
          <w:rFonts w:ascii="Times New Roman" w:hAnsi="Times New Roman" w:cs="Times New Roman"/>
          <w:b/>
        </w:rPr>
        <w:t>právneho predpisu</w:t>
      </w:r>
    </w:p>
    <w:p>
      <w:pPr>
        <w:jc w:val="center"/>
        <w:rPr>
          <w:rFonts w:ascii="Times New Roman" w:hAnsi="Times New Roman" w:cs="Times New Roman"/>
          <w:b/>
        </w:rPr>
      </w:pPr>
      <w:r>
        <w:rPr>
          <w:rFonts w:ascii="Times New Roman" w:hAnsi="Times New Roman" w:cs="Times New Roman"/>
          <w:b/>
        </w:rPr>
        <w:t>s právom Európskych spoločenstiev a právom Európskej únie</w:t>
      </w:r>
    </w:p>
    <w:p>
      <w:pPr>
        <w:jc w:val="center"/>
        <w:rPr>
          <w:rFonts w:ascii="Times New Roman" w:hAnsi="Times New Roman" w:cs="Times New Roman"/>
          <w:b/>
        </w:rPr>
      </w:pPr>
    </w:p>
    <w:p>
      <w:pPr>
        <w:jc w:val="center"/>
        <w:rPr>
          <w:rFonts w:ascii="Times New Roman" w:hAnsi="Times New Roman" w:cs="Times New Roman"/>
          <w:b/>
        </w:rPr>
      </w:pPr>
    </w:p>
    <w:p>
      <w:pPr>
        <w:pStyle w:val="BodyText2"/>
        <w:numPr>
          <w:ilvl w:val="0"/>
          <w:numId w:val="5"/>
        </w:numPr>
        <w:tabs>
          <w:tab w:val="left" w:pos="360"/>
        </w:tabs>
        <w:jc w:val="both"/>
        <w:rPr>
          <w:rFonts w:ascii="Times New Roman" w:hAnsi="Times New Roman" w:cs="Times New Roman"/>
          <w:b w:val="0"/>
        </w:rPr>
      </w:pPr>
      <w:r>
        <w:rPr>
          <w:rFonts w:ascii="Times New Roman" w:hAnsi="Times New Roman" w:cs="Times New Roman"/>
        </w:rPr>
        <w:t>Predkladateľ právneho predpi</w:t>
      </w:r>
      <w:r>
        <w:rPr>
          <w:rFonts w:ascii="Times New Roman" w:hAnsi="Times New Roman" w:cs="Times New Roman"/>
        </w:rPr>
        <w:t xml:space="preserve">su: </w:t>
      </w:r>
      <w:r>
        <w:rPr>
          <w:rFonts w:ascii="Times New Roman" w:hAnsi="Times New Roman" w:cs="Times New Roman"/>
          <w:b w:val="0"/>
        </w:rPr>
        <w:t>Ministerstvo hospodárstva Slovenskej republiky</w:t>
      </w:r>
    </w:p>
    <w:p>
      <w:pPr>
        <w:pStyle w:val="BodyText2"/>
        <w:jc w:val="both"/>
        <w:rPr>
          <w:rFonts w:ascii="Times New Roman" w:hAnsi="Times New Roman" w:cs="Times New Roman"/>
          <w:b w:val="0"/>
        </w:rPr>
      </w:pPr>
    </w:p>
    <w:p>
      <w:pPr>
        <w:pStyle w:val="BodyText2"/>
        <w:numPr>
          <w:ilvl w:val="0"/>
          <w:numId w:val="5"/>
        </w:numPr>
        <w:tabs>
          <w:tab w:val="left" w:pos="360"/>
        </w:tabs>
        <w:jc w:val="both"/>
        <w:rPr>
          <w:rFonts w:ascii="Times New Roman" w:hAnsi="Times New Roman" w:cs="Times New Roman"/>
        </w:rPr>
      </w:pPr>
      <w:r>
        <w:rPr>
          <w:rFonts w:ascii="Times New Roman" w:hAnsi="Times New Roman" w:cs="Times New Roman"/>
        </w:rPr>
        <w:t xml:space="preserve">Názov právneho predpisu: </w:t>
      </w:r>
      <w:r>
        <w:rPr>
          <w:rFonts w:ascii="Times New Roman" w:hAnsi="Times New Roman" w:cs="Times New Roman"/>
          <w:b w:val="0"/>
        </w:rPr>
        <w:t>Návrh zákona o kontrole obchodovania s výrobkami, ktorých držba sa obmedzuje z bezpečnostných dôvodov a o zmene a doplnení niektorých zákonov.</w:t>
      </w:r>
    </w:p>
    <w:p>
      <w:pPr>
        <w:pStyle w:val="BodyText2"/>
        <w:jc w:val="both"/>
        <w:rPr>
          <w:rFonts w:ascii="Times New Roman" w:hAnsi="Times New Roman" w:cs="Times New Roman"/>
        </w:rPr>
      </w:pPr>
    </w:p>
    <w:p>
      <w:pPr>
        <w:pStyle w:val="BodyText2"/>
        <w:numPr>
          <w:ilvl w:val="0"/>
          <w:numId w:val="5"/>
        </w:numPr>
        <w:tabs>
          <w:tab w:val="left" w:pos="360"/>
        </w:tabs>
        <w:jc w:val="both"/>
        <w:rPr>
          <w:rFonts w:ascii="Times New Roman" w:hAnsi="Times New Roman" w:cs="Times New Roman"/>
        </w:rPr>
      </w:pPr>
      <w:r>
        <w:rPr>
          <w:rFonts w:ascii="Times New Roman" w:hAnsi="Times New Roman" w:cs="Times New Roman"/>
        </w:rPr>
        <w:t>Problematika návrhu právneho predpi</w:t>
      </w:r>
      <w:r>
        <w:rPr>
          <w:rFonts w:ascii="Times New Roman" w:hAnsi="Times New Roman" w:cs="Times New Roman"/>
        </w:rPr>
        <w:t>su:</w:t>
      </w:r>
    </w:p>
    <w:p>
      <w:pPr>
        <w:numPr>
          <w:ilvl w:val="1"/>
          <w:numId w:val="5"/>
        </w:numPr>
        <w:tabs>
          <w:tab w:val="left" w:pos="700"/>
        </w:tabs>
        <w:jc w:val="both"/>
        <w:rPr>
          <w:rFonts w:ascii="Times New Roman" w:hAnsi="Times New Roman" w:cs="Times New Roman"/>
        </w:rPr>
      </w:pPr>
      <w:r>
        <w:rPr>
          <w:rFonts w:ascii="Times New Roman" w:hAnsi="Times New Roman" w:cs="Times New Roman"/>
        </w:rPr>
        <w:t>je upravená v práve Európskych spoločenstiev:</w:t>
      </w:r>
    </w:p>
    <w:p>
      <w:pPr>
        <w:ind w:left="680"/>
        <w:jc w:val="both"/>
        <w:rPr>
          <w:rFonts w:ascii="Times New Roman" w:hAnsi="Times New Roman" w:cs="Times New Roman"/>
        </w:rPr>
      </w:pPr>
      <w:r>
        <w:rPr>
          <w:rFonts w:ascii="Times New Roman" w:hAnsi="Times New Roman" w:cs="Times New Roman"/>
        </w:rPr>
        <w:t>- primárnom:</w:t>
      </w:r>
    </w:p>
    <w:p>
      <w:pPr>
        <w:ind w:left="180" w:firstLine="160"/>
        <w:jc w:val="both"/>
        <w:rPr>
          <w:rFonts w:ascii="Times New Roman" w:hAnsi="Times New Roman" w:cs="Times New Roman"/>
          <w:color w:val="auto"/>
        </w:rPr>
      </w:pPr>
      <w:r>
        <w:rPr>
          <w:rFonts w:ascii="Times New Roman" w:hAnsi="Times New Roman" w:cs="Times New Roman"/>
          <w:color w:val="auto"/>
        </w:rPr>
        <w:t xml:space="preserve">      Zmluva o založení Európskeho spoločenstva, čl. 296 odsek 1 písm. b) a odsek 2</w:t>
      </w:r>
    </w:p>
    <w:p>
      <w:pPr>
        <w:ind w:left="180" w:firstLine="160"/>
        <w:jc w:val="both"/>
        <w:rPr>
          <w:rFonts w:ascii="Times New Roman" w:hAnsi="Times New Roman" w:cs="Times New Roman"/>
          <w:color w:val="auto"/>
        </w:rPr>
      </w:pPr>
      <w:r>
        <w:rPr>
          <w:rFonts w:ascii="Times New Roman" w:hAnsi="Times New Roman" w:cs="Times New Roman"/>
          <w:color w:val="auto"/>
        </w:rPr>
        <w:t xml:space="preserve">     - sekundárnom:</w:t>
      </w:r>
    </w:p>
    <w:p>
      <w:pPr>
        <w:ind w:left="180" w:firstLine="160"/>
        <w:jc w:val="both"/>
        <w:rPr>
          <w:rFonts w:ascii="Times New Roman" w:hAnsi="Times New Roman" w:cs="Times New Roman"/>
          <w:color w:val="auto"/>
        </w:rPr>
      </w:pPr>
      <w:r>
        <w:rPr>
          <w:rFonts w:ascii="Times New Roman" w:hAnsi="Times New Roman" w:cs="Times New Roman"/>
          <w:color w:val="auto"/>
        </w:rPr>
        <w:t xml:space="preserve">     Rozhodnutie Rady č. 255/1958 z 15. apríla 1958</w:t>
      </w:r>
    </w:p>
    <w:p>
      <w:pPr>
        <w:pStyle w:val="BlockText"/>
        <w:ind w:left="0" w:firstLine="0"/>
        <w:rPr>
          <w:rFonts w:ascii="Times New Roman" w:hAnsi="Times New Roman" w:cs="Times New Roman"/>
        </w:rPr>
      </w:pPr>
      <w:r>
        <w:rPr>
          <w:rFonts w:ascii="Times New Roman" w:hAnsi="Times New Roman" w:cs="Times New Roman"/>
          <w:szCs w:val="19"/>
        </w:rPr>
        <w:t xml:space="preserve">      </w:t>
      </w:r>
      <w:r>
        <w:rPr>
          <w:rFonts w:ascii="Times New Roman" w:hAnsi="Times New Roman" w:cs="Times New Roman"/>
        </w:rPr>
        <w:t>b)   nie je upravená v práve Eu</w:t>
      </w:r>
      <w:r>
        <w:rPr>
          <w:rFonts w:ascii="Times New Roman" w:hAnsi="Times New Roman" w:cs="Times New Roman"/>
        </w:rPr>
        <w:t>rópskej únie</w:t>
      </w:r>
    </w:p>
    <w:p>
      <w:pPr>
        <w:tabs>
          <w:tab w:val="left" w:pos="360"/>
        </w:tabs>
        <w:ind w:left="360"/>
        <w:jc w:val="both"/>
        <w:rPr>
          <w:rFonts w:ascii="Times New Roman" w:hAnsi="Times New Roman" w:cs="Times New Roman"/>
        </w:rPr>
      </w:pPr>
      <w:r>
        <w:rPr>
          <w:rFonts w:ascii="Times New Roman" w:hAnsi="Times New Roman" w:cs="Times New Roman"/>
        </w:rPr>
        <w:t xml:space="preserve">c)   nie je obsiahnutá v judikatúre  Súdneho  dvora  Európskych  spoločenstiev alebo Súdu </w:t>
      </w:r>
    </w:p>
    <w:p>
      <w:pPr>
        <w:tabs>
          <w:tab w:val="left" w:pos="360"/>
        </w:tabs>
        <w:ind w:left="360"/>
        <w:jc w:val="both"/>
        <w:rPr>
          <w:rFonts w:ascii="Times New Roman" w:hAnsi="Times New Roman" w:cs="Times New Roman"/>
        </w:rPr>
      </w:pPr>
      <w:r>
        <w:rPr>
          <w:rFonts w:ascii="Times New Roman" w:hAnsi="Times New Roman" w:cs="Times New Roman"/>
        </w:rPr>
        <w:t xml:space="preserve">      prvého stupňa Európskych spoločenstiev        </w:t>
      </w:r>
    </w:p>
    <w:p>
      <w:pPr>
        <w:tabs>
          <w:tab w:val="left" w:pos="360"/>
        </w:tabs>
        <w:jc w:val="both"/>
        <w:rPr>
          <w:rFonts w:ascii="Times New Roman" w:hAnsi="Times New Roman" w:cs="Times New Roman"/>
        </w:rPr>
      </w:pPr>
    </w:p>
    <w:p>
      <w:pPr>
        <w:tabs>
          <w:tab w:val="left" w:pos="360"/>
        </w:tabs>
        <w:ind w:left="360" w:hanging="360"/>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w:t>
      </w:r>
      <w:r>
        <w:rPr>
          <w:rFonts w:ascii="Times New Roman" w:hAnsi="Times New Roman" w:cs="Times New Roman"/>
          <w:b/>
          <w:bCs/>
        </w:rPr>
        <w:t xml:space="preserve">Záväzky Slovenskej republiky vo vzťahu k Európskym spoločenstvám a Európskej    </w:t>
      </w:r>
    </w:p>
    <w:p>
      <w:pPr>
        <w:ind w:left="180"/>
        <w:jc w:val="both"/>
        <w:rPr>
          <w:rFonts w:ascii="Times New Roman" w:hAnsi="Times New Roman" w:cs="Times New Roman"/>
          <w:b/>
        </w:rPr>
      </w:pPr>
      <w:r>
        <w:rPr>
          <w:rFonts w:ascii="Times New Roman" w:hAnsi="Times New Roman" w:cs="Times New Roman"/>
          <w:b/>
          <w:bCs/>
        </w:rPr>
        <w:t xml:space="preserve">    únii:</w:t>
      </w:r>
      <w:r>
        <w:rPr>
          <w:rFonts w:ascii="Times New Roman" w:hAnsi="Times New Roman" w:cs="Times New Roman"/>
          <w:b/>
        </w:rPr>
        <w:t xml:space="preserve"> </w:t>
      </w:r>
    </w:p>
    <w:p>
      <w:pPr>
        <w:numPr>
          <w:ilvl w:val="0"/>
          <w:numId w:val="8"/>
        </w:numPr>
        <w:tabs>
          <w:tab w:val="left" w:pos="720"/>
          <w:tab w:val="clear" w:pos="1068"/>
          <w:tab w:val="left" w:pos="1620"/>
        </w:tabs>
        <w:ind w:left="720"/>
        <w:jc w:val="both"/>
        <w:rPr>
          <w:rFonts w:ascii="Times New Roman" w:hAnsi="Times New Roman" w:cs="Times New Roman"/>
        </w:rPr>
      </w:pPr>
      <w:r>
        <w:rPr>
          <w:rFonts w:ascii="Times New Roman" w:hAnsi="Times New Roman" w:cs="Times New Roman"/>
        </w:rPr>
        <w:t>lehota na prebratie smernice alebo rámcového rozhodnutia podľa určenia gestorských ústredných orgánov štátnej správy zodpovedných za prebratie smerníc a vypracovanie tabuliek zhody k návrhom všeobecne záväzných právnych predpisov alebo lehota na implementác</w:t>
      </w:r>
      <w:r>
        <w:rPr>
          <w:rFonts w:ascii="Times New Roman" w:hAnsi="Times New Roman" w:cs="Times New Roman"/>
        </w:rPr>
        <w:t>iu nariadenia alebo rozhodnutia z nich vyplývajúca – bezpredmetné,</w:t>
      </w:r>
    </w:p>
    <w:p>
      <w:pPr>
        <w:numPr>
          <w:ilvl w:val="0"/>
          <w:numId w:val="8"/>
        </w:numPr>
        <w:tabs>
          <w:tab w:val="left" w:pos="720"/>
          <w:tab w:val="clear" w:pos="1068"/>
          <w:tab w:val="left" w:pos="1620"/>
        </w:tabs>
        <w:ind w:left="720"/>
        <w:jc w:val="both"/>
        <w:rPr>
          <w:rFonts w:ascii="Times New Roman" w:hAnsi="Times New Roman" w:cs="Times New Roman"/>
        </w:rPr>
      </w:pPr>
      <w:r>
        <w:rPr>
          <w:rFonts w:ascii="Times New Roman" w:hAnsi="Times New Roman" w:cs="Times New Roman"/>
        </w:rPr>
        <w:t xml:space="preserve">informácia o konaní začatom proti Slovenskej republike o porušení Zmluvy o založení Európskych spoločenstiev podľa čl. 226 až 228 Zmluvy o založení Európskych spoločenstiev v platnom znení </w:t>
      </w:r>
      <w:r>
        <w:rPr>
          <w:rFonts w:ascii="Times New Roman" w:hAnsi="Times New Roman" w:cs="Times New Roman"/>
        </w:rPr>
        <w:t>– bezpredmetné,</w:t>
      </w:r>
    </w:p>
    <w:p>
      <w:pPr>
        <w:numPr>
          <w:ilvl w:val="0"/>
          <w:numId w:val="8"/>
        </w:numPr>
        <w:tabs>
          <w:tab w:val="left" w:pos="720"/>
          <w:tab w:val="clear" w:pos="1068"/>
          <w:tab w:val="left" w:pos="1620"/>
        </w:tabs>
        <w:ind w:left="720"/>
        <w:jc w:val="both"/>
        <w:rPr>
          <w:rFonts w:ascii="Times New Roman" w:hAnsi="Times New Roman" w:cs="Times New Roman"/>
        </w:rPr>
      </w:pPr>
      <w:r>
        <w:rPr>
          <w:rFonts w:ascii="Times New Roman" w:hAnsi="Times New Roman" w:cs="Times New Roman"/>
        </w:rPr>
        <w:t>informácia o právnych predpisoch, v ktorých sú preberané smernice alebo rámcové rozhodnutia už prebraté spolu s uvedením rozsahu tohto prebratia – bezpredmetné.</w:t>
      </w:r>
    </w:p>
    <w:p>
      <w:pPr>
        <w:jc w:val="both"/>
        <w:rPr>
          <w:rFonts w:ascii="Times New Roman" w:hAnsi="Times New Roman" w:cs="Times New Roman"/>
        </w:rPr>
      </w:pPr>
    </w:p>
    <w:p>
      <w:pPr>
        <w:numPr>
          <w:ilvl w:val="0"/>
          <w:numId w:val="7"/>
        </w:numPr>
        <w:tabs>
          <w:tab w:val="left" w:pos="360"/>
        </w:tabs>
        <w:jc w:val="both"/>
        <w:rPr>
          <w:rFonts w:ascii="Times New Roman" w:hAnsi="Times New Roman" w:cs="Times New Roman"/>
          <w:bCs/>
        </w:rPr>
      </w:pPr>
      <w:r>
        <w:rPr>
          <w:rFonts w:ascii="Times New Roman" w:hAnsi="Times New Roman" w:cs="Times New Roman"/>
          <w:b/>
          <w:bCs/>
        </w:rPr>
        <w:t>Stupeň zlučiteľnosti návrhu právneho predpisu s právnom Európskych spoločensti</w:t>
      </w:r>
      <w:r>
        <w:rPr>
          <w:rFonts w:ascii="Times New Roman" w:hAnsi="Times New Roman" w:cs="Times New Roman"/>
          <w:b/>
          <w:bCs/>
        </w:rPr>
        <w:t xml:space="preserve">ev alebo právom Európskej únie: </w:t>
      </w:r>
      <w:r>
        <w:rPr>
          <w:rFonts w:ascii="Times New Roman" w:hAnsi="Times New Roman" w:cs="Times New Roman"/>
          <w:bCs/>
        </w:rPr>
        <w:t>bezpredmetné</w:t>
      </w:r>
    </w:p>
    <w:p>
      <w:pPr>
        <w:pStyle w:val="BodyTextIndent3"/>
        <w:ind w:left="0"/>
        <w:rPr>
          <w:rFonts w:ascii="Times New Roman" w:hAnsi="Times New Roman" w:cs="Times New Roman"/>
        </w:rPr>
      </w:pPr>
    </w:p>
    <w:p>
      <w:pPr>
        <w:pStyle w:val="BodyTextIndent3"/>
        <w:spacing w:after="0"/>
        <w:ind w:left="0"/>
        <w:rPr>
          <w:rFonts w:ascii="Times New Roman" w:hAnsi="Times New Roman" w:cs="Times New Roman"/>
          <w:b/>
          <w:sz w:val="24"/>
          <w:szCs w:val="24"/>
        </w:rPr>
      </w:pPr>
      <w:r>
        <w:rPr>
          <w:rFonts w:ascii="Times New Roman" w:hAnsi="Times New Roman" w:cs="Times New Roman"/>
          <w:b/>
          <w:sz w:val="24"/>
          <w:szCs w:val="24"/>
        </w:rPr>
        <w:t xml:space="preserve">6.   Gestor a spolupracujúce rezorty: </w:t>
      </w:r>
      <w:r>
        <w:rPr>
          <w:rFonts w:ascii="Times New Roman" w:hAnsi="Times New Roman" w:cs="Times New Roman"/>
          <w:sz w:val="24"/>
          <w:szCs w:val="24"/>
        </w:rPr>
        <w:t>bezpredmetné</w:t>
      </w:r>
    </w:p>
    <w:p>
      <w:pPr>
        <w:jc w:val="both"/>
        <w:outlineLvl w:val="0"/>
        <w:rPr>
          <w:rFonts w:ascii="Times New Roman" w:hAnsi="Times New Roman" w:cs="Times New Roman"/>
          <w:b/>
          <w:szCs w:val="24"/>
        </w:rPr>
      </w:pPr>
    </w:p>
    <w:p>
      <w:pPr>
        <w:jc w:val="both"/>
        <w:outlineLvl w:val="0"/>
        <w:rPr>
          <w:rFonts w:ascii="Times New Roman" w:hAnsi="Times New Roman" w:cs="Times New Roman"/>
          <w:b/>
          <w:szCs w:val="24"/>
        </w:rPr>
      </w:pPr>
    </w:p>
    <w:p>
      <w:pPr>
        <w:jc w:val="both"/>
        <w:outlineLvl w:val="0"/>
        <w:rPr>
          <w:rFonts w:ascii="Times New Roman" w:hAnsi="Times New Roman" w:cs="Times New Roman"/>
          <w:b/>
          <w:szCs w:val="24"/>
        </w:rPr>
      </w:pPr>
    </w:p>
    <w:p>
      <w:pPr>
        <w:jc w:val="both"/>
        <w:outlineLvl w:val="0"/>
        <w:rPr>
          <w:rFonts w:ascii="Times New Roman" w:hAnsi="Times New Roman" w:cs="Times New Roman"/>
          <w:b/>
          <w:szCs w:val="24"/>
        </w:rPr>
      </w:pPr>
      <w:r>
        <w:rPr>
          <w:rFonts w:ascii="Times New Roman" w:hAnsi="Times New Roman" w:cs="Times New Roman"/>
          <w:b/>
          <w:szCs w:val="24"/>
        </w:rPr>
        <w:t>Osobitná časť</w:t>
      </w:r>
    </w:p>
    <w:p>
      <w:pPr>
        <w:jc w:val="both"/>
        <w:rPr>
          <w:rFonts w:ascii="Times New Roman" w:hAnsi="Times New Roman" w:cs="Times New Roman"/>
          <w:szCs w:val="24"/>
        </w:rPr>
      </w:pPr>
    </w:p>
    <w:p>
      <w:pPr>
        <w:jc w:val="both"/>
        <w:outlineLvl w:val="0"/>
        <w:rPr>
          <w:rFonts w:ascii="Times New Roman" w:hAnsi="Times New Roman" w:cs="Times New Roman"/>
          <w:szCs w:val="24"/>
        </w:rPr>
      </w:pPr>
      <w:r>
        <w:rPr>
          <w:rFonts w:ascii="Times New Roman" w:hAnsi="Times New Roman" w:cs="Times New Roman"/>
          <w:szCs w:val="24"/>
        </w:rPr>
        <w:t>K Čl. I</w:t>
      </w:r>
    </w:p>
    <w:p>
      <w:pPr>
        <w:jc w:val="both"/>
        <w:outlineLvl w:val="0"/>
        <w:rPr>
          <w:rFonts w:ascii="Times New Roman" w:hAnsi="Times New Roman" w:cs="Times New Roman"/>
          <w:szCs w:val="24"/>
        </w:rPr>
      </w:pPr>
      <w:r>
        <w:rPr>
          <w:rFonts w:ascii="Times New Roman" w:hAnsi="Times New Roman" w:cs="Times New Roman"/>
          <w:szCs w:val="24"/>
        </w:rPr>
        <w:t>K § 1 a 2</w:t>
      </w:r>
    </w:p>
    <w:p>
      <w:pPr>
        <w:jc w:val="both"/>
        <w:rPr>
          <w:rFonts w:ascii="Times New Roman" w:hAnsi="Times New Roman" w:cs="Times New Roman"/>
          <w:szCs w:val="24"/>
        </w:rPr>
      </w:pPr>
    </w:p>
    <w:p>
      <w:pPr>
        <w:ind w:firstLine="567"/>
        <w:jc w:val="both"/>
        <w:rPr>
          <w:rFonts w:ascii="Times New Roman" w:hAnsi="Times New Roman" w:cs="Times New Roman"/>
          <w:szCs w:val="24"/>
        </w:rPr>
      </w:pPr>
      <w:r>
        <w:rPr>
          <w:rFonts w:ascii="Times New Roman" w:hAnsi="Times New Roman" w:cs="Times New Roman"/>
          <w:szCs w:val="24"/>
        </w:rPr>
        <w:t>Úvodné ustanovenia zákona vymedzujú jeho pôsobnosť, upravujú sa podmienky dovozu a vývozu vybraných výrobkov, u ktorých existuje určité bezpečnostné riziko vyplývajúce z ich povahy. Okruh týchto výrobkov nie je uvedený priamo v texte zákona, ale v  prílohách, keďže v záujme zabezpečenia kompatibility s colnými predpismi je vhodné určiť tento okruh v súlade s jednotlivými položkami a podpoložkami kombinovanej nomenklatúry colného sadzobníka, tak ako je tomu v súčasnej právnej úprave. V týchto ustanoveniach sa tiež zavádzajú nové všeobecné pojmy „určené výrobky“ a „cezhraničná preprava určených výrobkov“, ktoré je nutné zaviesť z dôvodu rôznorodosti jednotlivých výrobkov kontrolovaných týmto zákonom. Rozlišuje sa medzi prepravou cez hranice s inými členskými štátmi Európskej únie, kedy zákon hovorí o intrakomunitárnej preprave určených výrobkov, a dovozom a vývozom určených výrob</w:t>
      </w:r>
      <w:r>
        <w:rPr>
          <w:rFonts w:ascii="Times New Roman" w:hAnsi="Times New Roman" w:cs="Times New Roman"/>
          <w:szCs w:val="24"/>
        </w:rPr>
        <w:t xml:space="preserve">kov, o ktorom sa v zmysle colných predpisov hovorí v prípade prepravy cez hranice Európskej únie. </w:t>
      </w:r>
    </w:p>
    <w:p>
      <w:pPr>
        <w:jc w:val="both"/>
        <w:rPr>
          <w:rFonts w:ascii="Times New Roman" w:hAnsi="Times New Roman" w:cs="Times New Roman"/>
          <w:szCs w:val="24"/>
        </w:rPr>
      </w:pPr>
    </w:p>
    <w:p>
      <w:pPr>
        <w:jc w:val="both"/>
        <w:rPr>
          <w:rFonts w:ascii="Times New Roman" w:hAnsi="Times New Roman" w:cs="Times New Roman"/>
          <w:szCs w:val="24"/>
        </w:rPr>
      </w:pPr>
      <w:r>
        <w:rPr>
          <w:rFonts w:ascii="Times New Roman" w:hAnsi="Times New Roman" w:cs="Times New Roman"/>
          <w:szCs w:val="24"/>
        </w:rPr>
        <w:t>K § 3</w:t>
      </w:r>
    </w:p>
    <w:p>
      <w:pPr>
        <w:ind w:firstLine="567"/>
        <w:jc w:val="both"/>
        <w:rPr>
          <w:rFonts w:ascii="Times New Roman" w:hAnsi="Times New Roman" w:cs="Times New Roman"/>
          <w:szCs w:val="24"/>
        </w:rPr>
      </w:pPr>
    </w:p>
    <w:p>
      <w:pPr>
        <w:ind w:firstLine="567"/>
        <w:jc w:val="both"/>
        <w:rPr>
          <w:rFonts w:ascii="Times New Roman" w:hAnsi="Times New Roman" w:cs="Times New Roman"/>
          <w:szCs w:val="24"/>
        </w:rPr>
      </w:pPr>
      <w:r>
        <w:rPr>
          <w:rFonts w:ascii="Times New Roman" w:hAnsi="Times New Roman" w:cs="Times New Roman"/>
          <w:szCs w:val="24"/>
        </w:rPr>
        <w:t xml:space="preserve">Ustanovuje kľúčové pravidlo zákona, v zmysle ktorého je možné určené výrobky prepravovať len po vydaní príslušnej licencie zo strany ministerstva, to však neplatí v prípade strelných zbraní a ich súčastí, ak tieto nie sú prepravované pri výkone podnikateľskej činnosti. Keďže v jednotlivých prípadoch by bolo pre štátne orgány vykonávajúce kontrolu obchodovania zložité zaobstarať pre účely zákona zmluvné dokumenty, ktoré boli podkladom pre uskutočnenie cezhraničnej prepravy určených výrobkov, postačujúcimi budú aj iné obchodné dokumenty, z ktorých bude možné jednoznačne preukázať uskutočnenie tejto prepravy, ako napr. objednávky a dodacie listy.   </w:t>
      </w:r>
    </w:p>
    <w:p>
      <w:pPr>
        <w:ind w:firstLine="720"/>
        <w:jc w:val="both"/>
        <w:rPr>
          <w:rFonts w:ascii="Times New Roman" w:hAnsi="Times New Roman" w:cs="Times New Roman"/>
          <w:szCs w:val="24"/>
        </w:rPr>
      </w:pPr>
    </w:p>
    <w:p>
      <w:pPr>
        <w:jc w:val="both"/>
        <w:outlineLvl w:val="0"/>
        <w:rPr>
          <w:rFonts w:ascii="Times New Roman" w:hAnsi="Times New Roman" w:cs="Times New Roman"/>
          <w:szCs w:val="24"/>
        </w:rPr>
      </w:pPr>
      <w:r>
        <w:rPr>
          <w:rFonts w:ascii="Times New Roman" w:hAnsi="Times New Roman" w:cs="Times New Roman"/>
          <w:szCs w:val="24"/>
        </w:rPr>
        <w:t>K § 4</w:t>
      </w:r>
    </w:p>
    <w:p>
      <w:pPr>
        <w:jc w:val="both"/>
        <w:rPr>
          <w:rFonts w:ascii="Times New Roman" w:hAnsi="Times New Roman" w:cs="Times New Roman"/>
          <w:szCs w:val="24"/>
        </w:rPr>
      </w:pPr>
    </w:p>
    <w:p>
      <w:pPr>
        <w:ind w:firstLine="567"/>
        <w:jc w:val="both"/>
        <w:rPr>
          <w:rFonts w:ascii="Times New Roman" w:hAnsi="Times New Roman" w:cs="Times New Roman"/>
          <w:szCs w:val="24"/>
        </w:rPr>
      </w:pPr>
      <w:r>
        <w:rPr>
          <w:rFonts w:ascii="Times New Roman" w:hAnsi="Times New Roman" w:cs="Times New Roman"/>
          <w:szCs w:val="24"/>
        </w:rPr>
        <w:t xml:space="preserve">Určenie štátnych orgánov zúčastňujúcich sa na kontrole cezhraničnej prepravy určených výrobkov vychádza z nutnosti náležitého posúdenia všetkých bezpečnostných ako aj zahraničnopolitických hľadísk. Každý z orgánov kontroly by mal podávať svoje vyjadrenia k žiadostiam o licenciu z pohľadu, či žiadateľ o licenciu spĺňa požiadavky medzinárodných zmlúv, resp. všeobecne záväzných právnych predpisov, ktorých uplatňovanie je v gescii toho ktorého štátneho orgánu, teda napr. Ministerstvo vnútra SR bude podávať svoje vyjadrenia k cezhraničnej preprave strelných zbraní a streliva a Hlavný banský úrad SR k cezhraničnej preprave výbušnín a pyrotechnických výrobkov.  V odseku 3 je zároveň príkladne uvedený výpočet hľadísk, na ktoré musia orgány kontroly prihliadať pri </w:t>
      </w:r>
      <w:r>
        <w:rPr>
          <w:rFonts w:ascii="Times New Roman" w:hAnsi="Times New Roman" w:cs="Times New Roman"/>
          <w:szCs w:val="24"/>
        </w:rPr>
        <w:t>výkone kontroly obchodovania.</w:t>
      </w:r>
    </w:p>
    <w:p>
      <w:pPr>
        <w:jc w:val="both"/>
        <w:rPr>
          <w:rFonts w:ascii="Times New Roman" w:hAnsi="Times New Roman" w:cs="Times New Roman"/>
          <w:szCs w:val="24"/>
        </w:rPr>
      </w:pPr>
      <w:r>
        <w:rPr>
          <w:rFonts w:ascii="Times New Roman" w:hAnsi="Times New Roman" w:cs="Times New Roman"/>
          <w:szCs w:val="24"/>
        </w:rPr>
        <w:t xml:space="preserve">          Ustanovuje tiež spoluprácu ministerstva hospodárstva SR s orgánmi kontroly, ktoré na požiadanie ministerstva poskytujú vyjadrenia k žiadostiam o licencie.</w:t>
      </w:r>
    </w:p>
    <w:p>
      <w:pPr>
        <w:jc w:val="both"/>
        <w:outlineLvl w:val="0"/>
        <w:rPr>
          <w:rFonts w:ascii="Times New Roman" w:hAnsi="Times New Roman" w:cs="Times New Roman"/>
          <w:szCs w:val="24"/>
        </w:rPr>
      </w:pPr>
    </w:p>
    <w:p>
      <w:pPr>
        <w:jc w:val="both"/>
        <w:outlineLvl w:val="0"/>
        <w:rPr>
          <w:rFonts w:ascii="Times New Roman" w:hAnsi="Times New Roman" w:cs="Times New Roman"/>
          <w:szCs w:val="24"/>
        </w:rPr>
      </w:pPr>
      <w:r>
        <w:rPr>
          <w:rFonts w:ascii="Times New Roman" w:hAnsi="Times New Roman" w:cs="Times New Roman"/>
          <w:szCs w:val="24"/>
        </w:rPr>
        <w:t>K § 5</w:t>
      </w:r>
    </w:p>
    <w:p>
      <w:pPr>
        <w:ind w:firstLine="720"/>
        <w:jc w:val="both"/>
        <w:rPr>
          <w:rFonts w:ascii="Times New Roman" w:hAnsi="Times New Roman" w:cs="Times New Roman"/>
          <w:szCs w:val="24"/>
        </w:rPr>
      </w:pPr>
    </w:p>
    <w:p>
      <w:pPr>
        <w:ind w:firstLine="567"/>
        <w:jc w:val="both"/>
        <w:rPr>
          <w:rFonts w:ascii="Times New Roman" w:hAnsi="Times New Roman" w:cs="Times New Roman"/>
          <w:szCs w:val="24"/>
        </w:rPr>
      </w:pPr>
      <w:r>
        <w:rPr>
          <w:rFonts w:ascii="Times New Roman" w:hAnsi="Times New Roman" w:cs="Times New Roman"/>
          <w:szCs w:val="24"/>
        </w:rPr>
        <w:t>Ústredným orgánom štátnej správy pre oblasť cezhraničnej prepravy určených výrobkov je Ministerstvo hospodárstva Slovenskej republiky, ktoré okrem posudzovania žiadostí o udelenie licencie tiež kontroluje dodržiavanie tohto zákona, spolupracuje s inými štátmi a medzinárodnými inštitúciami a vykonáva povinnosti vyplývajúce zo zahranično-politických záväzkov Slovenskej republiky.</w:t>
      </w:r>
    </w:p>
    <w:p>
      <w:pPr>
        <w:jc w:val="both"/>
        <w:rPr>
          <w:rFonts w:ascii="Times New Roman" w:hAnsi="Times New Roman" w:cs="Times New Roman"/>
          <w:szCs w:val="24"/>
        </w:rPr>
      </w:pPr>
      <w:r>
        <w:rPr>
          <w:rFonts w:ascii="Times New Roman" w:hAnsi="Times New Roman" w:cs="Times New Roman"/>
          <w:szCs w:val="24"/>
        </w:rPr>
        <w:t xml:space="preserve">         </w:t>
      </w:r>
    </w:p>
    <w:p>
      <w:pPr>
        <w:jc w:val="both"/>
        <w:outlineLvl w:val="0"/>
        <w:rPr>
          <w:rFonts w:ascii="Times New Roman" w:hAnsi="Times New Roman" w:cs="Times New Roman"/>
          <w:szCs w:val="24"/>
        </w:rPr>
      </w:pPr>
      <w:r>
        <w:rPr>
          <w:rFonts w:ascii="Times New Roman" w:hAnsi="Times New Roman" w:cs="Times New Roman"/>
          <w:szCs w:val="24"/>
        </w:rPr>
        <w:t>K § 6</w:t>
      </w:r>
    </w:p>
    <w:p>
      <w:pPr>
        <w:jc w:val="both"/>
        <w:rPr>
          <w:rFonts w:ascii="Times New Roman" w:hAnsi="Times New Roman" w:cs="Times New Roman"/>
          <w:szCs w:val="24"/>
        </w:rPr>
      </w:pPr>
    </w:p>
    <w:p>
      <w:pPr>
        <w:pStyle w:val="BodyTextIndent2"/>
        <w:rPr>
          <w:rFonts w:ascii="Times New Roman" w:hAnsi="Times New Roman" w:cs="Times New Roman"/>
        </w:rPr>
      </w:pPr>
      <w:r>
        <w:rPr>
          <w:rFonts w:ascii="Times New Roman" w:hAnsi="Times New Roman" w:cs="Times New Roman"/>
        </w:rPr>
        <w:t xml:space="preserve">Druhy dokumentov, ktoré musí žiadateľ predložiť spolu so žiadosťou o licenciu odrážajú všetky stránky obchodného prípadu, ktoré musia orgány zúčastnené na kontrole vziať do úvahy pri posudzovaní možného rizika z toho ktorého prípadu vyplývajúceho. Oproti súčasnej právnej úprave sa rozsah týchto dokumentov nemení, spresňujú sa len niektoré formulácie. </w:t>
      </w:r>
    </w:p>
    <w:p>
      <w:pPr>
        <w:ind w:firstLine="567"/>
        <w:jc w:val="both"/>
        <w:rPr>
          <w:rFonts w:ascii="Times New Roman" w:hAnsi="Times New Roman" w:cs="Times New Roman"/>
          <w:szCs w:val="24"/>
        </w:rPr>
      </w:pPr>
      <w:r>
        <w:rPr>
          <w:rFonts w:ascii="Times New Roman" w:hAnsi="Times New Roman" w:cs="Times New Roman"/>
          <w:szCs w:val="24"/>
        </w:rPr>
        <w:t>V prípade žiadosti o licenciu týkajúcej sa výbušnín je nevyhnutné zároveň rozhodnúť aj o povolení na prepravu týchto výbušnín. Podľa súčasnej právnej úpravy povoľuje cezhraničnú prepravu výbušnín Hlavný banský úrad v samostatnom konaní, v ktorom sú predmetom opätovného posudzovania skutočnosti, o ktorých už bolo rozhodnuté v konaní o udelení licencie, čo zvyšuje administratívnu záťaž pred podnikateľov. Preto sa návrhom zákona preberajú príslušné ustanovenia zo zákona SNR č. 51/1988 Zb. o b</w:t>
      </w:r>
      <w:r>
        <w:rPr>
          <w:rFonts w:ascii="Times New Roman" w:hAnsi="Times New Roman" w:cs="Times New Roman"/>
        </w:rPr>
        <w:t>anskej činnosti, výbušninách a o štátnej banskej správe</w:t>
      </w:r>
      <w:r>
        <w:rPr>
          <w:rFonts w:ascii="Times New Roman" w:hAnsi="Times New Roman" w:cs="Times New Roman"/>
          <w:szCs w:val="24"/>
        </w:rPr>
        <w:t xml:space="preserve"> a kompetencia schvaľovať cezhraničnú prepravu výbušnín prechádza na ministerstvo hospodárstva.</w:t>
      </w:r>
    </w:p>
    <w:p>
      <w:pPr>
        <w:tabs>
          <w:tab w:val="left" w:pos="720"/>
        </w:tabs>
        <w:jc w:val="both"/>
        <w:rPr>
          <w:rFonts w:ascii="Times New Roman" w:hAnsi="Times New Roman" w:cs="Times New Roman"/>
          <w:szCs w:val="24"/>
        </w:rPr>
      </w:pPr>
      <w:r>
        <w:rPr>
          <w:rFonts w:ascii="Times New Roman" w:hAnsi="Times New Roman" w:cs="Times New Roman"/>
          <w:szCs w:val="24"/>
        </w:rPr>
        <w:t xml:space="preserve">          </w:t>
      </w:r>
    </w:p>
    <w:p>
      <w:pPr>
        <w:tabs>
          <w:tab w:val="left" w:pos="720"/>
        </w:tabs>
        <w:jc w:val="both"/>
        <w:rPr>
          <w:rFonts w:ascii="Times New Roman" w:hAnsi="Times New Roman" w:cs="Times New Roman"/>
          <w:szCs w:val="24"/>
        </w:rPr>
      </w:pPr>
      <w:r>
        <w:rPr>
          <w:rFonts w:ascii="Times New Roman" w:hAnsi="Times New Roman" w:cs="Times New Roman"/>
          <w:szCs w:val="24"/>
        </w:rPr>
        <w:t>K § 7</w:t>
      </w:r>
    </w:p>
    <w:p>
      <w:pPr>
        <w:tabs>
          <w:tab w:val="left" w:pos="720"/>
        </w:tabs>
        <w:jc w:val="both"/>
        <w:rPr>
          <w:rFonts w:ascii="Times New Roman" w:hAnsi="Times New Roman" w:cs="Times New Roman"/>
          <w:szCs w:val="24"/>
        </w:rPr>
      </w:pPr>
    </w:p>
    <w:p>
      <w:pPr>
        <w:ind w:firstLine="567"/>
        <w:jc w:val="both"/>
        <w:rPr>
          <w:rFonts w:ascii="Times New Roman" w:hAnsi="Times New Roman" w:cs="Times New Roman"/>
          <w:szCs w:val="24"/>
        </w:rPr>
      </w:pPr>
      <w:r>
        <w:rPr>
          <w:rFonts w:ascii="Times New Roman" w:hAnsi="Times New Roman" w:cs="Times New Roman"/>
          <w:szCs w:val="24"/>
        </w:rPr>
        <w:t>Ministerstvo rozhodne o licencii do 60 dní od doručenia žiadosti o licenciu, ak sú splnené podmienky podľa § 6. Stanovuje sa tiež lehota 30 dní, v ktorej môžu orgány zúčastňujúce sa na kontrole vyjadriť svoje súhlasné alebo nesúhlasné stanovisko k žiadostiam o licenciu, alebo o ich zmenu. V prípade, ak tieto orgány sa v lehote nevyjadria, platí nevyvrátiteľná právna domnienka, že s  licenciou súhlasia. V prípade, ak by následne doručili ministerstvu hospodárstva nesúhlasné stanovisko, bolo by možno už vydanú licenciu zrušiť z dôvodu, že držiteľ licencie prestal spĺňať podmienky na jej udelenie.</w:t>
      </w:r>
    </w:p>
    <w:p>
      <w:pPr>
        <w:pStyle w:val="BodyTextIndent2"/>
        <w:ind w:firstLine="0"/>
        <w:rPr>
          <w:rFonts w:ascii="Times New Roman" w:hAnsi="Times New Roman" w:cs="Times New Roman"/>
        </w:rPr>
      </w:pPr>
      <w:r>
        <w:rPr>
          <w:rFonts w:ascii="Times New Roman" w:hAnsi="Times New Roman" w:cs="Times New Roman"/>
        </w:rPr>
        <w:t xml:space="preserve">         V prípade súhlasných stanovísk zúčastnených orgánov kontroly ministerstvo vydá licenciu, obsah ktorej zodpovedá zaužívaným podmienkam v medzinárodnom obchode. </w:t>
      </w:r>
    </w:p>
    <w:p>
      <w:pPr>
        <w:pStyle w:val="BodyTextIndent2"/>
        <w:rPr>
          <w:rFonts w:ascii="Times New Roman" w:hAnsi="Times New Roman" w:cs="Times New Roman"/>
        </w:rPr>
      </w:pPr>
      <w:r>
        <w:rPr>
          <w:rFonts w:ascii="Times New Roman" w:hAnsi="Times New Roman" w:cs="Times New Roman"/>
        </w:rPr>
        <w:t>Súčasne s  licenciou na cezhraničnú prepravu výbušnín ministerstvo vydá aj povolenie ich prepravu vo formulári EÚ. Zákon ustanovuje rovnaké súvisiace povinnosti ako súčasná právna úprava v zákone SNR č. 51/1988 Zb.</w:t>
      </w:r>
    </w:p>
    <w:p>
      <w:pPr>
        <w:tabs>
          <w:tab w:val="left" w:pos="720"/>
        </w:tabs>
        <w:jc w:val="both"/>
        <w:rPr>
          <w:rFonts w:ascii="Times New Roman" w:hAnsi="Times New Roman" w:cs="Times New Roman"/>
          <w:szCs w:val="24"/>
        </w:rPr>
      </w:pPr>
    </w:p>
    <w:p>
      <w:pPr>
        <w:tabs>
          <w:tab w:val="left" w:pos="720"/>
        </w:tabs>
        <w:jc w:val="both"/>
        <w:rPr>
          <w:rFonts w:ascii="Times New Roman" w:hAnsi="Times New Roman" w:cs="Times New Roman"/>
          <w:szCs w:val="24"/>
        </w:rPr>
      </w:pPr>
      <w:r>
        <w:rPr>
          <w:rFonts w:ascii="Times New Roman" w:hAnsi="Times New Roman" w:cs="Times New Roman"/>
          <w:szCs w:val="24"/>
        </w:rPr>
        <w:t>K §</w:t>
      </w:r>
      <w:r>
        <w:rPr>
          <w:rFonts w:ascii="Times New Roman" w:hAnsi="Times New Roman" w:cs="Times New Roman"/>
          <w:color w:val="FF0000"/>
          <w:szCs w:val="24"/>
        </w:rPr>
        <w:t xml:space="preserve"> </w:t>
      </w:r>
      <w:r>
        <w:rPr>
          <w:rFonts w:ascii="Times New Roman" w:hAnsi="Times New Roman" w:cs="Times New Roman"/>
          <w:color w:val="auto"/>
          <w:szCs w:val="24"/>
        </w:rPr>
        <w:t>8</w:t>
      </w:r>
    </w:p>
    <w:p>
      <w:pPr>
        <w:tabs>
          <w:tab w:val="left" w:pos="720"/>
        </w:tabs>
        <w:jc w:val="both"/>
        <w:rPr>
          <w:rFonts w:ascii="Times New Roman" w:hAnsi="Times New Roman" w:cs="Times New Roman"/>
          <w:szCs w:val="24"/>
        </w:rPr>
      </w:pPr>
    </w:p>
    <w:p>
      <w:pPr>
        <w:pStyle w:val="BodyTextIndent2"/>
        <w:rPr>
          <w:rFonts w:ascii="Times New Roman" w:hAnsi="Times New Roman" w:cs="Times New Roman"/>
        </w:rPr>
      </w:pPr>
      <w:r>
        <w:rPr>
          <w:rFonts w:ascii="Times New Roman" w:hAnsi="Times New Roman" w:cs="Times New Roman"/>
        </w:rPr>
        <w:t xml:space="preserve">Zmeniť licenciu návrh zákona umožňuje len v troch údajoch – v dĺžke platnosti licencie, zmene hodnoty určených výrobkov a zmene ich množstva. Potreba zmeny licencie v časti hodnoty určených výrobkov vzniká najmä z dôvodu pohybov kurzov mien, preto nie je potrebné nové schvaľovacie konanie. </w:t>
      </w:r>
      <w:r>
        <w:rPr>
          <w:rFonts w:ascii="Times New Roman" w:hAnsi="Times New Roman" w:cs="Times New Roman"/>
          <w:color w:val="auto"/>
        </w:rPr>
        <w:t>Zákon upravuje osobitne aj dôvody, na základe ktorých by bolo možné zamietnuť žiadosť o zmenu licencie, keďže sa jedná o rozdielnu situáciu v porovnaní s novou žiadosťou</w:t>
      </w:r>
      <w:r>
        <w:rPr>
          <w:rFonts w:ascii="Times New Roman" w:hAnsi="Times New Roman" w:cs="Times New Roman"/>
          <w:color w:val="auto"/>
        </w:rPr>
        <w:t xml:space="preserve"> o licenciu.</w:t>
      </w:r>
      <w:r>
        <w:rPr>
          <w:rFonts w:ascii="Times New Roman" w:hAnsi="Times New Roman" w:cs="Times New Roman"/>
          <w:color w:val="FF0000"/>
        </w:rPr>
        <w:t xml:space="preserve"> </w:t>
      </w:r>
      <w:r>
        <w:rPr>
          <w:rFonts w:ascii="Times New Roman" w:hAnsi="Times New Roman" w:cs="Times New Roman"/>
        </w:rPr>
        <w:t>Vzhľadom k tomu, že o takejto žiadosti sa bude rozhodovať v správnom konaní, je nutné ponechať v platnosti licenciu aj po uplynutí jej pôvodnej doby platnosti, inak by bolo najmä konanie o podanom rozklade bezpredmetné.</w:t>
      </w:r>
    </w:p>
    <w:p>
      <w:pPr>
        <w:tabs>
          <w:tab w:val="left" w:pos="720"/>
        </w:tabs>
        <w:jc w:val="both"/>
        <w:rPr>
          <w:rFonts w:ascii="Times New Roman" w:hAnsi="Times New Roman" w:cs="Times New Roman"/>
          <w:szCs w:val="24"/>
        </w:rPr>
      </w:pPr>
    </w:p>
    <w:p>
      <w:pPr>
        <w:tabs>
          <w:tab w:val="left" w:pos="720"/>
        </w:tabs>
        <w:jc w:val="both"/>
        <w:outlineLvl w:val="0"/>
        <w:rPr>
          <w:rFonts w:ascii="Times New Roman" w:hAnsi="Times New Roman" w:cs="Times New Roman"/>
          <w:szCs w:val="24"/>
        </w:rPr>
      </w:pPr>
      <w:r>
        <w:rPr>
          <w:rFonts w:ascii="Times New Roman" w:hAnsi="Times New Roman" w:cs="Times New Roman"/>
          <w:szCs w:val="24"/>
        </w:rPr>
        <w:t>K § 9</w:t>
      </w:r>
    </w:p>
    <w:p>
      <w:pPr>
        <w:tabs>
          <w:tab w:val="left" w:pos="720"/>
        </w:tabs>
        <w:jc w:val="both"/>
        <w:rPr>
          <w:rFonts w:ascii="Times New Roman" w:hAnsi="Times New Roman" w:cs="Times New Roman"/>
          <w:szCs w:val="24"/>
        </w:rPr>
      </w:pPr>
    </w:p>
    <w:p>
      <w:pPr>
        <w:pStyle w:val="BodyTextIndent2"/>
        <w:rPr>
          <w:rFonts w:ascii="Times New Roman" w:hAnsi="Times New Roman" w:cs="Times New Roman"/>
        </w:rPr>
      </w:pPr>
      <w:r>
        <w:rPr>
          <w:rFonts w:ascii="Times New Roman" w:hAnsi="Times New Roman" w:cs="Times New Roman"/>
        </w:rPr>
        <w:t xml:space="preserve">Povinnosti držiteľa licencie súvisia so zabránením zneužitia licencie, prípadne na kontrolu jej využívania ex post. </w:t>
      </w:r>
    </w:p>
    <w:p>
      <w:pPr>
        <w:tabs>
          <w:tab w:val="left" w:pos="720"/>
        </w:tabs>
        <w:jc w:val="both"/>
        <w:rPr>
          <w:rFonts w:ascii="Times New Roman" w:hAnsi="Times New Roman" w:cs="Times New Roman"/>
          <w:szCs w:val="24"/>
        </w:rPr>
      </w:pPr>
    </w:p>
    <w:p>
      <w:pPr>
        <w:tabs>
          <w:tab w:val="left" w:pos="720"/>
        </w:tabs>
        <w:jc w:val="both"/>
        <w:outlineLvl w:val="0"/>
        <w:rPr>
          <w:rFonts w:ascii="Times New Roman" w:hAnsi="Times New Roman" w:cs="Times New Roman"/>
          <w:szCs w:val="24"/>
        </w:rPr>
      </w:pPr>
      <w:r>
        <w:rPr>
          <w:rFonts w:ascii="Times New Roman" w:hAnsi="Times New Roman" w:cs="Times New Roman"/>
          <w:szCs w:val="24"/>
        </w:rPr>
        <w:t>K § 10 a 11</w:t>
      </w:r>
    </w:p>
    <w:p>
      <w:pPr>
        <w:pStyle w:val="BodyTextIndent2"/>
        <w:rPr>
          <w:rFonts w:ascii="Times New Roman" w:hAnsi="Times New Roman" w:cs="Times New Roman"/>
        </w:rPr>
      </w:pPr>
    </w:p>
    <w:p>
      <w:pPr>
        <w:pStyle w:val="BodyTextIndent2"/>
        <w:rPr>
          <w:rFonts w:ascii="Times New Roman" w:hAnsi="Times New Roman" w:cs="Times New Roman"/>
        </w:rPr>
      </w:pPr>
      <w:r>
        <w:rPr>
          <w:rFonts w:ascii="Times New Roman" w:hAnsi="Times New Roman" w:cs="Times New Roman"/>
        </w:rPr>
        <w:t>Dôvody zamietnutia žiadosti o licenciu vyplývajú z nesplnenia požiadaviek daných týmto zákonom, medzinárodnými zmluvami alebo inými všeobecne záväznými právnymi predpismi. Analogicky bude možné licenciu zrušiť, ak tieto skutočnosti budú zistené, alebo vzniknú až po jej udelení. Rozklad proti rozhodnutiu o zrušení licencie nemá odkladný účinok, keďže je nutné zabrániť uskutočneniu cezhraničnej prepravy určených výrobkov okamžite, a teda nemožno počkať na skončenie správneho konania.</w:t>
      </w:r>
    </w:p>
    <w:p>
      <w:pPr>
        <w:tabs>
          <w:tab w:val="left" w:pos="720"/>
        </w:tabs>
        <w:jc w:val="both"/>
        <w:rPr>
          <w:rFonts w:ascii="Times New Roman" w:hAnsi="Times New Roman" w:cs="Times New Roman"/>
          <w:szCs w:val="24"/>
        </w:rPr>
      </w:pPr>
    </w:p>
    <w:p>
      <w:pPr>
        <w:tabs>
          <w:tab w:val="left" w:pos="720"/>
        </w:tabs>
        <w:jc w:val="both"/>
        <w:outlineLvl w:val="0"/>
        <w:rPr>
          <w:rFonts w:ascii="Times New Roman" w:hAnsi="Times New Roman" w:cs="Times New Roman"/>
          <w:szCs w:val="24"/>
        </w:rPr>
      </w:pPr>
      <w:r>
        <w:rPr>
          <w:rFonts w:ascii="Times New Roman" w:hAnsi="Times New Roman" w:cs="Times New Roman"/>
          <w:szCs w:val="24"/>
        </w:rPr>
        <w:t>K § 12 a 13</w:t>
      </w:r>
    </w:p>
    <w:p>
      <w:pPr>
        <w:tabs>
          <w:tab w:val="left" w:pos="720"/>
        </w:tabs>
        <w:jc w:val="both"/>
        <w:rPr>
          <w:rFonts w:ascii="Times New Roman" w:hAnsi="Times New Roman" w:cs="Times New Roman"/>
          <w:szCs w:val="24"/>
        </w:rPr>
      </w:pPr>
    </w:p>
    <w:p>
      <w:pPr>
        <w:pStyle w:val="BodyTextIndent2"/>
        <w:rPr>
          <w:rFonts w:ascii="Times New Roman" w:hAnsi="Times New Roman" w:cs="Times New Roman"/>
        </w:rPr>
      </w:pPr>
      <w:r>
        <w:rPr>
          <w:rFonts w:ascii="Times New Roman" w:hAnsi="Times New Roman" w:cs="Times New Roman"/>
        </w:rPr>
        <w:t>Vyhlásenie konečného užívateľa (tzv. End User Certificate – EUC) a Medzinárodný dovozný certifikát (International Import Certificate – IIC) sú vyhlásenia štátnych orgánov a osôb so sídlom v príslušnom štáte, ktoré sú vyžadované v medzinárodnom obchode s určenými výrobkami jednotlivými licenčnými orgánmi pred vydaním licencie. Ich obsahom je vyhlásenie o neumožnení reexportu určených výrobkov bez súhlasu vyvážajúcej krajiny, resp. vyhlásenie o tom, že dovážajúca krajina udelila na dovážaný tovar dovoznú licenciu, a tým prebrala dohľad na týmto tovarom. Forma vyhlásenia a medzinárodný dovozný certifikát budú ustanovené výnosom ministerstva vydaným na vykona</w:t>
      </w:r>
      <w:r>
        <w:rPr>
          <w:rFonts w:ascii="Times New Roman" w:hAnsi="Times New Roman" w:cs="Times New Roman"/>
        </w:rPr>
        <w:t xml:space="preserve">nie tohto zákona. </w:t>
      </w:r>
    </w:p>
    <w:p>
      <w:pPr>
        <w:tabs>
          <w:tab w:val="left" w:pos="720"/>
        </w:tabs>
        <w:jc w:val="both"/>
        <w:rPr>
          <w:rFonts w:ascii="Times New Roman" w:hAnsi="Times New Roman" w:cs="Times New Roman"/>
          <w:szCs w:val="24"/>
        </w:rPr>
      </w:pPr>
    </w:p>
    <w:p>
      <w:pPr>
        <w:tabs>
          <w:tab w:val="left" w:pos="720"/>
        </w:tabs>
        <w:jc w:val="both"/>
        <w:outlineLvl w:val="0"/>
        <w:rPr>
          <w:rFonts w:ascii="Times New Roman" w:hAnsi="Times New Roman" w:cs="Times New Roman"/>
          <w:szCs w:val="24"/>
        </w:rPr>
      </w:pPr>
      <w:r>
        <w:rPr>
          <w:rFonts w:ascii="Times New Roman" w:hAnsi="Times New Roman" w:cs="Times New Roman"/>
          <w:szCs w:val="24"/>
        </w:rPr>
        <w:t>K § 14 a 15</w:t>
      </w:r>
    </w:p>
    <w:p>
      <w:pPr>
        <w:tabs>
          <w:tab w:val="left" w:pos="720"/>
        </w:tabs>
        <w:jc w:val="both"/>
        <w:rPr>
          <w:rFonts w:ascii="Times New Roman" w:hAnsi="Times New Roman" w:cs="Times New Roman"/>
          <w:szCs w:val="24"/>
        </w:rPr>
      </w:pPr>
    </w:p>
    <w:p>
      <w:pPr>
        <w:pStyle w:val="BodyTextIndent2"/>
        <w:rPr>
          <w:rFonts w:ascii="Times New Roman" w:hAnsi="Times New Roman" w:cs="Times New Roman"/>
        </w:rPr>
      </w:pPr>
      <w:r>
        <w:rPr>
          <w:rFonts w:ascii="Times New Roman" w:hAnsi="Times New Roman" w:cs="Times New Roman"/>
        </w:rPr>
        <w:t xml:space="preserve">Možnosť efektívneho výkonu kontroly dodržiavania zákona je ustanovená v § 14. Zákon ustanovuje právomoc ministerstva vykonať kontrolu nie len u držiteľov licencie, ale aj u osôb, u ktorých sa dôvodne predpokladá, že vykonávajú cezhraničnú prepravu určených výrobkov bez licencie. </w:t>
      </w:r>
    </w:p>
    <w:p>
      <w:pPr>
        <w:pStyle w:val="BodyTextIndent2"/>
        <w:rPr>
          <w:rFonts w:ascii="Times New Roman" w:hAnsi="Times New Roman" w:cs="Times New Roman"/>
        </w:rPr>
      </w:pPr>
      <w:r>
        <w:rPr>
          <w:rFonts w:ascii="Times New Roman" w:hAnsi="Times New Roman" w:cs="Times New Roman"/>
        </w:rPr>
        <w:t xml:space="preserve"> Zároveň zákon ukladá orgánom štátnej správy povinnosť spolupracovať pri získavaní dokumentov a poznatkov nevyhnutných k vykonávaniu dohľadu nad dodržiavaním zákona.  </w:t>
      </w:r>
    </w:p>
    <w:p>
      <w:pPr>
        <w:tabs>
          <w:tab w:val="left" w:pos="720"/>
        </w:tabs>
        <w:jc w:val="both"/>
        <w:rPr>
          <w:rFonts w:ascii="Times New Roman" w:hAnsi="Times New Roman" w:cs="Times New Roman"/>
          <w:szCs w:val="24"/>
        </w:rPr>
      </w:pPr>
      <w:r>
        <w:rPr>
          <w:rFonts w:ascii="Times New Roman" w:hAnsi="Times New Roman" w:cs="Times New Roman"/>
          <w:szCs w:val="24"/>
        </w:rPr>
        <w:tab/>
        <w:t xml:space="preserve"> </w:t>
      </w:r>
    </w:p>
    <w:p>
      <w:pPr>
        <w:tabs>
          <w:tab w:val="left" w:pos="720"/>
        </w:tabs>
        <w:jc w:val="both"/>
        <w:outlineLvl w:val="0"/>
        <w:rPr>
          <w:rFonts w:ascii="Times New Roman" w:hAnsi="Times New Roman" w:cs="Times New Roman"/>
          <w:szCs w:val="24"/>
        </w:rPr>
      </w:pPr>
      <w:r>
        <w:rPr>
          <w:rFonts w:ascii="Times New Roman" w:hAnsi="Times New Roman" w:cs="Times New Roman"/>
          <w:szCs w:val="24"/>
        </w:rPr>
        <w:t xml:space="preserve">K § 16 a 17 </w:t>
      </w:r>
    </w:p>
    <w:p>
      <w:pPr>
        <w:tabs>
          <w:tab w:val="left" w:pos="720"/>
        </w:tabs>
        <w:jc w:val="both"/>
        <w:rPr>
          <w:rFonts w:ascii="Times New Roman" w:hAnsi="Times New Roman" w:cs="Times New Roman"/>
          <w:szCs w:val="24"/>
        </w:rPr>
      </w:pPr>
    </w:p>
    <w:p>
      <w:pPr>
        <w:pStyle w:val="BodyTextIndent2"/>
        <w:rPr>
          <w:rFonts w:ascii="Times New Roman" w:hAnsi="Times New Roman" w:cs="Times New Roman"/>
        </w:rPr>
      </w:pPr>
      <w:r>
        <w:rPr>
          <w:rFonts w:ascii="Times New Roman" w:hAnsi="Times New Roman" w:cs="Times New Roman"/>
        </w:rPr>
        <w:t xml:space="preserve">Systém sankcií je rozčlenený na priestupky, ktorých sa môžu dopustiť len fyzické osoby  pri vykonávaní cezhraničnej prepravy určených výrobkov bez licencie. Správnych deliktov sa môžu dopustiť fyzické osoby – podnikatelia alebo právnické osoby v zákone pomenovaným konaním narúšajúcim kontrolný režim stanovený zákonom. Vzhľadom na hodnotu určených výrobkov, s ktorými spravidla obchodujú držitelia licencií, je nevyhnutné určiť v zákone výšku pokút, ktoré budú v dostatočnej miere odrádzať od nedovoleného konania. V opačnom prípade by pokuty neplnili preventívnu funkciu a aj ich represívna funkcia by bola v mnohých prípadoch značne slabá. </w:t>
      </w:r>
    </w:p>
    <w:p>
      <w:pPr>
        <w:tabs>
          <w:tab w:val="left" w:pos="720"/>
        </w:tabs>
        <w:jc w:val="both"/>
        <w:rPr>
          <w:rFonts w:ascii="Times New Roman" w:hAnsi="Times New Roman" w:cs="Times New Roman"/>
          <w:szCs w:val="24"/>
        </w:rPr>
      </w:pPr>
    </w:p>
    <w:p>
      <w:pPr>
        <w:tabs>
          <w:tab w:val="left" w:pos="720"/>
        </w:tabs>
        <w:jc w:val="both"/>
        <w:outlineLvl w:val="0"/>
        <w:rPr>
          <w:rFonts w:ascii="Times New Roman" w:hAnsi="Times New Roman" w:cs="Times New Roman"/>
          <w:szCs w:val="24"/>
        </w:rPr>
      </w:pPr>
      <w:r>
        <w:rPr>
          <w:rFonts w:ascii="Times New Roman" w:hAnsi="Times New Roman" w:cs="Times New Roman"/>
          <w:szCs w:val="24"/>
        </w:rPr>
        <w:t>K § 18 až 20</w:t>
      </w:r>
    </w:p>
    <w:p>
      <w:pPr>
        <w:tabs>
          <w:tab w:val="left" w:pos="720"/>
        </w:tabs>
        <w:jc w:val="both"/>
        <w:rPr>
          <w:rFonts w:ascii="Times New Roman" w:hAnsi="Times New Roman" w:cs="Times New Roman"/>
          <w:szCs w:val="24"/>
        </w:rPr>
      </w:pPr>
    </w:p>
    <w:p>
      <w:pPr>
        <w:pStyle w:val="BodyTextIndent2"/>
        <w:rPr>
          <w:rFonts w:ascii="Times New Roman" w:hAnsi="Times New Roman" w:cs="Times New Roman"/>
        </w:rPr>
      </w:pPr>
      <w:r>
        <w:rPr>
          <w:rFonts w:ascii="Times New Roman" w:hAnsi="Times New Roman" w:cs="Times New Roman"/>
        </w:rPr>
        <w:t>V rámci spoločných ustanovení sa ministerstvo splnomocňuje na vydanie výnosu, ktorého obsahom budú vzory žiadostí o udelenie licencie a vzory vyhlásení, ktoré vydáva ministerstvo podľa § 12 a 13. Zákon obsahuje aj prechodné ustanovenie, v záujme hladkého prechodu na režim nového zákona. Zákonom sa zrušuje vyhláška Ministerstva hospodárstva SR č. 15/1998 Z. z. o podmienkach udeľovania úradného povolenia na dovoz a vývoz tovaru a služieb v znení neskorších predpisov.</w:t>
      </w:r>
    </w:p>
    <w:p>
      <w:pPr>
        <w:tabs>
          <w:tab w:val="left" w:pos="720"/>
        </w:tabs>
        <w:jc w:val="both"/>
        <w:rPr>
          <w:rFonts w:ascii="Times New Roman" w:hAnsi="Times New Roman" w:cs="Times New Roman"/>
          <w:szCs w:val="24"/>
        </w:rPr>
      </w:pPr>
    </w:p>
    <w:p>
      <w:pPr>
        <w:tabs>
          <w:tab w:val="left" w:pos="720"/>
        </w:tabs>
        <w:jc w:val="both"/>
        <w:outlineLvl w:val="0"/>
        <w:rPr>
          <w:rFonts w:ascii="Times New Roman" w:hAnsi="Times New Roman" w:cs="Times New Roman"/>
          <w:szCs w:val="24"/>
        </w:rPr>
      </w:pPr>
      <w:r>
        <w:rPr>
          <w:rFonts w:ascii="Times New Roman" w:hAnsi="Times New Roman" w:cs="Times New Roman"/>
          <w:szCs w:val="24"/>
        </w:rPr>
        <w:t>K Čl. II</w:t>
      </w:r>
    </w:p>
    <w:p>
      <w:pPr>
        <w:tabs>
          <w:tab w:val="left" w:pos="720"/>
        </w:tabs>
        <w:jc w:val="both"/>
        <w:rPr>
          <w:rFonts w:ascii="Times New Roman" w:hAnsi="Times New Roman" w:cs="Times New Roman"/>
          <w:szCs w:val="24"/>
        </w:rPr>
      </w:pPr>
    </w:p>
    <w:p>
      <w:pPr>
        <w:pStyle w:val="BodyTextIndent2"/>
        <w:rPr>
          <w:rFonts w:ascii="Times New Roman" w:hAnsi="Times New Roman" w:cs="Times New Roman"/>
        </w:rPr>
      </w:pPr>
      <w:r>
        <w:rPr>
          <w:rFonts w:ascii="Times New Roman" w:hAnsi="Times New Roman" w:cs="Times New Roman"/>
        </w:rPr>
        <w:t>Úprava Sadzobníka správnych poplatkov je nevyhnutná z dôvodu zosúladenia terminológie zákona, výška poplatkov za jednotlivé úkony sa mení len z dôvodu pr</w:t>
      </w:r>
      <w:r>
        <w:rPr>
          <w:rFonts w:ascii="Times New Roman" w:hAnsi="Times New Roman" w:cs="Times New Roman"/>
        </w:rPr>
        <w:t>echodu na menu euro.</w:t>
      </w:r>
    </w:p>
    <w:p>
      <w:pPr>
        <w:tabs>
          <w:tab w:val="left" w:pos="720"/>
        </w:tabs>
        <w:jc w:val="both"/>
        <w:rPr>
          <w:rFonts w:ascii="Times New Roman" w:hAnsi="Times New Roman" w:cs="Times New Roman"/>
          <w:szCs w:val="24"/>
        </w:rPr>
      </w:pPr>
    </w:p>
    <w:p>
      <w:pPr>
        <w:tabs>
          <w:tab w:val="left" w:pos="720"/>
        </w:tabs>
        <w:jc w:val="both"/>
        <w:outlineLvl w:val="0"/>
        <w:rPr>
          <w:rFonts w:ascii="Times New Roman" w:hAnsi="Times New Roman" w:cs="Times New Roman"/>
          <w:szCs w:val="24"/>
        </w:rPr>
      </w:pPr>
      <w:r>
        <w:rPr>
          <w:rFonts w:ascii="Times New Roman" w:hAnsi="Times New Roman" w:cs="Times New Roman"/>
          <w:szCs w:val="24"/>
        </w:rPr>
        <w:t>K Čl. III</w:t>
      </w:r>
    </w:p>
    <w:p>
      <w:pPr>
        <w:tabs>
          <w:tab w:val="left" w:pos="720"/>
        </w:tabs>
        <w:jc w:val="both"/>
        <w:rPr>
          <w:rFonts w:ascii="Times New Roman" w:hAnsi="Times New Roman" w:cs="Times New Roman"/>
          <w:szCs w:val="24"/>
        </w:rPr>
      </w:pPr>
    </w:p>
    <w:p>
      <w:pPr>
        <w:pStyle w:val="BodyTextIndent2"/>
        <w:rPr>
          <w:rFonts w:ascii="Times New Roman" w:hAnsi="Times New Roman" w:cs="Times New Roman"/>
        </w:rPr>
      </w:pPr>
      <w:r>
        <w:rPr>
          <w:rFonts w:ascii="Times New Roman" w:hAnsi="Times New Roman" w:cs="Times New Roman"/>
        </w:rPr>
        <w:t>Novelou zákona o banskej činnosť, výbušninách a o štátnej banskej správe sa najmä vypúšťajú ustanovenia upravujúce povoľovanie prepravy výbušnín a pyrotechnických výrobkov, keďže kompetencia na jej povoľovanie prechádza z H</w:t>
      </w:r>
      <w:r>
        <w:rPr>
          <w:rFonts w:ascii="Times New Roman" w:hAnsi="Times New Roman" w:cs="Times New Roman"/>
        </w:rPr>
        <w:t xml:space="preserve">lavného banského úradu na ministerstvo hospodárstva SR. </w:t>
      </w:r>
    </w:p>
    <w:p>
      <w:pPr>
        <w:pStyle w:val="BodyText"/>
        <w:rPr>
          <w:rFonts w:ascii="Times New Roman" w:hAnsi="Times New Roman" w:cs="Times New Roman"/>
        </w:rPr>
      </w:pPr>
      <w:r>
        <w:rPr>
          <w:rFonts w:ascii="Times New Roman" w:hAnsi="Times New Roman" w:cs="Times New Roman"/>
        </w:rPr>
        <w:tab/>
        <w:t>Ďalej sa zavádza definícia pojmu „dobývanie ložiska nevyhradeného nerastu“, ktorý v súčasnej legislatíve absentuje, čo spôsobuje aplikačné problémy. Definícia dobývania vyhradených ložísk je v § 27 ods. 16 zákona č. 44/1988 Zb. o ochrane a využití nerastného bohatstva (banský zákon) v znení neskorších predpisov.</w:t>
      </w:r>
    </w:p>
    <w:p>
      <w:pPr>
        <w:pStyle w:val="BodyText"/>
        <w:rPr>
          <w:rFonts w:ascii="Times New Roman" w:hAnsi="Times New Roman" w:cs="Times New Roman"/>
        </w:rPr>
      </w:pPr>
      <w:r>
        <w:rPr>
          <w:rFonts w:ascii="Times New Roman" w:hAnsi="Times New Roman" w:cs="Times New Roman"/>
        </w:rPr>
        <w:tab/>
        <w:t xml:space="preserve">Nutnosť úpravy v § 5 ods. 2 vyplýva z kompetencie Hlavného banského úradu ako orgánu 1. stupňa vydávať oprávnenie, súhlas, opatrenie alebo povolenie podľa zákona           SNR č. 51/1988 Zb., banského zákona alebo podľa osobitných predpisov. </w:t>
      </w:r>
    </w:p>
    <w:p>
      <w:pPr>
        <w:tabs>
          <w:tab w:val="left" w:pos="720"/>
        </w:tabs>
        <w:jc w:val="both"/>
        <w:rPr>
          <w:rFonts w:ascii="Times New Roman" w:hAnsi="Times New Roman" w:cs="Times New Roman"/>
          <w:szCs w:val="24"/>
        </w:rPr>
      </w:pPr>
      <w:r>
        <w:rPr>
          <w:rFonts w:ascii="Times New Roman" w:hAnsi="Times New Roman" w:cs="Times New Roman"/>
          <w:szCs w:val="24"/>
        </w:rPr>
        <w:tab/>
      </w:r>
    </w:p>
    <w:p>
      <w:pPr>
        <w:tabs>
          <w:tab w:val="left" w:pos="720"/>
        </w:tabs>
        <w:jc w:val="both"/>
        <w:rPr>
          <w:rFonts w:ascii="Times New Roman" w:hAnsi="Times New Roman" w:cs="Times New Roman"/>
          <w:szCs w:val="24"/>
        </w:rPr>
      </w:pPr>
      <w:r>
        <w:rPr>
          <w:rFonts w:ascii="Times New Roman" w:hAnsi="Times New Roman" w:cs="Times New Roman"/>
          <w:szCs w:val="24"/>
        </w:rPr>
        <w:t>K Čl. IV</w:t>
      </w:r>
    </w:p>
    <w:p>
      <w:pPr>
        <w:tabs>
          <w:tab w:val="left" w:pos="720"/>
        </w:tabs>
        <w:jc w:val="both"/>
        <w:rPr>
          <w:rFonts w:ascii="Times New Roman" w:hAnsi="Times New Roman" w:cs="Times New Roman"/>
          <w:szCs w:val="24"/>
        </w:rPr>
      </w:pPr>
    </w:p>
    <w:p>
      <w:pPr>
        <w:ind w:firstLine="567"/>
        <w:jc w:val="both"/>
        <w:rPr>
          <w:rFonts w:ascii="Times New Roman" w:hAnsi="Times New Roman" w:cs="Times New Roman"/>
        </w:rPr>
      </w:pPr>
      <w:r>
        <w:rPr>
          <w:rFonts w:ascii="Times New Roman" w:hAnsi="Times New Roman" w:cs="Times New Roman"/>
        </w:rPr>
        <w:t xml:space="preserve">Vzhľadom na trvanie legislatívneho procesu sa navrhuje účinnosť zákona 1. augusta 2009.  </w:t>
      </w:r>
    </w:p>
    <w:p>
      <w:pPr>
        <w:jc w:val="both"/>
        <w:rPr>
          <w:rFonts w:ascii="Times New Roman" w:hAnsi="Times New Roman" w:cs="Times New Roman"/>
        </w:rPr>
      </w:pPr>
    </w:p>
    <w:p>
      <w:pPr>
        <w:pStyle w:val="zkladn"/>
        <w:tabs>
          <w:tab w:val="clear" w:pos="567"/>
        </w:tabs>
        <w:spacing w:before="0" w:after="0"/>
        <w:ind w:firstLine="0"/>
        <w:rPr>
          <w:rFonts w:ascii="Times New Roman" w:hAnsi="Times New Roman" w:cs="Times New Roman"/>
          <w:sz w:val="24"/>
          <w:szCs w:val="24"/>
        </w:rPr>
      </w:pPr>
    </w:p>
    <w:p>
      <w:pPr>
        <w:pStyle w:val="Heading6"/>
        <w:rPr>
          <w:rFonts w:ascii="Times New Roman" w:hAnsi="Times New Roman" w:cs="Times New Roman"/>
        </w:rPr>
      </w:pPr>
      <w:r>
        <w:rPr>
          <w:rFonts w:ascii="Times New Roman" w:hAnsi="Times New Roman" w:cs="Times New Roman"/>
        </w:rPr>
        <w:t>Bratislava  18. marca 2009</w:t>
      </w:r>
    </w:p>
    <w:p>
      <w:pPr>
        <w:jc w:val="both"/>
        <w:rPr>
          <w:rFonts w:ascii="Times New Roman" w:hAnsi="Times New Roman" w:cs="Times New Roman"/>
        </w:rPr>
      </w:pPr>
    </w:p>
    <w:p>
      <w:pPr>
        <w:jc w:val="both"/>
        <w:rPr>
          <w:rFonts w:ascii="Times New Roman" w:hAnsi="Times New Roman" w:cs="Times New Roman"/>
        </w:rPr>
      </w:pPr>
    </w:p>
    <w:p>
      <w:pPr>
        <w:pStyle w:val="Heading3"/>
        <w:rPr>
          <w:rFonts w:ascii="Times New Roman" w:hAnsi="Times New Roman" w:cs="Times New Roman"/>
          <w:bCs/>
        </w:rPr>
      </w:pPr>
    </w:p>
    <w:p>
      <w:pPr>
        <w:pStyle w:val="Heading3"/>
        <w:rPr>
          <w:rFonts w:ascii="Times New Roman" w:hAnsi="Times New Roman" w:cs="Times New Roman"/>
          <w:bCs/>
        </w:rPr>
      </w:pPr>
    </w:p>
    <w:p>
      <w:pPr>
        <w:pStyle w:val="Heading3"/>
        <w:rPr>
          <w:rFonts w:ascii="Times New Roman" w:hAnsi="Times New Roman" w:cs="Times New Roman"/>
          <w:bCs/>
        </w:rPr>
      </w:pPr>
      <w:r>
        <w:rPr>
          <w:rFonts w:ascii="Times New Roman" w:hAnsi="Times New Roman" w:cs="Times New Roman"/>
          <w:bCs/>
        </w:rPr>
        <w:t>Robert Fico, v. r</w:t>
      </w:r>
      <w:r>
        <w:rPr>
          <w:rFonts w:ascii="Times New Roman" w:hAnsi="Times New Roman" w:cs="Times New Roman"/>
          <w:bCs/>
        </w:rPr>
        <w:t>.</w:t>
      </w:r>
    </w:p>
    <w:p>
      <w:pPr>
        <w:jc w:val="center"/>
        <w:rPr>
          <w:rFonts w:ascii="Times New Roman" w:hAnsi="Times New Roman" w:cs="Times New Roman"/>
        </w:rPr>
      </w:pPr>
      <w:r>
        <w:rPr>
          <w:rFonts w:ascii="Times New Roman" w:hAnsi="Times New Roman" w:cs="Times New Roman"/>
        </w:rPr>
        <w:t>predseda vlády Slovenskej republiky</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Ľubomír Jahnátek, v. r.</w:t>
      </w:r>
    </w:p>
    <w:p>
      <w:pPr>
        <w:jc w:val="center"/>
        <w:rPr>
          <w:rFonts w:ascii="Times New Roman" w:hAnsi="Times New Roman" w:cs="Times New Roman"/>
          <w:szCs w:val="24"/>
        </w:rPr>
      </w:pPr>
      <w:r>
        <w:rPr>
          <w:rFonts w:ascii="Times New Roman" w:hAnsi="Times New Roman" w:cs="Times New Roman"/>
        </w:rPr>
        <w:t>minister hospodárstva Slovenskej republiky</w:t>
      </w:r>
    </w:p>
    <w:sectPr>
      <w:footerReference w:type="even" r:id="rId4"/>
      <w:footerReference w:type="default" r:id="rId5"/>
      <w:pgSz w:w="11906" w:h="16838"/>
      <w:pgMar w:top="1134" w:right="1418" w:bottom="1247"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7</w:t>
    </w:r>
    <w:r>
      <w:rPr>
        <w:rStyle w:val="PageNumber"/>
        <w:rFonts w:ascii="Times New Roman" w:hAnsi="Times New Roman" w:cs="Times New Roman"/>
        <w:sz w:val="22"/>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45C8B"/>
    <w:multiLevelType w:val="hybridMultilevel"/>
    <w:tmpl w:val="FC0CE32E"/>
    <w:lvl w:ilvl="0">
      <w:start w:val="5"/>
      <w:numFmt w:val="decimal"/>
      <w:lvlText w:val="%1."/>
      <w:lvlJc w:val="left"/>
      <w:pPr>
        <w:tabs>
          <w:tab w:val="num" w:pos="360"/>
        </w:tabs>
        <w:ind w:left="340" w:hanging="340"/>
      </w:pPr>
      <w:rPr>
        <w:b/>
        <w:i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8473A74"/>
    <w:multiLevelType w:val="hybridMultilevel"/>
    <w:tmpl w:val="3C3055D0"/>
    <w:lvl w:ilvl="0">
      <w:start w:val="1"/>
      <w:numFmt w:val="lowerLetter"/>
      <w:lvlText w:val="%1.)"/>
      <w:lvlJc w:val="left"/>
      <w:pPr>
        <w:tabs>
          <w:tab w:val="num" w:pos="1410"/>
        </w:tabs>
        <w:ind w:left="1410" w:hanging="87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3F7400F6"/>
    <w:multiLevelType w:val="multilevel"/>
    <w:tmpl w:val="443C1B54"/>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548417D0"/>
    <w:multiLevelType w:val="hybridMultilevel"/>
    <w:tmpl w:val="0F8A703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8712A99"/>
    <w:multiLevelType w:val="hybridMultilevel"/>
    <w:tmpl w:val="B9BA8610"/>
    <w:lvl w:ilvl="0">
      <w:start w:val="2"/>
      <w:numFmt w:val="lowerLetter"/>
      <w:lvlText w:val="%1)"/>
      <w:lvlJc w:val="left"/>
      <w:pPr>
        <w:tabs>
          <w:tab w:val="num" w:pos="700"/>
        </w:tabs>
        <w:ind w:left="680" w:hanging="340"/>
      </w:pPr>
    </w:lvl>
    <w:lvl w:ilvl="1">
      <w:start w:val="4"/>
      <w:numFmt w:val="decimal"/>
      <w:lvlText w:val="%2."/>
      <w:lvlJc w:val="left"/>
      <w:pPr>
        <w:tabs>
          <w:tab w:val="num" w:pos="360"/>
        </w:tabs>
        <w:ind w:left="340" w:hanging="340"/>
      </w:pPr>
      <w:rPr>
        <w:b/>
        <w:i w:val="0"/>
        <w:sz w:val="24"/>
        <w:rtl w:val="0"/>
      </w:rPr>
    </w:lvl>
    <w:lvl w:ilvl="2">
      <w:start w:val="1"/>
      <w:numFmt w:val="lowerLetter"/>
      <w:lvlText w:val="%3)"/>
      <w:lvlJc w:val="left"/>
      <w:pPr>
        <w:tabs>
          <w:tab w:val="num" w:pos="540"/>
        </w:tabs>
        <w:ind w:left="520" w:hanging="340"/>
      </w:pPr>
      <w:rPr>
        <w:b w:val="0"/>
        <w:i w:val="0"/>
        <w:sz w:val="24"/>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8FD062F"/>
    <w:multiLevelType w:val="hybridMultilevel"/>
    <w:tmpl w:val="8BFEF842"/>
    <w:lvl w:ilvl="0">
      <w:start w:val="1"/>
      <w:numFmt w:val="decimal"/>
      <w:lvlText w:val="%1."/>
      <w:lvlJc w:val="left"/>
      <w:pPr>
        <w:tabs>
          <w:tab w:val="num" w:pos="1800"/>
        </w:tabs>
        <w:ind w:left="1800" w:hanging="360"/>
      </w:pPr>
    </w:lvl>
    <w:lvl w:ilvl="1">
      <w:start w:val="1"/>
      <w:numFmt w:val="decimal"/>
      <w:lvlText w:val="%2.)"/>
      <w:lvlJc w:val="left"/>
      <w:pPr>
        <w:tabs>
          <w:tab w:val="num" w:pos="1395"/>
        </w:tabs>
        <w:ind w:left="1395" w:hanging="855"/>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723063F4"/>
    <w:multiLevelType w:val="hybridMultilevel"/>
    <w:tmpl w:val="86087AAE"/>
    <w:lvl w:ilvl="0">
      <w:start w:val="1"/>
      <w:numFmt w:val="decimal"/>
      <w:lvlText w:val="%1."/>
      <w:lvlJc w:val="left"/>
      <w:pPr>
        <w:tabs>
          <w:tab w:val="num" w:pos="360"/>
        </w:tabs>
        <w:ind w:left="340" w:hanging="340"/>
      </w:pPr>
      <w:rPr>
        <w:b/>
        <w:i w:val="0"/>
        <w:sz w:val="24"/>
        <w:rtl w:val="0"/>
      </w:rPr>
    </w:lvl>
    <w:lvl w:ilvl="1">
      <w:start w:val="1"/>
      <w:numFmt w:val="lowerLetter"/>
      <w:lvlText w:val="%2)"/>
      <w:lvlJc w:val="left"/>
      <w:pPr>
        <w:tabs>
          <w:tab w:val="num" w:pos="700"/>
        </w:tabs>
        <w:ind w:left="68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E4915B3"/>
    <w:multiLevelType w:val="hybridMultilevel"/>
    <w:tmpl w:val="ED265A0C"/>
    <w:lvl w:ilvl="0">
      <w:start w:val="2"/>
      <w:numFmt w:val="bullet"/>
      <w:lvlText w:val="-"/>
      <w:lvlJc w:val="left"/>
      <w:pPr>
        <w:tabs>
          <w:tab w:val="num" w:pos="900"/>
        </w:tabs>
        <w:ind w:left="900" w:hanging="36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cs="Courier New"/>
        <w:rtl w:val="0"/>
      </w:rPr>
    </w:lvl>
    <w:lvl w:ilvl="2">
      <w:start w:val="1"/>
      <w:numFmt w:val="bullet"/>
      <w:lvlText w:val=""/>
      <w:lvlJc w:val="left"/>
      <w:pPr>
        <w:tabs>
          <w:tab w:val="num" w:pos="2340"/>
        </w:tabs>
        <w:ind w:left="2340" w:hanging="360"/>
      </w:pPr>
      <w:rPr>
        <w:rFonts w:ascii="Wingdings" w:hAnsi="Wingdings"/>
        <w:rtl w:val="0"/>
      </w:rPr>
    </w:lvl>
    <w:lvl w:ilvl="3">
      <w:start w:val="1"/>
      <w:numFmt w:val="bullet"/>
      <w:lvlText w:val=""/>
      <w:lvlJc w:val="left"/>
      <w:pPr>
        <w:tabs>
          <w:tab w:val="num" w:pos="3060"/>
        </w:tabs>
        <w:ind w:left="3060" w:hanging="360"/>
      </w:pPr>
      <w:rPr>
        <w:rFonts w:ascii="Symbol" w:hAnsi="Symbol"/>
        <w:rtl w:val="0"/>
      </w:rPr>
    </w:lvl>
    <w:lvl w:ilvl="4">
      <w:start w:val="1"/>
      <w:numFmt w:val="bullet"/>
      <w:lvlText w:val="o"/>
      <w:lvlJc w:val="left"/>
      <w:pPr>
        <w:tabs>
          <w:tab w:val="num" w:pos="3780"/>
        </w:tabs>
        <w:ind w:left="3780" w:hanging="360"/>
      </w:pPr>
      <w:rPr>
        <w:rFonts w:ascii="Courier New" w:hAnsi="Courier New" w:cs="Courier New"/>
        <w:rtl w:val="0"/>
      </w:rPr>
    </w:lvl>
    <w:lvl w:ilvl="5">
      <w:start w:val="1"/>
      <w:numFmt w:val="bullet"/>
      <w:lvlText w:val=""/>
      <w:lvlJc w:val="left"/>
      <w:pPr>
        <w:tabs>
          <w:tab w:val="num" w:pos="4500"/>
        </w:tabs>
        <w:ind w:left="4500" w:hanging="360"/>
      </w:pPr>
      <w:rPr>
        <w:rFonts w:ascii="Wingdings" w:hAnsi="Wingdings"/>
        <w:rtl w:val="0"/>
      </w:rPr>
    </w:lvl>
    <w:lvl w:ilvl="6">
      <w:start w:val="1"/>
      <w:numFmt w:val="bullet"/>
      <w:lvlText w:val=""/>
      <w:lvlJc w:val="left"/>
      <w:pPr>
        <w:tabs>
          <w:tab w:val="num" w:pos="5220"/>
        </w:tabs>
        <w:ind w:left="5220" w:hanging="360"/>
      </w:pPr>
      <w:rPr>
        <w:rFonts w:ascii="Symbol" w:hAnsi="Symbol"/>
        <w:rtl w:val="0"/>
      </w:rPr>
    </w:lvl>
    <w:lvl w:ilvl="7">
      <w:start w:val="1"/>
      <w:numFmt w:val="bullet"/>
      <w:lvlText w:val="o"/>
      <w:lvlJc w:val="left"/>
      <w:pPr>
        <w:tabs>
          <w:tab w:val="num" w:pos="5940"/>
        </w:tabs>
        <w:ind w:left="5940" w:hanging="360"/>
      </w:pPr>
      <w:rPr>
        <w:rFonts w:ascii="Courier New" w:hAnsi="Courier New" w:cs="Courier New"/>
        <w:rtl w:val="0"/>
      </w:rPr>
    </w:lvl>
    <w:lvl w:ilvl="8">
      <w:start w:val="1"/>
      <w:numFmt w:val="bullet"/>
      <w:lvlText w:val=""/>
      <w:lvlJc w:val="left"/>
      <w:pPr>
        <w:tabs>
          <w:tab w:val="num" w:pos="6660"/>
        </w:tabs>
        <w:ind w:left="6660" w:hanging="360"/>
      </w:pPr>
      <w:rPr>
        <w:rFonts w:ascii="Wingdings" w:hAnsi="Wingdings"/>
        <w:rtl w:val="0"/>
      </w:rPr>
    </w:lvl>
  </w:abstractNum>
  <w:num w:numId="1">
    <w:abstractNumId w:val="5"/>
  </w:num>
  <w:num w:numId="2">
    <w:abstractNumId w:val="7"/>
  </w:num>
  <w:num w:numId="3">
    <w:abstractNumId w:val="1"/>
  </w:num>
  <w:num w:numId="4">
    <w:abstractNumId w:val="3"/>
  </w:num>
  <w:num w:numId="5">
    <w:abstractNumId w:val="6"/>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color w:val="000000"/>
      <w:sz w:val="24"/>
      <w:szCs w:val="19"/>
      <w:rtl w:val="0"/>
      <w:lang w:val="sk-SK" w:bidi="ar-SA"/>
    </w:rPr>
  </w:style>
  <w:style w:type="paragraph" w:styleId="Heading1">
    <w:name w:val="heading 1"/>
    <w:basedOn w:val="Normal"/>
    <w:next w:val="Normal"/>
    <w:uiPriority w:val="9"/>
    <w:qFormat/>
    <w:pPr>
      <w:keepNext/>
      <w:jc w:val="center"/>
      <w:outlineLvl w:val="0"/>
    </w:pPr>
    <w:rPr>
      <w:b/>
      <w:color w:val="auto"/>
      <w:szCs w:val="24"/>
    </w:rPr>
  </w:style>
  <w:style w:type="paragraph" w:styleId="Heading3">
    <w:name w:val="heading 3"/>
    <w:basedOn w:val="Normal"/>
    <w:next w:val="Normal"/>
    <w:uiPriority w:val="9"/>
    <w:qFormat/>
    <w:pPr>
      <w:keepNext/>
      <w:jc w:val="center"/>
      <w:outlineLvl w:val="2"/>
    </w:pPr>
    <w:rPr>
      <w:b/>
      <w:color w:val="auto"/>
      <w:szCs w:val="24"/>
    </w:rPr>
  </w:style>
  <w:style w:type="paragraph" w:styleId="Heading6">
    <w:name w:val="heading 6"/>
    <w:basedOn w:val="Normal"/>
    <w:next w:val="Normal"/>
    <w:uiPriority w:val="9"/>
    <w:qFormat/>
    <w:pPr>
      <w:keepNext/>
      <w:jc w:val="both"/>
      <w:outlineLvl w:val="5"/>
    </w:pPr>
    <w:rPr>
      <w:color w:val="auto"/>
      <w:szCs w:val="20"/>
    </w:rPr>
  </w:style>
  <w:style w:type="character" w:default="1" w:styleId="DefaultParagraphFont">
    <w:name w:val="Default Paragraph Font"/>
    <w:semiHidden/>
  </w:style>
  <w:style w:type="paragraph" w:styleId="DocumentMap">
    <w:name w:val="Document Map"/>
    <w:basedOn w:val="Normal"/>
    <w:semiHidden/>
    <w:pPr>
      <w:shd w:val="clear" w:color="auto" w:fill="000080"/>
      <w:jc w:val="left"/>
    </w:pPr>
    <w:rPr>
      <w:rFonts w:ascii="Tahoma" w:hAnsi="Tahoma" w:cs="Tahoma"/>
      <w:sz w:val="20"/>
      <w:szCs w:val="20"/>
    </w:rPr>
  </w:style>
  <w:style w:type="paragraph" w:styleId="BodyText2">
    <w:name w:val="Body Text 2"/>
    <w:basedOn w:val="Normal"/>
    <w:pPr>
      <w:jc w:val="left"/>
    </w:pPr>
    <w:rPr>
      <w:b/>
      <w:color w:val="auto"/>
      <w:szCs w:val="24"/>
    </w:rPr>
  </w:style>
  <w:style w:type="paragraph" w:styleId="BlockText">
    <w:name w:val="Block Text"/>
    <w:basedOn w:val="Normal"/>
    <w:pPr>
      <w:ind w:left="720" w:right="-158" w:hanging="539"/>
      <w:jc w:val="both"/>
    </w:pPr>
    <w:rPr>
      <w:color w:val="auto"/>
      <w:szCs w:val="24"/>
    </w:rPr>
  </w:style>
  <w:style w:type="paragraph" w:customStyle="1" w:styleId="Textbubliny">
    <w:name w:val="Text bubliny"/>
    <w:basedOn w:val="Normal"/>
    <w:semiHidden/>
    <w:pPr>
      <w:jc w:val="left"/>
    </w:pPr>
    <w:rPr>
      <w:rFonts w:ascii="Tahoma" w:hAnsi="Tahoma" w:cs="Tahoma"/>
      <w:sz w:val="16"/>
      <w:szCs w:val="16"/>
    </w:rPr>
  </w:style>
  <w:style w:type="paragraph" w:styleId="BodyTextIndent3">
    <w:name w:val="Body Text Indent 3"/>
    <w:basedOn w:val="Normal"/>
    <w:pPr>
      <w:spacing w:after="120"/>
      <w:ind w:left="283"/>
      <w:jc w:val="left"/>
    </w:pPr>
    <w:rPr>
      <w:sz w:val="16"/>
      <w:szCs w:val="16"/>
    </w:rPr>
  </w:style>
  <w:style w:type="paragraph" w:styleId="BodyTextIndent">
    <w:name w:val="Body Text Indent"/>
    <w:basedOn w:val="Normal"/>
    <w:pPr>
      <w:ind w:firstLine="540"/>
      <w:jc w:val="both"/>
    </w:pPr>
  </w:style>
  <w:style w:type="paragraph" w:styleId="BodyTextIndent2">
    <w:name w:val="Body Text Indent 2"/>
    <w:basedOn w:val="Normal"/>
    <w:pPr>
      <w:ind w:firstLine="567"/>
      <w:jc w:val="both"/>
    </w:pPr>
    <w:rPr>
      <w:szCs w:val="24"/>
    </w:rPr>
  </w:style>
  <w:style w:type="paragraph" w:styleId="BodyText">
    <w:name w:val="Body Text"/>
    <w:basedOn w:val="Normal"/>
    <w:pPr>
      <w:jc w:val="both"/>
    </w:pPr>
    <w:rPr>
      <w:szCs w:val="24"/>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paragraph" w:customStyle="1" w:styleId="zkladn">
    <w:name w:val="základné"/>
    <w:basedOn w:val="Title"/>
    <w:pPr>
      <w:tabs>
        <w:tab w:val="left" w:pos="567"/>
      </w:tabs>
      <w:spacing w:before="120" w:after="120"/>
      <w:ind w:firstLine="567"/>
      <w:jc w:val="both"/>
      <w:outlineLvl w:val="9"/>
    </w:pPr>
    <w:rPr>
      <w:b w:val="0"/>
      <w:bCs w:val="0"/>
      <w:color w:val="auto"/>
      <w:kern w:val="0"/>
      <w:sz w:val="22"/>
      <w:szCs w:val="22"/>
    </w:rPr>
  </w:style>
  <w:style w:type="paragraph" w:styleId="Title">
    <w:name w:val="Title"/>
    <w:basedOn w:val="Normal"/>
    <w:uiPriority w:val="10"/>
    <w:qFormat/>
    <w:pPr>
      <w:spacing w:before="240" w:after="60"/>
      <w:jc w:val="center"/>
      <w:outlineLvl w:val="0"/>
    </w:pPr>
    <w:rPr>
      <w:rFonts w:ascii="Arial" w:hAnsi="Arial" w:cs="Arial"/>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1</Pages>
  <Words>2830</Words>
  <Characters>16132</Characters>
  <Application>Microsoft Office Word</Application>
  <DocSecurity>0</DocSecurity>
  <Lines>0</Lines>
  <Paragraphs>0</Paragraphs>
  <ScaleCrop>false</ScaleCrop>
  <Company>mhsr</Company>
  <LinksUpToDate>false</LinksUpToDate>
  <CharactersWithSpaces>19811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Hajdu</dc:creator>
  <cp:lastModifiedBy>Talapkova</cp:lastModifiedBy>
  <cp:revision>6</cp:revision>
  <cp:lastPrinted>2009-03-18T11:59:00Z</cp:lastPrinted>
  <dcterms:created xsi:type="dcterms:W3CDTF">2009-03-12T08:46:00Z</dcterms:created>
  <dcterms:modified xsi:type="dcterms:W3CDTF">2009-03-18T11:59:00Z</dcterms:modified>
</cp:coreProperties>
</file>