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D5ADF" w:rsidRPr="009F7BFC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z</w:t>
      </w:r>
      <w:r w:rsidR="006A0E2E">
        <w:rPr>
          <w:rFonts w:ascii="Arial" w:hAnsi="Arial" w:cs="Arial"/>
          <w:b/>
          <w:sz w:val="22"/>
          <w:szCs w:val="22"/>
        </w:rPr>
        <w:t> 11. marca</w:t>
      </w:r>
      <w:r w:rsidRPr="009F7BFC">
        <w:rPr>
          <w:rFonts w:ascii="Arial" w:hAnsi="Arial" w:cs="Arial"/>
          <w:b/>
          <w:sz w:val="22"/>
          <w:szCs w:val="22"/>
        </w:rPr>
        <w:t xml:space="preserve"> 2009,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 xml:space="preserve">ktorým sa mení a dopĺňa zákon č. 43/2004 Z. z. o starobnom dôchodkovom sporení a o zmene a doplnení niektorých zákonov v znení neskorších predpisov 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D5ADF" w:rsidRPr="009F7BFC" w:rsidP="0046729B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Národná rada Slovenskej republiky sa uzniesla na tomto zákone: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DD5ADF" w:rsidRPr="009F7BFC" w:rsidP="0046729B">
      <w:pPr>
        <w:pStyle w:val="NormlnsWWW"/>
        <w:spacing w:before="120" w:after="0" w:line="360" w:lineRule="auto"/>
        <w:jc w:val="center"/>
        <w:outlineLvl w:val="0"/>
        <w:rPr>
          <w:rFonts w:ascii="Arial" w:hAnsi="Arial" w:cs="Arial"/>
          <w:b/>
          <w:sz w:val="22"/>
          <w:szCs w:val="22"/>
          <w:lang w:val="sk-SK"/>
        </w:rPr>
      </w:pPr>
      <w:r w:rsidRPr="009F7BFC">
        <w:rPr>
          <w:rFonts w:ascii="Arial" w:hAnsi="Arial" w:cs="Arial"/>
          <w:b/>
          <w:sz w:val="22"/>
          <w:szCs w:val="22"/>
          <w:lang w:val="sk-SK"/>
        </w:rPr>
        <w:t>Čl. I</w:t>
      </w:r>
    </w:p>
    <w:p w:rsidR="00DD5ADF" w:rsidRPr="009F7BFC" w:rsidP="0046729B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Zákon č. 43/2004 Z. z. o starobnom dôchodkovom sporení a o zmene a doplnení niektorých zákonov v znení zákona č. 186/2004 Z. z., zákona č. 439/2004 Z. z., zákona         č. 721/2004 Z. z., zákona č. 747/2004 Z. z., zákona č. 310/2006 Z. z., zákona č. 644/2006    Z. z., zákona č. 677/2006 Z. z., zákona č. 209/2007 Z. z., zákona č. 519/2007 Z. z., zákona       č. 555/2007 Z. z., zákona č. 659/2007 Z. z., zákona č. 62/2008 Z. z., zákona č.  434/2008    Z. z. a zákona č. 449/2008 Z. z. sa mení a dopĺňa takto: </w:t>
      </w:r>
    </w:p>
    <w:p w:rsidR="00DD5ADF" w:rsidRPr="009F7BFC" w:rsidP="0046729B">
      <w:pPr>
        <w:spacing w:before="120" w:line="360" w:lineRule="auto"/>
        <w:jc w:val="both"/>
        <w:rPr>
          <w:rFonts w:ascii="Times New Roman" w:hAnsi="Times New Roman" w:cs="Times New Roman"/>
        </w:rPr>
      </w:pPr>
    </w:p>
    <w:p w:rsidR="00DD5ADF" w:rsidRPr="009F7BFC" w:rsidP="0046729B">
      <w:pPr>
        <w:numPr>
          <w:ilvl w:val="0"/>
          <w:numId w:val="1"/>
        </w:numPr>
        <w:tabs>
          <w:tab w:val="left" w:pos="360"/>
          <w:tab w:val="clear" w:pos="720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V § 47 o</w:t>
      </w:r>
      <w:r w:rsidRPr="009F7BFC">
        <w:rPr>
          <w:rFonts w:ascii="Arial" w:hAnsi="Arial" w:cs="Arial"/>
          <w:sz w:val="22"/>
          <w:szCs w:val="22"/>
        </w:rPr>
        <w:t xml:space="preserve">ds. 2 písm. b) sa za prvý bod vkladá nový druhý bod, ktorý znie:  </w:t>
      </w:r>
    </w:p>
    <w:p w:rsidR="00DD5ADF" w:rsidRPr="009F7BFC" w:rsidP="0046729B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„2. vedenie garančného účtu dôchodkového fondu,“.</w:t>
      </w:r>
    </w:p>
    <w:p w:rsidR="00DD5ADF" w:rsidRPr="009F7BFC" w:rsidP="0046729B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Doterajšie body 2 až 15 sa označujú ako body 3 až 16.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ab/>
      </w:r>
    </w:p>
    <w:p w:rsidR="00DD5ADF" w:rsidRPr="009F7BFC" w:rsidP="0046729B">
      <w:pPr>
        <w:numPr>
          <w:ilvl w:val="0"/>
          <w:numId w:val="1"/>
        </w:numPr>
        <w:tabs>
          <w:tab w:val="left" w:pos="360"/>
          <w:tab w:val="clear" w:pos="720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V § 63</w:t>
      </w:r>
      <w:r w:rsidR="0024029D">
        <w:rPr>
          <w:rFonts w:ascii="Arial" w:hAnsi="Arial" w:cs="Arial"/>
          <w:sz w:val="22"/>
          <w:szCs w:val="22"/>
        </w:rPr>
        <w:t xml:space="preserve"> </w:t>
      </w:r>
      <w:r w:rsidRPr="009F7BFC">
        <w:rPr>
          <w:rFonts w:ascii="Arial" w:hAnsi="Arial" w:cs="Arial"/>
          <w:sz w:val="22"/>
          <w:szCs w:val="22"/>
        </w:rPr>
        <w:t xml:space="preserve">sa odsek 1 dopĺňa písmenom c), ktoré znie: </w:t>
      </w:r>
    </w:p>
    <w:p w:rsidR="00DD5ADF" w:rsidRPr="009F7BFC" w:rsidP="0046729B">
      <w:pPr>
        <w:spacing w:before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„c) odplatu za zhodnotenie majet</w:t>
      </w:r>
      <w:r w:rsidRPr="009F7BFC">
        <w:rPr>
          <w:rFonts w:ascii="Arial" w:hAnsi="Arial" w:cs="Arial"/>
          <w:sz w:val="22"/>
          <w:szCs w:val="22"/>
        </w:rPr>
        <w:t>ku v dôchodkovom fonde.“.</w:t>
      </w:r>
    </w:p>
    <w:p w:rsidR="00DD5ADF" w:rsidRPr="009F7BFC" w:rsidP="0046729B">
      <w:pPr>
        <w:numPr>
          <w:ilvl w:val="0"/>
          <w:numId w:val="1"/>
        </w:numPr>
        <w:tabs>
          <w:tab w:val="left" w:pos="360"/>
          <w:tab w:val="clear" w:pos="720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V § 63 ods. 2 prvej vete sa slová „0,065 %“</w:t>
      </w:r>
      <w:r>
        <w:rPr>
          <w:rFonts w:ascii="Arial" w:hAnsi="Arial" w:cs="Arial"/>
          <w:sz w:val="22"/>
          <w:szCs w:val="22"/>
        </w:rPr>
        <w:t xml:space="preserve"> nahrádzajú slovami „0,025</w:t>
      </w:r>
      <w:r w:rsidRPr="009F7BFC">
        <w:rPr>
          <w:rFonts w:ascii="Arial" w:hAnsi="Arial" w:cs="Arial"/>
          <w:sz w:val="22"/>
          <w:szCs w:val="22"/>
        </w:rPr>
        <w:t xml:space="preserve"> %“ a vypúšťa sa druhá veta.</w:t>
      </w:r>
    </w:p>
    <w:p w:rsidR="00DD5ADF" w:rsidRPr="009F7BFC" w:rsidP="0046729B">
      <w:pPr>
        <w:numPr>
          <w:ilvl w:val="0"/>
          <w:numId w:val="1"/>
        </w:numPr>
        <w:tabs>
          <w:tab w:val="left" w:pos="360"/>
          <w:tab w:val="clear" w:pos="720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V § 63 ods. 5 sa za slová „písm. a)“ vkladajú slová „a c)“.</w:t>
      </w:r>
    </w:p>
    <w:p w:rsidR="00DD5ADF" w:rsidRPr="009F7BFC" w:rsidP="0046729B">
      <w:pPr>
        <w:numPr>
          <w:ilvl w:val="0"/>
          <w:numId w:val="1"/>
        </w:numPr>
        <w:tabs>
          <w:tab w:val="left" w:pos="360"/>
          <w:tab w:val="clear" w:pos="720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§ 63 sa dopĺňa odsekmi 9 až 13, ktoré znejú:</w:t>
      </w:r>
    </w:p>
    <w:p w:rsidR="00DD5ADF" w:rsidRPr="009F7BFC" w:rsidP="0046729B">
      <w:pPr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ab/>
      </w:r>
      <w:r w:rsidRPr="009F7BFC">
        <w:rPr>
          <w:rFonts w:ascii="Arial" w:hAnsi="Arial" w:cs="Arial"/>
          <w:sz w:val="22"/>
          <w:szCs w:val="22"/>
        </w:rPr>
        <w:t xml:space="preserve">„(9) Odplata dôchodkovej správcovskej spoločnosti podľa odseku 1 písm. c) za jeden mesiac správy dôchodkového fondu určená v štatúte dôchodkového fondu nesmie presiahnuť 5,6 % z jednej šestiny zhodnotenia majetku v dôchodkovom fonde za sledované obdobie.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(10) Sledovaným obdobím  sa na účely tohto zákona rozumie posledných </w:t>
      </w:r>
      <w:r w:rsidR="00425BA1">
        <w:rPr>
          <w:rFonts w:ascii="Arial" w:hAnsi="Arial" w:cs="Arial"/>
          <w:sz w:val="22"/>
          <w:szCs w:val="22"/>
        </w:rPr>
        <w:t>šesť</w:t>
      </w:r>
      <w:r w:rsidRPr="009F7BFC">
        <w:rPr>
          <w:rFonts w:ascii="Arial" w:hAnsi="Arial" w:cs="Arial"/>
          <w:sz w:val="22"/>
          <w:szCs w:val="22"/>
        </w:rPr>
        <w:t xml:space="preserve"> po sebe nasledujúcich kalendárnych mesiacov.</w:t>
      </w:r>
      <w:r w:rsidR="00425BA1">
        <w:rPr>
          <w:rFonts w:ascii="Arial" w:hAnsi="Arial" w:cs="Arial"/>
          <w:sz w:val="22"/>
          <w:szCs w:val="22"/>
        </w:rPr>
        <w:t xml:space="preserve"> Prvé sledované obdobie začína plynúť 1. júla 2009.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(11) Na účely výpočtu výšky odplaty dôchodkovej správcovskej spoločnosti podľa odseku 1 písm. c) sa zhodnotením majetku v dôchodkovom fonde podľa odseku 9 rozumie súčin pomeru aritmetického priemeru aktuálnych hodnôt dôchodkových jednotiek za posledný kalendárny mesiac sledovaného obdobia a aritmetického priemeru aktuálnych hodnôt dôchodkových jednotiek za prvý kalendárny mesiac sledovaného obdobia zníženého o hodnotu </w:t>
      </w:r>
      <w:smartTag w:uri="urn:schemas-microsoft-com:office:smarttags" w:element="metricconverter">
        <w:smartTagPr>
          <w:attr w:name="ProductID" w:val="1ﾠa"/>
        </w:smartTagPr>
        <w:r w:rsidRPr="009F7BFC">
          <w:rPr>
            <w:rFonts w:ascii="Arial" w:hAnsi="Arial" w:cs="Arial"/>
            <w:sz w:val="22"/>
            <w:szCs w:val="22"/>
          </w:rPr>
          <w:t>1 a</w:t>
        </w:r>
      </w:smartTag>
      <w:r w:rsidRPr="009F7BFC">
        <w:rPr>
          <w:rFonts w:ascii="Arial" w:hAnsi="Arial" w:cs="Arial"/>
          <w:sz w:val="22"/>
          <w:szCs w:val="22"/>
        </w:rPr>
        <w:t xml:space="preserve"> priemernej čistej hodnoty majetku v dôchodkovom fonde za sledované obdobie.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(12) Odplata podľa odseku 1 písm. c) sa dôchodkovej správcovskej spoločnosti vypláca z garančného účtu dôchodkového fondu. Dôchodková správcovská spoločnosť odpíše z garančného účtu dôchodkového fondu počet dôchodkových jednotiek, ktorý zodpovedá podielu hodnoty podľa odseku 9  a aktuálnej hodnoty dôchodkovej jednotky.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  <w:highlight w:val="yellow"/>
        </w:rPr>
      </w:pPr>
      <w:r w:rsidRPr="009F7BFC">
        <w:rPr>
          <w:rFonts w:ascii="Arial" w:hAnsi="Arial" w:cs="Arial"/>
          <w:sz w:val="22"/>
          <w:szCs w:val="22"/>
        </w:rPr>
        <w:t>(13) Ak výsledok výpočtu podľa odseku 11 je záporný, odplata dôchodkovej správcovskej spoločnosti podľa odseku 1 písm. c) nepatrí a dôchodková správcovská spoločnosť postupuje podľa § 63c.“.</w:t>
      </w:r>
      <w:r w:rsidRPr="009F7BFC">
        <w:rPr>
          <w:rFonts w:ascii="Arial" w:hAnsi="Arial" w:cs="Arial"/>
          <w:sz w:val="22"/>
          <w:szCs w:val="22"/>
        </w:rPr>
        <w:t xml:space="preserve"> </w:t>
      </w:r>
    </w:p>
    <w:p w:rsidR="00DD5ADF" w:rsidRPr="009F7BFC" w:rsidP="0046729B">
      <w:pPr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6.   Za § 63a sa vkladajú § 63b a 63c, ktoré znejú:</w:t>
      </w:r>
    </w:p>
    <w:p w:rsidR="006A0E2E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D5ADF" w:rsidRPr="009F7BFC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„§ 63b</w:t>
      </w:r>
    </w:p>
    <w:p w:rsidR="00625B25" w:rsidRPr="006A0E2E" w:rsidP="006A0E2E">
      <w:pPr>
        <w:spacing w:before="120" w:line="360" w:lineRule="auto"/>
        <w:ind w:left="360" w:firstLine="348"/>
        <w:jc w:val="both"/>
        <w:rPr>
          <w:rFonts w:ascii="Times New Roman" w:hAnsi="Times New Roman" w:cs="Times New Roman"/>
        </w:rPr>
      </w:pPr>
      <w:r w:rsidRPr="009F7BFC" w:rsidR="00DD5ADF">
        <w:rPr>
          <w:rFonts w:ascii="Arial" w:hAnsi="Arial" w:cs="Arial"/>
          <w:sz w:val="22"/>
          <w:szCs w:val="22"/>
        </w:rPr>
        <w:t>Na garančný účet dôchodkového fondu sa v prvý pracovný deň kalendárneho mesiaca uhradí suma poplatku na garančný účet dôchodkového fondu (ďalej len „poplatok“) vypočítaná podľa prílohy č. 3 k poslednému dňu predchádzajúceho kalendárneho mesiaca.</w:t>
      </w:r>
    </w:p>
    <w:p w:rsidR="006A0E2E" w:rsidP="0046729B">
      <w:pPr>
        <w:spacing w:before="120"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:rsidR="006A0E2E" w:rsidP="0046729B">
      <w:pPr>
        <w:spacing w:before="120"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</w:p>
    <w:p w:rsidR="00DD5ADF" w:rsidRPr="009F7BFC" w:rsidP="0046729B">
      <w:pPr>
        <w:spacing w:before="120" w:line="360" w:lineRule="auto"/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§ 63c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(1) Dôchodková správcovská spoločnosť je povinná zvýšiť aktuálnu hodnotu dôchodkovej jednotky vypočítanú podľa § 75 ods. 5 k poslednému dňu sledovaného obdobia spôsobom podľa odsekov </w:t>
      </w:r>
      <w:smartTag w:uri="urn:schemas-microsoft-com:office:smarttags" w:element="metricconverter">
        <w:smartTagPr>
          <w:attr w:name="ProductID" w:val="2 a"/>
        </w:smartTagPr>
        <w:r w:rsidRPr="009F7BFC">
          <w:rPr>
            <w:rFonts w:ascii="Arial" w:hAnsi="Arial" w:cs="Arial"/>
            <w:sz w:val="22"/>
            <w:szCs w:val="22"/>
          </w:rPr>
          <w:t>2 a</w:t>
        </w:r>
      </w:smartTag>
      <w:r w:rsidRPr="009F7BFC">
        <w:rPr>
          <w:rFonts w:ascii="Arial" w:hAnsi="Arial" w:cs="Arial"/>
          <w:sz w:val="22"/>
          <w:szCs w:val="22"/>
        </w:rPr>
        <w:t xml:space="preserve"> 3.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(2) Ak je aktuálna hodnota garančného účtu dôchodkového fondu vyjadrená v peniazoch vyššia alebo rovná absolútnej hodnote sumy určenej podľa § 63 ods. 11, dôchodková správcovská spoločnosť odpíše z garančného účtu dôchodkového fondu počet dôchodkových jednotiek, ktorý zodpovedá podielu absolútnej hodnoty sumy určenej podľa § 63 ods. 11 a aktuálnej hodnoty dôchodkovej jednotky podľa § 75 ods. 5.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(3) Ak je aktuálna hodnota garančného účtu dôchodkového fondu vyjadrená v peniazoch nižšia ako absolútna hodnota sumy určenej podľa § 63 ods. 11, dôchodková správcovská spoločnosť odpíše z garančného účtu dôchodkového fondu všetky dôchodkové jednotky a  do majetku v dôchodkovom fonde doplní z vlastného majetku rozdiel absolútnej hodnoty sumy určenej podľa § 63 ods. 11 a aktuálnej hodnoty garančného účtu dôchodkového fondu vyjadrenej v peniazoch.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(4) Čistá hodnota majetku v dôchodkovom fonde platná k poslednému dňu sledovaného obdobia je čistá hodnota majetku upravená podľa odseku 3. Aktuálna hodnota dôchodkovej jednotky platná k poslednému dňu sledovaného obdobia sa určí ako podiel čistej hodnoty majetku v dôchodkovom fonde upravenej podľa odsekov 2 a 3 a počtu dôchodkových jednotiek upravených podľa odsekov 2 a 3.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(5) Ak dôchodková správcovská spoločnosť zvýšila aktuálnu hodnotu dôchodkovej jednotky postupom podľa odsekov 1 až 4, nepostupuje v sledovanom období opätovne podľa § 63 ods. </w:t>
      </w:r>
      <w:smartTag w:uri="urn:schemas-microsoft-com:office:smarttags" w:element="metricconverter">
        <w:smartTagPr>
          <w:attr w:name="ProductID" w:val="11 a"/>
        </w:smartTagPr>
        <w:r w:rsidRPr="009F7BFC">
          <w:rPr>
            <w:rFonts w:ascii="Arial" w:hAnsi="Arial" w:cs="Arial"/>
            <w:sz w:val="22"/>
            <w:szCs w:val="22"/>
          </w:rPr>
          <w:t>11</w:t>
        </w:r>
        <w:r w:rsidRPr="009F7BFC">
          <w:rPr>
            <w:rFonts w:ascii="Arial" w:hAnsi="Arial" w:cs="Arial"/>
            <w:sz w:val="22"/>
            <w:szCs w:val="22"/>
          </w:rPr>
          <w:t xml:space="preserve"> a</w:t>
        </w:r>
      </w:smartTag>
      <w:r w:rsidRPr="009F7BFC">
        <w:rPr>
          <w:rFonts w:ascii="Arial" w:hAnsi="Arial" w:cs="Arial"/>
          <w:sz w:val="22"/>
          <w:szCs w:val="22"/>
        </w:rPr>
        <w:t xml:space="preserve"> 13. </w:t>
      </w:r>
    </w:p>
    <w:p w:rsidR="00DD5ADF" w:rsidRPr="009F7BFC" w:rsidP="0046729B">
      <w:pPr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7. V § 72 ods. 1 sa slová „príspevky a penále“ nahrádzajú slovami „príspevky, penále a majetok doplnený podľa § 63c ods. 3“.</w:t>
      </w:r>
    </w:p>
    <w:p w:rsidR="00DD5ADF" w:rsidRPr="009F7BFC" w:rsidP="0046729B">
      <w:pPr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8. V § 74 odsek 1 tretia veta znie: „Majetok v dôchodkovom fonde tvoria podiely sporiteľov na tomto majetku a podiel garančného účtu dôchodkového fondu na tomto majetku, pričom podiel sporiteľa na tomto majetku je vyjadrený pomerom dôchodkových jednotiek na osobnom dôchodkov</w:t>
      </w:r>
      <w:r>
        <w:rPr>
          <w:rFonts w:ascii="Arial" w:hAnsi="Arial" w:cs="Arial"/>
          <w:sz w:val="22"/>
          <w:szCs w:val="22"/>
        </w:rPr>
        <w:t>o</w:t>
      </w:r>
      <w:r w:rsidRPr="009F7BFC">
        <w:rPr>
          <w:rFonts w:ascii="Arial" w:hAnsi="Arial" w:cs="Arial"/>
          <w:sz w:val="22"/>
          <w:szCs w:val="22"/>
        </w:rPr>
        <w:t>m účte sporiteľa ku všetkým dôchodkovým jednotkám tohto dôchodkového fondu.“.</w:t>
      </w:r>
    </w:p>
    <w:p w:rsidR="00DD5ADF" w:rsidRPr="009F7BFC" w:rsidP="0046729B">
      <w:pPr>
        <w:spacing w:before="12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9. </w:t>
      </w:r>
      <w:r w:rsidR="00A15503">
        <w:rPr>
          <w:rFonts w:ascii="Arial" w:hAnsi="Arial" w:cs="Arial"/>
          <w:sz w:val="22"/>
          <w:szCs w:val="22"/>
        </w:rPr>
        <w:t xml:space="preserve"> </w:t>
      </w:r>
      <w:r w:rsidRPr="009F7BFC">
        <w:rPr>
          <w:rFonts w:ascii="Arial" w:hAnsi="Arial" w:cs="Arial"/>
          <w:sz w:val="22"/>
          <w:szCs w:val="22"/>
        </w:rPr>
        <w:t xml:space="preserve">V § 75 ods. 5 sa za slová „dôchodkového fondu“ vkladajú slová „a na garančnom účte dôchodkového fondu“. </w:t>
      </w:r>
    </w:p>
    <w:p w:rsidR="00DD5ADF" w:rsidRPr="009F7BFC" w:rsidP="0046729B">
      <w:pPr>
        <w:numPr>
          <w:ilvl w:val="0"/>
          <w:numId w:val="2"/>
        </w:numPr>
        <w:tabs>
          <w:tab w:val="left" w:pos="540"/>
          <w:tab w:val="clear" w:pos="720"/>
        </w:tabs>
        <w:spacing w:before="120"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V § 77 ods. 4 sa za písmeno f) vkladajú nové písmená g) a h), ktoré znejú: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     „g) výšku odplaty za zhodnotenie majetku v dôchodkovom fonde,</w:t>
      </w:r>
    </w:p>
    <w:p w:rsidR="00DD5ADF" w:rsidRPr="009F7BFC" w:rsidP="0046729B">
      <w:pPr>
        <w:spacing w:before="120"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      h) referenčnú hodnotu konzervatívneho dôchodkového fondu podľa § 91 a zloženie referenčnej hodnoty dôchodkových fondov podľa § 91a. “.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9F7BFC">
        <w:rPr>
          <w:rFonts w:ascii="Arial" w:hAnsi="Arial" w:cs="Arial"/>
          <w:sz w:val="22"/>
          <w:szCs w:val="22"/>
        </w:rPr>
        <w:t xml:space="preserve">Doterajšie písmená g) a h) sa označujú ako písmená i) a j).  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11. § 91 vrátane nadpisu znie: </w:t>
      </w:r>
    </w:p>
    <w:p w:rsidR="00DD5ADF" w:rsidRPr="009F7BFC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„§ 91</w:t>
      </w:r>
    </w:p>
    <w:p w:rsidR="00DD5ADF" w:rsidRPr="009F7BFC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Porovnávanie výkonnosti konzervatívneho dôchodkového fondu s referenčnou hodnotou hodnoty konzervatívneho dôchodkového fondu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(1) Dôchodková správcovská spoločnosť je povinná porovnávať výkonnosť ňou spravovaného konzervatívneho dôchodkového fondu s  referenčnou hodnotou  konzervatívneho dôch</w:t>
      </w:r>
      <w:r w:rsidRPr="009F7BFC">
        <w:rPr>
          <w:rFonts w:ascii="Arial" w:hAnsi="Arial" w:cs="Arial"/>
          <w:sz w:val="22"/>
          <w:szCs w:val="22"/>
        </w:rPr>
        <w:t xml:space="preserve">odkového fondu.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(2) Dôchodková správcovská spoločnosť je povinná dosahovať výkonnosť v konzervatívnom dôchodkovom fonde najmenej na úrovni referenčnej hodnoty konzervatívneho dôchodkového fondu.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(3) Nesplnenie povinnosti podľa odsekov 1 a 2 je dôchodková správcovská spoločnosť bez zbytočného odkladu povinná oznámiť Národnej banke Slovenska.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(4) Národná banka Slovenska môže uložiť dôchodkovej správcovskej spoločnosti za porušenie povinnosti podľa odseku 2 okrem sankcií podľa § 115 ods. 1 aj povinnosť doplniť do konzervatívneho dôchodkového fondu majetok v takej výške, aby výkonnosť konzervatívneho dôchodkového fondu bola na úrovni podľa odseku 2.</w:t>
      </w:r>
    </w:p>
    <w:p w:rsidR="00BF19DF" w:rsidP="006A0E2E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 w:rsidR="00DD5ADF">
        <w:rPr>
          <w:rFonts w:ascii="Arial" w:hAnsi="Arial" w:cs="Arial"/>
          <w:sz w:val="22"/>
          <w:szCs w:val="22"/>
        </w:rPr>
        <w:t>(5) Národná banka Slovenska ustanoví všeobecne záväzným právnym predpisom čo sa rozumie výkonnosťou konzervatívneho dôchodkového fondu, referenčnou hodnotou konzervatívneho dôchodkového fondu, postup ich výpočtu, obdobie a periodicitu porovnávania výkonnosti konzervatívneho dôchodkového fondu s  referenčnou hodnotou konzervatívneho dôchodkového fondu, zloženie referenčnej hodnoty konzervatívneho dôchodkového fondu a ďalšie podrobnosti o vykonávaní porovnávania výkonnosti konzervatívneho dôchodkového fondu s   referenčnou hodnotou konzervatívneho dôchodkového fondu.“.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12. Za § 91 sa vkladá § 91a, ktorý vrátane nadpisu</w:t>
      </w:r>
      <w:r w:rsidRPr="009F7BFC">
        <w:rPr>
          <w:rFonts w:ascii="Arial" w:hAnsi="Arial" w:cs="Arial"/>
          <w:sz w:val="22"/>
          <w:szCs w:val="22"/>
        </w:rPr>
        <w:t xml:space="preserve"> znie:</w:t>
      </w:r>
    </w:p>
    <w:p w:rsidR="00DD5ADF" w:rsidRPr="009F7BFC" w:rsidP="00BF19DF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„§ 91a</w:t>
      </w:r>
    </w:p>
    <w:p w:rsidR="00DD5ADF" w:rsidRPr="009F7BFC" w:rsidP="00BF19DF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Porovnávanie zloženia majetku vo vyváženom dôchodkovom fonde so zložením referenčnej hodnoty vyváženého dôchodkového fondu a porovnávanie zloženia majetku v rastovom dôchodkovom fonde so zložením referenčnej hodnoty rastového dôchodkového fondu</w:t>
      </w:r>
    </w:p>
    <w:p w:rsidR="00BF19DF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(1) Dôchodková správcovská spoločnosť je povinná porovnávať zloženie majetku ňou spravovaného vyváženého dôchodkového  fondu so zložením referenčnej hodnoty vyváženého dôchodkového fondu  a porovnávať  zloženie majetku ňou spravovaného rastového dôchodkového fondu so zložením referenčnej hodnoty rastového dôchodkového fondu.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(2) Dôchodková správcovská spoločnosť určí v štatúte dôchodkového fondu zloženie referenčnej hodnoty vyváženého dôchodkového fondu a zloženie referenčnej hodnoty rastového dôchodkového fondu. Zloženie referenčnej hodnoty vyváženého dôchodkového fondu a zloženie referenčnej hodnoty rastového dôchodkového fondu môže dôchodková správcovská spoločnosť zmeniť najskôr po uplynutí 60 kalendárnych mesiacov odo dňa nadobudnutia účinnosti jeho posledného určenia v štatúte; to neplatí ak Národná banka Slovenska udelí dôchodkovej správcovskej spoločnosti predchádzajúci súhlas na zmenu štatútu dôchodkového fondu týkajúcu sa zmeny zloženia referenčnej hodnoty pred uplynutím tejto lehoty.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(3) Zloženie majetku vo vyváženom d</w:t>
      </w:r>
      <w:r>
        <w:rPr>
          <w:rFonts w:ascii="Arial" w:hAnsi="Arial" w:cs="Arial"/>
          <w:sz w:val="22"/>
          <w:szCs w:val="22"/>
        </w:rPr>
        <w:t>ô</w:t>
      </w:r>
      <w:r w:rsidRPr="009F7BFC">
        <w:rPr>
          <w:rFonts w:ascii="Arial" w:hAnsi="Arial" w:cs="Arial"/>
          <w:sz w:val="22"/>
          <w:szCs w:val="22"/>
        </w:rPr>
        <w:t xml:space="preserve">chodkovom fonde a v rastovom dôchodkovom fonde sa môže odchýliť od zloženia ich referenčnej hodnoty len v rozsahu ustanovenom vo všeobecne záväznom právnom predpise, ktorý vydá Národná banka Slovenska.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(4) Národná banka Slovenska ustanoví všeobecne záväzným právnym predpisom čo sa rozumie referenčnou hodnotou vyváženého dôchodkového fondu a pravidlá pre jej zloženie, čo sa rozumie referenčnou hodnotou rastového dôchodkového fondu a pravidlá pre jej zloženie, obdobie a periodicitu porovnávania zloženia majet</w:t>
      </w:r>
      <w:r>
        <w:rPr>
          <w:rFonts w:ascii="Arial" w:hAnsi="Arial" w:cs="Arial"/>
          <w:sz w:val="22"/>
          <w:szCs w:val="22"/>
        </w:rPr>
        <w:t>k</w:t>
      </w:r>
      <w:r w:rsidRPr="009F7BFC">
        <w:rPr>
          <w:rFonts w:ascii="Arial" w:hAnsi="Arial" w:cs="Arial"/>
          <w:sz w:val="22"/>
          <w:szCs w:val="22"/>
        </w:rPr>
        <w:t>u vo vyváženom dôchodkovom fonde a v rastovom dôchodkovom fonde so zložením ich  referenčnej hodnoty a ďalšie podrobnosti o vykonávaní porovnávania zloženia majet</w:t>
      </w:r>
      <w:r>
        <w:rPr>
          <w:rFonts w:ascii="Arial" w:hAnsi="Arial" w:cs="Arial"/>
          <w:sz w:val="22"/>
          <w:szCs w:val="22"/>
        </w:rPr>
        <w:t>k</w:t>
      </w:r>
      <w:r w:rsidRPr="009F7BFC">
        <w:rPr>
          <w:rFonts w:ascii="Arial" w:hAnsi="Arial" w:cs="Arial"/>
          <w:sz w:val="22"/>
          <w:szCs w:val="22"/>
        </w:rPr>
        <w:t>u vo vyváženom dôchodkovom fonde a v rastovom dôchodkovom fonde.“.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13. Za § 98 sa vkladá § 98a, ktorý vrátane nadpisu znie:</w:t>
      </w:r>
    </w:p>
    <w:p w:rsidR="00DD5ADF" w:rsidRPr="009F7BFC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„§ 98a</w:t>
      </w:r>
    </w:p>
    <w:p w:rsidR="00DD5ADF" w:rsidRPr="009F7BFC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Garančný účet dôchodkového fondu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(1) Dôchodková správcovská spoločnosť zriadi a vedie v každom ňou spravovanom dôchodkovom fonde garančný účet dôchodkového fondu. Na garančnom účte dôchodkového fondu sa evidujú dôchodkové jednotky oddelene od osobných dôchodkových účtov sporiteľov.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(2) Na garančnom účte dôchodkového fondu podľa odseku 1 sa eviduje taký počet dôchodkových jednotiek, ktorý zodpovedá podielu aktuálneho zostatku poplatkov podľa        § 63b vyjadreného v peniazoch a aktuálnej hodnoty dôchodkovej jednotky.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(3) Majetok uložený na garančnom účte dôchodkového fondu môže dôchodková správcovská spoločnosť použiť na</w:t>
      </w:r>
    </w:p>
    <w:p w:rsidR="00DD5ADF" w:rsidRPr="009F7BFC" w:rsidP="0046729B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a) úhradu odplaty podľa § 63 ods. 1 písm. c), </w:t>
      </w:r>
    </w:p>
    <w:p w:rsidR="00DD5ADF" w:rsidRPr="009F7BFC" w:rsidP="0046729B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b) zvýšenie aktuálnej hodnoty dôchodkovej jednotky podľa § 63c. 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</w:t>
      </w:r>
      <w:r w:rsidRPr="009F7BFC">
        <w:rPr>
          <w:rFonts w:ascii="Arial" w:hAnsi="Arial" w:cs="Arial"/>
          <w:sz w:val="22"/>
          <w:szCs w:val="22"/>
        </w:rPr>
        <w:t xml:space="preserve">(4) Na garančný účet dôchodkového fondu podľa odseku 1 sa primerane použije </w:t>
      </w:r>
      <w:r>
        <w:rPr>
          <w:rFonts w:ascii="Arial" w:hAnsi="Arial" w:cs="Arial"/>
          <w:sz w:val="22"/>
          <w:szCs w:val="22"/>
        </w:rPr>
        <w:t xml:space="preserve">      </w:t>
      </w:r>
      <w:r w:rsidRPr="009F7BFC">
        <w:rPr>
          <w:rFonts w:ascii="Arial" w:hAnsi="Arial" w:cs="Arial"/>
          <w:sz w:val="22"/>
          <w:szCs w:val="22"/>
        </w:rPr>
        <w:t>§ 94 ods. 3 a 4.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(5) Pri zlúčení dôchodkových fondov dôchodková správcovská spoločnosť skončí vedenie garančného účtu dôchodkového fondu. Preberajúca dôchodková správcovská spoločnosť bezodplatne pripíše na garančný účet preberajúcej dôchodkovej správcovskej spoločnosti v príslušnom dôchodkovom fonde počet dôchodkových jednotiek, ktorý zodpovedá podielu zostatku na garančnom účte dôchodkového fondu dôchodkovej správcovskej spoločnosti, z ktorej prechádza správa, a aktuálnej hodnoty dôchodkovej jednotky preberajúceho dôchodkového fondu.</w:t>
      </w:r>
    </w:p>
    <w:p w:rsidR="00DD5ADF" w:rsidRPr="009F7BFC" w:rsidP="0046729B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(6) S dôchodkovými jednotkami evidovanými na garančnom účte dôchodkového fondu nemožno nakladať inak ako spôsobom podľa tohto zákona.“.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14. V § 105 ods. 2 sa na konci pripájajú tieto slová: „a c)“.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15. V § 107 sa odsek 1 dopĺňa písmenom i), ktoré znie: </w:t>
      </w:r>
    </w:p>
    <w:p w:rsidR="00DD5ADF" w:rsidRPr="009F7BFC" w:rsidP="0046729B">
      <w:pPr>
        <w:spacing w:before="120"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     „i) referenčnú hodnotu konzervatívneho dôchodkového fondu podľa § 91 a zloženie referenčnej hodnoty dôchodkových fondov podľa § 91a.“.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16. V § 107 ods. 3 sa za písmeno f) vkladá nové písmeno g), ktoré znie: </w:t>
      </w:r>
    </w:p>
    <w:p w:rsidR="00DD5ADF" w:rsidRPr="009F7BFC" w:rsidP="0046729B">
      <w:pPr>
        <w:spacing w:before="120" w:line="360" w:lineRule="auto"/>
        <w:ind w:left="900" w:hanging="900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      „g) vyhodnotenie porovnania výkonnosti konzervatívneho </w:t>
      </w:r>
      <w:r w:rsidRPr="009F7BFC">
        <w:rPr>
          <w:rFonts w:ascii="Arial" w:hAnsi="Arial" w:cs="Arial"/>
          <w:sz w:val="22"/>
          <w:szCs w:val="22"/>
        </w:rPr>
        <w:t>dôchodkového fondu</w:t>
      </w:r>
      <w:r w:rsidRPr="009F7BFC">
        <w:rPr>
          <w:rFonts w:ascii="Arial" w:hAnsi="Arial" w:cs="Arial"/>
          <w:sz w:val="22"/>
          <w:szCs w:val="22"/>
        </w:rPr>
        <w:t xml:space="preserve"> s  referenčnou hodnotou konzervatívneho dôchodkového fondu a vyhodnotenie porovnania zloženia majetku vo vyváženom dôchodkovom fonde a zloženia majetku v rastovom dôchodkovom fonde so zložením ich referenčnej hodnoty.“. </w:t>
      </w:r>
    </w:p>
    <w:p w:rsidR="00BF19DF" w:rsidRPr="006A0E2E" w:rsidP="006A0E2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 w:rsidR="00DD5ADF">
        <w:rPr>
          <w:rFonts w:ascii="Arial" w:hAnsi="Arial" w:cs="Arial"/>
          <w:sz w:val="22"/>
          <w:szCs w:val="22"/>
        </w:rPr>
        <w:t xml:space="preserve">       Doterajšie písmeno g) sa označuje ako písmeno h).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17.  Za prílohu č. 2 sa </w:t>
      </w:r>
      <w:r w:rsidR="006A0E2E">
        <w:rPr>
          <w:rFonts w:ascii="Arial" w:hAnsi="Arial" w:cs="Arial"/>
          <w:sz w:val="22"/>
          <w:szCs w:val="22"/>
        </w:rPr>
        <w:t>vkladá príloha č. 3, ktorá znie</w:t>
      </w:r>
      <w:r w:rsidRPr="009F7BFC">
        <w:rPr>
          <w:rFonts w:ascii="Arial" w:hAnsi="Arial" w:cs="Arial"/>
          <w:sz w:val="22"/>
          <w:szCs w:val="22"/>
        </w:rPr>
        <w:t>:</w:t>
      </w:r>
    </w:p>
    <w:p w:rsidR="00DD5ADF" w:rsidRPr="009F7BFC" w:rsidP="00BF19DF">
      <w:pPr>
        <w:ind w:left="6373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>Príloha č. 3</w:t>
      </w:r>
    </w:p>
    <w:p w:rsidR="00DD5ADF" w:rsidRPr="009F7BFC" w:rsidP="00BF19DF">
      <w:pPr>
        <w:ind w:left="6373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 xml:space="preserve">k zákonu č. 43/2004 Z. z. </w:t>
      </w:r>
    </w:p>
    <w:p w:rsidR="00DD5ADF" w:rsidRPr="009F7BFC" w:rsidP="0046729B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</w:p>
    <w:p w:rsidR="00DD5ADF" w:rsidRPr="009F7BFC" w:rsidP="0046729B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F7BFC">
        <w:rPr>
          <w:rFonts w:ascii="Arial" w:hAnsi="Arial" w:cs="Arial"/>
          <w:b/>
          <w:sz w:val="22"/>
          <w:szCs w:val="22"/>
        </w:rPr>
        <w:t xml:space="preserve">POSTUP PRI VÝPOČTE POPLATKU 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Pri výpočte poplatku podľa § 63b sa použijú tieto veličiny, funkcie a ich označenia: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p = poplatok do garančného účtu dôchodkového fondu,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ČKH(t) = čistá kumulatívna hodnota v deň , ku ktorému sa uskutočňuje výpočet,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ČKH(t - 1) = čistá kumulatívna hodnota v deň bezprostredne predchádzajúci dňu, ku ktorému sa uskutočňuje výpočet,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ČKH(0) = čistá kumulatívna hodnota dňa 1. </w:t>
      </w:r>
      <w:r w:rsidR="00425BA1">
        <w:rPr>
          <w:rFonts w:ascii="Arial" w:hAnsi="Arial" w:cs="Arial"/>
          <w:sz w:val="22"/>
          <w:szCs w:val="22"/>
        </w:rPr>
        <w:t>júla</w:t>
      </w:r>
      <w:r w:rsidRPr="009F7BFC">
        <w:rPr>
          <w:rFonts w:ascii="Arial" w:hAnsi="Arial" w:cs="Arial"/>
          <w:sz w:val="22"/>
          <w:szCs w:val="22"/>
        </w:rPr>
        <w:t xml:space="preserve"> 200</w:t>
      </w:r>
      <w:r w:rsidR="00425BA1">
        <w:rPr>
          <w:rFonts w:ascii="Arial" w:hAnsi="Arial" w:cs="Arial"/>
          <w:sz w:val="22"/>
          <w:szCs w:val="22"/>
        </w:rPr>
        <w:t>9</w:t>
      </w:r>
      <w:r w:rsidRPr="009F7BFC">
        <w:rPr>
          <w:rFonts w:ascii="Arial" w:hAnsi="Arial" w:cs="Arial"/>
          <w:sz w:val="22"/>
          <w:szCs w:val="22"/>
        </w:rPr>
        <w:t xml:space="preserve"> vyjadrená v eurách,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CF(t) = čistý tok príspevkov do dôchodkového fondu,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M(t) = maximálna čistá kumulatívna hodnota v dôchodkovom fonde od 1. </w:t>
      </w:r>
      <w:r w:rsidR="00425BA1">
        <w:rPr>
          <w:rFonts w:ascii="Arial" w:hAnsi="Arial" w:cs="Arial"/>
          <w:sz w:val="22"/>
          <w:szCs w:val="22"/>
        </w:rPr>
        <w:t>júla</w:t>
      </w:r>
      <w:r w:rsidRPr="009F7BFC">
        <w:rPr>
          <w:rFonts w:ascii="Arial" w:hAnsi="Arial" w:cs="Arial"/>
          <w:sz w:val="22"/>
          <w:szCs w:val="22"/>
        </w:rPr>
        <w:t xml:space="preserve"> 200</w:t>
      </w:r>
      <w:r w:rsidR="00425BA1">
        <w:rPr>
          <w:rFonts w:ascii="Arial" w:hAnsi="Arial" w:cs="Arial"/>
          <w:sz w:val="22"/>
          <w:szCs w:val="22"/>
        </w:rPr>
        <w:t>9</w:t>
      </w:r>
      <w:r w:rsidRPr="009F7BFC">
        <w:rPr>
          <w:rFonts w:ascii="Arial" w:hAnsi="Arial" w:cs="Arial"/>
          <w:sz w:val="22"/>
          <w:szCs w:val="22"/>
        </w:rPr>
        <w:t>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M(t - 1) = maximálna čistá kumulatívna hodnota v dôchodkovom fonde v posledný deň kalendárneho mesiaca, ktorý bezprostredne predchádza kalendárnemu mesiacu, v ktorom sa uskutočňuje výpočet,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M(0) = maximálna čistá kumulatívna hodnota v dôchodkovom fonde 1. </w:t>
      </w:r>
      <w:r w:rsidR="00425BA1">
        <w:rPr>
          <w:rFonts w:ascii="Arial" w:hAnsi="Arial" w:cs="Arial"/>
          <w:sz w:val="22"/>
          <w:szCs w:val="22"/>
        </w:rPr>
        <w:t>júla</w:t>
      </w:r>
      <w:r w:rsidRPr="009F7BFC">
        <w:rPr>
          <w:rFonts w:ascii="Arial" w:hAnsi="Arial" w:cs="Arial"/>
          <w:sz w:val="22"/>
          <w:szCs w:val="22"/>
        </w:rPr>
        <w:t xml:space="preserve"> 200</w:t>
      </w:r>
      <w:r w:rsidR="00425BA1">
        <w:rPr>
          <w:rFonts w:ascii="Arial" w:hAnsi="Arial" w:cs="Arial"/>
          <w:sz w:val="22"/>
          <w:szCs w:val="22"/>
        </w:rPr>
        <w:t>9</w:t>
      </w:r>
      <w:r w:rsidRPr="009F7BFC">
        <w:rPr>
          <w:rFonts w:ascii="Arial" w:hAnsi="Arial" w:cs="Arial"/>
          <w:sz w:val="22"/>
          <w:szCs w:val="22"/>
        </w:rPr>
        <w:t xml:space="preserve"> vyjadrená v eurách,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NAV(t) = čistá hodnota aktív v dôchodkovom fonde</w:t>
      </w:r>
      <w:r w:rsidR="00197C9A">
        <w:rPr>
          <w:rFonts w:ascii="Arial" w:hAnsi="Arial" w:cs="Arial"/>
          <w:sz w:val="22"/>
          <w:szCs w:val="22"/>
        </w:rPr>
        <w:t>,</w:t>
      </w:r>
      <w:r w:rsidRPr="009F7BFC">
        <w:rPr>
          <w:rFonts w:ascii="Arial" w:hAnsi="Arial" w:cs="Arial"/>
          <w:sz w:val="22"/>
          <w:szCs w:val="22"/>
        </w:rPr>
        <w:t xml:space="preserve"> v</w:t>
      </w:r>
      <w:r w:rsidR="00425BA1">
        <w:rPr>
          <w:rFonts w:ascii="Arial" w:hAnsi="Arial" w:cs="Arial"/>
          <w:sz w:val="22"/>
          <w:szCs w:val="22"/>
        </w:rPr>
        <w:t> </w:t>
      </w:r>
      <w:r w:rsidRPr="009F7BFC">
        <w:rPr>
          <w:rFonts w:ascii="Arial" w:hAnsi="Arial" w:cs="Arial"/>
          <w:sz w:val="22"/>
          <w:szCs w:val="22"/>
        </w:rPr>
        <w:t>deň</w:t>
      </w:r>
      <w:r w:rsidR="00425BA1">
        <w:rPr>
          <w:rFonts w:ascii="Arial" w:hAnsi="Arial" w:cs="Arial"/>
          <w:sz w:val="22"/>
          <w:szCs w:val="22"/>
        </w:rPr>
        <w:t xml:space="preserve"> </w:t>
      </w:r>
      <w:r w:rsidR="00197C9A">
        <w:rPr>
          <w:rFonts w:ascii="Arial" w:hAnsi="Arial" w:cs="Arial"/>
          <w:sz w:val="22"/>
          <w:szCs w:val="22"/>
        </w:rPr>
        <w:t>ku ktorému sa uskutočňuje</w:t>
      </w:r>
      <w:r w:rsidRPr="009F7BFC">
        <w:rPr>
          <w:rFonts w:ascii="Arial" w:hAnsi="Arial" w:cs="Arial"/>
          <w:sz w:val="22"/>
          <w:szCs w:val="22"/>
        </w:rPr>
        <w:t xml:space="preserve"> výpočet,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NAV(t</w:t>
      </w:r>
      <w:r w:rsidR="00197C9A">
        <w:rPr>
          <w:rFonts w:ascii="Arial" w:hAnsi="Arial" w:cs="Arial"/>
          <w:sz w:val="22"/>
          <w:szCs w:val="22"/>
        </w:rPr>
        <w:t>-1</w:t>
      </w:r>
      <w:r w:rsidRPr="009F7BFC">
        <w:rPr>
          <w:rFonts w:ascii="Arial" w:hAnsi="Arial" w:cs="Arial"/>
          <w:sz w:val="22"/>
          <w:szCs w:val="22"/>
        </w:rPr>
        <w:t>) = čistá hodnota aktív v dôchodkovom fonde v deň bezprostredne predchádzajúci dňu, ku ktorému sa uskutočňuje výpočet,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 xml:space="preserve">NAV(0) = čistá hodnota aktív v dôchodkovom fonde 1. </w:t>
      </w:r>
      <w:r w:rsidR="00425BA1">
        <w:rPr>
          <w:rFonts w:ascii="Arial" w:hAnsi="Arial" w:cs="Arial"/>
          <w:sz w:val="22"/>
          <w:szCs w:val="22"/>
        </w:rPr>
        <w:t>júla</w:t>
      </w:r>
      <w:r w:rsidRPr="009F7BFC">
        <w:rPr>
          <w:rFonts w:ascii="Arial" w:hAnsi="Arial" w:cs="Arial"/>
          <w:sz w:val="22"/>
          <w:szCs w:val="22"/>
        </w:rPr>
        <w:t xml:space="preserve"> 200</w:t>
      </w:r>
      <w:r w:rsidR="00425BA1">
        <w:rPr>
          <w:rFonts w:ascii="Arial" w:hAnsi="Arial" w:cs="Arial"/>
          <w:sz w:val="22"/>
          <w:szCs w:val="22"/>
        </w:rPr>
        <w:t>9</w:t>
      </w:r>
      <w:r w:rsidRPr="009F7BFC">
        <w:rPr>
          <w:rFonts w:ascii="Arial" w:hAnsi="Arial" w:cs="Arial"/>
          <w:sz w:val="22"/>
          <w:szCs w:val="22"/>
        </w:rPr>
        <w:t xml:space="preserve"> vyjadrená v eurách,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PDJ(t) = počet dôchodkových jednotiek v dôchodkovom fonde v deň, ku ktorému sa uskutočňuje výpočet,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PDJ(t - 1) = počet dôchodkových jednotiek v dôchodkovom fonde v posledný deň kalendárneho mesiaca, ktorý bezprostredne predchádza kalendárnemu mesiacu, v ktorom sa uskutočňuje výpočet,</w:t>
      </w:r>
    </w:p>
    <w:p w:rsidR="00DD5ADF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funkcia Max {</w:t>
      </w:r>
      <w:r w:rsidRPr="009F7BFC">
        <w:rPr>
          <w:rFonts w:ascii="Arial" w:hAnsi="Arial" w:cs="Arial"/>
          <w:b/>
          <w:i/>
          <w:sz w:val="22"/>
          <w:szCs w:val="22"/>
        </w:rPr>
        <w:t>a</w:t>
      </w:r>
      <w:r w:rsidRPr="009F7BFC">
        <w:rPr>
          <w:rFonts w:ascii="Arial" w:hAnsi="Arial" w:cs="Arial"/>
          <w:sz w:val="22"/>
          <w:szCs w:val="22"/>
        </w:rPr>
        <w:t xml:space="preserve">, </w:t>
      </w:r>
      <w:r w:rsidRPr="009F7BFC">
        <w:rPr>
          <w:rFonts w:ascii="Arial" w:hAnsi="Arial" w:cs="Arial"/>
          <w:b/>
          <w:i/>
          <w:sz w:val="22"/>
          <w:szCs w:val="22"/>
        </w:rPr>
        <w:t>b</w:t>
      </w:r>
      <w:r w:rsidRPr="009F7BFC">
        <w:rPr>
          <w:rFonts w:ascii="Arial" w:hAnsi="Arial" w:cs="Arial"/>
          <w:sz w:val="22"/>
          <w:szCs w:val="22"/>
        </w:rPr>
        <w:t xml:space="preserve">} = označenie pre väčšie z čísel </w:t>
      </w:r>
      <w:r w:rsidRPr="009F7BFC">
        <w:rPr>
          <w:rFonts w:ascii="Arial" w:hAnsi="Arial" w:cs="Arial"/>
          <w:b/>
          <w:i/>
          <w:sz w:val="22"/>
          <w:szCs w:val="22"/>
        </w:rPr>
        <w:t>a</w:t>
      </w:r>
      <w:r w:rsidRPr="009F7BFC">
        <w:rPr>
          <w:rFonts w:ascii="Arial" w:hAnsi="Arial" w:cs="Arial"/>
          <w:sz w:val="22"/>
          <w:szCs w:val="22"/>
        </w:rPr>
        <w:t xml:space="preserve"> a </w:t>
      </w:r>
      <w:r w:rsidRPr="009F7BFC">
        <w:rPr>
          <w:rFonts w:ascii="Arial" w:hAnsi="Arial" w:cs="Arial"/>
          <w:b/>
          <w:i/>
          <w:sz w:val="22"/>
          <w:szCs w:val="22"/>
        </w:rPr>
        <w:t>b</w:t>
      </w:r>
      <w:r w:rsidRPr="009F7BFC">
        <w:rPr>
          <w:rFonts w:ascii="Arial" w:hAnsi="Arial" w:cs="Arial"/>
          <w:sz w:val="22"/>
          <w:szCs w:val="22"/>
        </w:rPr>
        <w:t xml:space="preserve"> ; ak </w:t>
      </w:r>
      <w:r w:rsidRPr="009F7BFC">
        <w:rPr>
          <w:rFonts w:ascii="Arial" w:hAnsi="Arial" w:cs="Arial"/>
          <w:b/>
          <w:i/>
          <w:sz w:val="22"/>
          <w:szCs w:val="22"/>
        </w:rPr>
        <w:t>a</w:t>
      </w:r>
      <w:r w:rsidRPr="009F7BFC">
        <w:rPr>
          <w:rFonts w:ascii="Arial" w:hAnsi="Arial" w:cs="Arial"/>
          <w:sz w:val="22"/>
          <w:szCs w:val="22"/>
        </w:rPr>
        <w:t xml:space="preserve"> &gt;= </w:t>
      </w:r>
      <w:r w:rsidRPr="009F7BFC">
        <w:rPr>
          <w:rFonts w:ascii="Arial" w:hAnsi="Arial" w:cs="Arial"/>
          <w:b/>
          <w:i/>
          <w:sz w:val="22"/>
          <w:szCs w:val="22"/>
        </w:rPr>
        <w:t>b</w:t>
      </w:r>
      <w:r w:rsidRPr="009F7BFC">
        <w:rPr>
          <w:rFonts w:ascii="Arial" w:hAnsi="Arial" w:cs="Arial"/>
          <w:sz w:val="22"/>
          <w:szCs w:val="22"/>
        </w:rPr>
        <w:t>, tak Max {</w:t>
      </w:r>
      <w:r w:rsidRPr="009F7BFC">
        <w:rPr>
          <w:rFonts w:ascii="Arial" w:hAnsi="Arial" w:cs="Arial"/>
          <w:b/>
          <w:i/>
          <w:sz w:val="22"/>
          <w:szCs w:val="22"/>
        </w:rPr>
        <w:t>a</w:t>
      </w:r>
      <w:r w:rsidRPr="009F7BFC">
        <w:rPr>
          <w:rFonts w:ascii="Arial" w:hAnsi="Arial" w:cs="Arial"/>
          <w:sz w:val="22"/>
          <w:szCs w:val="22"/>
        </w:rPr>
        <w:t xml:space="preserve">, </w:t>
      </w:r>
      <w:r w:rsidRPr="009F7BFC">
        <w:rPr>
          <w:rFonts w:ascii="Arial" w:hAnsi="Arial" w:cs="Arial"/>
          <w:b/>
          <w:i/>
          <w:sz w:val="22"/>
          <w:szCs w:val="22"/>
        </w:rPr>
        <w:t>b</w:t>
      </w:r>
      <w:r w:rsidRPr="009F7BFC">
        <w:rPr>
          <w:rFonts w:ascii="Arial" w:hAnsi="Arial" w:cs="Arial"/>
          <w:sz w:val="22"/>
          <w:szCs w:val="22"/>
        </w:rPr>
        <w:t xml:space="preserve">} = </w:t>
      </w:r>
      <w:r w:rsidRPr="009F7BFC">
        <w:rPr>
          <w:rFonts w:ascii="Arial" w:hAnsi="Arial" w:cs="Arial"/>
          <w:b/>
          <w:i/>
          <w:sz w:val="22"/>
          <w:szCs w:val="22"/>
        </w:rPr>
        <w:t>a</w:t>
      </w:r>
      <w:r w:rsidRPr="009F7BFC">
        <w:rPr>
          <w:rFonts w:ascii="Arial" w:hAnsi="Arial" w:cs="Arial"/>
          <w:sz w:val="22"/>
          <w:szCs w:val="22"/>
        </w:rPr>
        <w:t>, inak Max {</w:t>
      </w:r>
      <w:r w:rsidRPr="009F7BFC">
        <w:rPr>
          <w:rFonts w:ascii="Arial" w:hAnsi="Arial" w:cs="Arial"/>
          <w:b/>
          <w:i/>
          <w:sz w:val="22"/>
          <w:szCs w:val="22"/>
        </w:rPr>
        <w:t>a</w:t>
      </w:r>
      <w:r w:rsidRPr="009F7BFC">
        <w:rPr>
          <w:rFonts w:ascii="Arial" w:hAnsi="Arial" w:cs="Arial"/>
          <w:sz w:val="22"/>
          <w:szCs w:val="22"/>
        </w:rPr>
        <w:t xml:space="preserve">, </w:t>
      </w:r>
      <w:r w:rsidRPr="009F7BFC">
        <w:rPr>
          <w:rFonts w:ascii="Arial" w:hAnsi="Arial" w:cs="Arial"/>
          <w:b/>
          <w:i/>
          <w:sz w:val="22"/>
          <w:szCs w:val="22"/>
        </w:rPr>
        <w:t>b</w:t>
      </w:r>
      <w:r w:rsidRPr="009F7BFC">
        <w:rPr>
          <w:rFonts w:ascii="Arial" w:hAnsi="Arial" w:cs="Arial"/>
          <w:sz w:val="22"/>
          <w:szCs w:val="22"/>
        </w:rPr>
        <w:t xml:space="preserve">} = </w:t>
      </w:r>
      <w:r w:rsidRPr="009F7BFC">
        <w:rPr>
          <w:rFonts w:ascii="Arial" w:hAnsi="Arial" w:cs="Arial"/>
          <w:b/>
          <w:i/>
          <w:sz w:val="22"/>
          <w:szCs w:val="22"/>
        </w:rPr>
        <w:t>b</w:t>
      </w:r>
      <w:r w:rsidRPr="009F7BFC">
        <w:rPr>
          <w:rFonts w:ascii="Arial" w:hAnsi="Arial" w:cs="Arial"/>
          <w:sz w:val="22"/>
          <w:szCs w:val="22"/>
        </w:rPr>
        <w:t>.</w:t>
      </w:r>
    </w:p>
    <w:p w:rsidR="00DD5ADF" w:rsidRPr="009F7BFC" w:rsidP="0046729B">
      <w:pPr>
        <w:spacing w:before="120" w:line="360" w:lineRule="auto"/>
        <w:rPr>
          <w:rFonts w:ascii="Arial" w:hAnsi="Arial" w:cs="Arial"/>
          <w:i/>
          <w:sz w:val="22"/>
          <w:szCs w:val="22"/>
        </w:rPr>
      </w:pPr>
      <w:r w:rsidRPr="009F7BFC">
        <w:rPr>
          <w:rFonts w:ascii="Arial" w:hAnsi="Arial" w:cs="Arial"/>
          <w:i/>
          <w:sz w:val="22"/>
          <w:szCs w:val="22"/>
        </w:rPr>
        <w:t>1. Vzorec na výpočet čistej kumulatívnej hodnoty dôchodkového fondu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ČKH(0) = 0 eur,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ČKH(t) = ČKH(t-1) + NAV(t) – NAV(t-1) – CF(t),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kde</w:t>
      </w:r>
    </w:p>
    <w:p w:rsidR="00DD5ADF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CF(</w:t>
      </w:r>
      <w:r w:rsidR="00E33C67">
        <w:rPr>
          <w:rFonts w:ascii="Arial" w:hAnsi="Arial" w:cs="Arial"/>
          <w:sz w:val="22"/>
          <w:szCs w:val="22"/>
        </w:rPr>
        <w:t>t</w:t>
      </w:r>
      <w:r w:rsidRPr="009F7BFC">
        <w:rPr>
          <w:rFonts w:ascii="Arial" w:hAnsi="Arial" w:cs="Arial"/>
          <w:sz w:val="22"/>
          <w:szCs w:val="22"/>
        </w:rPr>
        <w:t>) = suma príspevkov pripísaných na účet dôchodkového fondu v deň, ku ktorém</w:t>
      </w:r>
      <w:r w:rsidR="004603D6">
        <w:rPr>
          <w:rFonts w:ascii="Arial" w:hAnsi="Arial" w:cs="Arial"/>
          <w:sz w:val="22"/>
          <w:szCs w:val="22"/>
        </w:rPr>
        <w:t>u sa uskutočňuje výpočet znížená</w:t>
      </w:r>
      <w:r w:rsidRPr="009F7BFC">
        <w:rPr>
          <w:rFonts w:ascii="Arial" w:hAnsi="Arial" w:cs="Arial"/>
          <w:sz w:val="22"/>
          <w:szCs w:val="22"/>
        </w:rPr>
        <w:t xml:space="preserve"> o úbytok majetku odpísaného z účtu dôchodkového fondu v deň, ku ktorému sa uskutočňuje výpočet.</w:t>
      </w:r>
    </w:p>
    <w:p w:rsidR="006A0E2E" w:rsidRPr="009F7BFC" w:rsidP="0046729B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DD5ADF" w:rsidRPr="009F7BFC" w:rsidP="0046729B">
      <w:pPr>
        <w:spacing w:before="120" w:line="360" w:lineRule="auto"/>
        <w:rPr>
          <w:rFonts w:ascii="Arial" w:hAnsi="Arial" w:cs="Arial"/>
          <w:i/>
          <w:sz w:val="22"/>
          <w:szCs w:val="22"/>
        </w:rPr>
      </w:pPr>
      <w:r w:rsidRPr="009F7BFC">
        <w:rPr>
          <w:rFonts w:ascii="Arial" w:hAnsi="Arial" w:cs="Arial"/>
          <w:i/>
          <w:sz w:val="22"/>
          <w:szCs w:val="22"/>
        </w:rPr>
        <w:t xml:space="preserve">2. Vzorec na výpočet výšky poplatku </w:t>
      </w:r>
    </w:p>
    <w:p w:rsidR="004603D6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 w:rsidR="00DD5ADF">
        <w:rPr>
          <w:rFonts w:ascii="Arial" w:hAnsi="Arial" w:cs="Arial"/>
          <w:sz w:val="22"/>
          <w:szCs w:val="22"/>
        </w:rPr>
        <w:t>p = 0,056 * Max { 0, ČKH(t) – M(t-1)</w:t>
      </w:r>
      <w:r w:rsidR="00E33C67">
        <w:rPr>
          <w:rFonts w:ascii="Arial" w:hAnsi="Arial" w:cs="Arial"/>
          <w:sz w:val="22"/>
          <w:szCs w:val="22"/>
        </w:rPr>
        <w:t xml:space="preserve"> </w:t>
      </w:r>
      <w:r w:rsidR="00E33C67">
        <w:rPr>
          <w:rFonts w:ascii="Arial" w:hAnsi="Arial" w:cs="Arial"/>
          <w:sz w:val="22"/>
          <w:szCs w:val="22"/>
          <w:vertAlign w:val="superscript"/>
        </w:rPr>
        <w:t>*</w:t>
      </w:r>
      <w:r w:rsidRPr="009F7BFC" w:rsidR="00DD5ADF">
        <w:rPr>
          <w:rFonts w:ascii="Arial" w:hAnsi="Arial" w:cs="Arial"/>
          <w:sz w:val="22"/>
          <w:szCs w:val="22"/>
        </w:rPr>
        <w:t xml:space="preserve"> </w:t>
      </w:r>
      <w:r w:rsidR="00E33C67">
        <w:rPr>
          <w:rFonts w:ascii="Arial" w:hAnsi="Arial" w:cs="Arial"/>
          <w:sz w:val="22"/>
          <w:szCs w:val="22"/>
        </w:rPr>
        <w:t>PDJ(t) / PDJ(t-1)</w:t>
      </w:r>
      <w:r w:rsidRPr="009F7BFC" w:rsidR="00DD5ADF">
        <w:rPr>
          <w:rFonts w:ascii="Arial" w:hAnsi="Arial" w:cs="Arial"/>
          <w:sz w:val="22"/>
          <w:szCs w:val="22"/>
        </w:rPr>
        <w:t>},</w:t>
      </w:r>
      <w:r w:rsidR="00E33C67">
        <w:rPr>
          <w:rFonts w:ascii="Arial" w:hAnsi="Arial" w:cs="Arial"/>
          <w:sz w:val="22"/>
          <w:szCs w:val="22"/>
        </w:rPr>
        <w:t xml:space="preserve"> ak PDJ(t) </w:t>
      </w:r>
      <w:r w:rsidR="00E33C67">
        <w:rPr>
          <w:rFonts w:ascii="Arial" w:hAnsi="Arial" w:cs="Arial"/>
          <w:sz w:val="22"/>
          <w:szCs w:val="22"/>
          <w:lang w:val="en-US"/>
        </w:rPr>
        <w:t>&lt;</w:t>
      </w:r>
      <w:r w:rsidR="00E33C67">
        <w:rPr>
          <w:rFonts w:ascii="Arial" w:hAnsi="Arial" w:cs="Arial"/>
          <w:sz w:val="22"/>
          <w:szCs w:val="22"/>
        </w:rPr>
        <w:t xml:space="preserve"> PDJ(t-1), </w:t>
      </w:r>
    </w:p>
    <w:p w:rsidR="00DD5ADF" w:rsidRPr="00E33C67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="00E33C67">
        <w:rPr>
          <w:rFonts w:ascii="Arial" w:hAnsi="Arial" w:cs="Arial"/>
          <w:sz w:val="22"/>
          <w:szCs w:val="22"/>
        </w:rPr>
        <w:t xml:space="preserve">inak p = 0,056 </w:t>
      </w:r>
      <w:r w:rsidR="00E33C67">
        <w:rPr>
          <w:rFonts w:ascii="Arial" w:hAnsi="Arial" w:cs="Arial"/>
          <w:sz w:val="22"/>
          <w:szCs w:val="22"/>
          <w:vertAlign w:val="superscript"/>
        </w:rPr>
        <w:t xml:space="preserve">* </w:t>
      </w:r>
      <w:r w:rsidR="00E33C67">
        <w:rPr>
          <w:rFonts w:ascii="Arial" w:hAnsi="Arial" w:cs="Arial"/>
          <w:sz w:val="22"/>
          <w:szCs w:val="22"/>
        </w:rPr>
        <w:t xml:space="preserve">Max </w:t>
      </w:r>
      <w:r w:rsidRPr="00E33C67" w:rsidR="00E33C67">
        <w:rPr>
          <w:rFonts w:ascii="Arial" w:hAnsi="Arial" w:cs="Arial"/>
          <w:sz w:val="22"/>
          <w:szCs w:val="22"/>
          <w:lang w:val="de-DE"/>
        </w:rPr>
        <w:t>{ 0, ČKH(t) – M(t-1)},</w:t>
      </w:r>
      <w:r w:rsidR="00E33C67">
        <w:rPr>
          <w:rFonts w:ascii="Arial" w:hAnsi="Arial" w:cs="Arial"/>
          <w:sz w:val="22"/>
          <w:szCs w:val="22"/>
        </w:rPr>
        <w:t xml:space="preserve"> 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kde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M(0) = 0 eur,</w:t>
      </w:r>
    </w:p>
    <w:p w:rsidR="00E33C67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9F7BFC" w:rsidR="00DD5ADF">
        <w:rPr>
          <w:rFonts w:ascii="Arial" w:hAnsi="Arial" w:cs="Arial"/>
          <w:sz w:val="22"/>
          <w:szCs w:val="22"/>
        </w:rPr>
        <w:t xml:space="preserve">M(t) = Max </w:t>
      </w:r>
      <w:r w:rsidRPr="00765A76" w:rsidR="00DD5ADF">
        <w:rPr>
          <w:rFonts w:ascii="Arial" w:hAnsi="Arial" w:cs="Arial"/>
          <w:sz w:val="22"/>
          <w:szCs w:val="22"/>
        </w:rPr>
        <w:t>{</w:t>
      </w:r>
      <w:r w:rsidRPr="009F7BFC" w:rsidR="00DD5ADF">
        <w:rPr>
          <w:rFonts w:ascii="Arial" w:hAnsi="Arial" w:cs="Arial"/>
          <w:sz w:val="22"/>
          <w:szCs w:val="22"/>
        </w:rPr>
        <w:t>ČKH(t), M(t -1) * PDJ(t) / P</w:t>
      </w:r>
      <w:r>
        <w:rPr>
          <w:rFonts w:ascii="Arial" w:hAnsi="Arial" w:cs="Arial"/>
          <w:sz w:val="22"/>
          <w:szCs w:val="22"/>
        </w:rPr>
        <w:t>D</w:t>
      </w:r>
      <w:r w:rsidRPr="009F7BFC" w:rsidR="00DD5ADF">
        <w:rPr>
          <w:rFonts w:ascii="Arial" w:hAnsi="Arial" w:cs="Arial"/>
          <w:sz w:val="22"/>
          <w:szCs w:val="22"/>
        </w:rPr>
        <w:t>J(t-1)}</w:t>
      </w:r>
      <w:r>
        <w:rPr>
          <w:rFonts w:ascii="Arial" w:hAnsi="Arial" w:cs="Arial"/>
          <w:sz w:val="22"/>
          <w:szCs w:val="22"/>
        </w:rPr>
        <w:t xml:space="preserve">, ak PDJ(t) </w:t>
      </w:r>
      <w:r w:rsidRPr="004603D6">
        <w:rPr>
          <w:rFonts w:ascii="Arial" w:hAnsi="Arial" w:cs="Arial"/>
          <w:sz w:val="22"/>
          <w:szCs w:val="22"/>
        </w:rPr>
        <w:t xml:space="preserve">&lt; </w:t>
      </w:r>
      <w:r>
        <w:rPr>
          <w:rFonts w:ascii="Arial" w:hAnsi="Arial" w:cs="Arial"/>
          <w:sz w:val="22"/>
          <w:szCs w:val="22"/>
        </w:rPr>
        <w:t>PDJ(t-1),</w:t>
      </w:r>
    </w:p>
    <w:p w:rsidR="00DD5ADF" w:rsidRPr="009F7BFC" w:rsidP="0046729B">
      <w:pPr>
        <w:spacing w:before="120" w:line="360" w:lineRule="auto"/>
        <w:rPr>
          <w:rFonts w:ascii="Arial" w:hAnsi="Arial" w:cs="Arial"/>
          <w:sz w:val="22"/>
          <w:szCs w:val="22"/>
        </w:rPr>
      </w:pPr>
      <w:r w:rsidR="004603D6">
        <w:rPr>
          <w:rFonts w:ascii="Arial" w:hAnsi="Arial" w:cs="Arial"/>
          <w:sz w:val="22"/>
          <w:szCs w:val="22"/>
        </w:rPr>
        <w:t>i</w:t>
      </w:r>
      <w:r w:rsidR="00E33C67">
        <w:rPr>
          <w:rFonts w:ascii="Arial" w:hAnsi="Arial" w:cs="Arial"/>
          <w:sz w:val="22"/>
          <w:szCs w:val="22"/>
        </w:rPr>
        <w:t xml:space="preserve">nak M(t) = Max </w:t>
      </w:r>
      <w:r w:rsidRPr="004603D6" w:rsidR="00E33C67">
        <w:rPr>
          <w:rFonts w:ascii="Arial" w:hAnsi="Arial" w:cs="Arial"/>
          <w:sz w:val="22"/>
          <w:szCs w:val="22"/>
        </w:rPr>
        <w:t>{ČKH(t), M(t-1)}</w:t>
      </w:r>
      <w:r w:rsidRPr="009F7BFC">
        <w:rPr>
          <w:rFonts w:ascii="Arial" w:hAnsi="Arial" w:cs="Arial"/>
          <w:sz w:val="22"/>
          <w:szCs w:val="22"/>
        </w:rPr>
        <w:t>.“.</w:t>
      </w:r>
    </w:p>
    <w:p w:rsidR="00DD5ADF" w:rsidRPr="009F7BFC" w:rsidP="0046729B">
      <w:pPr>
        <w:spacing w:before="120" w:line="360" w:lineRule="auto"/>
        <w:rPr>
          <w:rFonts w:ascii="Times New Roman" w:hAnsi="Times New Roman" w:cs="Times New Roman"/>
        </w:rPr>
      </w:pPr>
    </w:p>
    <w:p w:rsidR="00DD5ADF" w:rsidRPr="009F7BFC" w:rsidP="0046729B">
      <w:pPr>
        <w:pStyle w:val="NormlnsWWW"/>
        <w:spacing w:before="120" w:after="0" w:line="360" w:lineRule="auto"/>
        <w:jc w:val="center"/>
        <w:outlineLvl w:val="0"/>
        <w:rPr>
          <w:rFonts w:ascii="Arial" w:hAnsi="Arial" w:cs="Arial"/>
          <w:b/>
          <w:sz w:val="22"/>
          <w:szCs w:val="22"/>
          <w:lang w:val="sk-SK"/>
        </w:rPr>
      </w:pPr>
      <w:r w:rsidRPr="009F7BFC">
        <w:rPr>
          <w:rFonts w:ascii="Arial" w:hAnsi="Arial" w:cs="Arial"/>
          <w:b/>
          <w:sz w:val="22"/>
          <w:szCs w:val="22"/>
          <w:lang w:val="sk-SK"/>
        </w:rPr>
        <w:t>Čl. II</w:t>
      </w:r>
    </w:p>
    <w:p w:rsidR="00DD5ADF" w:rsidP="006A0E2E">
      <w:pPr>
        <w:spacing w:before="120"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9F7BFC">
        <w:rPr>
          <w:rFonts w:ascii="Arial" w:hAnsi="Arial" w:cs="Arial"/>
          <w:sz w:val="22"/>
          <w:szCs w:val="22"/>
        </w:rPr>
        <w:t>Tento zákon nadobúda účinnosť 1. j</w:t>
      </w:r>
      <w:r w:rsidR="004603D6">
        <w:rPr>
          <w:rFonts w:ascii="Arial" w:hAnsi="Arial" w:cs="Arial"/>
          <w:sz w:val="22"/>
          <w:szCs w:val="22"/>
        </w:rPr>
        <w:t>úla</w:t>
      </w:r>
      <w:r w:rsidRPr="009F7BFC">
        <w:rPr>
          <w:rFonts w:ascii="Arial" w:hAnsi="Arial" w:cs="Arial"/>
          <w:sz w:val="22"/>
          <w:szCs w:val="22"/>
        </w:rPr>
        <w:t xml:space="preserve"> 200</w:t>
      </w:r>
      <w:r w:rsidR="004603D6">
        <w:rPr>
          <w:rFonts w:ascii="Arial" w:hAnsi="Arial" w:cs="Arial"/>
          <w:sz w:val="22"/>
          <w:szCs w:val="22"/>
        </w:rPr>
        <w:t>9</w:t>
      </w:r>
      <w:r w:rsidRPr="009F7BFC">
        <w:rPr>
          <w:rFonts w:ascii="Arial" w:hAnsi="Arial" w:cs="Arial"/>
          <w:sz w:val="22"/>
          <w:szCs w:val="22"/>
        </w:rPr>
        <w:t>.</w:t>
      </w:r>
    </w:p>
    <w:p w:rsidR="006A0E2E" w:rsidP="006A0E2E">
      <w:pPr>
        <w:spacing w:before="120"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prezident Slovenskej republiky</w:t>
      </w:r>
    </w:p>
    <w:p w:rsidR="006A0E2E" w:rsidP="006A0E2E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predseda Národnej rady Slovenskej republiky</w:t>
      </w:r>
    </w:p>
    <w:p w:rsidR="006A0E2E" w:rsidP="006A0E2E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6A0E2E" w:rsidP="006A0E2E">
      <w:pPr>
        <w:spacing w:before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predseda vlády Slovenskej republiky</w:t>
      </w:r>
    </w:p>
    <w:p w:rsidR="00C65DE2" w:rsidP="0046729B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</w:p>
    <w:p w:rsidR="006A0E2E" w:rsidP="0046729B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</w:p>
    <w:p w:rsidR="006A0E2E" w:rsidP="0046729B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</w:p>
    <w:p w:rsidR="00C65DE2" w:rsidP="0046729B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9A" w:rsidP="00625011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97C9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9A" w:rsidP="00625011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F746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97C9A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16BA"/>
    <w:multiLevelType w:val="hybridMultilevel"/>
    <w:tmpl w:val="974A91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58475E8C"/>
    <w:multiLevelType w:val="hybridMultilevel"/>
    <w:tmpl w:val="57FE3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6DA81B27"/>
    <w:multiLevelType w:val="hybridMultilevel"/>
    <w:tmpl w:val="1242D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ascii="Times New Roman" w:hAnsi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7C9A"/>
    <w:rsid w:val="0024029D"/>
    <w:rsid w:val="00425BA1"/>
    <w:rsid w:val="004603D6"/>
    <w:rsid w:val="0046729B"/>
    <w:rsid w:val="00625011"/>
    <w:rsid w:val="00625B25"/>
    <w:rsid w:val="006A0E2E"/>
    <w:rsid w:val="00765A76"/>
    <w:rsid w:val="009F746F"/>
    <w:rsid w:val="009F7BFC"/>
    <w:rsid w:val="00A15503"/>
    <w:rsid w:val="00BF19DF"/>
    <w:rsid w:val="00C65DE2"/>
    <w:rsid w:val="00DD5ADF"/>
    <w:rsid w:val="00E33C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A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NormlnsWWW">
    <w:name w:val="Normální (síť WWW)"/>
    <w:basedOn w:val="Normal"/>
    <w:rsid w:val="00DD5ADF"/>
    <w:pPr>
      <w:spacing w:before="100" w:after="100"/>
      <w:jc w:val="left"/>
    </w:pPr>
    <w:rPr>
      <w:rFonts w:ascii="Verdana" w:hAnsi="Verdana"/>
      <w:sz w:val="15"/>
      <w:szCs w:val="20"/>
      <w:lang w:val="cs-CZ"/>
    </w:rPr>
  </w:style>
  <w:style w:type="paragraph" w:styleId="Footer">
    <w:name w:val="footer"/>
    <w:basedOn w:val="Normal"/>
    <w:rsid w:val="00D23746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23746"/>
    <w:rPr>
      <w:rFonts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2078</Words>
  <Characters>11851</Characters>
  <Application>Microsoft Office Word</Application>
  <DocSecurity>0</DocSecurity>
  <Lines>0</Lines>
  <Paragraphs>0</Paragraphs>
  <ScaleCrop>false</ScaleCrop>
  <Company>MPSVR SR</Company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cebulakova</dc:creator>
  <cp:lastModifiedBy>Administrator</cp:lastModifiedBy>
  <cp:revision>6</cp:revision>
  <cp:lastPrinted>2009-03-12T07:44:00Z</cp:lastPrinted>
  <dcterms:created xsi:type="dcterms:W3CDTF">2009-03-11T08:33:00Z</dcterms:created>
  <dcterms:modified xsi:type="dcterms:W3CDTF">2009-03-12T09:37:00Z</dcterms:modified>
</cp:coreProperties>
</file>