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F0204" w:rsidRPr="006F0204" w:rsidP="0046729B">
      <w:pPr>
        <w:bidi w:val="0"/>
        <w:spacing w:before="120" w:line="360" w:lineRule="auto"/>
        <w:jc w:val="center"/>
        <w:rPr>
          <w:rFonts w:ascii="Arial" w:hAnsi="Arial" w:cs="Arial"/>
          <w:b/>
          <w:caps/>
          <w:sz w:val="36"/>
          <w:szCs w:val="22"/>
        </w:rPr>
      </w:pPr>
      <w:r>
        <w:rPr>
          <w:rFonts w:ascii="Arial" w:hAnsi="Arial" w:cs="Arial"/>
          <w:b/>
          <w:caps/>
          <w:sz w:val="36"/>
          <w:szCs w:val="22"/>
        </w:rPr>
        <w:t>Národná  rada  Slovenskej  republiky</w:t>
      </w:r>
    </w:p>
    <w:p w:rsidR="006F0204" w:rsidP="0046729B">
      <w:pPr>
        <w:bidi w:val="0"/>
        <w:spacing w:before="120" w:line="360" w:lineRule="auto"/>
        <w:jc w:val="center"/>
        <w:rPr>
          <w:rFonts w:ascii="Arial" w:hAnsi="Arial" w:cs="Arial"/>
          <w:b/>
        </w:rPr>
      </w:pPr>
      <w:r>
        <w:rPr>
          <w:rFonts w:ascii="Arial" w:hAnsi="Arial" w:cs="Arial"/>
          <w:b/>
        </w:rPr>
        <w:t>IV. volebné obdobie</w:t>
      </w:r>
    </w:p>
    <w:p w:rsidR="006F0204" w:rsidP="0046729B">
      <w:pPr>
        <w:bidi w:val="0"/>
        <w:spacing w:before="120" w:line="360" w:lineRule="auto"/>
        <w:jc w:val="center"/>
        <w:rPr>
          <w:rFonts w:ascii="Arial" w:hAnsi="Arial" w:cs="Arial"/>
          <w:b/>
        </w:rPr>
      </w:pPr>
    </w:p>
    <w:p w:rsidR="006F0204" w:rsidP="0046729B">
      <w:pPr>
        <w:bidi w:val="0"/>
        <w:spacing w:before="120" w:line="360" w:lineRule="auto"/>
        <w:jc w:val="center"/>
        <w:rPr>
          <w:rFonts w:ascii="Arial" w:hAnsi="Arial" w:cs="Arial"/>
          <w:b/>
        </w:rPr>
      </w:pPr>
    </w:p>
    <w:p w:rsidR="006F0204" w:rsidRPr="006F0204" w:rsidP="0046729B">
      <w:pPr>
        <w:bidi w:val="0"/>
        <w:spacing w:before="120" w:line="360" w:lineRule="auto"/>
        <w:jc w:val="center"/>
        <w:rPr>
          <w:rFonts w:ascii="Arial" w:hAnsi="Arial" w:cs="Arial"/>
          <w:b/>
          <w:sz w:val="36"/>
          <w:szCs w:val="36"/>
        </w:rPr>
      </w:pPr>
      <w:r>
        <w:rPr>
          <w:rFonts w:ascii="Arial" w:hAnsi="Arial" w:cs="Arial"/>
          <w:b/>
          <w:sz w:val="36"/>
          <w:szCs w:val="36"/>
        </w:rPr>
        <w:t>973</w:t>
      </w:r>
    </w:p>
    <w:p w:rsidR="006F0204" w:rsidP="0046729B">
      <w:pPr>
        <w:bidi w:val="0"/>
        <w:spacing w:before="120" w:line="360" w:lineRule="auto"/>
        <w:jc w:val="center"/>
        <w:rPr>
          <w:rFonts w:ascii="Arial" w:hAnsi="Arial" w:cs="Arial"/>
          <w:b/>
          <w:sz w:val="22"/>
          <w:szCs w:val="22"/>
        </w:rPr>
      </w:pPr>
    </w:p>
    <w:p w:rsidR="00DD5ADF" w:rsidRPr="009F7BFC" w:rsidP="0046729B">
      <w:pPr>
        <w:bidi w:val="0"/>
        <w:spacing w:before="120" w:line="360" w:lineRule="auto"/>
        <w:jc w:val="center"/>
        <w:rPr>
          <w:rFonts w:ascii="Arial" w:hAnsi="Arial" w:cs="Arial"/>
          <w:b/>
          <w:sz w:val="22"/>
          <w:szCs w:val="22"/>
        </w:rPr>
      </w:pPr>
      <w:r w:rsidR="006F0204">
        <w:rPr>
          <w:rFonts w:ascii="Arial" w:hAnsi="Arial" w:cs="Arial"/>
          <w:b/>
          <w:sz w:val="22"/>
          <w:szCs w:val="22"/>
        </w:rPr>
        <w:t>Vládny n</w:t>
      </w:r>
      <w:r w:rsidRPr="009F7BFC">
        <w:rPr>
          <w:rFonts w:ascii="Arial" w:hAnsi="Arial" w:cs="Arial"/>
          <w:b/>
          <w:sz w:val="22"/>
          <w:szCs w:val="22"/>
        </w:rPr>
        <w:t>ávrh</w:t>
      </w:r>
    </w:p>
    <w:p w:rsidR="00DD5ADF" w:rsidRPr="009F7BFC" w:rsidP="0046729B">
      <w:pPr>
        <w:bidi w:val="0"/>
        <w:spacing w:before="120" w:line="360" w:lineRule="auto"/>
        <w:jc w:val="center"/>
        <w:rPr>
          <w:rFonts w:ascii="Arial" w:hAnsi="Arial" w:cs="Arial"/>
          <w:b/>
          <w:sz w:val="22"/>
          <w:szCs w:val="22"/>
        </w:rPr>
      </w:pPr>
    </w:p>
    <w:p w:rsidR="00DD5ADF" w:rsidRPr="009F7BFC" w:rsidP="0046729B">
      <w:pPr>
        <w:bidi w:val="0"/>
        <w:spacing w:before="120" w:line="360" w:lineRule="auto"/>
        <w:jc w:val="center"/>
        <w:rPr>
          <w:rFonts w:ascii="Arial" w:hAnsi="Arial" w:cs="Arial"/>
          <w:b/>
          <w:sz w:val="22"/>
          <w:szCs w:val="22"/>
        </w:rPr>
      </w:pPr>
      <w:r w:rsidRPr="009F7BFC">
        <w:rPr>
          <w:rFonts w:ascii="Arial" w:hAnsi="Arial" w:cs="Arial"/>
          <w:b/>
          <w:sz w:val="22"/>
          <w:szCs w:val="22"/>
        </w:rPr>
        <w:t>Zákon</w:t>
      </w:r>
    </w:p>
    <w:p w:rsidR="00DD5ADF" w:rsidRPr="009F7BFC" w:rsidP="0046729B">
      <w:pPr>
        <w:bidi w:val="0"/>
        <w:spacing w:before="120" w:line="360" w:lineRule="auto"/>
        <w:jc w:val="center"/>
        <w:rPr>
          <w:rFonts w:ascii="Arial" w:hAnsi="Arial" w:cs="Arial"/>
          <w:b/>
          <w:sz w:val="22"/>
          <w:szCs w:val="22"/>
        </w:rPr>
      </w:pPr>
      <w:r w:rsidRPr="009F7BFC">
        <w:rPr>
          <w:rFonts w:ascii="Arial" w:hAnsi="Arial" w:cs="Arial"/>
          <w:b/>
          <w:sz w:val="22"/>
          <w:szCs w:val="22"/>
        </w:rPr>
        <w:t>z  ................................... 2009,</w:t>
      </w:r>
    </w:p>
    <w:p w:rsidR="00DD5ADF" w:rsidRPr="009F7BFC" w:rsidP="0046729B">
      <w:pPr>
        <w:bidi w:val="0"/>
        <w:spacing w:before="120" w:line="360" w:lineRule="auto"/>
        <w:jc w:val="both"/>
        <w:rPr>
          <w:rFonts w:ascii="Arial" w:hAnsi="Arial" w:cs="Arial"/>
          <w:b/>
          <w:sz w:val="22"/>
          <w:szCs w:val="22"/>
        </w:rPr>
      </w:pPr>
      <w:r w:rsidRPr="009F7BFC">
        <w:rPr>
          <w:rFonts w:ascii="Arial" w:hAnsi="Arial" w:cs="Arial"/>
          <w:b/>
          <w:sz w:val="22"/>
          <w:szCs w:val="22"/>
        </w:rPr>
        <w:t xml:space="preserve">ktorým sa mení a dopĺňa zákon č. 43/2004 Z. z. o starobnom dôchodkovom sporení a o zmene a doplnení niektorých zákonov v znení neskorších predpisov </w:t>
      </w:r>
    </w:p>
    <w:p w:rsidR="00DD5ADF" w:rsidRPr="009F7BFC" w:rsidP="0046729B">
      <w:pPr>
        <w:bidi w:val="0"/>
        <w:spacing w:before="120" w:line="360" w:lineRule="auto"/>
        <w:jc w:val="both"/>
        <w:rPr>
          <w:rFonts w:ascii="Arial" w:hAnsi="Arial" w:cs="Arial"/>
          <w:b/>
          <w:sz w:val="22"/>
          <w:szCs w:val="22"/>
        </w:rPr>
      </w:pPr>
    </w:p>
    <w:p w:rsidR="00DD5ADF" w:rsidRPr="009F7BFC" w:rsidP="0046729B">
      <w:pPr>
        <w:bidi w:val="0"/>
        <w:spacing w:before="120" w:line="360" w:lineRule="auto"/>
        <w:ind w:firstLine="708"/>
        <w:jc w:val="both"/>
        <w:rPr>
          <w:rFonts w:ascii="Arial" w:hAnsi="Arial" w:cs="Arial"/>
          <w:sz w:val="22"/>
          <w:szCs w:val="22"/>
        </w:rPr>
      </w:pPr>
      <w:r w:rsidRPr="009F7BFC">
        <w:rPr>
          <w:rFonts w:ascii="Arial" w:hAnsi="Arial" w:cs="Arial"/>
          <w:sz w:val="22"/>
          <w:szCs w:val="22"/>
        </w:rPr>
        <w:t>Národná rada Slovenskej republiky sa uzniesla na tomto zákone:</w:t>
      </w:r>
    </w:p>
    <w:p w:rsidR="00DD5ADF" w:rsidRPr="009F7BFC" w:rsidP="0046729B">
      <w:pPr>
        <w:bidi w:val="0"/>
        <w:spacing w:before="120" w:line="360" w:lineRule="auto"/>
        <w:jc w:val="both"/>
        <w:rPr>
          <w:rFonts w:ascii="Arial" w:hAnsi="Arial" w:cs="Arial"/>
          <w:sz w:val="22"/>
          <w:szCs w:val="22"/>
        </w:rPr>
      </w:pPr>
    </w:p>
    <w:p w:rsidR="00DD5ADF" w:rsidRPr="009F7BFC" w:rsidP="0046729B">
      <w:pPr>
        <w:pStyle w:val="NormlnsWWW"/>
        <w:bidi w:val="0"/>
        <w:spacing w:before="120" w:after="0" w:line="360" w:lineRule="auto"/>
        <w:jc w:val="center"/>
        <w:outlineLvl w:val="0"/>
        <w:rPr>
          <w:rFonts w:ascii="Arial" w:hAnsi="Arial" w:cs="Arial" w:hint="default"/>
          <w:b/>
          <w:sz w:val="22"/>
          <w:szCs w:val="22"/>
          <w:lang w:val="sk-SK"/>
        </w:rPr>
      </w:pPr>
      <w:r w:rsidRPr="009F7BFC">
        <w:rPr>
          <w:rFonts w:ascii="Arial" w:hAnsi="Arial" w:cs="Arial" w:hint="default"/>
          <w:b/>
          <w:sz w:val="22"/>
          <w:szCs w:val="22"/>
          <w:lang w:val="sk-SK"/>
        </w:rPr>
        <w:t>Č</w:t>
      </w:r>
      <w:r w:rsidRPr="009F7BFC">
        <w:rPr>
          <w:rFonts w:ascii="Arial" w:hAnsi="Arial" w:cs="Arial" w:hint="default"/>
          <w:b/>
          <w:sz w:val="22"/>
          <w:szCs w:val="22"/>
          <w:lang w:val="sk-SK"/>
        </w:rPr>
        <w:t>l. I</w:t>
      </w:r>
    </w:p>
    <w:p w:rsidR="00DD5ADF" w:rsidRPr="009F7BFC" w:rsidP="0046729B">
      <w:pPr>
        <w:bidi w:val="0"/>
        <w:spacing w:before="120" w:line="360" w:lineRule="auto"/>
        <w:ind w:firstLine="708"/>
        <w:jc w:val="both"/>
        <w:rPr>
          <w:rFonts w:ascii="Arial" w:hAnsi="Arial" w:cs="Arial"/>
          <w:sz w:val="22"/>
          <w:szCs w:val="22"/>
        </w:rPr>
      </w:pPr>
      <w:r w:rsidRPr="009F7BFC">
        <w:rPr>
          <w:rFonts w:ascii="Arial" w:hAnsi="Arial" w:cs="Arial"/>
          <w:sz w:val="22"/>
          <w:szCs w:val="22"/>
        </w:rPr>
        <w:t xml:space="preserve">Zákon č. 43/2004 Z. z. o starobnom dôchodkovom sporení a o zmene a doplnení niektorých zákonov v znení zákona č. 186/2004 Z. z., zákona č. 439/2004 Z. z., zákona         č. 721/2004 Z. z., zákona č. 747/2004 Z. z., zákona č. 310/2006 Z. z., zákona č. 644/2006    Z. z., zákona č. 677/2006 Z. z., zákona č. 209/2007 Z. z., zákona č. 519/2007 Z. z., zákona       č. 555/2007 Z. z., zákona č. 659/2007 Z. z., zákona č. 62/2008 Z. z., zákona č.  434/2008    Z. z. a zákona č. 449/2008 Z. z. sa mení a dopĺňa takto: </w:t>
      </w:r>
    </w:p>
    <w:p w:rsidR="00DD5ADF" w:rsidRPr="009F7BFC" w:rsidP="0046729B">
      <w:pPr>
        <w:bidi w:val="0"/>
        <w:spacing w:before="120" w:line="360" w:lineRule="auto"/>
        <w:jc w:val="both"/>
        <w:rPr>
          <w:rFonts w:ascii="Times New Roman" w:hAnsi="Times New Roman"/>
        </w:rPr>
      </w:pPr>
    </w:p>
    <w:p w:rsidR="00DD5ADF" w:rsidRPr="009F7BFC" w:rsidP="0046729B">
      <w:pPr>
        <w:numPr>
          <w:numId w:val="1"/>
        </w:numPr>
        <w:tabs>
          <w:tab w:val="num" w:pos="360"/>
          <w:tab w:val="clear" w:pos="720"/>
        </w:tabs>
        <w:bidi w:val="0"/>
        <w:spacing w:before="120" w:line="360" w:lineRule="auto"/>
        <w:ind w:left="360"/>
        <w:jc w:val="both"/>
        <w:rPr>
          <w:rFonts w:ascii="Arial" w:hAnsi="Arial" w:cs="Arial"/>
          <w:sz w:val="22"/>
          <w:szCs w:val="22"/>
        </w:rPr>
      </w:pPr>
      <w:r w:rsidRPr="009F7BFC">
        <w:rPr>
          <w:rFonts w:ascii="Arial" w:hAnsi="Arial" w:cs="Arial"/>
          <w:sz w:val="22"/>
          <w:szCs w:val="22"/>
        </w:rPr>
        <w:t xml:space="preserve">V § 47 ods. 2 písm. b) sa za prvý bod vkladá nový druhý bod, ktorý znie:  </w:t>
      </w:r>
    </w:p>
    <w:p w:rsidR="00DD5ADF" w:rsidRPr="009F7BFC" w:rsidP="0046729B">
      <w:pPr>
        <w:bidi w:val="0"/>
        <w:spacing w:before="120" w:line="360" w:lineRule="auto"/>
        <w:ind w:left="360"/>
        <w:jc w:val="both"/>
        <w:rPr>
          <w:rFonts w:ascii="Arial" w:hAnsi="Arial" w:cs="Arial"/>
          <w:sz w:val="22"/>
          <w:szCs w:val="22"/>
        </w:rPr>
      </w:pPr>
      <w:r w:rsidRPr="009F7BFC">
        <w:rPr>
          <w:rFonts w:ascii="Arial" w:hAnsi="Arial" w:cs="Arial"/>
          <w:sz w:val="22"/>
          <w:szCs w:val="22"/>
        </w:rPr>
        <w:t>„2. vedenie garančného účtu dôchodkového fondu,“.</w:t>
      </w:r>
    </w:p>
    <w:p w:rsidR="00DD5ADF" w:rsidRPr="009F7BFC" w:rsidP="0046729B">
      <w:pPr>
        <w:bidi w:val="0"/>
        <w:spacing w:before="120" w:line="360" w:lineRule="auto"/>
        <w:ind w:left="360"/>
        <w:jc w:val="both"/>
        <w:rPr>
          <w:rFonts w:ascii="Arial" w:hAnsi="Arial" w:cs="Arial"/>
          <w:sz w:val="22"/>
          <w:szCs w:val="22"/>
        </w:rPr>
      </w:pPr>
      <w:r w:rsidRPr="009F7BFC">
        <w:rPr>
          <w:rFonts w:ascii="Arial" w:hAnsi="Arial" w:cs="Arial"/>
          <w:sz w:val="22"/>
          <w:szCs w:val="22"/>
        </w:rPr>
        <w:t>Doterajšie body 2 až 15 sa označujú ako body 3 až 16.</w:t>
      </w:r>
    </w:p>
    <w:p w:rsidR="00DD5ADF" w:rsidRPr="009F7BFC" w:rsidP="0046729B">
      <w:pPr>
        <w:bidi w:val="0"/>
        <w:spacing w:before="120" w:line="360" w:lineRule="auto"/>
        <w:jc w:val="both"/>
        <w:rPr>
          <w:rFonts w:ascii="Arial" w:hAnsi="Arial" w:cs="Arial"/>
          <w:sz w:val="22"/>
          <w:szCs w:val="22"/>
        </w:rPr>
      </w:pPr>
      <w:r w:rsidRPr="009F7BFC">
        <w:rPr>
          <w:rFonts w:ascii="Arial" w:hAnsi="Arial" w:cs="Arial"/>
          <w:sz w:val="22"/>
          <w:szCs w:val="22"/>
        </w:rPr>
        <w:tab/>
      </w:r>
    </w:p>
    <w:p w:rsidR="00DD5ADF" w:rsidRPr="009F7BFC" w:rsidP="0046729B">
      <w:pPr>
        <w:numPr>
          <w:numId w:val="1"/>
        </w:numPr>
        <w:tabs>
          <w:tab w:val="num" w:pos="360"/>
          <w:tab w:val="clear" w:pos="720"/>
        </w:tabs>
        <w:bidi w:val="0"/>
        <w:spacing w:before="120" w:line="360" w:lineRule="auto"/>
        <w:ind w:left="360"/>
        <w:jc w:val="both"/>
        <w:rPr>
          <w:rFonts w:ascii="Arial" w:hAnsi="Arial" w:cs="Arial"/>
          <w:sz w:val="22"/>
          <w:szCs w:val="22"/>
        </w:rPr>
      </w:pPr>
      <w:r w:rsidRPr="009F7BFC">
        <w:rPr>
          <w:rFonts w:ascii="Arial" w:hAnsi="Arial" w:cs="Arial"/>
          <w:sz w:val="22"/>
          <w:szCs w:val="22"/>
        </w:rPr>
        <w:t xml:space="preserve">V § 63sa odsek 1 dopĺňa písmenom c) , ktoré znie: </w:t>
      </w:r>
    </w:p>
    <w:p w:rsidR="00DD5ADF" w:rsidRPr="009F7BFC" w:rsidP="0046729B">
      <w:pPr>
        <w:bidi w:val="0"/>
        <w:spacing w:before="120" w:line="360" w:lineRule="auto"/>
        <w:ind w:firstLine="360"/>
        <w:jc w:val="both"/>
        <w:rPr>
          <w:rFonts w:ascii="Arial" w:hAnsi="Arial" w:cs="Arial"/>
          <w:sz w:val="22"/>
          <w:szCs w:val="22"/>
        </w:rPr>
      </w:pPr>
      <w:r w:rsidRPr="009F7BFC">
        <w:rPr>
          <w:rFonts w:ascii="Arial" w:hAnsi="Arial" w:cs="Arial"/>
          <w:sz w:val="22"/>
          <w:szCs w:val="22"/>
        </w:rPr>
        <w:t>„c) odplatu za zhodnotenie majetku v dôchodkovom fonde.“.</w:t>
      </w:r>
    </w:p>
    <w:p w:rsidR="00DD5ADF" w:rsidRPr="009F7BFC" w:rsidP="0046729B">
      <w:pPr>
        <w:numPr>
          <w:numId w:val="1"/>
        </w:numPr>
        <w:tabs>
          <w:tab w:val="num" w:pos="360"/>
          <w:tab w:val="clear" w:pos="720"/>
        </w:tabs>
        <w:bidi w:val="0"/>
        <w:spacing w:before="120" w:line="360" w:lineRule="auto"/>
        <w:ind w:left="360"/>
        <w:jc w:val="both"/>
        <w:rPr>
          <w:rFonts w:ascii="Arial" w:hAnsi="Arial" w:cs="Arial"/>
          <w:sz w:val="22"/>
          <w:szCs w:val="22"/>
        </w:rPr>
      </w:pPr>
      <w:r w:rsidRPr="009F7BFC">
        <w:rPr>
          <w:rFonts w:ascii="Arial" w:hAnsi="Arial" w:cs="Arial"/>
          <w:sz w:val="22"/>
          <w:szCs w:val="22"/>
        </w:rPr>
        <w:t>V § 63 ods. 2 prvej vete sa slová „0,065 %“</w:t>
      </w:r>
      <w:r>
        <w:rPr>
          <w:rFonts w:ascii="Arial" w:hAnsi="Arial" w:cs="Arial"/>
          <w:sz w:val="22"/>
          <w:szCs w:val="22"/>
        </w:rPr>
        <w:t xml:space="preserve"> nahrádzajú slovami „0,025</w:t>
      </w:r>
      <w:r w:rsidRPr="009F7BFC">
        <w:rPr>
          <w:rFonts w:ascii="Arial" w:hAnsi="Arial" w:cs="Arial"/>
          <w:sz w:val="22"/>
          <w:szCs w:val="22"/>
        </w:rPr>
        <w:t xml:space="preserve"> %“ a vypúšťa sa druhá veta.</w:t>
      </w:r>
    </w:p>
    <w:p w:rsidR="00DD5ADF" w:rsidRPr="009F7BFC" w:rsidP="0046729B">
      <w:pPr>
        <w:numPr>
          <w:numId w:val="1"/>
        </w:numPr>
        <w:tabs>
          <w:tab w:val="num" w:pos="360"/>
          <w:tab w:val="clear" w:pos="720"/>
        </w:tabs>
        <w:bidi w:val="0"/>
        <w:spacing w:before="120" w:line="360" w:lineRule="auto"/>
        <w:ind w:left="360"/>
        <w:jc w:val="both"/>
        <w:rPr>
          <w:rFonts w:ascii="Arial" w:hAnsi="Arial" w:cs="Arial"/>
          <w:sz w:val="22"/>
          <w:szCs w:val="22"/>
        </w:rPr>
      </w:pPr>
      <w:r w:rsidRPr="009F7BFC">
        <w:rPr>
          <w:rFonts w:ascii="Arial" w:hAnsi="Arial" w:cs="Arial"/>
          <w:sz w:val="22"/>
          <w:szCs w:val="22"/>
        </w:rPr>
        <w:t>V § 63 ods. 5 sa za slová „písm. a)“ vkladajú slová „a c)“.</w:t>
      </w:r>
    </w:p>
    <w:p w:rsidR="00DD5ADF" w:rsidRPr="009F7BFC" w:rsidP="0046729B">
      <w:pPr>
        <w:numPr>
          <w:numId w:val="1"/>
        </w:numPr>
        <w:tabs>
          <w:tab w:val="num" w:pos="360"/>
          <w:tab w:val="clear" w:pos="720"/>
        </w:tabs>
        <w:bidi w:val="0"/>
        <w:spacing w:before="120" w:line="360" w:lineRule="auto"/>
        <w:ind w:left="360"/>
        <w:jc w:val="both"/>
        <w:rPr>
          <w:rFonts w:ascii="Arial" w:hAnsi="Arial" w:cs="Arial"/>
          <w:sz w:val="22"/>
          <w:szCs w:val="22"/>
        </w:rPr>
      </w:pPr>
      <w:r w:rsidRPr="009F7BFC">
        <w:rPr>
          <w:rFonts w:ascii="Arial" w:hAnsi="Arial" w:cs="Arial"/>
          <w:sz w:val="22"/>
          <w:szCs w:val="22"/>
        </w:rPr>
        <w:t>§ 63 sa dopĺňa odsekmi 9 až 13, ktoré znejú:</w:t>
      </w:r>
    </w:p>
    <w:p w:rsidR="00DD5ADF" w:rsidRPr="009F7BFC" w:rsidP="0046729B">
      <w:pPr>
        <w:bidi w:val="0"/>
        <w:spacing w:before="120" w:line="360" w:lineRule="auto"/>
        <w:ind w:left="360" w:hanging="360"/>
        <w:jc w:val="both"/>
        <w:rPr>
          <w:rFonts w:ascii="Arial" w:hAnsi="Arial" w:cs="Arial"/>
          <w:sz w:val="22"/>
          <w:szCs w:val="22"/>
        </w:rPr>
      </w:pPr>
      <w:r w:rsidRPr="009F7BFC">
        <w:rPr>
          <w:rFonts w:ascii="Arial" w:hAnsi="Arial" w:cs="Arial"/>
          <w:sz w:val="22"/>
          <w:szCs w:val="22"/>
        </w:rPr>
        <w:t xml:space="preserve">    </w:t>
      </w:r>
      <w:r>
        <w:rPr>
          <w:rFonts w:ascii="Arial" w:hAnsi="Arial" w:cs="Arial"/>
          <w:sz w:val="22"/>
          <w:szCs w:val="22"/>
        </w:rPr>
        <w:tab/>
        <w:tab/>
      </w:r>
      <w:r w:rsidRPr="009F7BFC">
        <w:rPr>
          <w:rFonts w:ascii="Arial" w:hAnsi="Arial" w:cs="Arial"/>
          <w:sz w:val="22"/>
          <w:szCs w:val="22"/>
        </w:rPr>
        <w:t xml:space="preserve">„(9) Odplata dôchodkovej správcovskej spoločnosti podľa odseku 1 písm. c) za jeden mesiac správy dôchodkového fondu určená v štatúte dôchodkového fondu nesmie presiahnuť 5,6 % z jednej šesťdesiatiny zhodnotenia majetku v dôchodkovom fonde za sledované obdobie. </w:t>
      </w:r>
    </w:p>
    <w:p w:rsidR="00DD5ADF" w:rsidRPr="009F7BFC" w:rsidP="0046729B">
      <w:pPr>
        <w:bidi w:val="0"/>
        <w:spacing w:before="120" w:line="360" w:lineRule="auto"/>
        <w:ind w:left="360" w:firstLine="348"/>
        <w:jc w:val="both"/>
        <w:rPr>
          <w:rFonts w:ascii="Arial" w:hAnsi="Arial" w:cs="Arial"/>
          <w:sz w:val="22"/>
          <w:szCs w:val="22"/>
        </w:rPr>
      </w:pPr>
      <w:r w:rsidRPr="009F7BFC">
        <w:rPr>
          <w:rFonts w:ascii="Arial" w:hAnsi="Arial" w:cs="Arial"/>
          <w:sz w:val="22"/>
          <w:szCs w:val="22"/>
        </w:rPr>
        <w:t>(10) Sledovaným obdobím  sa na účely tohto zákona rozumie posledných 60 po sebe nasledujúcich kalendárnych mesiacov.</w:t>
      </w:r>
    </w:p>
    <w:p w:rsidR="00DD5ADF" w:rsidRPr="009F7BFC" w:rsidP="0046729B">
      <w:pPr>
        <w:bidi w:val="0"/>
        <w:spacing w:before="120" w:line="360" w:lineRule="auto"/>
        <w:ind w:left="360" w:firstLine="348"/>
        <w:jc w:val="both"/>
        <w:rPr>
          <w:rFonts w:ascii="Arial" w:hAnsi="Arial" w:cs="Arial"/>
          <w:sz w:val="22"/>
          <w:szCs w:val="22"/>
        </w:rPr>
      </w:pPr>
      <w:r w:rsidRPr="009F7BFC">
        <w:rPr>
          <w:rFonts w:ascii="Arial" w:hAnsi="Arial" w:cs="Arial"/>
          <w:sz w:val="22"/>
          <w:szCs w:val="22"/>
        </w:rPr>
        <w:t xml:space="preserve">(11) Na účely výpočtu výšky odplaty dôchodkovej správcovskej spoločnosti podľa odseku 1 písm. c) sa zhodnotením majetku v dôchodkovom fonde podľa odseku 9 rozumie súčin pomeru aritmetického priemeru aktuálnych hodnôt dôchodkových jednotiek za posledný kalendárny mesiac sledovaného obdobia a aritmetického priemeru aktuálnych hodnôt dôchodkových jednotiek za prvý kalendárny mesiac sledovaného obdobia zníženého o hodnotu </w:t>
      </w:r>
      <w:smartTag w:uri="urn:schemas-microsoft-com:office:smarttags" w:element="metricconverter">
        <w:smartTagPr>
          <w:attr w:name="ProductID" w:val="1ﾠa"/>
        </w:smartTagPr>
        <w:r w:rsidRPr="009F7BFC">
          <w:rPr>
            <w:rFonts w:ascii="Arial" w:hAnsi="Arial" w:cs="Arial"/>
            <w:sz w:val="22"/>
            <w:szCs w:val="22"/>
          </w:rPr>
          <w:t>1 a</w:t>
        </w:r>
      </w:smartTag>
      <w:r w:rsidRPr="009F7BFC">
        <w:rPr>
          <w:rFonts w:ascii="Arial" w:hAnsi="Arial" w:cs="Arial"/>
          <w:sz w:val="22"/>
          <w:szCs w:val="22"/>
        </w:rPr>
        <w:t xml:space="preserve"> priemernej čistej hodnoty majetku v dôchodkovom fonde za sledované obdobie. </w:t>
      </w:r>
    </w:p>
    <w:p w:rsidR="00DD5ADF" w:rsidRPr="009F7BFC" w:rsidP="0046729B">
      <w:pPr>
        <w:bidi w:val="0"/>
        <w:spacing w:before="120" w:line="360" w:lineRule="auto"/>
        <w:ind w:left="360" w:firstLine="348"/>
        <w:jc w:val="both"/>
        <w:rPr>
          <w:rFonts w:ascii="Arial" w:hAnsi="Arial" w:cs="Arial"/>
          <w:sz w:val="22"/>
          <w:szCs w:val="22"/>
        </w:rPr>
      </w:pPr>
      <w:r w:rsidRPr="009F7BFC">
        <w:rPr>
          <w:rFonts w:ascii="Arial" w:hAnsi="Arial" w:cs="Arial"/>
          <w:sz w:val="22"/>
          <w:szCs w:val="22"/>
        </w:rPr>
        <w:t>(12) Odplata podľa odseku 1 písm. c) sa dôchodkovej správcovskej spoločnosti vypláca z garančného účtu dôchodkového fondu. Dôchodková správcovská spoločnosť odpíše z garančného účtu dôchodkového fondu počet dôchodkových jednotiek, ktorý zodpovedá podielu hodnoty podľa odseku 9  a aktuálnej hodnoty dôchodkovej jednotky.</w:t>
      </w:r>
    </w:p>
    <w:p w:rsidR="00DD5ADF" w:rsidRPr="009F7BFC" w:rsidP="0046729B">
      <w:pPr>
        <w:bidi w:val="0"/>
        <w:spacing w:before="120" w:line="360" w:lineRule="auto"/>
        <w:ind w:left="360" w:firstLine="348"/>
        <w:jc w:val="both"/>
        <w:rPr>
          <w:rFonts w:ascii="Arial" w:hAnsi="Arial" w:cs="Arial"/>
          <w:sz w:val="22"/>
          <w:szCs w:val="22"/>
          <w:highlight w:val="yellow"/>
        </w:rPr>
      </w:pPr>
      <w:r w:rsidRPr="009F7BFC">
        <w:rPr>
          <w:rFonts w:ascii="Arial" w:hAnsi="Arial" w:cs="Arial"/>
          <w:sz w:val="22"/>
          <w:szCs w:val="22"/>
        </w:rPr>
        <w:t>(13) Ak výsledok výpočtu podľa odseku 11 je záporný, odplata dôchodkovej správcovskej spoločnosti podľa odseku 1 písm. c) nepatrí a dôchodková správcovská spoločnosť postupuje podľa § 63c.“.</w:t>
      </w:r>
      <w:r w:rsidRPr="009F7BFC">
        <w:rPr>
          <w:rFonts w:ascii="Arial" w:hAnsi="Arial" w:cs="Arial"/>
          <w:sz w:val="22"/>
          <w:szCs w:val="22"/>
        </w:rPr>
        <w:t xml:space="preserve"> </w:t>
      </w:r>
    </w:p>
    <w:p w:rsidR="00DD5ADF" w:rsidRPr="009F7BFC" w:rsidP="0046729B">
      <w:pPr>
        <w:tabs>
          <w:tab w:val="num" w:pos="360"/>
        </w:tabs>
        <w:bidi w:val="0"/>
        <w:spacing w:before="120" w:line="360" w:lineRule="auto"/>
        <w:jc w:val="both"/>
        <w:rPr>
          <w:rFonts w:ascii="Arial" w:hAnsi="Arial" w:cs="Arial"/>
          <w:sz w:val="22"/>
          <w:szCs w:val="22"/>
        </w:rPr>
      </w:pPr>
      <w:r w:rsidRPr="009F7BFC">
        <w:rPr>
          <w:rFonts w:ascii="Arial" w:hAnsi="Arial" w:cs="Arial"/>
          <w:sz w:val="22"/>
          <w:szCs w:val="22"/>
        </w:rPr>
        <w:t>6.   Za § 63a sa vkladajú § 63b a 63c, ktoré znejú:</w:t>
      </w:r>
    </w:p>
    <w:p w:rsidR="00DD5ADF" w:rsidRPr="009F7BFC" w:rsidP="0046729B">
      <w:pPr>
        <w:bidi w:val="0"/>
        <w:spacing w:before="120" w:line="360" w:lineRule="auto"/>
        <w:jc w:val="center"/>
        <w:rPr>
          <w:rFonts w:ascii="Arial" w:hAnsi="Arial" w:cs="Arial"/>
          <w:b/>
          <w:sz w:val="22"/>
          <w:szCs w:val="22"/>
        </w:rPr>
      </w:pPr>
      <w:r w:rsidRPr="009F7BFC">
        <w:rPr>
          <w:rFonts w:ascii="Arial" w:hAnsi="Arial" w:cs="Arial"/>
          <w:b/>
          <w:sz w:val="22"/>
          <w:szCs w:val="22"/>
        </w:rPr>
        <w:t>„§ 63b</w:t>
      </w:r>
    </w:p>
    <w:p w:rsidR="00DD5ADF" w:rsidRPr="009F7BFC" w:rsidP="0046729B">
      <w:pPr>
        <w:bidi w:val="0"/>
        <w:spacing w:before="120" w:line="360" w:lineRule="auto"/>
        <w:ind w:left="360" w:firstLine="348"/>
        <w:jc w:val="both"/>
        <w:rPr>
          <w:rFonts w:ascii="Times New Roman" w:hAnsi="Times New Roman"/>
        </w:rPr>
      </w:pPr>
      <w:r w:rsidRPr="009F7BFC">
        <w:rPr>
          <w:rFonts w:ascii="Arial" w:hAnsi="Arial" w:cs="Arial"/>
          <w:sz w:val="22"/>
          <w:szCs w:val="22"/>
        </w:rPr>
        <w:t>Na garančný účet dôchodkového fondu sa v prvý pracovný deň kalendárneho mesiaca uhradí suma poplatku na garančný účet dôchodkového fondu (ďalej len „poplatok“) vypočítaná podľa prílohy č. 3 k poslednému dňu predchádzajúceho kalendárneho mesiaca.</w:t>
      </w:r>
    </w:p>
    <w:p w:rsidR="00DD5ADF" w:rsidP="0046729B">
      <w:pPr>
        <w:bidi w:val="0"/>
        <w:spacing w:before="120" w:line="360" w:lineRule="auto"/>
        <w:jc w:val="both"/>
        <w:rPr>
          <w:rFonts w:ascii="Arial" w:hAnsi="Arial" w:cs="Arial"/>
          <w:sz w:val="22"/>
          <w:szCs w:val="22"/>
        </w:rPr>
      </w:pPr>
    </w:p>
    <w:p w:rsidR="00625B25" w:rsidRPr="009F7BFC" w:rsidP="0046729B">
      <w:pPr>
        <w:bidi w:val="0"/>
        <w:spacing w:before="120" w:line="360" w:lineRule="auto"/>
        <w:jc w:val="both"/>
        <w:rPr>
          <w:rFonts w:ascii="Arial" w:hAnsi="Arial" w:cs="Arial"/>
          <w:sz w:val="22"/>
          <w:szCs w:val="22"/>
        </w:rPr>
      </w:pPr>
    </w:p>
    <w:p w:rsidR="00DD5ADF" w:rsidRPr="009F7BFC" w:rsidP="0046729B">
      <w:pPr>
        <w:bidi w:val="0"/>
        <w:spacing w:before="120" w:line="360" w:lineRule="auto"/>
        <w:ind w:left="360" w:hanging="360"/>
        <w:jc w:val="center"/>
        <w:rPr>
          <w:rFonts w:ascii="Arial" w:hAnsi="Arial" w:cs="Arial"/>
          <w:b/>
          <w:sz w:val="22"/>
          <w:szCs w:val="22"/>
        </w:rPr>
      </w:pPr>
      <w:r w:rsidRPr="009F7BFC">
        <w:rPr>
          <w:rFonts w:ascii="Arial" w:hAnsi="Arial" w:cs="Arial"/>
          <w:b/>
          <w:sz w:val="22"/>
          <w:szCs w:val="22"/>
        </w:rPr>
        <w:t>§ 63c</w:t>
      </w:r>
    </w:p>
    <w:p w:rsidR="00DD5ADF" w:rsidRPr="009F7BFC" w:rsidP="0046729B">
      <w:pPr>
        <w:bidi w:val="0"/>
        <w:spacing w:before="120" w:line="360" w:lineRule="auto"/>
        <w:ind w:left="360" w:firstLine="348"/>
        <w:jc w:val="both"/>
        <w:rPr>
          <w:rFonts w:ascii="Arial" w:hAnsi="Arial" w:cs="Arial"/>
          <w:sz w:val="22"/>
          <w:szCs w:val="22"/>
        </w:rPr>
      </w:pPr>
      <w:r w:rsidRPr="009F7BFC">
        <w:rPr>
          <w:rFonts w:ascii="Arial" w:hAnsi="Arial" w:cs="Arial"/>
          <w:sz w:val="22"/>
          <w:szCs w:val="22"/>
        </w:rPr>
        <w:t xml:space="preserve">(1) Dôchodková správcovská spoločnosť je povinná zvýšiť aktuálnu hodnotu dôchodkovej jednotky vypočítanú podľa § 75 ods. 5 k poslednému dňu sledovaného obdobia spôsobom podľa odsekov </w:t>
      </w:r>
      <w:smartTag w:uri="urn:schemas-microsoft-com:office:smarttags" w:element="metricconverter">
        <w:smartTagPr>
          <w:attr w:name="ProductID" w:val="2 a"/>
        </w:smartTagPr>
        <w:r w:rsidRPr="009F7BFC">
          <w:rPr>
            <w:rFonts w:ascii="Arial" w:hAnsi="Arial" w:cs="Arial"/>
            <w:sz w:val="22"/>
            <w:szCs w:val="22"/>
          </w:rPr>
          <w:t>2 a</w:t>
        </w:r>
      </w:smartTag>
      <w:r w:rsidRPr="009F7BFC">
        <w:rPr>
          <w:rFonts w:ascii="Arial" w:hAnsi="Arial" w:cs="Arial"/>
          <w:sz w:val="22"/>
          <w:szCs w:val="22"/>
        </w:rPr>
        <w:t xml:space="preserve"> 3.</w:t>
      </w:r>
    </w:p>
    <w:p w:rsidR="00DD5ADF" w:rsidRPr="009F7BFC" w:rsidP="0046729B">
      <w:pPr>
        <w:bidi w:val="0"/>
        <w:spacing w:before="120" w:line="360" w:lineRule="auto"/>
        <w:ind w:left="360" w:firstLine="348"/>
        <w:jc w:val="both"/>
        <w:rPr>
          <w:rFonts w:ascii="Arial" w:hAnsi="Arial" w:cs="Arial"/>
          <w:sz w:val="22"/>
          <w:szCs w:val="22"/>
        </w:rPr>
      </w:pPr>
      <w:r w:rsidRPr="009F7BFC">
        <w:rPr>
          <w:rFonts w:ascii="Arial" w:hAnsi="Arial" w:cs="Arial"/>
          <w:sz w:val="22"/>
          <w:szCs w:val="22"/>
        </w:rPr>
        <w:t>(2) Ak je aktuálna hodnota garančného účtu dôchodkového fondu vyjadrená v peniazoch vyššia alebo rovná absolútnej hodnote sumy určenej podľa § 63 ods. 11, dôchodková správcovská spoločnosť odpíše z garančného účtu dôchodkového fondu počet dôchodkových jednotiek, ktorý zodpovedá podielu absolútnej hodnoty sumy určenej podľa § 63 ods. 11 a aktuálnej hodnoty dôchodkovej jednotky podľa § 75 ods. 5.</w:t>
      </w:r>
    </w:p>
    <w:p w:rsidR="00DD5ADF" w:rsidRPr="009F7BFC" w:rsidP="0046729B">
      <w:pPr>
        <w:bidi w:val="0"/>
        <w:spacing w:before="120" w:line="360" w:lineRule="auto"/>
        <w:ind w:left="360" w:firstLine="348"/>
        <w:jc w:val="both"/>
        <w:rPr>
          <w:rFonts w:ascii="Arial" w:hAnsi="Arial" w:cs="Arial"/>
          <w:sz w:val="22"/>
          <w:szCs w:val="22"/>
        </w:rPr>
      </w:pPr>
      <w:r w:rsidRPr="009F7BFC">
        <w:rPr>
          <w:rFonts w:ascii="Arial" w:hAnsi="Arial" w:cs="Arial"/>
          <w:sz w:val="22"/>
          <w:szCs w:val="22"/>
        </w:rPr>
        <w:t>(3) Ak je aktuálna hodnota garančného účtu dôchodkového fondu vyjadrená v peniazoch nižšia ako absolútna hodnota sumy určenej podľa § 63 ods. 11, dôchodková správcovská spoločnosť odpíše z garančného účtu dôchodkového fondu všetky dôchodkové jednotky a  do majetku v dôchodkovom fonde doplní z vlastného majetku rozdiel absolútnej hodnoty sumy určenej podľa § 63 ods. 11 a aktuálnej hodnoty garančného účtu dôchodkového fondu vyjadrenej v peniazoch.</w:t>
      </w:r>
    </w:p>
    <w:p w:rsidR="00DD5ADF" w:rsidRPr="009F7BFC" w:rsidP="0046729B">
      <w:pPr>
        <w:bidi w:val="0"/>
        <w:spacing w:before="120" w:line="360" w:lineRule="auto"/>
        <w:ind w:left="360" w:firstLine="348"/>
        <w:jc w:val="both"/>
        <w:rPr>
          <w:rFonts w:ascii="Arial" w:hAnsi="Arial" w:cs="Arial"/>
          <w:sz w:val="22"/>
          <w:szCs w:val="22"/>
        </w:rPr>
      </w:pPr>
      <w:r w:rsidRPr="009F7BFC">
        <w:rPr>
          <w:rFonts w:ascii="Arial" w:hAnsi="Arial" w:cs="Arial"/>
          <w:sz w:val="22"/>
          <w:szCs w:val="22"/>
        </w:rPr>
        <w:t xml:space="preserve">(4) Čistá hodnota majetku v dôchodkovom fonde platná k poslednému dňu sledovaného obdobia je čistá hodnota majetku upravená podľa odseku 3. Aktuálna hodnota dôchodkovej jednotky platná k poslednému dňu sledovaného obdobia sa určí ako podiel čistej hodnoty majetku v dôchodkovom fonde upravenej podľa odsekov 2 a 3 a počtu dôchodkových jednotiek upravených podľa odsekov 2 a 3. </w:t>
      </w:r>
    </w:p>
    <w:p w:rsidR="00DD5ADF" w:rsidRPr="009F7BFC" w:rsidP="0046729B">
      <w:pPr>
        <w:bidi w:val="0"/>
        <w:spacing w:before="120" w:line="360" w:lineRule="auto"/>
        <w:ind w:left="360" w:firstLine="348"/>
        <w:jc w:val="both"/>
        <w:rPr>
          <w:rFonts w:ascii="Arial" w:hAnsi="Arial" w:cs="Arial"/>
          <w:sz w:val="22"/>
          <w:szCs w:val="22"/>
        </w:rPr>
      </w:pPr>
      <w:r w:rsidRPr="009F7BFC">
        <w:rPr>
          <w:rFonts w:ascii="Arial" w:hAnsi="Arial" w:cs="Arial"/>
          <w:sz w:val="22"/>
          <w:szCs w:val="22"/>
        </w:rPr>
        <w:t xml:space="preserve">(5) Ak dôchodková správcovská spoločnosť zvýšila aktuálnu hodnotu dôchodkovej jednotky postupom podľa odsekov 1 až 4, nepostupuje v sledovanom období opätovne podľa § 63 ods. </w:t>
      </w:r>
      <w:smartTag w:uri="urn:schemas-microsoft-com:office:smarttags" w:element="metricconverter">
        <w:smartTagPr>
          <w:attr w:name="ProductID" w:val="11 a"/>
        </w:smartTagPr>
        <w:r w:rsidRPr="009F7BFC">
          <w:rPr>
            <w:rFonts w:ascii="Arial" w:hAnsi="Arial" w:cs="Arial"/>
            <w:sz w:val="22"/>
            <w:szCs w:val="22"/>
          </w:rPr>
          <w:t>11 a</w:t>
        </w:r>
      </w:smartTag>
      <w:r w:rsidRPr="009F7BFC">
        <w:rPr>
          <w:rFonts w:ascii="Arial" w:hAnsi="Arial" w:cs="Arial"/>
          <w:sz w:val="22"/>
          <w:szCs w:val="22"/>
        </w:rPr>
        <w:t xml:space="preserve"> 13. </w:t>
      </w:r>
    </w:p>
    <w:p w:rsidR="00DD5ADF" w:rsidRPr="009F7BFC" w:rsidP="0046729B">
      <w:pPr>
        <w:bidi w:val="0"/>
        <w:spacing w:before="120" w:line="360" w:lineRule="auto"/>
        <w:ind w:left="360" w:hanging="360"/>
        <w:jc w:val="both"/>
        <w:rPr>
          <w:rFonts w:ascii="Arial" w:hAnsi="Arial" w:cs="Arial"/>
          <w:sz w:val="22"/>
          <w:szCs w:val="22"/>
        </w:rPr>
      </w:pPr>
      <w:r w:rsidRPr="009F7BFC">
        <w:rPr>
          <w:rFonts w:ascii="Arial" w:hAnsi="Arial" w:cs="Arial"/>
          <w:sz w:val="22"/>
          <w:szCs w:val="22"/>
        </w:rPr>
        <w:t>7. V § 72 ods. 1 sa slová „príspevky a penále“ nahrádzajú slovami „príspevky, penále a majetok doplnený podľa § 63c ods. 3“.</w:t>
      </w:r>
    </w:p>
    <w:p w:rsidR="00DD5ADF" w:rsidRPr="009F7BFC" w:rsidP="0046729B">
      <w:pPr>
        <w:bidi w:val="0"/>
        <w:spacing w:before="120" w:line="360" w:lineRule="auto"/>
        <w:ind w:left="360" w:hanging="360"/>
        <w:jc w:val="both"/>
        <w:rPr>
          <w:rFonts w:ascii="Arial" w:hAnsi="Arial" w:cs="Arial"/>
          <w:sz w:val="22"/>
          <w:szCs w:val="22"/>
        </w:rPr>
      </w:pPr>
      <w:r w:rsidRPr="009F7BFC">
        <w:rPr>
          <w:rFonts w:ascii="Arial" w:hAnsi="Arial" w:cs="Arial"/>
          <w:sz w:val="22"/>
          <w:szCs w:val="22"/>
        </w:rPr>
        <w:t>8. V § 74 odsek 1 tretia veta znie: „Majetok v dôchodkovom fonde tvoria podiely sporiteľov na tomto majetku a podiel garančného účtu dôchodkového fondu na tomto majetku, pričom podiel sporiteľa na tomto majetku je vyjadrený pomerom dôchodkových jednotiek na osobnom dôchodkov</w:t>
      </w:r>
      <w:r>
        <w:rPr>
          <w:rFonts w:ascii="Arial" w:hAnsi="Arial" w:cs="Arial"/>
          <w:sz w:val="22"/>
          <w:szCs w:val="22"/>
        </w:rPr>
        <w:t>o</w:t>
      </w:r>
      <w:r w:rsidRPr="009F7BFC">
        <w:rPr>
          <w:rFonts w:ascii="Arial" w:hAnsi="Arial" w:cs="Arial"/>
          <w:sz w:val="22"/>
          <w:szCs w:val="22"/>
        </w:rPr>
        <w:t>m účte sporiteľa ku všetkým dôchodkovým jednotkám tohto dôchodkového fondu.“.</w:t>
      </w:r>
    </w:p>
    <w:p w:rsidR="00DD5ADF" w:rsidRPr="009F7BFC" w:rsidP="0046729B">
      <w:pPr>
        <w:bidi w:val="0"/>
        <w:spacing w:before="120" w:line="360" w:lineRule="auto"/>
        <w:ind w:left="360" w:hanging="360"/>
        <w:jc w:val="both"/>
        <w:rPr>
          <w:rFonts w:ascii="Arial" w:hAnsi="Arial" w:cs="Arial"/>
          <w:sz w:val="22"/>
          <w:szCs w:val="22"/>
        </w:rPr>
      </w:pPr>
      <w:r w:rsidRPr="009F7BFC">
        <w:rPr>
          <w:rFonts w:ascii="Arial" w:hAnsi="Arial" w:cs="Arial"/>
          <w:sz w:val="22"/>
          <w:szCs w:val="22"/>
        </w:rPr>
        <w:t xml:space="preserve">9. </w:t>
      </w:r>
      <w:r w:rsidR="00A15503">
        <w:rPr>
          <w:rFonts w:ascii="Arial" w:hAnsi="Arial" w:cs="Arial"/>
          <w:sz w:val="22"/>
          <w:szCs w:val="22"/>
        </w:rPr>
        <w:t xml:space="preserve"> </w:t>
      </w:r>
      <w:r w:rsidRPr="009F7BFC">
        <w:rPr>
          <w:rFonts w:ascii="Arial" w:hAnsi="Arial" w:cs="Arial"/>
          <w:sz w:val="22"/>
          <w:szCs w:val="22"/>
        </w:rPr>
        <w:t xml:space="preserve">V § 75 ods. 5 sa za slová „dôchodkového fondu“ vkladajú slová „a na garančnom účte dôchodkového fondu“. </w:t>
      </w:r>
    </w:p>
    <w:p w:rsidR="00DD5ADF" w:rsidRPr="009F7BFC" w:rsidP="0046729B">
      <w:pPr>
        <w:numPr>
          <w:numId w:val="2"/>
        </w:numPr>
        <w:tabs>
          <w:tab w:val="num" w:pos="540"/>
          <w:tab w:val="clear" w:pos="720"/>
        </w:tabs>
        <w:bidi w:val="0"/>
        <w:spacing w:before="120" w:line="360" w:lineRule="auto"/>
        <w:ind w:hanging="720"/>
        <w:jc w:val="both"/>
        <w:rPr>
          <w:rFonts w:ascii="Arial" w:hAnsi="Arial" w:cs="Arial"/>
          <w:sz w:val="22"/>
          <w:szCs w:val="22"/>
        </w:rPr>
      </w:pPr>
      <w:r w:rsidRPr="009F7BFC">
        <w:rPr>
          <w:rFonts w:ascii="Arial" w:hAnsi="Arial" w:cs="Arial"/>
          <w:sz w:val="22"/>
          <w:szCs w:val="22"/>
        </w:rPr>
        <w:t xml:space="preserve"> V § 77 ods. 4 sa za písmeno f) vkladajú nové písmená g) a h), ktoré znejú:</w:t>
      </w:r>
    </w:p>
    <w:p w:rsidR="00DD5ADF" w:rsidRPr="009F7BFC" w:rsidP="0046729B">
      <w:pPr>
        <w:bidi w:val="0"/>
        <w:spacing w:before="120" w:line="360" w:lineRule="auto"/>
        <w:jc w:val="both"/>
        <w:rPr>
          <w:rFonts w:ascii="Arial" w:hAnsi="Arial" w:cs="Arial"/>
          <w:sz w:val="22"/>
          <w:szCs w:val="22"/>
        </w:rPr>
      </w:pPr>
      <w:r w:rsidRPr="009F7BFC">
        <w:rPr>
          <w:rFonts w:ascii="Arial" w:hAnsi="Arial" w:cs="Arial"/>
          <w:sz w:val="22"/>
          <w:szCs w:val="22"/>
        </w:rPr>
        <w:t xml:space="preserve">      „g) výšku odplaty za zhodnotenie majetku v dôchodkovom fonde,</w:t>
      </w:r>
    </w:p>
    <w:p w:rsidR="00DD5ADF" w:rsidRPr="009F7BFC" w:rsidP="0046729B">
      <w:pPr>
        <w:bidi w:val="0"/>
        <w:spacing w:before="120" w:line="360" w:lineRule="auto"/>
        <w:ind w:left="720" w:hanging="720"/>
        <w:jc w:val="both"/>
        <w:rPr>
          <w:rFonts w:ascii="Arial" w:hAnsi="Arial" w:cs="Arial"/>
          <w:sz w:val="22"/>
          <w:szCs w:val="22"/>
        </w:rPr>
      </w:pPr>
      <w:r w:rsidRPr="009F7BFC">
        <w:rPr>
          <w:rFonts w:ascii="Arial" w:hAnsi="Arial" w:cs="Arial"/>
          <w:sz w:val="22"/>
          <w:szCs w:val="22"/>
        </w:rPr>
        <w:t xml:space="preserve">       h) referenčnú hodnotu konzervatívneho dôchodkového fondu podľa § 91 a zloženie referenčnej hodnoty dôchodkových fondov podľa § 91a. “.</w:t>
      </w:r>
    </w:p>
    <w:p w:rsidR="00DD5ADF" w:rsidRPr="009F7BFC" w:rsidP="0046729B">
      <w:pPr>
        <w:bidi w:val="0"/>
        <w:spacing w:before="120" w:line="360" w:lineRule="auto"/>
        <w:jc w:val="both"/>
        <w:rPr>
          <w:rFonts w:ascii="Arial" w:hAnsi="Arial" w:cs="Arial"/>
          <w:sz w:val="22"/>
          <w:szCs w:val="22"/>
        </w:rPr>
      </w:pPr>
      <w:r>
        <w:rPr>
          <w:rFonts w:ascii="Arial" w:hAnsi="Arial" w:cs="Arial"/>
          <w:sz w:val="22"/>
          <w:szCs w:val="22"/>
        </w:rPr>
        <w:t xml:space="preserve">      </w:t>
      </w:r>
      <w:r w:rsidRPr="009F7BFC">
        <w:rPr>
          <w:rFonts w:ascii="Arial" w:hAnsi="Arial" w:cs="Arial"/>
          <w:sz w:val="22"/>
          <w:szCs w:val="22"/>
        </w:rPr>
        <w:t xml:space="preserve">Doterajšie písmená g) a h) sa označujú ako písmená i) a j).  </w:t>
      </w:r>
    </w:p>
    <w:p w:rsidR="00DD5ADF" w:rsidRPr="009F7BFC" w:rsidP="0046729B">
      <w:pPr>
        <w:bidi w:val="0"/>
        <w:spacing w:before="120" w:line="360" w:lineRule="auto"/>
        <w:rPr>
          <w:rFonts w:ascii="Arial" w:hAnsi="Arial" w:cs="Arial"/>
          <w:sz w:val="22"/>
          <w:szCs w:val="22"/>
        </w:rPr>
      </w:pPr>
      <w:r w:rsidRPr="009F7BFC">
        <w:rPr>
          <w:rFonts w:ascii="Arial" w:hAnsi="Arial" w:cs="Arial"/>
          <w:sz w:val="22"/>
          <w:szCs w:val="22"/>
        </w:rPr>
        <w:t xml:space="preserve">11. § 91 vrátane nadpisu znie: </w:t>
      </w:r>
    </w:p>
    <w:p w:rsidR="00DD5ADF" w:rsidRPr="009F7BFC" w:rsidP="0046729B">
      <w:pPr>
        <w:bidi w:val="0"/>
        <w:spacing w:before="120" w:line="360" w:lineRule="auto"/>
        <w:jc w:val="center"/>
        <w:rPr>
          <w:rFonts w:ascii="Arial" w:hAnsi="Arial" w:cs="Arial"/>
          <w:b/>
          <w:sz w:val="22"/>
          <w:szCs w:val="22"/>
        </w:rPr>
      </w:pPr>
      <w:r w:rsidRPr="009F7BFC">
        <w:rPr>
          <w:rFonts w:ascii="Arial" w:hAnsi="Arial" w:cs="Arial"/>
          <w:b/>
          <w:sz w:val="22"/>
          <w:szCs w:val="22"/>
        </w:rPr>
        <w:t>„§ 91</w:t>
      </w:r>
    </w:p>
    <w:p w:rsidR="00DD5ADF" w:rsidRPr="009F7BFC" w:rsidP="0046729B">
      <w:pPr>
        <w:bidi w:val="0"/>
        <w:spacing w:before="120" w:line="360" w:lineRule="auto"/>
        <w:jc w:val="center"/>
        <w:rPr>
          <w:rFonts w:ascii="Arial" w:hAnsi="Arial" w:cs="Arial"/>
          <w:b/>
          <w:sz w:val="22"/>
          <w:szCs w:val="22"/>
        </w:rPr>
      </w:pPr>
      <w:r w:rsidRPr="009F7BFC">
        <w:rPr>
          <w:rFonts w:ascii="Arial" w:hAnsi="Arial" w:cs="Arial"/>
          <w:b/>
          <w:sz w:val="22"/>
          <w:szCs w:val="22"/>
        </w:rPr>
        <w:t>Porovnávanie výkonnosti konzervatívneho dôchodkového fondu s referenčnou hodnotou hodnoty konzervatívneho dôchodkového fondu</w:t>
      </w:r>
    </w:p>
    <w:p w:rsidR="00DD5ADF" w:rsidRPr="009F7BFC" w:rsidP="0046729B">
      <w:pPr>
        <w:bidi w:val="0"/>
        <w:spacing w:before="120" w:line="360" w:lineRule="auto"/>
        <w:ind w:left="360" w:firstLine="348"/>
        <w:jc w:val="both"/>
        <w:rPr>
          <w:rFonts w:ascii="Arial" w:hAnsi="Arial" w:cs="Arial"/>
          <w:sz w:val="22"/>
          <w:szCs w:val="22"/>
        </w:rPr>
      </w:pPr>
      <w:r w:rsidRPr="009F7BFC">
        <w:rPr>
          <w:rFonts w:ascii="Arial" w:hAnsi="Arial" w:cs="Arial"/>
          <w:sz w:val="22"/>
          <w:szCs w:val="22"/>
        </w:rPr>
        <w:t xml:space="preserve">(1) Dôchodková správcovská spoločnosť je povinná porovnávať výkonnosť ňou spravovaného konzervatívneho dôchodkového fondu s  referenčnou hodnotou  konzervatívneho dôchodkového fondu. </w:t>
      </w:r>
    </w:p>
    <w:p w:rsidR="00DD5ADF" w:rsidRPr="009F7BFC" w:rsidP="0046729B">
      <w:pPr>
        <w:bidi w:val="0"/>
        <w:spacing w:before="120" w:line="360" w:lineRule="auto"/>
        <w:ind w:left="360" w:firstLine="348"/>
        <w:jc w:val="both"/>
        <w:rPr>
          <w:rFonts w:ascii="Arial" w:hAnsi="Arial" w:cs="Arial"/>
          <w:sz w:val="22"/>
          <w:szCs w:val="22"/>
        </w:rPr>
      </w:pPr>
      <w:r w:rsidRPr="009F7BFC">
        <w:rPr>
          <w:rFonts w:ascii="Arial" w:hAnsi="Arial" w:cs="Arial"/>
          <w:sz w:val="22"/>
          <w:szCs w:val="22"/>
        </w:rPr>
        <w:t>(2) Dôchodková správcovská spoločnosť je povinná dosahovať výkonnosť v konzervatívnom dôchodkovom fonde najmenej na úrovni referenčnej hodnoty konzervatívneho dôchodkového fondu.</w:t>
      </w:r>
    </w:p>
    <w:p w:rsidR="00DD5ADF" w:rsidRPr="009F7BFC" w:rsidP="0046729B">
      <w:pPr>
        <w:bidi w:val="0"/>
        <w:spacing w:before="120" w:line="360" w:lineRule="auto"/>
        <w:ind w:left="360" w:firstLine="348"/>
        <w:jc w:val="both"/>
        <w:rPr>
          <w:rFonts w:ascii="Arial" w:hAnsi="Arial" w:cs="Arial"/>
          <w:sz w:val="22"/>
          <w:szCs w:val="22"/>
        </w:rPr>
      </w:pPr>
      <w:r w:rsidRPr="009F7BFC">
        <w:rPr>
          <w:rFonts w:ascii="Arial" w:hAnsi="Arial" w:cs="Arial"/>
          <w:sz w:val="22"/>
          <w:szCs w:val="22"/>
        </w:rPr>
        <w:t xml:space="preserve">(3) Nesplnenie povinnosti podľa odsekov 1 a 2 je dôchodková správcovská spoločnosť bez zbytočného odkladu povinná oznámiť Národnej banke Slovenska. </w:t>
      </w:r>
    </w:p>
    <w:p w:rsidR="00DD5ADF" w:rsidRPr="009F7BFC" w:rsidP="0046729B">
      <w:pPr>
        <w:bidi w:val="0"/>
        <w:spacing w:before="120" w:line="360" w:lineRule="auto"/>
        <w:ind w:left="360" w:firstLine="348"/>
        <w:jc w:val="both"/>
        <w:rPr>
          <w:rFonts w:ascii="Arial" w:hAnsi="Arial" w:cs="Arial"/>
          <w:sz w:val="22"/>
          <w:szCs w:val="22"/>
        </w:rPr>
      </w:pPr>
      <w:r w:rsidRPr="009F7BFC">
        <w:rPr>
          <w:rFonts w:ascii="Arial" w:hAnsi="Arial" w:cs="Arial"/>
          <w:sz w:val="22"/>
          <w:szCs w:val="22"/>
        </w:rPr>
        <w:t>(4) Národná banka Slovenska môže uložiť dôchodkovej správcovskej spoločnosti za porušenie povinnosti podľa odseku 2 okrem sankcií podľa § 115 ods. 1 aj povinnosť doplniť do konzervatívneho dôchodkového fondu majetok v takej výške, aby výkonnosť konzervatívneho dôchodkového fondu bola na úrovni podľa odseku 2.</w:t>
      </w:r>
    </w:p>
    <w:p w:rsidR="00DD5ADF" w:rsidRPr="009F7BFC" w:rsidP="0046729B">
      <w:pPr>
        <w:bidi w:val="0"/>
        <w:spacing w:before="120" w:line="360" w:lineRule="auto"/>
        <w:ind w:left="360" w:firstLine="348"/>
        <w:jc w:val="both"/>
        <w:rPr>
          <w:rFonts w:ascii="Arial" w:hAnsi="Arial" w:cs="Arial"/>
          <w:sz w:val="22"/>
          <w:szCs w:val="22"/>
        </w:rPr>
      </w:pPr>
      <w:r w:rsidRPr="009F7BFC">
        <w:rPr>
          <w:rFonts w:ascii="Arial" w:hAnsi="Arial" w:cs="Arial"/>
          <w:sz w:val="22"/>
          <w:szCs w:val="22"/>
        </w:rPr>
        <w:t>(5) Národná banka Slovenska ustanoví všeobecne záväzným právnym predpisom čo sa rozumie výkonnosťou konzervatívneho dôchodkového fondu, referenčnou hodnotou konzervatívneho dôchodkového fondu, postup ich výpočtu, obdobie a periodicitu porovnávania výkonnosti konzervatívneho dôchodkového fondu s  referenčnou hodnotou konzervatívneho dôchodkového fondu, zloženie referenčnej hodnoty konzervatívneho dôchodkového fondu a ďalšie podrobnosti o vykonávaní porovnávania výkonnosti konzervatívneho dôchodkového fondu s   referenčnou hodnotou konzervatívneho dôchodkového fondu.“.</w:t>
      </w:r>
    </w:p>
    <w:p w:rsidR="00BF19DF" w:rsidP="0046729B">
      <w:pPr>
        <w:bidi w:val="0"/>
        <w:spacing w:before="120" w:line="360" w:lineRule="auto"/>
        <w:jc w:val="both"/>
        <w:rPr>
          <w:rFonts w:ascii="Arial" w:hAnsi="Arial" w:cs="Arial"/>
          <w:sz w:val="22"/>
          <w:szCs w:val="22"/>
        </w:rPr>
      </w:pPr>
    </w:p>
    <w:p w:rsidR="00BF19DF" w:rsidP="0046729B">
      <w:pPr>
        <w:bidi w:val="0"/>
        <w:spacing w:before="120" w:line="360" w:lineRule="auto"/>
        <w:jc w:val="both"/>
        <w:rPr>
          <w:rFonts w:ascii="Arial" w:hAnsi="Arial" w:cs="Arial"/>
          <w:sz w:val="22"/>
          <w:szCs w:val="22"/>
        </w:rPr>
      </w:pPr>
    </w:p>
    <w:p w:rsidR="00BF19DF" w:rsidP="0046729B">
      <w:pPr>
        <w:bidi w:val="0"/>
        <w:spacing w:before="120" w:line="360" w:lineRule="auto"/>
        <w:jc w:val="both"/>
        <w:rPr>
          <w:rFonts w:ascii="Arial" w:hAnsi="Arial" w:cs="Arial"/>
          <w:sz w:val="22"/>
          <w:szCs w:val="22"/>
        </w:rPr>
      </w:pPr>
    </w:p>
    <w:p w:rsidR="00BF19DF" w:rsidP="0046729B">
      <w:pPr>
        <w:bidi w:val="0"/>
        <w:spacing w:before="120" w:line="360" w:lineRule="auto"/>
        <w:jc w:val="both"/>
        <w:rPr>
          <w:rFonts w:ascii="Arial" w:hAnsi="Arial" w:cs="Arial"/>
          <w:sz w:val="22"/>
          <w:szCs w:val="22"/>
        </w:rPr>
      </w:pPr>
    </w:p>
    <w:p w:rsidR="00BF19DF" w:rsidP="0046729B">
      <w:pPr>
        <w:bidi w:val="0"/>
        <w:spacing w:before="120" w:line="360" w:lineRule="auto"/>
        <w:jc w:val="both"/>
        <w:rPr>
          <w:rFonts w:ascii="Arial" w:hAnsi="Arial" w:cs="Arial"/>
          <w:sz w:val="22"/>
          <w:szCs w:val="22"/>
        </w:rPr>
      </w:pPr>
    </w:p>
    <w:p w:rsidR="00DD5ADF" w:rsidRPr="009F7BFC" w:rsidP="0046729B">
      <w:pPr>
        <w:bidi w:val="0"/>
        <w:spacing w:before="120" w:line="360" w:lineRule="auto"/>
        <w:jc w:val="both"/>
        <w:rPr>
          <w:rFonts w:ascii="Arial" w:hAnsi="Arial" w:cs="Arial"/>
          <w:sz w:val="22"/>
          <w:szCs w:val="22"/>
        </w:rPr>
      </w:pPr>
      <w:r w:rsidRPr="009F7BFC">
        <w:rPr>
          <w:rFonts w:ascii="Arial" w:hAnsi="Arial" w:cs="Arial"/>
          <w:sz w:val="22"/>
          <w:szCs w:val="22"/>
        </w:rPr>
        <w:t>12. Za § 91 sa vkladá § 91a, ktorý vrátane nadpisu znie:</w:t>
      </w:r>
    </w:p>
    <w:p w:rsidR="00DD5ADF" w:rsidRPr="009F7BFC" w:rsidP="00BF19DF">
      <w:pPr>
        <w:bidi w:val="0"/>
        <w:ind w:left="357"/>
        <w:jc w:val="center"/>
        <w:rPr>
          <w:rFonts w:ascii="Arial" w:hAnsi="Arial" w:cs="Arial"/>
          <w:b/>
          <w:sz w:val="22"/>
          <w:szCs w:val="22"/>
        </w:rPr>
      </w:pPr>
      <w:r w:rsidRPr="009F7BFC">
        <w:rPr>
          <w:rFonts w:ascii="Arial" w:hAnsi="Arial" w:cs="Arial"/>
          <w:b/>
          <w:sz w:val="22"/>
          <w:szCs w:val="22"/>
        </w:rPr>
        <w:t>„§ 91a</w:t>
      </w:r>
    </w:p>
    <w:p w:rsidR="00DD5ADF" w:rsidRPr="009F7BFC" w:rsidP="00BF19DF">
      <w:pPr>
        <w:bidi w:val="0"/>
        <w:ind w:left="357"/>
        <w:jc w:val="center"/>
        <w:rPr>
          <w:rFonts w:ascii="Arial" w:hAnsi="Arial" w:cs="Arial"/>
          <w:b/>
          <w:sz w:val="22"/>
          <w:szCs w:val="22"/>
        </w:rPr>
      </w:pPr>
      <w:r w:rsidRPr="009F7BFC">
        <w:rPr>
          <w:rFonts w:ascii="Arial" w:hAnsi="Arial" w:cs="Arial"/>
          <w:b/>
          <w:sz w:val="22"/>
          <w:szCs w:val="22"/>
        </w:rPr>
        <w:t>Porovnávanie zloženia majetku vo vyváženom dôchodkovom fonde so zložením referenčnej hodnoty vyváženého dôchodkového fondu a porovnávanie zloženia majetku v rastovom dôchodkovom fonde so zložením referenčnej hodnoty rastového dôchodkového fondu</w:t>
      </w:r>
    </w:p>
    <w:p w:rsidR="00BF19DF" w:rsidP="0046729B">
      <w:pPr>
        <w:bidi w:val="0"/>
        <w:spacing w:before="120" w:line="360" w:lineRule="auto"/>
        <w:ind w:left="360" w:firstLine="348"/>
        <w:jc w:val="both"/>
        <w:rPr>
          <w:rFonts w:ascii="Arial" w:hAnsi="Arial" w:cs="Arial"/>
          <w:sz w:val="22"/>
          <w:szCs w:val="22"/>
        </w:rPr>
      </w:pPr>
    </w:p>
    <w:p w:rsidR="00DD5ADF" w:rsidRPr="009F7BFC" w:rsidP="0046729B">
      <w:pPr>
        <w:bidi w:val="0"/>
        <w:spacing w:before="120" w:line="360" w:lineRule="auto"/>
        <w:ind w:left="360" w:firstLine="348"/>
        <w:jc w:val="both"/>
        <w:rPr>
          <w:rFonts w:ascii="Arial" w:hAnsi="Arial" w:cs="Arial"/>
          <w:sz w:val="22"/>
          <w:szCs w:val="22"/>
        </w:rPr>
      </w:pPr>
      <w:r w:rsidRPr="009F7BFC">
        <w:rPr>
          <w:rFonts w:ascii="Arial" w:hAnsi="Arial" w:cs="Arial"/>
          <w:sz w:val="22"/>
          <w:szCs w:val="22"/>
        </w:rPr>
        <w:t>(1) Dôchodková správcovská spoločnosť je povinná porovnávať zloženie majetku ňou spravovaného vyváženého dôchodkového  fondu so zložením referenčnej hodnoty vyváženého dôchodkového fondu  a porovnávať  zloženie majetku ňou spravovaného rastového dôchodkového fondu so zložením referenčnej hodnoty rastového dôchodkového fondu.</w:t>
      </w:r>
    </w:p>
    <w:p w:rsidR="00DD5ADF" w:rsidRPr="009F7BFC" w:rsidP="0046729B">
      <w:pPr>
        <w:bidi w:val="0"/>
        <w:spacing w:before="120" w:line="360" w:lineRule="auto"/>
        <w:ind w:left="360" w:firstLine="348"/>
        <w:jc w:val="both"/>
        <w:rPr>
          <w:rFonts w:ascii="Arial" w:hAnsi="Arial" w:cs="Arial"/>
          <w:sz w:val="22"/>
          <w:szCs w:val="22"/>
        </w:rPr>
      </w:pPr>
      <w:r w:rsidRPr="009F7BFC">
        <w:rPr>
          <w:rFonts w:ascii="Arial" w:hAnsi="Arial" w:cs="Arial"/>
          <w:sz w:val="22"/>
          <w:szCs w:val="22"/>
        </w:rPr>
        <w:t>(2) Dôchodková správcovská spoločnosť určí v štatúte dôchodkového fondu zloženie referenčnej hodnoty vyváženého dôchodkového fondu a zloženie referenčnej hodnoty rastového dôchodkového fondu. Zloženie referenčnej hodnoty vyváženého dôchodkového fondu a zloženie referenčnej hodnoty rastového dôchodkového fondu môže dôchodková správcovská spoločnosť zmeniť najskôr po uplynutí 60 kalendárnych mesiacov odo dňa nadobudnutia účinnosti jeho posledného určenia v štatúte; to neplatí ak Národná banka Slovenska udelí dôchodkovej správcovskej spoločnosti predchádzajúci súhlas na zmenu štatútu dôchodkového fondu týkajúcu sa zmeny zloženia referenčnej hodnoty pred uplynutím tejto lehoty.</w:t>
      </w:r>
    </w:p>
    <w:p w:rsidR="00DD5ADF" w:rsidRPr="009F7BFC" w:rsidP="0046729B">
      <w:pPr>
        <w:bidi w:val="0"/>
        <w:spacing w:before="120" w:line="360" w:lineRule="auto"/>
        <w:ind w:left="360" w:firstLine="348"/>
        <w:jc w:val="both"/>
        <w:rPr>
          <w:rFonts w:ascii="Arial" w:hAnsi="Arial" w:cs="Arial"/>
          <w:sz w:val="22"/>
          <w:szCs w:val="22"/>
        </w:rPr>
      </w:pPr>
      <w:r w:rsidRPr="009F7BFC">
        <w:rPr>
          <w:rFonts w:ascii="Arial" w:hAnsi="Arial" w:cs="Arial"/>
          <w:sz w:val="22"/>
          <w:szCs w:val="22"/>
        </w:rPr>
        <w:t>(3) Zloženie majetku vo vyváženom d</w:t>
      </w:r>
      <w:r>
        <w:rPr>
          <w:rFonts w:ascii="Arial" w:hAnsi="Arial" w:cs="Arial"/>
          <w:sz w:val="22"/>
          <w:szCs w:val="22"/>
        </w:rPr>
        <w:t>ô</w:t>
      </w:r>
      <w:r w:rsidRPr="009F7BFC">
        <w:rPr>
          <w:rFonts w:ascii="Arial" w:hAnsi="Arial" w:cs="Arial"/>
          <w:sz w:val="22"/>
          <w:szCs w:val="22"/>
        </w:rPr>
        <w:t xml:space="preserve">chodkovom fonde a v rastovom dôchodkovom fonde sa môže odchýliť od zloženia ich referenčnej hodnoty len v rozsahu ustanovenom vo všeobecne záväznom právnom predpise, ktorý vydá Národná banka Slovenska. </w:t>
      </w:r>
    </w:p>
    <w:p w:rsidR="00DD5ADF" w:rsidRPr="009F7BFC" w:rsidP="0046729B">
      <w:pPr>
        <w:bidi w:val="0"/>
        <w:spacing w:before="120" w:line="360" w:lineRule="auto"/>
        <w:ind w:left="360" w:firstLine="348"/>
        <w:jc w:val="both"/>
        <w:rPr>
          <w:rFonts w:ascii="Arial" w:hAnsi="Arial" w:cs="Arial"/>
          <w:sz w:val="22"/>
          <w:szCs w:val="22"/>
        </w:rPr>
      </w:pPr>
      <w:r w:rsidRPr="009F7BFC">
        <w:rPr>
          <w:rFonts w:ascii="Arial" w:hAnsi="Arial" w:cs="Arial"/>
          <w:sz w:val="22"/>
          <w:szCs w:val="22"/>
        </w:rPr>
        <w:t xml:space="preserve"> (4) Národná banka Slovenska ustanoví všeobecne záväzným právnym predpisom čo sa rozumie referenčnou hodnotou vyváženého dôchodkového fondu a pravidlá pre jej zloženie, čo sa rozumie referenčnou hodnotou rastového dôchodkového fondu a pravidlá pre jej zloženie, obdobie a periodicitu porovnávania zloženia majet</w:t>
      </w:r>
      <w:r>
        <w:rPr>
          <w:rFonts w:ascii="Arial" w:hAnsi="Arial" w:cs="Arial"/>
          <w:sz w:val="22"/>
          <w:szCs w:val="22"/>
        </w:rPr>
        <w:t>k</w:t>
      </w:r>
      <w:r w:rsidRPr="009F7BFC">
        <w:rPr>
          <w:rFonts w:ascii="Arial" w:hAnsi="Arial" w:cs="Arial"/>
          <w:sz w:val="22"/>
          <w:szCs w:val="22"/>
        </w:rPr>
        <w:t>u vo vyváženom dôchodkovom fonde a v rastovom dôchodkovom fonde so zložením ich  referenčnej hodnoty a ďalšie podrobnosti o vykonávaní porovnávania zloženia majet</w:t>
      </w:r>
      <w:r>
        <w:rPr>
          <w:rFonts w:ascii="Arial" w:hAnsi="Arial" w:cs="Arial"/>
          <w:sz w:val="22"/>
          <w:szCs w:val="22"/>
        </w:rPr>
        <w:t>k</w:t>
      </w:r>
      <w:r w:rsidRPr="009F7BFC">
        <w:rPr>
          <w:rFonts w:ascii="Arial" w:hAnsi="Arial" w:cs="Arial"/>
          <w:sz w:val="22"/>
          <w:szCs w:val="22"/>
        </w:rPr>
        <w:t>u vo vyváženom dôchodkovom fonde a v rastovom dôchodkovom fonde.“.</w:t>
      </w:r>
    </w:p>
    <w:p w:rsidR="00DD5ADF" w:rsidRPr="009F7BFC" w:rsidP="0046729B">
      <w:pPr>
        <w:bidi w:val="0"/>
        <w:spacing w:before="120" w:line="360" w:lineRule="auto"/>
        <w:jc w:val="both"/>
        <w:rPr>
          <w:rFonts w:ascii="Arial" w:hAnsi="Arial" w:cs="Arial"/>
          <w:sz w:val="22"/>
          <w:szCs w:val="22"/>
        </w:rPr>
      </w:pPr>
      <w:r w:rsidRPr="009F7BFC">
        <w:rPr>
          <w:rFonts w:ascii="Arial" w:hAnsi="Arial" w:cs="Arial"/>
          <w:sz w:val="22"/>
          <w:szCs w:val="22"/>
        </w:rPr>
        <w:t>13. Za § 98 sa vkladá § 98a, ktorý vrátane nadpisu znie:</w:t>
      </w:r>
    </w:p>
    <w:p w:rsidR="00DD5ADF" w:rsidRPr="009F7BFC" w:rsidP="0046729B">
      <w:pPr>
        <w:bidi w:val="0"/>
        <w:spacing w:before="120" w:line="360" w:lineRule="auto"/>
        <w:jc w:val="center"/>
        <w:rPr>
          <w:rFonts w:ascii="Arial" w:hAnsi="Arial" w:cs="Arial"/>
          <w:b/>
          <w:sz w:val="22"/>
          <w:szCs w:val="22"/>
        </w:rPr>
      </w:pPr>
      <w:r w:rsidRPr="009F7BFC">
        <w:rPr>
          <w:rFonts w:ascii="Arial" w:hAnsi="Arial" w:cs="Arial"/>
          <w:b/>
          <w:sz w:val="22"/>
          <w:szCs w:val="22"/>
        </w:rPr>
        <w:t>„§ 98a</w:t>
      </w:r>
    </w:p>
    <w:p w:rsidR="00DD5ADF" w:rsidRPr="009F7BFC" w:rsidP="0046729B">
      <w:pPr>
        <w:bidi w:val="0"/>
        <w:spacing w:before="120" w:line="360" w:lineRule="auto"/>
        <w:jc w:val="center"/>
        <w:rPr>
          <w:rFonts w:ascii="Arial" w:hAnsi="Arial" w:cs="Arial"/>
          <w:b/>
          <w:sz w:val="22"/>
          <w:szCs w:val="22"/>
        </w:rPr>
      </w:pPr>
      <w:r w:rsidRPr="009F7BFC">
        <w:rPr>
          <w:rFonts w:ascii="Arial" w:hAnsi="Arial" w:cs="Arial"/>
          <w:b/>
          <w:sz w:val="22"/>
          <w:szCs w:val="22"/>
        </w:rPr>
        <w:t>Garančný účet dôchodkového fondu</w:t>
      </w:r>
    </w:p>
    <w:p w:rsidR="00DD5ADF" w:rsidRPr="009F7BFC" w:rsidP="0046729B">
      <w:pPr>
        <w:bidi w:val="0"/>
        <w:spacing w:before="120" w:line="360" w:lineRule="auto"/>
        <w:ind w:left="360" w:firstLine="348"/>
        <w:jc w:val="both"/>
        <w:rPr>
          <w:rFonts w:ascii="Arial" w:hAnsi="Arial" w:cs="Arial"/>
          <w:sz w:val="22"/>
          <w:szCs w:val="22"/>
        </w:rPr>
      </w:pPr>
      <w:r w:rsidRPr="009F7BFC">
        <w:rPr>
          <w:rFonts w:ascii="Arial" w:hAnsi="Arial" w:cs="Arial"/>
          <w:sz w:val="22"/>
          <w:szCs w:val="22"/>
        </w:rPr>
        <w:t>(1) Dôchodková správcovská spoločnosť zriadi a vedie v každom ňou spravovanom dôchodkovom fonde garančný účet dôchodkového fondu. Na garančnom účte dôchodkového fondu sa evidujú dôchodkové jednotky oddelene od osobných dôchodkových účtov sporiteľov.</w:t>
      </w:r>
    </w:p>
    <w:p w:rsidR="00DD5ADF" w:rsidRPr="009F7BFC" w:rsidP="0046729B">
      <w:pPr>
        <w:bidi w:val="0"/>
        <w:spacing w:before="120" w:line="360" w:lineRule="auto"/>
        <w:ind w:left="360" w:firstLine="348"/>
        <w:jc w:val="both"/>
        <w:rPr>
          <w:rFonts w:ascii="Arial" w:hAnsi="Arial" w:cs="Arial"/>
          <w:sz w:val="22"/>
          <w:szCs w:val="22"/>
        </w:rPr>
      </w:pPr>
      <w:r w:rsidRPr="009F7BFC">
        <w:rPr>
          <w:rFonts w:ascii="Arial" w:hAnsi="Arial" w:cs="Arial"/>
          <w:sz w:val="22"/>
          <w:szCs w:val="22"/>
        </w:rPr>
        <w:t xml:space="preserve">(2) Na garančnom účte dôchodkového fondu podľa odseku 1 sa eviduje taký počet dôchodkových jednotiek, ktorý zodpovedá podielu aktuálneho zostatku poplatkov podľa        § 63b vyjadreného v peniazoch a aktuálnej hodnoty dôchodkovej jednotky. </w:t>
      </w:r>
    </w:p>
    <w:p w:rsidR="00DD5ADF" w:rsidRPr="009F7BFC" w:rsidP="0046729B">
      <w:pPr>
        <w:bidi w:val="0"/>
        <w:spacing w:before="120" w:line="360" w:lineRule="auto"/>
        <w:ind w:left="360" w:firstLine="348"/>
        <w:jc w:val="both"/>
        <w:rPr>
          <w:rFonts w:ascii="Arial" w:hAnsi="Arial" w:cs="Arial"/>
          <w:sz w:val="22"/>
          <w:szCs w:val="22"/>
        </w:rPr>
      </w:pPr>
      <w:r w:rsidRPr="009F7BFC">
        <w:rPr>
          <w:rFonts w:ascii="Arial" w:hAnsi="Arial" w:cs="Arial"/>
          <w:sz w:val="22"/>
          <w:szCs w:val="22"/>
        </w:rPr>
        <w:t>(3) Majetok uložený na garančnom účte dôchodkového fondu môže dôchodková správcovská spoločnosť použiť na</w:t>
      </w:r>
    </w:p>
    <w:p w:rsidR="00DD5ADF" w:rsidRPr="009F7BFC" w:rsidP="0046729B">
      <w:pPr>
        <w:bidi w:val="0"/>
        <w:spacing w:before="120" w:line="360" w:lineRule="auto"/>
        <w:ind w:left="360"/>
        <w:jc w:val="both"/>
        <w:rPr>
          <w:rFonts w:ascii="Arial" w:hAnsi="Arial" w:cs="Arial"/>
          <w:sz w:val="22"/>
          <w:szCs w:val="22"/>
        </w:rPr>
      </w:pPr>
      <w:r w:rsidRPr="009F7BFC">
        <w:rPr>
          <w:rFonts w:ascii="Arial" w:hAnsi="Arial" w:cs="Arial"/>
          <w:sz w:val="22"/>
          <w:szCs w:val="22"/>
        </w:rPr>
        <w:t xml:space="preserve">a) úhradu odplaty podľa § 63 ods. 1 písm. c), </w:t>
      </w:r>
    </w:p>
    <w:p w:rsidR="00DD5ADF" w:rsidRPr="009F7BFC" w:rsidP="0046729B">
      <w:pPr>
        <w:bidi w:val="0"/>
        <w:spacing w:before="120" w:line="360" w:lineRule="auto"/>
        <w:ind w:left="360"/>
        <w:jc w:val="both"/>
        <w:rPr>
          <w:rFonts w:ascii="Arial" w:hAnsi="Arial" w:cs="Arial"/>
          <w:sz w:val="22"/>
          <w:szCs w:val="22"/>
        </w:rPr>
      </w:pPr>
      <w:r w:rsidRPr="009F7BFC">
        <w:rPr>
          <w:rFonts w:ascii="Arial" w:hAnsi="Arial" w:cs="Arial"/>
          <w:sz w:val="22"/>
          <w:szCs w:val="22"/>
        </w:rPr>
        <w:t xml:space="preserve">b) zvýšenie aktuálnej hodnoty dôchodkovej jednotky podľa § 63c. </w:t>
      </w:r>
    </w:p>
    <w:p w:rsidR="00DD5ADF" w:rsidRPr="009F7BFC" w:rsidP="0046729B">
      <w:pPr>
        <w:bidi w:val="0"/>
        <w:spacing w:before="120" w:line="360" w:lineRule="auto"/>
        <w:ind w:left="360" w:firstLine="348"/>
        <w:jc w:val="both"/>
        <w:rPr>
          <w:rFonts w:ascii="Arial" w:hAnsi="Arial" w:cs="Arial"/>
          <w:sz w:val="22"/>
          <w:szCs w:val="22"/>
        </w:rPr>
      </w:pPr>
      <w:r w:rsidRPr="009F7BFC">
        <w:rPr>
          <w:rFonts w:ascii="Arial" w:hAnsi="Arial" w:cs="Arial"/>
          <w:sz w:val="22"/>
          <w:szCs w:val="22"/>
        </w:rPr>
        <w:t xml:space="preserve"> </w:t>
      </w:r>
      <w:r w:rsidRPr="009F7BFC">
        <w:rPr>
          <w:rFonts w:ascii="Arial" w:hAnsi="Arial" w:cs="Arial"/>
          <w:sz w:val="22"/>
          <w:szCs w:val="22"/>
        </w:rPr>
        <w:t xml:space="preserve">(4) Na garančný účet dôchodkového fondu podľa odseku 1 sa primerane použije </w:t>
      </w:r>
      <w:r>
        <w:rPr>
          <w:rFonts w:ascii="Arial" w:hAnsi="Arial" w:cs="Arial"/>
          <w:sz w:val="22"/>
          <w:szCs w:val="22"/>
        </w:rPr>
        <w:t xml:space="preserve">      </w:t>
      </w:r>
      <w:r w:rsidRPr="009F7BFC">
        <w:rPr>
          <w:rFonts w:ascii="Arial" w:hAnsi="Arial" w:cs="Arial"/>
          <w:sz w:val="22"/>
          <w:szCs w:val="22"/>
        </w:rPr>
        <w:t>§ 94 ods. 3 a 4.</w:t>
      </w:r>
    </w:p>
    <w:p w:rsidR="00DD5ADF" w:rsidRPr="009F7BFC" w:rsidP="0046729B">
      <w:pPr>
        <w:bidi w:val="0"/>
        <w:spacing w:before="120" w:line="360" w:lineRule="auto"/>
        <w:ind w:left="360" w:firstLine="348"/>
        <w:jc w:val="both"/>
        <w:rPr>
          <w:rFonts w:ascii="Arial" w:hAnsi="Arial" w:cs="Arial"/>
          <w:sz w:val="22"/>
          <w:szCs w:val="22"/>
        </w:rPr>
      </w:pPr>
      <w:r w:rsidRPr="009F7BFC">
        <w:rPr>
          <w:rFonts w:ascii="Arial" w:hAnsi="Arial" w:cs="Arial"/>
          <w:sz w:val="22"/>
          <w:szCs w:val="22"/>
        </w:rPr>
        <w:t>(5) Pri zlúčení dôchodkových fondov dôchodková správcovská spoločnosť skončí vedenie garančného účtu dôchodkového fondu. Preberajúca dôchodková správcovská spoločnosť bezodplatne pripíše na garančný účet preberajúcej dôchodkovej správcovskej spoločnosti v príslušnom dôchodkovom fonde počet dôchodkových jednotiek, ktorý zodpovedá podielu zostatku na garančnom účte dôchodkového fondu dôchodkovej správcovskej spoločnosti, z ktorej prechádza správa, a aktuálnej hodnoty dôchodkovej jednotky preberajúceho dôchodkového fondu.</w:t>
      </w:r>
    </w:p>
    <w:p w:rsidR="00DD5ADF" w:rsidRPr="009F7BFC" w:rsidP="0046729B">
      <w:pPr>
        <w:bidi w:val="0"/>
        <w:spacing w:before="120" w:line="360" w:lineRule="auto"/>
        <w:ind w:left="360" w:firstLine="348"/>
        <w:jc w:val="both"/>
        <w:rPr>
          <w:rFonts w:ascii="Arial" w:hAnsi="Arial" w:cs="Arial"/>
          <w:sz w:val="22"/>
          <w:szCs w:val="22"/>
        </w:rPr>
      </w:pPr>
      <w:r w:rsidRPr="009F7BFC">
        <w:rPr>
          <w:rFonts w:ascii="Arial" w:hAnsi="Arial" w:cs="Arial"/>
          <w:sz w:val="22"/>
          <w:szCs w:val="22"/>
        </w:rPr>
        <w:t>(6) S dôchodkovými jednotkami evidovanými na garančnom účte dôchodkového fondu nemožno nakladať inak ako spôsobom podľa tohto zákona.“.</w:t>
      </w:r>
    </w:p>
    <w:p w:rsidR="00DD5ADF" w:rsidRPr="009F7BFC" w:rsidP="0046729B">
      <w:pPr>
        <w:bidi w:val="0"/>
        <w:spacing w:before="120" w:line="360" w:lineRule="auto"/>
        <w:jc w:val="both"/>
        <w:rPr>
          <w:rFonts w:ascii="Arial" w:hAnsi="Arial" w:cs="Arial"/>
          <w:sz w:val="22"/>
          <w:szCs w:val="22"/>
        </w:rPr>
      </w:pPr>
      <w:r w:rsidRPr="009F7BFC">
        <w:rPr>
          <w:rFonts w:ascii="Arial" w:hAnsi="Arial" w:cs="Arial"/>
          <w:sz w:val="22"/>
          <w:szCs w:val="22"/>
        </w:rPr>
        <w:t>14. V § 105 ods. 2 sa na konci pripájajú tieto slová: „a c)“.</w:t>
      </w:r>
    </w:p>
    <w:p w:rsidR="00DD5ADF" w:rsidRPr="009F7BFC" w:rsidP="0046729B">
      <w:pPr>
        <w:bidi w:val="0"/>
        <w:spacing w:before="120" w:line="360" w:lineRule="auto"/>
        <w:jc w:val="both"/>
        <w:rPr>
          <w:rFonts w:ascii="Arial" w:hAnsi="Arial" w:cs="Arial"/>
          <w:sz w:val="22"/>
          <w:szCs w:val="22"/>
        </w:rPr>
      </w:pPr>
      <w:r w:rsidRPr="009F7BFC">
        <w:rPr>
          <w:rFonts w:ascii="Arial" w:hAnsi="Arial" w:cs="Arial"/>
          <w:sz w:val="22"/>
          <w:szCs w:val="22"/>
        </w:rPr>
        <w:t xml:space="preserve">15. V § 107 sa odsek 1 dopĺňa písmenom i), ktoré znie: </w:t>
      </w:r>
    </w:p>
    <w:p w:rsidR="00DD5ADF" w:rsidRPr="009F7BFC" w:rsidP="0046729B">
      <w:pPr>
        <w:bidi w:val="0"/>
        <w:spacing w:before="120" w:line="360" w:lineRule="auto"/>
        <w:ind w:left="720" w:hanging="720"/>
        <w:jc w:val="both"/>
        <w:rPr>
          <w:rFonts w:ascii="Arial" w:hAnsi="Arial" w:cs="Arial"/>
          <w:sz w:val="22"/>
          <w:szCs w:val="22"/>
        </w:rPr>
      </w:pPr>
      <w:r w:rsidRPr="009F7BFC">
        <w:rPr>
          <w:rFonts w:ascii="Arial" w:hAnsi="Arial" w:cs="Arial"/>
          <w:sz w:val="22"/>
          <w:szCs w:val="22"/>
        </w:rPr>
        <w:t xml:space="preserve">      „i) referenčnú hodnotu konzervatívneho dôchodkového fondu podľa § 91 a zloženie referenčnej hodnoty dôchodkových fondov podľa § 91a.“.</w:t>
      </w:r>
    </w:p>
    <w:p w:rsidR="00DD5ADF" w:rsidRPr="009F7BFC" w:rsidP="0046729B">
      <w:pPr>
        <w:bidi w:val="0"/>
        <w:spacing w:before="120" w:line="360" w:lineRule="auto"/>
        <w:jc w:val="both"/>
        <w:rPr>
          <w:rFonts w:ascii="Arial" w:hAnsi="Arial" w:cs="Arial"/>
          <w:sz w:val="22"/>
          <w:szCs w:val="22"/>
        </w:rPr>
      </w:pPr>
      <w:r w:rsidRPr="009F7BFC">
        <w:rPr>
          <w:rFonts w:ascii="Arial" w:hAnsi="Arial" w:cs="Arial"/>
          <w:sz w:val="22"/>
          <w:szCs w:val="22"/>
        </w:rPr>
        <w:t xml:space="preserve">16. V § 107 ods. 3 sa za písmeno f) vkladá nové písmeno g), ktoré znie: </w:t>
      </w:r>
    </w:p>
    <w:p w:rsidR="00DD5ADF" w:rsidRPr="009F7BFC" w:rsidP="0046729B">
      <w:pPr>
        <w:bidi w:val="0"/>
        <w:spacing w:before="120" w:line="360" w:lineRule="auto"/>
        <w:ind w:left="900" w:hanging="900"/>
        <w:jc w:val="both"/>
        <w:rPr>
          <w:rFonts w:ascii="Arial" w:hAnsi="Arial" w:cs="Arial"/>
          <w:sz w:val="22"/>
          <w:szCs w:val="22"/>
        </w:rPr>
      </w:pPr>
      <w:r w:rsidRPr="009F7BFC">
        <w:rPr>
          <w:rFonts w:ascii="Arial" w:hAnsi="Arial" w:cs="Arial"/>
          <w:sz w:val="22"/>
          <w:szCs w:val="22"/>
        </w:rPr>
        <w:t xml:space="preserve">      „g) vyhodnotenie porovnania výkonnosti konzervatívneho </w:t>
      </w:r>
      <w:r w:rsidRPr="009F7BFC">
        <w:rPr>
          <w:rFonts w:ascii="Arial" w:hAnsi="Arial" w:cs="Arial"/>
          <w:sz w:val="22"/>
          <w:szCs w:val="22"/>
        </w:rPr>
        <w:t>dôchodkového fondu</w:t>
      </w:r>
      <w:r w:rsidRPr="009F7BFC">
        <w:rPr>
          <w:rFonts w:ascii="Arial" w:hAnsi="Arial" w:cs="Arial"/>
          <w:sz w:val="22"/>
          <w:szCs w:val="22"/>
        </w:rPr>
        <w:t xml:space="preserve"> s  referenčnou hodnotou konzervatívneho dôchodkového fondu a vyhodnotenie porovnania zloženia majetku vo vyváženom dôchodkovom fonde a zloženia majetku v rastovom dôchodkovom fonde so zložením ich referenčnej hodnoty.“. </w:t>
      </w:r>
    </w:p>
    <w:p w:rsidR="00DD5ADF" w:rsidRPr="009F7BFC" w:rsidP="0046729B">
      <w:pPr>
        <w:bidi w:val="0"/>
        <w:spacing w:before="120" w:line="360" w:lineRule="auto"/>
        <w:jc w:val="both"/>
        <w:rPr>
          <w:rFonts w:ascii="Arial" w:hAnsi="Arial" w:cs="Arial"/>
          <w:sz w:val="22"/>
          <w:szCs w:val="22"/>
        </w:rPr>
      </w:pPr>
      <w:r w:rsidRPr="009F7BFC">
        <w:rPr>
          <w:rFonts w:ascii="Arial" w:hAnsi="Arial" w:cs="Arial"/>
          <w:sz w:val="22"/>
          <w:szCs w:val="22"/>
        </w:rPr>
        <w:t xml:space="preserve">       Doterajšie písmeno g) sa označuje ako písmeno h).</w:t>
      </w:r>
    </w:p>
    <w:p w:rsidR="00DD5ADF" w:rsidP="0046729B">
      <w:pPr>
        <w:bidi w:val="0"/>
        <w:spacing w:before="120" w:line="360" w:lineRule="auto"/>
        <w:jc w:val="center"/>
        <w:rPr>
          <w:rFonts w:ascii="Arial" w:hAnsi="Arial" w:cs="Arial"/>
          <w:b/>
          <w:sz w:val="22"/>
          <w:szCs w:val="22"/>
        </w:rPr>
      </w:pPr>
    </w:p>
    <w:p w:rsidR="00BF19DF" w:rsidRPr="009F7BFC" w:rsidP="0046729B">
      <w:pPr>
        <w:bidi w:val="0"/>
        <w:spacing w:before="120" w:line="360" w:lineRule="auto"/>
        <w:jc w:val="center"/>
        <w:rPr>
          <w:rFonts w:ascii="Arial" w:hAnsi="Arial" w:cs="Arial"/>
          <w:b/>
          <w:sz w:val="22"/>
          <w:szCs w:val="22"/>
        </w:rPr>
      </w:pPr>
    </w:p>
    <w:p w:rsidR="00DD5ADF" w:rsidRPr="009F7BFC" w:rsidP="0046729B">
      <w:pPr>
        <w:bidi w:val="0"/>
        <w:spacing w:before="120" w:line="360" w:lineRule="auto"/>
        <w:rPr>
          <w:rFonts w:ascii="Arial" w:hAnsi="Arial" w:cs="Arial"/>
          <w:sz w:val="22"/>
          <w:szCs w:val="22"/>
        </w:rPr>
      </w:pPr>
      <w:r w:rsidRPr="009F7BFC">
        <w:rPr>
          <w:rFonts w:ascii="Arial" w:hAnsi="Arial" w:cs="Arial"/>
          <w:sz w:val="22"/>
          <w:szCs w:val="22"/>
        </w:rPr>
        <w:t>17.  Za prílohu č. 2 sa vkladá príloha č. 3, ktorá znie :</w:t>
      </w:r>
    </w:p>
    <w:p w:rsidR="00DD5ADF" w:rsidRPr="009F7BFC" w:rsidP="0046729B">
      <w:pPr>
        <w:bidi w:val="0"/>
        <w:spacing w:before="120" w:line="360" w:lineRule="auto"/>
        <w:rPr>
          <w:rFonts w:ascii="Arial" w:hAnsi="Arial" w:cs="Arial"/>
          <w:sz w:val="22"/>
          <w:szCs w:val="22"/>
        </w:rPr>
      </w:pPr>
    </w:p>
    <w:p w:rsidR="00DD5ADF" w:rsidRPr="009F7BFC" w:rsidP="00BF19DF">
      <w:pPr>
        <w:bidi w:val="0"/>
        <w:ind w:left="6373"/>
        <w:rPr>
          <w:rFonts w:ascii="Arial" w:hAnsi="Arial" w:cs="Arial"/>
          <w:b/>
          <w:sz w:val="22"/>
          <w:szCs w:val="22"/>
        </w:rPr>
      </w:pPr>
      <w:r w:rsidRPr="009F7BFC">
        <w:rPr>
          <w:rFonts w:ascii="Arial" w:hAnsi="Arial" w:cs="Arial"/>
          <w:b/>
          <w:sz w:val="22"/>
          <w:szCs w:val="22"/>
        </w:rPr>
        <w:t>Príloha č. 3</w:t>
      </w:r>
    </w:p>
    <w:p w:rsidR="00DD5ADF" w:rsidRPr="009F7BFC" w:rsidP="00BF19DF">
      <w:pPr>
        <w:bidi w:val="0"/>
        <w:ind w:left="6373"/>
        <w:rPr>
          <w:rFonts w:ascii="Arial" w:hAnsi="Arial" w:cs="Arial"/>
          <w:b/>
          <w:sz w:val="22"/>
          <w:szCs w:val="22"/>
        </w:rPr>
      </w:pPr>
      <w:r w:rsidRPr="009F7BFC">
        <w:rPr>
          <w:rFonts w:ascii="Arial" w:hAnsi="Arial" w:cs="Arial"/>
          <w:b/>
          <w:sz w:val="22"/>
          <w:szCs w:val="22"/>
        </w:rPr>
        <w:t xml:space="preserve">k zákonu č. 43/2004 Z. z. </w:t>
      </w:r>
    </w:p>
    <w:p w:rsidR="00DD5ADF" w:rsidRPr="009F7BFC" w:rsidP="0046729B">
      <w:pPr>
        <w:bidi w:val="0"/>
        <w:spacing w:before="120" w:line="360" w:lineRule="auto"/>
        <w:rPr>
          <w:rFonts w:ascii="Arial" w:hAnsi="Arial" w:cs="Arial"/>
          <w:b/>
          <w:sz w:val="22"/>
          <w:szCs w:val="22"/>
        </w:rPr>
      </w:pPr>
    </w:p>
    <w:p w:rsidR="00DD5ADF" w:rsidRPr="009F7BFC" w:rsidP="0046729B">
      <w:pPr>
        <w:bidi w:val="0"/>
        <w:spacing w:before="120" w:line="360" w:lineRule="auto"/>
        <w:jc w:val="center"/>
        <w:rPr>
          <w:rFonts w:ascii="Arial" w:hAnsi="Arial" w:cs="Arial"/>
          <w:b/>
          <w:sz w:val="22"/>
          <w:szCs w:val="22"/>
        </w:rPr>
      </w:pPr>
      <w:r w:rsidRPr="009F7BFC">
        <w:rPr>
          <w:rFonts w:ascii="Arial" w:hAnsi="Arial" w:cs="Arial"/>
          <w:b/>
          <w:sz w:val="22"/>
          <w:szCs w:val="22"/>
        </w:rPr>
        <w:t xml:space="preserve">POSTUP PRI VÝPOČTE POPLATKU </w:t>
      </w:r>
    </w:p>
    <w:p w:rsidR="00DD5ADF" w:rsidRPr="009F7BFC" w:rsidP="0046729B">
      <w:pPr>
        <w:bidi w:val="0"/>
        <w:spacing w:before="120" w:line="360" w:lineRule="auto"/>
        <w:jc w:val="both"/>
        <w:rPr>
          <w:rFonts w:ascii="Arial" w:hAnsi="Arial" w:cs="Arial"/>
          <w:sz w:val="22"/>
          <w:szCs w:val="22"/>
        </w:rPr>
      </w:pPr>
      <w:r w:rsidRPr="009F7BFC">
        <w:rPr>
          <w:rFonts w:ascii="Arial" w:hAnsi="Arial" w:cs="Arial"/>
          <w:sz w:val="22"/>
          <w:szCs w:val="22"/>
        </w:rPr>
        <w:t>Pri výpočte poplatku podľa § 63b sa použijú tieto veličiny, funkcie a ich označenia:</w:t>
      </w:r>
    </w:p>
    <w:p w:rsidR="00DD5ADF" w:rsidRPr="009F7BFC" w:rsidP="0046729B">
      <w:pPr>
        <w:bidi w:val="0"/>
        <w:spacing w:before="120" w:line="360" w:lineRule="auto"/>
        <w:jc w:val="both"/>
        <w:rPr>
          <w:rFonts w:ascii="Arial" w:hAnsi="Arial" w:cs="Arial"/>
          <w:sz w:val="22"/>
          <w:szCs w:val="22"/>
        </w:rPr>
      </w:pPr>
      <w:r w:rsidRPr="009F7BFC">
        <w:rPr>
          <w:rFonts w:ascii="Arial" w:hAnsi="Arial" w:cs="Arial"/>
          <w:sz w:val="22"/>
          <w:szCs w:val="22"/>
        </w:rPr>
        <w:t>p = poplatok do garančného účtu dôchodkového fondu,</w:t>
      </w:r>
    </w:p>
    <w:p w:rsidR="00DD5ADF" w:rsidRPr="009F7BFC" w:rsidP="0046729B">
      <w:pPr>
        <w:bidi w:val="0"/>
        <w:spacing w:before="120" w:line="360" w:lineRule="auto"/>
        <w:jc w:val="both"/>
        <w:rPr>
          <w:rFonts w:ascii="Arial" w:hAnsi="Arial" w:cs="Arial"/>
          <w:sz w:val="22"/>
          <w:szCs w:val="22"/>
        </w:rPr>
      </w:pPr>
      <w:r w:rsidRPr="009F7BFC">
        <w:rPr>
          <w:rFonts w:ascii="Arial" w:hAnsi="Arial" w:cs="Arial"/>
          <w:sz w:val="22"/>
          <w:szCs w:val="22"/>
        </w:rPr>
        <w:t>ČKH(t) = čistá kumulatívna hodnota v deň , ku ktorému sa uskutočňuje výpočet,</w:t>
      </w:r>
    </w:p>
    <w:p w:rsidR="00DD5ADF" w:rsidRPr="009F7BFC" w:rsidP="0046729B">
      <w:pPr>
        <w:bidi w:val="0"/>
        <w:spacing w:before="120" w:line="360" w:lineRule="auto"/>
        <w:jc w:val="both"/>
        <w:rPr>
          <w:rFonts w:ascii="Arial" w:hAnsi="Arial" w:cs="Arial"/>
          <w:sz w:val="22"/>
          <w:szCs w:val="22"/>
        </w:rPr>
      </w:pPr>
      <w:r w:rsidRPr="009F7BFC">
        <w:rPr>
          <w:rFonts w:ascii="Arial" w:hAnsi="Arial" w:cs="Arial"/>
          <w:sz w:val="22"/>
          <w:szCs w:val="22"/>
        </w:rPr>
        <w:t>ČKH(t - 1) = čistá kumulatívna hodnota v deň bezprostredne predchádzajúci dňu, ku ktorému sa uskutočňuje výpočet,</w:t>
      </w:r>
    </w:p>
    <w:p w:rsidR="00DD5ADF" w:rsidRPr="009F7BFC" w:rsidP="0046729B">
      <w:pPr>
        <w:bidi w:val="0"/>
        <w:spacing w:before="120" w:line="360" w:lineRule="auto"/>
        <w:jc w:val="both"/>
        <w:rPr>
          <w:rFonts w:ascii="Arial" w:hAnsi="Arial" w:cs="Arial"/>
          <w:sz w:val="22"/>
          <w:szCs w:val="22"/>
        </w:rPr>
      </w:pPr>
      <w:r w:rsidRPr="009F7BFC">
        <w:rPr>
          <w:rFonts w:ascii="Arial" w:hAnsi="Arial" w:cs="Arial"/>
          <w:sz w:val="22"/>
          <w:szCs w:val="22"/>
        </w:rPr>
        <w:t>ČKH(0) = čistá kumulatívna hodnota dňa 1. 1. 2010 vyjadrená v eurách,</w:t>
      </w:r>
    </w:p>
    <w:p w:rsidR="00DD5ADF" w:rsidRPr="009F7BFC" w:rsidP="0046729B">
      <w:pPr>
        <w:bidi w:val="0"/>
        <w:spacing w:before="120" w:line="360" w:lineRule="auto"/>
        <w:jc w:val="both"/>
        <w:rPr>
          <w:rFonts w:ascii="Arial" w:hAnsi="Arial" w:cs="Arial"/>
          <w:sz w:val="22"/>
          <w:szCs w:val="22"/>
        </w:rPr>
      </w:pPr>
      <w:r w:rsidRPr="009F7BFC">
        <w:rPr>
          <w:rFonts w:ascii="Arial" w:hAnsi="Arial" w:cs="Arial"/>
          <w:sz w:val="22"/>
          <w:szCs w:val="22"/>
        </w:rPr>
        <w:t>CF(t) = čistý tok príspevkov do dôchodkového fondu,</w:t>
      </w:r>
    </w:p>
    <w:p w:rsidR="00DD5ADF" w:rsidRPr="009F7BFC" w:rsidP="0046729B">
      <w:pPr>
        <w:bidi w:val="0"/>
        <w:spacing w:before="120" w:line="360" w:lineRule="auto"/>
        <w:jc w:val="both"/>
        <w:rPr>
          <w:rFonts w:ascii="Arial" w:hAnsi="Arial" w:cs="Arial"/>
          <w:sz w:val="22"/>
          <w:szCs w:val="22"/>
        </w:rPr>
      </w:pPr>
      <w:r w:rsidRPr="009F7BFC">
        <w:rPr>
          <w:rFonts w:ascii="Arial" w:hAnsi="Arial" w:cs="Arial"/>
          <w:sz w:val="22"/>
          <w:szCs w:val="22"/>
        </w:rPr>
        <w:t>M(t) = maximálna čistá kumulatívna hodnota v dôchodkovom fonde od 1. 1. 2010,</w:t>
      </w:r>
    </w:p>
    <w:p w:rsidR="00DD5ADF" w:rsidRPr="009F7BFC" w:rsidP="0046729B">
      <w:pPr>
        <w:bidi w:val="0"/>
        <w:spacing w:before="120" w:line="360" w:lineRule="auto"/>
        <w:jc w:val="both"/>
        <w:rPr>
          <w:rFonts w:ascii="Arial" w:hAnsi="Arial" w:cs="Arial"/>
          <w:sz w:val="22"/>
          <w:szCs w:val="22"/>
        </w:rPr>
      </w:pPr>
      <w:r w:rsidRPr="009F7BFC">
        <w:rPr>
          <w:rFonts w:ascii="Arial" w:hAnsi="Arial" w:cs="Arial"/>
          <w:sz w:val="22"/>
          <w:szCs w:val="22"/>
        </w:rPr>
        <w:t>M(t - 1) = maximálna čistá kumulatívna hodnota v dôchodkovom fonde v posledný deň kalendárneho mesiaca, ktorý bezprostredne predchádza kalendárnemu mesiacu, v ktorom sa uskutočňuje výpočet,</w:t>
      </w:r>
    </w:p>
    <w:p w:rsidR="00DD5ADF" w:rsidRPr="009F7BFC" w:rsidP="0046729B">
      <w:pPr>
        <w:bidi w:val="0"/>
        <w:spacing w:before="120" w:line="360" w:lineRule="auto"/>
        <w:jc w:val="both"/>
        <w:rPr>
          <w:rFonts w:ascii="Arial" w:hAnsi="Arial" w:cs="Arial"/>
          <w:sz w:val="22"/>
          <w:szCs w:val="22"/>
        </w:rPr>
      </w:pPr>
      <w:r w:rsidRPr="009F7BFC">
        <w:rPr>
          <w:rFonts w:ascii="Arial" w:hAnsi="Arial" w:cs="Arial"/>
          <w:sz w:val="22"/>
          <w:szCs w:val="22"/>
        </w:rPr>
        <w:t>M(0) = maximálna čistá kumulatívna hodnota v dôchodkovom fonde 1. 1. 2010 vyjadrená v eurách,</w:t>
      </w:r>
    </w:p>
    <w:p w:rsidR="00DD5ADF" w:rsidRPr="009F7BFC" w:rsidP="0046729B">
      <w:pPr>
        <w:bidi w:val="0"/>
        <w:spacing w:before="120" w:line="360" w:lineRule="auto"/>
        <w:jc w:val="both"/>
        <w:rPr>
          <w:rFonts w:ascii="Arial" w:hAnsi="Arial" w:cs="Arial"/>
          <w:sz w:val="22"/>
          <w:szCs w:val="22"/>
        </w:rPr>
      </w:pPr>
      <w:r w:rsidRPr="009F7BFC">
        <w:rPr>
          <w:rFonts w:ascii="Arial" w:hAnsi="Arial" w:cs="Arial"/>
          <w:sz w:val="22"/>
          <w:szCs w:val="22"/>
        </w:rPr>
        <w:t>NAV(t) = čistá hodnota aktív v dôchodkovom fonde v deň, ku ktorému sa uskutočňuje výpočet,</w:t>
      </w:r>
    </w:p>
    <w:p w:rsidR="00DD5ADF" w:rsidRPr="009F7BFC" w:rsidP="0046729B">
      <w:pPr>
        <w:bidi w:val="0"/>
        <w:spacing w:before="120" w:line="360" w:lineRule="auto"/>
        <w:jc w:val="both"/>
        <w:rPr>
          <w:rFonts w:ascii="Arial" w:hAnsi="Arial" w:cs="Arial"/>
          <w:sz w:val="22"/>
          <w:szCs w:val="22"/>
        </w:rPr>
      </w:pPr>
      <w:r w:rsidRPr="009F7BFC">
        <w:rPr>
          <w:rFonts w:ascii="Arial" w:hAnsi="Arial" w:cs="Arial"/>
          <w:sz w:val="22"/>
          <w:szCs w:val="22"/>
        </w:rPr>
        <w:t>NAV(t) = čistá hodnota aktív v dôchodkovom fonde v deň bezprostredne predchádzajúci dňu, ku ktorému sa uskutočňuje výpočet,</w:t>
      </w:r>
    </w:p>
    <w:p w:rsidR="00DD5ADF" w:rsidRPr="009F7BFC" w:rsidP="0046729B">
      <w:pPr>
        <w:bidi w:val="0"/>
        <w:spacing w:before="120" w:line="360" w:lineRule="auto"/>
        <w:jc w:val="both"/>
        <w:rPr>
          <w:rFonts w:ascii="Arial" w:hAnsi="Arial" w:cs="Arial"/>
          <w:sz w:val="22"/>
          <w:szCs w:val="22"/>
        </w:rPr>
      </w:pPr>
      <w:r w:rsidRPr="009F7BFC">
        <w:rPr>
          <w:rFonts w:ascii="Arial" w:hAnsi="Arial" w:cs="Arial"/>
          <w:sz w:val="22"/>
          <w:szCs w:val="22"/>
        </w:rPr>
        <w:t>NAV(0) = čistá hodnota aktív v dôchodkovom fonde 1. 1. 2010 vyjadrená v eurách,</w:t>
      </w:r>
    </w:p>
    <w:p w:rsidR="00DD5ADF" w:rsidRPr="009F7BFC" w:rsidP="0046729B">
      <w:pPr>
        <w:bidi w:val="0"/>
        <w:spacing w:before="120" w:line="360" w:lineRule="auto"/>
        <w:jc w:val="both"/>
        <w:rPr>
          <w:rFonts w:ascii="Arial" w:hAnsi="Arial" w:cs="Arial"/>
          <w:sz w:val="22"/>
          <w:szCs w:val="22"/>
        </w:rPr>
      </w:pPr>
      <w:r w:rsidRPr="009F7BFC">
        <w:rPr>
          <w:rFonts w:ascii="Arial" w:hAnsi="Arial" w:cs="Arial"/>
          <w:sz w:val="22"/>
          <w:szCs w:val="22"/>
        </w:rPr>
        <w:t>PDJ(t) = počet dôchodkových jednotiek v dôchodkovom fonde v deň, ku ktorému sa uskutočňuje výpočet,</w:t>
      </w:r>
    </w:p>
    <w:p w:rsidR="00DD5ADF" w:rsidRPr="009F7BFC" w:rsidP="0046729B">
      <w:pPr>
        <w:bidi w:val="0"/>
        <w:spacing w:before="120" w:line="360" w:lineRule="auto"/>
        <w:jc w:val="both"/>
        <w:rPr>
          <w:rFonts w:ascii="Arial" w:hAnsi="Arial" w:cs="Arial"/>
          <w:sz w:val="22"/>
          <w:szCs w:val="22"/>
        </w:rPr>
      </w:pPr>
      <w:r w:rsidRPr="009F7BFC">
        <w:rPr>
          <w:rFonts w:ascii="Arial" w:hAnsi="Arial" w:cs="Arial"/>
          <w:sz w:val="22"/>
          <w:szCs w:val="22"/>
        </w:rPr>
        <w:t>PDJ(t - 1) = počet dôchodkových jednotiek v dôchodkovom fonde v posledný deň kalendárneho mesiaca, ktorý bezprostredne predchádza kalendárnemu mesiacu, v ktorom sa uskutočňuje výpočet,</w:t>
      </w:r>
    </w:p>
    <w:p w:rsidR="00DD5ADF" w:rsidRPr="009F7BFC" w:rsidP="0046729B">
      <w:pPr>
        <w:bidi w:val="0"/>
        <w:spacing w:before="120" w:line="360" w:lineRule="auto"/>
        <w:jc w:val="both"/>
        <w:rPr>
          <w:rFonts w:ascii="Arial" w:hAnsi="Arial" w:cs="Arial"/>
          <w:sz w:val="22"/>
          <w:szCs w:val="22"/>
        </w:rPr>
      </w:pPr>
      <w:r w:rsidRPr="009F7BFC">
        <w:rPr>
          <w:rFonts w:ascii="Arial" w:hAnsi="Arial" w:cs="Arial"/>
          <w:sz w:val="22"/>
          <w:szCs w:val="22"/>
        </w:rPr>
        <w:t>funkcia Max {</w:t>
      </w:r>
      <w:r w:rsidRPr="009F7BFC">
        <w:rPr>
          <w:rFonts w:ascii="Arial" w:hAnsi="Arial" w:cs="Arial"/>
          <w:b/>
          <w:i/>
          <w:sz w:val="22"/>
          <w:szCs w:val="22"/>
        </w:rPr>
        <w:t>a</w:t>
      </w:r>
      <w:r w:rsidRPr="009F7BFC">
        <w:rPr>
          <w:rFonts w:ascii="Arial" w:hAnsi="Arial" w:cs="Arial"/>
          <w:sz w:val="22"/>
          <w:szCs w:val="22"/>
        </w:rPr>
        <w:t xml:space="preserve">, </w:t>
      </w:r>
      <w:r w:rsidRPr="009F7BFC">
        <w:rPr>
          <w:rFonts w:ascii="Arial" w:hAnsi="Arial" w:cs="Arial"/>
          <w:b/>
          <w:i/>
          <w:sz w:val="22"/>
          <w:szCs w:val="22"/>
        </w:rPr>
        <w:t>b</w:t>
      </w:r>
      <w:r w:rsidRPr="009F7BFC">
        <w:rPr>
          <w:rFonts w:ascii="Arial" w:hAnsi="Arial" w:cs="Arial"/>
          <w:sz w:val="22"/>
          <w:szCs w:val="22"/>
        </w:rPr>
        <w:t xml:space="preserve">} = označenie pre väčšie z čísel </w:t>
      </w:r>
      <w:r w:rsidRPr="009F7BFC">
        <w:rPr>
          <w:rFonts w:ascii="Arial" w:hAnsi="Arial" w:cs="Arial"/>
          <w:b/>
          <w:i/>
          <w:sz w:val="22"/>
          <w:szCs w:val="22"/>
        </w:rPr>
        <w:t>a</w:t>
      </w:r>
      <w:r w:rsidRPr="009F7BFC">
        <w:rPr>
          <w:rFonts w:ascii="Arial" w:hAnsi="Arial" w:cs="Arial"/>
          <w:sz w:val="22"/>
          <w:szCs w:val="22"/>
        </w:rPr>
        <w:t xml:space="preserve"> a </w:t>
      </w:r>
      <w:r w:rsidRPr="009F7BFC">
        <w:rPr>
          <w:rFonts w:ascii="Arial" w:hAnsi="Arial" w:cs="Arial"/>
          <w:b/>
          <w:i/>
          <w:sz w:val="22"/>
          <w:szCs w:val="22"/>
        </w:rPr>
        <w:t>b</w:t>
      </w:r>
      <w:r w:rsidRPr="009F7BFC">
        <w:rPr>
          <w:rFonts w:ascii="Arial" w:hAnsi="Arial" w:cs="Arial"/>
          <w:sz w:val="22"/>
          <w:szCs w:val="22"/>
        </w:rPr>
        <w:t xml:space="preserve"> ; ak </w:t>
      </w:r>
      <w:r w:rsidRPr="009F7BFC">
        <w:rPr>
          <w:rFonts w:ascii="Arial" w:hAnsi="Arial" w:cs="Arial"/>
          <w:b/>
          <w:i/>
          <w:sz w:val="22"/>
          <w:szCs w:val="22"/>
        </w:rPr>
        <w:t>a</w:t>
      </w:r>
      <w:r w:rsidRPr="009F7BFC">
        <w:rPr>
          <w:rFonts w:ascii="Arial" w:hAnsi="Arial" w:cs="Arial"/>
          <w:sz w:val="22"/>
          <w:szCs w:val="22"/>
        </w:rPr>
        <w:t xml:space="preserve"> &gt;= </w:t>
      </w:r>
      <w:r w:rsidRPr="009F7BFC">
        <w:rPr>
          <w:rFonts w:ascii="Arial" w:hAnsi="Arial" w:cs="Arial"/>
          <w:b/>
          <w:i/>
          <w:sz w:val="22"/>
          <w:szCs w:val="22"/>
        </w:rPr>
        <w:t>b</w:t>
      </w:r>
      <w:r w:rsidRPr="009F7BFC">
        <w:rPr>
          <w:rFonts w:ascii="Arial" w:hAnsi="Arial" w:cs="Arial"/>
          <w:sz w:val="22"/>
          <w:szCs w:val="22"/>
        </w:rPr>
        <w:t>, tak Max {</w:t>
      </w:r>
      <w:r w:rsidRPr="009F7BFC">
        <w:rPr>
          <w:rFonts w:ascii="Arial" w:hAnsi="Arial" w:cs="Arial"/>
          <w:b/>
          <w:i/>
          <w:sz w:val="22"/>
          <w:szCs w:val="22"/>
        </w:rPr>
        <w:t>a</w:t>
      </w:r>
      <w:r w:rsidRPr="009F7BFC">
        <w:rPr>
          <w:rFonts w:ascii="Arial" w:hAnsi="Arial" w:cs="Arial"/>
          <w:sz w:val="22"/>
          <w:szCs w:val="22"/>
        </w:rPr>
        <w:t xml:space="preserve">, </w:t>
      </w:r>
      <w:r w:rsidRPr="009F7BFC">
        <w:rPr>
          <w:rFonts w:ascii="Arial" w:hAnsi="Arial" w:cs="Arial"/>
          <w:b/>
          <w:i/>
          <w:sz w:val="22"/>
          <w:szCs w:val="22"/>
        </w:rPr>
        <w:t>b</w:t>
      </w:r>
      <w:r w:rsidRPr="009F7BFC">
        <w:rPr>
          <w:rFonts w:ascii="Arial" w:hAnsi="Arial" w:cs="Arial"/>
          <w:sz w:val="22"/>
          <w:szCs w:val="22"/>
        </w:rPr>
        <w:t xml:space="preserve">} = </w:t>
      </w:r>
      <w:r w:rsidRPr="009F7BFC">
        <w:rPr>
          <w:rFonts w:ascii="Arial" w:hAnsi="Arial" w:cs="Arial"/>
          <w:b/>
          <w:i/>
          <w:sz w:val="22"/>
          <w:szCs w:val="22"/>
        </w:rPr>
        <w:t>a</w:t>
      </w:r>
      <w:r w:rsidRPr="009F7BFC">
        <w:rPr>
          <w:rFonts w:ascii="Arial" w:hAnsi="Arial" w:cs="Arial"/>
          <w:sz w:val="22"/>
          <w:szCs w:val="22"/>
        </w:rPr>
        <w:t>, inak Max {</w:t>
      </w:r>
      <w:r w:rsidRPr="009F7BFC">
        <w:rPr>
          <w:rFonts w:ascii="Arial" w:hAnsi="Arial" w:cs="Arial"/>
          <w:b/>
          <w:i/>
          <w:sz w:val="22"/>
          <w:szCs w:val="22"/>
        </w:rPr>
        <w:t>a</w:t>
      </w:r>
      <w:r w:rsidRPr="009F7BFC">
        <w:rPr>
          <w:rFonts w:ascii="Arial" w:hAnsi="Arial" w:cs="Arial"/>
          <w:sz w:val="22"/>
          <w:szCs w:val="22"/>
        </w:rPr>
        <w:t xml:space="preserve">, </w:t>
      </w:r>
      <w:r w:rsidRPr="009F7BFC">
        <w:rPr>
          <w:rFonts w:ascii="Arial" w:hAnsi="Arial" w:cs="Arial"/>
          <w:b/>
          <w:i/>
          <w:sz w:val="22"/>
          <w:szCs w:val="22"/>
        </w:rPr>
        <w:t>b</w:t>
      </w:r>
      <w:r w:rsidRPr="009F7BFC">
        <w:rPr>
          <w:rFonts w:ascii="Arial" w:hAnsi="Arial" w:cs="Arial"/>
          <w:sz w:val="22"/>
          <w:szCs w:val="22"/>
        </w:rPr>
        <w:t xml:space="preserve">} = </w:t>
      </w:r>
      <w:r w:rsidRPr="009F7BFC">
        <w:rPr>
          <w:rFonts w:ascii="Arial" w:hAnsi="Arial" w:cs="Arial"/>
          <w:b/>
          <w:i/>
          <w:sz w:val="22"/>
          <w:szCs w:val="22"/>
        </w:rPr>
        <w:t>b</w:t>
      </w:r>
      <w:r w:rsidRPr="009F7BFC">
        <w:rPr>
          <w:rFonts w:ascii="Arial" w:hAnsi="Arial" w:cs="Arial"/>
          <w:sz w:val="22"/>
          <w:szCs w:val="22"/>
        </w:rPr>
        <w:t>.</w:t>
      </w:r>
    </w:p>
    <w:p w:rsidR="00DD5ADF" w:rsidRPr="009F7BFC" w:rsidP="0046729B">
      <w:pPr>
        <w:bidi w:val="0"/>
        <w:spacing w:before="120" w:line="360" w:lineRule="auto"/>
        <w:rPr>
          <w:rFonts w:ascii="Arial" w:hAnsi="Arial" w:cs="Arial"/>
          <w:i/>
          <w:sz w:val="22"/>
          <w:szCs w:val="22"/>
        </w:rPr>
      </w:pPr>
      <w:r w:rsidRPr="009F7BFC">
        <w:rPr>
          <w:rFonts w:ascii="Arial" w:hAnsi="Arial" w:cs="Arial"/>
          <w:i/>
          <w:sz w:val="22"/>
          <w:szCs w:val="22"/>
        </w:rPr>
        <w:t>1. Vzorec na výpočet čistej kumulatívnej hodnoty dôchodkového fondu</w:t>
      </w:r>
    </w:p>
    <w:p w:rsidR="00DD5ADF" w:rsidRPr="009F7BFC" w:rsidP="0046729B">
      <w:pPr>
        <w:bidi w:val="0"/>
        <w:spacing w:before="120" w:line="360" w:lineRule="auto"/>
        <w:rPr>
          <w:rFonts w:ascii="Arial" w:hAnsi="Arial" w:cs="Arial"/>
          <w:sz w:val="22"/>
          <w:szCs w:val="22"/>
        </w:rPr>
      </w:pPr>
      <w:r w:rsidRPr="009F7BFC">
        <w:rPr>
          <w:rFonts w:ascii="Arial" w:hAnsi="Arial" w:cs="Arial"/>
          <w:sz w:val="22"/>
          <w:szCs w:val="22"/>
        </w:rPr>
        <w:t>ČKH(0) = 0 eur,</w:t>
      </w:r>
    </w:p>
    <w:p w:rsidR="00DD5ADF" w:rsidRPr="009F7BFC" w:rsidP="0046729B">
      <w:pPr>
        <w:bidi w:val="0"/>
        <w:spacing w:before="120" w:line="360" w:lineRule="auto"/>
        <w:rPr>
          <w:rFonts w:ascii="Arial" w:hAnsi="Arial" w:cs="Arial"/>
          <w:sz w:val="22"/>
          <w:szCs w:val="22"/>
        </w:rPr>
      </w:pPr>
      <w:r w:rsidRPr="009F7BFC">
        <w:rPr>
          <w:rFonts w:ascii="Arial" w:hAnsi="Arial" w:cs="Arial"/>
          <w:sz w:val="22"/>
          <w:szCs w:val="22"/>
        </w:rPr>
        <w:t>ČKH(t) = ČKH(t-1) + NAV(t) – NAV(t-1) – CF(t),</w:t>
      </w:r>
    </w:p>
    <w:p w:rsidR="00DD5ADF" w:rsidRPr="009F7BFC" w:rsidP="0046729B">
      <w:pPr>
        <w:bidi w:val="0"/>
        <w:spacing w:before="120" w:line="360" w:lineRule="auto"/>
        <w:rPr>
          <w:rFonts w:ascii="Arial" w:hAnsi="Arial" w:cs="Arial"/>
          <w:sz w:val="22"/>
          <w:szCs w:val="22"/>
        </w:rPr>
      </w:pPr>
      <w:r w:rsidRPr="009F7BFC">
        <w:rPr>
          <w:rFonts w:ascii="Arial" w:hAnsi="Arial" w:cs="Arial"/>
          <w:sz w:val="22"/>
          <w:szCs w:val="22"/>
        </w:rPr>
        <w:t>kde</w:t>
      </w:r>
    </w:p>
    <w:p w:rsidR="00DD5ADF" w:rsidRPr="009F7BFC" w:rsidP="0046729B">
      <w:pPr>
        <w:bidi w:val="0"/>
        <w:spacing w:before="120" w:line="360" w:lineRule="auto"/>
        <w:jc w:val="both"/>
        <w:rPr>
          <w:rFonts w:ascii="Arial" w:hAnsi="Arial" w:cs="Arial"/>
          <w:sz w:val="22"/>
          <w:szCs w:val="22"/>
        </w:rPr>
      </w:pPr>
      <w:r w:rsidRPr="009F7BFC">
        <w:rPr>
          <w:rFonts w:ascii="Arial" w:hAnsi="Arial" w:cs="Arial"/>
          <w:sz w:val="22"/>
          <w:szCs w:val="22"/>
        </w:rPr>
        <w:t>CF(i) = suma príspevkov pripísaných na účet dôchodkového fondu v deň, ku ktorému sa uskutočňuje výpočet znížená o úbytok majetku odpísaného z účtu dôchodkového fondu v deň, ku ktorému sa uskutočňuje výpočet.</w:t>
      </w:r>
    </w:p>
    <w:p w:rsidR="00DD5ADF" w:rsidRPr="009F7BFC" w:rsidP="0046729B">
      <w:pPr>
        <w:bidi w:val="0"/>
        <w:spacing w:before="120" w:line="360" w:lineRule="auto"/>
        <w:rPr>
          <w:rFonts w:ascii="Arial" w:hAnsi="Arial" w:cs="Arial"/>
          <w:i/>
          <w:sz w:val="22"/>
          <w:szCs w:val="22"/>
        </w:rPr>
      </w:pPr>
      <w:r w:rsidRPr="009F7BFC">
        <w:rPr>
          <w:rFonts w:ascii="Arial" w:hAnsi="Arial" w:cs="Arial"/>
          <w:i/>
          <w:sz w:val="22"/>
          <w:szCs w:val="22"/>
        </w:rPr>
        <w:t xml:space="preserve">2. Vzorec na výpočet výšky poplatku </w:t>
      </w:r>
    </w:p>
    <w:p w:rsidR="00DD5ADF" w:rsidRPr="009F7BFC" w:rsidP="0046729B">
      <w:pPr>
        <w:bidi w:val="0"/>
        <w:spacing w:before="120" w:line="360" w:lineRule="auto"/>
        <w:rPr>
          <w:rFonts w:ascii="Arial" w:hAnsi="Arial" w:cs="Arial"/>
          <w:sz w:val="22"/>
          <w:szCs w:val="22"/>
        </w:rPr>
      </w:pPr>
      <w:r w:rsidRPr="009F7BFC">
        <w:rPr>
          <w:rFonts w:ascii="Arial" w:hAnsi="Arial" w:cs="Arial"/>
          <w:sz w:val="22"/>
          <w:szCs w:val="22"/>
        </w:rPr>
        <w:t>p = 0,056 * Max { 0, ČKH(t) – M(t-1) },</w:t>
      </w:r>
    </w:p>
    <w:p w:rsidR="00DD5ADF" w:rsidRPr="009F7BFC" w:rsidP="0046729B">
      <w:pPr>
        <w:bidi w:val="0"/>
        <w:spacing w:before="120" w:line="360" w:lineRule="auto"/>
        <w:rPr>
          <w:rFonts w:ascii="Arial" w:hAnsi="Arial" w:cs="Arial"/>
          <w:sz w:val="22"/>
          <w:szCs w:val="22"/>
        </w:rPr>
      </w:pPr>
      <w:r w:rsidRPr="009F7BFC">
        <w:rPr>
          <w:rFonts w:ascii="Arial" w:hAnsi="Arial" w:cs="Arial"/>
          <w:sz w:val="22"/>
          <w:szCs w:val="22"/>
        </w:rPr>
        <w:t>kde</w:t>
      </w:r>
    </w:p>
    <w:p w:rsidR="00DD5ADF" w:rsidRPr="009F7BFC" w:rsidP="0046729B">
      <w:pPr>
        <w:bidi w:val="0"/>
        <w:spacing w:before="120" w:line="360" w:lineRule="auto"/>
        <w:rPr>
          <w:rFonts w:ascii="Arial" w:hAnsi="Arial" w:cs="Arial"/>
          <w:sz w:val="22"/>
          <w:szCs w:val="22"/>
        </w:rPr>
      </w:pPr>
      <w:r w:rsidRPr="009F7BFC">
        <w:rPr>
          <w:rFonts w:ascii="Arial" w:hAnsi="Arial" w:cs="Arial"/>
          <w:sz w:val="22"/>
          <w:szCs w:val="22"/>
        </w:rPr>
        <w:t>M(0) = 0 eur,</w:t>
      </w:r>
    </w:p>
    <w:p w:rsidR="00DD5ADF" w:rsidRPr="009F7BFC" w:rsidP="0046729B">
      <w:pPr>
        <w:bidi w:val="0"/>
        <w:spacing w:before="120" w:line="360" w:lineRule="auto"/>
        <w:rPr>
          <w:rFonts w:ascii="Arial" w:hAnsi="Arial" w:cs="Arial"/>
          <w:sz w:val="22"/>
          <w:szCs w:val="22"/>
        </w:rPr>
      </w:pPr>
      <w:r w:rsidRPr="009F7BFC">
        <w:rPr>
          <w:rFonts w:ascii="Arial" w:hAnsi="Arial" w:cs="Arial"/>
          <w:sz w:val="22"/>
          <w:szCs w:val="22"/>
        </w:rPr>
        <w:t xml:space="preserve">M(t) = Max </w:t>
      </w:r>
      <w:r w:rsidRPr="00765A76">
        <w:rPr>
          <w:rFonts w:ascii="Arial" w:hAnsi="Arial" w:cs="Arial"/>
          <w:sz w:val="22"/>
          <w:szCs w:val="22"/>
        </w:rPr>
        <w:t>{</w:t>
      </w:r>
      <w:r w:rsidRPr="009F7BFC">
        <w:rPr>
          <w:rFonts w:ascii="Arial" w:hAnsi="Arial" w:cs="Arial"/>
          <w:sz w:val="22"/>
          <w:szCs w:val="22"/>
        </w:rPr>
        <w:t>ČKH(t), M(t -1) * PDJ(t) / PJ(t-1) }.“.</w:t>
      </w:r>
    </w:p>
    <w:p w:rsidR="00DD5ADF" w:rsidRPr="009F7BFC" w:rsidP="0046729B">
      <w:pPr>
        <w:bidi w:val="0"/>
        <w:spacing w:before="120" w:line="360" w:lineRule="auto"/>
        <w:rPr>
          <w:rFonts w:ascii="Arial" w:hAnsi="Arial" w:cs="Arial"/>
          <w:sz w:val="22"/>
          <w:szCs w:val="22"/>
        </w:rPr>
      </w:pPr>
    </w:p>
    <w:p w:rsidR="00DD5ADF" w:rsidRPr="009F7BFC" w:rsidP="0046729B">
      <w:pPr>
        <w:bidi w:val="0"/>
        <w:spacing w:before="120" w:line="360" w:lineRule="auto"/>
        <w:rPr>
          <w:rFonts w:ascii="Times New Roman" w:hAnsi="Times New Roman"/>
        </w:rPr>
      </w:pPr>
    </w:p>
    <w:p w:rsidR="00DD5ADF" w:rsidRPr="009F7BFC" w:rsidP="0046729B">
      <w:pPr>
        <w:pStyle w:val="NormlnsWWW"/>
        <w:bidi w:val="0"/>
        <w:spacing w:before="120" w:after="0" w:line="360" w:lineRule="auto"/>
        <w:jc w:val="center"/>
        <w:outlineLvl w:val="0"/>
        <w:rPr>
          <w:rFonts w:ascii="Arial" w:hAnsi="Arial" w:cs="Arial" w:hint="default"/>
          <w:b/>
          <w:sz w:val="22"/>
          <w:szCs w:val="22"/>
          <w:lang w:val="sk-SK"/>
        </w:rPr>
      </w:pPr>
      <w:r w:rsidRPr="009F7BFC">
        <w:rPr>
          <w:rFonts w:ascii="Arial" w:hAnsi="Arial" w:cs="Arial" w:hint="default"/>
          <w:b/>
          <w:sz w:val="22"/>
          <w:szCs w:val="22"/>
          <w:lang w:val="sk-SK"/>
        </w:rPr>
        <w:t>Č</w:t>
      </w:r>
      <w:r w:rsidRPr="009F7BFC">
        <w:rPr>
          <w:rFonts w:ascii="Arial" w:hAnsi="Arial" w:cs="Arial" w:hint="default"/>
          <w:b/>
          <w:sz w:val="22"/>
          <w:szCs w:val="22"/>
          <w:lang w:val="sk-SK"/>
        </w:rPr>
        <w:t>l. II</w:t>
      </w:r>
    </w:p>
    <w:p w:rsidR="00DD5ADF" w:rsidP="0046729B">
      <w:pPr>
        <w:bidi w:val="0"/>
        <w:spacing w:before="120" w:line="360" w:lineRule="auto"/>
        <w:ind w:firstLine="708"/>
        <w:rPr>
          <w:rFonts w:ascii="Arial" w:hAnsi="Arial" w:cs="Arial"/>
          <w:sz w:val="22"/>
          <w:szCs w:val="22"/>
        </w:rPr>
      </w:pPr>
      <w:r w:rsidRPr="009F7BFC">
        <w:rPr>
          <w:rFonts w:ascii="Arial" w:hAnsi="Arial" w:cs="Arial"/>
          <w:sz w:val="22"/>
          <w:szCs w:val="22"/>
        </w:rPr>
        <w:t xml:space="preserve">Tento zákon nadobúda účinnosť 1. januára 2010. </w:t>
      </w:r>
    </w:p>
    <w:p w:rsidR="00C65DE2" w:rsidP="0046729B">
      <w:pPr>
        <w:bidi w:val="0"/>
        <w:spacing w:before="120" w:line="360" w:lineRule="auto"/>
        <w:ind w:firstLine="708"/>
        <w:rPr>
          <w:rFonts w:ascii="Arial" w:hAnsi="Arial" w:cs="Arial"/>
          <w:sz w:val="22"/>
          <w:szCs w:val="22"/>
        </w:rPr>
      </w:pPr>
    </w:p>
    <w:p w:rsidR="00C65DE2" w:rsidP="0046729B">
      <w:pPr>
        <w:bidi w:val="0"/>
        <w:spacing w:before="120" w:line="360" w:lineRule="auto"/>
        <w:ind w:firstLine="708"/>
        <w:rPr>
          <w:rFonts w:ascii="Arial" w:hAnsi="Arial" w:cs="Arial"/>
          <w:sz w:val="22"/>
          <w:szCs w:val="22"/>
        </w:rPr>
      </w:pPr>
    </w:p>
    <w:p w:rsidR="00C65DE2" w:rsidP="0046729B">
      <w:pPr>
        <w:bidi w:val="0"/>
        <w:spacing w:before="120" w:line="360" w:lineRule="auto"/>
        <w:ind w:firstLine="708"/>
        <w:rPr>
          <w:rFonts w:ascii="Arial" w:hAnsi="Arial" w:cs="Arial"/>
          <w:sz w:val="22"/>
          <w:szCs w:val="22"/>
        </w:rPr>
      </w:pPr>
    </w:p>
    <w:p w:rsidR="00C65DE2" w:rsidP="0046729B">
      <w:pPr>
        <w:bidi w:val="0"/>
        <w:spacing w:before="120" w:line="360" w:lineRule="auto"/>
        <w:ind w:firstLine="708"/>
        <w:rPr>
          <w:rFonts w:ascii="Arial" w:hAnsi="Arial" w:cs="Arial"/>
          <w:sz w:val="22"/>
          <w:szCs w:val="22"/>
        </w:rPr>
      </w:pPr>
    </w:p>
    <w:p w:rsidR="00C65DE2" w:rsidP="0046729B">
      <w:pPr>
        <w:bidi w:val="0"/>
        <w:spacing w:before="120" w:line="360" w:lineRule="auto"/>
        <w:ind w:firstLine="708"/>
        <w:rPr>
          <w:rFonts w:ascii="Arial" w:hAnsi="Arial" w:cs="Arial"/>
          <w:sz w:val="22"/>
          <w:szCs w:val="22"/>
        </w:rPr>
      </w:pPr>
    </w:p>
    <w:p w:rsidR="00C65DE2" w:rsidP="0046729B">
      <w:pPr>
        <w:bidi w:val="0"/>
        <w:spacing w:before="120" w:line="360" w:lineRule="auto"/>
        <w:ind w:firstLine="708"/>
        <w:rPr>
          <w:rFonts w:ascii="Arial" w:hAnsi="Arial" w:cs="Arial"/>
          <w:sz w:val="22"/>
          <w:szCs w:val="22"/>
        </w:rPr>
      </w:pPr>
    </w:p>
    <w:p w:rsidR="00C65DE2" w:rsidP="0046729B">
      <w:pPr>
        <w:bidi w:val="0"/>
        <w:spacing w:before="120" w:line="360" w:lineRule="auto"/>
        <w:ind w:firstLine="708"/>
        <w:rPr>
          <w:rFonts w:ascii="Arial" w:hAnsi="Arial" w:cs="Arial"/>
          <w:sz w:val="22"/>
          <w:szCs w:val="22"/>
        </w:rPr>
      </w:pPr>
    </w:p>
    <w:p w:rsidR="00C65DE2" w:rsidP="0046729B">
      <w:pPr>
        <w:bidi w:val="0"/>
        <w:spacing w:before="120" w:line="360" w:lineRule="auto"/>
        <w:ind w:firstLine="708"/>
        <w:rPr>
          <w:rFonts w:ascii="Arial" w:hAnsi="Arial" w:cs="Arial"/>
          <w:sz w:val="22"/>
          <w:szCs w:val="22"/>
        </w:rPr>
      </w:pPr>
    </w:p>
    <w:p w:rsidR="00C65DE2" w:rsidP="0046729B">
      <w:pPr>
        <w:bidi w:val="0"/>
        <w:spacing w:before="120" w:line="360" w:lineRule="auto"/>
        <w:ind w:firstLine="708"/>
        <w:rPr>
          <w:rFonts w:ascii="Arial" w:hAnsi="Arial" w:cs="Arial"/>
          <w:sz w:val="22"/>
          <w:szCs w:val="22"/>
        </w:rPr>
      </w:pPr>
    </w:p>
    <w:p w:rsidR="00C65DE2" w:rsidP="0046729B">
      <w:pPr>
        <w:bidi w:val="0"/>
        <w:spacing w:before="120" w:line="360" w:lineRule="auto"/>
        <w:ind w:firstLine="708"/>
        <w:rPr>
          <w:rFonts w:ascii="Arial" w:hAnsi="Arial" w:cs="Arial"/>
          <w:sz w:val="22"/>
          <w:szCs w:val="22"/>
        </w:rPr>
      </w:pPr>
    </w:p>
    <w:p w:rsidR="00C65DE2" w:rsidP="0046729B">
      <w:pPr>
        <w:bidi w:val="0"/>
        <w:spacing w:before="120" w:line="360" w:lineRule="auto"/>
        <w:ind w:firstLine="708"/>
        <w:rPr>
          <w:rFonts w:ascii="Arial" w:hAnsi="Arial" w:cs="Arial"/>
          <w:sz w:val="22"/>
          <w:szCs w:val="22"/>
        </w:rPr>
      </w:pPr>
    </w:p>
    <w:p w:rsidR="00C65DE2" w:rsidP="0046729B">
      <w:pPr>
        <w:bidi w:val="0"/>
        <w:spacing w:before="120" w:line="360" w:lineRule="auto"/>
        <w:ind w:firstLine="708"/>
        <w:rPr>
          <w:rFonts w:ascii="Arial" w:hAnsi="Arial" w:cs="Arial"/>
          <w:sz w:val="22"/>
          <w:szCs w:val="22"/>
        </w:rPr>
      </w:pPr>
    </w:p>
    <w:p w:rsidR="00625B25" w:rsidP="00C65DE2">
      <w:pPr>
        <w:bidi w:val="0"/>
        <w:spacing w:line="360" w:lineRule="auto"/>
        <w:jc w:val="center"/>
        <w:rPr>
          <w:rFonts w:ascii="Arial" w:hAnsi="Arial" w:cs="Arial"/>
          <w:b/>
          <w:sz w:val="22"/>
          <w:szCs w:val="22"/>
        </w:rPr>
      </w:pPr>
    </w:p>
    <w:p w:rsidR="00C65DE2" w:rsidP="00C65DE2">
      <w:pPr>
        <w:bidi w:val="0"/>
        <w:spacing w:line="360" w:lineRule="auto"/>
        <w:jc w:val="center"/>
        <w:rPr>
          <w:rFonts w:ascii="Arial" w:hAnsi="Arial" w:cs="Arial"/>
          <w:b/>
          <w:sz w:val="22"/>
          <w:szCs w:val="22"/>
        </w:rPr>
      </w:pPr>
      <w:r>
        <w:rPr>
          <w:rFonts w:ascii="Arial" w:hAnsi="Arial" w:cs="Arial"/>
          <w:b/>
          <w:sz w:val="22"/>
          <w:szCs w:val="22"/>
        </w:rPr>
        <w:t>D ô v o d o v á      s p r á v a</w:t>
      </w:r>
    </w:p>
    <w:p w:rsidR="00C65DE2" w:rsidP="00C65DE2">
      <w:pPr>
        <w:bidi w:val="0"/>
        <w:spacing w:line="360" w:lineRule="auto"/>
        <w:rPr>
          <w:rFonts w:ascii="Arial" w:hAnsi="Arial" w:cs="Arial"/>
          <w:b/>
          <w:sz w:val="22"/>
          <w:szCs w:val="22"/>
        </w:rPr>
      </w:pPr>
    </w:p>
    <w:p w:rsidR="00C65DE2" w:rsidP="00C65DE2">
      <w:pPr>
        <w:bidi w:val="0"/>
        <w:spacing w:line="360" w:lineRule="auto"/>
        <w:rPr>
          <w:rFonts w:ascii="Arial" w:hAnsi="Arial" w:cs="Arial"/>
          <w:b/>
          <w:sz w:val="22"/>
          <w:szCs w:val="22"/>
        </w:rPr>
      </w:pPr>
      <w:r>
        <w:rPr>
          <w:rFonts w:ascii="Arial" w:hAnsi="Arial" w:cs="Arial"/>
          <w:b/>
          <w:sz w:val="22"/>
          <w:szCs w:val="22"/>
        </w:rPr>
        <w:t>A. Všeobecná časť</w:t>
      </w:r>
    </w:p>
    <w:p w:rsidR="00C65DE2" w:rsidP="00C65DE2">
      <w:pPr>
        <w:bidi w:val="0"/>
        <w:jc w:val="both"/>
        <w:rPr>
          <w:rFonts w:ascii="Arial" w:hAnsi="Arial" w:cs="Arial"/>
          <w:sz w:val="22"/>
          <w:szCs w:val="22"/>
        </w:rPr>
      </w:pPr>
    </w:p>
    <w:p w:rsidR="00C65DE2" w:rsidP="00C65DE2">
      <w:pPr>
        <w:bidi w:val="0"/>
        <w:spacing w:before="120" w:line="360" w:lineRule="auto"/>
        <w:jc w:val="both"/>
        <w:rPr>
          <w:rFonts w:ascii="Arial" w:hAnsi="Arial" w:cs="Arial"/>
          <w:sz w:val="22"/>
          <w:szCs w:val="22"/>
        </w:rPr>
      </w:pPr>
      <w:r>
        <w:rPr>
          <w:rFonts w:ascii="Arial" w:hAnsi="Arial" w:cs="Arial"/>
          <w:sz w:val="22"/>
          <w:szCs w:val="22"/>
        </w:rPr>
        <w:tab/>
        <w:t xml:space="preserve">Cieľom </w:t>
      </w:r>
      <w:r w:rsidR="00D755BB">
        <w:rPr>
          <w:rFonts w:ascii="Arial" w:hAnsi="Arial" w:cs="Arial"/>
          <w:sz w:val="22"/>
          <w:szCs w:val="22"/>
        </w:rPr>
        <w:t xml:space="preserve">vládneho </w:t>
      </w:r>
      <w:r>
        <w:rPr>
          <w:rFonts w:ascii="Arial" w:hAnsi="Arial" w:cs="Arial"/>
          <w:sz w:val="22"/>
          <w:szCs w:val="22"/>
        </w:rPr>
        <w:t xml:space="preserve">návrhu </w:t>
      </w:r>
      <w:r w:rsidR="00D755BB">
        <w:rPr>
          <w:rFonts w:ascii="Arial" w:hAnsi="Arial" w:cs="Arial"/>
          <w:sz w:val="22"/>
          <w:szCs w:val="22"/>
        </w:rPr>
        <w:t>zákona</w:t>
      </w:r>
      <w:r>
        <w:rPr>
          <w:rFonts w:ascii="Arial" w:hAnsi="Arial" w:cs="Arial"/>
          <w:sz w:val="22"/>
          <w:szCs w:val="22"/>
        </w:rPr>
        <w:t xml:space="preserve"> je nastavenie nových parametrov pre stanovenie výšky  odplát súvisiacich so správou finančných prostriedkov sporiteľov v systéme starobného dôchodkového sporenia. Dôvodom tejto navrhovanej úpravy je optimalizácia výšky odplát a to v závislosti nielen od objemu spravovaných finančných prostriedkov, ale aj od výkonnosti jednotlivých dôchodkových fondov. Navrhovanou právnou úpravou sa zároveň zavádza do systému starobného dôchodkového sporenia nový prvok, ktorým je garančný účet dôchodkového fondu. Z tohto účtu sa navrhuje doplnenie majetku účastníkov starobného dôchodkového sporenia v dôchodkových fondoch v zákonom stanovených prípadoch. </w:t>
      </w:r>
    </w:p>
    <w:p w:rsidR="00503465" w:rsidRPr="00503465" w:rsidP="00503465">
      <w:pPr>
        <w:bidi w:val="0"/>
        <w:spacing w:before="120" w:line="360" w:lineRule="auto"/>
        <w:jc w:val="both"/>
        <w:outlineLvl w:val="0"/>
        <w:rPr>
          <w:rFonts w:ascii="Arial" w:hAnsi="Arial" w:cs="Arial"/>
          <w:sz w:val="22"/>
          <w:szCs w:val="22"/>
        </w:rPr>
      </w:pPr>
      <w:r>
        <w:rPr>
          <w:rFonts w:ascii="Arial" w:hAnsi="Arial" w:cs="Arial"/>
          <w:sz w:val="22"/>
          <w:szCs w:val="22"/>
        </w:rPr>
        <w:tab/>
        <w:t>Finančné dopady sú uvedené v</w:t>
      </w:r>
      <w:r w:rsidR="003565E2">
        <w:rPr>
          <w:rFonts w:ascii="Arial" w:hAnsi="Arial" w:cs="Arial"/>
          <w:sz w:val="22"/>
          <w:szCs w:val="22"/>
        </w:rPr>
        <w:t> </w:t>
      </w:r>
      <w:r>
        <w:rPr>
          <w:rFonts w:ascii="Arial" w:hAnsi="Arial" w:cs="Arial"/>
          <w:sz w:val="22"/>
          <w:szCs w:val="22"/>
        </w:rPr>
        <w:t>Doložke</w:t>
      </w:r>
      <w:r w:rsidR="003565E2">
        <w:rPr>
          <w:rFonts w:ascii="Arial" w:hAnsi="Arial" w:cs="Arial"/>
          <w:sz w:val="22"/>
          <w:szCs w:val="22"/>
        </w:rPr>
        <w:t xml:space="preserve"> </w:t>
      </w:r>
      <w:r w:rsidRPr="00503465">
        <w:rPr>
          <w:rFonts w:ascii="Arial" w:hAnsi="Arial" w:cs="Arial"/>
          <w:sz w:val="22"/>
          <w:szCs w:val="22"/>
        </w:rPr>
        <w:t>finančných, ekonomických,</w:t>
      </w:r>
      <w:r w:rsidRPr="00B23A47">
        <w:rPr>
          <w:rFonts w:ascii="Arial" w:hAnsi="Arial" w:cs="Arial"/>
          <w:b/>
          <w:sz w:val="22"/>
          <w:szCs w:val="22"/>
        </w:rPr>
        <w:t xml:space="preserve"> </w:t>
      </w:r>
      <w:r w:rsidRPr="00503465">
        <w:rPr>
          <w:rFonts w:ascii="Arial" w:hAnsi="Arial" w:cs="Arial"/>
          <w:sz w:val="22"/>
          <w:szCs w:val="22"/>
        </w:rPr>
        <w:t>environmentálnych vplyvov, vplyvov</w:t>
      </w:r>
      <w:r>
        <w:rPr>
          <w:rFonts w:ascii="Arial" w:hAnsi="Arial" w:cs="Arial"/>
          <w:sz w:val="22"/>
          <w:szCs w:val="22"/>
        </w:rPr>
        <w:t xml:space="preserve"> </w:t>
      </w:r>
      <w:r w:rsidRPr="00503465">
        <w:rPr>
          <w:rFonts w:ascii="Arial" w:hAnsi="Arial" w:cs="Arial"/>
          <w:sz w:val="22"/>
          <w:szCs w:val="22"/>
        </w:rPr>
        <w:t>na zamestnanosť a podnikateľské prostredie</w:t>
      </w:r>
    </w:p>
    <w:p w:rsidR="00C65DE2" w:rsidP="00C65DE2">
      <w:pPr>
        <w:bidi w:val="0"/>
        <w:spacing w:before="120" w:line="360" w:lineRule="auto"/>
        <w:jc w:val="both"/>
        <w:rPr>
          <w:rFonts w:ascii="Arial" w:hAnsi="Arial" w:cs="Arial"/>
          <w:sz w:val="22"/>
          <w:szCs w:val="22"/>
        </w:rPr>
      </w:pPr>
      <w:r>
        <w:rPr>
          <w:rFonts w:ascii="Arial" w:hAnsi="Arial" w:cs="Arial"/>
          <w:sz w:val="22"/>
          <w:szCs w:val="22"/>
        </w:rPr>
        <w:tab/>
        <w:t xml:space="preserve">Návrh zákona je v súlade s Ústavou Slovenskej republiky. </w:t>
      </w:r>
    </w:p>
    <w:p w:rsidR="00C65DE2" w:rsidP="00C65DE2">
      <w:pPr>
        <w:bidi w:val="0"/>
        <w:spacing w:before="120" w:line="360" w:lineRule="auto"/>
        <w:rPr>
          <w:rFonts w:ascii="Arial" w:hAnsi="Arial" w:cs="Arial"/>
          <w:b/>
          <w:sz w:val="22"/>
          <w:szCs w:val="22"/>
        </w:rPr>
      </w:pPr>
    </w:p>
    <w:p w:rsidR="00C65DE2" w:rsidP="00C65DE2">
      <w:pPr>
        <w:bidi w:val="0"/>
        <w:spacing w:before="120" w:line="360" w:lineRule="auto"/>
        <w:rPr>
          <w:rFonts w:ascii="Arial" w:hAnsi="Arial" w:cs="Arial"/>
          <w:b/>
          <w:sz w:val="22"/>
          <w:szCs w:val="22"/>
        </w:rPr>
      </w:pPr>
    </w:p>
    <w:p w:rsidR="00C65DE2" w:rsidP="00C65DE2">
      <w:pPr>
        <w:bidi w:val="0"/>
        <w:spacing w:before="120" w:line="360" w:lineRule="auto"/>
        <w:rPr>
          <w:rFonts w:ascii="Arial" w:hAnsi="Arial" w:cs="Arial"/>
          <w:b/>
          <w:sz w:val="22"/>
          <w:szCs w:val="22"/>
        </w:rPr>
      </w:pPr>
    </w:p>
    <w:p w:rsidR="00C65DE2" w:rsidP="00C65DE2">
      <w:pPr>
        <w:bidi w:val="0"/>
        <w:spacing w:before="120" w:line="360" w:lineRule="auto"/>
        <w:rPr>
          <w:rFonts w:ascii="Arial" w:hAnsi="Arial" w:cs="Arial"/>
          <w:b/>
          <w:sz w:val="22"/>
          <w:szCs w:val="22"/>
        </w:rPr>
      </w:pPr>
    </w:p>
    <w:p w:rsidR="00C65DE2" w:rsidP="00C65DE2">
      <w:pPr>
        <w:bidi w:val="0"/>
        <w:spacing w:before="120" w:line="360" w:lineRule="auto"/>
        <w:rPr>
          <w:rFonts w:ascii="Arial" w:hAnsi="Arial" w:cs="Arial"/>
          <w:b/>
          <w:sz w:val="22"/>
          <w:szCs w:val="22"/>
        </w:rPr>
      </w:pPr>
    </w:p>
    <w:p w:rsidR="00C65DE2" w:rsidP="00C65DE2">
      <w:pPr>
        <w:bidi w:val="0"/>
        <w:spacing w:before="120" w:line="360" w:lineRule="auto"/>
        <w:rPr>
          <w:rFonts w:ascii="Arial" w:hAnsi="Arial" w:cs="Arial"/>
          <w:b/>
          <w:sz w:val="22"/>
          <w:szCs w:val="22"/>
        </w:rPr>
      </w:pPr>
    </w:p>
    <w:p w:rsidR="00C65DE2" w:rsidP="00C65DE2">
      <w:pPr>
        <w:bidi w:val="0"/>
        <w:spacing w:before="120" w:line="360" w:lineRule="auto"/>
        <w:rPr>
          <w:rFonts w:ascii="Arial" w:hAnsi="Arial" w:cs="Arial"/>
          <w:b/>
          <w:sz w:val="22"/>
          <w:szCs w:val="22"/>
        </w:rPr>
      </w:pPr>
    </w:p>
    <w:p w:rsidR="00C65DE2" w:rsidP="00C65DE2">
      <w:pPr>
        <w:bidi w:val="0"/>
        <w:spacing w:before="120" w:line="360" w:lineRule="auto"/>
        <w:rPr>
          <w:rFonts w:ascii="Arial" w:hAnsi="Arial" w:cs="Arial"/>
          <w:b/>
          <w:sz w:val="22"/>
          <w:szCs w:val="22"/>
        </w:rPr>
      </w:pPr>
    </w:p>
    <w:p w:rsidR="00C65DE2" w:rsidP="00C65DE2">
      <w:pPr>
        <w:bidi w:val="0"/>
        <w:spacing w:before="120" w:line="360" w:lineRule="auto"/>
        <w:rPr>
          <w:rFonts w:ascii="Arial" w:hAnsi="Arial" w:cs="Arial"/>
          <w:b/>
          <w:sz w:val="22"/>
          <w:szCs w:val="22"/>
        </w:rPr>
      </w:pPr>
    </w:p>
    <w:p w:rsidR="00D755BB" w:rsidP="00C65DE2">
      <w:pPr>
        <w:bidi w:val="0"/>
        <w:spacing w:before="120" w:line="360" w:lineRule="auto"/>
        <w:rPr>
          <w:rFonts w:ascii="Arial" w:hAnsi="Arial" w:cs="Arial"/>
          <w:b/>
          <w:sz w:val="22"/>
          <w:szCs w:val="22"/>
        </w:rPr>
      </w:pPr>
    </w:p>
    <w:p w:rsidR="00D755BB" w:rsidP="00C65DE2">
      <w:pPr>
        <w:bidi w:val="0"/>
        <w:spacing w:before="120" w:line="360" w:lineRule="auto"/>
        <w:rPr>
          <w:rFonts w:ascii="Arial" w:hAnsi="Arial" w:cs="Arial"/>
          <w:b/>
          <w:sz w:val="22"/>
          <w:szCs w:val="22"/>
        </w:rPr>
      </w:pPr>
    </w:p>
    <w:p w:rsidR="00D755BB" w:rsidP="00C65DE2">
      <w:pPr>
        <w:bidi w:val="0"/>
        <w:spacing w:before="120" w:line="360" w:lineRule="auto"/>
        <w:rPr>
          <w:rFonts w:ascii="Arial" w:hAnsi="Arial" w:cs="Arial"/>
          <w:b/>
          <w:sz w:val="22"/>
          <w:szCs w:val="22"/>
        </w:rPr>
      </w:pPr>
    </w:p>
    <w:p w:rsidR="00D755BB" w:rsidP="00C65DE2">
      <w:pPr>
        <w:bidi w:val="0"/>
        <w:spacing w:before="120" w:line="360" w:lineRule="auto"/>
        <w:rPr>
          <w:rFonts w:ascii="Arial" w:hAnsi="Arial" w:cs="Arial"/>
          <w:b/>
          <w:sz w:val="22"/>
          <w:szCs w:val="22"/>
        </w:rPr>
      </w:pPr>
    </w:p>
    <w:p w:rsidR="00D755BB" w:rsidP="00C65DE2">
      <w:pPr>
        <w:bidi w:val="0"/>
        <w:spacing w:before="120" w:line="360" w:lineRule="auto"/>
        <w:rPr>
          <w:rFonts w:ascii="Arial" w:hAnsi="Arial" w:cs="Arial"/>
          <w:b/>
          <w:sz w:val="22"/>
          <w:szCs w:val="22"/>
        </w:rPr>
      </w:pPr>
    </w:p>
    <w:p w:rsidR="00D755BB" w:rsidP="00C65DE2">
      <w:pPr>
        <w:bidi w:val="0"/>
        <w:spacing w:before="120" w:line="360" w:lineRule="auto"/>
        <w:rPr>
          <w:rFonts w:ascii="Arial" w:hAnsi="Arial" w:cs="Arial"/>
          <w:b/>
          <w:sz w:val="22"/>
          <w:szCs w:val="22"/>
        </w:rPr>
      </w:pPr>
    </w:p>
    <w:p w:rsidR="00D755BB" w:rsidRPr="00B23A47" w:rsidP="00031693">
      <w:pPr>
        <w:bidi w:val="0"/>
        <w:jc w:val="center"/>
        <w:outlineLvl w:val="0"/>
        <w:rPr>
          <w:rFonts w:ascii="Arial" w:hAnsi="Arial" w:cs="Arial"/>
          <w:b/>
          <w:sz w:val="22"/>
          <w:szCs w:val="22"/>
        </w:rPr>
      </w:pPr>
      <w:r w:rsidRPr="00B23A47">
        <w:rPr>
          <w:rFonts w:ascii="Arial" w:hAnsi="Arial" w:cs="Arial"/>
          <w:b/>
          <w:sz w:val="22"/>
          <w:szCs w:val="22"/>
        </w:rPr>
        <w:t xml:space="preserve">  Doložka finančných, ekonomických, environmentálnych vplyvov, vplyvov</w:t>
      </w:r>
    </w:p>
    <w:p w:rsidR="00D755BB" w:rsidRPr="00B23A47" w:rsidP="00031693">
      <w:pPr>
        <w:bidi w:val="0"/>
        <w:jc w:val="center"/>
        <w:outlineLvl w:val="0"/>
        <w:rPr>
          <w:rFonts w:ascii="Arial" w:hAnsi="Arial" w:cs="Arial"/>
          <w:b/>
          <w:sz w:val="22"/>
          <w:szCs w:val="22"/>
        </w:rPr>
      </w:pPr>
      <w:r w:rsidRPr="00B23A47">
        <w:rPr>
          <w:rFonts w:ascii="Arial" w:hAnsi="Arial" w:cs="Arial"/>
          <w:b/>
          <w:sz w:val="22"/>
          <w:szCs w:val="22"/>
        </w:rPr>
        <w:t>na zamestnanosť a podnikateľské prostredie</w:t>
      </w:r>
    </w:p>
    <w:p w:rsidR="00D755BB" w:rsidRPr="00B23A47" w:rsidP="00E04184">
      <w:pPr>
        <w:bidi w:val="0"/>
        <w:spacing w:before="120" w:line="360" w:lineRule="auto"/>
        <w:jc w:val="center"/>
        <w:rPr>
          <w:rFonts w:ascii="Arial" w:hAnsi="Arial" w:cs="Arial"/>
          <w:b/>
          <w:sz w:val="22"/>
          <w:szCs w:val="22"/>
        </w:rPr>
      </w:pPr>
    </w:p>
    <w:p w:rsidR="00D755BB" w:rsidRPr="00B23A47" w:rsidP="00E04184">
      <w:pPr>
        <w:numPr>
          <w:numId w:val="4"/>
        </w:numPr>
        <w:bidi w:val="0"/>
        <w:spacing w:before="120" w:line="360" w:lineRule="auto"/>
        <w:jc w:val="both"/>
        <w:rPr>
          <w:rFonts w:ascii="Arial" w:hAnsi="Arial" w:cs="Arial"/>
          <w:b/>
          <w:sz w:val="22"/>
          <w:szCs w:val="22"/>
        </w:rPr>
      </w:pPr>
      <w:r w:rsidRPr="00B23A47">
        <w:rPr>
          <w:rFonts w:ascii="Arial" w:hAnsi="Arial" w:cs="Arial"/>
          <w:b/>
          <w:sz w:val="22"/>
          <w:szCs w:val="22"/>
        </w:rPr>
        <w:t>Odhad vplyvov na verejné financie</w:t>
      </w:r>
    </w:p>
    <w:p w:rsidR="00D755BB" w:rsidRPr="00B23A47" w:rsidP="00E04184">
      <w:pPr>
        <w:bidi w:val="0"/>
        <w:spacing w:before="120" w:line="360" w:lineRule="auto"/>
        <w:jc w:val="both"/>
        <w:rPr>
          <w:rFonts w:ascii="Arial" w:hAnsi="Arial" w:cs="Arial"/>
          <w:sz w:val="22"/>
          <w:szCs w:val="22"/>
        </w:rPr>
      </w:pPr>
      <w:r w:rsidRPr="00B23A47">
        <w:rPr>
          <w:rFonts w:ascii="Arial" w:hAnsi="Arial" w:cs="Arial"/>
          <w:sz w:val="22"/>
          <w:szCs w:val="22"/>
        </w:rPr>
        <w:t xml:space="preserve">           V doložke sú posudzované vplyvy spojené so zmenou výšky odplaty za sprá</w:t>
      </w:r>
      <w:r>
        <w:rPr>
          <w:rFonts w:ascii="Arial" w:hAnsi="Arial" w:cs="Arial"/>
          <w:sz w:val="22"/>
          <w:szCs w:val="22"/>
        </w:rPr>
        <w:t xml:space="preserve">vu fondu z 0,065 % na 0,025 %. </w:t>
      </w:r>
      <w:r w:rsidRPr="00B23A47">
        <w:rPr>
          <w:rFonts w:ascii="Arial" w:hAnsi="Arial" w:cs="Arial"/>
          <w:sz w:val="22"/>
          <w:szCs w:val="22"/>
        </w:rPr>
        <w:t>Predmetom doložky nie je vplyv odplaty za zhodnotenie majetku v dôchodkových fondoch, nakoľko v súčasnosti nie je možné tento vplyv kvalifikovane odhadnúť.</w:t>
      </w:r>
    </w:p>
    <w:p w:rsidR="00D755BB" w:rsidRPr="00B23A47" w:rsidP="00E04184">
      <w:pPr>
        <w:bidi w:val="0"/>
        <w:spacing w:before="120" w:line="360" w:lineRule="auto"/>
        <w:ind w:left="360"/>
        <w:jc w:val="both"/>
        <w:outlineLvl w:val="0"/>
        <w:rPr>
          <w:rFonts w:ascii="Arial" w:hAnsi="Arial" w:cs="Arial"/>
          <w:b/>
          <w:sz w:val="22"/>
          <w:szCs w:val="22"/>
        </w:rPr>
      </w:pPr>
      <w:r w:rsidRPr="00B23A47">
        <w:rPr>
          <w:rFonts w:ascii="Arial" w:hAnsi="Arial" w:cs="Arial"/>
          <w:b/>
          <w:sz w:val="22"/>
          <w:szCs w:val="22"/>
        </w:rPr>
        <w:t>I.I.      Odhad vplyvov na štátny rozpočet</w:t>
      </w:r>
    </w:p>
    <w:p w:rsidR="00D755BB" w:rsidRPr="00B23A47" w:rsidP="00E04184">
      <w:pPr>
        <w:bidi w:val="0"/>
        <w:spacing w:before="120" w:line="360" w:lineRule="auto"/>
        <w:jc w:val="both"/>
        <w:rPr>
          <w:rFonts w:ascii="Arial" w:hAnsi="Arial" w:cs="Arial"/>
          <w:sz w:val="22"/>
          <w:szCs w:val="22"/>
        </w:rPr>
      </w:pPr>
      <w:r w:rsidRPr="00B23A47">
        <w:rPr>
          <w:rFonts w:ascii="Arial" w:hAnsi="Arial" w:cs="Arial"/>
          <w:sz w:val="22"/>
          <w:szCs w:val="22"/>
        </w:rPr>
        <w:t xml:space="preserve">         </w:t>
        <w:tab/>
        <w:t xml:space="preserve"> Navrhované opatrenia nemajú priamy dopad na štátny rozpočet. </w:t>
      </w:r>
    </w:p>
    <w:p w:rsidR="00D755BB" w:rsidRPr="00B23A47" w:rsidP="00E04184">
      <w:pPr>
        <w:bidi w:val="0"/>
        <w:spacing w:before="120" w:line="360" w:lineRule="auto"/>
        <w:ind w:left="360"/>
        <w:jc w:val="both"/>
        <w:outlineLvl w:val="0"/>
        <w:rPr>
          <w:rFonts w:ascii="Arial" w:hAnsi="Arial" w:cs="Arial"/>
          <w:b/>
          <w:sz w:val="22"/>
          <w:szCs w:val="22"/>
        </w:rPr>
      </w:pPr>
      <w:r w:rsidRPr="00B23A47">
        <w:rPr>
          <w:rFonts w:ascii="Arial" w:hAnsi="Arial" w:cs="Arial"/>
          <w:b/>
          <w:sz w:val="22"/>
          <w:szCs w:val="22"/>
        </w:rPr>
        <w:t>I.II.     Odhad vplyvov na rozpočet Sociálnej poisťovne</w:t>
      </w:r>
    </w:p>
    <w:p w:rsidR="00D755BB" w:rsidRPr="00B23A47" w:rsidP="00E04184">
      <w:pPr>
        <w:bidi w:val="0"/>
        <w:spacing w:before="120" w:line="360" w:lineRule="auto"/>
        <w:jc w:val="both"/>
        <w:rPr>
          <w:rFonts w:ascii="Arial" w:hAnsi="Arial" w:cs="Arial"/>
          <w:sz w:val="22"/>
          <w:szCs w:val="22"/>
        </w:rPr>
      </w:pPr>
      <w:r w:rsidRPr="00B23A47">
        <w:rPr>
          <w:rFonts w:ascii="Arial" w:hAnsi="Arial" w:cs="Arial"/>
          <w:sz w:val="22"/>
          <w:szCs w:val="22"/>
        </w:rPr>
        <w:t xml:space="preserve">            Navrhované opatrenia nemajú priamy dopad na rozpočet Sociálnej poisťovne. </w:t>
      </w:r>
    </w:p>
    <w:p w:rsidR="00D755BB" w:rsidRPr="00B23A47" w:rsidP="00E04184">
      <w:pPr>
        <w:numPr>
          <w:numId w:val="4"/>
        </w:numPr>
        <w:bidi w:val="0"/>
        <w:spacing w:before="120" w:line="360" w:lineRule="auto"/>
        <w:jc w:val="both"/>
        <w:outlineLvl w:val="0"/>
        <w:rPr>
          <w:rFonts w:ascii="Arial" w:hAnsi="Arial" w:cs="Arial"/>
          <w:b/>
          <w:sz w:val="22"/>
          <w:szCs w:val="22"/>
        </w:rPr>
      </w:pPr>
      <w:r w:rsidRPr="00B23A47">
        <w:rPr>
          <w:rFonts w:ascii="Arial" w:hAnsi="Arial" w:cs="Arial"/>
          <w:b/>
          <w:sz w:val="22"/>
          <w:szCs w:val="22"/>
        </w:rPr>
        <w:t xml:space="preserve">Odhad vplyvov na obyvateľstvo, hospodárenie podnikateľskej sféry a iných právnických osôb  </w:t>
      </w:r>
    </w:p>
    <w:p w:rsidR="00D755BB" w:rsidRPr="00B23A47" w:rsidP="00E04184">
      <w:pPr>
        <w:bidi w:val="0"/>
        <w:spacing w:before="120" w:line="360" w:lineRule="auto"/>
        <w:ind w:firstLine="708"/>
        <w:jc w:val="both"/>
        <w:rPr>
          <w:rFonts w:ascii="Arial" w:hAnsi="Arial" w:cs="Arial"/>
          <w:sz w:val="22"/>
          <w:szCs w:val="22"/>
        </w:rPr>
      </w:pPr>
      <w:r w:rsidRPr="00B23A47">
        <w:rPr>
          <w:rFonts w:ascii="Arial" w:hAnsi="Arial" w:cs="Arial"/>
          <w:sz w:val="22"/>
          <w:szCs w:val="22"/>
        </w:rPr>
        <w:t>Zníženie výšky odplaty za správu fondu z </w:t>
      </w:r>
      <w:r>
        <w:rPr>
          <w:rFonts w:ascii="Arial" w:hAnsi="Arial" w:cs="Arial"/>
          <w:sz w:val="22"/>
          <w:szCs w:val="22"/>
        </w:rPr>
        <w:t>0,065 % na 0,025</w:t>
      </w:r>
      <w:r w:rsidRPr="00B23A47">
        <w:rPr>
          <w:rFonts w:ascii="Arial" w:hAnsi="Arial" w:cs="Arial"/>
          <w:sz w:val="22"/>
          <w:szCs w:val="22"/>
        </w:rPr>
        <w:t xml:space="preserve"> % z mesačnej čistej hodnoty majetku bude mať pozitívny vplyv na objem prostriedkov sporiteľov na bežnom účte dôchodkového fondu v príslušnej dôchodkovej správcovskej spoločnosti za predpokladu, že scenár zhodnocovania prostriedkov sporiteľov zostane nezmenený. Pri 40 rokoch sporenia pri navrhovanej zmene sa predpokladá, že objem prostriedkov</w:t>
      </w:r>
      <w:r>
        <w:rPr>
          <w:rFonts w:ascii="Arial" w:hAnsi="Arial" w:cs="Arial"/>
          <w:sz w:val="22"/>
          <w:szCs w:val="22"/>
        </w:rPr>
        <w:t xml:space="preserve"> na bežnom účte vzrastie o cca 10,4</w:t>
      </w:r>
      <w:r w:rsidRPr="00B23A47">
        <w:rPr>
          <w:rFonts w:ascii="Arial" w:hAnsi="Arial" w:cs="Arial"/>
          <w:sz w:val="22"/>
          <w:szCs w:val="22"/>
        </w:rPr>
        <w:t xml:space="preserve"> %, t. j. aj dôchodko</w:t>
      </w:r>
      <w:r>
        <w:rPr>
          <w:rFonts w:ascii="Arial" w:hAnsi="Arial" w:cs="Arial"/>
          <w:sz w:val="22"/>
          <w:szCs w:val="22"/>
        </w:rPr>
        <w:t>vé nároky vzrastú o cca 10,4 %.</w:t>
      </w:r>
    </w:p>
    <w:p w:rsidR="00D755BB" w:rsidRPr="00B23A47" w:rsidP="00031693">
      <w:pPr>
        <w:bidi w:val="0"/>
        <w:spacing w:before="120" w:line="360" w:lineRule="auto"/>
        <w:jc w:val="both"/>
        <w:rPr>
          <w:rFonts w:ascii="Arial" w:hAnsi="Arial" w:cs="Arial"/>
          <w:b/>
          <w:sz w:val="22"/>
          <w:szCs w:val="22"/>
        </w:rPr>
      </w:pPr>
      <w:r w:rsidRPr="00B23A47">
        <w:rPr>
          <w:rFonts w:ascii="Arial" w:hAnsi="Arial" w:cs="Arial"/>
          <w:sz w:val="22"/>
          <w:szCs w:val="22"/>
        </w:rPr>
        <w:t xml:space="preserve">          </w:t>
      </w:r>
      <w:r w:rsidRPr="00B23A47">
        <w:rPr>
          <w:rFonts w:ascii="Arial" w:hAnsi="Arial" w:cs="Arial"/>
          <w:b/>
          <w:sz w:val="22"/>
          <w:szCs w:val="22"/>
        </w:rPr>
        <w:t>Odhad vplyvov na životné prostredie</w:t>
      </w:r>
    </w:p>
    <w:p w:rsidR="00D755BB" w:rsidRPr="00B23A47" w:rsidP="00E04184">
      <w:pPr>
        <w:bidi w:val="0"/>
        <w:spacing w:before="120" w:line="360" w:lineRule="auto"/>
        <w:ind w:firstLine="708"/>
        <w:jc w:val="both"/>
        <w:outlineLvl w:val="0"/>
        <w:rPr>
          <w:rFonts w:ascii="Arial" w:hAnsi="Arial" w:cs="Arial"/>
          <w:sz w:val="22"/>
          <w:szCs w:val="22"/>
        </w:rPr>
      </w:pPr>
      <w:r w:rsidRPr="00B23A47">
        <w:rPr>
          <w:rFonts w:ascii="Arial" w:hAnsi="Arial" w:cs="Arial"/>
          <w:sz w:val="22"/>
          <w:szCs w:val="22"/>
        </w:rPr>
        <w:t>Navrhované  opatrenia  nemajú vplyv na  životné prostredie.</w:t>
      </w:r>
    </w:p>
    <w:p w:rsidR="00D755BB" w:rsidRPr="00B23A47" w:rsidP="00E04184">
      <w:pPr>
        <w:numPr>
          <w:numId w:val="4"/>
        </w:numPr>
        <w:bidi w:val="0"/>
        <w:spacing w:before="120" w:line="360" w:lineRule="auto"/>
        <w:jc w:val="both"/>
        <w:outlineLvl w:val="0"/>
        <w:rPr>
          <w:rFonts w:ascii="Arial" w:hAnsi="Arial" w:cs="Arial"/>
          <w:b/>
          <w:sz w:val="22"/>
          <w:szCs w:val="22"/>
        </w:rPr>
      </w:pPr>
      <w:r w:rsidRPr="00B23A47">
        <w:rPr>
          <w:rFonts w:ascii="Arial" w:hAnsi="Arial" w:cs="Arial"/>
          <w:b/>
          <w:sz w:val="22"/>
          <w:szCs w:val="22"/>
        </w:rPr>
        <w:t>Odhad vplyvov na zamestnanosť</w:t>
      </w:r>
    </w:p>
    <w:p w:rsidR="00D755BB" w:rsidRPr="00B23A47" w:rsidP="00E04184">
      <w:pPr>
        <w:bidi w:val="0"/>
        <w:spacing w:before="120" w:line="360" w:lineRule="auto"/>
        <w:ind w:firstLine="708"/>
        <w:jc w:val="both"/>
        <w:outlineLvl w:val="0"/>
        <w:rPr>
          <w:rFonts w:ascii="Arial" w:hAnsi="Arial" w:cs="Arial"/>
          <w:sz w:val="22"/>
          <w:szCs w:val="22"/>
        </w:rPr>
      </w:pPr>
      <w:r w:rsidRPr="00B23A47">
        <w:rPr>
          <w:rFonts w:ascii="Arial" w:hAnsi="Arial" w:cs="Arial"/>
          <w:sz w:val="22"/>
          <w:szCs w:val="22"/>
        </w:rPr>
        <w:t>Navrhované  opatrenia  nemajú vplyv na  zamestnanosť v Slovenskej republike.</w:t>
      </w:r>
    </w:p>
    <w:p w:rsidR="00D755BB" w:rsidRPr="00B23A47" w:rsidP="00031693">
      <w:pPr>
        <w:bidi w:val="0"/>
        <w:spacing w:before="120" w:line="360" w:lineRule="auto"/>
        <w:jc w:val="both"/>
        <w:outlineLvl w:val="0"/>
        <w:rPr>
          <w:rFonts w:ascii="Arial" w:hAnsi="Arial" w:cs="Arial"/>
          <w:b/>
          <w:sz w:val="22"/>
          <w:szCs w:val="22"/>
        </w:rPr>
      </w:pPr>
      <w:r w:rsidRPr="00B23A47">
        <w:rPr>
          <w:rFonts w:ascii="Arial" w:hAnsi="Arial" w:cs="Arial"/>
          <w:sz w:val="22"/>
          <w:szCs w:val="22"/>
        </w:rPr>
        <w:t xml:space="preserve"> </w:t>
      </w:r>
      <w:r w:rsidRPr="00B23A47">
        <w:rPr>
          <w:rFonts w:ascii="Arial" w:hAnsi="Arial" w:cs="Arial"/>
          <w:b/>
          <w:sz w:val="22"/>
          <w:szCs w:val="22"/>
        </w:rPr>
        <w:t>Odhad vplyvov na podnikateľské prostredie</w:t>
      </w:r>
    </w:p>
    <w:p w:rsidR="00D755BB" w:rsidRPr="00B23A47" w:rsidP="00E04184">
      <w:pPr>
        <w:bidi w:val="0"/>
        <w:spacing w:before="120" w:line="360" w:lineRule="auto"/>
        <w:jc w:val="both"/>
        <w:rPr>
          <w:rFonts w:ascii="Arial" w:hAnsi="Arial" w:cs="Arial"/>
          <w:sz w:val="22"/>
          <w:szCs w:val="22"/>
        </w:rPr>
      </w:pPr>
      <w:r w:rsidRPr="00B23A47">
        <w:rPr>
          <w:rFonts w:ascii="Arial" w:hAnsi="Arial" w:cs="Arial"/>
          <w:b/>
          <w:sz w:val="22"/>
          <w:szCs w:val="22"/>
        </w:rPr>
        <w:t xml:space="preserve">              </w:t>
      </w:r>
      <w:r w:rsidRPr="00B23A47">
        <w:rPr>
          <w:rFonts w:ascii="Arial" w:hAnsi="Arial" w:cs="Arial"/>
          <w:sz w:val="22"/>
          <w:szCs w:val="22"/>
        </w:rPr>
        <w:t>Navrhované opatrenia môžu mať negatívny vplyv na činnosť dôchodkových správcovských spoločností najmä z dôvodu zníženia výšky odplaty za správu fondu a zároveň predĺženia doby návratnosti nákladov spojených so zriadením dôchodkovej správcovskej spoločnosti.</w:t>
      </w:r>
    </w:p>
    <w:p w:rsidR="00D755BB" w:rsidRPr="00B23A47" w:rsidP="00E04184">
      <w:pPr>
        <w:bidi w:val="0"/>
        <w:spacing w:before="120" w:line="360" w:lineRule="auto"/>
        <w:jc w:val="both"/>
        <w:rPr>
          <w:rFonts w:ascii="Arial" w:hAnsi="Arial" w:cs="Arial"/>
          <w:b/>
          <w:i/>
          <w:sz w:val="22"/>
          <w:szCs w:val="22"/>
        </w:rPr>
      </w:pPr>
    </w:p>
    <w:p w:rsidR="00D755BB" w:rsidRPr="00BB494B" w:rsidP="00E04184">
      <w:pPr>
        <w:bidi w:val="0"/>
        <w:spacing w:before="120" w:line="360" w:lineRule="auto"/>
        <w:rPr>
          <w:rFonts w:ascii="Arial" w:hAnsi="Arial" w:cs="Arial"/>
          <w:sz w:val="22"/>
          <w:szCs w:val="22"/>
        </w:rPr>
      </w:pPr>
    </w:p>
    <w:p w:rsidR="00D755BB" w:rsidP="00E04184">
      <w:pPr>
        <w:bidi w:val="0"/>
        <w:spacing w:before="120" w:line="360" w:lineRule="auto"/>
        <w:jc w:val="center"/>
        <w:rPr>
          <w:rFonts w:ascii="Arial" w:hAnsi="Arial" w:cs="Arial"/>
          <w:sz w:val="22"/>
          <w:szCs w:val="22"/>
        </w:rPr>
      </w:pPr>
    </w:p>
    <w:p w:rsidR="00D755BB" w:rsidP="00E04184">
      <w:pPr>
        <w:bidi w:val="0"/>
        <w:spacing w:before="120" w:line="360" w:lineRule="auto"/>
        <w:jc w:val="center"/>
        <w:rPr>
          <w:rFonts w:ascii="Arial" w:hAnsi="Arial" w:cs="Arial"/>
          <w:sz w:val="22"/>
          <w:szCs w:val="22"/>
        </w:rPr>
      </w:pPr>
    </w:p>
    <w:p w:rsidR="00C65DE2" w:rsidP="00C65DE2">
      <w:pPr>
        <w:bidi w:val="0"/>
        <w:jc w:val="center"/>
        <w:rPr>
          <w:rFonts w:ascii="Arial" w:hAnsi="Arial" w:cs="Arial"/>
          <w:b/>
          <w:caps/>
          <w:spacing w:val="30"/>
          <w:sz w:val="22"/>
          <w:szCs w:val="22"/>
        </w:rPr>
      </w:pPr>
      <w:r>
        <w:rPr>
          <w:rFonts w:ascii="Arial" w:hAnsi="Arial" w:cs="Arial"/>
          <w:b/>
          <w:caps/>
          <w:spacing w:val="30"/>
          <w:sz w:val="22"/>
          <w:szCs w:val="22"/>
        </w:rPr>
        <w:t>Doložka zlučiteľnosti</w:t>
      </w:r>
    </w:p>
    <w:p w:rsidR="00C65DE2" w:rsidP="00C65DE2">
      <w:pPr>
        <w:bidi w:val="0"/>
        <w:jc w:val="center"/>
        <w:rPr>
          <w:rFonts w:ascii="Arial" w:hAnsi="Arial" w:cs="Arial"/>
          <w:b/>
          <w:sz w:val="22"/>
          <w:szCs w:val="22"/>
        </w:rPr>
      </w:pPr>
    </w:p>
    <w:p w:rsidR="00C65DE2" w:rsidP="00C65DE2">
      <w:pPr>
        <w:bidi w:val="0"/>
        <w:jc w:val="center"/>
        <w:rPr>
          <w:rFonts w:ascii="Arial" w:hAnsi="Arial" w:cs="Arial"/>
          <w:b/>
          <w:sz w:val="22"/>
          <w:szCs w:val="22"/>
        </w:rPr>
      </w:pPr>
      <w:r>
        <w:rPr>
          <w:rFonts w:ascii="Arial" w:hAnsi="Arial" w:cs="Arial"/>
          <w:b/>
          <w:sz w:val="22"/>
          <w:szCs w:val="22"/>
        </w:rPr>
        <w:t xml:space="preserve">právneho predpisu </w:t>
      </w:r>
    </w:p>
    <w:p w:rsidR="00C65DE2" w:rsidP="00C65DE2">
      <w:pPr>
        <w:bidi w:val="0"/>
        <w:jc w:val="center"/>
        <w:rPr>
          <w:rFonts w:ascii="Arial" w:hAnsi="Arial" w:cs="Arial"/>
          <w:b/>
          <w:sz w:val="22"/>
          <w:szCs w:val="22"/>
        </w:rPr>
      </w:pPr>
      <w:r>
        <w:rPr>
          <w:rFonts w:ascii="Arial" w:hAnsi="Arial" w:cs="Arial"/>
          <w:b/>
          <w:sz w:val="22"/>
          <w:szCs w:val="22"/>
        </w:rPr>
        <w:t>s právom Európskych spoločenstiev a právom Európskej únie </w:t>
      </w:r>
    </w:p>
    <w:p w:rsidR="00C65DE2" w:rsidP="00C65DE2">
      <w:pPr>
        <w:bidi w:val="0"/>
        <w:rPr>
          <w:rFonts w:ascii="Arial" w:hAnsi="Arial" w:cs="Arial"/>
          <w:sz w:val="22"/>
          <w:szCs w:val="22"/>
        </w:rPr>
      </w:pPr>
    </w:p>
    <w:p w:rsidR="00C65DE2" w:rsidP="00C65DE2">
      <w:pPr>
        <w:bidi w:val="0"/>
        <w:rPr>
          <w:rFonts w:ascii="Arial" w:hAnsi="Arial" w:cs="Arial"/>
          <w:sz w:val="22"/>
          <w:szCs w:val="22"/>
        </w:rPr>
      </w:pPr>
    </w:p>
    <w:p w:rsidR="00C65DE2" w:rsidP="00C65DE2">
      <w:pPr>
        <w:bidi w:val="0"/>
        <w:ind w:left="360" w:hanging="360"/>
        <w:jc w:val="both"/>
        <w:rPr>
          <w:rFonts w:ascii="Arial" w:hAnsi="Arial" w:cs="Arial"/>
          <w:b/>
          <w:sz w:val="22"/>
          <w:szCs w:val="22"/>
        </w:rPr>
      </w:pPr>
      <w:r>
        <w:rPr>
          <w:rFonts w:ascii="Arial" w:hAnsi="Arial" w:cs="Arial"/>
          <w:b/>
          <w:sz w:val="22"/>
          <w:szCs w:val="22"/>
        </w:rPr>
        <w:t>1.</w:t>
        <w:tab/>
        <w:t>Predkladateľ právneho predpisu:</w:t>
      </w:r>
      <w:r>
        <w:rPr>
          <w:rFonts w:ascii="Arial" w:hAnsi="Arial" w:cs="Arial"/>
          <w:sz w:val="22"/>
          <w:szCs w:val="22"/>
        </w:rPr>
        <w:t xml:space="preserve"> vláda Slovenskej republiky</w:t>
      </w:r>
    </w:p>
    <w:p w:rsidR="00C65DE2" w:rsidP="00C65DE2">
      <w:pPr>
        <w:tabs>
          <w:tab w:val="num" w:pos="360"/>
        </w:tabs>
        <w:bidi w:val="0"/>
        <w:ind w:left="360"/>
        <w:jc w:val="both"/>
        <w:rPr>
          <w:rFonts w:ascii="Arial" w:hAnsi="Arial" w:cs="Arial"/>
          <w:sz w:val="22"/>
          <w:szCs w:val="22"/>
        </w:rPr>
      </w:pPr>
      <w:r>
        <w:rPr>
          <w:rFonts w:ascii="Arial" w:hAnsi="Arial" w:cs="Arial"/>
          <w:sz w:val="22"/>
          <w:szCs w:val="22"/>
        </w:rPr>
        <w:t xml:space="preserve"> </w:t>
      </w:r>
    </w:p>
    <w:p w:rsidR="00C65DE2" w:rsidP="00C65DE2">
      <w:pPr>
        <w:bidi w:val="0"/>
        <w:ind w:left="360" w:hanging="360"/>
        <w:jc w:val="both"/>
        <w:rPr>
          <w:rFonts w:ascii="Arial" w:hAnsi="Arial" w:cs="Arial"/>
          <w:b/>
          <w:sz w:val="22"/>
          <w:szCs w:val="22"/>
        </w:rPr>
      </w:pPr>
      <w:r>
        <w:rPr>
          <w:rFonts w:ascii="Arial" w:hAnsi="Arial" w:cs="Arial"/>
          <w:b/>
          <w:sz w:val="22"/>
          <w:szCs w:val="22"/>
        </w:rPr>
        <w:t>2.</w:t>
        <w:tab/>
        <w:t>Názov návrhu právneho predpisu:</w:t>
      </w:r>
      <w:r>
        <w:rPr>
          <w:rFonts w:ascii="Arial" w:hAnsi="Arial" w:cs="Arial"/>
          <w:sz w:val="22"/>
          <w:szCs w:val="22"/>
        </w:rPr>
        <w:t xml:space="preserve"> </w:t>
      </w:r>
      <w:r w:rsidR="00031693">
        <w:rPr>
          <w:rFonts w:ascii="Arial" w:hAnsi="Arial" w:cs="Arial"/>
          <w:sz w:val="22"/>
          <w:szCs w:val="22"/>
        </w:rPr>
        <w:t xml:space="preserve">vládny </w:t>
      </w:r>
      <w:r>
        <w:rPr>
          <w:rFonts w:ascii="Arial" w:hAnsi="Arial" w:cs="Arial"/>
          <w:sz w:val="22"/>
          <w:szCs w:val="22"/>
        </w:rPr>
        <w:t>návrh zákona, ktorým sa mení a dopĺňa zákon</w:t>
      </w:r>
      <w:r w:rsidR="00031693">
        <w:rPr>
          <w:rFonts w:ascii="Arial" w:hAnsi="Arial" w:cs="Arial"/>
          <w:sz w:val="22"/>
          <w:szCs w:val="22"/>
        </w:rPr>
        <w:t xml:space="preserve"> </w:t>
      </w:r>
      <w:r>
        <w:rPr>
          <w:rFonts w:ascii="Arial" w:hAnsi="Arial" w:cs="Arial"/>
          <w:sz w:val="22"/>
          <w:szCs w:val="22"/>
        </w:rPr>
        <w:t xml:space="preserve">č. 43/2004 Z. z. o starobnom dôchodkovom sporení a o zmene a doplnení niektorých zákonov v znení neskorších predpisov  </w:t>
      </w:r>
    </w:p>
    <w:p w:rsidR="00C65DE2" w:rsidP="00C65DE2">
      <w:pPr>
        <w:bidi w:val="0"/>
        <w:jc w:val="both"/>
        <w:rPr>
          <w:rFonts w:ascii="Arial" w:hAnsi="Arial" w:cs="Arial"/>
          <w:sz w:val="22"/>
          <w:szCs w:val="22"/>
        </w:rPr>
      </w:pPr>
    </w:p>
    <w:p w:rsidR="00C65DE2" w:rsidP="00F25C3E">
      <w:pPr>
        <w:bidi w:val="0"/>
        <w:spacing w:line="360" w:lineRule="auto"/>
        <w:ind w:left="360" w:hanging="360"/>
        <w:jc w:val="both"/>
        <w:rPr>
          <w:rFonts w:ascii="Arial" w:hAnsi="Arial" w:cs="Arial"/>
          <w:b/>
          <w:sz w:val="22"/>
          <w:szCs w:val="22"/>
        </w:rPr>
      </w:pPr>
      <w:r>
        <w:rPr>
          <w:rFonts w:ascii="Arial" w:hAnsi="Arial" w:cs="Arial"/>
          <w:b/>
          <w:sz w:val="22"/>
          <w:szCs w:val="22"/>
        </w:rPr>
        <w:t>3.</w:t>
        <w:tab/>
        <w:t>Problematika návrhu právneho predpisu:</w:t>
      </w:r>
    </w:p>
    <w:p w:rsidR="00C65DE2" w:rsidP="00F25C3E">
      <w:pPr>
        <w:bidi w:val="0"/>
        <w:spacing w:line="360" w:lineRule="auto"/>
        <w:ind w:left="709" w:hanging="349"/>
        <w:jc w:val="both"/>
        <w:rPr>
          <w:rFonts w:ascii="Arial" w:hAnsi="Arial" w:cs="Arial"/>
          <w:sz w:val="22"/>
          <w:szCs w:val="22"/>
        </w:rPr>
      </w:pPr>
      <w:r>
        <w:rPr>
          <w:rFonts w:ascii="Arial" w:hAnsi="Arial" w:cs="Arial"/>
          <w:sz w:val="22"/>
          <w:szCs w:val="22"/>
        </w:rPr>
        <w:t>a)</w:t>
        <w:tab/>
        <w:t>je upravená v práve Európskych spoločenstiev</w:t>
      </w:r>
    </w:p>
    <w:p w:rsidR="00C65DE2" w:rsidP="00F25C3E">
      <w:pPr>
        <w:numPr>
          <w:numId w:val="3"/>
        </w:numPr>
        <w:bidi w:val="0"/>
        <w:spacing w:line="360" w:lineRule="auto"/>
        <w:jc w:val="both"/>
        <w:rPr>
          <w:rFonts w:ascii="Arial" w:hAnsi="Arial" w:cs="Arial"/>
          <w:i/>
          <w:sz w:val="22"/>
          <w:szCs w:val="22"/>
        </w:rPr>
      </w:pPr>
      <w:r>
        <w:rPr>
          <w:rFonts w:ascii="Arial" w:hAnsi="Arial" w:cs="Arial"/>
          <w:i/>
          <w:sz w:val="22"/>
          <w:szCs w:val="22"/>
        </w:rPr>
        <w:t>primárnom</w:t>
      </w:r>
    </w:p>
    <w:p w:rsidR="00C65DE2" w:rsidRPr="00F25C3E" w:rsidP="00F25C3E">
      <w:pPr>
        <w:bidi w:val="0"/>
        <w:spacing w:line="360" w:lineRule="auto"/>
        <w:ind w:left="1080" w:hanging="229"/>
        <w:jc w:val="both"/>
        <w:rPr>
          <w:rFonts w:ascii="Arial" w:hAnsi="Arial" w:cs="Arial"/>
          <w:sz w:val="22"/>
          <w:szCs w:val="22"/>
        </w:rPr>
      </w:pPr>
      <w:r w:rsidRPr="00F25C3E" w:rsidR="00F25C3E">
        <w:rPr>
          <w:rFonts w:ascii="Arial" w:hAnsi="Arial" w:cs="Arial"/>
          <w:sz w:val="22"/>
          <w:szCs w:val="22"/>
        </w:rPr>
        <w:t xml:space="preserve">    </w:t>
      </w:r>
      <w:r w:rsidRPr="00F25C3E">
        <w:rPr>
          <w:rFonts w:ascii="Arial" w:hAnsi="Arial" w:cs="Arial"/>
          <w:sz w:val="22"/>
          <w:szCs w:val="22"/>
        </w:rPr>
        <w:t xml:space="preserve">je upravená v primárnom práve Európskych spoločenstiev, a to vo viacerých článkoch  zmluvy o založení Európskeho spoločenstva v platnom znení; v rámci Spoločenstva sa v oblasti upravenej návrhom zákona uplatňuje tzv. globálny prístup, ktorého cieľom nie je zosúladenie systémov sociálneho zabezpečenia členských štátov, ale  dosiahnutie efektívnej koordinácie týchto systémov. </w:t>
      </w:r>
    </w:p>
    <w:p w:rsidR="00C65DE2" w:rsidRPr="00F25C3E" w:rsidP="00F25C3E">
      <w:pPr>
        <w:bidi w:val="0"/>
        <w:spacing w:line="360" w:lineRule="auto"/>
        <w:ind w:left="1080" w:hanging="229"/>
        <w:jc w:val="both"/>
        <w:rPr>
          <w:rFonts w:ascii="Arial" w:hAnsi="Arial" w:cs="Arial"/>
          <w:sz w:val="22"/>
          <w:szCs w:val="22"/>
        </w:rPr>
      </w:pPr>
      <w:r w:rsidRPr="00F25C3E">
        <w:rPr>
          <w:rFonts w:ascii="Arial" w:hAnsi="Arial" w:cs="Arial"/>
          <w:sz w:val="22"/>
          <w:szCs w:val="22"/>
        </w:rPr>
        <w:t xml:space="preserve">         Návrh zákona plne rešpektuje štyri všeobecné právne zásady, ktorými sú </w:t>
      </w:r>
      <w:r w:rsidRPr="00F25C3E" w:rsidR="00F25C3E">
        <w:rPr>
          <w:rFonts w:ascii="Arial" w:hAnsi="Arial" w:cs="Arial"/>
          <w:sz w:val="22"/>
          <w:szCs w:val="22"/>
        </w:rPr>
        <w:t xml:space="preserve">   </w:t>
      </w:r>
      <w:r w:rsidRPr="00F25C3E">
        <w:rPr>
          <w:rFonts w:ascii="Arial" w:hAnsi="Arial" w:cs="Arial"/>
          <w:sz w:val="22"/>
          <w:szCs w:val="22"/>
        </w:rPr>
        <w:t>aplikácia jedného zákonodarstva, rovnosť zaobchádzania, zachovanie získaných práv a  spočítanie období poistenia.</w:t>
      </w:r>
    </w:p>
    <w:p w:rsidR="00C65DE2" w:rsidP="00F25C3E">
      <w:pPr>
        <w:numPr>
          <w:numId w:val="3"/>
        </w:numPr>
        <w:bidi w:val="0"/>
        <w:spacing w:line="360" w:lineRule="auto"/>
        <w:jc w:val="both"/>
        <w:rPr>
          <w:rFonts w:ascii="Arial" w:hAnsi="Arial" w:cs="Arial"/>
          <w:i/>
          <w:sz w:val="22"/>
          <w:szCs w:val="22"/>
        </w:rPr>
      </w:pPr>
      <w:r>
        <w:rPr>
          <w:rFonts w:ascii="Arial" w:hAnsi="Arial" w:cs="Arial"/>
          <w:i/>
          <w:sz w:val="22"/>
          <w:szCs w:val="22"/>
        </w:rPr>
        <w:t>sekundárnom</w:t>
      </w:r>
    </w:p>
    <w:p w:rsidR="00C65DE2" w:rsidP="00F25C3E">
      <w:pPr>
        <w:bidi w:val="0"/>
        <w:spacing w:line="360" w:lineRule="auto"/>
        <w:ind w:left="851"/>
        <w:jc w:val="both"/>
        <w:rPr>
          <w:rFonts w:ascii="Arial" w:hAnsi="Arial" w:cs="Arial"/>
          <w:sz w:val="22"/>
          <w:szCs w:val="22"/>
        </w:rPr>
      </w:pPr>
      <w:r>
        <w:rPr>
          <w:rFonts w:ascii="Arial" w:hAnsi="Arial" w:cs="Arial"/>
          <w:sz w:val="22"/>
          <w:szCs w:val="22"/>
        </w:rPr>
        <w:t xml:space="preserve">problematika návrhu zákona je upravená v sekundárnom práve Európskych spoločenstiev v </w:t>
      </w:r>
    </w:p>
    <w:p w:rsidR="00C65DE2" w:rsidP="00F25C3E">
      <w:pPr>
        <w:bidi w:val="0"/>
        <w:spacing w:line="360" w:lineRule="auto"/>
        <w:ind w:left="1080" w:hanging="229"/>
        <w:jc w:val="both"/>
        <w:rPr>
          <w:rFonts w:ascii="Arial" w:hAnsi="Arial" w:cs="Arial"/>
          <w:sz w:val="22"/>
          <w:szCs w:val="22"/>
        </w:rPr>
      </w:pPr>
      <w:r>
        <w:rPr>
          <w:rFonts w:ascii="Arial" w:hAnsi="Arial" w:cs="Arial"/>
          <w:sz w:val="22"/>
          <w:szCs w:val="22"/>
        </w:rPr>
        <w:t xml:space="preserve">- Smernici Rady 76/207/EHS z 9. februára 1976 o vykonávaní zásady rovnakého zaobchádzania s mužmi a ženami, pokiaľ ide o prístup k zamestnaniu, odbornej príprave a postupu v zamestnaní a o pracovné podmienky (Ú. v. ES L 39, 14. 2. 1976), </w:t>
      </w:r>
    </w:p>
    <w:p w:rsidR="00C65DE2" w:rsidP="00F25C3E">
      <w:pPr>
        <w:bidi w:val="0"/>
        <w:spacing w:line="360" w:lineRule="auto"/>
        <w:ind w:left="1080" w:hanging="229"/>
        <w:jc w:val="both"/>
        <w:rPr>
          <w:rFonts w:ascii="Arial" w:hAnsi="Arial" w:cs="Arial"/>
          <w:sz w:val="22"/>
          <w:szCs w:val="22"/>
        </w:rPr>
      </w:pPr>
      <w:r>
        <w:rPr>
          <w:rFonts w:ascii="Arial" w:hAnsi="Arial" w:cs="Arial"/>
          <w:sz w:val="22"/>
          <w:szCs w:val="22"/>
        </w:rPr>
        <w:t xml:space="preserve">- Smernici Európskeho parlamentu a Rady 2002/73/ES z 23. septembra 2002, ktorou sa mení a dopĺňa smernica Rady 76/207/EHS o vykonávaní zásady rovnakého zaobchádzania s mužmi a ženami pokiaľ ide o prístup k zamestnaniu, odbornej príprave a postupu v zamestnaní a o pracovné podmienky (Ú. v. ES        L 269, 5. 10. 2002), </w:t>
      </w:r>
    </w:p>
    <w:p w:rsidR="00C65DE2" w:rsidP="00F25C3E">
      <w:pPr>
        <w:bidi w:val="0"/>
        <w:spacing w:line="360" w:lineRule="auto"/>
        <w:ind w:left="1080" w:hanging="229"/>
        <w:jc w:val="both"/>
        <w:rPr>
          <w:rFonts w:ascii="Arial" w:hAnsi="Arial" w:cs="Arial"/>
          <w:sz w:val="22"/>
          <w:szCs w:val="22"/>
        </w:rPr>
      </w:pPr>
      <w:r>
        <w:rPr>
          <w:rFonts w:ascii="Arial" w:hAnsi="Arial" w:cs="Arial"/>
          <w:sz w:val="22"/>
          <w:szCs w:val="22"/>
        </w:rPr>
        <w:t xml:space="preserve">- Smernici Rady 79/7/EHS z 19. decembra 1978 o postupnom vykonávaní zásady rovnakého zaobchádzania s mužmi a ženami vo veciach súvisiacich so sociálnym zabezpečením (Ú. v. ES L 6, 10. 1. 1979), </w:t>
      </w:r>
    </w:p>
    <w:p w:rsidR="00C65DE2" w:rsidP="00F25C3E">
      <w:pPr>
        <w:bidi w:val="0"/>
        <w:spacing w:line="360" w:lineRule="auto"/>
        <w:ind w:left="1080" w:hanging="229"/>
        <w:jc w:val="both"/>
        <w:rPr>
          <w:rFonts w:ascii="Arial" w:hAnsi="Arial" w:cs="Arial"/>
          <w:sz w:val="22"/>
          <w:szCs w:val="22"/>
        </w:rPr>
      </w:pPr>
      <w:r>
        <w:rPr>
          <w:rFonts w:ascii="Arial" w:hAnsi="Arial" w:cs="Arial"/>
          <w:sz w:val="22"/>
          <w:szCs w:val="22"/>
        </w:rPr>
        <w:t xml:space="preserve">- Smernici Rady 86/613/EHS z 11. decembra 1986 o uplatňovaní zásady rovnakého zaobchádzania s mužmi a ženami vykonávajúcimi činnosť ako samostatne zárobkovo činné osoby vrátane činnosti v poľnohospodárstve a o ochrane samostatne zárobkovo činných žien počas tehotenstva a materstva (Ú. v. ES L 359, 19. 12. 1986), </w:t>
      </w:r>
    </w:p>
    <w:p w:rsidR="00C65DE2" w:rsidP="00F25C3E">
      <w:pPr>
        <w:bidi w:val="0"/>
        <w:spacing w:line="360" w:lineRule="auto"/>
        <w:ind w:left="1080" w:hanging="229"/>
        <w:jc w:val="both"/>
        <w:rPr>
          <w:rFonts w:ascii="Arial" w:hAnsi="Arial" w:cs="Arial"/>
          <w:sz w:val="22"/>
          <w:szCs w:val="22"/>
        </w:rPr>
      </w:pPr>
      <w:r>
        <w:rPr>
          <w:rFonts w:ascii="Arial" w:hAnsi="Arial" w:cs="Arial"/>
          <w:sz w:val="22"/>
          <w:szCs w:val="22"/>
        </w:rPr>
        <w:t xml:space="preserve">- Smernici Rady 97/80/ES z 15. decembra 1997 o dôkaznom bremene v prípadoch  diskriminácie na základe pohlavia (Ú. v. ES L 14, 20. 1. 1998), </w:t>
      </w:r>
    </w:p>
    <w:p w:rsidR="00C65DE2" w:rsidP="00F25C3E">
      <w:pPr>
        <w:bidi w:val="0"/>
        <w:spacing w:line="360" w:lineRule="auto"/>
        <w:ind w:left="1080" w:hanging="229"/>
        <w:jc w:val="both"/>
        <w:rPr>
          <w:rFonts w:ascii="Arial" w:hAnsi="Arial" w:cs="Arial"/>
          <w:sz w:val="22"/>
          <w:szCs w:val="22"/>
        </w:rPr>
      </w:pPr>
      <w:r>
        <w:rPr>
          <w:rFonts w:ascii="Arial" w:hAnsi="Arial" w:cs="Arial"/>
          <w:sz w:val="22"/>
          <w:szCs w:val="22"/>
        </w:rPr>
        <w:t xml:space="preserve">- Smernici Rady 98/52/ES z 13. júla 1998 o rozšírení smernice 97/80/ES o dôkaznom bremene v prípadoch diskriminácie na základe pohlavia na Spojené kráľovstvo Veľkej Británie a Severného Írska (Ú. v. ES L 205, 22. 7. 1998), </w:t>
      </w:r>
    </w:p>
    <w:p w:rsidR="00C65DE2" w:rsidP="00F25C3E">
      <w:pPr>
        <w:bidi w:val="0"/>
        <w:spacing w:line="360" w:lineRule="auto"/>
        <w:ind w:left="1080" w:hanging="229"/>
        <w:jc w:val="both"/>
        <w:rPr>
          <w:rFonts w:ascii="Arial" w:hAnsi="Arial" w:cs="Arial"/>
          <w:sz w:val="22"/>
          <w:szCs w:val="22"/>
        </w:rPr>
      </w:pPr>
      <w:r>
        <w:rPr>
          <w:rFonts w:ascii="Arial" w:hAnsi="Arial" w:cs="Arial"/>
          <w:sz w:val="22"/>
          <w:szCs w:val="22"/>
        </w:rPr>
        <w:t xml:space="preserve">- Smernici Rady 2000/43/ES z 29. júna 2000, ktorou sa zavádza zásada rovnakého zaobchádzania s osobami bez ohľadu na rasový alebo etnický pôvod (Ú. v. ES L 180, 19. 7. 1000), </w:t>
      </w:r>
    </w:p>
    <w:p w:rsidR="00C65DE2" w:rsidP="00F25C3E">
      <w:pPr>
        <w:bidi w:val="0"/>
        <w:spacing w:line="360" w:lineRule="auto"/>
        <w:ind w:left="1080" w:hanging="229"/>
        <w:jc w:val="both"/>
        <w:rPr>
          <w:rFonts w:ascii="Arial" w:hAnsi="Arial" w:cs="Arial"/>
          <w:sz w:val="22"/>
          <w:szCs w:val="22"/>
        </w:rPr>
      </w:pPr>
      <w:r>
        <w:rPr>
          <w:rFonts w:ascii="Arial" w:hAnsi="Arial" w:cs="Arial"/>
          <w:sz w:val="22"/>
          <w:szCs w:val="22"/>
        </w:rPr>
        <w:t xml:space="preserve">- Smernici Európskeho parlamentu a Rady 2002/83/ES z 5. novembra 2002 o životnom poistení (Ú. v. ES L 345, 19. 12. 2002 v platnom znení, </w:t>
      </w:r>
    </w:p>
    <w:p w:rsidR="00C65DE2" w:rsidP="00F25C3E">
      <w:pPr>
        <w:bidi w:val="0"/>
        <w:spacing w:line="360" w:lineRule="auto"/>
        <w:ind w:left="851"/>
        <w:jc w:val="both"/>
        <w:rPr>
          <w:rFonts w:ascii="Arial" w:hAnsi="Arial" w:cs="Arial"/>
          <w:sz w:val="22"/>
          <w:szCs w:val="22"/>
        </w:rPr>
      </w:pPr>
    </w:p>
    <w:p w:rsidR="00C65DE2" w:rsidP="00F25C3E">
      <w:pPr>
        <w:bidi w:val="0"/>
        <w:spacing w:line="360" w:lineRule="auto"/>
        <w:ind w:left="709" w:hanging="349"/>
        <w:jc w:val="both"/>
        <w:rPr>
          <w:rFonts w:ascii="Arial" w:hAnsi="Arial" w:cs="Arial"/>
          <w:sz w:val="22"/>
          <w:szCs w:val="22"/>
        </w:rPr>
      </w:pPr>
      <w:r>
        <w:rPr>
          <w:rFonts w:ascii="Arial" w:hAnsi="Arial" w:cs="Arial"/>
          <w:sz w:val="22"/>
          <w:szCs w:val="22"/>
        </w:rPr>
        <w:t>b)</w:t>
        <w:tab/>
        <w:t>nie je upravená v práve Európskej únie</w:t>
      </w:r>
    </w:p>
    <w:p w:rsidR="00C65DE2" w:rsidP="00F25C3E">
      <w:pPr>
        <w:bidi w:val="0"/>
        <w:spacing w:line="360" w:lineRule="auto"/>
        <w:jc w:val="both"/>
        <w:rPr>
          <w:rFonts w:ascii="Arial" w:hAnsi="Arial" w:cs="Arial"/>
          <w:sz w:val="22"/>
          <w:szCs w:val="22"/>
        </w:rPr>
      </w:pPr>
    </w:p>
    <w:p w:rsidR="00C65DE2" w:rsidP="00F25C3E">
      <w:pPr>
        <w:bidi w:val="0"/>
        <w:spacing w:line="360" w:lineRule="auto"/>
        <w:ind w:left="709" w:hanging="349"/>
        <w:jc w:val="both"/>
        <w:rPr>
          <w:rFonts w:ascii="Arial" w:hAnsi="Arial" w:cs="Arial"/>
          <w:sz w:val="22"/>
          <w:szCs w:val="22"/>
        </w:rPr>
      </w:pPr>
      <w:r>
        <w:rPr>
          <w:rFonts w:ascii="Arial" w:hAnsi="Arial" w:cs="Arial"/>
          <w:sz w:val="22"/>
          <w:szCs w:val="22"/>
        </w:rPr>
        <w:t>c)</w:t>
        <w:tab/>
        <w:t>nie je obsiahnutá v judikatúre Súdneho dvora Európskych spoločenstiev alebo Súdu prvého stupňa Európskych spoločenstiev.</w:t>
      </w:r>
    </w:p>
    <w:p w:rsidR="00C65DE2" w:rsidP="00F25C3E">
      <w:pPr>
        <w:bidi w:val="0"/>
        <w:spacing w:line="360" w:lineRule="auto"/>
        <w:ind w:left="720"/>
        <w:jc w:val="both"/>
        <w:rPr>
          <w:rFonts w:ascii="Arial" w:hAnsi="Arial" w:cs="Arial"/>
          <w:sz w:val="22"/>
          <w:szCs w:val="22"/>
        </w:rPr>
      </w:pPr>
    </w:p>
    <w:p w:rsidR="00C65DE2" w:rsidP="00F25C3E">
      <w:pPr>
        <w:bidi w:val="0"/>
        <w:spacing w:line="360" w:lineRule="auto"/>
        <w:ind w:left="360" w:hanging="360"/>
        <w:jc w:val="both"/>
        <w:rPr>
          <w:rFonts w:ascii="Arial" w:hAnsi="Arial" w:cs="Arial"/>
          <w:b/>
          <w:sz w:val="22"/>
          <w:szCs w:val="22"/>
        </w:rPr>
      </w:pPr>
      <w:r>
        <w:rPr>
          <w:rFonts w:ascii="Arial" w:hAnsi="Arial" w:cs="Arial"/>
          <w:b/>
          <w:sz w:val="22"/>
          <w:szCs w:val="22"/>
        </w:rPr>
        <w:t>4.</w:t>
        <w:tab/>
        <w:t xml:space="preserve">Záväzky Slovenskej republiky vo vzťahu k Európskym spoločenstvám a Európskej únii: </w:t>
      </w:r>
    </w:p>
    <w:p w:rsidR="00C65DE2" w:rsidP="00F25C3E">
      <w:pPr>
        <w:bidi w:val="0"/>
        <w:spacing w:line="360" w:lineRule="auto"/>
        <w:ind w:left="709" w:hanging="349"/>
        <w:jc w:val="both"/>
        <w:rPr>
          <w:rFonts w:ascii="Arial" w:hAnsi="Arial" w:cs="Arial"/>
          <w:sz w:val="22"/>
          <w:szCs w:val="22"/>
        </w:rPr>
      </w:pPr>
      <w:r>
        <w:rPr>
          <w:rFonts w:ascii="Arial" w:hAnsi="Arial" w:cs="Arial"/>
          <w:sz w:val="22"/>
          <w:szCs w:val="22"/>
        </w:rPr>
        <w:t>a)</w:t>
        <w:tab/>
        <w:t>lehota na prebratie smernice alebo rámcového rozhodnutia podľa určenia gestorských ústredných orgánov štátnej správy zodpovedných za prebratie smerníc a vypracovanie tabuliek zhody k návrhom všeobecne záväzných právnych predpisov alebo lehota na implementáciu nariadenia alebo rozhodnutia z nich vyplývajúca</w:t>
      </w:r>
    </w:p>
    <w:p w:rsidR="00C65DE2" w:rsidP="00F25C3E">
      <w:pPr>
        <w:bidi w:val="0"/>
        <w:spacing w:line="360" w:lineRule="auto"/>
        <w:ind w:left="720"/>
        <w:jc w:val="both"/>
        <w:rPr>
          <w:rFonts w:ascii="Arial" w:hAnsi="Arial" w:cs="Arial"/>
          <w:sz w:val="22"/>
          <w:szCs w:val="22"/>
        </w:rPr>
      </w:pPr>
      <w:r>
        <w:rPr>
          <w:rFonts w:ascii="Arial" w:hAnsi="Arial" w:cs="Arial"/>
          <w:sz w:val="22"/>
          <w:szCs w:val="22"/>
        </w:rPr>
        <w:t>- návrhom zákona sa nepreberá smernica ani rámcové rozhodnutie,</w:t>
      </w:r>
    </w:p>
    <w:p w:rsidR="00C65DE2" w:rsidP="00F25C3E">
      <w:pPr>
        <w:bidi w:val="0"/>
        <w:spacing w:line="360" w:lineRule="auto"/>
        <w:ind w:left="709" w:hanging="349"/>
        <w:jc w:val="both"/>
        <w:rPr>
          <w:rFonts w:ascii="Arial" w:hAnsi="Arial" w:cs="Arial"/>
          <w:sz w:val="22"/>
          <w:szCs w:val="22"/>
        </w:rPr>
      </w:pPr>
      <w:r>
        <w:rPr>
          <w:rFonts w:ascii="Arial" w:hAnsi="Arial" w:cs="Arial"/>
          <w:sz w:val="22"/>
          <w:szCs w:val="22"/>
        </w:rPr>
        <w:t>b)</w:t>
        <w:tab/>
        <w:t>informácia o konaní začatom proti Slovenskej republike o porušení Zmluvy o založení Európskych spoločenstiev podľa čl. 226 až 228 Zmluvy o založení Európskych spoločenstiev v platnom znení</w:t>
      </w:r>
    </w:p>
    <w:p w:rsidR="00C65DE2" w:rsidP="00F25C3E">
      <w:pPr>
        <w:bidi w:val="0"/>
        <w:spacing w:line="360" w:lineRule="auto"/>
        <w:ind w:left="900" w:hanging="192"/>
        <w:jc w:val="both"/>
        <w:rPr>
          <w:rFonts w:ascii="Arial" w:hAnsi="Arial" w:cs="Arial"/>
          <w:sz w:val="22"/>
          <w:szCs w:val="22"/>
        </w:rPr>
      </w:pPr>
      <w:r>
        <w:rPr>
          <w:rFonts w:ascii="Arial" w:hAnsi="Arial" w:cs="Arial"/>
          <w:sz w:val="22"/>
          <w:szCs w:val="22"/>
        </w:rPr>
        <w:t xml:space="preserve">- Európska komisia zaslala Slovenskej republike odôvodnené stanovisko – porušenie zmluvy č. 2007/2263 – porušenie čl. 56 Zmluvy o ES s ustanoveniami § 82 ods. </w:t>
      </w:r>
      <w:smartTag w:uri="urn:schemas-microsoft-com:office:smarttags" w:element="metricconverter">
        <w:smartTagPr>
          <w:attr w:name="ProductID" w:val="5 a"/>
        </w:smartTagPr>
        <w:r>
          <w:rPr>
            <w:rFonts w:ascii="Arial" w:hAnsi="Arial" w:cs="Arial"/>
            <w:sz w:val="22"/>
            <w:szCs w:val="22"/>
          </w:rPr>
          <w:t>5 a</w:t>
        </w:r>
      </w:smartTag>
      <w:r>
        <w:rPr>
          <w:rFonts w:ascii="Arial" w:hAnsi="Arial" w:cs="Arial"/>
          <w:sz w:val="22"/>
          <w:szCs w:val="22"/>
        </w:rPr>
        <w:t xml:space="preserve"> § 82 ods. 4 a 4 zákona č. 43/2004 Z. z. o starobnom dôchodkovom sporení a o zmene a doplnení niektorých zákonov v znení neskorších predpisov</w:t>
      </w:r>
    </w:p>
    <w:p w:rsidR="00C65DE2" w:rsidP="00F25C3E">
      <w:pPr>
        <w:bidi w:val="0"/>
        <w:spacing w:line="360" w:lineRule="auto"/>
        <w:ind w:left="709" w:hanging="349"/>
        <w:jc w:val="both"/>
        <w:rPr>
          <w:rFonts w:ascii="Arial" w:hAnsi="Arial" w:cs="Arial"/>
          <w:sz w:val="22"/>
          <w:szCs w:val="22"/>
        </w:rPr>
      </w:pPr>
      <w:r>
        <w:rPr>
          <w:rFonts w:ascii="Arial" w:hAnsi="Arial" w:cs="Arial"/>
          <w:sz w:val="22"/>
          <w:szCs w:val="22"/>
        </w:rPr>
        <w:t>c)</w:t>
        <w:tab/>
        <w:t>informácia o právnych predpisoch, v ktorých sú preberané smernice alebo rámcové rozhodnutia už prebraté spolu s uvedením rozsahu tohto prebratia</w:t>
      </w:r>
    </w:p>
    <w:p w:rsidR="00C65DE2" w:rsidP="00F25C3E">
      <w:pPr>
        <w:bidi w:val="0"/>
        <w:spacing w:line="360" w:lineRule="auto"/>
        <w:ind w:firstLine="708"/>
        <w:jc w:val="both"/>
        <w:rPr>
          <w:rFonts w:ascii="Arial" w:hAnsi="Arial" w:cs="Arial"/>
          <w:sz w:val="22"/>
          <w:szCs w:val="22"/>
        </w:rPr>
      </w:pPr>
      <w:r>
        <w:rPr>
          <w:rFonts w:ascii="Arial" w:hAnsi="Arial" w:cs="Arial"/>
          <w:sz w:val="22"/>
          <w:szCs w:val="22"/>
        </w:rPr>
        <w:t>- návrhom zákona sa nepreberá smernica ani rámcové rozhodnutie,</w:t>
      </w:r>
    </w:p>
    <w:p w:rsidR="00C65DE2" w:rsidP="00F25C3E">
      <w:pPr>
        <w:bidi w:val="0"/>
        <w:spacing w:line="360" w:lineRule="auto"/>
        <w:ind w:firstLine="708"/>
        <w:jc w:val="both"/>
        <w:rPr>
          <w:rFonts w:ascii="Arial" w:hAnsi="Arial" w:cs="Arial"/>
          <w:sz w:val="22"/>
          <w:szCs w:val="22"/>
        </w:rPr>
      </w:pPr>
    </w:p>
    <w:p w:rsidR="00C65DE2" w:rsidP="00F25C3E">
      <w:pPr>
        <w:bidi w:val="0"/>
        <w:spacing w:line="360" w:lineRule="auto"/>
        <w:ind w:left="360" w:hanging="360"/>
        <w:jc w:val="both"/>
        <w:rPr>
          <w:rFonts w:ascii="Arial" w:hAnsi="Arial" w:cs="Arial"/>
          <w:b/>
          <w:sz w:val="22"/>
          <w:szCs w:val="22"/>
        </w:rPr>
      </w:pPr>
      <w:r>
        <w:rPr>
          <w:rFonts w:ascii="Arial" w:hAnsi="Arial" w:cs="Arial"/>
          <w:b/>
          <w:sz w:val="22"/>
          <w:szCs w:val="22"/>
        </w:rPr>
        <w:t>5.</w:t>
        <w:tab/>
        <w:t>Stupeň zlučiteľnosti návrhu právneho predpisu s právom Európskych spoločenstiev alebo právom Európskej únie:</w:t>
      </w:r>
    </w:p>
    <w:p w:rsidR="00C65DE2" w:rsidP="00F25C3E">
      <w:pPr>
        <w:bidi w:val="0"/>
        <w:spacing w:line="360" w:lineRule="auto"/>
        <w:ind w:firstLine="360"/>
        <w:jc w:val="both"/>
        <w:rPr>
          <w:rFonts w:ascii="Arial" w:hAnsi="Arial" w:cs="Arial"/>
          <w:sz w:val="22"/>
          <w:szCs w:val="22"/>
        </w:rPr>
      </w:pPr>
      <w:r>
        <w:rPr>
          <w:rFonts w:ascii="Arial" w:hAnsi="Arial" w:cs="Arial"/>
          <w:sz w:val="22"/>
          <w:szCs w:val="22"/>
        </w:rPr>
        <w:t>Stupeň zlučiteľnosti - úplný</w:t>
      </w:r>
    </w:p>
    <w:p w:rsidR="00C65DE2" w:rsidP="00F25C3E">
      <w:pPr>
        <w:bidi w:val="0"/>
        <w:spacing w:line="360" w:lineRule="auto"/>
        <w:jc w:val="both"/>
        <w:rPr>
          <w:rFonts w:ascii="Arial" w:hAnsi="Arial" w:cs="Arial"/>
          <w:sz w:val="22"/>
          <w:szCs w:val="22"/>
        </w:rPr>
      </w:pPr>
    </w:p>
    <w:p w:rsidR="00C65DE2" w:rsidP="00F25C3E">
      <w:pPr>
        <w:bidi w:val="0"/>
        <w:spacing w:line="360" w:lineRule="auto"/>
        <w:ind w:left="360" w:hanging="360"/>
        <w:jc w:val="both"/>
        <w:rPr>
          <w:rFonts w:ascii="Arial" w:hAnsi="Arial" w:cs="Arial"/>
          <w:b/>
          <w:sz w:val="22"/>
          <w:szCs w:val="22"/>
        </w:rPr>
      </w:pPr>
      <w:r>
        <w:rPr>
          <w:rFonts w:ascii="Arial" w:hAnsi="Arial" w:cs="Arial"/>
          <w:b/>
          <w:sz w:val="22"/>
          <w:szCs w:val="22"/>
        </w:rPr>
        <w:t>6.</w:t>
        <w:tab/>
        <w:t xml:space="preserve">Gestor a spolupracujúce rezorty: </w:t>
      </w:r>
    </w:p>
    <w:p w:rsidR="00C65DE2" w:rsidP="00F25C3E">
      <w:pPr>
        <w:tabs>
          <w:tab w:val="num" w:pos="360"/>
        </w:tabs>
        <w:bidi w:val="0"/>
        <w:spacing w:line="360" w:lineRule="auto"/>
        <w:ind w:left="360"/>
        <w:jc w:val="both"/>
        <w:rPr>
          <w:rFonts w:ascii="Arial" w:hAnsi="Arial" w:cs="Arial"/>
          <w:sz w:val="22"/>
          <w:szCs w:val="22"/>
        </w:rPr>
      </w:pPr>
      <w:r>
        <w:rPr>
          <w:rFonts w:ascii="Arial" w:hAnsi="Arial" w:cs="Arial"/>
          <w:sz w:val="22"/>
          <w:szCs w:val="22"/>
        </w:rPr>
        <w:t xml:space="preserve">Ministerstvo práce, sociálnych vecí a rodiny Slovenskej republiky </w:t>
      </w:r>
    </w:p>
    <w:p w:rsidR="00C65DE2" w:rsidP="00F25C3E">
      <w:pPr>
        <w:tabs>
          <w:tab w:val="num" w:pos="360"/>
        </w:tabs>
        <w:bidi w:val="0"/>
        <w:spacing w:line="360" w:lineRule="auto"/>
        <w:ind w:left="360"/>
        <w:jc w:val="both"/>
        <w:rPr>
          <w:rFonts w:ascii="Arial" w:hAnsi="Arial" w:cs="Arial"/>
          <w:sz w:val="22"/>
          <w:szCs w:val="22"/>
        </w:rPr>
      </w:pPr>
    </w:p>
    <w:p w:rsidR="00C65DE2" w:rsidP="00F25C3E">
      <w:pPr>
        <w:bidi w:val="0"/>
        <w:spacing w:line="360" w:lineRule="auto"/>
        <w:rPr>
          <w:rFonts w:ascii="Arial" w:hAnsi="Arial" w:cs="Arial"/>
          <w:b/>
          <w:sz w:val="22"/>
          <w:szCs w:val="22"/>
        </w:rPr>
      </w:pPr>
    </w:p>
    <w:p w:rsidR="00C65DE2" w:rsidP="00F25C3E">
      <w:pPr>
        <w:bidi w:val="0"/>
        <w:spacing w:line="360" w:lineRule="auto"/>
        <w:rPr>
          <w:rFonts w:ascii="Arial" w:hAnsi="Arial" w:cs="Arial"/>
          <w:b/>
          <w:sz w:val="22"/>
          <w:szCs w:val="22"/>
        </w:rPr>
      </w:pPr>
    </w:p>
    <w:p w:rsidR="00C65DE2" w:rsidP="00F25C3E">
      <w:pPr>
        <w:bidi w:val="0"/>
        <w:spacing w:line="360" w:lineRule="auto"/>
        <w:rPr>
          <w:rFonts w:ascii="Arial" w:hAnsi="Arial" w:cs="Arial"/>
          <w:b/>
          <w:sz w:val="22"/>
          <w:szCs w:val="22"/>
        </w:rPr>
      </w:pPr>
    </w:p>
    <w:p w:rsidR="00C65DE2" w:rsidP="00F25C3E">
      <w:pPr>
        <w:bidi w:val="0"/>
        <w:spacing w:line="360" w:lineRule="auto"/>
        <w:rPr>
          <w:rFonts w:ascii="Arial" w:hAnsi="Arial" w:cs="Arial"/>
          <w:b/>
          <w:sz w:val="22"/>
          <w:szCs w:val="22"/>
        </w:rPr>
      </w:pPr>
    </w:p>
    <w:p w:rsidR="00C65DE2" w:rsidP="00C65DE2">
      <w:pPr>
        <w:bidi w:val="0"/>
        <w:spacing w:line="360" w:lineRule="auto"/>
        <w:rPr>
          <w:rFonts w:ascii="Arial" w:hAnsi="Arial" w:cs="Arial"/>
          <w:b/>
          <w:sz w:val="22"/>
          <w:szCs w:val="22"/>
        </w:rPr>
      </w:pPr>
    </w:p>
    <w:p w:rsidR="00D82B0A" w:rsidP="00C65DE2">
      <w:pPr>
        <w:bidi w:val="0"/>
        <w:spacing w:line="360" w:lineRule="auto"/>
        <w:rPr>
          <w:rFonts w:ascii="Arial" w:hAnsi="Arial" w:cs="Arial"/>
          <w:b/>
          <w:sz w:val="22"/>
          <w:szCs w:val="22"/>
        </w:rPr>
      </w:pPr>
    </w:p>
    <w:p w:rsidR="00D82B0A" w:rsidP="00C65DE2">
      <w:pPr>
        <w:bidi w:val="0"/>
        <w:spacing w:line="360" w:lineRule="auto"/>
        <w:rPr>
          <w:rFonts w:ascii="Arial" w:hAnsi="Arial" w:cs="Arial"/>
          <w:b/>
          <w:sz w:val="22"/>
          <w:szCs w:val="22"/>
        </w:rPr>
      </w:pPr>
    </w:p>
    <w:p w:rsidR="00D82B0A" w:rsidP="00C65DE2">
      <w:pPr>
        <w:bidi w:val="0"/>
        <w:spacing w:line="360" w:lineRule="auto"/>
        <w:rPr>
          <w:rFonts w:ascii="Arial" w:hAnsi="Arial" w:cs="Arial"/>
          <w:b/>
          <w:sz w:val="22"/>
          <w:szCs w:val="22"/>
        </w:rPr>
      </w:pPr>
    </w:p>
    <w:p w:rsidR="00D82B0A" w:rsidP="00C65DE2">
      <w:pPr>
        <w:bidi w:val="0"/>
        <w:spacing w:line="360" w:lineRule="auto"/>
        <w:rPr>
          <w:rFonts w:ascii="Arial" w:hAnsi="Arial" w:cs="Arial"/>
          <w:b/>
          <w:sz w:val="22"/>
          <w:szCs w:val="22"/>
        </w:rPr>
      </w:pPr>
    </w:p>
    <w:p w:rsidR="00D82B0A" w:rsidP="00C65DE2">
      <w:pPr>
        <w:bidi w:val="0"/>
        <w:spacing w:line="360" w:lineRule="auto"/>
        <w:rPr>
          <w:rFonts w:ascii="Arial" w:hAnsi="Arial" w:cs="Arial"/>
          <w:b/>
          <w:sz w:val="22"/>
          <w:szCs w:val="22"/>
        </w:rPr>
      </w:pPr>
    </w:p>
    <w:p w:rsidR="00D82B0A" w:rsidP="00C65DE2">
      <w:pPr>
        <w:bidi w:val="0"/>
        <w:spacing w:line="360" w:lineRule="auto"/>
        <w:rPr>
          <w:rFonts w:ascii="Arial" w:hAnsi="Arial" w:cs="Arial"/>
          <w:b/>
          <w:sz w:val="22"/>
          <w:szCs w:val="22"/>
        </w:rPr>
      </w:pPr>
    </w:p>
    <w:p w:rsidR="00D82B0A" w:rsidP="00C65DE2">
      <w:pPr>
        <w:bidi w:val="0"/>
        <w:spacing w:line="360" w:lineRule="auto"/>
        <w:rPr>
          <w:rFonts w:ascii="Arial" w:hAnsi="Arial" w:cs="Arial"/>
          <w:b/>
          <w:sz w:val="22"/>
          <w:szCs w:val="22"/>
        </w:rPr>
      </w:pPr>
    </w:p>
    <w:p w:rsidR="00D82B0A" w:rsidP="00C65DE2">
      <w:pPr>
        <w:bidi w:val="0"/>
        <w:spacing w:line="360" w:lineRule="auto"/>
        <w:rPr>
          <w:rFonts w:ascii="Arial" w:hAnsi="Arial" w:cs="Arial"/>
          <w:b/>
          <w:sz w:val="22"/>
          <w:szCs w:val="22"/>
        </w:rPr>
      </w:pPr>
    </w:p>
    <w:p w:rsidR="00D82B0A" w:rsidP="00C65DE2">
      <w:pPr>
        <w:bidi w:val="0"/>
        <w:spacing w:line="360" w:lineRule="auto"/>
        <w:rPr>
          <w:rFonts w:ascii="Arial" w:hAnsi="Arial" w:cs="Arial"/>
          <w:b/>
          <w:sz w:val="22"/>
          <w:szCs w:val="22"/>
        </w:rPr>
      </w:pPr>
    </w:p>
    <w:p w:rsidR="00D82B0A" w:rsidP="00C65DE2">
      <w:pPr>
        <w:bidi w:val="0"/>
        <w:spacing w:line="360" w:lineRule="auto"/>
        <w:rPr>
          <w:rFonts w:ascii="Arial" w:hAnsi="Arial" w:cs="Arial"/>
          <w:b/>
          <w:sz w:val="22"/>
          <w:szCs w:val="22"/>
        </w:rPr>
      </w:pPr>
    </w:p>
    <w:p w:rsidR="00D82B0A" w:rsidP="00C65DE2">
      <w:pPr>
        <w:bidi w:val="0"/>
        <w:spacing w:line="360" w:lineRule="auto"/>
        <w:rPr>
          <w:rFonts w:ascii="Arial" w:hAnsi="Arial" w:cs="Arial"/>
          <w:b/>
          <w:sz w:val="22"/>
          <w:szCs w:val="22"/>
        </w:rPr>
      </w:pPr>
    </w:p>
    <w:p w:rsidR="00D82B0A" w:rsidP="00C65DE2">
      <w:pPr>
        <w:bidi w:val="0"/>
        <w:spacing w:line="360" w:lineRule="auto"/>
        <w:rPr>
          <w:rFonts w:ascii="Arial" w:hAnsi="Arial" w:cs="Arial"/>
          <w:b/>
          <w:sz w:val="22"/>
          <w:szCs w:val="22"/>
        </w:rPr>
      </w:pPr>
    </w:p>
    <w:p w:rsidR="00D82B0A" w:rsidP="00C65DE2">
      <w:pPr>
        <w:bidi w:val="0"/>
        <w:spacing w:line="360" w:lineRule="auto"/>
        <w:rPr>
          <w:rFonts w:ascii="Arial" w:hAnsi="Arial" w:cs="Arial"/>
          <w:b/>
          <w:sz w:val="22"/>
          <w:szCs w:val="22"/>
        </w:rPr>
      </w:pPr>
    </w:p>
    <w:p w:rsidR="00D82B0A" w:rsidP="00C65DE2">
      <w:pPr>
        <w:bidi w:val="0"/>
        <w:spacing w:line="360" w:lineRule="auto"/>
        <w:rPr>
          <w:rFonts w:ascii="Arial" w:hAnsi="Arial" w:cs="Arial"/>
          <w:b/>
          <w:sz w:val="22"/>
          <w:szCs w:val="22"/>
        </w:rPr>
      </w:pPr>
    </w:p>
    <w:p w:rsidR="00D82B0A" w:rsidP="00C65DE2">
      <w:pPr>
        <w:bidi w:val="0"/>
        <w:spacing w:line="360" w:lineRule="auto"/>
        <w:rPr>
          <w:rFonts w:ascii="Arial" w:hAnsi="Arial" w:cs="Arial"/>
          <w:b/>
          <w:sz w:val="22"/>
          <w:szCs w:val="22"/>
        </w:rPr>
      </w:pPr>
    </w:p>
    <w:p w:rsidR="00D82B0A" w:rsidP="00C65DE2">
      <w:pPr>
        <w:bidi w:val="0"/>
        <w:spacing w:line="360" w:lineRule="auto"/>
        <w:rPr>
          <w:rFonts w:ascii="Arial" w:hAnsi="Arial" w:cs="Arial"/>
          <w:b/>
          <w:sz w:val="22"/>
          <w:szCs w:val="22"/>
        </w:rPr>
      </w:pPr>
    </w:p>
    <w:p w:rsidR="00D82B0A" w:rsidP="00C65DE2">
      <w:pPr>
        <w:bidi w:val="0"/>
        <w:spacing w:line="360" w:lineRule="auto"/>
        <w:rPr>
          <w:rFonts w:ascii="Arial" w:hAnsi="Arial" w:cs="Arial"/>
          <w:b/>
          <w:sz w:val="22"/>
          <w:szCs w:val="22"/>
        </w:rPr>
      </w:pPr>
    </w:p>
    <w:p w:rsidR="00D82B0A" w:rsidP="00C65DE2">
      <w:pPr>
        <w:bidi w:val="0"/>
        <w:spacing w:line="360" w:lineRule="auto"/>
        <w:rPr>
          <w:rFonts w:ascii="Arial" w:hAnsi="Arial" w:cs="Arial"/>
          <w:b/>
          <w:sz w:val="22"/>
          <w:szCs w:val="22"/>
        </w:rPr>
      </w:pPr>
    </w:p>
    <w:p w:rsidR="00D82B0A" w:rsidP="00C65DE2">
      <w:pPr>
        <w:bidi w:val="0"/>
        <w:spacing w:line="360" w:lineRule="auto"/>
        <w:rPr>
          <w:rFonts w:ascii="Arial" w:hAnsi="Arial" w:cs="Arial"/>
          <w:b/>
          <w:sz w:val="22"/>
          <w:szCs w:val="22"/>
        </w:rPr>
      </w:pPr>
    </w:p>
    <w:p w:rsidR="00D82B0A" w:rsidP="00C65DE2">
      <w:pPr>
        <w:bidi w:val="0"/>
        <w:spacing w:line="360" w:lineRule="auto"/>
        <w:rPr>
          <w:rFonts w:ascii="Arial" w:hAnsi="Arial" w:cs="Arial"/>
          <w:b/>
          <w:sz w:val="22"/>
          <w:szCs w:val="22"/>
        </w:rPr>
      </w:pPr>
    </w:p>
    <w:p w:rsidR="00D82B0A" w:rsidP="00C65DE2">
      <w:pPr>
        <w:bidi w:val="0"/>
        <w:spacing w:line="360" w:lineRule="auto"/>
        <w:rPr>
          <w:rFonts w:ascii="Arial" w:hAnsi="Arial" w:cs="Arial"/>
          <w:b/>
          <w:sz w:val="22"/>
          <w:szCs w:val="22"/>
        </w:rPr>
      </w:pPr>
    </w:p>
    <w:p w:rsidR="00D82B0A" w:rsidP="00C65DE2">
      <w:pPr>
        <w:bidi w:val="0"/>
        <w:spacing w:line="360" w:lineRule="auto"/>
        <w:rPr>
          <w:rFonts w:ascii="Arial" w:hAnsi="Arial" w:cs="Arial"/>
          <w:b/>
          <w:sz w:val="22"/>
          <w:szCs w:val="22"/>
        </w:rPr>
      </w:pPr>
    </w:p>
    <w:p w:rsidR="00D82B0A" w:rsidP="00C65DE2">
      <w:pPr>
        <w:bidi w:val="0"/>
        <w:spacing w:line="360" w:lineRule="auto"/>
        <w:rPr>
          <w:rFonts w:ascii="Arial" w:hAnsi="Arial" w:cs="Arial"/>
          <w:b/>
          <w:sz w:val="22"/>
          <w:szCs w:val="22"/>
        </w:rPr>
      </w:pPr>
    </w:p>
    <w:p w:rsidR="00C65DE2" w:rsidP="00C65DE2">
      <w:pPr>
        <w:bidi w:val="0"/>
        <w:spacing w:line="360" w:lineRule="auto"/>
        <w:rPr>
          <w:rFonts w:ascii="Arial" w:hAnsi="Arial" w:cs="Arial"/>
          <w:b/>
          <w:sz w:val="22"/>
          <w:szCs w:val="22"/>
        </w:rPr>
      </w:pPr>
    </w:p>
    <w:p w:rsidR="00C65DE2" w:rsidP="00C65DE2">
      <w:pPr>
        <w:bidi w:val="0"/>
        <w:spacing w:before="120" w:line="360" w:lineRule="auto"/>
        <w:rPr>
          <w:rFonts w:ascii="Arial" w:hAnsi="Arial" w:cs="Arial"/>
          <w:b/>
          <w:sz w:val="22"/>
          <w:szCs w:val="22"/>
        </w:rPr>
      </w:pPr>
      <w:r>
        <w:rPr>
          <w:rFonts w:ascii="Arial" w:hAnsi="Arial" w:cs="Arial"/>
          <w:b/>
          <w:sz w:val="22"/>
          <w:szCs w:val="22"/>
        </w:rPr>
        <w:t>B. Osobitná časť</w:t>
      </w:r>
    </w:p>
    <w:p w:rsidR="00C65DE2" w:rsidRPr="00603715" w:rsidP="00C65DE2">
      <w:pPr>
        <w:bidi w:val="0"/>
        <w:spacing w:before="120" w:line="360" w:lineRule="auto"/>
        <w:rPr>
          <w:rFonts w:ascii="Arial" w:hAnsi="Arial" w:cs="Arial"/>
          <w:b/>
          <w:sz w:val="22"/>
          <w:szCs w:val="22"/>
        </w:rPr>
      </w:pPr>
      <w:r w:rsidRPr="00603715">
        <w:rPr>
          <w:rFonts w:ascii="Arial" w:hAnsi="Arial" w:cs="Arial"/>
          <w:b/>
          <w:sz w:val="22"/>
          <w:szCs w:val="22"/>
        </w:rPr>
        <w:t>K </w:t>
      </w:r>
      <w:r>
        <w:rPr>
          <w:rFonts w:ascii="Arial" w:hAnsi="Arial" w:cs="Arial"/>
          <w:b/>
          <w:sz w:val="22"/>
          <w:szCs w:val="22"/>
        </w:rPr>
        <w:t>Č</w:t>
      </w:r>
      <w:r w:rsidRPr="00603715">
        <w:rPr>
          <w:rFonts w:ascii="Arial" w:hAnsi="Arial" w:cs="Arial"/>
          <w:b/>
          <w:sz w:val="22"/>
          <w:szCs w:val="22"/>
        </w:rPr>
        <w:t xml:space="preserve">l. I. </w:t>
      </w:r>
    </w:p>
    <w:p w:rsidR="00C65DE2" w:rsidP="00C65DE2">
      <w:pPr>
        <w:bidi w:val="0"/>
        <w:spacing w:before="120" w:line="360" w:lineRule="auto"/>
        <w:rPr>
          <w:rFonts w:ascii="Arial" w:hAnsi="Arial" w:cs="Arial"/>
          <w:b/>
          <w:sz w:val="22"/>
          <w:szCs w:val="22"/>
        </w:rPr>
      </w:pPr>
      <w:r w:rsidRPr="00603715">
        <w:rPr>
          <w:rFonts w:ascii="Arial" w:hAnsi="Arial" w:cs="Arial"/>
          <w:b/>
          <w:sz w:val="22"/>
          <w:szCs w:val="22"/>
        </w:rPr>
        <w:t>K bodu 1</w:t>
      </w:r>
    </w:p>
    <w:p w:rsidR="00C65DE2" w:rsidRPr="00D31DC3" w:rsidP="00D82B0A">
      <w:pPr>
        <w:bidi w:val="0"/>
        <w:spacing w:before="120" w:line="360" w:lineRule="auto"/>
        <w:jc w:val="both"/>
        <w:rPr>
          <w:rFonts w:ascii="Arial" w:hAnsi="Arial" w:cs="Arial"/>
          <w:sz w:val="22"/>
          <w:szCs w:val="22"/>
        </w:rPr>
      </w:pPr>
      <w:r w:rsidRPr="00603715">
        <w:rPr>
          <w:rFonts w:ascii="Arial" w:hAnsi="Arial" w:cs="Arial"/>
          <w:b/>
          <w:sz w:val="22"/>
          <w:szCs w:val="22"/>
        </w:rPr>
        <w:t xml:space="preserve"> </w:t>
      </w:r>
      <w:r w:rsidR="00D82B0A">
        <w:rPr>
          <w:rFonts w:ascii="Arial" w:hAnsi="Arial" w:cs="Arial"/>
          <w:b/>
          <w:sz w:val="22"/>
          <w:szCs w:val="22"/>
        </w:rPr>
        <w:tab/>
      </w:r>
      <w:r w:rsidRPr="00D31DC3">
        <w:rPr>
          <w:rFonts w:ascii="Arial" w:hAnsi="Arial" w:cs="Arial"/>
          <w:sz w:val="22"/>
          <w:szCs w:val="22"/>
        </w:rPr>
        <w:t>Navrhovan</w:t>
      </w:r>
      <w:r>
        <w:rPr>
          <w:rFonts w:ascii="Arial" w:hAnsi="Arial" w:cs="Arial"/>
          <w:sz w:val="22"/>
          <w:szCs w:val="22"/>
        </w:rPr>
        <w:t>é</w:t>
      </w:r>
      <w:r w:rsidRPr="00D31DC3">
        <w:rPr>
          <w:rFonts w:ascii="Arial" w:hAnsi="Arial" w:cs="Arial"/>
          <w:sz w:val="22"/>
          <w:szCs w:val="22"/>
        </w:rPr>
        <w:t xml:space="preserve"> ustanoven</w:t>
      </w:r>
      <w:r>
        <w:rPr>
          <w:rFonts w:ascii="Arial" w:hAnsi="Arial" w:cs="Arial"/>
          <w:sz w:val="22"/>
          <w:szCs w:val="22"/>
        </w:rPr>
        <w:t>ie súvisí</w:t>
      </w:r>
      <w:r w:rsidRPr="00D31DC3">
        <w:rPr>
          <w:rFonts w:ascii="Arial" w:hAnsi="Arial" w:cs="Arial"/>
          <w:sz w:val="22"/>
          <w:szCs w:val="22"/>
        </w:rPr>
        <w:t xml:space="preserve"> s</w:t>
      </w:r>
      <w:r>
        <w:rPr>
          <w:rFonts w:ascii="Arial" w:hAnsi="Arial" w:cs="Arial"/>
          <w:sz w:val="22"/>
          <w:szCs w:val="22"/>
        </w:rPr>
        <w:t>o</w:t>
      </w:r>
      <w:r w:rsidRPr="00D31DC3">
        <w:rPr>
          <w:rFonts w:ascii="Arial" w:hAnsi="Arial" w:cs="Arial"/>
          <w:sz w:val="22"/>
          <w:szCs w:val="22"/>
        </w:rPr>
        <w:t xml:space="preserve"> </w:t>
      </w:r>
      <w:r>
        <w:rPr>
          <w:rFonts w:ascii="Arial" w:hAnsi="Arial" w:cs="Arial"/>
          <w:sz w:val="22"/>
          <w:szCs w:val="22"/>
        </w:rPr>
        <w:t>návrhom na zriadenie garančného účtu dôchodkového fondu.</w:t>
      </w:r>
      <w:r w:rsidRPr="00D31DC3">
        <w:rPr>
          <w:rFonts w:ascii="Arial" w:hAnsi="Arial" w:cs="Arial"/>
          <w:sz w:val="22"/>
          <w:szCs w:val="22"/>
        </w:rPr>
        <w:t xml:space="preserve"> </w:t>
      </w:r>
    </w:p>
    <w:p w:rsidR="00C65DE2" w:rsidRPr="00603715" w:rsidP="00C65DE2">
      <w:pPr>
        <w:bidi w:val="0"/>
        <w:spacing w:before="120" w:line="360" w:lineRule="auto"/>
        <w:rPr>
          <w:rFonts w:ascii="Arial" w:hAnsi="Arial" w:cs="Arial"/>
          <w:b/>
          <w:sz w:val="22"/>
          <w:szCs w:val="22"/>
        </w:rPr>
      </w:pPr>
      <w:r w:rsidRPr="00603715">
        <w:rPr>
          <w:rFonts w:ascii="Arial" w:hAnsi="Arial" w:cs="Arial"/>
          <w:b/>
          <w:sz w:val="22"/>
          <w:szCs w:val="22"/>
        </w:rPr>
        <w:t>K</w:t>
      </w:r>
      <w:r>
        <w:rPr>
          <w:rFonts w:ascii="Arial" w:hAnsi="Arial" w:cs="Arial"/>
          <w:b/>
          <w:sz w:val="22"/>
          <w:szCs w:val="22"/>
        </w:rPr>
        <w:t> </w:t>
      </w:r>
      <w:r w:rsidRPr="00603715">
        <w:rPr>
          <w:rFonts w:ascii="Arial" w:hAnsi="Arial" w:cs="Arial"/>
          <w:b/>
          <w:sz w:val="22"/>
          <w:szCs w:val="22"/>
        </w:rPr>
        <w:t>bod</w:t>
      </w:r>
      <w:r>
        <w:rPr>
          <w:rFonts w:ascii="Arial" w:hAnsi="Arial" w:cs="Arial"/>
          <w:b/>
          <w:sz w:val="22"/>
          <w:szCs w:val="22"/>
        </w:rPr>
        <w:t xml:space="preserve">om </w:t>
      </w:r>
      <w:smartTag w:uri="urn:schemas-microsoft-com:office:smarttags" w:element="metricconverter">
        <w:smartTagPr>
          <w:attr w:name="ProductID" w:val="15 a"/>
        </w:smartTagPr>
        <w:r w:rsidRPr="00603715">
          <w:rPr>
            <w:rFonts w:ascii="Arial" w:hAnsi="Arial" w:cs="Arial"/>
            <w:b/>
            <w:sz w:val="22"/>
            <w:szCs w:val="22"/>
          </w:rPr>
          <w:t>2</w:t>
        </w:r>
        <w:r>
          <w:rPr>
            <w:rFonts w:ascii="Arial" w:hAnsi="Arial" w:cs="Arial"/>
            <w:b/>
            <w:sz w:val="22"/>
            <w:szCs w:val="22"/>
          </w:rPr>
          <w:t xml:space="preserve"> a</w:t>
        </w:r>
      </w:smartTag>
      <w:r>
        <w:rPr>
          <w:rFonts w:ascii="Arial" w:hAnsi="Arial" w:cs="Arial"/>
          <w:b/>
          <w:sz w:val="22"/>
          <w:szCs w:val="22"/>
        </w:rPr>
        <w:t xml:space="preserve"> 4 </w:t>
      </w:r>
      <w:r w:rsidRPr="00603715">
        <w:rPr>
          <w:rFonts w:ascii="Arial" w:hAnsi="Arial" w:cs="Arial"/>
          <w:b/>
          <w:sz w:val="22"/>
          <w:szCs w:val="22"/>
        </w:rPr>
        <w:t xml:space="preserve"> </w:t>
      </w:r>
    </w:p>
    <w:p w:rsidR="00C65DE2" w:rsidRPr="00603715" w:rsidP="00C65DE2">
      <w:pPr>
        <w:bidi w:val="0"/>
        <w:spacing w:before="120" w:line="360" w:lineRule="auto"/>
        <w:ind w:firstLine="709"/>
        <w:jc w:val="both"/>
        <w:rPr>
          <w:rFonts w:ascii="Arial" w:hAnsi="Arial" w:cs="Arial"/>
          <w:sz w:val="22"/>
          <w:szCs w:val="22"/>
        </w:rPr>
      </w:pPr>
      <w:r>
        <w:rPr>
          <w:rFonts w:ascii="Arial" w:hAnsi="Arial" w:cs="Arial"/>
          <w:sz w:val="22"/>
          <w:szCs w:val="22"/>
        </w:rPr>
        <w:t xml:space="preserve">Navrhovanými ustanoveniami sa zavádza nový druh odplaty, a to odplaty za zhodnotenie majetku v dôchodkovom fonde, ktorej výška bude závislá od výnosov dosiahnutých dôchodkovými správcovskými spoločnosťami. </w:t>
      </w:r>
    </w:p>
    <w:p w:rsidR="00C65DE2" w:rsidRPr="00603715" w:rsidP="00C65DE2">
      <w:pPr>
        <w:bidi w:val="0"/>
        <w:spacing w:before="120" w:line="360" w:lineRule="auto"/>
        <w:rPr>
          <w:rFonts w:ascii="Arial" w:hAnsi="Arial" w:cs="Arial"/>
          <w:b/>
          <w:sz w:val="22"/>
          <w:szCs w:val="22"/>
        </w:rPr>
      </w:pPr>
      <w:r>
        <w:rPr>
          <w:rFonts w:ascii="Arial" w:hAnsi="Arial" w:cs="Arial"/>
          <w:b/>
          <w:sz w:val="22"/>
          <w:szCs w:val="22"/>
        </w:rPr>
        <w:t xml:space="preserve">K bodu 3 </w:t>
      </w:r>
    </w:p>
    <w:p w:rsidR="00C65DE2" w:rsidP="00C65DE2">
      <w:pPr>
        <w:bidi w:val="0"/>
        <w:spacing w:before="120" w:line="360" w:lineRule="auto"/>
        <w:ind w:firstLine="709"/>
        <w:jc w:val="both"/>
        <w:rPr>
          <w:rFonts w:ascii="Arial" w:hAnsi="Arial" w:cs="Arial"/>
          <w:sz w:val="22"/>
          <w:szCs w:val="22"/>
        </w:rPr>
      </w:pPr>
      <w:r w:rsidRPr="00D31DC3">
        <w:rPr>
          <w:rFonts w:ascii="Arial" w:hAnsi="Arial" w:cs="Arial"/>
          <w:sz w:val="22"/>
          <w:szCs w:val="22"/>
        </w:rPr>
        <w:t xml:space="preserve">Uvedenou legislatívnou úpravou sa znižuje percentuálna sadzba </w:t>
      </w:r>
      <w:r>
        <w:rPr>
          <w:rFonts w:ascii="Arial" w:hAnsi="Arial" w:cs="Arial"/>
          <w:sz w:val="22"/>
          <w:szCs w:val="22"/>
        </w:rPr>
        <w:t>odplaty za správu dôchodkového fondu</w:t>
      </w:r>
      <w:r w:rsidRPr="00D31DC3">
        <w:rPr>
          <w:rFonts w:ascii="Arial" w:hAnsi="Arial" w:cs="Arial"/>
          <w:sz w:val="22"/>
          <w:szCs w:val="22"/>
        </w:rPr>
        <w:t xml:space="preserve">, </w:t>
      </w:r>
      <w:r>
        <w:rPr>
          <w:rFonts w:ascii="Arial" w:hAnsi="Arial" w:cs="Arial"/>
          <w:sz w:val="22"/>
          <w:szCs w:val="22"/>
        </w:rPr>
        <w:t>ktorá sa vypláca  bez ohľadu na skutočnosť, či sa majetok sporiteľov v dôchodkových fondoch zhodnocuje alebo nie.</w:t>
      </w:r>
      <w:r w:rsidRPr="00D31DC3">
        <w:rPr>
          <w:rFonts w:ascii="Arial" w:hAnsi="Arial" w:cs="Arial"/>
          <w:sz w:val="22"/>
          <w:szCs w:val="22"/>
        </w:rPr>
        <w:t xml:space="preserve"> </w:t>
      </w:r>
    </w:p>
    <w:p w:rsidR="00C65DE2" w:rsidRPr="00B803D7" w:rsidP="00C65DE2">
      <w:pPr>
        <w:bidi w:val="0"/>
        <w:spacing w:before="120" w:line="360" w:lineRule="auto"/>
        <w:rPr>
          <w:rFonts w:ascii="Arial" w:hAnsi="Arial" w:cs="Arial"/>
          <w:b/>
          <w:sz w:val="22"/>
          <w:szCs w:val="22"/>
        </w:rPr>
      </w:pPr>
      <w:r w:rsidRPr="00B803D7">
        <w:rPr>
          <w:rFonts w:ascii="Arial" w:hAnsi="Arial" w:cs="Arial"/>
          <w:b/>
          <w:sz w:val="22"/>
          <w:szCs w:val="22"/>
        </w:rPr>
        <w:t xml:space="preserve">K bodom </w:t>
      </w:r>
      <w:smartTag w:uri="urn:schemas-microsoft-com:office:smarttags" w:element="metricconverter">
        <w:smartTagPr>
          <w:attr w:name="ProductID" w:val="15 a"/>
        </w:smartTagPr>
        <w:r>
          <w:rPr>
            <w:rFonts w:ascii="Arial" w:hAnsi="Arial" w:cs="Arial"/>
            <w:b/>
            <w:sz w:val="22"/>
            <w:szCs w:val="22"/>
          </w:rPr>
          <w:t>5</w:t>
        </w:r>
        <w:r w:rsidRPr="00B803D7">
          <w:rPr>
            <w:rFonts w:ascii="Arial" w:hAnsi="Arial" w:cs="Arial"/>
            <w:b/>
            <w:sz w:val="22"/>
            <w:szCs w:val="22"/>
          </w:rPr>
          <w:t xml:space="preserve"> </w:t>
        </w:r>
        <w:r>
          <w:rPr>
            <w:rFonts w:ascii="Arial" w:hAnsi="Arial" w:cs="Arial"/>
            <w:b/>
            <w:sz w:val="22"/>
            <w:szCs w:val="22"/>
          </w:rPr>
          <w:t>a</w:t>
        </w:r>
      </w:smartTag>
      <w:r>
        <w:rPr>
          <w:rFonts w:ascii="Arial" w:hAnsi="Arial" w:cs="Arial"/>
          <w:b/>
          <w:sz w:val="22"/>
          <w:szCs w:val="22"/>
        </w:rPr>
        <w:t xml:space="preserve"> 6</w:t>
      </w:r>
    </w:p>
    <w:p w:rsidR="00C65DE2" w:rsidP="00C65DE2">
      <w:pPr>
        <w:bidi w:val="0"/>
        <w:spacing w:before="120" w:line="360" w:lineRule="auto"/>
        <w:ind w:firstLine="709"/>
        <w:jc w:val="both"/>
        <w:rPr>
          <w:rFonts w:ascii="Arial" w:hAnsi="Arial" w:cs="Arial"/>
          <w:sz w:val="22"/>
          <w:szCs w:val="22"/>
        </w:rPr>
      </w:pPr>
      <w:r>
        <w:rPr>
          <w:rFonts w:ascii="Arial" w:hAnsi="Arial" w:cs="Arial"/>
          <w:sz w:val="22"/>
          <w:szCs w:val="22"/>
        </w:rPr>
        <w:t>Navrhuje sa spôsob výpočtu výšky odplaty za správu dôchodkového fondu a postup pri určení výšky sumy poplatku na garančný účet dôchodkového poplatku. Zároveň sa upravuje spôsob výpočtu dôchodkovej jednotky v súvislosti s dopĺňaním majetku v dôchodkových fondoch z prostriedkov uložených na garančnom účte dôchodkového fondu.</w:t>
      </w:r>
    </w:p>
    <w:p w:rsidR="00C65DE2" w:rsidRPr="00B803D7" w:rsidP="00C65DE2">
      <w:pPr>
        <w:bidi w:val="0"/>
        <w:spacing w:before="120" w:line="360" w:lineRule="auto"/>
        <w:rPr>
          <w:rFonts w:ascii="Arial" w:hAnsi="Arial" w:cs="Arial"/>
          <w:b/>
          <w:sz w:val="22"/>
          <w:szCs w:val="22"/>
        </w:rPr>
      </w:pPr>
      <w:r w:rsidRPr="00B803D7">
        <w:rPr>
          <w:rFonts w:ascii="Arial" w:hAnsi="Arial" w:cs="Arial"/>
          <w:b/>
          <w:sz w:val="22"/>
          <w:szCs w:val="22"/>
        </w:rPr>
        <w:t>K bod</w:t>
      </w:r>
      <w:r>
        <w:rPr>
          <w:rFonts w:ascii="Arial" w:hAnsi="Arial" w:cs="Arial"/>
          <w:b/>
          <w:sz w:val="22"/>
          <w:szCs w:val="22"/>
        </w:rPr>
        <w:t>om</w:t>
      </w:r>
      <w:r w:rsidRPr="00B803D7">
        <w:rPr>
          <w:rFonts w:ascii="Arial" w:hAnsi="Arial" w:cs="Arial"/>
          <w:b/>
          <w:sz w:val="22"/>
          <w:szCs w:val="22"/>
        </w:rPr>
        <w:t xml:space="preserve"> </w:t>
      </w:r>
      <w:r>
        <w:rPr>
          <w:rFonts w:ascii="Arial" w:hAnsi="Arial" w:cs="Arial"/>
          <w:b/>
          <w:sz w:val="22"/>
          <w:szCs w:val="22"/>
        </w:rPr>
        <w:t xml:space="preserve">7, </w:t>
      </w:r>
      <w:smartTag w:uri="urn:schemas-microsoft-com:office:smarttags" w:element="metricconverter">
        <w:smartTagPr>
          <w:attr w:name="ProductID" w:val="15 a"/>
        </w:smartTagPr>
        <w:r>
          <w:rPr>
            <w:rFonts w:ascii="Arial" w:hAnsi="Arial" w:cs="Arial"/>
            <w:b/>
            <w:sz w:val="22"/>
            <w:szCs w:val="22"/>
          </w:rPr>
          <w:t>8 a</w:t>
        </w:r>
      </w:smartTag>
      <w:r>
        <w:rPr>
          <w:rFonts w:ascii="Arial" w:hAnsi="Arial" w:cs="Arial"/>
          <w:b/>
          <w:sz w:val="22"/>
          <w:szCs w:val="22"/>
        </w:rPr>
        <w:t xml:space="preserve"> 9</w:t>
      </w:r>
    </w:p>
    <w:p w:rsidR="00C65DE2" w:rsidP="00C65DE2">
      <w:pPr>
        <w:bidi w:val="0"/>
        <w:spacing w:before="120" w:line="360" w:lineRule="auto"/>
        <w:ind w:firstLine="708"/>
        <w:rPr>
          <w:rFonts w:ascii="Arial" w:hAnsi="Arial" w:cs="Arial"/>
          <w:sz w:val="22"/>
          <w:szCs w:val="22"/>
        </w:rPr>
      </w:pPr>
      <w:r>
        <w:rPr>
          <w:rFonts w:ascii="Arial" w:hAnsi="Arial" w:cs="Arial"/>
          <w:sz w:val="22"/>
          <w:szCs w:val="22"/>
        </w:rPr>
        <w:t>Navrhované ustanovenia súvisia so zriadením garančného účtu dôchodkového fondu.</w:t>
      </w:r>
    </w:p>
    <w:p w:rsidR="00C65DE2" w:rsidP="00C65DE2">
      <w:pPr>
        <w:bidi w:val="0"/>
        <w:spacing w:before="120" w:line="360" w:lineRule="auto"/>
        <w:rPr>
          <w:rFonts w:ascii="Arial" w:hAnsi="Arial" w:cs="Arial"/>
          <w:b/>
          <w:sz w:val="22"/>
          <w:szCs w:val="22"/>
        </w:rPr>
      </w:pPr>
      <w:r w:rsidRPr="00B803D7">
        <w:rPr>
          <w:rFonts w:ascii="Arial" w:hAnsi="Arial" w:cs="Arial"/>
          <w:b/>
          <w:sz w:val="22"/>
          <w:szCs w:val="22"/>
        </w:rPr>
        <w:t xml:space="preserve">K bodu </w:t>
      </w:r>
      <w:r>
        <w:rPr>
          <w:rFonts w:ascii="Arial" w:hAnsi="Arial" w:cs="Arial"/>
          <w:b/>
          <w:sz w:val="22"/>
          <w:szCs w:val="22"/>
        </w:rPr>
        <w:t>10</w:t>
      </w:r>
      <w:r w:rsidRPr="00B803D7">
        <w:rPr>
          <w:rFonts w:ascii="Arial" w:hAnsi="Arial" w:cs="Arial"/>
          <w:b/>
          <w:sz w:val="22"/>
          <w:szCs w:val="22"/>
        </w:rPr>
        <w:t xml:space="preserve"> </w:t>
      </w:r>
    </w:p>
    <w:p w:rsidR="00C65DE2" w:rsidP="00C65DE2">
      <w:pPr>
        <w:bidi w:val="0"/>
        <w:spacing w:before="120" w:line="360" w:lineRule="auto"/>
        <w:ind w:firstLine="709"/>
        <w:jc w:val="both"/>
        <w:rPr>
          <w:rFonts w:ascii="Arial" w:hAnsi="Arial" w:cs="Arial"/>
          <w:sz w:val="22"/>
          <w:szCs w:val="22"/>
        </w:rPr>
      </w:pPr>
      <w:r>
        <w:rPr>
          <w:rFonts w:ascii="Arial" w:hAnsi="Arial" w:cs="Arial"/>
          <w:sz w:val="22"/>
          <w:szCs w:val="22"/>
        </w:rPr>
        <w:t xml:space="preserve">Dopĺňajú sa nové obligatórne obsahové náležitosti štatútu dôchodkového fondu a to v nadväznosti na zmeny obsiahnuté v tomto návrhu novely. </w:t>
      </w:r>
    </w:p>
    <w:p w:rsidR="00C65DE2" w:rsidP="00C65DE2">
      <w:pPr>
        <w:bidi w:val="0"/>
        <w:spacing w:before="120" w:line="360" w:lineRule="auto"/>
        <w:rPr>
          <w:rFonts w:ascii="Arial" w:hAnsi="Arial" w:cs="Arial"/>
          <w:b/>
          <w:sz w:val="22"/>
          <w:szCs w:val="22"/>
        </w:rPr>
      </w:pPr>
      <w:r w:rsidRPr="00B803D7">
        <w:rPr>
          <w:rFonts w:ascii="Arial" w:hAnsi="Arial" w:cs="Arial"/>
          <w:b/>
          <w:sz w:val="22"/>
          <w:szCs w:val="22"/>
        </w:rPr>
        <w:t xml:space="preserve">K bodu </w:t>
      </w:r>
      <w:r>
        <w:rPr>
          <w:rFonts w:ascii="Arial" w:hAnsi="Arial" w:cs="Arial"/>
          <w:b/>
          <w:sz w:val="22"/>
          <w:szCs w:val="22"/>
        </w:rPr>
        <w:t>11</w:t>
      </w:r>
      <w:r w:rsidRPr="00B803D7">
        <w:rPr>
          <w:rFonts w:ascii="Arial" w:hAnsi="Arial" w:cs="Arial"/>
          <w:b/>
          <w:sz w:val="22"/>
          <w:szCs w:val="22"/>
        </w:rPr>
        <w:t xml:space="preserve"> </w:t>
      </w:r>
    </w:p>
    <w:p w:rsidR="00C65DE2" w:rsidP="00C65DE2">
      <w:pPr>
        <w:bidi w:val="0"/>
        <w:spacing w:before="120" w:line="360" w:lineRule="auto"/>
        <w:ind w:firstLine="720"/>
        <w:jc w:val="both"/>
        <w:rPr>
          <w:rFonts w:ascii="Arial" w:hAnsi="Arial" w:cs="Arial"/>
          <w:sz w:val="22"/>
          <w:szCs w:val="22"/>
        </w:rPr>
      </w:pPr>
      <w:r>
        <w:rPr>
          <w:rFonts w:ascii="Arial" w:hAnsi="Arial" w:cs="Arial"/>
          <w:sz w:val="22"/>
          <w:szCs w:val="22"/>
        </w:rPr>
        <w:t xml:space="preserve">Navrhuje  sa nový model porovnávania výkonnosti konzervatívneho dôchodkového fondu predovšetkým vo väzbe na referenčnú hodnotu; navrhované ustanovenie zároveň splnomocňuje Národnú banku Slovenska na vydanie osobitného predpisu pre jej určovanie a pre uloženie sankcie v prípadoch nedodržania výkonnosti v konzervatívnom dôchodkovom fonde na úrovni referenčnej hodnoty, vrátanie doplnenia majetku.  </w:t>
      </w:r>
    </w:p>
    <w:p w:rsidR="00C65DE2" w:rsidP="00C65DE2">
      <w:pPr>
        <w:bidi w:val="0"/>
        <w:spacing w:before="120" w:line="360" w:lineRule="auto"/>
        <w:rPr>
          <w:rFonts w:ascii="Arial" w:hAnsi="Arial" w:cs="Arial"/>
          <w:sz w:val="22"/>
          <w:szCs w:val="22"/>
        </w:rPr>
      </w:pPr>
    </w:p>
    <w:p w:rsidR="00C65DE2" w:rsidP="00C65DE2">
      <w:pPr>
        <w:bidi w:val="0"/>
        <w:spacing w:before="120" w:line="360" w:lineRule="auto"/>
        <w:rPr>
          <w:rFonts w:ascii="Arial" w:hAnsi="Arial" w:cs="Arial"/>
          <w:sz w:val="22"/>
          <w:szCs w:val="22"/>
        </w:rPr>
      </w:pPr>
    </w:p>
    <w:p w:rsidR="00C65DE2" w:rsidRPr="00B803D7" w:rsidP="00C65DE2">
      <w:pPr>
        <w:bidi w:val="0"/>
        <w:spacing w:before="120" w:line="360" w:lineRule="auto"/>
        <w:rPr>
          <w:rFonts w:ascii="Arial" w:hAnsi="Arial" w:cs="Arial"/>
          <w:b/>
          <w:sz w:val="22"/>
          <w:szCs w:val="22"/>
        </w:rPr>
      </w:pPr>
      <w:r w:rsidRPr="00B803D7">
        <w:rPr>
          <w:rFonts w:ascii="Arial" w:hAnsi="Arial" w:cs="Arial"/>
          <w:b/>
          <w:sz w:val="22"/>
          <w:szCs w:val="22"/>
        </w:rPr>
        <w:t xml:space="preserve">K bodu </w:t>
      </w:r>
      <w:r>
        <w:rPr>
          <w:rFonts w:ascii="Arial" w:hAnsi="Arial" w:cs="Arial"/>
          <w:b/>
          <w:sz w:val="22"/>
          <w:szCs w:val="22"/>
        </w:rPr>
        <w:t>12</w:t>
      </w:r>
      <w:r w:rsidRPr="00B803D7">
        <w:rPr>
          <w:rFonts w:ascii="Arial" w:hAnsi="Arial" w:cs="Arial"/>
          <w:b/>
          <w:sz w:val="22"/>
          <w:szCs w:val="22"/>
        </w:rPr>
        <w:t xml:space="preserve"> </w:t>
      </w:r>
    </w:p>
    <w:p w:rsidR="00C65DE2" w:rsidP="00C65DE2">
      <w:pPr>
        <w:bidi w:val="0"/>
        <w:spacing w:before="120" w:line="360" w:lineRule="auto"/>
        <w:jc w:val="both"/>
        <w:rPr>
          <w:rFonts w:ascii="Arial" w:hAnsi="Arial" w:cs="Arial"/>
          <w:b/>
          <w:sz w:val="22"/>
          <w:szCs w:val="22"/>
        </w:rPr>
      </w:pPr>
      <w:r>
        <w:rPr>
          <w:rFonts w:ascii="Arial" w:hAnsi="Arial" w:cs="Arial"/>
          <w:sz w:val="22"/>
          <w:szCs w:val="22"/>
        </w:rPr>
        <w:tab/>
        <w:t xml:space="preserve">Navrhuje sa  porovnávanie zloženia majetku  vo vyvážených a v rastových dôchodkových fondoch s  referenčnými hodnotami, ktorých zloženie si budú môcť vybrať samotné dôchodkové správcovské spoločnosti. Návrh súčasne  splnomocňuje Národnú banku Slovenska na vydanie osobitného predpisu pre určovanie referenčných hodnôt vyvážených a rastových fondov a pre určovanie ich zloženia. </w:t>
      </w:r>
    </w:p>
    <w:p w:rsidR="00C65DE2" w:rsidP="00C65DE2">
      <w:pPr>
        <w:bidi w:val="0"/>
        <w:spacing w:before="120" w:line="360" w:lineRule="auto"/>
        <w:rPr>
          <w:rFonts w:ascii="Arial" w:hAnsi="Arial" w:cs="Arial"/>
          <w:b/>
          <w:sz w:val="22"/>
          <w:szCs w:val="22"/>
        </w:rPr>
      </w:pPr>
      <w:r w:rsidRPr="00B803D7">
        <w:rPr>
          <w:rFonts w:ascii="Arial" w:hAnsi="Arial" w:cs="Arial"/>
          <w:b/>
          <w:sz w:val="22"/>
          <w:szCs w:val="22"/>
        </w:rPr>
        <w:t xml:space="preserve">K bodu </w:t>
      </w:r>
      <w:r>
        <w:rPr>
          <w:rFonts w:ascii="Arial" w:hAnsi="Arial" w:cs="Arial"/>
          <w:b/>
          <w:sz w:val="22"/>
          <w:szCs w:val="22"/>
        </w:rPr>
        <w:t>13</w:t>
      </w:r>
    </w:p>
    <w:p w:rsidR="00C65DE2" w:rsidRPr="00C671D9" w:rsidP="00C65DE2">
      <w:pPr>
        <w:bidi w:val="0"/>
        <w:spacing w:before="120" w:line="360" w:lineRule="auto"/>
        <w:jc w:val="both"/>
        <w:rPr>
          <w:rFonts w:ascii="Arial" w:hAnsi="Arial" w:cs="Arial"/>
          <w:sz w:val="22"/>
          <w:szCs w:val="22"/>
        </w:rPr>
      </w:pPr>
      <w:r w:rsidRPr="00FC7B55">
        <w:rPr>
          <w:rFonts w:ascii="Arial" w:hAnsi="Arial" w:cs="Arial"/>
          <w:sz w:val="22"/>
          <w:szCs w:val="22"/>
        </w:rPr>
        <w:tab/>
      </w:r>
      <w:r w:rsidRPr="00C671D9">
        <w:rPr>
          <w:rFonts w:ascii="Arial" w:hAnsi="Arial" w:cs="Arial"/>
          <w:sz w:val="22"/>
          <w:szCs w:val="22"/>
        </w:rPr>
        <w:t>Upravujú sa podmienky zriaďovania a vedenia  garančného účtu dôchodkového fondu</w:t>
      </w:r>
      <w:r>
        <w:rPr>
          <w:rFonts w:ascii="Arial" w:hAnsi="Arial" w:cs="Arial"/>
          <w:sz w:val="22"/>
          <w:szCs w:val="22"/>
        </w:rPr>
        <w:t xml:space="preserve"> ako nového prvku v systéme starobného dôchodkového sporenia, ktorý má slúžiť</w:t>
      </w:r>
      <w:r w:rsidRPr="00C671D9">
        <w:rPr>
          <w:rFonts w:ascii="Arial" w:hAnsi="Arial" w:cs="Arial"/>
          <w:sz w:val="22"/>
          <w:szCs w:val="22"/>
        </w:rPr>
        <w:t xml:space="preserve"> </w:t>
      </w:r>
      <w:r>
        <w:rPr>
          <w:rFonts w:ascii="Arial" w:hAnsi="Arial" w:cs="Arial"/>
          <w:sz w:val="22"/>
          <w:szCs w:val="22"/>
        </w:rPr>
        <w:t xml:space="preserve">k poskytovaniu odplaty za zhodnotenie majetku v dôchodkovom fonde a k dopĺňaniu tohto majetku zvyšovaním aktuálnej hodnoty dôchodkovej jednotky. Navrhuje sa postup vo vzťahu ku garančným účtom dôchodkových fondov pri ich zlučovaní. </w:t>
      </w:r>
    </w:p>
    <w:p w:rsidR="00C65DE2" w:rsidP="00C65DE2">
      <w:pPr>
        <w:bidi w:val="0"/>
        <w:spacing w:before="120" w:line="360" w:lineRule="auto"/>
        <w:rPr>
          <w:rFonts w:ascii="Arial" w:hAnsi="Arial" w:cs="Arial"/>
          <w:b/>
          <w:sz w:val="22"/>
          <w:szCs w:val="22"/>
        </w:rPr>
      </w:pPr>
      <w:r>
        <w:rPr>
          <w:rFonts w:ascii="Arial" w:hAnsi="Arial" w:cs="Arial"/>
          <w:b/>
          <w:sz w:val="22"/>
          <w:szCs w:val="22"/>
        </w:rPr>
        <w:t xml:space="preserve">K bodom 14, </w:t>
      </w:r>
      <w:smartTag w:uri="urn:schemas-microsoft-com:office:smarttags" w:element="metricconverter">
        <w:smartTagPr>
          <w:attr w:name="ProductID" w:val="15 a"/>
        </w:smartTagPr>
        <w:r>
          <w:rPr>
            <w:rFonts w:ascii="Arial" w:hAnsi="Arial" w:cs="Arial"/>
            <w:b/>
            <w:sz w:val="22"/>
            <w:szCs w:val="22"/>
          </w:rPr>
          <w:t>15 a</w:t>
        </w:r>
      </w:smartTag>
      <w:r>
        <w:rPr>
          <w:rFonts w:ascii="Arial" w:hAnsi="Arial" w:cs="Arial"/>
          <w:b/>
          <w:sz w:val="22"/>
          <w:szCs w:val="22"/>
        </w:rPr>
        <w:t xml:space="preserve"> 16</w:t>
      </w:r>
    </w:p>
    <w:p w:rsidR="00C65DE2" w:rsidP="00C65DE2">
      <w:pPr>
        <w:bidi w:val="0"/>
        <w:spacing w:before="120" w:line="360" w:lineRule="auto"/>
        <w:jc w:val="both"/>
        <w:rPr>
          <w:rFonts w:ascii="Arial" w:hAnsi="Arial" w:cs="Arial"/>
          <w:sz w:val="22"/>
          <w:szCs w:val="22"/>
        </w:rPr>
      </w:pPr>
      <w:r w:rsidRPr="006855AE">
        <w:rPr>
          <w:rFonts w:ascii="Arial" w:hAnsi="Arial" w:cs="Arial"/>
          <w:sz w:val="22"/>
          <w:szCs w:val="22"/>
        </w:rPr>
        <w:tab/>
      </w:r>
      <w:r w:rsidRPr="00C671D9">
        <w:rPr>
          <w:rFonts w:ascii="Arial" w:hAnsi="Arial" w:cs="Arial"/>
          <w:sz w:val="22"/>
          <w:szCs w:val="22"/>
        </w:rPr>
        <w:t>Navrhované ustanoveni</w:t>
      </w:r>
      <w:r>
        <w:rPr>
          <w:rFonts w:ascii="Arial" w:hAnsi="Arial" w:cs="Arial"/>
          <w:sz w:val="22"/>
          <w:szCs w:val="22"/>
        </w:rPr>
        <w:t>a</w:t>
      </w:r>
      <w:r w:rsidRPr="00C671D9">
        <w:rPr>
          <w:rFonts w:ascii="Arial" w:hAnsi="Arial" w:cs="Arial"/>
          <w:sz w:val="22"/>
          <w:szCs w:val="22"/>
        </w:rPr>
        <w:t xml:space="preserve"> </w:t>
      </w:r>
      <w:r>
        <w:rPr>
          <w:rFonts w:ascii="Arial" w:hAnsi="Arial" w:cs="Arial"/>
          <w:sz w:val="22"/>
          <w:szCs w:val="22"/>
        </w:rPr>
        <w:t>upravujú oznamovaciu povinnosť dôchodkových správcovských spoločností vo vzťahu k navrhnutým zmenám v starobnom dôchodkovom sporení.</w:t>
      </w:r>
    </w:p>
    <w:p w:rsidR="00C65DE2" w:rsidP="00C65DE2">
      <w:pPr>
        <w:bidi w:val="0"/>
        <w:spacing w:before="120" w:line="360" w:lineRule="auto"/>
        <w:rPr>
          <w:rFonts w:ascii="Arial" w:hAnsi="Arial" w:cs="Arial"/>
          <w:b/>
          <w:sz w:val="22"/>
          <w:szCs w:val="22"/>
        </w:rPr>
      </w:pPr>
      <w:r w:rsidRPr="00B803D7">
        <w:rPr>
          <w:rFonts w:ascii="Arial" w:hAnsi="Arial" w:cs="Arial"/>
          <w:b/>
          <w:sz w:val="22"/>
          <w:szCs w:val="22"/>
        </w:rPr>
        <w:t xml:space="preserve">K bodu </w:t>
      </w:r>
      <w:r>
        <w:rPr>
          <w:rFonts w:ascii="Arial" w:hAnsi="Arial" w:cs="Arial"/>
          <w:b/>
          <w:sz w:val="22"/>
          <w:szCs w:val="22"/>
        </w:rPr>
        <w:t>17</w:t>
      </w:r>
    </w:p>
    <w:p w:rsidR="00C65DE2" w:rsidRPr="006855AE" w:rsidP="00C65DE2">
      <w:pPr>
        <w:bidi w:val="0"/>
        <w:spacing w:before="120" w:line="360" w:lineRule="auto"/>
        <w:ind w:firstLine="720"/>
        <w:jc w:val="both"/>
        <w:rPr>
          <w:rFonts w:ascii="Arial" w:hAnsi="Arial" w:cs="Arial"/>
          <w:sz w:val="22"/>
          <w:szCs w:val="22"/>
        </w:rPr>
      </w:pPr>
      <w:r>
        <w:rPr>
          <w:rFonts w:ascii="Arial" w:hAnsi="Arial" w:cs="Arial"/>
          <w:sz w:val="22"/>
          <w:szCs w:val="22"/>
        </w:rPr>
        <w:t>Navrhuje sa znenie prílohy upravujúcej postup pri výpočte poplatku na garančný účet dôchodkového fondu.</w:t>
      </w:r>
    </w:p>
    <w:p w:rsidR="00C65DE2" w:rsidP="00C65DE2">
      <w:pPr>
        <w:bidi w:val="0"/>
        <w:spacing w:before="120" w:line="360" w:lineRule="auto"/>
        <w:rPr>
          <w:rFonts w:ascii="Arial" w:hAnsi="Arial" w:cs="Arial"/>
          <w:b/>
          <w:sz w:val="22"/>
          <w:szCs w:val="22"/>
        </w:rPr>
      </w:pPr>
    </w:p>
    <w:p w:rsidR="00C65DE2" w:rsidP="00C65DE2">
      <w:pPr>
        <w:bidi w:val="0"/>
        <w:spacing w:before="120" w:line="360" w:lineRule="auto"/>
        <w:rPr>
          <w:rFonts w:ascii="Arial" w:hAnsi="Arial" w:cs="Arial"/>
          <w:b/>
          <w:sz w:val="22"/>
          <w:szCs w:val="22"/>
        </w:rPr>
      </w:pPr>
      <w:r>
        <w:rPr>
          <w:rFonts w:ascii="Arial" w:hAnsi="Arial" w:cs="Arial"/>
          <w:b/>
          <w:sz w:val="22"/>
          <w:szCs w:val="22"/>
        </w:rPr>
        <w:t>K</w:t>
      </w:r>
      <w:r w:rsidRPr="00603715">
        <w:rPr>
          <w:rFonts w:ascii="Arial" w:hAnsi="Arial" w:cs="Arial"/>
          <w:b/>
          <w:sz w:val="22"/>
          <w:szCs w:val="22"/>
        </w:rPr>
        <w:t> </w:t>
      </w:r>
      <w:r>
        <w:rPr>
          <w:rFonts w:ascii="Arial" w:hAnsi="Arial" w:cs="Arial"/>
          <w:b/>
          <w:sz w:val="22"/>
          <w:szCs w:val="22"/>
        </w:rPr>
        <w:t>Č</w:t>
      </w:r>
      <w:r w:rsidRPr="00603715">
        <w:rPr>
          <w:rFonts w:ascii="Arial" w:hAnsi="Arial" w:cs="Arial"/>
          <w:b/>
          <w:sz w:val="22"/>
          <w:szCs w:val="22"/>
        </w:rPr>
        <w:t>l. I</w:t>
      </w:r>
      <w:r>
        <w:rPr>
          <w:rFonts w:ascii="Arial" w:hAnsi="Arial" w:cs="Arial"/>
          <w:b/>
          <w:sz w:val="22"/>
          <w:szCs w:val="22"/>
        </w:rPr>
        <w:t>I</w:t>
      </w:r>
      <w:r w:rsidRPr="00603715">
        <w:rPr>
          <w:rFonts w:ascii="Arial" w:hAnsi="Arial" w:cs="Arial"/>
          <w:b/>
          <w:sz w:val="22"/>
          <w:szCs w:val="22"/>
        </w:rPr>
        <w:t xml:space="preserve">. </w:t>
      </w:r>
    </w:p>
    <w:p w:rsidR="00C65DE2" w:rsidP="00C65DE2">
      <w:pPr>
        <w:bidi w:val="0"/>
        <w:spacing w:before="120" w:line="360" w:lineRule="auto"/>
        <w:ind w:firstLine="720"/>
        <w:jc w:val="both"/>
        <w:rPr>
          <w:rFonts w:ascii="Arial" w:hAnsi="Arial" w:cs="Arial"/>
          <w:sz w:val="22"/>
          <w:szCs w:val="22"/>
        </w:rPr>
      </w:pPr>
      <w:r w:rsidRPr="00C759DF">
        <w:rPr>
          <w:rFonts w:ascii="Arial" w:hAnsi="Arial" w:cs="Arial"/>
          <w:sz w:val="22"/>
          <w:szCs w:val="22"/>
        </w:rPr>
        <w:t xml:space="preserve">Účinnosť legislatívnych zmien sa navrhuje od 1. </w:t>
      </w:r>
      <w:r>
        <w:rPr>
          <w:rFonts w:ascii="Arial" w:hAnsi="Arial" w:cs="Arial"/>
          <w:sz w:val="22"/>
          <w:szCs w:val="22"/>
        </w:rPr>
        <w:t xml:space="preserve">januára </w:t>
      </w:r>
      <w:r w:rsidRPr="00C759DF">
        <w:rPr>
          <w:rFonts w:ascii="Arial" w:hAnsi="Arial" w:cs="Arial"/>
          <w:sz w:val="22"/>
          <w:szCs w:val="22"/>
        </w:rPr>
        <w:t>20</w:t>
      </w:r>
      <w:r>
        <w:rPr>
          <w:rFonts w:ascii="Arial" w:hAnsi="Arial" w:cs="Arial"/>
          <w:sz w:val="22"/>
          <w:szCs w:val="22"/>
        </w:rPr>
        <w:t>10</w:t>
      </w:r>
      <w:r w:rsidRPr="00C759DF">
        <w:rPr>
          <w:rFonts w:ascii="Arial" w:hAnsi="Arial" w:cs="Arial"/>
          <w:sz w:val="22"/>
          <w:szCs w:val="22"/>
        </w:rPr>
        <w:t>.</w:t>
      </w:r>
    </w:p>
    <w:p w:rsidR="00D23746" w:rsidP="00C65DE2">
      <w:pPr>
        <w:bidi w:val="0"/>
        <w:spacing w:before="120" w:line="360" w:lineRule="auto"/>
        <w:ind w:firstLine="720"/>
        <w:jc w:val="both"/>
        <w:rPr>
          <w:rFonts w:ascii="Arial" w:hAnsi="Arial" w:cs="Arial"/>
          <w:sz w:val="22"/>
          <w:szCs w:val="22"/>
        </w:rPr>
      </w:pPr>
    </w:p>
    <w:p w:rsidR="00D23746" w:rsidRPr="00C759DF" w:rsidP="00D23746">
      <w:pPr>
        <w:bidi w:val="0"/>
        <w:spacing w:before="120" w:line="360" w:lineRule="auto"/>
        <w:jc w:val="both"/>
        <w:rPr>
          <w:rFonts w:ascii="Arial" w:hAnsi="Arial" w:cs="Arial"/>
          <w:sz w:val="22"/>
          <w:szCs w:val="22"/>
        </w:rPr>
      </w:pPr>
      <w:r>
        <w:rPr>
          <w:rFonts w:ascii="Arial" w:hAnsi="Arial" w:cs="Arial"/>
          <w:sz w:val="22"/>
          <w:szCs w:val="22"/>
        </w:rPr>
        <w:t>Bratislava 4. marca 2009</w:t>
      </w:r>
    </w:p>
    <w:p w:rsidR="00C65DE2" w:rsidP="00C65DE2">
      <w:pPr>
        <w:bidi w:val="0"/>
        <w:jc w:val="center"/>
        <w:rPr>
          <w:rFonts w:ascii="Arial" w:hAnsi="Arial" w:cs="Arial"/>
          <w:sz w:val="22"/>
          <w:szCs w:val="22"/>
        </w:rPr>
      </w:pPr>
    </w:p>
    <w:p w:rsidR="00D23746" w:rsidP="00C65DE2">
      <w:pPr>
        <w:bidi w:val="0"/>
        <w:jc w:val="center"/>
        <w:rPr>
          <w:rFonts w:ascii="Arial" w:hAnsi="Arial" w:cs="Arial"/>
          <w:b/>
          <w:sz w:val="22"/>
          <w:szCs w:val="22"/>
        </w:rPr>
      </w:pPr>
    </w:p>
    <w:p w:rsidR="00D23746" w:rsidP="00C65DE2">
      <w:pPr>
        <w:bidi w:val="0"/>
        <w:jc w:val="center"/>
        <w:rPr>
          <w:rFonts w:ascii="Arial" w:hAnsi="Arial" w:cs="Arial"/>
          <w:b/>
          <w:sz w:val="22"/>
          <w:szCs w:val="22"/>
        </w:rPr>
      </w:pPr>
    </w:p>
    <w:p w:rsidR="00D23746" w:rsidRPr="00D23746" w:rsidP="00C65DE2">
      <w:pPr>
        <w:bidi w:val="0"/>
        <w:jc w:val="center"/>
        <w:rPr>
          <w:rFonts w:ascii="Arial" w:hAnsi="Arial" w:cs="Arial"/>
          <w:b/>
          <w:sz w:val="22"/>
          <w:szCs w:val="22"/>
        </w:rPr>
      </w:pPr>
      <w:r w:rsidRPr="00D23746">
        <w:rPr>
          <w:rFonts w:ascii="Arial" w:hAnsi="Arial" w:cs="Arial"/>
          <w:b/>
          <w:sz w:val="22"/>
          <w:szCs w:val="22"/>
        </w:rPr>
        <w:t>Robert Fico</w:t>
      </w:r>
      <w:r w:rsidR="0083596B">
        <w:rPr>
          <w:rFonts w:ascii="Arial" w:hAnsi="Arial" w:cs="Arial"/>
          <w:b/>
          <w:sz w:val="22"/>
          <w:szCs w:val="22"/>
        </w:rPr>
        <w:t>, v. r.</w:t>
      </w:r>
      <w:r w:rsidRPr="00D23746">
        <w:rPr>
          <w:rFonts w:ascii="Arial" w:hAnsi="Arial" w:cs="Arial"/>
          <w:b/>
          <w:sz w:val="22"/>
          <w:szCs w:val="22"/>
        </w:rPr>
        <w:t xml:space="preserve"> </w:t>
      </w:r>
    </w:p>
    <w:p w:rsidR="00D23746" w:rsidP="00C65DE2">
      <w:pPr>
        <w:bidi w:val="0"/>
        <w:jc w:val="center"/>
        <w:rPr>
          <w:rFonts w:ascii="Arial" w:hAnsi="Arial" w:cs="Arial"/>
          <w:sz w:val="22"/>
          <w:szCs w:val="22"/>
        </w:rPr>
      </w:pPr>
      <w:r>
        <w:rPr>
          <w:rFonts w:ascii="Arial" w:hAnsi="Arial" w:cs="Arial"/>
          <w:sz w:val="22"/>
          <w:szCs w:val="22"/>
        </w:rPr>
        <w:t>predseda vlády</w:t>
      </w:r>
    </w:p>
    <w:p w:rsidR="00D23746" w:rsidP="00C65DE2">
      <w:pPr>
        <w:bidi w:val="0"/>
        <w:jc w:val="center"/>
        <w:rPr>
          <w:rFonts w:ascii="Arial" w:hAnsi="Arial" w:cs="Arial"/>
          <w:sz w:val="22"/>
          <w:szCs w:val="22"/>
        </w:rPr>
      </w:pPr>
      <w:r>
        <w:rPr>
          <w:rFonts w:ascii="Arial" w:hAnsi="Arial" w:cs="Arial"/>
          <w:sz w:val="22"/>
          <w:szCs w:val="22"/>
        </w:rPr>
        <w:t>Slovenskej republiky</w:t>
      </w:r>
    </w:p>
    <w:p w:rsidR="00D23746" w:rsidP="00C65DE2">
      <w:pPr>
        <w:bidi w:val="0"/>
        <w:jc w:val="center"/>
        <w:rPr>
          <w:rFonts w:ascii="Arial" w:hAnsi="Arial" w:cs="Arial"/>
          <w:sz w:val="22"/>
          <w:szCs w:val="22"/>
        </w:rPr>
      </w:pPr>
    </w:p>
    <w:p w:rsidR="00D23746" w:rsidP="00C65DE2">
      <w:pPr>
        <w:bidi w:val="0"/>
        <w:jc w:val="center"/>
        <w:rPr>
          <w:rFonts w:ascii="Arial" w:hAnsi="Arial" w:cs="Arial"/>
          <w:sz w:val="22"/>
          <w:szCs w:val="22"/>
        </w:rPr>
      </w:pPr>
    </w:p>
    <w:p w:rsidR="00D23746" w:rsidP="00C65DE2">
      <w:pPr>
        <w:bidi w:val="0"/>
        <w:jc w:val="center"/>
        <w:rPr>
          <w:rFonts w:ascii="Arial" w:hAnsi="Arial" w:cs="Arial"/>
          <w:sz w:val="22"/>
          <w:szCs w:val="22"/>
        </w:rPr>
      </w:pPr>
    </w:p>
    <w:p w:rsidR="00D23746" w:rsidP="00C65DE2">
      <w:pPr>
        <w:bidi w:val="0"/>
        <w:jc w:val="center"/>
        <w:rPr>
          <w:rFonts w:ascii="Arial" w:hAnsi="Arial" w:cs="Arial"/>
          <w:sz w:val="22"/>
          <w:szCs w:val="22"/>
        </w:rPr>
      </w:pPr>
    </w:p>
    <w:p w:rsidR="00D23746" w:rsidRPr="00D23746" w:rsidP="00C65DE2">
      <w:pPr>
        <w:bidi w:val="0"/>
        <w:jc w:val="center"/>
        <w:rPr>
          <w:rFonts w:ascii="Arial" w:hAnsi="Arial" w:cs="Arial"/>
          <w:b/>
          <w:sz w:val="22"/>
          <w:szCs w:val="22"/>
        </w:rPr>
      </w:pPr>
      <w:r w:rsidRPr="00D23746">
        <w:rPr>
          <w:rFonts w:ascii="Arial" w:hAnsi="Arial" w:cs="Arial"/>
          <w:b/>
          <w:sz w:val="22"/>
          <w:szCs w:val="22"/>
        </w:rPr>
        <w:t>Viera Tomanová</w:t>
      </w:r>
      <w:r w:rsidR="0083596B">
        <w:rPr>
          <w:rFonts w:ascii="Arial" w:hAnsi="Arial" w:cs="Arial"/>
          <w:b/>
          <w:sz w:val="22"/>
          <w:szCs w:val="22"/>
        </w:rPr>
        <w:t>, v. r.</w:t>
      </w:r>
    </w:p>
    <w:p w:rsidR="00D23746" w:rsidP="00C65DE2">
      <w:pPr>
        <w:bidi w:val="0"/>
        <w:jc w:val="center"/>
        <w:rPr>
          <w:rFonts w:ascii="Arial" w:hAnsi="Arial" w:cs="Arial"/>
          <w:sz w:val="22"/>
          <w:szCs w:val="22"/>
        </w:rPr>
      </w:pPr>
      <w:r>
        <w:rPr>
          <w:rFonts w:ascii="Arial" w:hAnsi="Arial" w:cs="Arial"/>
          <w:sz w:val="22"/>
          <w:szCs w:val="22"/>
        </w:rPr>
        <w:t>ministerka práce, sociálnych vecí a rodiny</w:t>
      </w:r>
    </w:p>
    <w:p w:rsidR="00D23746" w:rsidP="00C65DE2">
      <w:pPr>
        <w:bidi w:val="0"/>
        <w:jc w:val="center"/>
        <w:rPr>
          <w:rFonts w:ascii="Arial" w:hAnsi="Arial" w:cs="Arial"/>
          <w:sz w:val="22"/>
          <w:szCs w:val="22"/>
        </w:rPr>
      </w:pPr>
      <w:r>
        <w:rPr>
          <w:rFonts w:ascii="Arial" w:hAnsi="Arial" w:cs="Arial"/>
          <w:sz w:val="22"/>
          <w:szCs w:val="22"/>
        </w:rPr>
        <w:t>Slovenskej republiky</w:t>
      </w:r>
    </w:p>
    <w:p w:rsidR="00C65DE2" w:rsidP="00C65DE2">
      <w:pPr>
        <w:bidi w:val="0"/>
        <w:jc w:val="center"/>
        <w:rPr>
          <w:rFonts w:ascii="Arial" w:hAnsi="Arial" w:cs="Arial"/>
          <w:sz w:val="22"/>
          <w:szCs w:val="22"/>
        </w:rPr>
      </w:pPr>
    </w:p>
    <w:p w:rsidR="00C65DE2" w:rsidP="00C65DE2">
      <w:pPr>
        <w:bidi w:val="0"/>
        <w:jc w:val="center"/>
        <w:rPr>
          <w:rFonts w:ascii="Arial" w:hAnsi="Arial" w:cs="Arial"/>
          <w:sz w:val="22"/>
          <w:szCs w:val="22"/>
        </w:rPr>
      </w:pPr>
    </w:p>
    <w:p w:rsidR="00C65DE2" w:rsidP="00C65DE2">
      <w:pPr>
        <w:bidi w:val="0"/>
        <w:jc w:val="center"/>
        <w:rPr>
          <w:rFonts w:ascii="Arial" w:hAnsi="Arial" w:cs="Arial"/>
          <w:sz w:val="22"/>
          <w:szCs w:val="22"/>
        </w:rPr>
      </w:pPr>
    </w:p>
    <w:p w:rsidR="00C65DE2" w:rsidP="00C65DE2">
      <w:pPr>
        <w:bidi w:val="0"/>
        <w:jc w:val="center"/>
        <w:rPr>
          <w:rFonts w:ascii="Arial" w:hAnsi="Arial" w:cs="Arial"/>
          <w:sz w:val="22"/>
          <w:szCs w:val="22"/>
        </w:rPr>
      </w:pPr>
    </w:p>
    <w:p w:rsidR="00C65DE2" w:rsidP="00C65DE2">
      <w:pPr>
        <w:bidi w:val="0"/>
        <w:jc w:val="center"/>
        <w:rPr>
          <w:rFonts w:ascii="Arial" w:hAnsi="Arial" w:cs="Arial"/>
          <w:sz w:val="22"/>
          <w:szCs w:val="22"/>
        </w:rPr>
      </w:pPr>
    </w:p>
    <w:p w:rsidR="00C65DE2" w:rsidP="00C65DE2">
      <w:pPr>
        <w:bidi w:val="0"/>
        <w:jc w:val="center"/>
        <w:rPr>
          <w:rFonts w:ascii="Arial" w:hAnsi="Arial" w:cs="Arial"/>
          <w:sz w:val="22"/>
          <w:szCs w:val="22"/>
        </w:rPr>
      </w:pPr>
    </w:p>
    <w:p w:rsidR="00C65DE2" w:rsidP="00C65DE2">
      <w:pPr>
        <w:bidi w:val="0"/>
        <w:jc w:val="center"/>
        <w:rPr>
          <w:rFonts w:ascii="Arial" w:hAnsi="Arial" w:cs="Arial"/>
          <w:sz w:val="22"/>
          <w:szCs w:val="22"/>
        </w:rPr>
      </w:pPr>
    </w:p>
    <w:p w:rsidR="00C65DE2" w:rsidP="00C65DE2">
      <w:pPr>
        <w:bidi w:val="0"/>
        <w:jc w:val="center"/>
        <w:rPr>
          <w:rFonts w:ascii="Arial" w:hAnsi="Arial" w:cs="Arial"/>
          <w:sz w:val="22"/>
          <w:szCs w:val="22"/>
        </w:rPr>
      </w:pPr>
    </w:p>
    <w:p w:rsidR="00C65DE2" w:rsidP="00C65DE2">
      <w:pPr>
        <w:bidi w:val="0"/>
        <w:jc w:val="center"/>
        <w:rPr>
          <w:rFonts w:ascii="Arial" w:hAnsi="Arial" w:cs="Arial"/>
          <w:sz w:val="22"/>
          <w:szCs w:val="22"/>
        </w:rPr>
      </w:pPr>
    </w:p>
    <w:p w:rsidR="00C65DE2" w:rsidP="00C65DE2">
      <w:pPr>
        <w:bidi w:val="0"/>
        <w:jc w:val="center"/>
        <w:rPr>
          <w:rFonts w:ascii="Arial" w:hAnsi="Arial" w:cs="Arial"/>
          <w:sz w:val="22"/>
          <w:szCs w:val="22"/>
        </w:rPr>
      </w:pPr>
    </w:p>
    <w:p w:rsidR="00C65DE2" w:rsidP="00C65DE2">
      <w:pPr>
        <w:bidi w:val="0"/>
        <w:jc w:val="center"/>
        <w:rPr>
          <w:rFonts w:ascii="Arial" w:hAnsi="Arial" w:cs="Arial"/>
          <w:sz w:val="22"/>
          <w:szCs w:val="22"/>
        </w:rPr>
      </w:pPr>
    </w:p>
    <w:p w:rsidR="00C65DE2" w:rsidP="00C65DE2">
      <w:pPr>
        <w:bidi w:val="0"/>
        <w:rPr>
          <w:rFonts w:ascii="Times New Roman" w:hAnsi="Times New Roman"/>
        </w:rPr>
      </w:pPr>
    </w:p>
    <w:p w:rsidR="00C65DE2" w:rsidP="00C65DE2">
      <w:pPr>
        <w:bidi w:val="0"/>
        <w:rPr>
          <w:rFonts w:ascii="Times New Roman" w:hAnsi="Times New Roman"/>
        </w:rPr>
      </w:pPr>
    </w:p>
    <w:p w:rsidR="00C65DE2" w:rsidP="00C65DE2">
      <w:pPr>
        <w:bidi w:val="0"/>
        <w:spacing w:before="120" w:line="360" w:lineRule="auto"/>
        <w:rPr>
          <w:rFonts w:ascii="Arial" w:hAnsi="Arial" w:cs="Arial"/>
          <w:sz w:val="22"/>
          <w:szCs w:val="22"/>
        </w:rPr>
      </w:pPr>
    </w:p>
    <w:p w:rsidR="00C65DE2" w:rsidP="0046729B">
      <w:pPr>
        <w:bidi w:val="0"/>
        <w:spacing w:before="120" w:line="360" w:lineRule="auto"/>
        <w:ind w:firstLine="708"/>
        <w:rPr>
          <w:rFonts w:ascii="Arial" w:hAnsi="Arial" w:cs="Arial"/>
          <w:sz w:val="22"/>
          <w:szCs w:val="22"/>
        </w:rPr>
      </w:pPr>
    </w:p>
    <w:p w:rsidR="00C65DE2" w:rsidP="0046729B">
      <w:pPr>
        <w:bidi w:val="0"/>
        <w:spacing w:before="120" w:line="360" w:lineRule="auto"/>
        <w:ind w:firstLine="708"/>
        <w:rPr>
          <w:rFonts w:ascii="Arial" w:hAnsi="Arial" w:cs="Arial"/>
          <w:sz w:val="22"/>
          <w:szCs w:val="22"/>
        </w:rPr>
      </w:pPr>
    </w:p>
    <w:p w:rsidR="00C65DE2" w:rsidRPr="009F7BFC" w:rsidP="0046729B">
      <w:pPr>
        <w:bidi w:val="0"/>
        <w:spacing w:before="120" w:line="360" w:lineRule="auto"/>
        <w:ind w:firstLine="708"/>
        <w:rPr>
          <w:rFonts w:ascii="Arial" w:hAnsi="Arial" w:cs="Arial"/>
          <w:sz w:val="22"/>
          <w:szCs w:val="22"/>
        </w:rPr>
      </w:pPr>
    </w:p>
    <w:p w:rsidR="00DD5ADF" w:rsidP="0046729B">
      <w:pPr>
        <w:bidi w:val="0"/>
        <w:spacing w:before="120" w:line="360" w:lineRule="auto"/>
        <w:jc w:val="center"/>
        <w:rPr>
          <w:rFonts w:ascii="Arial" w:hAnsi="Arial" w:cs="Arial"/>
          <w:sz w:val="22"/>
          <w:szCs w:val="22"/>
        </w:rPr>
      </w:pPr>
    </w:p>
    <w:p w:rsidR="00DD5ADF" w:rsidP="0046729B">
      <w:pPr>
        <w:bidi w:val="0"/>
        <w:spacing w:before="120" w:line="360" w:lineRule="auto"/>
        <w:jc w:val="center"/>
        <w:rPr>
          <w:rFonts w:ascii="Arial" w:hAnsi="Arial" w:cs="Arial"/>
          <w:sz w:val="22"/>
          <w:szCs w:val="22"/>
        </w:rPr>
      </w:pPr>
    </w:p>
    <w:p w:rsidR="00DD5ADF" w:rsidP="0046729B">
      <w:pPr>
        <w:bidi w:val="0"/>
        <w:spacing w:before="120" w:line="360" w:lineRule="auto"/>
        <w:jc w:val="center"/>
        <w:rPr>
          <w:rFonts w:ascii="Arial" w:hAnsi="Arial" w:cs="Arial"/>
          <w:sz w:val="22"/>
          <w:szCs w:val="22"/>
        </w:rPr>
      </w:pPr>
    </w:p>
    <w:p w:rsidR="00DD5ADF" w:rsidP="0046729B">
      <w:pPr>
        <w:bidi w:val="0"/>
        <w:spacing w:before="120" w:line="360" w:lineRule="auto"/>
        <w:jc w:val="center"/>
        <w:rPr>
          <w:rFonts w:ascii="Arial" w:hAnsi="Arial" w:cs="Arial"/>
          <w:sz w:val="22"/>
          <w:szCs w:val="22"/>
        </w:rPr>
      </w:pPr>
    </w:p>
    <w:p w:rsidR="00DD5ADF" w:rsidP="0046729B">
      <w:pPr>
        <w:bidi w:val="0"/>
        <w:spacing w:before="120" w:line="360" w:lineRule="auto"/>
        <w:jc w:val="center"/>
        <w:rPr>
          <w:rFonts w:ascii="Arial" w:hAnsi="Arial" w:cs="Arial"/>
          <w:sz w:val="22"/>
          <w:szCs w:val="22"/>
        </w:rPr>
      </w:pPr>
    </w:p>
    <w:p w:rsidR="00DD5ADF" w:rsidP="0046729B">
      <w:pPr>
        <w:bidi w:val="0"/>
        <w:spacing w:before="120" w:line="360" w:lineRule="auto"/>
        <w:jc w:val="center"/>
        <w:rPr>
          <w:rFonts w:ascii="Arial" w:hAnsi="Arial" w:cs="Arial"/>
          <w:sz w:val="22"/>
          <w:szCs w:val="22"/>
        </w:rPr>
      </w:pPr>
    </w:p>
    <w:p w:rsidR="00DD5ADF" w:rsidP="0046729B">
      <w:pPr>
        <w:bidi w:val="0"/>
        <w:spacing w:before="120" w:line="360" w:lineRule="auto"/>
        <w:jc w:val="center"/>
        <w:rPr>
          <w:rFonts w:ascii="Arial" w:hAnsi="Arial" w:cs="Arial"/>
          <w:sz w:val="22"/>
          <w:szCs w:val="22"/>
        </w:rPr>
      </w:pPr>
    </w:p>
    <w:p w:rsidR="00DD5ADF" w:rsidP="0046729B">
      <w:pPr>
        <w:bidi w:val="0"/>
        <w:spacing w:before="120" w:line="360" w:lineRule="auto"/>
        <w:jc w:val="center"/>
        <w:rPr>
          <w:rFonts w:ascii="Arial" w:hAnsi="Arial" w:cs="Arial"/>
          <w:sz w:val="22"/>
          <w:szCs w:val="22"/>
        </w:rPr>
      </w:pPr>
    </w:p>
    <w:p w:rsidR="00DD5ADF" w:rsidP="0046729B">
      <w:pPr>
        <w:bidi w:val="0"/>
        <w:spacing w:before="120" w:line="360" w:lineRule="auto"/>
        <w:jc w:val="center"/>
        <w:rPr>
          <w:rFonts w:ascii="Arial" w:hAnsi="Arial" w:cs="Arial"/>
          <w:sz w:val="22"/>
          <w:szCs w:val="22"/>
        </w:rPr>
      </w:pPr>
    </w:p>
    <w:p w:rsidR="00DD5ADF" w:rsidP="0046729B">
      <w:pPr>
        <w:bidi w:val="0"/>
        <w:spacing w:before="120" w:line="360" w:lineRule="auto"/>
        <w:jc w:val="center"/>
        <w:rPr>
          <w:rFonts w:ascii="Arial" w:hAnsi="Arial" w:cs="Arial"/>
          <w:sz w:val="22"/>
          <w:szCs w:val="22"/>
        </w:rPr>
      </w:pPr>
    </w:p>
    <w:p w:rsidR="00DD5ADF" w:rsidP="0046729B">
      <w:pPr>
        <w:bidi w:val="0"/>
        <w:spacing w:before="120" w:line="360" w:lineRule="auto"/>
        <w:jc w:val="center"/>
        <w:rPr>
          <w:rFonts w:ascii="Arial" w:hAnsi="Arial" w:cs="Arial"/>
          <w:sz w:val="22"/>
          <w:szCs w:val="22"/>
        </w:rPr>
      </w:pPr>
    </w:p>
    <w:p w:rsidR="00DD5ADF" w:rsidP="0046729B">
      <w:pPr>
        <w:bidi w:val="0"/>
        <w:spacing w:before="120" w:line="360" w:lineRule="auto"/>
        <w:jc w:val="center"/>
        <w:rPr>
          <w:rFonts w:ascii="Arial" w:hAnsi="Arial" w:cs="Arial"/>
          <w:sz w:val="22"/>
          <w:szCs w:val="22"/>
        </w:rPr>
      </w:pPr>
    </w:p>
    <w:p w:rsidR="00DD5ADF" w:rsidP="0046729B">
      <w:pPr>
        <w:bidi w:val="0"/>
        <w:spacing w:before="120" w:line="360" w:lineRule="auto"/>
        <w:rPr>
          <w:rFonts w:ascii="Times New Roman" w:hAnsi="Times New Roman"/>
        </w:rPr>
      </w:pPr>
    </w:p>
    <w:p w:rsidR="00DD5ADF" w:rsidP="0046729B">
      <w:pPr>
        <w:bidi w:val="0"/>
        <w:spacing w:before="120" w:line="360" w:lineRule="auto"/>
        <w:rPr>
          <w:rFonts w:ascii="Times New Roman" w:hAnsi="Times New Roman"/>
        </w:rPr>
      </w:pPr>
    </w:p>
    <w:p w:rsidR="000E1477" w:rsidP="0046729B">
      <w:pPr>
        <w:bidi w:val="0"/>
        <w:spacing w:before="120" w:line="360" w:lineRule="auto"/>
        <w:rPr>
          <w:rFonts w:ascii="Times New Roman" w:hAnsi="Times New Roman"/>
        </w:rPr>
      </w:pPr>
    </w:p>
    <w:sectPr w:rsidSect="00D23746">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Arial Unicode MS">
    <w:panose1 w:val="020B0604020202020204"/>
    <w:charset w:val="80"/>
    <w:family w:val="swiss"/>
    <w:pitch w:val="variable"/>
    <w:sig w:usb0="00000000" w:usb1="00000000" w:usb2="00000000" w:usb3="00000000" w:csb0="000301FF" w:csb1="00000000"/>
  </w:font>
  <w:font w:name="Verdana">
    <w:panose1 w:val="020B0604030504040204"/>
    <w:charset w:val="EE"/>
    <w:family w:val="swiss"/>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46" w:rsidP="00625011">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D23746">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46" w:rsidP="00625011">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3565E2">
      <w:rPr>
        <w:rStyle w:val="PageNumber"/>
        <w:rFonts w:ascii="Times New Roman" w:hAnsi="Times New Roman"/>
        <w:noProof/>
      </w:rPr>
      <w:t>8</w:t>
    </w:r>
    <w:r>
      <w:rPr>
        <w:rStyle w:val="PageNumber"/>
        <w:rFonts w:ascii="Times New Roman" w:hAnsi="Times New Roman"/>
      </w:rPr>
      <w:fldChar w:fldCharType="end"/>
    </w:r>
  </w:p>
  <w:p w:rsidR="00D2374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016BA"/>
    <w:multiLevelType w:val="hybridMultilevel"/>
    <w:tmpl w:val="974A9140"/>
    <w:lvl w:ilvl="0">
      <w:start w:val="1"/>
      <w:numFmt w:val="upperRoman"/>
      <w:lvlText w:val="%1."/>
      <w:lvlJc w:val="left"/>
      <w:pPr>
        <w:tabs>
          <w:tab w:val="num" w:pos="1080"/>
        </w:tabs>
        <w:ind w:left="1080" w:hanging="7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58475E8C"/>
    <w:multiLevelType w:val="hybridMultilevel"/>
    <w:tmpl w:val="57FE3D88"/>
    <w:lvl w:ilvl="0">
      <w:start w:val="10"/>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6DA81B27"/>
    <w:multiLevelType w:val="hybridMultilevel"/>
    <w:tmpl w:val="1242D82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74983FF9"/>
    <w:multiLevelType w:val="hybridMultilevel"/>
    <w:tmpl w:val="1940307E"/>
    <w:lvl w:ilvl="0">
      <w:start w:val="1"/>
      <w:numFmt w:val="bullet"/>
      <w:lvlText w:val="-"/>
      <w:lvlJc w:val="left"/>
      <w:pPr>
        <w:tabs>
          <w:tab w:val="num" w:pos="1068"/>
        </w:tabs>
        <w:ind w:left="879" w:hanging="171"/>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2"/>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DD5ADF"/>
    <w:rsid w:val="00031693"/>
    <w:rsid w:val="000E1477"/>
    <w:rsid w:val="002100D8"/>
    <w:rsid w:val="002527FC"/>
    <w:rsid w:val="003565E2"/>
    <w:rsid w:val="003B3DB1"/>
    <w:rsid w:val="003D4F09"/>
    <w:rsid w:val="0045736E"/>
    <w:rsid w:val="0046729B"/>
    <w:rsid w:val="004943CF"/>
    <w:rsid w:val="004F4944"/>
    <w:rsid w:val="00503465"/>
    <w:rsid w:val="00603715"/>
    <w:rsid w:val="00625011"/>
    <w:rsid w:val="00625B25"/>
    <w:rsid w:val="006855AE"/>
    <w:rsid w:val="006F0204"/>
    <w:rsid w:val="006F1A2C"/>
    <w:rsid w:val="007306EF"/>
    <w:rsid w:val="00765A76"/>
    <w:rsid w:val="0083596B"/>
    <w:rsid w:val="00844FCD"/>
    <w:rsid w:val="008B7EE0"/>
    <w:rsid w:val="009C242B"/>
    <w:rsid w:val="009D717A"/>
    <w:rsid w:val="009F7BFC"/>
    <w:rsid w:val="00A15503"/>
    <w:rsid w:val="00A862DA"/>
    <w:rsid w:val="00B23A47"/>
    <w:rsid w:val="00B764A0"/>
    <w:rsid w:val="00B803D7"/>
    <w:rsid w:val="00BB494B"/>
    <w:rsid w:val="00BF19DF"/>
    <w:rsid w:val="00C65DE2"/>
    <w:rsid w:val="00C671D9"/>
    <w:rsid w:val="00C759DF"/>
    <w:rsid w:val="00D23746"/>
    <w:rsid w:val="00D31DC3"/>
    <w:rsid w:val="00D755BB"/>
    <w:rsid w:val="00D82B0A"/>
    <w:rsid w:val="00DB1D01"/>
    <w:rsid w:val="00DD5ADF"/>
    <w:rsid w:val="00E04184"/>
    <w:rsid w:val="00F25C3E"/>
    <w:rsid w:val="00FC7B55"/>
    <w:rsid w:val="00FE140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DD5ADF"/>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customStyle="1" w:styleId="NormlnsWWW">
    <w:name w:val="Normální (síť WWW)"/>
    <w:basedOn w:val="Normal"/>
    <w:uiPriority w:val="99"/>
    <w:rsid w:val="00DD5ADF"/>
    <w:pPr>
      <w:spacing w:before="100" w:after="100"/>
      <w:jc w:val="left"/>
    </w:pPr>
    <w:rPr>
      <w:rFonts w:ascii="Verdana" w:eastAsia="Arial Unicode MS" w:hAnsi="Verdana"/>
      <w:sz w:val="15"/>
      <w:szCs w:val="20"/>
      <w:lang w:val="cs-CZ"/>
    </w:rPr>
  </w:style>
  <w:style w:type="paragraph" w:styleId="Footer">
    <w:name w:val="footer"/>
    <w:basedOn w:val="Normal"/>
    <w:uiPriority w:val="99"/>
    <w:rsid w:val="00D23746"/>
    <w:pPr>
      <w:tabs>
        <w:tab w:val="center" w:pos="4536"/>
        <w:tab w:val="right" w:pos="9072"/>
      </w:tabs>
      <w:jc w:val="left"/>
    </w:pPr>
  </w:style>
  <w:style w:type="character" w:styleId="PageNumber">
    <w:name w:val="page number"/>
    <w:basedOn w:val="DefaultParagraphFont"/>
    <w:uiPriority w:val="99"/>
    <w:rsid w:val="00D23746"/>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16</Pages>
  <Words>3570</Words>
  <Characters>20354</Characters>
  <Application>Microsoft Office Word</Application>
  <DocSecurity>0</DocSecurity>
  <Lines>0</Lines>
  <Paragraphs>0</Paragraphs>
  <ScaleCrop>false</ScaleCrop>
  <Company>MPSVR SR</Company>
  <LinksUpToDate>false</LinksUpToDate>
  <CharactersWithSpaces>23877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cebulakova</dc:creator>
  <cp:lastModifiedBy>cebulakova</cp:lastModifiedBy>
  <cp:revision>4</cp:revision>
  <cp:lastPrinted>2009-03-05T09:21:00Z</cp:lastPrinted>
  <dcterms:created xsi:type="dcterms:W3CDTF">2009-03-05T09:23:00Z</dcterms:created>
  <dcterms:modified xsi:type="dcterms:W3CDTF">2009-03-05T09:44:00Z</dcterms:modified>
</cp:coreProperties>
</file>