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1420" w:rsidP="00D67E5D">
      <w:pPr>
        <w:bidi w:val="0"/>
        <w:jc w:val="center"/>
        <w:outlineLvl w:val="0"/>
        <w:rPr>
          <w:rFonts w:ascii="Times New Roman" w:hAnsi="Times New Roman"/>
          <w:b/>
        </w:rPr>
      </w:pPr>
      <w:r w:rsidRPr="00264076" w:rsidR="00D67E5D">
        <w:rPr>
          <w:rFonts w:ascii="Times New Roman" w:hAnsi="Times New Roman"/>
          <w:b/>
        </w:rPr>
        <w:t>Tabuľka zhody</w:t>
      </w:r>
      <w:r>
        <w:rPr>
          <w:rFonts w:ascii="Times New Roman" w:hAnsi="Times New Roman"/>
          <w:b/>
        </w:rPr>
        <w:t xml:space="preserve"> </w:t>
      </w:r>
    </w:p>
    <w:p w:rsidR="00D67E5D" w:rsidP="00D67E5D">
      <w:pPr>
        <w:bidi w:val="0"/>
        <w:jc w:val="center"/>
        <w:outlineLvl w:val="0"/>
        <w:rPr>
          <w:rFonts w:ascii="Times New Roman" w:hAnsi="Times New Roman"/>
          <w:b/>
        </w:rPr>
      </w:pPr>
      <w:r w:rsidR="006C1420">
        <w:rPr>
          <w:rFonts w:ascii="Times New Roman" w:hAnsi="Times New Roman"/>
          <w:b/>
        </w:rPr>
        <w:t>právneho predpisu</w:t>
      </w:r>
    </w:p>
    <w:p w:rsidR="006C1420" w:rsidRPr="00264076" w:rsidP="00D67E5D">
      <w:pP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právom Európskych spoločenstiev a právom Európskej únie</w:t>
      </w:r>
    </w:p>
    <w:p w:rsidR="00D67E5D" w:rsidRPr="00264076" w:rsidP="00D67E5D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14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</w:tblPr>
      <w:tblGrid>
        <w:gridCol w:w="4748"/>
        <w:gridCol w:w="9396"/>
        <w:gridCol w:w="527"/>
      </w:tblGrid>
      <w:tr>
        <w:tblPrEx>
          <w:tblW w:w="146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527" w:type="dxa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67E5D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6C1420">
              <w:rPr>
                <w:rFonts w:ascii="Times New Roman" w:hAnsi="Times New Roman"/>
                <w:b/>
              </w:rPr>
              <w:t>Smernica (Rámcové rozhodnutie)</w:t>
            </w:r>
          </w:p>
        </w:tc>
        <w:tc>
          <w:tcPr>
            <w:tcW w:w="9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67E5D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Právn</w:t>
            </w:r>
            <w:r w:rsidR="006C1420">
              <w:rPr>
                <w:rFonts w:ascii="Times New Roman" w:hAnsi="Times New Roman"/>
                <w:b/>
              </w:rPr>
              <w:t>e</w:t>
            </w:r>
            <w:r w:rsidRPr="00264076">
              <w:rPr>
                <w:rFonts w:ascii="Times New Roman" w:hAnsi="Times New Roman"/>
                <w:b/>
              </w:rPr>
              <w:t xml:space="preserve"> predpis</w:t>
            </w:r>
            <w:r w:rsidR="006C1420">
              <w:rPr>
                <w:rFonts w:ascii="Times New Roman" w:hAnsi="Times New Roman"/>
                <w:b/>
              </w:rPr>
              <w:t>y</w:t>
            </w:r>
            <w:r w:rsidRPr="00264076">
              <w:rPr>
                <w:rFonts w:ascii="Times New Roman" w:hAnsi="Times New Roman"/>
                <w:b/>
              </w:rPr>
              <w:t xml:space="preserve"> S</w:t>
            </w:r>
            <w:r w:rsidR="006C1420">
              <w:rPr>
                <w:rFonts w:ascii="Times New Roman" w:hAnsi="Times New Roman"/>
                <w:b/>
              </w:rPr>
              <w:t>lovenskej republiky</w:t>
            </w:r>
          </w:p>
        </w:tc>
      </w:tr>
      <w:tr>
        <w:tblPrEx>
          <w:tblW w:w="14671" w:type="dxa"/>
          <w:tblCellMar>
            <w:left w:w="70" w:type="dxa"/>
            <w:right w:w="70" w:type="dxa"/>
          </w:tblCellMar>
        </w:tblPrEx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67E5D" w:rsidRPr="00264076" w:rsidP="00D67E5D">
            <w:pPr>
              <w:bidi w:val="0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Smernica Rady 85/337/EHS z</w:t>
            </w:r>
            <w:r w:rsidR="000F14D6">
              <w:rPr>
                <w:rFonts w:ascii="Times New Roman" w:hAnsi="Times New Roman"/>
                <w:b/>
              </w:rPr>
              <w:t>o dňa</w:t>
            </w:r>
            <w:r w:rsidRPr="00264076">
              <w:rPr>
                <w:rFonts w:ascii="Times New Roman" w:hAnsi="Times New Roman"/>
                <w:b/>
              </w:rPr>
              <w:t xml:space="preserve"> 27. júna 1985 o posudzovaní vplyvov niektorých verejných a súkromných projektov na životné prostredie</w:t>
            </w:r>
            <w:r w:rsidR="000F14D6">
              <w:rPr>
                <w:rFonts w:ascii="Times New Roman" w:hAnsi="Times New Roman"/>
                <w:b/>
              </w:rPr>
              <w:t xml:space="preserve"> v platnom znení</w:t>
            </w:r>
            <w:r w:rsidR="00121132">
              <w:rPr>
                <w:rFonts w:ascii="Times New Roman" w:hAnsi="Times New Roman"/>
                <w:b/>
              </w:rPr>
              <w:t xml:space="preserve"> (Mimoriadne vydanie Ú. v. EÚ, kap. 15/ zv.01 S 248-256)</w:t>
            </w:r>
          </w:p>
          <w:p w:rsidR="00D67E5D" w:rsidRPr="00264076" w:rsidP="00D67E5D">
            <w:pPr>
              <w:bidi w:val="0"/>
              <w:rPr>
                <w:rFonts w:ascii="Times New Roman" w:hAnsi="Times New Roman"/>
                <w:b/>
              </w:rPr>
            </w:pPr>
          </w:p>
          <w:p w:rsidR="00D67E5D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67E5D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D67E5D" w:rsidRPr="00264076" w:rsidP="009D706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 xml:space="preserve">Návrh </w:t>
            </w:r>
            <w:r w:rsidRPr="00264076" w:rsidR="009D7065">
              <w:rPr>
                <w:rFonts w:ascii="Times New Roman" w:hAnsi="Times New Roman"/>
                <w:b/>
              </w:rPr>
              <w:t xml:space="preserve">novely </w:t>
            </w:r>
            <w:r w:rsidRPr="00264076">
              <w:rPr>
                <w:rFonts w:ascii="Times New Roman" w:hAnsi="Times New Roman"/>
                <w:b/>
              </w:rPr>
              <w:t xml:space="preserve">zákona NR SR č. </w:t>
            </w:r>
            <w:r w:rsidRPr="00264076" w:rsidR="009D7065">
              <w:rPr>
                <w:rFonts w:ascii="Times New Roman" w:hAnsi="Times New Roman"/>
                <w:b/>
              </w:rPr>
              <w:t>24</w:t>
            </w:r>
            <w:r w:rsidRPr="00264076">
              <w:rPr>
                <w:rFonts w:ascii="Times New Roman" w:hAnsi="Times New Roman"/>
                <w:b/>
              </w:rPr>
              <w:t>/200</w:t>
            </w:r>
            <w:r w:rsidRPr="00264076" w:rsidR="009D7065">
              <w:rPr>
                <w:rFonts w:ascii="Times New Roman" w:hAnsi="Times New Roman"/>
                <w:b/>
              </w:rPr>
              <w:t>6</w:t>
            </w:r>
            <w:r w:rsidRPr="00264076">
              <w:rPr>
                <w:rFonts w:ascii="Times New Roman" w:hAnsi="Times New Roman"/>
                <w:b/>
              </w:rPr>
              <w:t xml:space="preserve"> Z.</w:t>
            </w:r>
            <w:r w:rsidR="006C1420">
              <w:rPr>
                <w:rFonts w:ascii="Times New Roman" w:hAnsi="Times New Roman"/>
                <w:b/>
              </w:rPr>
              <w:t xml:space="preserve"> </w:t>
            </w:r>
            <w:r w:rsidRPr="00264076">
              <w:rPr>
                <w:rFonts w:ascii="Times New Roman" w:hAnsi="Times New Roman"/>
                <w:b/>
              </w:rPr>
              <w:t>z. o posudzovaní vplyvov na životné prostredie a o zmene a doplnení niektorých zákonov</w:t>
            </w:r>
          </w:p>
          <w:p w:rsidR="00D67E5D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67E5D" w:rsidRPr="00264076" w:rsidP="00D67E5D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970"/>
        <w:gridCol w:w="3600"/>
        <w:gridCol w:w="360"/>
        <w:gridCol w:w="540"/>
        <w:gridCol w:w="1260"/>
        <w:gridCol w:w="5760"/>
        <w:gridCol w:w="900"/>
        <w:gridCol w:w="1260"/>
      </w:tblGrid>
      <w:tr>
        <w:tblPrEx>
          <w:tblW w:w="146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blPrEx>
          <w:tblW w:w="14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Článok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(Č, O, V, P)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  <w:b/>
              </w:rPr>
              <w:t xml:space="preserve">Text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Spôsob transpozície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Číslo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Článok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(Č, §, O, V, P)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264076">
              <w:rPr>
                <w:rFonts w:ascii="Times New Roman" w:hAnsi="Times New Roman"/>
                <w:b/>
              </w:rPr>
              <w:t>Text slovenského právneho predpisu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  <w:b/>
              </w:rPr>
              <w:t>Zhoda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14650" w:type="dxa"/>
          <w:tblLayout w:type="fixed"/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Č:1,O:2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3727C" w:rsidP="000347FE">
            <w:pPr>
              <w:bidi w:val="0"/>
              <w:rPr>
                <w:rFonts w:ascii="Times New Roman" w:hAnsi="Times New Roman"/>
              </w:rPr>
            </w:pPr>
          </w:p>
          <w:p w:rsidR="006C1420" w:rsidRPr="00264076" w:rsidP="000347FE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Č</w:t>
            </w:r>
            <w:r w:rsidR="000347FE">
              <w:rPr>
                <w:rFonts w:ascii="Times New Roman" w:hAnsi="Times New Roman"/>
              </w:rPr>
              <w:t>:</w:t>
            </w:r>
            <w:r w:rsidRPr="00264076">
              <w:rPr>
                <w:rFonts w:ascii="Times New Roman" w:hAnsi="Times New Roman"/>
              </w:rPr>
              <w:t>4</w:t>
            </w:r>
            <w:r w:rsidR="000347FE">
              <w:rPr>
                <w:rFonts w:ascii="Times New Roman" w:hAnsi="Times New Roman"/>
              </w:rPr>
              <w:t>,O:</w:t>
            </w:r>
            <w:r w:rsidRPr="00264076">
              <w:rPr>
                <w:rFonts w:ascii="Times New Roman" w:hAnsi="Times New Roman"/>
              </w:rPr>
              <w:t xml:space="preserve"> 2</w:t>
            </w:r>
            <w:r w:rsidR="000347FE">
              <w:rPr>
                <w:rFonts w:ascii="Times New Roman" w:hAnsi="Times New Roman"/>
              </w:rPr>
              <w:t>,</w:t>
            </w:r>
            <w:r w:rsidRPr="00264076">
              <w:rPr>
                <w:rFonts w:ascii="Times New Roman" w:hAnsi="Times New Roman"/>
              </w:rPr>
              <w:t xml:space="preserve"> 3  </w:t>
            </w:r>
            <w:r w:rsidR="000347FE">
              <w:rPr>
                <w:rFonts w:ascii="Times New Roman" w:hAnsi="Times New Roman"/>
              </w:rPr>
              <w:t xml:space="preserve">v </w:t>
            </w:r>
            <w:r w:rsidRPr="00264076">
              <w:rPr>
                <w:rFonts w:ascii="Times New Roman" w:hAnsi="Times New Roman"/>
              </w:rPr>
              <w:t>spojení s prílohami II a III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0347FE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A1581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0F14D6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navrhovateľ“ znamená:</w:t>
            </w:r>
            <w:r w:rsidR="000F14D6">
              <w:rPr>
                <w:rFonts w:ascii="Times New Roman" w:hAnsi="Times New Roman"/>
              </w:rPr>
              <w:t xml:space="preserve"> </w:t>
            </w:r>
            <w:r w:rsidRPr="00264076">
              <w:rPr>
                <w:rFonts w:ascii="Times New Roman" w:hAnsi="Times New Roman"/>
              </w:rPr>
              <w:t>žiadateľ o povolenie súkromného</w:t>
            </w:r>
            <w:r w:rsidR="000F14D6">
              <w:rPr>
                <w:rFonts w:ascii="Times New Roman" w:hAnsi="Times New Roman"/>
              </w:rPr>
              <w:t xml:space="preserve"> </w:t>
            </w:r>
            <w:r w:rsidRPr="00264076">
              <w:rPr>
                <w:rFonts w:ascii="Times New Roman" w:hAnsi="Times New Roman"/>
              </w:rPr>
              <w:t>projektu alebo verejný orgán, ktorý je iniciátorom projektu</w:t>
            </w:r>
            <w:r w:rsidR="0053727C">
              <w:rPr>
                <w:rFonts w:ascii="Times New Roman" w:hAnsi="Times New Roman"/>
              </w:rPr>
              <w:t>;</w:t>
            </w:r>
          </w:p>
          <w:p w:rsidR="006C1420" w:rsidRPr="00264076" w:rsidP="00E1640E">
            <w:pPr>
              <w:bidi w:val="0"/>
              <w:rPr>
                <w:rFonts w:ascii="Times New Roman" w:hAnsi="Times New Roman"/>
              </w:rPr>
            </w:pP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</w:p>
          <w:p w:rsidR="0053727C" w:rsidP="002657C4">
            <w:pPr>
              <w:bidi w:val="0"/>
              <w:rPr>
                <w:rFonts w:ascii="Times New Roman" w:hAnsi="Times New Roman"/>
              </w:rPr>
            </w:pP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2. Pokiaľ článok 2 ods. 3 </w:t>
            </w:r>
            <w:r w:rsidR="000F14D6">
              <w:rPr>
                <w:rFonts w:ascii="Times New Roman" w:hAnsi="Times New Roman"/>
              </w:rPr>
              <w:t xml:space="preserve"> n</w:t>
            </w:r>
            <w:r w:rsidRPr="00264076">
              <w:rPr>
                <w:rFonts w:ascii="Times New Roman" w:hAnsi="Times New Roman"/>
              </w:rPr>
              <w:t>eustanovuje inak, členské štáty určia pre projekty uvedené v prílohe II na základe:</w:t>
            </w: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a) skúmania každého</w:t>
            </w:r>
            <w:r w:rsidR="000F14D6">
              <w:rPr>
                <w:rFonts w:ascii="Times New Roman" w:hAnsi="Times New Roman"/>
              </w:rPr>
              <w:t xml:space="preserve"> </w:t>
            </w:r>
            <w:r w:rsidRPr="00264076">
              <w:rPr>
                <w:rFonts w:ascii="Times New Roman" w:hAnsi="Times New Roman"/>
              </w:rPr>
              <w:t>jednotlivého prípadu, alebo</w:t>
            </w: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b) prahov alebo kritérií stanovených členskými štátmi, či budú podliehať posúdeniu v súlade s článkami 5 až 10.</w:t>
            </w: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Členské štáty môžu rozhodnúť uplatňovať oba postupy uvedené v písm. a) a b).</w:t>
            </w: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3. Ak sa vykonáva skúmanie každého jednotlivého prípadu, alebo ak sú stanovené prahy</w:t>
            </w:r>
          </w:p>
          <w:p w:rsidR="006C1420" w:rsidRPr="00264076" w:rsidP="002657C4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alebo kritériá pre potreby článku 2, vezmú sa do úvahy príslušné výberové kritéria uvedené v prílohe III.“</w:t>
            </w:r>
          </w:p>
          <w:p w:rsidR="006C1420" w:rsidP="000347FE">
            <w:pPr>
              <w:bidi w:val="0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Príloha II obsahuje zoznam projektov v rôznych odvetviach a bod 13., ktorý znie: „Akákoľvek zmena alebo rozšírenie projektov uvedených v prílohe I alebo prílohe II už autorizovaných, vykonaných, alebo v procese vykonávania, ktoré môžu mať podstatný nepriaznivý vplyv na životné prostredie (zmena alebo rozšírenie neuvedené v prílohe I)</w:t>
            </w:r>
          </w:p>
          <w:p w:rsidR="0053727C" w:rsidP="000347F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Príloha III obsahuje výberové kritérium uvedené v článku 4 ods. 3</w:t>
            </w: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0347FE" w:rsidP="000347FE">
            <w:pPr>
              <w:bidi w:val="0"/>
              <w:rPr>
                <w:rFonts w:ascii="Times New Roman" w:hAnsi="Times New Roman"/>
              </w:rPr>
            </w:pPr>
          </w:p>
          <w:p w:rsidR="006C1420" w:rsidRPr="00264076" w:rsidP="005D683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N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N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A1581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Č:1, </w:t>
            </w:r>
            <w:r w:rsidRPr="00264076">
              <w:rPr>
                <w:rFonts w:ascii="Times New Roman" w:hAnsi="Times New Roman"/>
              </w:rPr>
              <w:t>§3</w:t>
            </w:r>
            <w:r>
              <w:rPr>
                <w:rFonts w:ascii="Times New Roman" w:hAnsi="Times New Roman"/>
              </w:rPr>
              <w:t>, P: f)</w:t>
            </w: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53727C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Č:1, </w:t>
            </w:r>
            <w:r w:rsidRPr="00264076">
              <w:rPr>
                <w:rFonts w:ascii="Times New Roman" w:hAnsi="Times New Roman"/>
              </w:rPr>
              <w:t>§ 18</w:t>
            </w: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autoSpaceDE w:val="0"/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E1640E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za písmeno e) vkladá nové písmeno f), ktoré znie: </w:t>
            </w:r>
          </w:p>
          <w:p w:rsidR="006C1420" w:rsidRPr="00264076" w:rsidP="00E1640E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„f) navrhovateľ je fyzická osoba alebo právnická osoba, ktorá zamýšľa vykonávať činnosť, ktorá môže byť predmetom posudzovania vplyvov podľa tohto zákona,“.</w:t>
            </w:r>
          </w:p>
          <w:p w:rsidR="006C1420" w:rsidRPr="00264076" w:rsidP="00860542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14D6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14D6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(1)Predmetom posudzovania vplyvov sú navrhované činnosti uvedené v prílohe č. 8.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(2) Zmena navrhovanej činnosti uvedenej v prílohe č. 8 je predmetom povinného posudzovania vplyvov, ak v jej dôsledku dôjde k dosiahnutiu alebo prekročeniu prahovej hodnoty uvedenej v prílohe č. 8 časti A. 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(3) Zmena navrhovanej činnosti uvedenej v prílohe č. 8 je predmetom zisťovacieho konania podľa § 29, ak v jej dôsledku dôjde k dosiahnutiu niektorej z hodnôt uvedených v prílohe č. 8 časti B.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(4) Predmetom povinného posudzovania vplyvov je, okrem zmeny navrhovanej činnosti uvedenej v odseku 2, každá zmena navrhovanej činnosti uvedenej v prílohe č. 8 časti A, ak príslušný orgán vydá vyjadrenie, že takáto zmena môže mať podstatný nepriaznivý vplyv na životné prostredie.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hanging="11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(5) Predmetom zisťovacieho konania je, okrem zmeny navrhovanej činnosti uvedenej v odseku 3, každá zmena navrhovanej činnosti uvedenej v prílohe č. 8 časti B, ak príslušný orgán vydá vyjadrenie, že takáto zmena môže mať podstatný nepriaznivý vplyv na životné prostredie.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hanging="11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(6) Príslušný orgán vydá vyjadrenie podľa odsekov </w:t>
            </w:r>
            <w:smartTag w:uri="urn:schemas-microsoft-com:office:smarttags" w:element="metricconverter">
              <w:smartTagPr>
                <w:attr w:name="ProductID" w:val="4 a"/>
              </w:smartTagPr>
              <w:r w:rsidRPr="009E7F00">
                <w:rPr>
                  <w:rFonts w:ascii="Times New Roman" w:hAnsi="Times New Roman"/>
                </w:rPr>
                <w:t>4 a</w:t>
              </w:r>
            </w:smartTag>
            <w:r w:rsidRPr="009E7F00">
              <w:rPr>
                <w:rFonts w:ascii="Times New Roman" w:hAnsi="Times New Roman"/>
              </w:rPr>
              <w:t xml:space="preserve"> 5 do 15 dní od doručenia úplného oznámenia o zmene navrhovanej činnosti, vypracovaného podľa prílohy č. 8a a do siedmich dní od vydania vyjadrenia zverejní vyjadrenie v komplexnom informačnom systéme posudzovania vplyvov na životné prostredie.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hanging="11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(7) Navrhovateľ je povinný doručiť oznámenie o zmene navrhovanej činnosti uvedenej v odsekoch </w:t>
            </w:r>
            <w:smartTag w:uri="urn:schemas-microsoft-com:office:smarttags" w:element="metricconverter">
              <w:smartTagPr>
                <w:attr w:name="ProductID" w:val="4 a"/>
              </w:smartTagPr>
              <w:r w:rsidRPr="009E7F00">
                <w:rPr>
                  <w:rFonts w:ascii="Times New Roman" w:hAnsi="Times New Roman"/>
                </w:rPr>
                <w:t>4 a</w:t>
              </w:r>
            </w:smartTag>
            <w:r w:rsidRPr="009E7F00">
              <w:rPr>
                <w:rFonts w:ascii="Times New Roman" w:hAnsi="Times New Roman"/>
              </w:rPr>
              <w:t xml:space="preserve"> 5 v písomnej forme a na elektronickom nosiči dát príslušnému orgánu pred začatím konania o povolení činnosti podľa osobitných predpisov.</w:t>
            </w:r>
            <w:r w:rsidRPr="009E7F00">
              <w:rPr>
                <w:rFonts w:ascii="Times New Roman" w:hAnsi="Times New Roman"/>
                <w:vertAlign w:val="superscript"/>
              </w:rPr>
              <w:t>2)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(8) Príslušný orgán si môže vyžiadať od navrhovateľa doplňujúce informácie o zmene navrhovanej činnosti, ktoré sú nevyhnutné na vydanie vyjadrenia podľa odsekov </w:t>
            </w:r>
            <w:smartTag w:uri="urn:schemas-microsoft-com:office:smarttags" w:element="metricconverter">
              <w:smartTagPr>
                <w:attr w:name="ProductID" w:val="4 a"/>
              </w:smartTagPr>
              <w:r w:rsidRPr="009E7F00">
                <w:rPr>
                  <w:rFonts w:ascii="Times New Roman" w:hAnsi="Times New Roman"/>
                </w:rPr>
                <w:t>4 a</w:t>
              </w:r>
            </w:smartTag>
            <w:r w:rsidRPr="009E7F00">
              <w:rPr>
                <w:rFonts w:ascii="Times New Roman" w:hAnsi="Times New Roman"/>
              </w:rPr>
              <w:t xml:space="preserve"> 5.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(9) Oznámenie o zmene navrhovanej činnosti, ktoré nemá potrebné náležitosti podľa prílohy č. 8a, vráti príslušný orgán do siedmich dní od jeho doručenia, navrhovateľovi na doplnenie a určí rozsah jeho doplnenia.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hanging="11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(10) Ministerstvo v konaní podľa § 20 určí, či posudzovaniu vplyvov podlieha aj navrhovaná činnosť alebo jej zmena neuvedená v prílohe č. 8. 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(11) Ministerstvo v konaní podľa § 20 určí, či posudzovaniu vplyvov podlieha aj navrhovaná činnosť alebo jej zmena, ktorá nedosahuje prahové hodnoty uvedené v prílohe č. 8.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hanging="11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(12) Navrhovateľ, zamýšľajúci </w:t>
            </w:r>
            <w:r w:rsidRPr="009E7F00" w:rsidR="00EA6847">
              <w:rPr>
                <w:rFonts w:ascii="Times New Roman" w:hAnsi="Times New Roman"/>
              </w:rPr>
              <w:t>v území chránenom podľa osobitných predpisov</w:t>
            </w:r>
            <w:r w:rsidRPr="009E7F00" w:rsidR="00EA6847">
              <w:rPr>
                <w:rFonts w:ascii="Times New Roman" w:hAnsi="Times New Roman"/>
                <w:vertAlign w:val="superscript"/>
              </w:rPr>
              <w:t>20</w:t>
            </w:r>
            <w:r w:rsidRPr="009E7F00" w:rsidR="00EA6847">
              <w:rPr>
                <w:rFonts w:ascii="Times New Roman" w:hAnsi="Times New Roman"/>
              </w:rPr>
              <w:t xml:space="preserve">) </w:t>
            </w:r>
            <w:r w:rsidRPr="009E7F00">
              <w:rPr>
                <w:rFonts w:ascii="Times New Roman" w:hAnsi="Times New Roman"/>
              </w:rPr>
              <w:t xml:space="preserve">vykonávať činnosť, ktorá nie je uvedená v prílohe č. 8, je povinný požiadať </w:t>
            </w:r>
            <w:r w:rsidRPr="009E7F00" w:rsidR="00EA6847">
              <w:rPr>
                <w:rFonts w:ascii="Times New Roman" w:hAnsi="Times New Roman"/>
              </w:rPr>
              <w:t>štátny orgán ochrany prírody a krajiny</w:t>
            </w:r>
            <w:r w:rsidRPr="009E7F00">
              <w:rPr>
                <w:rFonts w:ascii="Times New Roman" w:hAnsi="Times New Roman"/>
                <w:vertAlign w:val="superscript"/>
              </w:rPr>
              <w:t>21</w:t>
            </w:r>
            <w:r w:rsidRPr="009E7F00">
              <w:rPr>
                <w:rFonts w:ascii="Times New Roman" w:hAnsi="Times New Roman"/>
              </w:rPr>
              <w:t>) o  odborné stanovisk</w:t>
            </w:r>
            <w:r w:rsidR="00EA6847">
              <w:rPr>
                <w:rFonts w:ascii="Times New Roman" w:hAnsi="Times New Roman"/>
              </w:rPr>
              <w:t>o</w:t>
            </w:r>
            <w:r w:rsidRPr="009E7F00">
              <w:rPr>
                <w:rFonts w:ascii="Times New Roman" w:hAnsi="Times New Roman"/>
              </w:rPr>
              <w:t>, či sa táto činnosť považuje za zásah do územia, ktorý môže spôsobiť podstatné zmeny v biologickej rozmanitosti, štruktúre a funkcii ekosystémov. Ak štátny orgán ochrany prírody a krajiny vydá odborné stanovisko, že sa táto činnosť považuje za zásah do územia, ktorý môže spôsobiť podstatné zmeny v biologickej rozmanitosti, štruktúre a funkcii ekosystémov</w:t>
            </w:r>
            <w:r w:rsidR="00EA6847">
              <w:rPr>
                <w:rFonts w:ascii="Times New Roman" w:hAnsi="Times New Roman"/>
              </w:rPr>
              <w:t>,</w:t>
            </w:r>
            <w:r w:rsidRPr="009E7F00">
              <w:rPr>
                <w:rFonts w:ascii="Times New Roman" w:hAnsi="Times New Roman"/>
              </w:rPr>
              <w:t xml:space="preserve"> tak</w:t>
            </w:r>
            <w:r w:rsidR="006167EC">
              <w:rPr>
                <w:rFonts w:ascii="Times New Roman" w:hAnsi="Times New Roman"/>
              </w:rPr>
              <w:t xml:space="preserve"> t</w:t>
            </w:r>
            <w:r w:rsidRPr="009E7F00">
              <w:rPr>
                <w:rFonts w:ascii="Times New Roman" w:hAnsi="Times New Roman"/>
              </w:rPr>
              <w:t>áto činnosť podlieha posudzovaniu vplyvov podľa § 30 až 39.</w:t>
            </w:r>
          </w:p>
          <w:p w:rsidR="006C1420" w:rsidRPr="009E7F00" w:rsidP="00264076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ascii="Times New Roman" w:hAnsi="Times New Roman"/>
              </w:rPr>
            </w:pPr>
          </w:p>
          <w:p w:rsidR="006C1420" w:rsidRPr="00264076" w:rsidP="00264076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(13) Ak sú viaceré navrhované činnosti v prevádzkovej alebo priestorovej súvislosti, možno vykonať ich posu</w:t>
            </w:r>
            <w:r w:rsidR="000F14D6">
              <w:rPr>
                <w:rFonts w:ascii="Times New Roman" w:hAnsi="Times New Roman"/>
              </w:rPr>
              <w:t>d</w:t>
            </w:r>
            <w:r w:rsidRPr="009E7F00">
              <w:rPr>
                <w:rFonts w:ascii="Times New Roman" w:hAnsi="Times New Roman"/>
              </w:rPr>
              <w:t>zovanie vplyvov</w:t>
            </w:r>
            <w:r w:rsidRPr="009E7F00" w:rsidR="00EA6847">
              <w:rPr>
                <w:rFonts w:ascii="Times New Roman" w:hAnsi="Times New Roman"/>
              </w:rPr>
              <w:t xml:space="preserve"> spoločn</w:t>
            </w:r>
            <w:r w:rsidR="00EA6847">
              <w:rPr>
                <w:rFonts w:ascii="Times New Roman" w:hAnsi="Times New Roman"/>
              </w:rPr>
              <w:t>e</w:t>
            </w:r>
            <w:r w:rsidRPr="009E7F00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Ú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Ú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A1581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Č:7,O:1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Č:9, O:1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1. Ak si je členský štát vedomý, že projekt má pravdepodobne významn</w:t>
            </w:r>
            <w:r w:rsidR="0053727C">
              <w:rPr>
                <w:rFonts w:ascii="Times New Roman" w:hAnsi="Times New Roman"/>
              </w:rPr>
              <w:t>ý</w:t>
            </w:r>
            <w:r w:rsidRPr="00264076">
              <w:rPr>
                <w:rFonts w:ascii="Times New Roman" w:hAnsi="Times New Roman"/>
              </w:rPr>
              <w:t xml:space="preserve"> </w:t>
            </w:r>
            <w:r w:rsidR="0053727C">
              <w:rPr>
                <w:rFonts w:ascii="Times New Roman" w:hAnsi="Times New Roman"/>
              </w:rPr>
              <w:t>vplyv</w:t>
            </w:r>
            <w:r w:rsidRPr="00264076">
              <w:rPr>
                <w:rFonts w:ascii="Times New Roman" w:hAnsi="Times New Roman"/>
              </w:rPr>
              <w:t xml:space="preserve"> na životné prostredie iného členského štátu, alebo ak o to členský štát, ktorý bude pravdepodobne významne dotknutý, požiada, zašle členský štát na ktorého území sa projekt plánuje uskutočniť</w:t>
            </w:r>
            <w:r w:rsidR="0053727C">
              <w:rPr>
                <w:rFonts w:ascii="Times New Roman" w:hAnsi="Times New Roman"/>
              </w:rPr>
              <w:t>,</w:t>
            </w:r>
            <w:r w:rsidRPr="00264076">
              <w:rPr>
                <w:rFonts w:ascii="Times New Roman" w:hAnsi="Times New Roman"/>
              </w:rPr>
              <w:t xml:space="preserve"> dotknutému členskému štátu čo najskôr a nie neskôr ako informuje vlastnú verejnosť, okrem iného:</w:t>
            </w:r>
          </w:p>
          <w:p w:rsidR="006C1420" w:rsidRPr="00264076" w:rsidP="00D67E5D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numPr>
                <w:numId w:val="18"/>
              </w:numPr>
              <w:bidi w:val="0"/>
              <w:spacing w:after="120"/>
              <w:ind w:left="71" w:firstLine="0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opis projektu, spolu so všetkými dostupnými informáciami o jeho možných cezhraničných vplyvoch;</w:t>
            </w:r>
          </w:p>
          <w:p w:rsidR="0053727C" w:rsidP="00D67E5D">
            <w:pPr>
              <w:numPr>
                <w:numId w:val="18"/>
              </w:numPr>
              <w:bidi w:val="0"/>
              <w:ind w:left="71" w:firstLine="0"/>
              <w:jc w:val="both"/>
              <w:rPr>
                <w:rFonts w:ascii="Times New Roman" w:hAnsi="Times New Roman"/>
              </w:rPr>
            </w:pPr>
            <w:r w:rsidRPr="00264076" w:rsidR="006C1420">
              <w:rPr>
                <w:rFonts w:ascii="Times New Roman" w:hAnsi="Times New Roman"/>
              </w:rPr>
              <w:t xml:space="preserve">informácie o povahe rozhodnutia, ktoré sa môže prijať, </w:t>
            </w:r>
          </w:p>
          <w:p w:rsidR="006C1420" w:rsidRPr="00264076" w:rsidP="0053727C">
            <w:pPr>
              <w:bidi w:val="0"/>
              <w:ind w:left="71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a poskytne druhému členskému štátu primeraný čas, v ktorom </w:t>
            </w:r>
            <w:r w:rsidR="0053727C">
              <w:rPr>
                <w:rFonts w:ascii="Times New Roman" w:hAnsi="Times New Roman"/>
              </w:rPr>
              <w:t>má uviesť</w:t>
            </w:r>
            <w:r w:rsidRPr="00264076">
              <w:rPr>
                <w:rFonts w:ascii="Times New Roman" w:hAnsi="Times New Roman"/>
              </w:rPr>
              <w:t>, či si želá zúčastniť sa procesu</w:t>
            </w:r>
          </w:p>
          <w:p w:rsidR="006C1420" w:rsidRPr="00264076" w:rsidP="00D67E5D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environmentálneho rozhodovania uvedeného v článku 2 ods. 2, a môže obsahovať informácie uvedené v odseku 2 tohto článku.</w:t>
            </w:r>
          </w:p>
          <w:p w:rsidR="006C1420" w:rsidRPr="00264076" w:rsidP="00D67E5D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</w:p>
          <w:p w:rsidR="006C1420" w:rsidRPr="00264076" w:rsidP="003C4CC0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1. </w:t>
              <w:tab/>
            </w:r>
            <w:r w:rsidR="0053727C">
              <w:rPr>
                <w:rFonts w:ascii="Times New Roman" w:hAnsi="Times New Roman"/>
              </w:rPr>
              <w:t>Ak sa rozhodlo</w:t>
            </w:r>
            <w:r w:rsidRPr="00264076">
              <w:rPr>
                <w:rFonts w:ascii="Times New Roman" w:hAnsi="Times New Roman"/>
              </w:rPr>
              <w:t xml:space="preserve"> o povolení alebo zamietnutí </w:t>
            </w:r>
            <w:r w:rsidR="0053727C">
              <w:rPr>
                <w:rFonts w:ascii="Times New Roman" w:hAnsi="Times New Roman"/>
              </w:rPr>
              <w:t>povolenia</w:t>
            </w:r>
            <w:r w:rsidRPr="00264076">
              <w:rPr>
                <w:rFonts w:ascii="Times New Roman" w:hAnsi="Times New Roman"/>
              </w:rPr>
              <w:t xml:space="preserve">, príslušný orgán, alebo orgány o tom informujú verejnosť v súlade s </w:t>
            </w:r>
            <w:r w:rsidR="0053727C">
              <w:rPr>
                <w:rFonts w:ascii="Times New Roman" w:hAnsi="Times New Roman"/>
              </w:rPr>
              <w:t>vhodnými</w:t>
            </w:r>
            <w:r w:rsidRPr="00264076">
              <w:rPr>
                <w:rFonts w:ascii="Times New Roman" w:hAnsi="Times New Roman"/>
              </w:rPr>
              <w:t xml:space="preserve"> postupmi a sprístupnia verejnosti </w:t>
            </w:r>
            <w:r w:rsidR="0053727C">
              <w:rPr>
                <w:rFonts w:ascii="Times New Roman" w:hAnsi="Times New Roman"/>
              </w:rPr>
              <w:t>tieto</w:t>
            </w:r>
            <w:r w:rsidRPr="00264076">
              <w:rPr>
                <w:rFonts w:ascii="Times New Roman" w:hAnsi="Times New Roman"/>
              </w:rPr>
              <w:t xml:space="preserve"> informácie:</w:t>
            </w:r>
          </w:p>
          <w:p w:rsidR="006C1420" w:rsidRPr="00264076" w:rsidP="003C4CC0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- obsah a podmienky rozhodnutia</w:t>
            </w:r>
            <w:r w:rsidR="0053727C">
              <w:rPr>
                <w:rFonts w:ascii="Times New Roman" w:hAnsi="Times New Roman"/>
              </w:rPr>
              <w:t xml:space="preserve"> a akékoľvek podmienky s ním spojené</w:t>
            </w:r>
            <w:r w:rsidRPr="00264076">
              <w:rPr>
                <w:rFonts w:ascii="Times New Roman" w:hAnsi="Times New Roman"/>
              </w:rPr>
              <w:t>,</w:t>
            </w:r>
          </w:p>
          <w:p w:rsidR="006C1420" w:rsidRPr="00264076" w:rsidP="003C4CC0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 - po preskúmaní záujmov a stanovísk </w:t>
            </w:r>
            <w:r w:rsidR="0053727C">
              <w:rPr>
                <w:rFonts w:ascii="Times New Roman" w:hAnsi="Times New Roman"/>
              </w:rPr>
              <w:t xml:space="preserve">dotknutej </w:t>
            </w:r>
            <w:r w:rsidRPr="00264076">
              <w:rPr>
                <w:rFonts w:ascii="Times New Roman" w:hAnsi="Times New Roman"/>
              </w:rPr>
              <w:t xml:space="preserve">verejnosti, hlavné dôvody a </w:t>
            </w:r>
            <w:r w:rsidR="0053727C">
              <w:rPr>
                <w:rFonts w:ascii="Times New Roman" w:hAnsi="Times New Roman"/>
              </w:rPr>
              <w:t>zretele</w:t>
            </w:r>
            <w:r w:rsidRPr="00264076">
              <w:rPr>
                <w:rFonts w:ascii="Times New Roman" w:hAnsi="Times New Roman"/>
              </w:rPr>
              <w:t xml:space="preserve">, </w:t>
            </w:r>
            <w:r w:rsidR="0053727C">
              <w:rPr>
                <w:rFonts w:ascii="Times New Roman" w:hAnsi="Times New Roman"/>
              </w:rPr>
              <w:t xml:space="preserve">na </w:t>
            </w:r>
            <w:r w:rsidRPr="00264076">
              <w:rPr>
                <w:rFonts w:ascii="Times New Roman" w:hAnsi="Times New Roman"/>
              </w:rPr>
              <w:t>ktor</w:t>
            </w:r>
            <w:r w:rsidR="0053727C">
              <w:rPr>
                <w:rFonts w:ascii="Times New Roman" w:hAnsi="Times New Roman"/>
              </w:rPr>
              <w:t xml:space="preserve">ých sa rozhodnutie zakladá, </w:t>
            </w:r>
            <w:r w:rsidRPr="00264076">
              <w:rPr>
                <w:rFonts w:ascii="Times New Roman" w:hAnsi="Times New Roman"/>
              </w:rPr>
              <w:t>vrátane informácií o procese účasti verejnosti;</w:t>
            </w:r>
          </w:p>
          <w:p w:rsidR="006C1420" w:rsidRPr="00264076" w:rsidP="00D67E5D">
            <w:pPr>
              <w:tabs>
                <w:tab w:val="left" w:pos="0"/>
                <w:tab w:val="left" w:pos="71"/>
                <w:tab w:val="left" w:pos="851"/>
              </w:tabs>
              <w:bidi w:val="0"/>
              <w:ind w:left="74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 xml:space="preserve">- opis, ak je </w:t>
            </w:r>
            <w:r w:rsidR="000F14D6">
              <w:rPr>
                <w:rFonts w:ascii="Times New Roman" w:hAnsi="Times New Roman"/>
              </w:rPr>
              <w:t xml:space="preserve">to </w:t>
            </w:r>
            <w:r w:rsidRPr="00264076">
              <w:rPr>
                <w:rFonts w:ascii="Times New Roman" w:hAnsi="Times New Roman"/>
              </w:rPr>
              <w:t xml:space="preserve">potrebné, hlavných opatrení na predchádzanie, zníženie, a ak je to možné, kompenzácie najvýznamnejších negatívnych </w:t>
            </w:r>
            <w:r w:rsidR="000F14D6">
              <w:rPr>
                <w:rFonts w:ascii="Times New Roman" w:hAnsi="Times New Roman"/>
              </w:rPr>
              <w:t>účinkov</w:t>
            </w:r>
            <w:r w:rsidRPr="00264076">
              <w:rPr>
                <w:rFonts w:ascii="Times New Roman" w:hAnsi="Times New Roman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N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N</w:t>
            </w: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C1420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21132" w:rsidRPr="00264076" w:rsidP="00D67E5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Č:1, </w:t>
            </w:r>
            <w:r w:rsidRPr="00264076">
              <w:rPr>
                <w:rFonts w:ascii="Times New Roman" w:hAnsi="Times New Roman"/>
              </w:rPr>
              <w:t xml:space="preserve">§ 41 </w:t>
            </w:r>
            <w:r>
              <w:rPr>
                <w:rFonts w:ascii="Times New Roman" w:hAnsi="Times New Roman"/>
              </w:rPr>
              <w:t>O:</w:t>
            </w:r>
            <w:r w:rsidRPr="00264076">
              <w:rPr>
                <w:rFonts w:ascii="Times New Roman" w:hAnsi="Times New Roman"/>
              </w:rPr>
              <w:t xml:space="preserve"> 4 </w:t>
            </w: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Č:1, </w:t>
            </w:r>
            <w:r w:rsidRPr="00264076">
              <w:rPr>
                <w:rFonts w:ascii="Times New Roman" w:hAnsi="Times New Roman"/>
              </w:rPr>
              <w:t xml:space="preserve">§ 38 </w:t>
            </w:r>
            <w:r>
              <w:rPr>
                <w:rFonts w:ascii="Times New Roman" w:hAnsi="Times New Roman"/>
              </w:rPr>
              <w:t>O:</w:t>
            </w:r>
            <w:r w:rsidRPr="00264076">
              <w:rPr>
                <w:rFonts w:ascii="Times New Roman" w:hAnsi="Times New Roman"/>
              </w:rPr>
              <w:t>5</w:t>
            </w: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Č:1, </w:t>
            </w:r>
            <w:r w:rsidRPr="00264076">
              <w:rPr>
                <w:rFonts w:ascii="Times New Roman" w:hAnsi="Times New Roman"/>
              </w:rPr>
              <w:t xml:space="preserve">§38 </w:t>
            </w:r>
            <w:r>
              <w:rPr>
                <w:rFonts w:ascii="Times New Roman" w:hAnsi="Times New Roman"/>
              </w:rPr>
              <w:t>O:</w:t>
            </w:r>
            <w:r w:rsidRPr="00264076">
              <w:rPr>
                <w:rFonts w:ascii="Times New Roman" w:hAnsi="Times New Roman"/>
              </w:rPr>
              <w:t>6</w:t>
            </w: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C1420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1132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1132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§ 41 sa v</w:t>
            </w:r>
            <w:r w:rsidRPr="00264076">
              <w:rPr>
                <w:rFonts w:ascii="Times New Roman" w:hAnsi="Times New Roman"/>
              </w:rPr>
              <w:t xml:space="preserve">ypúšťa </w:t>
            </w:r>
            <w:r>
              <w:rPr>
                <w:rFonts w:ascii="Times New Roman" w:hAnsi="Times New Roman"/>
              </w:rPr>
              <w:t>odsek 4.</w:t>
            </w: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Povoľujúci orgán zašle rozhodnutie o povolení navrhovanej činnosti podľa osobitných predpisov, ktorému predchádzalo posudzovanie podľa tohto zákona, príslušnému orgánu a rezortnému orgánu.“</w:t>
            </w: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Povoľujúci orgán bez</w:t>
            </w:r>
            <w:r w:rsidR="00EA6847">
              <w:rPr>
                <w:rFonts w:ascii="Times New Roman" w:hAnsi="Times New Roman"/>
              </w:rPr>
              <w:t>odkladne</w:t>
            </w:r>
            <w:r w:rsidRPr="00264076">
              <w:rPr>
                <w:rFonts w:ascii="Times New Roman" w:hAnsi="Times New Roman"/>
              </w:rPr>
              <w:t xml:space="preserve"> sprístupní</w:t>
            </w:r>
            <w:r>
              <w:rPr>
                <w:rFonts w:ascii="Times New Roman" w:hAnsi="Times New Roman"/>
                <w:vertAlign w:val="superscript"/>
              </w:rPr>
              <w:t>35a)</w:t>
            </w:r>
            <w:r w:rsidRPr="00264076">
              <w:rPr>
                <w:rFonts w:ascii="Times New Roman" w:hAnsi="Times New Roman"/>
              </w:rPr>
              <w:t xml:space="preserve"> verejnosti obsah rozhodnutia a akékoľvek podmienky </w:t>
            </w:r>
            <w:r w:rsidR="006167EC">
              <w:rPr>
                <w:rFonts w:ascii="Times New Roman" w:hAnsi="Times New Roman"/>
              </w:rPr>
              <w:t>v ňom</w:t>
            </w:r>
            <w:r w:rsidRPr="00264076">
              <w:rPr>
                <w:rFonts w:ascii="Times New Roman" w:hAnsi="Times New Roman"/>
              </w:rPr>
              <w:t xml:space="preserve"> </w:t>
            </w:r>
            <w:r w:rsidR="006167EC">
              <w:rPr>
                <w:rFonts w:ascii="Times New Roman" w:hAnsi="Times New Roman"/>
              </w:rPr>
              <w:t>uvedené</w:t>
            </w:r>
            <w:r w:rsidRPr="00264076">
              <w:rPr>
                <w:rFonts w:ascii="Times New Roman" w:hAnsi="Times New Roman"/>
              </w:rPr>
              <w:t>, hlavné dôvody, na ktorých sa rozhodnutie zakladá, vrátane informácií o účasti verejnosti a hlavné opatrenia na predchádzanie, zníženie a ak je to možné, kompenzácie závažných nepriaznivých vplyvov navrhovanej činnosti alebo jej zmeny.</w:t>
            </w:r>
          </w:p>
          <w:p w:rsidR="006C1420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121132" w:rsidRPr="00264076" w:rsidP="00D67E5D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U</w:t>
            </w: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  <w:r w:rsidRPr="00264076">
              <w:rPr>
                <w:rFonts w:ascii="Times New Roman" w:hAnsi="Times New Roman"/>
              </w:rPr>
              <w:t>Ú</w:t>
            </w: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  <w:p w:rsidR="006C1420" w:rsidRPr="00264076" w:rsidP="00D67E5D">
            <w:pPr>
              <w:overflowPunct w:val="0"/>
              <w:bidi w:val="0"/>
              <w:adjustRightInd w:val="0"/>
              <w:ind w:left="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6C1420" w:rsidRPr="00264076" w:rsidP="00D67E5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D67E5D" w:rsidRPr="00264076" w:rsidP="00121132">
      <w:pPr>
        <w:bidi w:val="0"/>
        <w:rPr>
          <w:rFonts w:ascii="Times New Roman" w:hAnsi="Times New Roman"/>
        </w:rPr>
      </w:pPr>
    </w:p>
    <w:sectPr w:rsidSect="00D67E5D">
      <w:footerReference w:type="even" r:id="rId4"/>
      <w:footerReference w:type="default" r:id="rId5"/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20" w:rsidP="0036138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142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20" w:rsidP="00121132">
    <w:pPr>
      <w:pStyle w:val="Footer"/>
      <w:framePr w:wrap="around" w:vAnchor="text" w:hAnchor="page" w:x="8078" w:y="44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0566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C142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A54"/>
    <w:multiLevelType w:val="singleLevel"/>
    <w:tmpl w:val="EC68126C"/>
    <w:lvl w:ilvl="0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cs="Times New Roman"/>
        <w:rtl w:val="0"/>
        <w:cs w:val="0"/>
      </w:rPr>
    </w:lvl>
  </w:abstractNum>
  <w:abstractNum w:abstractNumId="1">
    <w:nsid w:val="0FB70747"/>
    <w:multiLevelType w:val="singleLevel"/>
    <w:tmpl w:val="C358C2C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cs="Times New Roman"/>
        <w:rtl w:val="0"/>
        <w:cs w:val="0"/>
      </w:rPr>
    </w:lvl>
  </w:abstractNum>
  <w:abstractNum w:abstractNumId="2">
    <w:nsid w:val="0FE03725"/>
    <w:multiLevelType w:val="singleLevel"/>
    <w:tmpl w:val="AEEABB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4D90895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6502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FC57F60"/>
    <w:multiLevelType w:val="multilevel"/>
    <w:tmpl w:val="7DB40A10"/>
    <w:lvl w:ilvl="0">
      <w:start w:val="1"/>
      <w:numFmt w:val="decimal"/>
      <w:lvlText w:val="(%1)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284" w:firstLine="796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D083FBE"/>
    <w:multiLevelType w:val="singleLevel"/>
    <w:tmpl w:val="865CD6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rtl w:val="0"/>
        <w:cs w:val="0"/>
      </w:rPr>
    </w:lvl>
  </w:abstractNum>
  <w:abstractNum w:abstractNumId="7">
    <w:nsid w:val="2D747219"/>
    <w:multiLevelType w:val="singleLevel"/>
    <w:tmpl w:val="4882347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2"/>
        <w:rtl w:val="0"/>
        <w:cs w:val="0"/>
      </w:rPr>
    </w:lvl>
  </w:abstractNum>
  <w:abstractNum w:abstractNumId="8">
    <w:nsid w:val="34E035D8"/>
    <w:multiLevelType w:val="singleLevel"/>
    <w:tmpl w:val="A3903B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595668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3CC474EC"/>
    <w:multiLevelType w:val="singleLevel"/>
    <w:tmpl w:val="99D86B3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660"/>
      </w:pPr>
      <w:rPr>
        <w:rFonts w:cs="Times New Roman"/>
        <w:rtl w:val="0"/>
        <w:cs w:val="0"/>
      </w:rPr>
    </w:lvl>
  </w:abstractNum>
  <w:abstractNum w:abstractNumId="11">
    <w:nsid w:val="62354878"/>
    <w:multiLevelType w:val="singleLevel"/>
    <w:tmpl w:val="B43603FA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  <w:rtl w:val="0"/>
        <w:cs w:val="0"/>
      </w:rPr>
    </w:lvl>
  </w:abstractNum>
  <w:abstractNum w:abstractNumId="12">
    <w:nsid w:val="6764250C"/>
    <w:multiLevelType w:val="multilevel"/>
    <w:tmpl w:val="68608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7B14430"/>
    <w:multiLevelType w:val="singleLevel"/>
    <w:tmpl w:val="71BCA5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rtl w:val="0"/>
        <w:cs w:val="0"/>
      </w:rPr>
    </w:lvl>
  </w:abstractNum>
  <w:abstractNum w:abstractNumId="14">
    <w:nsid w:val="6C29279C"/>
    <w:multiLevelType w:val="singleLevel"/>
    <w:tmpl w:val="6890F83E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2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2"/>
    </w:lvlOverride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</w:num>
  <w:num w:numId="25">
    <w:abstractNumId w:val="8"/>
  </w:num>
  <w:num w:numId="26">
    <w:abstractNumId w:val="8"/>
    <w:lvlOverride w:ilvl="0"/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D67E5D"/>
    <w:rsid w:val="000347FE"/>
    <w:rsid w:val="000608E8"/>
    <w:rsid w:val="000A535A"/>
    <w:rsid w:val="000B4DE4"/>
    <w:rsid w:val="000F004F"/>
    <w:rsid w:val="000F14D6"/>
    <w:rsid w:val="00121132"/>
    <w:rsid w:val="00264076"/>
    <w:rsid w:val="002657C4"/>
    <w:rsid w:val="002F17E9"/>
    <w:rsid w:val="00345990"/>
    <w:rsid w:val="0036138E"/>
    <w:rsid w:val="00375999"/>
    <w:rsid w:val="003A0279"/>
    <w:rsid w:val="003C4CC0"/>
    <w:rsid w:val="004907A6"/>
    <w:rsid w:val="005166B8"/>
    <w:rsid w:val="0052131E"/>
    <w:rsid w:val="0053727C"/>
    <w:rsid w:val="00561C4A"/>
    <w:rsid w:val="005A24B1"/>
    <w:rsid w:val="005D1DFF"/>
    <w:rsid w:val="005D683F"/>
    <w:rsid w:val="006167EC"/>
    <w:rsid w:val="006C1420"/>
    <w:rsid w:val="007C7210"/>
    <w:rsid w:val="008469DF"/>
    <w:rsid w:val="00860542"/>
    <w:rsid w:val="009D7065"/>
    <w:rsid w:val="009E1CAE"/>
    <w:rsid w:val="009E7F00"/>
    <w:rsid w:val="00A1581A"/>
    <w:rsid w:val="00A85AED"/>
    <w:rsid w:val="00AF3D26"/>
    <w:rsid w:val="00B70AD2"/>
    <w:rsid w:val="00C05668"/>
    <w:rsid w:val="00C4515C"/>
    <w:rsid w:val="00CD7D78"/>
    <w:rsid w:val="00D319B5"/>
    <w:rsid w:val="00D67E5D"/>
    <w:rsid w:val="00E03535"/>
    <w:rsid w:val="00E1640E"/>
    <w:rsid w:val="00E21B96"/>
    <w:rsid w:val="00E222C0"/>
    <w:rsid w:val="00E51733"/>
    <w:rsid w:val="00EA6847"/>
    <w:rsid w:val="00EE2E59"/>
    <w:rsid w:val="00EE55EA"/>
    <w:rsid w:val="00FF6A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uiPriority w:val="99"/>
    <w:rsid w:val="00D67E5D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eastAsia="Arial Unicode MS" w:hAnsi="Arial"/>
      <w:b/>
      <w:sz w:val="22"/>
      <w:szCs w:val="20"/>
    </w:rPr>
  </w:style>
  <w:style w:type="paragraph" w:styleId="Heading7">
    <w:name w:val="heading 7"/>
    <w:basedOn w:val="Normal"/>
    <w:next w:val="Normal"/>
    <w:uiPriority w:val="99"/>
    <w:rsid w:val="00D67E5D"/>
    <w:pPr>
      <w:keepNext/>
      <w:overflowPunct w:val="0"/>
      <w:autoSpaceDE w:val="0"/>
      <w:autoSpaceDN w:val="0"/>
      <w:adjustRightInd w:val="0"/>
      <w:jc w:val="both"/>
      <w:outlineLvl w:val="6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rsid w:val="00D67E5D"/>
    <w:pPr>
      <w:jc w:val="left"/>
    </w:pPr>
    <w:rPr>
      <w:rFonts w:ascii="MS Sans Serif" w:hAnsi="MS Sans Serif"/>
      <w:sz w:val="20"/>
      <w:szCs w:val="20"/>
    </w:rPr>
  </w:style>
  <w:style w:type="paragraph" w:styleId="CommentText">
    <w:name w:val="annotation text"/>
    <w:basedOn w:val="Normal"/>
    <w:uiPriority w:val="99"/>
    <w:semiHidden/>
    <w:rsid w:val="00D67E5D"/>
    <w:pPr>
      <w:jc w:val="left"/>
    </w:pPr>
    <w:rPr>
      <w:rFonts w:ascii="MS Sans Serif" w:hAnsi="MS Sans Serif"/>
      <w:sz w:val="20"/>
      <w:szCs w:val="20"/>
    </w:rPr>
  </w:style>
  <w:style w:type="paragraph" w:styleId="EndnoteText">
    <w:name w:val="endnote text"/>
    <w:basedOn w:val="Normal"/>
    <w:uiPriority w:val="99"/>
    <w:semiHidden/>
    <w:rsid w:val="00D67E5D"/>
    <w:pPr>
      <w:jc w:val="left"/>
    </w:pPr>
    <w:rPr>
      <w:rFonts w:ascii="MS Sans Serif" w:hAnsi="MS Sans Serif"/>
      <w:sz w:val="20"/>
      <w:szCs w:val="20"/>
    </w:rPr>
  </w:style>
  <w:style w:type="paragraph" w:styleId="BodyText">
    <w:name w:val="Body Text"/>
    <w:basedOn w:val="Normal"/>
    <w:uiPriority w:val="99"/>
    <w:rsid w:val="00D67E5D"/>
    <w:pPr>
      <w:jc w:val="left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uiPriority w:val="99"/>
    <w:rsid w:val="00D67E5D"/>
    <w:pPr>
      <w:overflowPunct w:val="0"/>
      <w:autoSpaceDE w:val="0"/>
      <w:autoSpaceDN w:val="0"/>
      <w:adjustRightInd w:val="0"/>
      <w:ind w:left="283"/>
      <w:jc w:val="both"/>
    </w:pPr>
    <w:rPr>
      <w:rFonts w:ascii="Arial" w:hAnsi="Arial"/>
      <w:b/>
      <w:i/>
      <w:sz w:val="22"/>
      <w:szCs w:val="20"/>
      <w:lang w:eastAsia="cs-CZ"/>
    </w:rPr>
  </w:style>
  <w:style w:type="paragraph" w:styleId="BodyText3">
    <w:name w:val="Body Text 3"/>
    <w:basedOn w:val="Normal"/>
    <w:uiPriority w:val="99"/>
    <w:rsid w:val="00D67E5D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eastAsia="cs-CZ"/>
    </w:rPr>
  </w:style>
  <w:style w:type="paragraph" w:styleId="BodyTextIndent2">
    <w:name w:val="Body Text Indent 2"/>
    <w:basedOn w:val="Normal"/>
    <w:uiPriority w:val="99"/>
    <w:rsid w:val="00D67E5D"/>
    <w:pPr>
      <w:tabs>
        <w:tab w:val="left" w:pos="426"/>
        <w:tab w:val="left" w:pos="851"/>
      </w:tabs>
      <w:ind w:left="426" w:hanging="426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uiPriority w:val="99"/>
    <w:rsid w:val="00D67E5D"/>
    <w:pPr>
      <w:tabs>
        <w:tab w:val="left" w:pos="0"/>
        <w:tab w:val="left" w:pos="71"/>
      </w:tabs>
      <w:ind w:left="71"/>
      <w:jc w:val="both"/>
    </w:pPr>
    <w:rPr>
      <w:rFonts w:ascii="Arial" w:hAnsi="Arial"/>
      <w:sz w:val="22"/>
      <w:szCs w:val="20"/>
    </w:rPr>
  </w:style>
  <w:style w:type="paragraph" w:customStyle="1" w:styleId="BodyText31">
    <w:name w:val="Body Text 31"/>
    <w:basedOn w:val="Normal"/>
    <w:uiPriority w:val="99"/>
    <w:rsid w:val="00D67E5D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paragraph" w:customStyle="1" w:styleId="Textpsmene">
    <w:name w:val="Text písmene"/>
    <w:basedOn w:val="Normal"/>
    <w:uiPriority w:val="99"/>
    <w:rsid w:val="00D67E5D"/>
    <w:pPr>
      <w:numPr>
        <w:numId w:val="2"/>
      </w:numPr>
      <w:ind w:left="360" w:hanging="360"/>
      <w:jc w:val="both"/>
    </w:pPr>
    <w:rPr>
      <w:szCs w:val="20"/>
      <w:lang w:val="cs-CZ"/>
    </w:rPr>
  </w:style>
  <w:style w:type="paragraph" w:customStyle="1" w:styleId="BodyText21">
    <w:name w:val="Body Text 21"/>
    <w:basedOn w:val="Normal"/>
    <w:uiPriority w:val="99"/>
    <w:rsid w:val="00D67E5D"/>
    <w:pPr>
      <w:overflowPunct w:val="0"/>
      <w:autoSpaceDE w:val="0"/>
      <w:autoSpaceDN w:val="0"/>
      <w:adjustRightInd w:val="0"/>
      <w:ind w:left="283"/>
      <w:jc w:val="both"/>
    </w:pPr>
    <w:rPr>
      <w:rFonts w:ascii="Arial" w:hAnsi="Arial"/>
      <w:b/>
      <w:i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rsid w:val="00D67E5D"/>
    <w:rPr>
      <w:rFonts w:cs="Times New Roman"/>
      <w:vertAlign w:val="superscript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sid w:val="00D67E5D"/>
    <w:rPr>
      <w:rFonts w:cs="Times New Roman"/>
      <w:vertAlign w:val="superscript"/>
      <w:rtl w:val="0"/>
      <w:cs w:val="0"/>
    </w:rPr>
  </w:style>
  <w:style w:type="paragraph" w:styleId="DocumentMap">
    <w:name w:val="Document Map"/>
    <w:basedOn w:val="Normal"/>
    <w:uiPriority w:val="99"/>
    <w:semiHidden/>
    <w:rsid w:val="00CD7D78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uiPriority w:val="99"/>
    <w:rsid w:val="006C142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6C1420"/>
    <w:rPr>
      <w:rFonts w:cs="Times New Roman"/>
      <w:rtl w:val="0"/>
      <w:cs w:val="0"/>
    </w:rPr>
  </w:style>
  <w:style w:type="paragraph" w:styleId="Header">
    <w:name w:val="header"/>
    <w:basedOn w:val="Normal"/>
    <w:uiPriority w:val="99"/>
    <w:rsid w:val="0012113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1126</Words>
  <Characters>6419</Characters>
  <Application>Microsoft Office Word</Application>
  <DocSecurity>0</DocSecurity>
  <Lines>0</Lines>
  <Paragraphs>0</Paragraphs>
  <ScaleCrop>false</ScaleCrop>
  <Company>MZP SR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 (Table of Concordance)</dc:title>
  <dc:creator>cernohous</dc:creator>
  <cp:lastModifiedBy>katrlik</cp:lastModifiedBy>
  <cp:revision>2</cp:revision>
  <cp:lastPrinted>2008-11-21T09:05:00Z</cp:lastPrinted>
  <dcterms:created xsi:type="dcterms:W3CDTF">2009-02-06T14:45:00Z</dcterms:created>
  <dcterms:modified xsi:type="dcterms:W3CDTF">2009-02-06T14:45:00Z</dcterms:modified>
</cp:coreProperties>
</file>