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540"/>
        <w:gridCol w:w="1080"/>
        <w:gridCol w:w="4320"/>
        <w:gridCol w:w="720"/>
        <w:gridCol w:w="900"/>
        <w:gridCol w:w="720"/>
        <w:gridCol w:w="5940"/>
        <w:gridCol w:w="540"/>
        <w:gridCol w:w="144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05C29">
            <w:pPr>
              <w:pStyle w:val="Heading1"/>
              <w:rPr>
                <w:rFonts w:ascii="Arial Narrow" w:hAnsi="Arial Narrow" w:cs="Arial Narrow"/>
                <w:sz w:val="20"/>
                <w:szCs w:val="24"/>
              </w:rPr>
            </w:pPr>
            <w:r w:rsidRPr="00905C29">
              <w:rPr>
                <w:rFonts w:ascii="Arial Narrow" w:hAnsi="Arial Narrow" w:cs="Arial Narrow"/>
                <w:sz w:val="20"/>
                <w:szCs w:val="24"/>
              </w:rPr>
              <w:t>TABUĽKA  ZHODY</w:t>
            </w:r>
          </w:p>
          <w:p w:rsidR="00905C29" w:rsidRPr="005C58DE" w:rsidP="00905C29">
            <w:pPr>
              <w:pStyle w:val="BodyText2"/>
              <w:rPr>
                <w:rFonts w:ascii="Arial Narrow" w:hAnsi="Arial Narrow" w:cs="Arial Narrow"/>
                <w:b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Cs w:val="24"/>
              </w:rPr>
              <w:t>k návrhu zákona, ktorým sa mení a dopĺňa zákon č. 200/1998 Z. z. o štátnej službe colníkov a o zmene a doplnení niektorých ďalších zákonov</w:t>
            </w:r>
          </w:p>
          <w:p w:rsidR="00905C29" w:rsidRPr="005C58DE" w:rsidP="00905C29">
            <w:pPr>
              <w:pStyle w:val="BodyText2"/>
              <w:rPr>
                <w:rFonts w:ascii="Arial Narrow" w:hAnsi="Arial Narrow" w:cs="Arial Narrow"/>
                <w:b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Cs w:val="24"/>
              </w:rPr>
              <w:t xml:space="preserve"> v znení neskorších predpisov a o zmene a doplnení niektorých zákonov</w:t>
            </w:r>
          </w:p>
          <w:p w:rsidR="008C54C3" w:rsidRPr="00905C29" w:rsidP="00905C29">
            <w:pPr>
              <w:pStyle w:val="Heading1"/>
              <w:spacing w:after="120"/>
              <w:rPr>
                <w:rFonts w:ascii="Arial Narrow" w:hAnsi="Arial Narrow" w:cs="Arial Narrow"/>
                <w:b w:val="0"/>
                <w:sz w:val="20"/>
                <w:szCs w:val="24"/>
              </w:rPr>
            </w:pPr>
            <w:r w:rsidRPr="005C58DE" w:rsidR="00905C29">
              <w:rPr>
                <w:rFonts w:ascii="Arial Narrow" w:hAnsi="Arial Narrow" w:cs="Arial Narrow"/>
                <w:sz w:val="20"/>
                <w:szCs w:val="24"/>
              </w:rPr>
              <w:t xml:space="preserve"> s právom Európskych spoločenstiev a 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cantSplit/>
          <w:trHeight w:val="567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extDirection w:val="lrTb"/>
            <w:vAlign w:val="top"/>
          </w:tcPr>
          <w:p w:rsidR="008C54C3" w:rsidRPr="00905C29">
            <w:pPr>
              <w:pStyle w:val="Heading4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Názov smernice:</w:t>
            </w:r>
          </w:p>
        </w:tc>
        <w:tc>
          <w:tcPr>
            <w:tcW w:w="1458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413224" w:rsidRPr="00905C29" w:rsidP="00413224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905C29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RADY </w:t>
            </w:r>
            <w:r w:rsidRPr="00905C29">
              <w:rPr>
                <w:rFonts w:ascii="Arial Narrow" w:hAnsi="Arial Narrow" w:cs="Arial Narrow"/>
                <w:b/>
                <w:sz w:val="20"/>
                <w:szCs w:val="24"/>
                <w:u w:val="single"/>
              </w:rPr>
              <w:t>2000/78/ES</w:t>
            </w:r>
            <w:r w:rsidRPr="00905C29">
              <w:rPr>
                <w:rFonts w:ascii="Arial Narrow" w:hAnsi="Arial Narrow" w:cs="Arial Narrow"/>
                <w:b/>
                <w:sz w:val="20"/>
                <w:szCs w:val="24"/>
              </w:rPr>
              <w:t xml:space="preserve"> z 27. novembra 2000, ktorá ustanovuje všeobecný rámec pre rovnaké zaobchádzanie v zamestnaní a povolaní</w:t>
            </w:r>
          </w:p>
          <w:p w:rsidR="008C54C3" w:rsidRPr="00905C29">
            <w:pPr>
              <w:pStyle w:val="Heading4"/>
              <w:jc w:val="both"/>
              <w:rPr>
                <w:rFonts w:ascii="Arial Narrow" w:hAnsi="Arial Narrow" w:cs="Arial Narrow"/>
                <w:b w:val="0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05C29">
            <w:pPr>
              <w:pStyle w:val="Heading4"/>
              <w:spacing w:before="120"/>
              <w:rPr>
                <w:rFonts w:ascii="Arial Narrow" w:hAnsi="Arial Narrow" w:cs="Arial Narrow"/>
                <w:sz w:val="20"/>
                <w:szCs w:val="24"/>
              </w:rPr>
            </w:pPr>
            <w:r w:rsidRPr="00905C29">
              <w:rPr>
                <w:rFonts w:ascii="Arial Narrow" w:hAnsi="Arial Narrow" w:cs="Arial Narrow"/>
                <w:sz w:val="20"/>
                <w:szCs w:val="24"/>
              </w:rPr>
              <w:t>Smernica ES</w:t>
            </w:r>
          </w:p>
          <w:p w:rsidR="00413224" w:rsidRPr="00905C29" w:rsidP="00413224">
            <w:pPr>
              <w:adjustRightInd w:val="0"/>
              <w:rPr>
                <w:rFonts w:ascii="Arial Narrow" w:hAnsi="Arial Narrow" w:cs="Arial Narrow"/>
                <w:sz w:val="20"/>
                <w:szCs w:val="24"/>
              </w:rPr>
            </w:pPr>
            <w:r w:rsidRPr="00905C29">
              <w:rPr>
                <w:rFonts w:ascii="Arial Narrow" w:hAnsi="Arial Narrow" w:cs="Arial Narrow"/>
                <w:b/>
                <w:sz w:val="20"/>
                <w:szCs w:val="24"/>
              </w:rPr>
              <w:t xml:space="preserve">SMERNICA RADY </w:t>
            </w:r>
            <w:r w:rsidRPr="00905C29">
              <w:rPr>
                <w:rFonts w:ascii="Arial Narrow" w:hAnsi="Arial Narrow" w:cs="Arial Narrow"/>
                <w:b/>
                <w:sz w:val="20"/>
                <w:szCs w:val="24"/>
                <w:u w:val="single"/>
              </w:rPr>
              <w:t>2000/78/ES</w:t>
            </w:r>
            <w:r w:rsidRPr="00905C29">
              <w:rPr>
                <w:rFonts w:ascii="Arial Narrow" w:hAnsi="Arial Narrow" w:cs="Arial Narrow"/>
                <w:b/>
                <w:sz w:val="20"/>
                <w:szCs w:val="24"/>
              </w:rPr>
              <w:t xml:space="preserve"> z 27. novembra 2000, ktorá ustanovuje všeobecný rámec pre rovnaké zaobchádzanie v zamestnaní a povolaní</w:t>
            </w:r>
          </w:p>
          <w:p w:rsidR="008C54C3" w:rsidRPr="00905C29">
            <w:pPr>
              <w:pStyle w:val="BodyText3"/>
              <w:spacing w:line="240" w:lineRule="exact"/>
              <w:rPr>
                <w:rFonts w:ascii="Arial Narrow" w:hAnsi="Arial Narrow" w:cs="Arial Narrow"/>
                <w:sz w:val="20"/>
                <w:szCs w:val="24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8C54C3" w:rsidRPr="00905C29">
            <w:pPr>
              <w:pStyle w:val="Heading4"/>
              <w:spacing w:before="120"/>
              <w:rPr>
                <w:rFonts w:ascii="Arial Narrow" w:hAnsi="Arial Narrow" w:cs="Arial Narrow"/>
                <w:sz w:val="20"/>
                <w:szCs w:val="24"/>
              </w:rPr>
            </w:pPr>
            <w:r w:rsidRPr="00905C29">
              <w:rPr>
                <w:rFonts w:ascii="Arial Narrow" w:hAnsi="Arial Narrow" w:cs="Arial Narrow"/>
                <w:sz w:val="20"/>
                <w:szCs w:val="24"/>
              </w:rPr>
              <w:t>Všeobecne záväzné právne predpisy Slovenskej republiky</w:t>
            </w:r>
          </w:p>
          <w:p w:rsidR="002F2351" w:rsidRPr="00905C29" w:rsidP="002F2351">
            <w:pPr>
              <w:pStyle w:val="BodyText2"/>
              <w:jc w:val="both"/>
              <w:rPr>
                <w:rFonts w:ascii="Arial Narrow" w:hAnsi="Arial Narrow" w:cs="Arial Narrow"/>
                <w:b/>
                <w:szCs w:val="24"/>
              </w:rPr>
            </w:pPr>
            <w:r w:rsidRPr="00905C29">
              <w:rPr>
                <w:rFonts w:ascii="Arial Narrow" w:hAnsi="Arial Narrow" w:cs="Arial Narrow"/>
                <w:b/>
                <w:szCs w:val="24"/>
              </w:rPr>
              <w:t xml:space="preserve">Návrh zákona, ktorým sa mení a dopĺňa zákon č. 200/1998 Z. z. o štátnej službe colníkov a o zmene a doplnení niektorých ďalších zákonov v znení neskorších predpisov a o zmene a doplnení niektorých zákonov (ďalej len „návrh zákona“)  </w:t>
            </w:r>
          </w:p>
          <w:p w:rsidR="002F2351" w:rsidRPr="00905C29" w:rsidP="002F2351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  <w:p w:rsidR="002F2351" w:rsidRPr="000F241E" w:rsidP="002F2351">
            <w:pPr>
              <w:pStyle w:val="Header"/>
              <w:tabs>
                <w:tab w:val="left" w:pos="709"/>
              </w:tabs>
              <w:jc w:val="both"/>
              <w:rPr>
                <w:rFonts w:ascii="Arial Narrow" w:hAnsi="Arial Narrow" w:cs="Arial Narrow"/>
                <w:sz w:val="20"/>
                <w:szCs w:val="24"/>
              </w:rPr>
            </w:pPr>
            <w:r w:rsidRPr="000F241E">
              <w:rPr>
                <w:rFonts w:ascii="Arial Narrow" w:hAnsi="Arial Narrow" w:cs="Arial Narrow"/>
                <w:sz w:val="20"/>
                <w:szCs w:val="24"/>
              </w:rPr>
              <w:t>Zákon č. 200/1998 Z. z. o štátnej službe colníkov a o zmene a doplnení niektorých ďalších zákonov v znení neskorších predpisov</w:t>
            </w:r>
            <w:r w:rsidRPr="000F241E" w:rsidR="00477F52">
              <w:rPr>
                <w:rFonts w:ascii="Arial Narrow" w:hAnsi="Arial Narrow" w:cs="Arial Narrow"/>
                <w:sz w:val="20"/>
                <w:szCs w:val="24"/>
              </w:rPr>
              <w:t xml:space="preserve"> (</w:t>
            </w:r>
            <w:r w:rsidRPr="000F241E">
              <w:rPr>
                <w:rFonts w:ascii="Arial Narrow" w:hAnsi="Arial Narrow" w:cs="Arial Narrow"/>
                <w:sz w:val="20"/>
                <w:szCs w:val="24"/>
              </w:rPr>
              <w:t>ďalej len „200/1998“)</w:t>
            </w:r>
          </w:p>
          <w:p w:rsidR="008C54C3" w:rsidRPr="00905C29">
            <w:pPr>
              <w:pStyle w:val="Header"/>
              <w:tabs>
                <w:tab w:val="left" w:pos="709"/>
              </w:tabs>
              <w:jc w:val="center"/>
              <w:rPr>
                <w:rFonts w:ascii="Arial Narrow" w:hAnsi="Arial Narrow" w:cs="Arial Narrow"/>
                <w:sz w:val="20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BodyText2"/>
              <w:spacing w:line="240" w:lineRule="exact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 w:rsidR="005170A9">
              <w:rPr>
                <w:rFonts w:ascii="Arial Narrow" w:hAnsi="Arial Narrow" w:cs="Arial Narrow"/>
                <w:sz w:val="18"/>
                <w:szCs w:val="24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Článok</w:t>
            </w:r>
          </w:p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(Č, O,</w:t>
            </w:r>
          </w:p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V, P)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Spôsob transp.</w:t>
            </w:r>
          </w:p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(N, O, D, n.a.)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Číslo</w:t>
            </w:r>
          </w:p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predpisu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Článok (Č, §, O, V, P)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Text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Zhoda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 w:rsidR="00153B33">
              <w:rPr>
                <w:rFonts w:ascii="Arial Narrow" w:hAnsi="Arial Narrow" w:cs="Arial Narrow"/>
                <w:sz w:val="18"/>
                <w:szCs w:val="24"/>
              </w:rPr>
              <w:t xml:space="preserve">Čl. </w:t>
            </w:r>
            <w:r w:rsidRPr="00905C29" w:rsidR="00905C29">
              <w:rPr>
                <w:rFonts w:ascii="Arial Narrow" w:hAnsi="Arial Narrow" w:cs="Arial Narrow"/>
                <w:sz w:val="18"/>
                <w:szCs w:val="24"/>
              </w:rPr>
              <w:t>3 ods.1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C29" w:rsidRPr="00905C29" w:rsidP="00905C29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b/>
                <w:sz w:val="18"/>
                <w:szCs w:val="24"/>
              </w:rPr>
              <w:t>Rozsah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1. V rámci právomocí delegovaných na spoločenstvo sa bude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táto smernica vzťahovať na všetky osoby, tak vo verejnom ako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i v súkromnom sektore, vrátane verejných orgánov vo vzťahu k: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a) podmienkam prístupu k zamestnaniu, samostatnej zárobkovej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činnosti alebo povolaniu, vrátane kritérií výberu 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podmienok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náboru, bez ohľadu na oblasť činnosti a na všetkých úrovniach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profesionálnej hierarchie, vrátane postupu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v zamestnaní;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b) prístupu k všetkým typom a všetkým úrovniam odborného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poradenstva, odbornej prípravy, ďalšieho odborného vzdelávania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 preškoľovania, vrátane odbornej praxe;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c) podmienkam zamestnania a pracovným podmienkam vrátane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podmienok prepúšťania a odmeňovania;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d) členstvu a činnosti v organizácii zamestnancov alebo zamestnávateľov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alebo akejkoľvek organizácii, ktorej členovia vykonávajú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určitú profesiu, vrátane výhod poskytovaných takými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organizáciami.</w:t>
            </w:r>
          </w:p>
          <w:p w:rsidR="00A9063F" w:rsidRPr="00905C29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AF6D1A"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4404" w:rsidRPr="005C58DE" w:rsidP="00CB4404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200/1998 a </w:t>
            </w: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CB4404">
              <w:rPr>
                <w:rFonts w:ascii="Arial Narrow" w:hAnsi="Arial Narrow" w:cs="Arial Narrow"/>
                <w:sz w:val="18"/>
                <w:szCs w:val="24"/>
              </w:rPr>
              <w:t>§ 14 ods.1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>Colníkom môže byť štátny občan Slovenskej republiky (ďalej len "občan") starší ako 18 rokov, ktorý o prijatie písomne požiada a</w:t>
            </w:r>
          </w:p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a) je bezúhonný,</w:t>
            </w:r>
          </w:p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b) je spoľahlivý,</w:t>
            </w:r>
          </w:p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c) spĺňa stupeň všeobecného vzdelania určený na výkon funkcie, do ktorej má byť ustanovený alebo vymenovaný,</w:t>
            </w:r>
          </w:p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d) je zdravotne, telesne a duševne spôsobilý na výkon štátnej služby,</w:t>
            </w:r>
          </w:p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e) ovláda štátny jazyk, 4)</w:t>
            </w:r>
          </w:p>
          <w:p w:rsidR="00A9063F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 w:rsidR="00CB4404">
              <w:rPr>
                <w:rFonts w:ascii="Arial Narrow" w:hAnsi="Arial Narrow" w:cs="Arial Narrow"/>
                <w:sz w:val="18"/>
                <w:szCs w:val="24"/>
              </w:rPr>
              <w:t xml:space="preserve"> f) má trvalý pobyt na území Slovenskej republiky,</w:t>
            </w:r>
          </w:p>
          <w:p w:rsidR="00CB4404" w:rsidRPr="00CB4404" w:rsidP="00CB4404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g) ku dňu prijatia do štátnej služby nie je členom politickej strany alebo politického hnutia,</w:t>
            </w:r>
          </w:p>
          <w:p w:rsidR="00CB4404" w:rsidRPr="00CB4404" w:rsidP="00CB4404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h) je spôsobilý na právne úkony v plnom rozsahu,</w:t>
            </w:r>
          </w:p>
          <w:p w:rsidR="00CB4404" w:rsidRPr="00CB4404" w:rsidP="00CB4404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i) ku dňu prijatia do štátnej služby skončí činnosti, ktorých vykonávanie je z</w:t>
            </w:r>
            <w:r w:rsidR="00ED1E1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akázané podľa § 44 ods. 6 a 7.</w:t>
            </w:r>
          </w:p>
          <w:p w:rsidR="00CB4404" w:rsidRPr="00CB4404" w:rsidP="00CB4404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CB4404"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CB4404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>§5a ods.1</w:t>
            </w:r>
          </w:p>
          <w:p w:rsidR="00A9063F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CB4404" w:rsidR="00CB4404">
              <w:rPr>
                <w:rFonts w:ascii="Arial Narrow" w:hAnsi="Arial Narrow" w:cs="Arial Narrow"/>
                <w:sz w:val="18"/>
                <w:szCs w:val="24"/>
              </w:rPr>
              <w:t xml:space="preserve"> 200/1998 </w:t>
            </w:r>
          </w:p>
          <w:p w:rsidR="00CB4404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CB4404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CB4404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CB4404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CB4404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§ 44 ods.1,§ 45 pís.b), § 128 pís.b) 200/1998</w:t>
            </w:r>
          </w:p>
          <w:p w:rsidR="00FD2417" w:rsidP="00CB4404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FD2417" w:rsidP="00FD2417">
            <w:pPr>
              <w:rPr>
                <w:rFonts w:ascii="Arial Narrow" w:hAnsi="Arial Narrow" w:cs="Arial Narrow"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Colné riaditeľstvo SR, colné úrady,</w:t>
            </w:r>
          </w:p>
          <w:p w:rsidR="00FD2417" w:rsidRPr="00CB4404" w:rsidP="00FD2417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>
              <w:rPr>
                <w:rFonts w:ascii="Arial Narrow" w:hAnsi="Arial Narrow" w:cs="Arial Narrow"/>
                <w:sz w:val="18"/>
                <w:szCs w:val="24"/>
              </w:rPr>
              <w:t>colný kriminálny úrad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 w:rsidR="00153B33">
              <w:rPr>
                <w:rFonts w:ascii="Arial Narrow" w:hAnsi="Arial Narrow" w:cs="Arial Narrow"/>
                <w:sz w:val="18"/>
                <w:szCs w:val="24"/>
              </w:rPr>
              <w:t>Čl.</w:t>
            </w:r>
            <w:r w:rsidRPr="00905C29" w:rsidR="00905C29">
              <w:rPr>
                <w:rFonts w:ascii="Arial Narrow" w:hAnsi="Arial Narrow" w:cs="Arial Narrow"/>
                <w:sz w:val="18"/>
                <w:szCs w:val="24"/>
              </w:rPr>
              <w:t>4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C29" w:rsidRPr="00905C29" w:rsidP="00905C29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b/>
                <w:sz w:val="18"/>
                <w:szCs w:val="24"/>
              </w:rPr>
              <w:t>Požiadavky na povolanie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1. Bez ohľadu na článok 2 ods. 1 a 2 môžu členské štáty stanoviť,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že rozdiel v zaobchádzaní, ktorý je založený na charakteristike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súvisiacej s niektorým z dôvodov podľa článku 1, nie je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diskrimináciou, keď pre povahu určitých dotknutých pracovných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činnosti alebo kontext, v ktorom sa vykonávajú, táto charakteristika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tvorí skutočnú a rozhodujúcu požiadavku na zamestnanie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pod podmienkou, že cieľ je oprávnený a požiadavka je primeraná.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2. Členské štáty môžu ponechať v platnosti vnútroštátne právne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predpisy účinné v deň prijatia tejto smernice alebo zabezpečiť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nové právne predpisy, v ktorých zakotvia vnútroštátnu prax existujúcu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v deň prijatia tejto smernice, podľa ktorých, v prípade pracovných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činností v cirkvách alebo v iných verejných alebo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súkromných organizáciách, ktorých duch je založený na náboženstve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alebo viere, rozdiel zaobchádzania, vyplývajúci z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náboženstva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alebo viery, nie je diskrimináciou, keď podľa povahy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týchto činností alebo v kontexte, v ktorom sa vykonávajú, tvorí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náboženstvo alebo viera osoby základnú oprávnenú 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odôvodnenú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požiadavku povolania s ohľadom na duch organizácie.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Tento rozdiel v zaobchádzaní sa uplatní so zreteľom na ústavné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predpisy a princípy členského štátu ako aj na všeobecné právne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zásady spoločenstva a nemal by odôvodňovať diskrimináciu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na inom základe.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Ak sú ustanovenia tejto smernice inak splnené, nebude táto smernica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na ujmu práva cirkví a iných verejných alebo súkromných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organizácií, konajúcich v súlade s ústavou a právnym poriadkom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štátu, ktorých duch je založený na náboženstve alebo viere, aby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od osôb, ktoré pre ne pracujú, vyžadovali konanie v dobrej viere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 lojalitu s duchom organizácie.</w:t>
            </w:r>
          </w:p>
          <w:p w:rsidR="00A9063F" w:rsidRPr="00905C29">
            <w:pPr>
              <w:pStyle w:val="Normlny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22344F"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44F" w:rsidRPr="005C58DE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200/1998 a </w:t>
            </w: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22344F">
              <w:rPr>
                <w:rFonts w:ascii="Arial Narrow" w:hAnsi="Arial Narrow" w:cs="Arial Narrow"/>
                <w:sz w:val="18"/>
                <w:szCs w:val="24"/>
              </w:rPr>
              <w:t>§ 14 ods.1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>Colníkom môže byť štátny občan Slovenskej republiky (ďalej len "občan") starší ako 18 rokov, ktorý o prijatie písomne požiada a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a) je bezúhonný,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b) je spoľahlivý,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c) spĺňa stupeň všeobecného vzdelania určený na výkon funkcie, do ktorej má byť ustanovený alebo vymenovaný,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d) je zdravotne, telesne a duševne spôsobilý na výkon štátnej služby,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e) ovláda štátny jazyk, 4)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f) má trvalý pobyt na území Slovenskej republiky,</w:t>
            </w:r>
          </w:p>
          <w:p w:rsidR="00A75E2F" w:rsidRPr="00CB4404" w:rsidP="00A75E2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g) ku dňu prijatia do štátnej služby nie je členom politickej strany alebo politického hnutia,</w:t>
            </w:r>
          </w:p>
          <w:p w:rsidR="00A75E2F" w:rsidRPr="00CB4404" w:rsidP="00A75E2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h) je spôsobilý na právne úkony v plnom rozsahu,</w:t>
            </w:r>
          </w:p>
          <w:p w:rsidR="00A75E2F" w:rsidRPr="00CB4404" w:rsidP="00A75E2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i) ku dňu prijatia do štátnej služby skončí činnosti, ktorých vykonávanie je z</w:t>
            </w:r>
            <w:r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akázané podľa § 44 ods. 6 a 7.</w:t>
            </w:r>
          </w:p>
          <w:p w:rsidR="00A9063F" w:rsidRPr="00905C29">
            <w:pPr>
              <w:pStyle w:val="BodyText2"/>
              <w:spacing w:line="240" w:lineRule="exact"/>
              <w:jc w:val="left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22344F"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Pr="00905C29" w:rsidR="00153B33">
              <w:rPr>
                <w:rFonts w:ascii="Arial Narrow" w:hAnsi="Arial Narrow" w:cs="Arial Narrow"/>
                <w:sz w:val="18"/>
                <w:szCs w:val="24"/>
              </w:rPr>
              <w:t>Čl.</w:t>
            </w:r>
            <w:r w:rsidRPr="00905C29" w:rsidR="00905C29">
              <w:rPr>
                <w:rFonts w:ascii="Arial Narrow" w:hAnsi="Arial Narrow" w:cs="Arial Narrow"/>
                <w:sz w:val="18"/>
                <w:szCs w:val="24"/>
              </w:rPr>
              <w:t>6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05C29" w:rsidRPr="00905C29" w:rsidP="00905C29">
            <w:pPr>
              <w:adjustRightInd w:val="0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b/>
                <w:sz w:val="18"/>
                <w:szCs w:val="24"/>
              </w:rPr>
              <w:t>Odôvodnené rozdiely v zaobchádzaní z dôvodu veku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1. Bez ohľadu na článok 2 ods. 2 členské štáty môžu stanoviť, že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rozdiely v zaobchádzaní z dôvodu veku nie sú diskrimináciou, ak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v kontexte vnútroštátnych právnych predpisov sú objektívne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 primerane odôvodnené oprávneným cieľom, vrátane zákonnej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politiky zamestnanosti, trhu práce a cieľov odbornej prípravy,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 ak prostriedky na dosiahnutie tohto cieľa sú primerané a nevyhnutné.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Takéto rozdiely v zaobchádzaní môžu okrem iného zahrňovať: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a) stanovenie osobitných podmienok prístupu k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zamestnaniu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 odbornej príprave, zamestnaniu a povolaniu vrátane podmienok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prepúšťania a odmeňovania pre mladých 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starších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pracovníkov a osoby s opatrovateľskými povinnosťami, aby sa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podporila ich profesionálna integrácia alebo aby sa zabezpečila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ich ochrana;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b) stanovenie podmienok minimálneho veku, odbornej praxe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alebo rokov služby pre prístup k zamestnaniu alebo k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> 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určitým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výhodám, ktoré so zamestnaním súvisia;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c) stanovenie hornej vekovej hranice uchádzačov, ktorá vyplýva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z osobitných požiadaviek odbornej prípravy pre obsadzované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miesto alebo z nutnosti primeranej doby zamestnania pred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odchodom do dôchodku.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2. Bez ohľadu na článok 2 ods. 2, členské štáty môžu určiť, že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v zamestnaneckých systémoch sociálneho zabezpečenia stanovenie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veku pre možnosť alebo nárok na odchod do starobného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alebo invalidného dôchodku vrátane stanovenia odlišných vekových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hraníc v uvedených systémoch pre zamestnancov alebo skupiny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alebo kategórie zamestnancov a využitie vekového kritéria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v kontexte takýchto systémov v poistných matematických výpočtoch</w:t>
            </w:r>
          </w:p>
          <w:p w:rsidR="00905C29" w:rsidRPr="00905C29" w:rsidP="00905C29">
            <w:pPr>
              <w:adjustRightInd w:val="0"/>
              <w:rPr>
                <w:rFonts w:ascii="Arial Narrow" w:hAnsi="Arial Narrow" w:cs="Arial Narrow"/>
                <w:sz w:val="18"/>
                <w:szCs w:val="24"/>
              </w:rPr>
            </w:pPr>
            <w:r w:rsidRPr="00905C29">
              <w:rPr>
                <w:rFonts w:ascii="Arial Narrow" w:hAnsi="Arial Narrow" w:cs="Arial Narrow"/>
                <w:sz w:val="18"/>
                <w:szCs w:val="24"/>
              </w:rPr>
              <w:t>nie je diskrimináciou na základe veku za predpokladu, že</w:t>
            </w:r>
            <w:r w:rsidR="006A39CC">
              <w:rPr>
                <w:rFonts w:ascii="Arial Narrow" w:hAnsi="Arial Narrow" w:cs="Arial Narrow"/>
                <w:sz w:val="18"/>
                <w:szCs w:val="24"/>
              </w:rPr>
              <w:t xml:space="preserve"> </w:t>
            </w:r>
            <w:r w:rsidRPr="00905C29">
              <w:rPr>
                <w:rFonts w:ascii="Arial Narrow" w:hAnsi="Arial Narrow" w:cs="Arial Narrow"/>
                <w:sz w:val="18"/>
                <w:szCs w:val="24"/>
              </w:rPr>
              <w:t>dôsledkom tohto nebude diskriminácia na základe pohlavia.</w:t>
            </w:r>
          </w:p>
          <w:p w:rsidR="00A9063F" w:rsidRPr="00905C29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22344F">
              <w:rPr>
                <w:rFonts w:ascii="Arial Narrow" w:hAnsi="Arial Narrow" w:cs="Arial Narrow"/>
                <w:sz w:val="18"/>
                <w:szCs w:val="24"/>
              </w:rPr>
              <w:t>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sz w:val="18"/>
                <w:szCs w:val="24"/>
              </w:rPr>
              <w:t>200/1998 a </w:t>
            </w: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</w:p>
          <w:p w:rsidR="0022344F" w:rsidRPr="005C58DE" w:rsidP="0022344F">
            <w:pPr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5C58DE">
              <w:rPr>
                <w:rFonts w:ascii="Arial Narrow" w:hAnsi="Arial Narrow" w:cs="Arial Narrow"/>
                <w:b/>
                <w:sz w:val="18"/>
                <w:szCs w:val="24"/>
              </w:rPr>
              <w:t>návrh zákona</w:t>
            </w:r>
          </w:p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22344F">
              <w:rPr>
                <w:rFonts w:ascii="Arial Narrow" w:hAnsi="Arial Narrow" w:cs="Arial Narrow"/>
                <w:sz w:val="18"/>
                <w:szCs w:val="24"/>
              </w:rPr>
              <w:t>§ 14 ods.1</w:t>
            </w: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 w:rsidRPr="0022344F">
            <w:pPr>
              <w:pStyle w:val="Normlny"/>
              <w:jc w:val="center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22344F">
              <w:rPr>
                <w:rFonts w:ascii="Arial Narrow" w:hAnsi="Arial Narrow" w:cs="Arial Narrow"/>
                <w:b/>
                <w:sz w:val="18"/>
                <w:szCs w:val="24"/>
              </w:rPr>
              <w:t>§ 183 ods.2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>Colníkom môže byť štátny občan Slovenskej republiky (ďalej len "občan") starší ako 18 rokov, ktorý o prijatie písomne požiada a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a) je bezúhonný,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b) je spoľahlivý,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c) spĺňa stupeň všeobecného vzdelania určený na výkon funkcie, do ktorej má byť ustanovený alebo vymenovaný,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d) je zdravotne, telesne a duševne spôsobilý na výkon štátnej služby,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e) ovláda štátny jazyk, 4)</w:t>
            </w:r>
          </w:p>
          <w:p w:rsidR="00A75E2F" w:rsidRPr="00CB4404" w:rsidP="00A75E2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sz w:val="18"/>
                <w:szCs w:val="24"/>
              </w:rPr>
              <w:t xml:space="preserve"> f) má trvalý pobyt na území Slovenskej republiky,</w:t>
            </w:r>
          </w:p>
          <w:p w:rsidR="00A75E2F" w:rsidRPr="00CB4404" w:rsidP="00A75E2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g) ku dňu prijatia do štátnej služby nie je členom politickej strany alebo politického hnutia,</w:t>
            </w:r>
          </w:p>
          <w:p w:rsidR="00A75E2F" w:rsidRPr="00CB4404" w:rsidP="00A75E2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h) je spôsobilý na právne úkony v plnom rozsahu,</w:t>
            </w:r>
          </w:p>
          <w:p w:rsidR="00A75E2F" w:rsidRPr="00CB4404" w:rsidP="00A75E2F">
            <w:pPr>
              <w:adjustRightInd w:val="0"/>
              <w:jc w:val="both"/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</w:pPr>
            <w:r w:rsidRPr="00CB4404"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i) ku dňu prijatia do štátnej služby skončí činnosti, ktorých vykonávanie je z</w:t>
            </w:r>
            <w:r>
              <w:rPr>
                <w:rFonts w:ascii="Arial Narrow" w:hAnsi="Arial Narrow" w:cs="Arial Narrow"/>
                <w:b/>
                <w:color w:val="231F20"/>
                <w:sz w:val="18"/>
                <w:szCs w:val="24"/>
              </w:rPr>
              <w:t>akázané podľa § 44 ods. 6 a 7.</w:t>
            </w:r>
          </w:p>
          <w:p w:rsidR="0022344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>
            <w:pPr>
              <w:pStyle w:val="Normlny"/>
              <w:jc w:val="both"/>
              <w:rPr>
                <w:rFonts w:ascii="Arial Narrow" w:hAnsi="Arial Narrow" w:cs="Arial Narrow"/>
                <w:sz w:val="18"/>
                <w:szCs w:val="24"/>
              </w:rPr>
            </w:pPr>
          </w:p>
          <w:p w:rsidR="0022344F" w:rsidRPr="0022344F">
            <w:pPr>
              <w:pStyle w:val="Normlny"/>
              <w:jc w:val="both"/>
              <w:rPr>
                <w:rFonts w:ascii="Arial Narrow" w:hAnsi="Arial Narrow" w:cs="Arial Narrow"/>
                <w:b/>
                <w:sz w:val="18"/>
                <w:szCs w:val="24"/>
              </w:rPr>
            </w:pPr>
            <w:r w:rsidRPr="0022344F">
              <w:rPr>
                <w:rFonts w:ascii="Arial Narrow" w:hAnsi="Arial Narrow" w:cs="Arial Narrow"/>
                <w:b/>
                <w:sz w:val="18"/>
                <w:szCs w:val="24"/>
              </w:rPr>
              <w:t>Colník môže byť prepustený zo služobného pomeru, ak spĺňa podmienky nároku na výsluhový dôchodok podľa osobitného predpisu</w:t>
            </w:r>
            <w:r w:rsidRPr="0022344F">
              <w:rPr>
                <w:rFonts w:ascii="Arial Narrow" w:hAnsi="Arial Narrow" w:cs="Arial Narrow"/>
                <w:b/>
                <w:sz w:val="18"/>
                <w:szCs w:val="24"/>
                <w:vertAlign w:val="superscript"/>
              </w:rPr>
              <w:t>38a</w:t>
            </w:r>
            <w:r w:rsidRPr="0022344F">
              <w:rPr>
                <w:rFonts w:ascii="Arial Narrow" w:hAnsi="Arial Narrow" w:cs="Arial Narrow"/>
                <w:b/>
                <w:sz w:val="18"/>
                <w:szCs w:val="24"/>
              </w:rPr>
              <w:t>) a dovŕšil vek 55 rokov alebo spĺňa podmienky nároku na starobný dôchodok podľa osobitného predpisu.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A9063F" w:rsidRPr="00905C29">
            <w:pPr>
              <w:jc w:val="center"/>
              <w:rPr>
                <w:rFonts w:ascii="Arial Narrow" w:hAnsi="Arial Narrow" w:cs="Arial Narrow"/>
                <w:sz w:val="18"/>
                <w:szCs w:val="24"/>
              </w:rPr>
            </w:pPr>
            <w:r w:rsidR="0022344F">
              <w:rPr>
                <w:rFonts w:ascii="Arial Narrow" w:hAnsi="Arial Narrow" w:cs="Arial Narrow"/>
                <w:sz w:val="18"/>
                <w:szCs w:val="24"/>
              </w:rPr>
              <w:t>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A9063F" w:rsidRPr="00905C29">
            <w:pPr>
              <w:pStyle w:val="Heading1"/>
              <w:rPr>
                <w:rFonts w:ascii="Arial Narrow" w:hAnsi="Arial Narrow" w:cs="Arial Narrow"/>
                <w:b w:val="0"/>
                <w:sz w:val="18"/>
                <w:szCs w:val="24"/>
              </w:rPr>
            </w:pPr>
          </w:p>
        </w:tc>
      </w:tr>
    </w:tbl>
    <w:p w:rsidR="008C54C3" w:rsidRPr="00905C29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8C54C3" w:rsidRPr="00905C29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8C54C3" w:rsidRPr="00905C29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8C54C3" w:rsidRPr="00905C29">
      <w:pPr>
        <w:autoSpaceDE/>
        <w:autoSpaceDN/>
        <w:rPr>
          <w:rFonts w:ascii="Arial Narrow" w:hAnsi="Arial Narrow" w:cs="Arial Narrow"/>
          <w:sz w:val="18"/>
          <w:szCs w:val="24"/>
        </w:rPr>
      </w:pPr>
    </w:p>
    <w:p w:rsidR="008C54C3" w:rsidRPr="00905C29">
      <w:pPr>
        <w:pStyle w:val="Header"/>
        <w:tabs>
          <w:tab w:val="clear" w:pos="4536"/>
          <w:tab w:val="clear" w:pos="9072"/>
        </w:tabs>
        <w:autoSpaceDE/>
        <w:autoSpaceDN/>
        <w:rPr>
          <w:rFonts w:ascii="Arial Narrow" w:hAnsi="Arial Narrow" w:cs="Arial Narrow"/>
          <w:sz w:val="18"/>
          <w:szCs w:val="24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4C3">
    <w:pPr>
      <w:pStyle w:val="Footer"/>
      <w:framePr w:vAnchor="text" w:hAnchor="margin" w:xAlign="right"/>
      <w:rPr>
        <w:rStyle w:val="PageNumber"/>
        <w:rFonts w:ascii="Times New Roman" w:hAnsi="Times New Roman" w:cs="Times New Roman"/>
        <w:szCs w:val="24"/>
      </w:rPr>
    </w:pPr>
    <w:r>
      <w:rPr>
        <w:rStyle w:val="PageNumber"/>
        <w:rFonts w:ascii="Times New Roman" w:hAnsi="Times New Roman" w:cs="Times New Roman"/>
        <w:szCs w:val="24"/>
      </w:rPr>
      <w:fldChar w:fldCharType="begin"/>
    </w:r>
    <w:r>
      <w:rPr>
        <w:rStyle w:val="PageNumber"/>
        <w:rFonts w:ascii="Times New Roman" w:hAnsi="Times New Roman" w:cs="Times New Roman"/>
        <w:szCs w:val="24"/>
      </w:rPr>
      <w:instrText xml:space="preserve">PAGE  </w:instrText>
    </w:r>
    <w:r>
      <w:rPr>
        <w:rStyle w:val="PageNumber"/>
        <w:rFonts w:ascii="Times New Roman" w:hAnsi="Times New Roman" w:cs="Times New Roman"/>
        <w:szCs w:val="24"/>
      </w:rPr>
      <w:fldChar w:fldCharType="separate"/>
    </w:r>
    <w:r w:rsidR="0024131C">
      <w:rPr>
        <w:rStyle w:val="PageNumber"/>
        <w:rFonts w:ascii="Times New Roman" w:hAnsi="Times New Roman" w:cs="Times New Roman"/>
        <w:noProof/>
        <w:szCs w:val="24"/>
      </w:rPr>
      <w:t>1</w:t>
    </w:r>
    <w:r>
      <w:rPr>
        <w:rStyle w:val="PageNumber"/>
        <w:rFonts w:ascii="Times New Roman" w:hAnsi="Times New Roman" w:cs="Times New Roman"/>
        <w:szCs w:val="24"/>
      </w:rPr>
      <w:fldChar w:fldCharType="end"/>
    </w:r>
  </w:p>
  <w:p w:rsidR="008C54C3">
    <w:pPr>
      <w:pStyle w:val="Footer"/>
      <w:ind w:right="360"/>
      <w:rPr>
        <w:rFonts w:ascii="Times New Roman" w:hAnsi="Times New Roman"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4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</w:lvl>
  </w:abstractNum>
  <w:abstractNum w:abstractNumId="7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3"/>
    </w:lvlOverride>
  </w:num>
  <w:num w:numId="3">
    <w:abstractNumId w:val="6"/>
  </w:num>
  <w:num w:numId="4">
    <w:abstractNumId w:val="6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8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9063F"/>
    <w:rsid w:val="000F241E"/>
    <w:rsid w:val="00153B33"/>
    <w:rsid w:val="0022344F"/>
    <w:rsid w:val="0024131C"/>
    <w:rsid w:val="002F2351"/>
    <w:rsid w:val="00391DC5"/>
    <w:rsid w:val="00413224"/>
    <w:rsid w:val="00477F52"/>
    <w:rsid w:val="005170A9"/>
    <w:rsid w:val="005C58DE"/>
    <w:rsid w:val="006A39CC"/>
    <w:rsid w:val="008C54C3"/>
    <w:rsid w:val="00905C29"/>
    <w:rsid w:val="00A75E2F"/>
    <w:rsid w:val="00A9063F"/>
    <w:rsid w:val="00AF6D1A"/>
    <w:rsid w:val="00CB4404"/>
    <w:rsid w:val="00DA0F6C"/>
    <w:rsid w:val="00ED1E14"/>
    <w:rsid w:val="00FD241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spacing w:before="120"/>
      <w:jc w:val="center"/>
      <w:outlineLvl w:val="1"/>
    </w:pPr>
    <w:rPr>
      <w:b/>
      <w:sz w:val="20"/>
    </w:rPr>
  </w:style>
  <w:style w:type="paragraph" w:styleId="Heading4">
    <w:name w:val="heading 4"/>
    <w:basedOn w:val="Normal"/>
    <w:next w:val="Normal"/>
    <w:uiPriority w:val="99"/>
    <w:pPr>
      <w:keepNext/>
      <w:jc w:val="center"/>
      <w:outlineLvl w:val="3"/>
    </w:pPr>
    <w:rPr>
      <w:b/>
      <w:sz w:val="22"/>
    </w:rPr>
  </w:style>
  <w:style w:type="character" w:default="1" w:styleId="DefaultParagraphFont">
    <w:name w:val="Default Paragraph Font"/>
    <w:link w:val="CharChar1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uiPriority w:val="99"/>
    <w:pPr>
      <w:spacing w:line="240" w:lineRule="atLeast"/>
      <w:jc w:val="both"/>
    </w:pPr>
  </w:style>
  <w:style w:type="paragraph" w:styleId="Header">
    <w:name w:val="header"/>
    <w:basedOn w:val="Normal"/>
    <w:uiPriority w:val="99"/>
    <w:pPr>
      <w:tabs>
        <w:tab w:val="center" w:pos="4536"/>
        <w:tab w:val="right" w:pos="9072"/>
      </w:tabs>
      <w:jc w:val="left"/>
    </w:pPr>
  </w:style>
  <w:style w:type="paragraph" w:styleId="BodyText2">
    <w:name w:val="Body Text 2"/>
    <w:basedOn w:val="Normal"/>
    <w:uiPriority w:val="99"/>
    <w:pPr>
      <w:jc w:val="center"/>
    </w:pPr>
    <w:rPr>
      <w:sz w:val="20"/>
    </w:rPr>
  </w:style>
  <w:style w:type="paragraph" w:customStyle="1" w:styleId="Normlny">
    <w:name w:val="_Normálny"/>
    <w:basedOn w:val="Normal"/>
    <w:uiPriority w:val="99"/>
    <w:pPr>
      <w:jc w:val="left"/>
    </w:pPr>
    <w:rPr>
      <w:sz w:val="20"/>
      <w:lang w:eastAsia="en-US"/>
    </w:rPr>
  </w:style>
  <w:style w:type="paragraph" w:styleId="FootnoteText">
    <w:name w:val="footnote text"/>
    <w:basedOn w:val="Normal"/>
    <w:uiPriority w:val="99"/>
    <w:semiHidden/>
    <w:pPr>
      <w:jc w:val="left"/>
    </w:pPr>
    <w:rPr>
      <w:sz w:val="20"/>
    </w:rPr>
  </w:style>
  <w:style w:type="paragraph" w:customStyle="1" w:styleId="PARA">
    <w:name w:val="PARA"/>
    <w:basedOn w:val="Normal"/>
    <w:next w:val="Normal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autoSpaceDE/>
      <w:autoSpaceDN/>
      <w:jc w:val="left"/>
    </w:pPr>
  </w:style>
  <w:style w:type="character" w:styleId="PageNumber">
    <w:name w:val="page number"/>
    <w:basedOn w:val="DefaultParagraphFont"/>
    <w:uiPriority w:val="99"/>
  </w:style>
  <w:style w:type="paragraph" w:styleId="BodyTextIndent2">
    <w:name w:val="Body Text Indent 2"/>
    <w:basedOn w:val="Normal"/>
    <w:uiPriority w:val="99"/>
    <w:pPr>
      <w:autoSpaceDE/>
      <w:autoSpaceDN/>
      <w:ind w:left="290" w:hanging="290"/>
      <w:jc w:val="left"/>
    </w:pPr>
    <w:rPr>
      <w:sz w:val="20"/>
    </w:rPr>
  </w:style>
  <w:style w:type="paragraph" w:customStyle="1" w:styleId="CharChar1">
    <w:name w:val="Char Char1"/>
    <w:basedOn w:val="Normal"/>
    <w:link w:val="DefaultParagraphFont"/>
    <w:uiPriority w:val="99"/>
    <w:rsid w:val="002F2351"/>
    <w:pPr>
      <w:autoSpaceDE/>
      <w:autoSpaceDN/>
      <w:spacing w:after="160" w:line="240" w:lineRule="exact"/>
      <w:jc w:val="left"/>
    </w:pPr>
    <w:rPr>
      <w:rFonts w:ascii="Tahoma" w:hAnsi="Tahoma" w:cs="Tahom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1195</Words>
  <Characters>6818</Characters>
  <Application>Microsoft Office Word</Application>
  <DocSecurity>0</DocSecurity>
  <Lines>0</Lines>
  <Paragraphs>0</Paragraphs>
  <ScaleCrop>false</ScaleCrop>
  <Company>ÚV SR</Company>
  <LinksUpToDate>false</LinksUpToDate>
  <CharactersWithSpaces>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bodorova</dc:creator>
  <cp:lastModifiedBy>Administrator</cp:lastModifiedBy>
  <cp:revision>5</cp:revision>
  <cp:lastPrinted>2006-12-14T15:09:00Z</cp:lastPrinted>
  <dcterms:created xsi:type="dcterms:W3CDTF">2008-11-04T10:51:00Z</dcterms:created>
  <dcterms:modified xsi:type="dcterms:W3CDTF">2009-01-27T16:01:00Z</dcterms:modified>
</cp:coreProperties>
</file>