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720"/>
        <w:gridCol w:w="900"/>
        <w:gridCol w:w="4320"/>
        <w:gridCol w:w="720"/>
        <w:gridCol w:w="900"/>
        <w:gridCol w:w="900"/>
        <w:gridCol w:w="5940"/>
        <w:gridCol w:w="540"/>
        <w:gridCol w:w="126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C58DE">
            <w:pPr>
              <w:pStyle w:val="Heading1"/>
              <w:rPr>
                <w:rFonts w:ascii="Arial Narrow" w:hAnsi="Arial Narrow" w:cs="Arial Narrow"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9235FF" w:rsidRPr="005C58DE" w:rsidP="009235FF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Cs w:val="24"/>
              </w:rPr>
              <w:t>k návrhu zákona, ktorým sa mení a dopĺňa zákon č. 200/1998 Z. z. o štátnej službe colníkov a o zmene a doplnení niektorých ďalších zákonov</w:t>
            </w:r>
          </w:p>
          <w:p w:rsidR="009235FF" w:rsidRPr="005C58DE" w:rsidP="009235FF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Cs w:val="24"/>
              </w:rPr>
              <w:t xml:space="preserve"> v znení neskorších predpisov a o zmene a doplnení niektorých zákonov </w:t>
            </w:r>
          </w:p>
          <w:p w:rsidR="008C54C3" w:rsidRPr="005C58DE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5C58DE" w:rsidR="009235FF">
              <w:rPr>
                <w:rFonts w:ascii="Arial Narrow" w:hAnsi="Arial Narrow" w:cs="Arial Narrow"/>
                <w:sz w:val="20"/>
                <w:szCs w:val="24"/>
              </w:rPr>
              <w:t xml:space="preserve"> s právom Európskych spoločenstiev a 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5C58DE">
            <w:pPr>
              <w:pStyle w:val="Heading4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A7CEA" w:rsidRPr="005C58DE" w:rsidP="00CA7CEA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EURÓPSKEHO PARLAMENTU A RADY </w:t>
            </w:r>
            <w:r w:rsidRPr="005C58DE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95/46/EHS</w:t>
            </w:r>
            <w:r w:rsidRPr="005C58DE">
              <w:rPr>
                <w:rFonts w:ascii="Arial Narrow" w:hAnsi="Arial Narrow" w:cs="Arial Narrow"/>
                <w:b/>
                <w:sz w:val="20"/>
                <w:szCs w:val="24"/>
              </w:rPr>
              <w:t xml:space="preserve"> z 24. októbra 1995 o ochrane fyzických osôb pri spracovaní osobných údajov a voľnom pohybe týchto údajov</w:t>
            </w:r>
          </w:p>
          <w:p w:rsidR="008C54C3" w:rsidRPr="005C58DE">
            <w:pPr>
              <w:pStyle w:val="Heading4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C58DE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sz w:val="20"/>
                <w:szCs w:val="24"/>
              </w:rPr>
              <w:t>Smernica ES</w:t>
            </w:r>
          </w:p>
          <w:p w:rsidR="00CA7CEA" w:rsidRPr="005C58DE" w:rsidP="00CA7CEA">
            <w:pPr>
              <w:adjustRightInd w:val="0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EURÓPSKEHO PARLAMENTU A RADY </w:t>
            </w:r>
            <w:r w:rsidRPr="005C58DE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95/46/EHS</w:t>
            </w:r>
          </w:p>
          <w:p w:rsidR="00CA7CEA" w:rsidRPr="005C58DE" w:rsidP="00CA7CEA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20"/>
                <w:szCs w:val="24"/>
              </w:rPr>
              <w:t>z 24. októbra 1995 o ochrane fyzických osôb pri spracovaní osobných údajov a voľnom pohybe týchto údajov</w:t>
            </w:r>
          </w:p>
          <w:p w:rsidR="008C54C3" w:rsidRPr="005C58DE">
            <w:pPr>
              <w:pStyle w:val="BodyText3"/>
              <w:spacing w:line="240" w:lineRule="exact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C58DE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5C58DE">
              <w:rPr>
                <w:rFonts w:ascii="Arial Narrow" w:hAnsi="Arial Narrow" w:cs="Arial Narrow"/>
                <w:sz w:val="20"/>
                <w:szCs w:val="24"/>
              </w:rPr>
              <w:t>Všeobecne záväzné právne predpisy Slovenskej republiky</w:t>
            </w:r>
          </w:p>
          <w:p w:rsidR="009235FF" w:rsidRPr="005C58DE" w:rsidP="009235FF">
            <w:pPr>
              <w:pStyle w:val="BodyText2"/>
              <w:jc w:val="both"/>
              <w:rPr>
                <w:rFonts w:ascii="Arial Narrow" w:hAnsi="Arial Narrow" w:cs="Arial Narrow"/>
                <w:b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Cs w:val="24"/>
              </w:rPr>
              <w:t xml:space="preserve">Návrh zákona, ktorým sa mení a dopĺňa zákon č. 200/1998 Z. z. o štátnej službe colníkov a o zmene a doplnení niektorých ďalších zákonov v znení neskorších predpisov a o zmene a doplnení niektorých zákonov (ďalej len „návrh zákona“)  </w:t>
            </w:r>
          </w:p>
          <w:p w:rsidR="008C54C3" w:rsidRPr="005C58DE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9A4F78" w:rsidRPr="008E50A2" w:rsidP="009A4F7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8E50A2">
              <w:rPr>
                <w:rFonts w:ascii="Arial Narrow" w:hAnsi="Arial Narrow" w:cs="Arial Narrow"/>
                <w:sz w:val="20"/>
                <w:szCs w:val="24"/>
              </w:rPr>
              <w:t>Zákon č. 200/1998 Z. z. o štátnej službe colníkov a o zmene a doplnení niektorých ďalších zákonov v znení neskorších predpisov</w:t>
            </w:r>
            <w:r w:rsidRPr="008E50A2" w:rsidR="00BB6467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8E50A2" w:rsidR="004F6228">
              <w:rPr>
                <w:rFonts w:ascii="Arial Narrow" w:hAnsi="Arial Narrow" w:cs="Arial Narrow"/>
                <w:sz w:val="20"/>
                <w:szCs w:val="24"/>
              </w:rPr>
              <w:t>(</w:t>
            </w:r>
            <w:r w:rsidRPr="008E50A2" w:rsidR="00BB6467">
              <w:rPr>
                <w:rFonts w:ascii="Arial Narrow" w:hAnsi="Arial Narrow" w:cs="Arial Narrow"/>
                <w:sz w:val="20"/>
                <w:szCs w:val="24"/>
              </w:rPr>
              <w:t>ďalej len „200/1998“)</w:t>
            </w:r>
          </w:p>
          <w:p w:rsidR="00BB6467" w:rsidRPr="005C58DE" w:rsidP="009A4F7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5170A9">
              <w:rPr>
                <w:rFonts w:ascii="Arial Narrow" w:hAnsi="Arial Narrow" w:cs="Arial Narrow"/>
                <w:sz w:val="18"/>
                <w:szCs w:val="24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Článok</w:t>
            </w:r>
          </w:p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(Č, O,</w:t>
            </w:r>
          </w:p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V, P)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Spôsob transp.</w:t>
            </w:r>
          </w:p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Číslo</w:t>
            </w:r>
          </w:p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predpisu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Článok (Č, §, O, V, P)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Zhoda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153B33">
              <w:rPr>
                <w:rFonts w:ascii="Arial Narrow" w:hAnsi="Arial Narrow" w:cs="Arial Narrow"/>
                <w:sz w:val="18"/>
                <w:szCs w:val="24"/>
              </w:rPr>
              <w:t xml:space="preserve">Čl. </w:t>
            </w:r>
            <w:r w:rsidRPr="005C58DE" w:rsidR="009235FF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KAPITOLA II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VŠEOBECNÉ NARIADENIA TÝKAJÚCE SA ZÁKONNOSTI SPRACOVANIA OSOBNÝCH ÚDAJOV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i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i/>
                <w:sz w:val="18"/>
                <w:szCs w:val="24"/>
              </w:rPr>
              <w:t>Článok 5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Členské štáty stanovia, v rámci ustanovení tejto kapitoly, presnejšie podmienky zákonnosti spracovania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osobných údajov.</w:t>
            </w:r>
          </w:p>
          <w:p w:rsidR="00A9063F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9A4F78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 w:rsidR="009A4F78">
              <w:rPr>
                <w:rFonts w:ascii="Arial Narrow" w:hAnsi="Arial Narrow" w:cs="Arial Narrow"/>
                <w:sz w:val="18"/>
                <w:szCs w:val="24"/>
              </w:rPr>
              <w:t>200/1998</w:t>
            </w:r>
            <w:r w:rsidRPr="005C58DE" w:rsidR="00986B21">
              <w:rPr>
                <w:rFonts w:ascii="Arial Narrow" w:hAnsi="Arial Narrow" w:cs="Arial Narrow"/>
                <w:sz w:val="18"/>
                <w:szCs w:val="24"/>
              </w:rPr>
              <w:t xml:space="preserve"> a </w:t>
            </w:r>
            <w:r w:rsidRPr="005C58DE" w:rsidR="00986B21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986B21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986B21">
              <w:rPr>
                <w:rFonts w:ascii="Arial Narrow" w:hAnsi="Arial Narrow" w:cs="Arial Narrow"/>
                <w:sz w:val="18"/>
                <w:szCs w:val="24"/>
              </w:rPr>
              <w:t>§ 14 ods.5</w:t>
            </w: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§ 14 ods.6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Služobný úrad je oprávnený na účely zistenia, či občan spĺňa podmienky prijatia do služobného pomeru, spracúvať 9) o jeho osobe tieto údaje: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a) meno, priezvisko a rodné číslo, titul, vedeckú hodnosť,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b) dátum a miesto narodenia,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c) adresu trvalého pobytu a prechodného pobytu,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d) štátnu príslušnosť a jej zmeny,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e) číslo občianskeho preukazu, miesto jeho vydania,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f) vzdelanie, prehľad absolvovaných škôl,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g) jazykové vedomosti,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h) zamestnanie, sídlo zamestnávateľa,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i) prehľad predchádzajúcich zamestnávateľov aj s pracovným zaradením,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j) vykonávanie podnikateľskej činnosti,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k) miesto a čas základnej služby, ďalšej služby v ozbrojených silách, ozbrojenom bezpečnostnom zbore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 xml:space="preserve">, 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Národnom bezpečnostnom úrade, Slovenskej informačnej službe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 xml:space="preserve"> alebo ozbrojenom zbore, dosiahnutú hodnosť,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l) vznesené obvinenie z trestného činu voči jeho osobe,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m) postih za priestupok alebo za iný správny delikt,</w:t>
            </w:r>
          </w:p>
          <w:p w:rsidR="00A9063F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986B21">
              <w:rPr>
                <w:rFonts w:ascii="Arial Narrow" w:hAnsi="Arial Narrow" w:cs="Arial Narrow"/>
                <w:sz w:val="18"/>
                <w:szCs w:val="24"/>
              </w:rPr>
              <w:t>n) závislosť od požívania alkoholických nápojov, omamných látok, psychotropných látok a</w:t>
            </w:r>
            <w:r w:rsidR="004F6228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5C58DE" w:rsidR="00986B21">
              <w:rPr>
                <w:rFonts w:ascii="Arial Narrow" w:hAnsi="Arial Narrow" w:cs="Arial Narrow"/>
                <w:sz w:val="18"/>
                <w:szCs w:val="24"/>
              </w:rPr>
              <w:t>prípravkov</w:t>
            </w:r>
            <w:r w:rsidR="004F6228">
              <w:rPr>
                <w:rFonts w:ascii="Arial Narrow" w:hAnsi="Arial Narrow" w:cs="Arial Narrow"/>
                <w:sz w:val="18"/>
                <w:szCs w:val="24"/>
              </w:rPr>
              <w:t>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o) zdravotnú spôsobilosť z lekárskeho posudku o zdravotnej spôsobilosti,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p) závery psychologického vyšetrenia o duševnej spôsobilosti,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q) závery psychofyziologického overenia pravdovravnosti</w:t>
            </w:r>
            <w:r>
              <w:rPr>
                <w:rFonts w:ascii="Arial Narrow" w:hAnsi="Arial Narrow" w:cs="Arial Narrow"/>
                <w:sz w:val="18"/>
                <w:szCs w:val="24"/>
              </w:rPr>
              <w:t>.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986B21" w:rsidRPr="005C58DE" w:rsidP="00986B21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color w:val="231F20"/>
                <w:sz w:val="18"/>
                <w:szCs w:val="24"/>
              </w:rPr>
              <w:t>Na účely podľa odseku 4 je služobný úrad oprávnený spracúvať a uchovávať osobné údaje o colníkovi podľa odseku 5 po cel</w:t>
            </w:r>
            <w:r w:rsidR="00700F3D">
              <w:rPr>
                <w:rFonts w:ascii="Arial Narrow" w:hAnsi="Arial Narrow" w:cs="Arial Narrow"/>
                <w:color w:val="231F20"/>
                <w:sz w:val="18"/>
                <w:szCs w:val="24"/>
              </w:rPr>
              <w:t xml:space="preserve">ý čas trvania služobného pomeru 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a na účely osobitného zákona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  <w:vertAlign w:val="superscript"/>
              </w:rPr>
              <w:t>9a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) aj po skončení služobného pomeru“.</w:t>
            </w:r>
          </w:p>
          <w:p w:rsidR="00986B21" w:rsidRPr="005C58DE" w:rsidP="00986B21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5C58DE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5C58DE" w:rsidR="005C58DE">
              <w:rPr>
                <w:rFonts w:ascii="Arial Narrow" w:hAnsi="Arial Narrow" w:cs="Arial Narrow"/>
                <w:b w:val="0"/>
                <w:sz w:val="18"/>
                <w:szCs w:val="24"/>
              </w:rPr>
              <w:t>Zákon č. 428/2002 Z.z. o ochrane   osobných údajov</w:t>
            </w:r>
          </w:p>
          <w:p w:rsidR="009E403F" w:rsidP="009E403F">
            <w:pPr>
              <w:rPr>
                <w:rFonts w:ascii="Times New Roman" w:hAnsi="Times New Roman" w:cs="Times New Roman"/>
                <w:szCs w:val="24"/>
              </w:rPr>
            </w:pPr>
          </w:p>
          <w:p w:rsidR="009E403F" w:rsidP="009E403F">
            <w:pPr>
              <w:rPr>
                <w:rFonts w:ascii="Times New Roman" w:hAnsi="Times New Roman" w:cs="Times New Roman"/>
                <w:szCs w:val="24"/>
              </w:rPr>
            </w:pPr>
          </w:p>
          <w:p w:rsidR="009E403F" w:rsidRPr="009E403F" w:rsidP="009E403F">
            <w:pPr>
              <w:rPr>
                <w:rFonts w:ascii="Arial Narrow" w:hAnsi="Arial Narrow" w:cs="Arial Narrow"/>
                <w:sz w:val="18"/>
                <w:szCs w:val="24"/>
              </w:rPr>
            </w:pPr>
            <w:r w:rsidRPr="009E403F">
              <w:rPr>
                <w:rFonts w:ascii="Arial Narrow" w:hAnsi="Arial Narrow" w:cs="Arial Narrow"/>
                <w:sz w:val="18"/>
                <w:szCs w:val="24"/>
              </w:rPr>
              <w:t>Colné riaditeľstvo SR, colné úrady,</w:t>
            </w:r>
          </w:p>
          <w:p w:rsidR="009E403F" w:rsidRPr="009E403F" w:rsidP="009E403F">
            <w:pPr>
              <w:rPr>
                <w:rFonts w:ascii="Times New Roman" w:hAnsi="Times New Roman" w:cs="Times New Roman"/>
                <w:szCs w:val="24"/>
              </w:rPr>
            </w:pPr>
            <w:r w:rsidRPr="009E403F">
              <w:rPr>
                <w:rFonts w:ascii="Arial Narrow" w:hAnsi="Arial Narrow" w:cs="Arial Narrow"/>
                <w:sz w:val="18"/>
                <w:szCs w:val="24"/>
              </w:rPr>
              <w:t>colný kriminálny úrad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153B33">
              <w:rPr>
                <w:rFonts w:ascii="Arial Narrow" w:hAnsi="Arial Narrow" w:cs="Arial Narrow"/>
                <w:sz w:val="18"/>
                <w:szCs w:val="24"/>
              </w:rPr>
              <w:t>Čl.</w:t>
            </w:r>
            <w:r w:rsidRPr="005C58DE" w:rsidR="009235FF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ODDIEL I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PRINCÍPY TÝKAJÚCE SA KVALITY ÚDAJOV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i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i/>
                <w:sz w:val="18"/>
                <w:szCs w:val="24"/>
              </w:rPr>
              <w:t>Článok 6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1. Členské štáty zabezpečia, že osobné údaje musia byť: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a) spracované spravodlivo a zákonne;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b) zhromaždené na špecifikované, explicitné a zákonné účely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a nebudú sa ďalej spracovávať spôsobmi, ktoré nie sú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zlučiteľné s týmito účelmi. Ďalšie spracovanie údajov pre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historické, štatistické alebo vedecké účely sa nepovažuje za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nezlučiteľné, pod podmienkou, že členské štáty zabezpečia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primerané bezpečnostné opatrenia;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c) adekvátne, relevantné a nie neprimerané vo vzťahu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k účelom, pre ktoré sú zhromažďované a/alebo ďalej spracované;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d) presné a tam, kde je to nevyhnutné, udržiavané aktuálne;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musí sa vykonať každé primerané opatrenie, aby sa zaistilo,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že údaje, ktoré sú nepresné alebo neúplné, so zreteľom na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účely, pre ktoré boli zhromažďované, alebo pre ktoré sú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ďalej spracovávané sa vymažú alebo skorigujú;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e) udržiavané vo forme, ktorá umožňuje identifikáciu osôb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pracujúcich s údajmi počas obdobia ktoré je nevyhnutné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na účely, pre ktoré boli údaje zhromažďované, alebo pre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ktoré sú ďalej spracovávané. Členské štáty stanovia primerané</w:t>
            </w:r>
            <w:r w:rsidR="00E6019A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bezpečnostné opatrenia pre osobné údaje uložené na</w:t>
            </w:r>
          </w:p>
          <w:p w:rsidR="0028527D" w:rsidRPr="005C58DE" w:rsidP="0028527D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dlhšie obdobia pre historické, štatistické alebo vedecké použitie.</w:t>
            </w:r>
          </w:p>
          <w:p w:rsidR="00A9063F" w:rsidRPr="005C58DE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28527D">
              <w:rPr>
                <w:rFonts w:ascii="Arial Narrow" w:hAnsi="Arial Narrow" w:cs="Arial Narrow"/>
                <w:sz w:val="18"/>
                <w:szCs w:val="24"/>
              </w:rPr>
              <w:t>2. Úlohou kontrolóra je zaistiť, aby sa vyhovelo odseku 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5C58DE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8DE" w:rsidRPr="005C58DE" w:rsidP="005C58DE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200/1998 a 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58DE" w:rsidRPr="005C58DE" w:rsidP="004F6228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§ 14 ods.5</w:t>
            </w: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F6228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4F6228">
              <w:rPr>
                <w:rFonts w:ascii="Arial Narrow" w:hAnsi="Arial Narrow" w:cs="Arial Narrow"/>
                <w:sz w:val="18"/>
                <w:szCs w:val="24"/>
              </w:rPr>
              <w:t xml:space="preserve">§ 14 </w:t>
            </w:r>
            <w:r w:rsidRPr="005C58DE" w:rsidR="005C58DE">
              <w:rPr>
                <w:rFonts w:ascii="Arial Narrow" w:hAnsi="Arial Narrow" w:cs="Arial Narrow"/>
                <w:sz w:val="18"/>
                <w:szCs w:val="24"/>
              </w:rPr>
              <w:t>ods.6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Služobný úrad je oprávnený na účely zistenia, či občan spĺňa podmienky prijatia do služobného pomeru, spracúvať 9) o jeho osobe tieto údaje: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a) meno, priezvisko a rodné číslo, titul, vedeckú hodnosť,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b) dátum a miesto narodenia,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c) adresu trvalého pobytu a prechodného pobytu,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d) štátnu príslušnosť a jej zmeny,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e) číslo občianskeho preukazu, miesto jeho vydania,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f) vzdelanie, prehľad absolvovaných škôl,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g) jazykové vedomosti,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h) zamestnanie, sídlo zamestnávateľa,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i) prehľad predchádzajúcich zamestnávateľov aj s pracovným zaradením,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j) vykonávanie podnikateľskej činnosti,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k) miesto a čas základnej služby, ďalšej služby v ozbrojených silách, ozbrojenom bezpečnostnom zbore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 xml:space="preserve">, 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Národnom bezpečnostnom úrade, Slovenskej informačnej službe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 xml:space="preserve"> alebo ozbrojenom zbore, dosiahnutú hodnosť,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l) vznesené obvinenie z trestného činu voči jeho osobe,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m) postih za priestupok alebo za iný správny delikt,</w:t>
            </w:r>
          </w:p>
          <w:p w:rsid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811222">
              <w:rPr>
                <w:rFonts w:ascii="Arial Narrow" w:hAnsi="Arial Narrow" w:cs="Arial Narrow"/>
                <w:sz w:val="18"/>
                <w:szCs w:val="24"/>
              </w:rPr>
              <w:t xml:space="preserve">n) závislosť od požívania alkoholických nápojov, omamných látok, psychotropných látok 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a</w:t>
            </w:r>
            <w:r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5C58DE">
              <w:rPr>
                <w:rFonts w:ascii="Arial Narrow" w:hAnsi="Arial Narrow" w:cs="Arial Narrow"/>
                <w:sz w:val="18"/>
                <w:szCs w:val="24"/>
              </w:rPr>
              <w:t>prípravkov</w:t>
            </w:r>
            <w:r>
              <w:rPr>
                <w:rFonts w:ascii="Arial Narrow" w:hAnsi="Arial Narrow" w:cs="Arial Narrow"/>
                <w:sz w:val="18"/>
                <w:szCs w:val="24"/>
              </w:rPr>
              <w:t>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o) zdravotnú spôsobilosť z lekárskeho posudku o zdravotnej spôsobilosti,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p) závery psychologického vyšetrenia o duševnej spôsobilosti,</w:t>
            </w:r>
          </w:p>
          <w:p w:rsidR="004F6228" w:rsidRPr="004F6228" w:rsidP="004F6228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F6228">
              <w:rPr>
                <w:rFonts w:ascii="Arial Narrow" w:hAnsi="Arial Narrow" w:cs="Arial Narrow"/>
                <w:sz w:val="18"/>
                <w:szCs w:val="24"/>
              </w:rPr>
              <w:t>q) závery psychofyziologického overenia pravdovravnosti</w:t>
            </w:r>
            <w:r>
              <w:rPr>
                <w:rFonts w:ascii="Arial Narrow" w:hAnsi="Arial Narrow" w:cs="Arial Narrow"/>
                <w:sz w:val="18"/>
                <w:szCs w:val="24"/>
              </w:rPr>
              <w:t>.</w:t>
            </w:r>
          </w:p>
          <w:p w:rsidR="00811222" w:rsidRPr="005C58DE" w:rsidP="00811222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811222" w:rsidRPr="005C58DE" w:rsidP="00811222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color w:val="231F20"/>
                <w:sz w:val="18"/>
                <w:szCs w:val="24"/>
              </w:rPr>
              <w:t>Na účely podľa odseku 4 je služobný úrad oprávnený spracúvať a uchovávať osobné údaje o colníkovi podľa odseku 5 po cel</w:t>
            </w:r>
            <w:r>
              <w:rPr>
                <w:rFonts w:ascii="Arial Narrow" w:hAnsi="Arial Narrow" w:cs="Arial Narrow"/>
                <w:color w:val="231F20"/>
                <w:sz w:val="18"/>
                <w:szCs w:val="24"/>
              </w:rPr>
              <w:t xml:space="preserve">ý čas trvania služobného pomeru 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a na účely osobitného zákona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  <w:vertAlign w:val="superscript"/>
              </w:rPr>
              <w:t>9a</w:t>
            </w:r>
            <w:r w:rsidRPr="005C58DE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) aj po skončení služobného pomeru“.</w:t>
            </w:r>
          </w:p>
          <w:p w:rsidR="00A9063F" w:rsidRPr="005C58DE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C58DE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5C58DE" w:rsidR="005C58DE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C58DE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  <w:r w:rsidRPr="005C58DE" w:rsidR="005C58DE">
              <w:rPr>
                <w:rFonts w:ascii="Arial Narrow" w:hAnsi="Arial Narrow" w:cs="Arial Narrow"/>
                <w:b w:val="0"/>
                <w:sz w:val="18"/>
                <w:szCs w:val="24"/>
              </w:rPr>
              <w:t>Zákon č. 428/2002 Z.z. o ochrane   osobných údajov</w:t>
            </w:r>
          </w:p>
        </w:tc>
      </w:tr>
    </w:tbl>
    <w:p w:rsidR="008C54C3" w:rsidRPr="005C58DE">
      <w:pPr>
        <w:autoSpaceDE/>
        <w:autoSpaceDN/>
        <w:ind w:left="360"/>
        <w:rPr>
          <w:rFonts w:ascii="Arial Narrow" w:hAnsi="Arial Narrow" w:cs="Arial Narrow"/>
          <w:sz w:val="18"/>
          <w:szCs w:val="24"/>
        </w:rPr>
      </w:pPr>
    </w:p>
    <w:p w:rsidR="008C54C3" w:rsidRPr="005C58DE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8C54C3" w:rsidRPr="005C58DE">
      <w:pPr>
        <w:pStyle w:val="Header"/>
        <w:tabs>
          <w:tab w:val="clear" w:pos="4536"/>
          <w:tab w:val="clear" w:pos="9072"/>
        </w:tabs>
        <w:autoSpaceDE/>
        <w:autoSpaceDN/>
        <w:rPr>
          <w:rFonts w:ascii="Arial Narrow" w:hAnsi="Arial Narrow" w:cs="Arial Narrow"/>
          <w:sz w:val="18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F7A69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C54C3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153B33"/>
    <w:rsid w:val="0021717F"/>
    <w:rsid w:val="0028527D"/>
    <w:rsid w:val="00391DC5"/>
    <w:rsid w:val="003E2776"/>
    <w:rsid w:val="004F6228"/>
    <w:rsid w:val="005170A9"/>
    <w:rsid w:val="005C58DE"/>
    <w:rsid w:val="00700F3D"/>
    <w:rsid w:val="00811222"/>
    <w:rsid w:val="008C54C3"/>
    <w:rsid w:val="008E50A2"/>
    <w:rsid w:val="009235FF"/>
    <w:rsid w:val="00986B21"/>
    <w:rsid w:val="009A4F78"/>
    <w:rsid w:val="009E403F"/>
    <w:rsid w:val="00A9063F"/>
    <w:rsid w:val="00BB6467"/>
    <w:rsid w:val="00BF7A69"/>
    <w:rsid w:val="00CA7CEA"/>
    <w:rsid w:val="00DA0F6C"/>
    <w:rsid w:val="00E601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link w:val="CharChar1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  <w:style w:type="paragraph" w:customStyle="1" w:styleId="CharChar1">
    <w:name w:val="Char Char1"/>
    <w:basedOn w:val="Normal"/>
    <w:link w:val="DefaultParagraphFont"/>
    <w:uiPriority w:val="99"/>
    <w:rsid w:val="009235FF"/>
    <w:pPr>
      <w:autoSpaceDE/>
      <w:autoSpaceDN/>
      <w:spacing w:after="160" w:line="240" w:lineRule="exact"/>
      <w:jc w:val="left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868</Words>
  <Characters>4951</Characters>
  <Application>Microsoft Office Word</Application>
  <DocSecurity>0</DocSecurity>
  <Lines>0</Lines>
  <Paragraphs>0</Paragraphs>
  <ScaleCrop>false</ScaleCrop>
  <Company>ÚV SR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5</cp:revision>
  <cp:lastPrinted>2006-12-14T15:09:00Z</cp:lastPrinted>
  <dcterms:created xsi:type="dcterms:W3CDTF">2008-11-04T10:51:00Z</dcterms:created>
  <dcterms:modified xsi:type="dcterms:W3CDTF">2009-01-27T16:01:00Z</dcterms:modified>
</cp:coreProperties>
</file>