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040"/>
        <w:gridCol w:w="360"/>
        <w:gridCol w:w="900"/>
        <w:gridCol w:w="720"/>
        <w:gridCol w:w="6120"/>
        <w:gridCol w:w="360"/>
        <w:gridCol w:w="108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C92FF6" w:rsidP="00F22CD4">
            <w:pPr>
              <w:pStyle w:val="Heading1"/>
              <w:rPr>
                <w:rFonts w:ascii="Arial Narrow" w:hAnsi="Arial Narrow" w:cs="Arial Narrow"/>
                <w:sz w:val="20"/>
                <w:szCs w:val="24"/>
              </w:rPr>
            </w:pPr>
            <w:r w:rsidR="007427D0">
              <w:rPr>
                <w:rFonts w:ascii="Arial Narrow" w:hAnsi="Arial Narrow" w:cs="Arial Narrow"/>
                <w:sz w:val="20"/>
                <w:szCs w:val="24"/>
              </w:rPr>
              <w:t xml:space="preserve">TABUĽKA </w:t>
            </w:r>
            <w:r w:rsidRPr="00C92FF6">
              <w:rPr>
                <w:rFonts w:ascii="Arial Narrow" w:hAnsi="Arial Narrow" w:cs="Arial Narrow"/>
                <w:sz w:val="20"/>
                <w:szCs w:val="24"/>
              </w:rPr>
              <w:t>ZHODY</w:t>
            </w:r>
          </w:p>
          <w:p w:rsidR="008C54C3" w:rsidRPr="00C92FF6" w:rsidP="00F22CD4">
            <w:pPr>
              <w:pStyle w:val="Heading1"/>
              <w:rPr>
                <w:rFonts w:ascii="Arial Narrow" w:hAnsi="Arial Narrow" w:cs="Arial Narrow"/>
                <w:b w:val="0"/>
                <w:sz w:val="20"/>
                <w:szCs w:val="24"/>
              </w:rPr>
            </w:pPr>
            <w:r w:rsidRPr="00C92FF6">
              <w:rPr>
                <w:rFonts w:ascii="Arial Narrow" w:hAnsi="Arial Narrow" w:cs="Arial Narrow"/>
                <w:sz w:val="20"/>
                <w:szCs w:val="24"/>
              </w:rPr>
              <w:t>smernice ES s ustanoveniami všetkých všeobecne záväzných právnych predpisov, ktoré danú smernicu preberajú</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C92FF6" w:rsidP="00FB350B">
            <w:pPr>
              <w:pStyle w:val="Heading4"/>
              <w:jc w:val="both"/>
              <w:rPr>
                <w:rFonts w:ascii="Arial Narrow" w:hAnsi="Arial Narrow" w:cs="Arial Narrow"/>
                <w:sz w:val="20"/>
                <w:szCs w:val="24"/>
              </w:rPr>
            </w:pPr>
            <w:r w:rsidRPr="00C92FF6">
              <w:rPr>
                <w:rFonts w:ascii="Arial Narrow" w:hAnsi="Arial Narrow" w:cs="Arial Narrow"/>
                <w:sz w:val="20"/>
                <w:szCs w:val="24"/>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C92FF6" w:rsidP="00FB350B">
            <w:pPr>
              <w:adjustRightInd w:val="0"/>
              <w:jc w:val="both"/>
              <w:rPr>
                <w:rFonts w:ascii="Arial Narrow" w:hAnsi="Arial Narrow" w:cs="Arial Narrow"/>
                <w:b/>
                <w:sz w:val="20"/>
                <w:szCs w:val="24"/>
              </w:rPr>
            </w:pPr>
            <w:r w:rsidRPr="00C92FF6" w:rsidR="0095366E">
              <w:rPr>
                <w:rFonts w:ascii="Arial Narrow" w:hAnsi="Arial Narrow" w:cs="Arial Narrow"/>
                <w:b/>
                <w:sz w:val="20"/>
                <w:szCs w:val="24"/>
              </w:rPr>
              <w:t>SMERNICA RADY 2003/96/ES z 27. októbra 2003 o reštrukturalizácii právneho rámca spoločenstva pre zdaňovanie energetických výrobkov a elektriny</w:t>
            </w:r>
          </w:p>
        </w:tc>
      </w:tr>
      <w:tr>
        <w:tblPrEx>
          <w:tblW w:w="16200" w:type="dxa"/>
          <w:tblInd w:w="-497" w:type="dxa"/>
          <w:tblLayout w:type="fixed"/>
          <w:tblCellMar>
            <w:left w:w="43" w:type="dxa"/>
            <w:right w:w="43" w:type="dxa"/>
          </w:tblCellMar>
        </w:tblPrEx>
        <w:trPr>
          <w:trHeight w:val="567"/>
        </w:trPr>
        <w:tc>
          <w:tcPr>
            <w:tcW w:w="7020"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C92FF6" w:rsidP="00FB350B">
            <w:pPr>
              <w:pStyle w:val="Heading4"/>
              <w:jc w:val="both"/>
              <w:rPr>
                <w:rFonts w:ascii="Arial Narrow" w:hAnsi="Arial Narrow" w:cs="Arial Narrow"/>
                <w:sz w:val="20"/>
                <w:szCs w:val="24"/>
                <w:u w:val="single"/>
              </w:rPr>
            </w:pPr>
            <w:r w:rsidRPr="00C92FF6">
              <w:rPr>
                <w:rFonts w:ascii="Arial Narrow" w:hAnsi="Arial Narrow" w:cs="Arial Narrow"/>
                <w:sz w:val="20"/>
                <w:szCs w:val="24"/>
                <w:u w:val="single"/>
              </w:rPr>
              <w:t>Smernica ES</w:t>
            </w:r>
          </w:p>
          <w:p w:rsidR="002C70D0" w:rsidRPr="00C92FF6" w:rsidP="00FB350B">
            <w:pPr>
              <w:adjustRightInd w:val="0"/>
              <w:jc w:val="both"/>
              <w:rPr>
                <w:rFonts w:ascii="Arial Narrow" w:hAnsi="Arial Narrow" w:cs="Arial Narrow"/>
                <w:b/>
                <w:sz w:val="20"/>
                <w:szCs w:val="24"/>
              </w:rPr>
            </w:pPr>
            <w:r w:rsidRPr="00C92FF6" w:rsidR="000D042F">
              <w:rPr>
                <w:rFonts w:ascii="Arial Narrow" w:hAnsi="Arial Narrow" w:cs="Arial Narrow"/>
                <w:b/>
                <w:sz w:val="20"/>
                <w:szCs w:val="24"/>
              </w:rPr>
              <w:t>SMERNICA RADY 2003/96/ES z 27. októbra 2003</w:t>
            </w:r>
            <w:r w:rsidRPr="00C92FF6">
              <w:rPr>
                <w:rFonts w:ascii="Arial Narrow" w:hAnsi="Arial Narrow" w:cs="Arial Narrow"/>
                <w:b/>
                <w:sz w:val="20"/>
                <w:szCs w:val="24"/>
              </w:rPr>
              <w:t xml:space="preserve"> </w:t>
            </w:r>
            <w:r w:rsidRPr="00C92FF6" w:rsidR="000D042F">
              <w:rPr>
                <w:rFonts w:ascii="Arial Narrow" w:hAnsi="Arial Narrow" w:cs="Arial Narrow"/>
                <w:b/>
                <w:sz w:val="20"/>
                <w:szCs w:val="24"/>
              </w:rPr>
              <w:t>o reštrukturalizácii právneho rámca spoločenstva pre zdaňovanie</w:t>
            </w:r>
            <w:r w:rsidRPr="00C92FF6">
              <w:rPr>
                <w:rFonts w:ascii="Arial Narrow" w:hAnsi="Arial Narrow" w:cs="Arial Narrow"/>
                <w:b/>
                <w:sz w:val="20"/>
                <w:szCs w:val="24"/>
              </w:rPr>
              <w:t xml:space="preserve"> </w:t>
            </w:r>
            <w:r w:rsidRPr="00C92FF6" w:rsidR="000D042F">
              <w:rPr>
                <w:rFonts w:ascii="Arial Narrow" w:hAnsi="Arial Narrow" w:cs="Arial Narrow"/>
                <w:b/>
                <w:sz w:val="20"/>
                <w:szCs w:val="24"/>
              </w:rPr>
              <w:t>energetických výrobkov a</w:t>
            </w:r>
            <w:r w:rsidRPr="00C92FF6">
              <w:rPr>
                <w:rFonts w:ascii="Arial Narrow" w:hAnsi="Arial Narrow" w:cs="Arial Narrow"/>
                <w:b/>
                <w:sz w:val="20"/>
                <w:szCs w:val="24"/>
              </w:rPr>
              <w:t> </w:t>
            </w:r>
            <w:r w:rsidRPr="00C92FF6" w:rsidR="000D042F">
              <w:rPr>
                <w:rFonts w:ascii="Arial Narrow" w:hAnsi="Arial Narrow" w:cs="Arial Narrow"/>
                <w:b/>
                <w:sz w:val="20"/>
                <w:szCs w:val="24"/>
              </w:rPr>
              <w:t>elektriny</w:t>
            </w:r>
            <w:r w:rsidRPr="00C92FF6">
              <w:rPr>
                <w:rFonts w:ascii="Arial Narrow" w:hAnsi="Arial Narrow" w:cs="Arial Narrow"/>
                <w:b/>
                <w:sz w:val="20"/>
                <w:szCs w:val="24"/>
              </w:rPr>
              <w:t xml:space="preserve"> v znení smernica Rady 2004/74/ES a 2004/75/ES (konsolidované znenie)</w:t>
            </w:r>
          </w:p>
          <w:p w:rsidR="000D042F" w:rsidRPr="00C92FF6" w:rsidP="00FB350B">
            <w:pPr>
              <w:adjustRightInd w:val="0"/>
              <w:jc w:val="both"/>
              <w:rPr>
                <w:rFonts w:ascii="Arial Narrow" w:hAnsi="Arial Narrow" w:cs="Arial Narrow"/>
                <w:b/>
                <w:sz w:val="20"/>
                <w:szCs w:val="24"/>
              </w:rPr>
            </w:pPr>
          </w:p>
          <w:p w:rsidR="008C54C3" w:rsidRPr="00C92FF6" w:rsidP="00FB350B">
            <w:pPr>
              <w:adjustRightInd w:val="0"/>
              <w:jc w:val="both"/>
              <w:rPr>
                <w:rFonts w:ascii="Arial Narrow" w:hAnsi="Arial Narrow" w:cs="Arial Narrow"/>
                <w:sz w:val="20"/>
                <w:szCs w:val="24"/>
              </w:rPr>
            </w:pPr>
          </w:p>
        </w:tc>
        <w:tc>
          <w:tcPr>
            <w:tcW w:w="9180" w:type="dxa"/>
            <w:gridSpan w:val="5"/>
            <w:tcBorders>
              <w:top w:val="single" w:sz="4" w:space="0" w:color="auto"/>
              <w:left w:val="nil"/>
              <w:bottom w:val="single" w:sz="4" w:space="0" w:color="auto"/>
              <w:right w:val="single" w:sz="12" w:space="0" w:color="auto"/>
            </w:tcBorders>
            <w:textDirection w:val="lrTb"/>
            <w:vAlign w:val="top"/>
          </w:tcPr>
          <w:p w:rsidR="008C54C3" w:rsidRPr="00C92FF6" w:rsidP="00FB350B">
            <w:pPr>
              <w:pStyle w:val="Heading4"/>
              <w:jc w:val="both"/>
              <w:rPr>
                <w:rFonts w:ascii="Arial Narrow" w:hAnsi="Arial Narrow" w:cs="Arial Narrow"/>
                <w:sz w:val="20"/>
                <w:szCs w:val="24"/>
                <w:u w:val="single"/>
              </w:rPr>
            </w:pPr>
            <w:r w:rsidRPr="00C92FF6">
              <w:rPr>
                <w:rFonts w:ascii="Arial Narrow" w:hAnsi="Arial Narrow" w:cs="Arial Narrow"/>
                <w:sz w:val="20"/>
                <w:szCs w:val="24"/>
                <w:u w:val="single"/>
              </w:rPr>
              <w:t>Všeobecne záväzné právne predpisy Slovenskej republiky</w:t>
            </w:r>
          </w:p>
          <w:p w:rsidR="0095366E" w:rsidRPr="00C92FF6" w:rsidP="00FB350B">
            <w:pPr>
              <w:pStyle w:val="Zkladntext"/>
              <w:jc w:val="both"/>
              <w:rPr>
                <w:rFonts w:ascii="Arial Narrow" w:hAnsi="Arial Narrow" w:cs="Arial Narrow"/>
                <w:b/>
                <w:sz w:val="20"/>
                <w:szCs w:val="24"/>
              </w:rPr>
            </w:pPr>
            <w:r w:rsidRPr="00C92FF6">
              <w:rPr>
                <w:rFonts w:ascii="Arial Narrow" w:hAnsi="Arial Narrow" w:cs="Arial Narrow"/>
                <w:b/>
                <w:sz w:val="20"/>
                <w:szCs w:val="24"/>
              </w:rPr>
              <w:t>Návrh zákona, ktorým sa mení a dopĺňa zákon č. 98/2004 Z. z. o spotrebnej dani z minerálneho oleja v znení neskorších predpisov (ďalej len „návrh zákona“)</w:t>
            </w:r>
          </w:p>
          <w:p w:rsidR="008C54C3" w:rsidRPr="00C92FF6" w:rsidP="00FB350B">
            <w:pPr>
              <w:pStyle w:val="Header"/>
              <w:tabs>
                <w:tab w:val="left" w:pos="709"/>
              </w:tabs>
              <w:jc w:val="both"/>
              <w:rPr>
                <w:rFonts w:ascii="Arial Narrow" w:hAnsi="Arial Narrow" w:cs="Arial Narrow"/>
                <w:b/>
                <w:sz w:val="20"/>
                <w:szCs w:val="24"/>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C92FF6" w:rsidP="003328FF">
            <w:pPr>
              <w:pStyle w:val="tlArialNarrow10ptPodaokraja"/>
              <w:rPr>
                <w:szCs w:val="24"/>
              </w:rPr>
            </w:pPr>
            <w:r w:rsidRPr="00C92FF6">
              <w:rPr>
                <w:szCs w:val="24"/>
              </w:rPr>
              <w:t>1</w:t>
            </w:r>
          </w:p>
        </w:tc>
        <w:tc>
          <w:tcPr>
            <w:tcW w:w="6120"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C92FF6" w:rsidP="003328FF">
            <w:pPr>
              <w:pStyle w:val="tlArialNarrow10ptPodaokraja"/>
              <w:rPr>
                <w:szCs w:val="24"/>
              </w:rPr>
            </w:pPr>
            <w:r w:rsidRPr="00C92FF6">
              <w:rPr>
                <w:szCs w:val="24"/>
              </w:rPr>
              <w:t>2</w:t>
            </w:r>
          </w:p>
        </w:tc>
        <w:tc>
          <w:tcPr>
            <w:tcW w:w="360" w:type="dxa"/>
            <w:tcBorders>
              <w:top w:val="single" w:sz="4" w:space="0" w:color="auto"/>
              <w:left w:val="single" w:sz="4" w:space="0" w:color="auto"/>
              <w:bottom w:val="single" w:sz="4" w:space="0" w:color="auto"/>
              <w:right w:val="single" w:sz="12" w:space="0" w:color="auto"/>
            </w:tcBorders>
            <w:textDirection w:val="lrTb"/>
            <w:vAlign w:val="top"/>
          </w:tcPr>
          <w:p w:rsidR="00A9063F" w:rsidRPr="00C92FF6" w:rsidP="003328FF">
            <w:pPr>
              <w:pStyle w:val="tlArialNarrow10ptPodaokraja"/>
              <w:rPr>
                <w:szCs w:val="24"/>
              </w:rPr>
            </w:pPr>
            <w:r w:rsidRPr="00C92FF6">
              <w:rPr>
                <w:szCs w:val="24"/>
              </w:rPr>
              <w:t>3</w:t>
            </w:r>
          </w:p>
        </w:tc>
        <w:tc>
          <w:tcPr>
            <w:tcW w:w="900" w:type="dxa"/>
            <w:tcBorders>
              <w:top w:val="single" w:sz="4" w:space="0" w:color="auto"/>
              <w:left w:val="nil"/>
              <w:bottom w:val="single" w:sz="4" w:space="0" w:color="auto"/>
              <w:right w:val="single" w:sz="4" w:space="0" w:color="auto"/>
            </w:tcBorders>
            <w:textDirection w:val="lrTb"/>
            <w:vAlign w:val="top"/>
          </w:tcPr>
          <w:p w:rsidR="00A9063F" w:rsidRPr="00C92FF6" w:rsidP="003328FF">
            <w:pPr>
              <w:pStyle w:val="tlArialNarrow10ptPodaokraja"/>
              <w:rPr>
                <w:szCs w:val="24"/>
              </w:rPr>
            </w:pPr>
            <w:r w:rsidRPr="00C92FF6">
              <w:rPr>
                <w:szCs w:val="24"/>
              </w:rPr>
              <w:t>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C92FF6" w:rsidP="00FB350B">
            <w:pPr>
              <w:pStyle w:val="BodyText2"/>
              <w:jc w:val="both"/>
              <w:rPr>
                <w:rFonts w:ascii="Arial Narrow" w:hAnsi="Arial Narrow" w:cs="Arial Narrow"/>
                <w:szCs w:val="24"/>
              </w:rPr>
            </w:pPr>
            <w:r w:rsidRPr="00C92FF6">
              <w:rPr>
                <w:rFonts w:ascii="Arial Narrow" w:hAnsi="Arial Narrow" w:cs="Arial Narrow"/>
                <w:szCs w:val="24"/>
              </w:rPr>
              <w:t>5</w:t>
            </w:r>
          </w:p>
        </w:tc>
        <w:tc>
          <w:tcPr>
            <w:tcW w:w="6120" w:type="dxa"/>
            <w:tcBorders>
              <w:top w:val="single" w:sz="4" w:space="0" w:color="auto"/>
              <w:left w:val="single" w:sz="4" w:space="0" w:color="auto"/>
              <w:bottom w:val="single" w:sz="4" w:space="0" w:color="auto"/>
              <w:right w:val="single" w:sz="4" w:space="0" w:color="auto"/>
            </w:tcBorders>
            <w:textDirection w:val="lrTb"/>
            <w:vAlign w:val="top"/>
          </w:tcPr>
          <w:p w:rsidR="00A9063F" w:rsidRPr="00C92FF6" w:rsidP="00FB350B">
            <w:pPr>
              <w:pStyle w:val="BodyText2"/>
              <w:jc w:val="both"/>
              <w:rPr>
                <w:rFonts w:ascii="Arial Narrow" w:hAnsi="Arial Narrow" w:cs="Arial Narrow"/>
                <w:szCs w:val="24"/>
              </w:rPr>
            </w:pPr>
            <w:r w:rsidRPr="00C92FF6">
              <w:rPr>
                <w:rFonts w:ascii="Arial Narrow" w:hAnsi="Arial Narrow" w:cs="Arial Narrow"/>
                <w:szCs w:val="24"/>
              </w:rPr>
              <w:t>6</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A9063F" w:rsidRPr="00C92FF6" w:rsidP="003328FF">
            <w:pPr>
              <w:pStyle w:val="tlArialNarrow10ptPodaokraja"/>
              <w:rPr>
                <w:szCs w:val="24"/>
              </w:rPr>
            </w:pPr>
            <w:r w:rsidRPr="00C92FF6">
              <w:rPr>
                <w:szCs w:val="24"/>
              </w:rPr>
              <w:t>7</w:t>
            </w:r>
          </w:p>
        </w:tc>
        <w:tc>
          <w:tcPr>
            <w:tcW w:w="1080" w:type="dxa"/>
            <w:tcBorders>
              <w:top w:val="single" w:sz="4" w:space="0" w:color="auto"/>
              <w:left w:val="single" w:sz="4" w:space="0" w:color="auto"/>
              <w:bottom w:val="single" w:sz="4" w:space="0" w:color="auto"/>
              <w:right w:val="single" w:sz="12" w:space="0" w:color="auto"/>
            </w:tcBorders>
            <w:textDirection w:val="lrTb"/>
            <w:vAlign w:val="top"/>
          </w:tcPr>
          <w:p w:rsidR="00A9063F" w:rsidRPr="00C92FF6" w:rsidP="003328FF">
            <w:pPr>
              <w:pStyle w:val="tlArialNarrow10ptPodaokraja"/>
              <w:rPr>
                <w:szCs w:val="24"/>
              </w:rPr>
            </w:pPr>
            <w:r w:rsidRPr="00C92FF6" w:rsidR="005170A9">
              <w:rPr>
                <w:szCs w:val="24"/>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C92FF6" w:rsidP="00FB350B">
            <w:pPr>
              <w:pStyle w:val="Normlny"/>
              <w:jc w:val="both"/>
              <w:rPr>
                <w:rFonts w:ascii="Arial Narrow" w:hAnsi="Arial Narrow" w:cs="Arial Narrow"/>
                <w:sz w:val="18"/>
                <w:szCs w:val="24"/>
              </w:rPr>
            </w:pPr>
            <w:r w:rsidRPr="00C92FF6">
              <w:rPr>
                <w:rFonts w:ascii="Arial Narrow" w:hAnsi="Arial Narrow" w:cs="Arial Narrow"/>
                <w:sz w:val="18"/>
                <w:szCs w:val="24"/>
              </w:rPr>
              <w:t>Článok</w:t>
            </w:r>
          </w:p>
          <w:p w:rsidR="00A9063F" w:rsidRPr="00C92FF6" w:rsidP="00FB350B">
            <w:pPr>
              <w:pStyle w:val="Normlny"/>
              <w:jc w:val="both"/>
              <w:rPr>
                <w:rFonts w:ascii="Arial Narrow" w:hAnsi="Arial Narrow" w:cs="Arial Narrow"/>
                <w:sz w:val="18"/>
                <w:szCs w:val="24"/>
              </w:rPr>
            </w:pPr>
            <w:r w:rsidRPr="00C92FF6">
              <w:rPr>
                <w:rFonts w:ascii="Arial Narrow" w:hAnsi="Arial Narrow" w:cs="Arial Narrow"/>
                <w:sz w:val="18"/>
                <w:szCs w:val="24"/>
              </w:rPr>
              <w:t>(Č, O,</w:t>
            </w:r>
          </w:p>
          <w:p w:rsidR="00A9063F" w:rsidRPr="00C92FF6" w:rsidP="00FB350B">
            <w:pPr>
              <w:pStyle w:val="Normlny"/>
              <w:jc w:val="both"/>
              <w:rPr>
                <w:rFonts w:ascii="Arial Narrow" w:hAnsi="Arial Narrow" w:cs="Arial Narrow"/>
                <w:sz w:val="18"/>
                <w:szCs w:val="24"/>
              </w:rPr>
            </w:pPr>
            <w:r w:rsidRPr="00C92FF6">
              <w:rPr>
                <w:rFonts w:ascii="Arial Narrow" w:hAnsi="Arial Narrow" w:cs="Arial Narrow"/>
                <w:sz w:val="18"/>
                <w:szCs w:val="24"/>
              </w:rPr>
              <w:t>V, P)</w:t>
            </w:r>
          </w:p>
        </w:tc>
        <w:tc>
          <w:tcPr>
            <w:tcW w:w="6120"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C92FF6" w:rsidP="00FB350B">
            <w:pPr>
              <w:pStyle w:val="Normlny"/>
              <w:jc w:val="both"/>
              <w:rPr>
                <w:rFonts w:ascii="Arial Narrow" w:hAnsi="Arial Narrow" w:cs="Arial Narrow"/>
                <w:sz w:val="18"/>
                <w:szCs w:val="24"/>
              </w:rPr>
            </w:pPr>
            <w:r w:rsidRPr="00C92FF6">
              <w:rPr>
                <w:rFonts w:ascii="Arial Narrow" w:hAnsi="Arial Narrow" w:cs="Arial Narrow"/>
                <w:sz w:val="18"/>
                <w:szCs w:val="24"/>
              </w:rPr>
              <w:t>Text</w:t>
            </w:r>
          </w:p>
        </w:tc>
        <w:tc>
          <w:tcPr>
            <w:tcW w:w="360" w:type="dxa"/>
            <w:tcBorders>
              <w:top w:val="single" w:sz="4" w:space="0" w:color="auto"/>
              <w:left w:val="single" w:sz="4" w:space="0" w:color="auto"/>
              <w:bottom w:val="single" w:sz="4" w:space="0" w:color="auto"/>
              <w:right w:val="single" w:sz="12" w:space="0" w:color="auto"/>
            </w:tcBorders>
            <w:textDirection w:val="lrTb"/>
            <w:vAlign w:val="top"/>
          </w:tcPr>
          <w:p w:rsidR="00A9063F" w:rsidRPr="00C92FF6" w:rsidP="00FB350B">
            <w:pPr>
              <w:pStyle w:val="Normlny"/>
              <w:jc w:val="both"/>
              <w:rPr>
                <w:rFonts w:ascii="Arial Narrow" w:hAnsi="Arial Narrow" w:cs="Arial Narrow"/>
                <w:sz w:val="18"/>
                <w:szCs w:val="24"/>
              </w:rPr>
            </w:pPr>
            <w:r w:rsidRPr="00C92FF6">
              <w:rPr>
                <w:rFonts w:ascii="Arial Narrow" w:hAnsi="Arial Narrow" w:cs="Arial Narrow"/>
                <w:sz w:val="18"/>
                <w:szCs w:val="24"/>
              </w:rPr>
              <w:t>Spôsob transp.</w:t>
            </w:r>
          </w:p>
          <w:p w:rsidR="00A9063F" w:rsidRPr="00C92FF6" w:rsidP="00FB350B">
            <w:pPr>
              <w:pStyle w:val="Normlny"/>
              <w:jc w:val="both"/>
              <w:rPr>
                <w:rFonts w:ascii="Arial Narrow" w:hAnsi="Arial Narrow" w:cs="Arial Narrow"/>
                <w:sz w:val="18"/>
                <w:szCs w:val="24"/>
              </w:rPr>
            </w:pPr>
            <w:r w:rsidRPr="00C92FF6">
              <w:rPr>
                <w:rFonts w:ascii="Arial Narrow" w:hAnsi="Arial Narrow" w:cs="Arial Narrow"/>
                <w:sz w:val="18"/>
                <w:szCs w:val="24"/>
              </w:rPr>
              <w:t>(N, O, D, n.a.)</w:t>
            </w:r>
          </w:p>
        </w:tc>
        <w:tc>
          <w:tcPr>
            <w:tcW w:w="900" w:type="dxa"/>
            <w:tcBorders>
              <w:top w:val="single" w:sz="4" w:space="0" w:color="auto"/>
              <w:left w:val="nil"/>
              <w:bottom w:val="single" w:sz="4" w:space="0" w:color="auto"/>
              <w:right w:val="single" w:sz="4" w:space="0" w:color="auto"/>
            </w:tcBorders>
            <w:textDirection w:val="lrTb"/>
            <w:vAlign w:val="top"/>
          </w:tcPr>
          <w:p w:rsidR="00A9063F" w:rsidRPr="00C92FF6" w:rsidP="00FB350B">
            <w:pPr>
              <w:pStyle w:val="Normlny"/>
              <w:jc w:val="both"/>
              <w:rPr>
                <w:rFonts w:ascii="Arial Narrow" w:hAnsi="Arial Narrow" w:cs="Arial Narrow"/>
                <w:sz w:val="18"/>
                <w:szCs w:val="24"/>
              </w:rPr>
            </w:pPr>
            <w:r w:rsidRPr="00C92FF6">
              <w:rPr>
                <w:rFonts w:ascii="Arial Narrow" w:hAnsi="Arial Narrow" w:cs="Arial Narrow"/>
                <w:sz w:val="18"/>
                <w:szCs w:val="24"/>
              </w:rPr>
              <w:t>Číslo</w:t>
            </w:r>
          </w:p>
          <w:p w:rsidR="00A9063F" w:rsidRPr="00C92FF6" w:rsidP="00FB350B">
            <w:pPr>
              <w:pStyle w:val="Normlny"/>
              <w:jc w:val="both"/>
              <w:rPr>
                <w:rFonts w:ascii="Arial Narrow" w:hAnsi="Arial Narrow" w:cs="Arial Narrow"/>
                <w:sz w:val="18"/>
                <w:szCs w:val="24"/>
              </w:rPr>
            </w:pPr>
            <w:r w:rsidRPr="00C92FF6">
              <w:rPr>
                <w:rFonts w:ascii="Arial Narrow" w:hAnsi="Arial Narrow" w:cs="Arial Narrow"/>
                <w:sz w:val="18"/>
                <w:szCs w:val="24"/>
              </w:rPr>
              <w:t>predpisu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C92FF6" w:rsidP="00FB350B">
            <w:pPr>
              <w:pStyle w:val="Normlny"/>
              <w:jc w:val="both"/>
              <w:rPr>
                <w:rFonts w:ascii="Arial Narrow" w:hAnsi="Arial Narrow" w:cs="Arial Narrow"/>
                <w:sz w:val="18"/>
                <w:szCs w:val="24"/>
              </w:rPr>
            </w:pPr>
            <w:r w:rsidRPr="00C92FF6">
              <w:rPr>
                <w:rFonts w:ascii="Arial Narrow" w:hAnsi="Arial Narrow" w:cs="Arial Narrow"/>
                <w:sz w:val="18"/>
                <w:szCs w:val="24"/>
              </w:rPr>
              <w:t>Článok (Č, §, O, V, P)</w:t>
            </w:r>
          </w:p>
        </w:tc>
        <w:tc>
          <w:tcPr>
            <w:tcW w:w="6120" w:type="dxa"/>
            <w:tcBorders>
              <w:top w:val="single" w:sz="4" w:space="0" w:color="auto"/>
              <w:left w:val="single" w:sz="4" w:space="0" w:color="auto"/>
              <w:bottom w:val="single" w:sz="4" w:space="0" w:color="auto"/>
              <w:right w:val="single" w:sz="4" w:space="0" w:color="auto"/>
            </w:tcBorders>
            <w:textDirection w:val="lrTb"/>
            <w:vAlign w:val="top"/>
          </w:tcPr>
          <w:p w:rsidR="00A9063F" w:rsidRPr="00C92FF6" w:rsidP="00FB350B">
            <w:pPr>
              <w:pStyle w:val="Normlny"/>
              <w:jc w:val="both"/>
              <w:rPr>
                <w:rFonts w:ascii="Arial Narrow" w:hAnsi="Arial Narrow" w:cs="Arial Narrow"/>
                <w:sz w:val="18"/>
                <w:szCs w:val="24"/>
              </w:rPr>
            </w:pPr>
            <w:r w:rsidRPr="00C92FF6">
              <w:rPr>
                <w:rFonts w:ascii="Arial Narrow" w:hAnsi="Arial Narrow" w:cs="Arial Narrow"/>
                <w:sz w:val="18"/>
                <w:szCs w:val="24"/>
              </w:rPr>
              <w:t>Text</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A9063F" w:rsidRPr="00C92FF6" w:rsidP="00FB350B">
            <w:pPr>
              <w:pStyle w:val="Normlny"/>
              <w:jc w:val="both"/>
              <w:rPr>
                <w:rFonts w:ascii="Arial Narrow" w:hAnsi="Arial Narrow" w:cs="Arial Narrow"/>
                <w:sz w:val="18"/>
                <w:szCs w:val="24"/>
              </w:rPr>
            </w:pPr>
            <w:r w:rsidRPr="00C92FF6">
              <w:rPr>
                <w:rFonts w:ascii="Arial Narrow" w:hAnsi="Arial Narrow" w:cs="Arial Narrow"/>
                <w:sz w:val="18"/>
                <w:szCs w:val="24"/>
              </w:rPr>
              <w:t>Zhoda</w:t>
            </w:r>
          </w:p>
        </w:tc>
        <w:tc>
          <w:tcPr>
            <w:tcW w:w="1080" w:type="dxa"/>
            <w:tcBorders>
              <w:top w:val="single" w:sz="4" w:space="0" w:color="auto"/>
              <w:left w:val="single" w:sz="4" w:space="0" w:color="auto"/>
              <w:bottom w:val="single" w:sz="4" w:space="0" w:color="auto"/>
              <w:right w:val="single" w:sz="12" w:space="0" w:color="auto"/>
            </w:tcBorders>
            <w:textDirection w:val="lrTb"/>
            <w:vAlign w:val="top"/>
          </w:tcPr>
          <w:p w:rsidR="00A9063F" w:rsidRPr="00C92FF6" w:rsidP="00FB350B">
            <w:pPr>
              <w:pStyle w:val="Normlny"/>
              <w:jc w:val="both"/>
              <w:rPr>
                <w:rFonts w:ascii="Arial Narrow" w:hAnsi="Arial Narrow" w:cs="Arial Narrow"/>
                <w:sz w:val="18"/>
                <w:szCs w:val="24"/>
              </w:rPr>
            </w:pPr>
            <w:r w:rsidRPr="00C92FF6">
              <w:rPr>
                <w:rFonts w:ascii="Arial Narrow" w:hAnsi="Arial Narrow" w:cs="Arial Narrow"/>
                <w:sz w:val="18"/>
                <w:szCs w:val="24"/>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92989" w:rsidRPr="00C92FF6" w:rsidP="003328FF">
            <w:pPr>
              <w:pStyle w:val="tlArialNarrow10ptPodaokraja"/>
              <w:rPr>
                <w:szCs w:val="24"/>
              </w:rPr>
            </w:pPr>
            <w:r w:rsidRPr="00C92FF6">
              <w:rPr>
                <w:szCs w:val="24"/>
              </w:rPr>
              <w:t>Čl. 16</w:t>
            </w:r>
          </w:p>
        </w:tc>
        <w:tc>
          <w:tcPr>
            <w:tcW w:w="6120" w:type="dxa"/>
            <w:gridSpan w:val="2"/>
            <w:tcBorders>
              <w:top w:val="single" w:sz="4" w:space="0" w:color="auto"/>
              <w:left w:val="single" w:sz="4" w:space="0" w:color="auto"/>
              <w:bottom w:val="single" w:sz="4" w:space="0" w:color="auto"/>
              <w:right w:val="single" w:sz="4" w:space="0" w:color="auto"/>
            </w:tcBorders>
            <w:textDirection w:val="lrTb"/>
            <w:vAlign w:val="top"/>
          </w:tcPr>
          <w:p w:rsidR="00692989" w:rsidRPr="003328FF" w:rsidP="003328FF">
            <w:pPr>
              <w:pStyle w:val="tlArialNarrow10ptPodaokraja"/>
              <w:rPr>
                <w:szCs w:val="24"/>
              </w:rPr>
            </w:pPr>
            <w:r w:rsidRPr="003328FF">
              <w:rPr>
                <w:szCs w:val="24"/>
              </w:rPr>
              <w:t>1. Členské štáty môžu bez toho, aby bol dotknutý článok 5, uplatňovať oslobodenia od daní alebo úľavy na daniach pod daňovým dohľadom na zdaniteľné výrobky uvedené v článku 2, pokiaľ takéto výrobky sú zložené alebo obsahujú jeden alebo viac nasledovných výrobkov:</w:t>
            </w:r>
          </w:p>
          <w:p w:rsidR="00692989" w:rsidRPr="003328FF" w:rsidP="003328FF">
            <w:pPr>
              <w:pStyle w:val="tlArialNarrow10ptPodaokraja"/>
              <w:rPr>
                <w:szCs w:val="24"/>
              </w:rPr>
            </w:pPr>
            <w:r w:rsidRPr="003328FF">
              <w:rPr>
                <w:szCs w:val="24"/>
              </w:rPr>
              <w:t>— výrobky, na ktoré sa vzťahujú číselné znaky KN 1507 až 1518;</w:t>
            </w:r>
          </w:p>
          <w:p w:rsidR="00692989" w:rsidRPr="003328FF" w:rsidP="003328FF">
            <w:pPr>
              <w:pStyle w:val="tlArialNarrow10ptPodaokraja"/>
              <w:rPr>
                <w:szCs w:val="24"/>
              </w:rPr>
            </w:pPr>
            <w:r w:rsidRPr="003328FF">
              <w:rPr>
                <w:szCs w:val="24"/>
              </w:rPr>
              <w:t>— výrobky, na ktoré sa vzťahujú číselné znaky KN 3824 90 55</w:t>
            </w:r>
          </w:p>
          <w:p w:rsidR="00692989" w:rsidRPr="003328FF" w:rsidP="003328FF">
            <w:pPr>
              <w:pStyle w:val="tlArialNarrow10ptPodaokraja"/>
              <w:rPr>
                <w:szCs w:val="24"/>
              </w:rPr>
            </w:pPr>
            <w:r w:rsidRPr="003328FF">
              <w:rPr>
                <w:szCs w:val="24"/>
              </w:rPr>
              <w:t>a 3824 90 80 až 3824 90 99 kvôli ich súčastiam vyrábaným z biomasy;</w:t>
            </w:r>
          </w:p>
          <w:p w:rsidR="00692989" w:rsidRPr="003328FF" w:rsidP="003328FF">
            <w:pPr>
              <w:pStyle w:val="tlArialNarrow10ptPodaokraja"/>
              <w:rPr>
                <w:szCs w:val="24"/>
              </w:rPr>
            </w:pPr>
            <w:r w:rsidRPr="003328FF">
              <w:rPr>
                <w:szCs w:val="24"/>
              </w:rPr>
              <w:t>— výrobky, na ktoré sa vzťahujú číselné znaky KN 2207 20 00 a 2905 11 00, ktoré nie sú syntetického pôvodu;</w:t>
            </w:r>
          </w:p>
          <w:p w:rsidR="00692989" w:rsidRPr="003328FF" w:rsidP="003328FF">
            <w:pPr>
              <w:pStyle w:val="tlArialNarrow10ptPodaokraja"/>
              <w:rPr>
                <w:szCs w:val="24"/>
              </w:rPr>
            </w:pPr>
            <w:r w:rsidRPr="003328FF">
              <w:rPr>
                <w:szCs w:val="24"/>
              </w:rPr>
              <w:t>— výrobky vyrábané z biomasy, vrátane výrobkov, na ktoré sa vzťahujú číselné znaky KN 4401 a 4402.</w:t>
            </w:r>
          </w:p>
          <w:p w:rsidR="00692989" w:rsidRPr="003328FF" w:rsidP="003328FF">
            <w:pPr>
              <w:pStyle w:val="tlArialNarrow10ptPodaokraja"/>
              <w:rPr>
                <w:szCs w:val="24"/>
              </w:rPr>
            </w:pPr>
            <w:r w:rsidRPr="003328FF">
              <w:rPr>
                <w:szCs w:val="24"/>
              </w:rPr>
              <w:t>Členské štáty smú tiež uplatňovať zníženú sadzbu zdaňovania pod daňovým dohľadom na zdaniteľné výrobky uvedené v článku 2, pokiaľ takéto výrobky obsahujú vodu (číselné znaky KN 2201 a 2851 00 10).</w:t>
            </w:r>
          </w:p>
          <w:p w:rsidR="00692989" w:rsidRPr="003328FF" w:rsidP="003328FF">
            <w:pPr>
              <w:pStyle w:val="tlArialNarrow10ptPodaokraja"/>
              <w:rPr>
                <w:szCs w:val="24"/>
              </w:rPr>
            </w:pPr>
          </w:p>
          <w:p w:rsidR="00692989" w:rsidRPr="003328FF" w:rsidP="003328FF">
            <w:pPr>
              <w:pStyle w:val="tlArialNarrow10ptPodaokraja"/>
              <w:rPr>
                <w:szCs w:val="24"/>
              </w:rPr>
            </w:pPr>
            <w:r w:rsidRPr="003328FF">
              <w:rPr>
                <w:szCs w:val="24"/>
              </w:rPr>
              <w:t xml:space="preserve"> „Biomasa“ je biologicky odbúrateľná súčasť výrobkov, odpadu, zvyškov z poľnohospodárstva (vrátane rastlinných a živočíšnych látok), lesníctva a súvisiacich priemyselných sektorov, rovnako ako biologicky odbúrateľná súčasť priemyselného a komunálneho odpadu.</w:t>
            </w:r>
          </w:p>
          <w:p w:rsidR="00692989" w:rsidRPr="003328FF" w:rsidP="003328FF">
            <w:pPr>
              <w:pStyle w:val="tlArialNarrow10ptPodaokraja"/>
              <w:rPr>
                <w:szCs w:val="24"/>
              </w:rPr>
            </w:pPr>
          </w:p>
          <w:p w:rsidR="00692989" w:rsidRPr="003328FF" w:rsidP="003328FF">
            <w:pPr>
              <w:pStyle w:val="tlArialNarrow10ptPodaokraja"/>
              <w:rPr>
                <w:szCs w:val="24"/>
              </w:rPr>
            </w:pPr>
            <w:r w:rsidRPr="003328FF">
              <w:rPr>
                <w:szCs w:val="24"/>
              </w:rPr>
              <w:t>2. Oslobodenie od daní alebo daňové úľavy vyplývajúce z uplatňovania zníženej sadzby stanovenej v odseku 1 nesmie prevyšovať čiastku zdaňovania plateného z objemu výrobkov uvedených v odseku 1, ktoré sú prítomné vo výrobkoch oprávnených na daňové úľavy.</w:t>
            </w:r>
          </w:p>
          <w:p w:rsidR="00692989" w:rsidRPr="003328FF" w:rsidP="003328FF">
            <w:pPr>
              <w:pStyle w:val="tlArialNarrow10ptPodaokraja"/>
              <w:rPr>
                <w:szCs w:val="24"/>
              </w:rPr>
            </w:pPr>
            <w:r w:rsidRPr="003328FF">
              <w:rPr>
                <w:szCs w:val="24"/>
              </w:rPr>
              <w:t>Úrovne zdaňovania uplatňované členskými štátmi na výrobky zložené alebo obsahujúce výrobky uvedené v odseku 1 smú byť nižšie ako minimálne úrovne určené v článku 4.</w:t>
            </w:r>
          </w:p>
          <w:p w:rsidR="00692989" w:rsidRPr="003328FF" w:rsidP="003328FF">
            <w:pPr>
              <w:pStyle w:val="tlArialNarrow10ptPodaokraja"/>
              <w:rPr>
                <w:szCs w:val="24"/>
              </w:rPr>
            </w:pPr>
          </w:p>
          <w:p w:rsidR="00692989" w:rsidRPr="003328FF" w:rsidP="003328FF">
            <w:pPr>
              <w:pStyle w:val="tlArialNarrow10ptPodaokraja"/>
              <w:rPr>
                <w:szCs w:val="24"/>
              </w:rPr>
            </w:pPr>
            <w:r w:rsidRPr="003328FF">
              <w:rPr>
                <w:szCs w:val="24"/>
              </w:rPr>
              <w:t>3. Oslobodenie od daní alebo daňové úľavy uplatňované členskými štátmi sa prispôsobujú tak, aby zohľadňovali zmeny v cenách surovín, kvôli zabráneniu nadmerným kompenzáciám za zvýšené náklady pri výrobe výrobkov uvedených v odseku 1.</w:t>
            </w:r>
          </w:p>
          <w:p w:rsidR="00692989" w:rsidRPr="003328FF" w:rsidP="003328FF">
            <w:pPr>
              <w:pStyle w:val="tlArialNarrow10ptPodaokraja"/>
              <w:rPr>
                <w:szCs w:val="24"/>
              </w:rPr>
            </w:pPr>
          </w:p>
          <w:p w:rsidR="00692989" w:rsidRPr="003328FF" w:rsidP="003328FF">
            <w:pPr>
              <w:pStyle w:val="tlArialNarrow10ptPodaokraja"/>
              <w:rPr>
                <w:szCs w:val="24"/>
              </w:rPr>
            </w:pPr>
            <w:r w:rsidRPr="003328FF">
              <w:rPr>
                <w:szCs w:val="24"/>
              </w:rPr>
              <w:t>4. Do 31. decembra smú členské štáty oslobodiť od dane alebo naďalej oslobodzovať od dane výrobky výlučne alebo takmer výlučne zložené z výrobkov uvedených v odseku 1.</w:t>
            </w:r>
          </w:p>
          <w:p w:rsidR="00692989" w:rsidRPr="003328FF" w:rsidP="003328FF">
            <w:pPr>
              <w:pStyle w:val="tlArialNarrow10ptPodaokraja"/>
              <w:rPr>
                <w:szCs w:val="24"/>
              </w:rPr>
            </w:pPr>
          </w:p>
          <w:p w:rsidR="00692989" w:rsidRPr="003328FF" w:rsidP="003328FF">
            <w:pPr>
              <w:pStyle w:val="tlArialNarrow10ptPodaokraja"/>
              <w:rPr>
                <w:szCs w:val="24"/>
              </w:rPr>
            </w:pPr>
            <w:r w:rsidRPr="003328FF">
              <w:rPr>
                <w:szCs w:val="24"/>
              </w:rPr>
              <w:t>5. Oslobodenie od daní alebo daňové úľavy ustanovené pre výrobky uvedené v odseku 1 sa môžu poskytovať na základe viacročného programu prostredníctvom povolenia vydávaného správnym orgánom hospodárskemu subjektu na dobu dlhšiu ako jeden kalendárny rok. Povolené oslobodenia od daní alebo daňové úľavy sa nesmú uplatňovať dlhšie ako po dobu presahujúcu šesť po sebe nasledujúcich rokov. Toto obdobie sa môže predĺžiť.</w:t>
            </w:r>
          </w:p>
          <w:p w:rsidR="00692989" w:rsidRPr="003328FF" w:rsidP="003328FF">
            <w:pPr>
              <w:pStyle w:val="tlArialNarrow10ptPodaokraja"/>
              <w:rPr>
                <w:szCs w:val="24"/>
              </w:rPr>
            </w:pPr>
            <w:r w:rsidRPr="003328FF">
              <w:rPr>
                <w:szCs w:val="24"/>
              </w:rPr>
              <w:t>V rámci viacročného programu schváleného správnym orgánom pred 31. decembrom 2012 smú členské štáty uplatňovať oslobodenie od daní alebo daňové úľavy na základe odseku 1 po 31. decembri 2012 až do konca viacročného programu. Toto obdobie sa nemôže predĺžiť.</w:t>
            </w:r>
          </w:p>
          <w:p w:rsidR="00692989" w:rsidRPr="003328FF" w:rsidP="003328FF">
            <w:pPr>
              <w:pStyle w:val="tlArialNarrow10ptPodaokraja"/>
              <w:rPr>
                <w:szCs w:val="24"/>
              </w:rPr>
            </w:pPr>
          </w:p>
          <w:p w:rsidR="00692989" w:rsidRPr="003328FF" w:rsidP="003328FF">
            <w:pPr>
              <w:pStyle w:val="tlArialNarrow10ptPodaokraja"/>
              <w:rPr>
                <w:szCs w:val="24"/>
              </w:rPr>
            </w:pPr>
            <w:r w:rsidRPr="003328FF">
              <w:rPr>
                <w:szCs w:val="24"/>
              </w:rPr>
              <w:t>6. Ak právo spoločenstva vyžaduje od členských štátov, aby dodržiavali právne záväzné povinnosti umiestňovať na svojich trhoch minimálny podiel výrobkov uvedených v odseku 1, odseky 1 až 5 sa prestávajú uplatňovať odo dňa, keď sa takéto povinnosti stávajú pre členské štáty záväznými.</w:t>
            </w:r>
          </w:p>
          <w:p w:rsidR="00692989" w:rsidRPr="003328FF" w:rsidP="003328FF">
            <w:pPr>
              <w:pStyle w:val="tlArialNarrow10ptPodaokraja"/>
              <w:rPr>
                <w:szCs w:val="24"/>
              </w:rPr>
            </w:pPr>
          </w:p>
          <w:p w:rsidR="006567F7" w:rsidRPr="003328FF" w:rsidP="003328FF">
            <w:pPr>
              <w:pStyle w:val="tlArialNarrow10ptPodaokraja"/>
              <w:rPr>
                <w:szCs w:val="24"/>
              </w:rPr>
            </w:pPr>
            <w:r w:rsidRPr="003328FF" w:rsidR="00692989">
              <w:rPr>
                <w:szCs w:val="24"/>
              </w:rPr>
              <w:t>7. Členské štáty oznamujú Komisii časový plán daňových úľav alebo oslobodení od dane uplatňovaných v súlade s týmto článkom do 31. decembra 2004 a následne kaž</w:t>
            </w:r>
            <w:r w:rsidRPr="003328FF">
              <w:rPr>
                <w:szCs w:val="24"/>
              </w:rPr>
              <w:t>dých 12 mesiacov.</w:t>
            </w:r>
          </w:p>
          <w:p w:rsidR="006567F7" w:rsidRPr="003328FF" w:rsidP="003328FF">
            <w:pPr>
              <w:pStyle w:val="tlArialNarrow10ptPodaokraja"/>
              <w:rPr>
                <w:szCs w:val="24"/>
              </w:rPr>
            </w:pPr>
          </w:p>
          <w:p w:rsidR="00692989" w:rsidRPr="003328FF" w:rsidP="003328FF">
            <w:pPr>
              <w:pStyle w:val="tlArialNarrow10ptPodaokraja"/>
              <w:rPr>
                <w:szCs w:val="24"/>
              </w:rPr>
            </w:pPr>
            <w:r w:rsidRPr="003328FF">
              <w:rPr>
                <w:szCs w:val="24"/>
              </w:rPr>
              <w:t>8. Najneskoršie 31. decembra 2009 predloží Komisia Rade správu o daňových, hospodárskych, poľnohospodárskych, energetických, priemyselných a environmentálnych aspektoch daňových úľav poskytnutých v súlade s týmto článkom.</w:t>
            </w:r>
          </w:p>
          <w:p w:rsidR="00692989" w:rsidRPr="003328FF" w:rsidP="00FB350B">
            <w:pPr>
              <w:pStyle w:val="Normlny"/>
              <w:jc w:val="both"/>
              <w:rPr>
                <w:rFonts w:ascii="Arial Narrow" w:hAnsi="Arial Narrow" w:cs="Arial Narrow"/>
                <w:szCs w:val="24"/>
              </w:rPr>
            </w:pPr>
          </w:p>
        </w:tc>
        <w:tc>
          <w:tcPr>
            <w:tcW w:w="360" w:type="dxa"/>
            <w:tcBorders>
              <w:top w:val="single" w:sz="4" w:space="0" w:color="auto"/>
              <w:left w:val="single" w:sz="4" w:space="0" w:color="auto"/>
              <w:bottom w:val="single" w:sz="4" w:space="0" w:color="auto"/>
              <w:right w:val="single" w:sz="12" w:space="0" w:color="auto"/>
            </w:tcBorders>
            <w:textDirection w:val="lrTb"/>
            <w:vAlign w:val="top"/>
          </w:tcPr>
          <w:p w:rsidR="00692989" w:rsidP="003328FF">
            <w:pPr>
              <w:pStyle w:val="tlArialNarrow10ptPodaokraja"/>
              <w:rPr>
                <w:szCs w:val="24"/>
              </w:rPr>
            </w:pPr>
            <w:r w:rsidR="006567F7">
              <w:rPr>
                <w:szCs w:val="24"/>
              </w:rPr>
              <w:t>D</w:t>
            </w: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r>
              <w:rPr>
                <w:szCs w:val="24"/>
              </w:rPr>
              <w:t>D</w:t>
            </w:r>
          </w:p>
          <w:p w:rsidR="006567F7"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r>
              <w:rPr>
                <w:szCs w:val="24"/>
              </w:rPr>
              <w:t>N</w:t>
            </w: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r>
              <w:rPr>
                <w:szCs w:val="24"/>
              </w:rPr>
              <w:t>n.a.</w:t>
            </w:r>
          </w:p>
          <w:p w:rsidR="006567F7" w:rsidRPr="00C92FF6" w:rsidP="00FB350B">
            <w:pPr>
              <w:jc w:val="both"/>
              <w:rPr>
                <w:rFonts w:ascii="Arial Narrow" w:hAnsi="Arial Narrow" w:cs="Arial Narrow"/>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692989" w:rsidP="003328FF">
            <w:pPr>
              <w:pStyle w:val="tlArialNarrow10ptPodaokraja"/>
              <w:rPr>
                <w:szCs w:val="24"/>
              </w:rPr>
            </w:pPr>
            <w:r w:rsidR="00E148DA">
              <w:rPr>
                <w:szCs w:val="24"/>
              </w:rPr>
              <w:t>Návrh zákona</w:t>
            </w: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r>
              <w:rPr>
                <w:szCs w:val="24"/>
              </w:rPr>
              <w:t>Návrh zákona</w:t>
            </w: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P="003328FF">
            <w:pPr>
              <w:pStyle w:val="tlArialNarrow10ptPodaokraja"/>
              <w:rPr>
                <w:szCs w:val="24"/>
              </w:rPr>
            </w:pPr>
          </w:p>
          <w:p w:rsidR="006567F7" w:rsidRPr="00C92FF6" w:rsidP="00FB350B">
            <w:pPr>
              <w:jc w:val="both"/>
              <w:rPr>
                <w:rFonts w:ascii="Arial Narrow" w:hAnsi="Arial Narrow" w:cs="Arial Narrow"/>
                <w:sz w:val="20"/>
                <w:szCs w:val="24"/>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148DA" w:rsidP="00FB350B">
            <w:pPr>
              <w:pStyle w:val="Normlny"/>
              <w:jc w:val="both"/>
              <w:rPr>
                <w:rFonts w:ascii="Arial Narrow" w:hAnsi="Arial Narrow" w:cs="Arial Narrow"/>
                <w:szCs w:val="24"/>
              </w:rPr>
            </w:pPr>
          </w:p>
          <w:p w:rsidR="00E148DA" w:rsidP="00FB350B">
            <w:pPr>
              <w:pStyle w:val="Normlny"/>
              <w:jc w:val="both"/>
              <w:rPr>
                <w:rFonts w:ascii="Arial Narrow" w:hAnsi="Arial Narrow" w:cs="Arial Narrow"/>
                <w:szCs w:val="24"/>
              </w:rPr>
            </w:pPr>
          </w:p>
          <w:p w:rsidR="00E148DA" w:rsidP="00FB350B">
            <w:pPr>
              <w:pStyle w:val="Normlny"/>
              <w:jc w:val="both"/>
              <w:rPr>
                <w:rFonts w:ascii="Arial Narrow" w:hAnsi="Arial Narrow" w:cs="Arial Narrow"/>
                <w:szCs w:val="24"/>
              </w:rPr>
            </w:pPr>
          </w:p>
          <w:p w:rsidR="006567F7" w:rsidP="00FB350B">
            <w:pPr>
              <w:pStyle w:val="Normlny"/>
              <w:jc w:val="both"/>
              <w:rPr>
                <w:rFonts w:ascii="Arial Narrow" w:hAnsi="Arial Narrow" w:cs="Arial Narrow"/>
                <w:szCs w:val="24"/>
              </w:rPr>
            </w:pPr>
          </w:p>
          <w:p w:rsidR="006567F7" w:rsidP="00FB350B">
            <w:pPr>
              <w:pStyle w:val="Normlny"/>
              <w:jc w:val="both"/>
              <w:rPr>
                <w:rFonts w:ascii="Arial Narrow" w:hAnsi="Arial Narrow" w:cs="Arial Narrow"/>
                <w:szCs w:val="24"/>
              </w:rPr>
            </w:pPr>
          </w:p>
          <w:p w:rsidR="006567F7" w:rsidP="00FB350B">
            <w:pPr>
              <w:pStyle w:val="Normlny"/>
              <w:jc w:val="both"/>
              <w:rPr>
                <w:rFonts w:ascii="Arial Narrow" w:hAnsi="Arial Narrow" w:cs="Arial Narrow"/>
                <w:szCs w:val="24"/>
              </w:rPr>
            </w:pPr>
          </w:p>
          <w:p w:rsidR="006567F7" w:rsidP="00FB350B">
            <w:pPr>
              <w:pStyle w:val="Normlny"/>
              <w:jc w:val="both"/>
              <w:rPr>
                <w:rFonts w:ascii="Arial Narrow" w:hAnsi="Arial Narrow" w:cs="Arial Narrow"/>
                <w:szCs w:val="24"/>
              </w:rPr>
            </w:pPr>
          </w:p>
          <w:p w:rsidR="006567F7" w:rsidP="00FB350B">
            <w:pPr>
              <w:pStyle w:val="Normlny"/>
              <w:jc w:val="both"/>
              <w:rPr>
                <w:rFonts w:ascii="Arial Narrow" w:hAnsi="Arial Narrow" w:cs="Arial Narrow"/>
                <w:szCs w:val="24"/>
              </w:rPr>
            </w:pPr>
          </w:p>
          <w:p w:rsidR="006567F7" w:rsidP="00FB350B">
            <w:pPr>
              <w:pStyle w:val="Normlny"/>
              <w:jc w:val="both"/>
              <w:rPr>
                <w:rFonts w:ascii="Arial Narrow" w:hAnsi="Arial Narrow" w:cs="Arial Narrow"/>
                <w:szCs w:val="24"/>
              </w:rPr>
            </w:pPr>
          </w:p>
          <w:p w:rsidR="006567F7" w:rsidP="00FB350B">
            <w:pPr>
              <w:pStyle w:val="Normlny"/>
              <w:jc w:val="both"/>
              <w:rPr>
                <w:rFonts w:ascii="Arial Narrow" w:hAnsi="Arial Narrow" w:cs="Arial Narrow"/>
                <w:szCs w:val="24"/>
              </w:rPr>
            </w:pPr>
          </w:p>
          <w:p w:rsidR="006567F7" w:rsidP="00FB350B">
            <w:pPr>
              <w:pStyle w:val="Normlny"/>
              <w:jc w:val="both"/>
              <w:rPr>
                <w:rFonts w:ascii="Arial Narrow" w:hAnsi="Arial Narrow" w:cs="Arial Narrow"/>
                <w:szCs w:val="24"/>
              </w:rPr>
            </w:pPr>
          </w:p>
          <w:p w:rsidR="006567F7" w:rsidP="00FB350B">
            <w:pPr>
              <w:pStyle w:val="Normlny"/>
              <w:jc w:val="both"/>
              <w:rPr>
                <w:rFonts w:ascii="Arial Narrow" w:hAnsi="Arial Narrow" w:cs="Arial Narrow"/>
                <w:szCs w:val="24"/>
              </w:rPr>
            </w:pPr>
          </w:p>
          <w:p w:rsidR="006567F7" w:rsidP="00FB350B">
            <w:pPr>
              <w:pStyle w:val="Normlny"/>
              <w:jc w:val="both"/>
              <w:rPr>
                <w:rFonts w:ascii="Arial Narrow" w:hAnsi="Arial Narrow" w:cs="Arial Narrow"/>
                <w:szCs w:val="24"/>
              </w:rPr>
            </w:pPr>
          </w:p>
          <w:p w:rsidR="006567F7" w:rsidP="00FB350B">
            <w:pPr>
              <w:pStyle w:val="Normlny"/>
              <w:jc w:val="both"/>
              <w:rPr>
                <w:rFonts w:ascii="Arial Narrow" w:hAnsi="Arial Narrow" w:cs="Arial Narrow"/>
                <w:szCs w:val="24"/>
              </w:rPr>
            </w:pPr>
          </w:p>
          <w:p w:rsidR="006567F7" w:rsidP="00FB350B">
            <w:pPr>
              <w:pStyle w:val="Normlny"/>
              <w:jc w:val="both"/>
              <w:rPr>
                <w:rFonts w:ascii="Arial Narrow" w:hAnsi="Arial Narrow" w:cs="Arial Narrow"/>
                <w:szCs w:val="24"/>
              </w:rPr>
            </w:pPr>
          </w:p>
          <w:p w:rsidR="006567F7" w:rsidP="00FB350B">
            <w:pPr>
              <w:pStyle w:val="Normlny"/>
              <w:jc w:val="both"/>
              <w:rPr>
                <w:rFonts w:ascii="Arial Narrow" w:hAnsi="Arial Narrow" w:cs="Arial Narrow"/>
                <w:szCs w:val="24"/>
              </w:rPr>
            </w:pPr>
          </w:p>
          <w:p w:rsidR="006567F7" w:rsidP="00FB350B">
            <w:pPr>
              <w:pStyle w:val="Normlny"/>
              <w:jc w:val="both"/>
              <w:rPr>
                <w:rFonts w:ascii="Arial Narrow" w:hAnsi="Arial Narrow" w:cs="Arial Narrow"/>
                <w:szCs w:val="24"/>
              </w:rPr>
            </w:pPr>
          </w:p>
          <w:p w:rsidR="006567F7" w:rsidP="00FB350B">
            <w:pPr>
              <w:pStyle w:val="Normlny"/>
              <w:jc w:val="both"/>
              <w:rPr>
                <w:rFonts w:ascii="Arial Narrow" w:hAnsi="Arial Narrow" w:cs="Arial Narrow"/>
                <w:szCs w:val="24"/>
              </w:rPr>
            </w:pPr>
          </w:p>
          <w:p w:rsidR="00025098" w:rsidP="00FB350B">
            <w:pPr>
              <w:pStyle w:val="Normlny"/>
              <w:jc w:val="both"/>
              <w:rPr>
                <w:rFonts w:ascii="Arial Narrow" w:hAnsi="Arial Narrow" w:cs="Arial Narrow"/>
                <w:szCs w:val="24"/>
              </w:rPr>
            </w:pPr>
          </w:p>
          <w:p w:rsidR="00025098" w:rsidP="00FB350B">
            <w:pPr>
              <w:pStyle w:val="Normlny"/>
              <w:jc w:val="both"/>
              <w:rPr>
                <w:rFonts w:ascii="Arial Narrow" w:hAnsi="Arial Narrow" w:cs="Arial Narrow"/>
                <w:szCs w:val="24"/>
              </w:rPr>
            </w:pPr>
          </w:p>
          <w:p w:rsidR="006567F7" w:rsidP="006567F7">
            <w:pPr>
              <w:pStyle w:val="Normlny"/>
              <w:rPr>
                <w:rFonts w:ascii="Arial Narrow" w:hAnsi="Arial Narrow" w:cs="Arial Narrow"/>
                <w:szCs w:val="24"/>
              </w:rPr>
            </w:pPr>
            <w:r>
              <w:rPr>
                <w:rFonts w:ascii="Arial Narrow" w:hAnsi="Arial Narrow" w:cs="Arial Narrow"/>
                <w:szCs w:val="24"/>
              </w:rPr>
              <w:t xml:space="preserve">§ 10 ods. </w:t>
            </w:r>
            <w:r w:rsidR="009C7B31">
              <w:rPr>
                <w:rFonts w:ascii="Arial Narrow" w:hAnsi="Arial Narrow" w:cs="Arial Narrow"/>
                <w:szCs w:val="24"/>
              </w:rPr>
              <w:t>4</w:t>
            </w:r>
          </w:p>
          <w:p w:rsidR="00E148DA" w:rsidP="00FB350B">
            <w:pPr>
              <w:pStyle w:val="Normlny"/>
              <w:jc w:val="both"/>
              <w:rPr>
                <w:rFonts w:ascii="Arial Narrow" w:hAnsi="Arial Narrow" w:cs="Arial Narrow"/>
                <w:szCs w:val="24"/>
              </w:rPr>
            </w:pPr>
            <w:r w:rsidR="00025098">
              <w:rPr>
                <w:rFonts w:ascii="Arial Narrow" w:hAnsi="Arial Narrow" w:cs="Arial Narrow"/>
                <w:szCs w:val="24"/>
              </w:rPr>
              <w:t>písm. a)</w:t>
            </w:r>
          </w:p>
          <w:p w:rsidR="00025098" w:rsidRPr="00C92FF6" w:rsidP="00FB350B">
            <w:pPr>
              <w:pStyle w:val="Normlny"/>
              <w:jc w:val="both"/>
              <w:rPr>
                <w:rFonts w:ascii="Arial Narrow" w:hAnsi="Arial Narrow" w:cs="Arial Narrow"/>
                <w:szCs w:val="24"/>
              </w:rPr>
            </w:pPr>
            <w:r>
              <w:rPr>
                <w:rFonts w:ascii="Arial Narrow" w:hAnsi="Arial Narrow" w:cs="Arial Narrow"/>
                <w:szCs w:val="24"/>
              </w:rPr>
              <w:t>1. bod</w:t>
            </w:r>
          </w:p>
        </w:tc>
        <w:tc>
          <w:tcPr>
            <w:tcW w:w="6120" w:type="dxa"/>
            <w:tcBorders>
              <w:top w:val="single" w:sz="4" w:space="0" w:color="auto"/>
              <w:left w:val="single" w:sz="4" w:space="0" w:color="auto"/>
              <w:bottom w:val="single" w:sz="4" w:space="0" w:color="auto"/>
              <w:right w:val="single" w:sz="4" w:space="0" w:color="auto"/>
            </w:tcBorders>
            <w:textDirection w:val="lrTb"/>
            <w:vAlign w:val="top"/>
          </w:tcPr>
          <w:p w:rsidR="00E148DA" w:rsidP="00025098">
            <w:pPr>
              <w:autoSpaceDE/>
              <w:autoSpaceDN/>
              <w:jc w:val="both"/>
              <w:rPr>
                <w:rFonts w:ascii="Arial Narrow" w:hAnsi="Arial Narrow" w:cs="Arial Narrow"/>
                <w:color w:val="000000"/>
                <w:sz w:val="20"/>
                <w:szCs w:val="24"/>
              </w:rPr>
            </w:pPr>
          </w:p>
          <w:p w:rsidR="00025098" w:rsidP="00025098">
            <w:pPr>
              <w:autoSpaceDE/>
              <w:autoSpaceDN/>
              <w:jc w:val="both"/>
              <w:rPr>
                <w:rFonts w:ascii="Arial Narrow" w:hAnsi="Arial Narrow" w:cs="Arial Narrow"/>
                <w:color w:val="000000"/>
                <w:sz w:val="20"/>
                <w:szCs w:val="24"/>
              </w:rPr>
            </w:pPr>
          </w:p>
          <w:p w:rsidR="00025098" w:rsidP="00025098">
            <w:pPr>
              <w:autoSpaceDE/>
              <w:autoSpaceDN/>
              <w:jc w:val="both"/>
              <w:rPr>
                <w:rFonts w:ascii="Arial Narrow" w:hAnsi="Arial Narrow" w:cs="Arial Narrow"/>
                <w:color w:val="000000"/>
                <w:sz w:val="20"/>
                <w:szCs w:val="24"/>
              </w:rPr>
            </w:pPr>
          </w:p>
          <w:p w:rsidR="00025098" w:rsidP="00025098">
            <w:pPr>
              <w:autoSpaceDE/>
              <w:autoSpaceDN/>
              <w:jc w:val="both"/>
              <w:rPr>
                <w:rFonts w:ascii="Arial Narrow" w:hAnsi="Arial Narrow" w:cs="Arial Narrow"/>
                <w:color w:val="000000"/>
                <w:sz w:val="20"/>
                <w:szCs w:val="24"/>
              </w:rPr>
            </w:pPr>
          </w:p>
          <w:p w:rsidR="00025098" w:rsidP="00025098">
            <w:pPr>
              <w:autoSpaceDE/>
              <w:autoSpaceDN/>
              <w:jc w:val="both"/>
              <w:rPr>
                <w:rFonts w:ascii="Arial Narrow" w:hAnsi="Arial Narrow" w:cs="Arial Narrow"/>
                <w:color w:val="000000"/>
                <w:sz w:val="20"/>
                <w:szCs w:val="24"/>
              </w:rPr>
            </w:pPr>
          </w:p>
          <w:p w:rsidR="00025098" w:rsidP="00025098">
            <w:pPr>
              <w:autoSpaceDE/>
              <w:autoSpaceDN/>
              <w:jc w:val="both"/>
              <w:rPr>
                <w:rFonts w:ascii="Arial Narrow" w:hAnsi="Arial Narrow" w:cs="Arial Narrow"/>
                <w:color w:val="000000"/>
                <w:sz w:val="20"/>
                <w:szCs w:val="24"/>
              </w:rPr>
            </w:pPr>
          </w:p>
          <w:p w:rsidR="006567F7" w:rsidP="006567F7">
            <w:pPr>
              <w:autoSpaceDE/>
              <w:autoSpaceDN/>
              <w:jc w:val="both"/>
              <w:rPr>
                <w:rFonts w:ascii="Arial Narrow" w:hAnsi="Arial Narrow" w:cs="Arial Narrow"/>
                <w:color w:val="000000"/>
                <w:sz w:val="20"/>
                <w:szCs w:val="24"/>
              </w:rPr>
            </w:pPr>
          </w:p>
          <w:p w:rsidR="006567F7" w:rsidP="006567F7">
            <w:pPr>
              <w:autoSpaceDE/>
              <w:autoSpaceDN/>
              <w:jc w:val="both"/>
              <w:rPr>
                <w:rFonts w:ascii="Arial Narrow" w:hAnsi="Arial Narrow" w:cs="Arial Narrow"/>
                <w:color w:val="000000"/>
                <w:sz w:val="20"/>
                <w:szCs w:val="24"/>
              </w:rPr>
            </w:pPr>
          </w:p>
          <w:p w:rsidR="001D53EC" w:rsidP="006567F7">
            <w:pPr>
              <w:autoSpaceDE/>
              <w:autoSpaceDN/>
              <w:jc w:val="both"/>
              <w:rPr>
                <w:rFonts w:ascii="Arial Narrow" w:hAnsi="Arial Narrow" w:cs="Arial Narrow"/>
                <w:color w:val="000000"/>
                <w:sz w:val="20"/>
                <w:szCs w:val="24"/>
              </w:rPr>
            </w:pPr>
          </w:p>
          <w:p w:rsidR="001D53EC" w:rsidP="006567F7">
            <w:pPr>
              <w:autoSpaceDE/>
              <w:autoSpaceDN/>
              <w:jc w:val="both"/>
              <w:rPr>
                <w:rFonts w:ascii="Arial Narrow" w:hAnsi="Arial Narrow" w:cs="Arial Narrow"/>
                <w:color w:val="000000"/>
                <w:sz w:val="20"/>
                <w:szCs w:val="24"/>
              </w:rPr>
            </w:pPr>
          </w:p>
          <w:p w:rsidR="00025098" w:rsidP="006567F7">
            <w:pPr>
              <w:autoSpaceDE/>
              <w:autoSpaceDN/>
              <w:jc w:val="both"/>
              <w:rPr>
                <w:rFonts w:ascii="Arial Narrow" w:hAnsi="Arial Narrow" w:cs="Arial Narrow"/>
                <w:color w:val="000000"/>
                <w:sz w:val="20"/>
                <w:szCs w:val="24"/>
              </w:rPr>
            </w:pPr>
          </w:p>
          <w:p w:rsidR="00025098" w:rsidP="006567F7">
            <w:pPr>
              <w:autoSpaceDE/>
              <w:autoSpaceDN/>
              <w:jc w:val="both"/>
              <w:rPr>
                <w:rFonts w:ascii="Arial Narrow" w:hAnsi="Arial Narrow" w:cs="Arial Narrow"/>
                <w:color w:val="000000"/>
                <w:sz w:val="20"/>
                <w:szCs w:val="24"/>
              </w:rPr>
            </w:pPr>
          </w:p>
          <w:p w:rsidR="00025098" w:rsidP="006567F7">
            <w:pPr>
              <w:autoSpaceDE/>
              <w:autoSpaceDN/>
              <w:jc w:val="both"/>
              <w:rPr>
                <w:rFonts w:ascii="Arial Narrow" w:hAnsi="Arial Narrow" w:cs="Arial Narrow"/>
                <w:color w:val="000000"/>
                <w:sz w:val="20"/>
                <w:szCs w:val="24"/>
              </w:rPr>
            </w:pPr>
          </w:p>
          <w:p w:rsidR="00025098" w:rsidP="006567F7">
            <w:pPr>
              <w:autoSpaceDE/>
              <w:autoSpaceDN/>
              <w:jc w:val="both"/>
              <w:rPr>
                <w:rFonts w:ascii="Arial Narrow" w:hAnsi="Arial Narrow" w:cs="Arial Narrow"/>
                <w:color w:val="000000"/>
                <w:sz w:val="20"/>
                <w:szCs w:val="24"/>
              </w:rPr>
            </w:pPr>
          </w:p>
          <w:p w:rsidR="00025098" w:rsidP="006567F7">
            <w:pPr>
              <w:autoSpaceDE/>
              <w:autoSpaceDN/>
              <w:jc w:val="both"/>
              <w:rPr>
                <w:rFonts w:ascii="Arial Narrow" w:hAnsi="Arial Narrow" w:cs="Arial Narrow"/>
                <w:color w:val="000000"/>
                <w:sz w:val="20"/>
                <w:szCs w:val="24"/>
              </w:rPr>
            </w:pPr>
          </w:p>
          <w:p w:rsidR="00025098" w:rsidP="006567F7">
            <w:pPr>
              <w:autoSpaceDE/>
              <w:autoSpaceDN/>
              <w:jc w:val="both"/>
              <w:rPr>
                <w:rFonts w:ascii="Arial Narrow" w:hAnsi="Arial Narrow" w:cs="Arial Narrow"/>
                <w:color w:val="000000"/>
                <w:sz w:val="20"/>
                <w:szCs w:val="24"/>
              </w:rPr>
            </w:pPr>
          </w:p>
          <w:p w:rsidR="00025098" w:rsidP="006567F7">
            <w:pPr>
              <w:autoSpaceDE/>
              <w:autoSpaceDN/>
              <w:jc w:val="both"/>
              <w:rPr>
                <w:rFonts w:ascii="Arial Narrow" w:hAnsi="Arial Narrow" w:cs="Arial Narrow"/>
                <w:color w:val="000000"/>
                <w:sz w:val="20"/>
                <w:szCs w:val="24"/>
              </w:rPr>
            </w:pPr>
          </w:p>
          <w:p w:rsidR="00025098" w:rsidP="006567F7">
            <w:pPr>
              <w:autoSpaceDE/>
              <w:autoSpaceDN/>
              <w:jc w:val="both"/>
              <w:rPr>
                <w:rFonts w:ascii="Arial Narrow" w:hAnsi="Arial Narrow" w:cs="Arial Narrow"/>
                <w:color w:val="000000"/>
                <w:sz w:val="20"/>
                <w:szCs w:val="24"/>
              </w:rPr>
            </w:pPr>
          </w:p>
          <w:p w:rsidR="00025098" w:rsidP="006567F7">
            <w:pPr>
              <w:autoSpaceDE/>
              <w:autoSpaceDN/>
              <w:jc w:val="both"/>
              <w:rPr>
                <w:rFonts w:ascii="Arial Narrow" w:hAnsi="Arial Narrow" w:cs="Arial Narrow"/>
                <w:color w:val="000000"/>
                <w:sz w:val="20"/>
                <w:szCs w:val="24"/>
              </w:rPr>
            </w:pPr>
          </w:p>
          <w:p w:rsidR="00025098" w:rsidRPr="006567F7" w:rsidP="006567F7">
            <w:pPr>
              <w:autoSpaceDE/>
              <w:autoSpaceDN/>
              <w:jc w:val="both"/>
              <w:rPr>
                <w:rFonts w:ascii="Arial Narrow" w:hAnsi="Arial Narrow" w:cs="Arial Narrow"/>
                <w:color w:val="000000"/>
                <w:sz w:val="20"/>
                <w:szCs w:val="24"/>
              </w:rPr>
            </w:pPr>
          </w:p>
          <w:p w:rsidR="00025098" w:rsidRPr="003C473D" w:rsidP="00025098">
            <w:pPr>
              <w:adjustRightInd w:val="0"/>
              <w:spacing w:line="240" w:lineRule="atLeast"/>
              <w:rPr>
                <w:rFonts w:ascii="Arial Narrow" w:hAnsi="Arial Narrow" w:cs="Arial Narrow"/>
                <w:color w:val="000000"/>
                <w:sz w:val="20"/>
                <w:szCs w:val="24"/>
              </w:rPr>
            </w:pPr>
            <w:r w:rsidRPr="003C473D" w:rsidR="00EF6652">
              <w:rPr>
                <w:rFonts w:ascii="Arial Narrow" w:hAnsi="Arial Narrow" w:cs="Arial Narrow"/>
                <w:color w:val="000000"/>
                <w:sz w:val="22"/>
                <w:szCs w:val="24"/>
              </w:rPr>
              <w:t xml:space="preserve"> </w:t>
            </w:r>
            <w:r w:rsidRPr="003C473D" w:rsidR="00EF6652">
              <w:rPr>
                <w:rFonts w:ascii="Arial Narrow" w:hAnsi="Arial Narrow" w:cs="Arial Narrow"/>
                <w:color w:val="000000"/>
                <w:sz w:val="20"/>
                <w:szCs w:val="24"/>
              </w:rPr>
              <w:t xml:space="preserve">V § 10 ods. </w:t>
            </w:r>
            <w:r w:rsidRPr="003C473D">
              <w:rPr>
                <w:rFonts w:ascii="Arial Narrow" w:hAnsi="Arial Narrow" w:cs="Arial Narrow"/>
                <w:color w:val="000000"/>
                <w:sz w:val="20"/>
                <w:szCs w:val="24"/>
              </w:rPr>
              <w:t xml:space="preserve">4 písm. a) prvý bod znie: </w:t>
            </w:r>
          </w:p>
          <w:p w:rsidR="006138AD" w:rsidRPr="006138AD" w:rsidP="006138AD">
            <w:pPr>
              <w:ind w:hanging="43"/>
              <w:jc w:val="both"/>
              <w:rPr>
                <w:rFonts w:ascii="Arial Narrow" w:hAnsi="Arial Narrow" w:cs="Arial Narrow"/>
                <w:color w:val="000000"/>
                <w:sz w:val="20"/>
                <w:szCs w:val="24"/>
              </w:rPr>
            </w:pPr>
            <w:r w:rsidRPr="003C473D" w:rsidR="00DA165F">
              <w:rPr>
                <w:rFonts w:ascii="Arial Narrow" w:hAnsi="Arial Narrow" w:cs="Arial Narrow"/>
                <w:color w:val="000000"/>
                <w:szCs w:val="24"/>
              </w:rPr>
              <w:t>„</w:t>
            </w:r>
            <w:r w:rsidRPr="006138AD" w:rsidR="00DA165F">
              <w:rPr>
                <w:rFonts w:ascii="Arial Narrow" w:hAnsi="Arial Narrow" w:cs="Arial Narrow"/>
                <w:color w:val="000000"/>
                <w:sz w:val="20"/>
                <w:szCs w:val="24"/>
              </w:rPr>
              <w:t xml:space="preserve">1. </w:t>
            </w:r>
            <w:r w:rsidRPr="006138AD" w:rsidR="003C473D">
              <w:rPr>
                <w:rFonts w:ascii="Arial Narrow" w:hAnsi="Arial Narrow" w:cs="Arial Narrow"/>
                <w:color w:val="000000"/>
                <w:sz w:val="20"/>
                <w:szCs w:val="24"/>
              </w:rPr>
              <w:t>ak ju</w:t>
            </w:r>
            <w:r w:rsidRPr="006138AD" w:rsidR="00025098">
              <w:rPr>
                <w:rFonts w:ascii="Arial Narrow" w:hAnsi="Arial Narrow" w:cs="Arial Narrow"/>
                <w:color w:val="000000"/>
                <w:sz w:val="20"/>
                <w:szCs w:val="24"/>
              </w:rPr>
              <w:t xml:space="preserve"> použije právnická osoba alebo fyzická osoba, ktorá vykonáva výrobnú činnosť</w:t>
            </w:r>
            <w:r w:rsidRPr="006138AD" w:rsidR="002A38F6">
              <w:rPr>
                <w:rFonts w:ascii="Arial Narrow" w:hAnsi="Arial Narrow" w:cs="Arial Narrow"/>
                <w:color w:val="000000"/>
                <w:sz w:val="20"/>
                <w:szCs w:val="24"/>
              </w:rPr>
              <w:t xml:space="preserve"> </w:t>
            </w:r>
            <w:r w:rsidRPr="006138AD" w:rsidR="00025098">
              <w:rPr>
                <w:rFonts w:ascii="Arial Narrow" w:hAnsi="Arial Narrow" w:cs="Arial Narrow"/>
                <w:color w:val="000000"/>
                <w:sz w:val="20"/>
                <w:szCs w:val="24"/>
              </w:rPr>
              <w:t>v pôdohospodárskej produkcii</w:t>
            </w:r>
            <w:r w:rsidRPr="006138AD" w:rsidR="002A38F6">
              <w:rPr>
                <w:rFonts w:ascii="Arial Narrow" w:hAnsi="Arial Narrow" w:cs="Arial Narrow"/>
                <w:color w:val="000000"/>
                <w:sz w:val="20"/>
                <w:szCs w:val="24"/>
              </w:rPr>
              <w:t xml:space="preserve"> </w:t>
            </w:r>
            <w:r w:rsidRPr="006138AD" w:rsidR="00025098">
              <w:rPr>
                <w:rFonts w:ascii="Arial Narrow" w:hAnsi="Arial Narrow" w:cs="Arial Narrow"/>
                <w:color w:val="000000"/>
                <w:sz w:val="20"/>
                <w:szCs w:val="24"/>
                <w:vertAlign w:val="superscript"/>
              </w:rPr>
              <w:t>3</w:t>
            </w:r>
            <w:r w:rsidRPr="006138AD" w:rsidR="00025098">
              <w:rPr>
                <w:rFonts w:ascii="Arial Narrow" w:hAnsi="Arial Narrow" w:cs="Arial Narrow"/>
                <w:color w:val="000000"/>
                <w:sz w:val="20"/>
                <w:szCs w:val="24"/>
              </w:rPr>
              <w:t>) v rámci podnikania ako pohonnú lá</w:t>
            </w:r>
            <w:r w:rsidRPr="006138AD" w:rsidR="003C473D">
              <w:rPr>
                <w:rFonts w:ascii="Arial Narrow" w:hAnsi="Arial Narrow" w:cs="Arial Narrow"/>
                <w:color w:val="000000"/>
                <w:sz w:val="20"/>
                <w:szCs w:val="24"/>
              </w:rPr>
              <w:t xml:space="preserve">tku alebo ako palivo, </w:t>
            </w:r>
            <w:r w:rsidRPr="006138AD">
              <w:rPr>
                <w:rFonts w:ascii="Arial Narrow" w:hAnsi="Arial Narrow" w:cs="Arial Narrow"/>
                <w:color w:val="000000"/>
                <w:sz w:val="20"/>
                <w:szCs w:val="24"/>
              </w:rPr>
              <w:t>a ak ju vyrobila zo suroviny, ktorú dopestovala,“.</w:t>
            </w:r>
          </w:p>
          <w:p w:rsidR="00692989" w:rsidRPr="00E148DA" w:rsidP="00025098">
            <w:pPr>
              <w:pStyle w:val="Normlny"/>
              <w:jc w:val="both"/>
              <w:rPr>
                <w:rFonts w:ascii="Arial Narrow" w:hAnsi="Arial Narrow" w:cs="Arial Narrow"/>
                <w:szCs w:val="24"/>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692989" w:rsidP="003328FF">
            <w:pPr>
              <w:pStyle w:val="tlArialNarrow10ptPodaokraja"/>
              <w:rPr>
                <w:szCs w:val="24"/>
              </w:rPr>
            </w:pPr>
            <w:r w:rsidR="00E148DA">
              <w:rPr>
                <w:szCs w:val="24"/>
              </w:rPr>
              <w:t>Ú</w:t>
            </w: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r>
              <w:rPr>
                <w:szCs w:val="24"/>
              </w:rPr>
              <w:t>N</w:t>
            </w: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r>
              <w:rPr>
                <w:szCs w:val="24"/>
              </w:rPr>
              <w:t>Ú</w:t>
            </w: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p>
          <w:p w:rsidR="002311C8" w:rsidP="003328FF">
            <w:pPr>
              <w:pStyle w:val="tlArialNarrow10ptPodaokraja"/>
              <w:rPr>
                <w:szCs w:val="24"/>
              </w:rPr>
            </w:pPr>
            <w:r>
              <w:rPr>
                <w:szCs w:val="24"/>
              </w:rPr>
              <w:t>N</w:t>
            </w:r>
          </w:p>
          <w:p w:rsidR="002311C8" w:rsidRPr="00C92FF6" w:rsidP="00FB350B">
            <w:pPr>
              <w:jc w:val="both"/>
              <w:rPr>
                <w:rFonts w:ascii="Arial Narrow" w:hAnsi="Arial Narrow" w:cs="Arial Narrow"/>
                <w:sz w:val="20"/>
                <w:szCs w:val="24"/>
              </w:rPr>
            </w:pPr>
          </w:p>
        </w:tc>
        <w:tc>
          <w:tcPr>
            <w:tcW w:w="1080" w:type="dxa"/>
            <w:tcBorders>
              <w:top w:val="single" w:sz="4" w:space="0" w:color="auto"/>
              <w:left w:val="single" w:sz="4" w:space="0" w:color="auto"/>
              <w:bottom w:val="single" w:sz="4" w:space="0" w:color="auto"/>
              <w:right w:val="single" w:sz="12" w:space="0" w:color="auto"/>
            </w:tcBorders>
            <w:textDirection w:val="lrTb"/>
            <w:vAlign w:val="top"/>
          </w:tcPr>
          <w:p w:rsidR="00692989" w:rsidP="00FB350B">
            <w:pPr>
              <w:pStyle w:val="Heading1"/>
              <w:jc w:val="both"/>
              <w:rPr>
                <w:rFonts w:ascii="Arial Narrow" w:hAnsi="Arial Narrow" w:cs="Arial Narrow"/>
                <w:b w:val="0"/>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P="006567F7">
            <w:pPr>
              <w:rPr>
                <w:rFonts w:ascii="Arial Narrow" w:hAnsi="Arial Narrow" w:cs="Arial Narrow"/>
                <w:sz w:val="20"/>
                <w:szCs w:val="24"/>
              </w:rPr>
            </w:pPr>
          </w:p>
          <w:p w:rsidR="006567F7" w:rsidRPr="006567F7" w:rsidP="006567F7">
            <w:pPr>
              <w:rPr>
                <w:rFonts w:ascii="Arial Narrow" w:hAnsi="Arial Narrow" w:cs="Arial Narrow"/>
                <w:sz w:val="20"/>
                <w:szCs w:val="24"/>
              </w:rPr>
            </w:pPr>
            <w:r>
              <w:rPr>
                <w:rFonts w:ascii="Arial Narrow" w:hAnsi="Arial Narrow" w:cs="Arial Narrow"/>
                <w:sz w:val="20"/>
                <w:szCs w:val="24"/>
              </w:rPr>
              <w:t xml:space="preserve">§ 8 ods. 1 a 2 zák. č. 472/2002 Z.z. </w:t>
            </w:r>
          </w:p>
        </w:tc>
      </w:tr>
    </w:tbl>
    <w:p w:rsidR="008C54C3" w:rsidRPr="00C92FF6" w:rsidP="003328FF">
      <w:pPr>
        <w:pStyle w:val="tlArialNarrow10ptPodaokraja"/>
        <w:rPr>
          <w:szCs w:val="24"/>
        </w:rPr>
      </w:pPr>
    </w:p>
    <w:p w:rsidR="008C54C3" w:rsidRPr="00C92FF6" w:rsidP="003328FF">
      <w:pPr>
        <w:pStyle w:val="tlArialNarrow10ptPodaokraja"/>
        <w:rPr>
          <w:szCs w:val="24"/>
        </w:rPr>
      </w:pPr>
      <w:r w:rsidRPr="00C92FF6">
        <w:rPr>
          <w:szCs w:val="24"/>
        </w:rPr>
        <w:t>LEGENDA:</w:t>
      </w:r>
    </w:p>
    <w:tbl>
      <w:tblPr>
        <w:tblStyle w:val="TableNormal"/>
        <w:tblW w:w="15730" w:type="dxa"/>
        <w:tblInd w:w="0" w:type="dxa"/>
        <w:tblCellMar>
          <w:top w:w="0" w:type="dxa"/>
          <w:left w:w="70" w:type="dxa"/>
          <w:bottom w:w="0" w:type="dxa"/>
          <w:right w:w="70" w:type="dxa"/>
        </w:tblCellMar>
      </w:tblPr>
      <w:tblGrid>
        <w:gridCol w:w="2410"/>
        <w:gridCol w:w="3780"/>
        <w:gridCol w:w="2340"/>
        <w:gridCol w:w="7200"/>
      </w:tblGrid>
      <w:tr>
        <w:tblPrEx>
          <w:tblW w:w="15730" w:type="dxa"/>
          <w:tblInd w:w="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C92FF6" w:rsidP="00FB350B">
            <w:pPr>
              <w:pStyle w:val="Normlny"/>
              <w:autoSpaceDE/>
              <w:autoSpaceDN/>
              <w:spacing w:after="60"/>
              <w:jc w:val="both"/>
              <w:rPr>
                <w:rFonts w:ascii="Arial Narrow" w:hAnsi="Arial Narrow" w:cs="Arial Narrow"/>
                <w:szCs w:val="24"/>
                <w:lang w:eastAsia="sk-SK"/>
              </w:rPr>
            </w:pPr>
            <w:r w:rsidRPr="00C92FF6">
              <w:rPr>
                <w:rFonts w:ascii="Arial Narrow" w:hAnsi="Arial Narrow" w:cs="Arial Narrow"/>
                <w:szCs w:val="24"/>
                <w:lang w:eastAsia="sk-SK"/>
              </w:rPr>
              <w:t>V stĺpci (1):</w:t>
            </w:r>
          </w:p>
          <w:p w:rsidR="008C54C3" w:rsidRPr="00C92FF6" w:rsidP="003328FF">
            <w:pPr>
              <w:pStyle w:val="tlArialNarrow10ptPodaokraja"/>
              <w:rPr>
                <w:szCs w:val="24"/>
              </w:rPr>
            </w:pPr>
            <w:r w:rsidRPr="00C92FF6">
              <w:rPr>
                <w:szCs w:val="24"/>
              </w:rPr>
              <w:t>Č – článok</w:t>
            </w:r>
          </w:p>
          <w:p w:rsidR="008C54C3" w:rsidRPr="00C92FF6" w:rsidP="003328FF">
            <w:pPr>
              <w:pStyle w:val="tlArialNarrow10ptPodaokraja"/>
              <w:rPr>
                <w:szCs w:val="24"/>
              </w:rPr>
            </w:pPr>
            <w:r w:rsidRPr="00C92FF6">
              <w:rPr>
                <w:szCs w:val="24"/>
              </w:rPr>
              <w:t>O – odsek</w:t>
            </w:r>
          </w:p>
          <w:p w:rsidR="008C54C3" w:rsidRPr="00C92FF6" w:rsidP="003328FF">
            <w:pPr>
              <w:pStyle w:val="tlArialNarrow10ptPodaokraja"/>
              <w:rPr>
                <w:szCs w:val="24"/>
              </w:rPr>
            </w:pPr>
            <w:r w:rsidRPr="00C92FF6">
              <w:rPr>
                <w:szCs w:val="24"/>
              </w:rPr>
              <w:t>V – veta</w:t>
            </w:r>
          </w:p>
          <w:p w:rsidR="008C54C3" w:rsidRPr="00C92FF6" w:rsidP="003328FF">
            <w:pPr>
              <w:pStyle w:val="tlArialNarrow10ptPodaokraja"/>
              <w:rPr>
                <w:szCs w:val="24"/>
              </w:rPr>
            </w:pPr>
            <w:r w:rsidRPr="00C92FF6">
              <w:rPr>
                <w:szCs w:val="24"/>
              </w:rPr>
              <w:t xml:space="preserve">P – </w:t>
            </w:r>
            <w:r w:rsidRPr="00C92FF6" w:rsidR="00DA0F6C">
              <w:rPr>
                <w:szCs w:val="24"/>
              </w:rPr>
              <w:t>číslo</w:t>
            </w:r>
            <w:r w:rsidRPr="00C92FF6">
              <w:rPr>
                <w:szCs w:val="24"/>
              </w:rPr>
              <w:t xml:space="preserve"> (</w:t>
            </w:r>
            <w:r w:rsidRPr="00C92FF6" w:rsidR="00DA0F6C">
              <w:rPr>
                <w:szCs w:val="24"/>
              </w:rPr>
              <w:t>písmeno</w:t>
            </w:r>
            <w:r w:rsidRPr="00C92FF6">
              <w:rPr>
                <w:szCs w:val="24"/>
              </w:rPr>
              <w:t>)</w:t>
            </w:r>
          </w:p>
          <w:p w:rsidR="008C54C3" w:rsidRPr="00C92FF6" w:rsidP="00FB350B">
            <w:pPr>
              <w:autoSpaceDE/>
              <w:autoSpaceDN/>
              <w:jc w:val="both"/>
              <w:rPr>
                <w:rFonts w:ascii="Arial Narrow" w:hAnsi="Arial Narrow" w:cs="Arial Narrow"/>
                <w:sz w:val="20"/>
                <w:szCs w:val="24"/>
              </w:rPr>
            </w:pPr>
          </w:p>
        </w:tc>
        <w:tc>
          <w:tcPr>
            <w:tcW w:w="3780" w:type="dxa"/>
            <w:tcBorders>
              <w:top w:val="nil"/>
              <w:left w:val="nil"/>
              <w:bottom w:val="nil"/>
              <w:right w:val="nil"/>
            </w:tcBorders>
            <w:textDirection w:val="lrTb"/>
            <w:vAlign w:val="top"/>
          </w:tcPr>
          <w:p w:rsidR="008C54C3" w:rsidRPr="00C92FF6" w:rsidP="00FB350B">
            <w:pPr>
              <w:pStyle w:val="Normlny"/>
              <w:autoSpaceDE/>
              <w:autoSpaceDN/>
              <w:spacing w:after="60"/>
              <w:jc w:val="both"/>
              <w:rPr>
                <w:rFonts w:ascii="Arial Narrow" w:hAnsi="Arial Narrow" w:cs="Arial Narrow"/>
                <w:szCs w:val="24"/>
                <w:lang w:eastAsia="sk-SK"/>
              </w:rPr>
            </w:pPr>
            <w:r w:rsidRPr="00C92FF6">
              <w:rPr>
                <w:rFonts w:ascii="Arial Narrow" w:hAnsi="Arial Narrow" w:cs="Arial Narrow"/>
                <w:szCs w:val="24"/>
                <w:lang w:eastAsia="sk-SK"/>
              </w:rPr>
              <w:t>V stĺpci (3):</w:t>
            </w:r>
          </w:p>
          <w:p w:rsidR="008C54C3" w:rsidRPr="00C92FF6" w:rsidP="003328FF">
            <w:pPr>
              <w:pStyle w:val="tlArialNarrow10ptPodaokraja"/>
              <w:rPr>
                <w:szCs w:val="24"/>
              </w:rPr>
            </w:pPr>
            <w:r w:rsidRPr="00C92FF6">
              <w:rPr>
                <w:szCs w:val="24"/>
              </w:rPr>
              <w:t>N – bežná transpozícia</w:t>
            </w:r>
          </w:p>
          <w:p w:rsidR="008C54C3" w:rsidRPr="00C92FF6" w:rsidP="003328FF">
            <w:pPr>
              <w:pStyle w:val="tlArialNarrow10ptPodaokraja"/>
              <w:rPr>
                <w:szCs w:val="24"/>
              </w:rPr>
            </w:pPr>
            <w:r w:rsidRPr="00C92FF6">
              <w:rPr>
                <w:szCs w:val="24"/>
              </w:rPr>
              <w:t>O – transpozícia s možnosťou voľby</w:t>
            </w:r>
          </w:p>
          <w:p w:rsidR="008C54C3" w:rsidRPr="00C92FF6" w:rsidP="003328FF">
            <w:pPr>
              <w:pStyle w:val="tlArialNarrow10ptPodaokraja"/>
              <w:rPr>
                <w:szCs w:val="24"/>
              </w:rPr>
            </w:pPr>
            <w:r w:rsidRPr="00C92FF6">
              <w:rPr>
                <w:szCs w:val="24"/>
              </w:rPr>
              <w:t>D – transpozícia podľa úvahy (dobrovoľná)</w:t>
            </w:r>
          </w:p>
          <w:p w:rsidR="008C54C3" w:rsidRPr="00C92FF6" w:rsidP="003328FF">
            <w:pPr>
              <w:pStyle w:val="tlArialNarrow10ptPodaokraja"/>
              <w:rPr>
                <w:szCs w:val="24"/>
              </w:rPr>
            </w:pPr>
            <w:r w:rsidRPr="00C92FF6">
              <w:rPr>
                <w:szCs w:val="24"/>
              </w:rPr>
              <w:t>n.a. – transpozícia sa neuskutočňuje</w:t>
            </w:r>
          </w:p>
        </w:tc>
        <w:tc>
          <w:tcPr>
            <w:tcW w:w="2340" w:type="dxa"/>
            <w:tcBorders>
              <w:top w:val="nil"/>
              <w:left w:val="nil"/>
              <w:bottom w:val="nil"/>
              <w:right w:val="nil"/>
            </w:tcBorders>
            <w:textDirection w:val="lrTb"/>
            <w:vAlign w:val="top"/>
          </w:tcPr>
          <w:p w:rsidR="008C54C3" w:rsidRPr="00C92FF6" w:rsidP="00FB350B">
            <w:pPr>
              <w:pStyle w:val="Normlny"/>
              <w:autoSpaceDE/>
              <w:autoSpaceDN/>
              <w:spacing w:after="60"/>
              <w:jc w:val="both"/>
              <w:rPr>
                <w:rFonts w:ascii="Arial Narrow" w:hAnsi="Arial Narrow" w:cs="Arial Narrow"/>
                <w:szCs w:val="24"/>
                <w:lang w:eastAsia="sk-SK"/>
              </w:rPr>
            </w:pPr>
            <w:r w:rsidRPr="00C92FF6">
              <w:rPr>
                <w:rFonts w:ascii="Arial Narrow" w:hAnsi="Arial Narrow" w:cs="Arial Narrow"/>
                <w:szCs w:val="24"/>
                <w:lang w:eastAsia="sk-SK"/>
              </w:rPr>
              <w:t>V stĺpci (5):</w:t>
            </w:r>
          </w:p>
          <w:p w:rsidR="008C54C3" w:rsidRPr="00C92FF6" w:rsidP="003328FF">
            <w:pPr>
              <w:pStyle w:val="tlArialNarrow10ptPodaokraja"/>
              <w:rPr>
                <w:szCs w:val="24"/>
              </w:rPr>
            </w:pPr>
            <w:r w:rsidRPr="00C92FF6">
              <w:rPr>
                <w:szCs w:val="24"/>
              </w:rPr>
              <w:t>Č – článok</w:t>
            </w:r>
          </w:p>
          <w:p w:rsidR="008C54C3" w:rsidRPr="00C92FF6" w:rsidP="003328FF">
            <w:pPr>
              <w:pStyle w:val="tlArialNarrow10ptPodaokraja"/>
              <w:rPr>
                <w:szCs w:val="24"/>
              </w:rPr>
            </w:pPr>
            <w:r w:rsidRPr="00C92FF6">
              <w:rPr>
                <w:szCs w:val="24"/>
              </w:rPr>
              <w:t>§ – paragraf</w:t>
            </w:r>
          </w:p>
          <w:p w:rsidR="008C54C3" w:rsidRPr="00C92FF6" w:rsidP="003328FF">
            <w:pPr>
              <w:pStyle w:val="tlArialNarrow10ptPodaokraja"/>
              <w:rPr>
                <w:szCs w:val="24"/>
              </w:rPr>
            </w:pPr>
            <w:r w:rsidRPr="00C92FF6">
              <w:rPr>
                <w:szCs w:val="24"/>
              </w:rPr>
              <w:t>O – odsek</w:t>
            </w:r>
          </w:p>
          <w:p w:rsidR="008C54C3" w:rsidRPr="00C92FF6" w:rsidP="003328FF">
            <w:pPr>
              <w:pStyle w:val="tlArialNarrow10ptPodaokraja"/>
              <w:rPr>
                <w:szCs w:val="24"/>
              </w:rPr>
            </w:pPr>
            <w:r w:rsidRPr="00C92FF6">
              <w:rPr>
                <w:szCs w:val="24"/>
              </w:rPr>
              <w:t>V – veta</w:t>
            </w:r>
          </w:p>
          <w:p w:rsidR="008C54C3" w:rsidRPr="00C92FF6" w:rsidP="003328FF">
            <w:pPr>
              <w:pStyle w:val="tlArialNarrow10ptPodaokraja"/>
              <w:rPr>
                <w:szCs w:val="24"/>
              </w:rPr>
            </w:pPr>
            <w:r w:rsidRPr="00C92FF6">
              <w:rPr>
                <w:szCs w:val="24"/>
              </w:rPr>
              <w:t>P – písmeno (číslo)</w:t>
            </w:r>
          </w:p>
        </w:tc>
        <w:tc>
          <w:tcPr>
            <w:tcW w:w="7200" w:type="dxa"/>
            <w:tcBorders>
              <w:top w:val="nil"/>
              <w:left w:val="nil"/>
              <w:bottom w:val="nil"/>
              <w:right w:val="nil"/>
            </w:tcBorders>
            <w:textDirection w:val="lrTb"/>
            <w:vAlign w:val="top"/>
          </w:tcPr>
          <w:p w:rsidR="008C54C3" w:rsidRPr="00C92FF6" w:rsidP="00FB350B">
            <w:pPr>
              <w:pStyle w:val="Normlny"/>
              <w:autoSpaceDE/>
              <w:autoSpaceDN/>
              <w:spacing w:after="60"/>
              <w:jc w:val="both"/>
              <w:rPr>
                <w:rFonts w:ascii="Arial Narrow" w:hAnsi="Arial Narrow" w:cs="Arial Narrow"/>
                <w:szCs w:val="24"/>
                <w:lang w:eastAsia="sk-SK"/>
              </w:rPr>
            </w:pPr>
            <w:r w:rsidRPr="00C92FF6">
              <w:rPr>
                <w:rFonts w:ascii="Arial Narrow" w:hAnsi="Arial Narrow" w:cs="Arial Narrow"/>
                <w:szCs w:val="24"/>
                <w:lang w:eastAsia="sk-SK"/>
              </w:rPr>
              <w:t>V stĺpci (7):</w:t>
            </w:r>
          </w:p>
          <w:p w:rsidR="008C54C3" w:rsidRPr="00C92FF6" w:rsidP="00FB350B">
            <w:pPr>
              <w:autoSpaceDE/>
              <w:autoSpaceDN/>
              <w:ind w:left="290" w:hanging="290"/>
              <w:jc w:val="both"/>
              <w:rPr>
                <w:rFonts w:ascii="Arial Narrow" w:hAnsi="Arial Narrow" w:cs="Arial Narrow"/>
                <w:sz w:val="20"/>
                <w:szCs w:val="24"/>
              </w:rPr>
            </w:pPr>
            <w:r w:rsidRPr="00C92FF6">
              <w:rPr>
                <w:rFonts w:ascii="Arial Narrow" w:hAnsi="Arial Narrow" w:cs="Arial Narrow"/>
                <w:sz w:val="20"/>
                <w:szCs w:val="24"/>
              </w:rPr>
              <w:t>Ú – úplná zhoda (ak bolo ustanovenie smernice prebraté v celom rozsahu, správne, v príslušnej form</w:t>
            </w:r>
            <w:r w:rsidRPr="00C92FF6" w:rsidR="00391DC5">
              <w:rPr>
                <w:rFonts w:ascii="Arial Narrow" w:hAnsi="Arial Narrow" w:cs="Arial Narrow"/>
                <w:sz w:val="20"/>
                <w:szCs w:val="24"/>
              </w:rPr>
              <w:t>e</w:t>
            </w:r>
            <w:r w:rsidRPr="00C92FF6">
              <w:rPr>
                <w:rFonts w:ascii="Arial Narrow" w:hAnsi="Arial Narrow" w:cs="Arial Narrow"/>
                <w:sz w:val="20"/>
                <w:szCs w:val="24"/>
              </w:rPr>
              <w:t xml:space="preserve">, so zabezpečenou inštitucionálnou </w:t>
            </w:r>
            <w:r w:rsidR="005D1CEB">
              <w:rPr>
                <w:rFonts w:ascii="Arial Narrow" w:hAnsi="Arial Narrow" w:cs="Arial Narrow"/>
                <w:sz w:val="20"/>
                <w:szCs w:val="24"/>
              </w:rPr>
              <w:t>i</w:t>
            </w:r>
            <w:r w:rsidRPr="00C92FF6">
              <w:rPr>
                <w:rFonts w:ascii="Arial Narrow" w:hAnsi="Arial Narrow" w:cs="Arial Narrow"/>
                <w:sz w:val="20"/>
                <w:szCs w:val="24"/>
              </w:rPr>
              <w:t>nfraštruktúrou, s príslušnými sankciami a vo vzájomnej súvislosti)</w:t>
            </w:r>
          </w:p>
          <w:p w:rsidR="008C54C3" w:rsidRPr="00C92FF6" w:rsidP="003328FF">
            <w:pPr>
              <w:pStyle w:val="tlArialNarrow10ptPodaokraja"/>
              <w:rPr>
                <w:szCs w:val="24"/>
              </w:rPr>
            </w:pPr>
            <w:r w:rsidRPr="00C92FF6">
              <w:rPr>
                <w:szCs w:val="24"/>
              </w:rPr>
              <w:t>Č – čiastočná zhoda (ak minimálne jedna z podmienok úplnej zhody nie je splnená)</w:t>
            </w:r>
          </w:p>
          <w:p w:rsidR="008C54C3" w:rsidRPr="00C92FF6" w:rsidP="00FB350B">
            <w:pPr>
              <w:pStyle w:val="BodyTextIndent2"/>
              <w:jc w:val="both"/>
              <w:rPr>
                <w:rFonts w:ascii="Arial Narrow" w:hAnsi="Arial Narrow" w:cs="Arial Narrow"/>
                <w:szCs w:val="24"/>
              </w:rPr>
            </w:pPr>
            <w:r w:rsidRPr="00C92FF6">
              <w:rPr>
                <w:rFonts w:ascii="Arial Narrow" w:hAnsi="Arial Narrow" w:cs="Arial Narrow"/>
                <w:szCs w:val="24"/>
              </w:rPr>
              <w:t>Ž – žiadna zhoda (ak nebola</w:t>
            </w:r>
            <w:r w:rsidR="005D1CEB">
              <w:rPr>
                <w:rFonts w:ascii="Arial Narrow" w:hAnsi="Arial Narrow" w:cs="Arial Narrow"/>
                <w:szCs w:val="24"/>
              </w:rPr>
              <w:t xml:space="preserve"> dosiahnutá ani úplná ani čiastočná</w:t>
            </w:r>
            <w:r w:rsidRPr="00C92FF6">
              <w:rPr>
                <w:rFonts w:ascii="Arial Narrow" w:hAnsi="Arial Narrow" w:cs="Arial Narrow"/>
                <w:szCs w:val="24"/>
              </w:rPr>
              <w:t xml:space="preserve"> zhoda alebo k prebratiu dôjde v budúcnosti)</w:t>
            </w:r>
          </w:p>
          <w:p w:rsidR="008C54C3" w:rsidRPr="00C92FF6" w:rsidP="00FB350B">
            <w:pPr>
              <w:autoSpaceDE/>
              <w:autoSpaceDN/>
              <w:ind w:left="290" w:hanging="290"/>
              <w:jc w:val="both"/>
              <w:rPr>
                <w:rFonts w:ascii="Arial Narrow" w:hAnsi="Arial Narrow" w:cs="Arial Narrow"/>
                <w:sz w:val="20"/>
                <w:szCs w:val="24"/>
              </w:rPr>
            </w:pPr>
            <w:r w:rsidRPr="00C92FF6">
              <w:rPr>
                <w:rFonts w:ascii="Arial Narrow" w:hAnsi="Arial Narrow" w:cs="Arial Narrow"/>
                <w:sz w:val="20"/>
                <w:szCs w:val="24"/>
              </w:rPr>
              <w:t>n.</w:t>
            </w:r>
            <w:r w:rsidR="005D1CEB">
              <w:rPr>
                <w:rFonts w:ascii="Arial Narrow" w:hAnsi="Arial Narrow" w:cs="Arial Narrow"/>
                <w:sz w:val="20"/>
                <w:szCs w:val="24"/>
              </w:rPr>
              <w:t xml:space="preserve"> </w:t>
            </w:r>
            <w:r w:rsidRPr="00C92FF6">
              <w:rPr>
                <w:rFonts w:ascii="Arial Narrow" w:hAnsi="Arial Narrow" w:cs="Arial Narrow"/>
                <w:sz w:val="20"/>
                <w:szCs w:val="24"/>
              </w:rPr>
              <w:t>a. – neaplikovateľnosť (ak sa ustanovenie smernice netýka SR alebo nie je potrebné ho prebrať)</w:t>
            </w:r>
          </w:p>
        </w:tc>
      </w:tr>
    </w:tbl>
    <w:p w:rsidR="008C54C3" w:rsidRPr="00C92FF6" w:rsidP="003328FF">
      <w:pPr>
        <w:pStyle w:val="tlArialNarrow10ptPodaokraja"/>
        <w:rPr>
          <w:szCs w:val="24"/>
        </w:rPr>
      </w:pPr>
    </w:p>
    <w:p w:rsidR="00AC1BD7" w:rsidRPr="00C92FF6" w:rsidP="003328FF">
      <w:pPr>
        <w:pStyle w:val="tlArialNarrow10ptPodaokraja"/>
        <w:rPr>
          <w:szCs w:val="24"/>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8C54C3" w:rsidRPr="00C92FF6" w:rsidP="00FB350B">
            <w:pPr>
              <w:pStyle w:val="Heading2"/>
              <w:jc w:val="both"/>
              <w:rPr>
                <w:rFonts w:ascii="Arial Narrow" w:hAnsi="Arial Narrow" w:cs="Arial Narrow"/>
                <w:szCs w:val="24"/>
              </w:rPr>
            </w:pPr>
            <w:r w:rsidRPr="00C92FF6">
              <w:rPr>
                <w:rFonts w:ascii="Arial Narrow" w:hAnsi="Arial Narrow" w:cs="Arial Narrow"/>
                <w:szCs w:val="24"/>
              </w:rPr>
              <w:t>Zoznam všeobecne záväzných právnych predpisov preberajúcich smernicu (uveďte číslo smernice)</w:t>
            </w:r>
          </w:p>
          <w:p w:rsidR="008C54C3" w:rsidRPr="00C92FF6" w:rsidP="00FB350B">
            <w:pPr>
              <w:jc w:val="both"/>
              <w:rPr>
                <w:rFonts w:ascii="Arial Narrow" w:hAnsi="Arial Narrow" w:cs="Arial Narrow"/>
                <w:sz w:val="20"/>
                <w:szCs w:val="24"/>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C54C3" w:rsidRPr="00C92FF6" w:rsidP="00FB350B">
            <w:pPr>
              <w:spacing w:after="120"/>
              <w:jc w:val="both"/>
              <w:rPr>
                <w:rFonts w:ascii="Arial Narrow" w:hAnsi="Arial Narrow" w:cs="Arial Narrow"/>
                <w:sz w:val="20"/>
                <w:szCs w:val="24"/>
              </w:rPr>
            </w:pPr>
            <w:r w:rsidRPr="00C92FF6">
              <w:rPr>
                <w:rFonts w:ascii="Arial Narrow" w:hAnsi="Arial Narrow" w:cs="Arial Narrow"/>
                <w:sz w:val="20"/>
                <w:szCs w:val="24"/>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8C54C3" w:rsidRPr="00C92FF6" w:rsidP="00FB350B">
            <w:pPr>
              <w:pStyle w:val="Normlny"/>
              <w:jc w:val="both"/>
              <w:rPr>
                <w:rFonts w:ascii="Arial Narrow" w:hAnsi="Arial Narrow" w:cs="Arial Narrow"/>
                <w:szCs w:val="24"/>
                <w:lang w:eastAsia="sk-SK"/>
              </w:rPr>
            </w:pPr>
            <w:r w:rsidRPr="00C92FF6">
              <w:rPr>
                <w:rFonts w:ascii="Arial Narrow" w:hAnsi="Arial Narrow" w:cs="Arial Narrow"/>
                <w:szCs w:val="24"/>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8C54C3" w:rsidRPr="00C92FF6" w:rsidP="00FB350B">
            <w:pPr>
              <w:numPr>
                <w:numId w:val="10"/>
              </w:numPr>
              <w:jc w:val="both"/>
              <w:rPr>
                <w:rFonts w:ascii="Arial Narrow" w:hAnsi="Arial Narrow" w:cs="Arial Narrow"/>
                <w:sz w:val="20"/>
                <w:szCs w:val="24"/>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8C54C3" w:rsidRPr="00C92FF6" w:rsidP="00FB350B">
            <w:pPr>
              <w:pStyle w:val="abc"/>
              <w:widowControl/>
              <w:tabs>
                <w:tab w:val="clear" w:pos="360"/>
                <w:tab w:val="clear" w:pos="680"/>
              </w:tabs>
              <w:rPr>
                <w:rFonts w:ascii="Arial Narrow" w:hAnsi="Arial Narrow" w:cs="Arial Narrow"/>
                <w:szCs w:val="24"/>
                <w:lang w:eastAsia="sk-SK"/>
              </w:rPr>
            </w:pPr>
          </w:p>
        </w:tc>
      </w:tr>
    </w:tbl>
    <w:p w:rsidR="008C54C3" w:rsidRPr="00C92FF6" w:rsidP="00FB350B">
      <w:pPr>
        <w:pStyle w:val="Header"/>
        <w:tabs>
          <w:tab w:val="clear" w:pos="4536"/>
          <w:tab w:val="clear" w:pos="9072"/>
        </w:tabs>
        <w:autoSpaceDE/>
        <w:autoSpaceDN/>
        <w:jc w:val="both"/>
        <w:rPr>
          <w:rFonts w:ascii="Arial Narrow" w:hAnsi="Arial Narrow" w:cs="Arial Narrow"/>
          <w:sz w:val="20"/>
          <w:szCs w:val="24"/>
        </w:rPr>
      </w:pPr>
    </w:p>
    <w:sectPr>
      <w:footerReference w:type="default" r:id="rId4"/>
      <w:pgSz w:w="16838" w:h="11906" w:orient="landscape" w:code="9"/>
      <w:pgMar w:top="851" w:right="851" w:bottom="851" w:left="851" w:header="709" w:footer="709"/>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Arial Narrow">
    <w:altName w:val="Century Gothic"/>
    <w:panose1 w:val="00000000000000000000"/>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65F">
    <w:pPr>
      <w:pStyle w:val="Footer"/>
      <w:framePr w:vAnchor="text" w:hAnchor="margin" w:xAlign="right"/>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7D1F34">
      <w:rPr>
        <w:rStyle w:val="PageNumber"/>
        <w:rFonts w:ascii="Times New Roman" w:hAnsi="Times New Roman" w:cs="Times New Roman"/>
        <w:noProof/>
        <w:szCs w:val="24"/>
      </w:rPr>
      <w:t>2</w:t>
    </w:r>
    <w:r>
      <w:rPr>
        <w:rStyle w:val="PageNumber"/>
        <w:rFonts w:ascii="Times New Roman" w:hAnsi="Times New Roman" w:cs="Times New Roman"/>
        <w:szCs w:val="24"/>
      </w:rPr>
      <w:fldChar w:fldCharType="end"/>
    </w:r>
  </w:p>
  <w:p w:rsidR="00DA165F">
    <w:pPr>
      <w:pStyle w:val="Footer"/>
      <w:ind w:right="360"/>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608D3"/>
    <w:multiLevelType w:val="hybridMultilevel"/>
    <w:tmpl w:val="F8742F14"/>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rPr>
        <w:i w:val="0"/>
      </w:rPr>
    </w:lvl>
    <w:lvl w:ilvl="2">
      <w:start w:val="1"/>
      <w:numFmt w:val="bullet"/>
      <w:lvlText w:val=""/>
      <w:lvlJc w:val="left"/>
      <w:pPr>
        <w:tabs>
          <w:tab w:val="num" w:pos="3060"/>
        </w:tabs>
        <w:ind w:left="3060" w:hanging="360"/>
      </w:pPr>
      <w:rPr>
        <w:rFonts w:ascii="Symbol" w:hAnsi="Symbol"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0D7E514C"/>
    <w:multiLevelType w:val="singleLevel"/>
    <w:tmpl w:val="A066EA22"/>
    <w:lvl w:ilvl="0">
      <w:start w:val="2"/>
      <w:numFmt w:val="decimal"/>
      <w:lvlText w:val="(%1)"/>
      <w:lvlJc w:val="left"/>
      <w:pPr>
        <w:tabs>
          <w:tab w:val="num" w:pos="0"/>
        </w:tabs>
        <w:ind w:left="720" w:hanging="360"/>
      </w:pPr>
      <w:rPr>
        <w:rFonts w:hint="default"/>
        <w:b w:val="0"/>
      </w:rPr>
    </w:lvl>
  </w:abstractNum>
  <w:abstractNum w:abstractNumId="3">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73E29"/>
    <w:multiLevelType w:val="singleLevel"/>
    <w:tmpl w:val="B75E3EB6"/>
    <w:lvl w:ilvl="0">
      <w:start w:val="3"/>
      <w:numFmt w:val="decimal"/>
      <w:lvlText w:val="%1."/>
      <w:lvlJc w:val="left"/>
      <w:pPr>
        <w:tabs>
          <w:tab w:val="num" w:pos="420"/>
        </w:tabs>
        <w:ind w:left="420" w:hanging="420"/>
      </w:pPr>
    </w:lvl>
  </w:abstractNum>
  <w:abstractNum w:abstractNumId="6">
    <w:nsid w:val="12712862"/>
    <w:multiLevelType w:val="singleLevel"/>
    <w:tmpl w:val="1ACA3C06"/>
    <w:lvl w:ilvl="0">
      <w:start w:val="1"/>
      <w:numFmt w:val="decimal"/>
      <w:lvlText w:val="(%1)"/>
      <w:legacy w:legacy="1" w:legacySpace="120" w:legacyIndent="360"/>
      <w:lvlJc w:val="left"/>
      <w:pPr>
        <w:ind w:left="360" w:hanging="360"/>
      </w:pPr>
      <w:rPr>
        <w:color w:val="auto"/>
      </w:rPr>
    </w:lvl>
  </w:abstractNum>
  <w:abstractNum w:abstractNumId="7">
    <w:nsid w:val="13973FA5"/>
    <w:multiLevelType w:val="singleLevel"/>
    <w:tmpl w:val="E17A9504"/>
    <w:lvl w:ilvl="0">
      <w:start w:val="1"/>
      <w:numFmt w:val="lowerLetter"/>
      <w:lvlText w:val="%1)"/>
      <w:legacy w:legacy="1" w:legacySpace="120" w:legacyIndent="360"/>
      <w:lvlJc w:val="left"/>
      <w:pPr>
        <w:ind w:left="1920" w:hanging="360"/>
      </w:pPr>
    </w:lvl>
  </w:abstractNum>
  <w:abstractNum w:abstractNumId="8">
    <w:nsid w:val="14135A8F"/>
    <w:multiLevelType w:val="hybridMultilevel"/>
    <w:tmpl w:val="BE60ED0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19DE1F0E"/>
    <w:multiLevelType w:val="singleLevel"/>
    <w:tmpl w:val="63D0C0A0"/>
    <w:lvl w:ilvl="0">
      <w:start w:val="1"/>
      <w:numFmt w:val="decimal"/>
      <w:lvlText w:val="(%1)"/>
      <w:legacy w:legacy="1" w:legacySpace="120" w:legacyIndent="360"/>
      <w:lvlJc w:val="left"/>
      <w:pPr>
        <w:ind w:left="720" w:hanging="360"/>
      </w:pPr>
    </w:lvl>
  </w:abstractNum>
  <w:abstractNum w:abstractNumId="10">
    <w:nsid w:val="1B9B4CD7"/>
    <w:multiLevelType w:val="singleLevel"/>
    <w:tmpl w:val="5728EEB0"/>
    <w:lvl w:ilvl="0">
      <w:start w:val="1"/>
      <w:numFmt w:val="lowerLetter"/>
      <w:lvlText w:val="%1)"/>
      <w:lvlJc w:val="left"/>
      <w:pPr>
        <w:tabs>
          <w:tab w:val="num" w:pos="360"/>
        </w:tabs>
        <w:ind w:left="360" w:hanging="360"/>
      </w:pPr>
    </w:lvl>
  </w:abstractNum>
  <w:abstractNum w:abstractNumId="11">
    <w:nsid w:val="29E61EED"/>
    <w:multiLevelType w:val="singleLevel"/>
    <w:tmpl w:val="DEF88C3C"/>
    <w:lvl w:ilvl="0">
      <w:start w:val="1"/>
      <w:numFmt w:val="decimal"/>
      <w:lvlText w:val="(%1)"/>
      <w:legacy w:legacy="1" w:legacySpace="120" w:legacyIndent="360"/>
      <w:lvlJc w:val="left"/>
      <w:pPr>
        <w:ind w:left="720" w:hanging="360"/>
      </w:pPr>
      <w:rPr>
        <w:b w:val="0"/>
      </w:rPr>
    </w:lvl>
  </w:abstractNum>
  <w:abstractNum w:abstractNumId="12">
    <w:nsid w:val="2C980656"/>
    <w:multiLevelType w:val="hybridMultilevel"/>
    <w:tmpl w:val="79DC59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FCB45B2"/>
    <w:multiLevelType w:val="hybridMultilevel"/>
    <w:tmpl w:val="83A6145A"/>
    <w:lvl w:ilvl="0">
      <w:start w:val="1"/>
      <w:numFmt w:val="lowerLetter"/>
      <w:lvlText w:val="%1)"/>
      <w:lvlJc w:val="left"/>
      <w:pPr>
        <w:tabs>
          <w:tab w:val="num" w:pos="1077"/>
        </w:tabs>
        <w:ind w:left="1077" w:hanging="360"/>
      </w:pPr>
    </w:lvl>
    <w:lvl w:ilvl="1">
      <w:start w:val="1"/>
      <w:numFmt w:val="decimal"/>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4">
    <w:nsid w:val="3454272C"/>
    <w:multiLevelType w:val="singleLevel"/>
    <w:tmpl w:val="24D67A44"/>
    <w:lvl w:ilvl="0">
      <w:start w:val="1"/>
      <w:numFmt w:val="decimal"/>
      <w:lvlText w:val="(%1)"/>
      <w:legacy w:legacy="1" w:legacySpace="120" w:legacyIndent="360"/>
      <w:lvlJc w:val="left"/>
      <w:pPr>
        <w:ind w:left="720" w:hanging="360"/>
      </w:pPr>
      <w:rPr>
        <w:b w:val="0"/>
      </w:rPr>
    </w:lvl>
  </w:abstractNum>
  <w:abstractNum w:abstractNumId="15">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BB13EA9"/>
    <w:multiLevelType w:val="hybridMultilevel"/>
    <w:tmpl w:val="DC425160"/>
    <w:lvl w:ilvl="0">
      <w:start w:val="1"/>
      <w:numFmt w:val="lowerLetter"/>
      <w:lvlText w:val="%1)"/>
      <w:lvlJc w:val="left"/>
      <w:pPr>
        <w:tabs>
          <w:tab w:val="num" w:pos="700"/>
        </w:tabs>
        <w:ind w:left="70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F527806"/>
    <w:multiLevelType w:val="singleLevel"/>
    <w:tmpl w:val="63D0C0A0"/>
    <w:lvl w:ilvl="0">
      <w:start w:val="1"/>
      <w:numFmt w:val="decimal"/>
      <w:lvlText w:val="(%1)"/>
      <w:legacy w:legacy="1" w:legacySpace="120" w:legacyIndent="360"/>
      <w:lvlJc w:val="left"/>
      <w:pPr>
        <w:ind w:left="360" w:hanging="360"/>
      </w:pPr>
    </w:lvl>
  </w:abstractNum>
  <w:abstractNum w:abstractNumId="18">
    <w:nsid w:val="4095516C"/>
    <w:multiLevelType w:val="hybridMultilevel"/>
    <w:tmpl w:val="A59AA85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44AD64CE"/>
    <w:multiLevelType w:val="singleLevel"/>
    <w:tmpl w:val="E5D834B2"/>
    <w:lvl w:ilvl="0">
      <w:start w:val="2"/>
      <w:numFmt w:val="decimal"/>
      <w:lvlText w:val="%1."/>
      <w:lvlJc w:val="left"/>
      <w:pPr>
        <w:tabs>
          <w:tab w:val="num" w:pos="317"/>
        </w:tabs>
        <w:ind w:left="317" w:hanging="360"/>
      </w:pPr>
    </w:lvl>
  </w:abstractNum>
  <w:abstractNum w:abstractNumId="20">
    <w:nsid w:val="44F4135A"/>
    <w:multiLevelType w:val="singleLevel"/>
    <w:tmpl w:val="63D0C0A0"/>
    <w:lvl w:ilvl="0">
      <w:start w:val="1"/>
      <w:numFmt w:val="decimal"/>
      <w:lvlText w:val="(%1)"/>
      <w:legacy w:legacy="1" w:legacySpace="120" w:legacyIndent="360"/>
      <w:lvlJc w:val="left"/>
      <w:pPr>
        <w:ind w:left="720" w:hanging="360"/>
      </w:pPr>
    </w:lvl>
  </w:abstractNum>
  <w:abstractNum w:abstractNumId="21">
    <w:nsid w:val="45C141F2"/>
    <w:multiLevelType w:val="singleLevel"/>
    <w:tmpl w:val="63D0C0A0"/>
    <w:lvl w:ilvl="0">
      <w:start w:val="1"/>
      <w:numFmt w:val="decimal"/>
      <w:lvlText w:val="(%1)"/>
      <w:legacy w:legacy="1" w:legacySpace="120" w:legacyIndent="360"/>
      <w:lvlJc w:val="left"/>
      <w:pPr>
        <w:ind w:left="720" w:hanging="360"/>
      </w:pPr>
    </w:lvl>
  </w:abstractNum>
  <w:abstractNum w:abstractNumId="22">
    <w:nsid w:val="487A4548"/>
    <w:multiLevelType w:val="multilevel"/>
    <w:tmpl w:val="3F9A5BEA"/>
    <w:lvl w:ilvl="0">
      <w:start w:val="1"/>
      <w:numFmt w:val="lowerLetter"/>
      <w:lvlText w:val="%1)"/>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BC62535"/>
    <w:multiLevelType w:val="hybridMultilevel"/>
    <w:tmpl w:val="5476C7B4"/>
    <w:lvl w:ilvl="0">
      <w:start w:val="1"/>
      <w:numFmt w:val="lowerLetter"/>
      <w:lvlText w:val="%1)"/>
      <w:lvlJc w:val="left"/>
      <w:pPr>
        <w:tabs>
          <w:tab w:val="num" w:pos="0"/>
        </w:tabs>
        <w:ind w:left="19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11258D6"/>
    <w:multiLevelType w:val="hybridMultilevel"/>
    <w:tmpl w:val="BE7E725A"/>
    <w:lvl w:ilvl="0">
      <w:start w:val="1"/>
      <w:numFmt w:val="decimal"/>
      <w:lvlText w:val="(%1)"/>
      <w:lvlJc w:val="left"/>
      <w:pPr>
        <w:tabs>
          <w:tab w:val="num" w:pos="-491"/>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CE3207"/>
    <w:multiLevelType w:val="hybridMultilevel"/>
    <w:tmpl w:val="7F1CC4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5D7C77"/>
    <w:multiLevelType w:val="hybridMultilevel"/>
    <w:tmpl w:val="8B4A3D5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8803706"/>
    <w:multiLevelType w:val="singleLevel"/>
    <w:tmpl w:val="63D0C0A0"/>
    <w:lvl w:ilvl="0">
      <w:start w:val="1"/>
      <w:numFmt w:val="decimal"/>
      <w:lvlText w:val="(%1)"/>
      <w:legacy w:legacy="1" w:legacySpace="120" w:legacyIndent="360"/>
      <w:lvlJc w:val="left"/>
      <w:pPr>
        <w:ind w:left="720" w:hanging="360"/>
      </w:pPr>
    </w:lvl>
  </w:abstractNum>
  <w:abstractNum w:abstractNumId="30">
    <w:nsid w:val="7D7662D6"/>
    <w:multiLevelType w:val="hybridMultilevel"/>
    <w:tmpl w:val="8050DBBE"/>
    <w:lvl w:ilvl="0">
      <w:start w:val="1"/>
      <w:numFmt w:val="decimal"/>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7"/>
      <w:numFmt w:val="lowerLetter"/>
      <w:lvlText w:val="%3)"/>
      <w:lvlJc w:val="left"/>
      <w:pPr>
        <w:tabs>
          <w:tab w:val="num" w:pos="2820"/>
        </w:tabs>
        <w:ind w:left="2820" w:hanging="360"/>
      </w:pPr>
      <w:rPr>
        <w:rFonts w:hint="default"/>
      </w:r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num w:numId="1">
    <w:abstractNumId w:val="5"/>
  </w:num>
  <w:num w:numId="2">
    <w:abstractNumId w:val="5"/>
    <w:lvlOverride w:ilvl="0">
      <w:startOverride w:val="3"/>
    </w:lvlOverride>
  </w:num>
  <w:num w:numId="3">
    <w:abstractNumId w:val="19"/>
  </w:num>
  <w:num w:numId="4">
    <w:abstractNumId w:val="19"/>
    <w:lvlOverride w:ilvl="0">
      <w:startOverride w:val="2"/>
    </w:lvlOverride>
  </w:num>
  <w:num w:numId="5">
    <w:abstractNumId w:val="10"/>
  </w:num>
  <w:num w:numId="6">
    <w:abstractNumId w:val="10"/>
    <w:lvlOverride w:ilvl="0">
      <w:startOverride w:val="1"/>
    </w:lvlOverride>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27"/>
  </w:num>
  <w:num w:numId="12">
    <w:abstractNumId w:val="4"/>
  </w:num>
  <w:num w:numId="13">
    <w:abstractNumId w:val="24"/>
  </w:num>
  <w:num w:numId="14">
    <w:abstractNumId w:val="3"/>
  </w:num>
  <w:num w:numId="15">
    <w:abstractNumId w:val="11"/>
  </w:num>
  <w:num w:numId="16">
    <w:abstractNumId w:val="25"/>
  </w:num>
  <w:num w:numId="17">
    <w:abstractNumId w:val="20"/>
  </w:num>
  <w:num w:numId="18">
    <w:abstractNumId w:val="21"/>
  </w:num>
  <w:num w:numId="19">
    <w:abstractNumId w:val="14"/>
  </w:num>
  <w:num w:numId="20">
    <w:abstractNumId w:val="9"/>
  </w:num>
  <w:num w:numId="21">
    <w:abstractNumId w:val="23"/>
  </w:num>
  <w:num w:numId="22">
    <w:abstractNumId w:val="28"/>
  </w:num>
  <w:num w:numId="23">
    <w:abstractNumId w:val="6"/>
  </w:num>
  <w:num w:numId="24">
    <w:abstractNumId w:val="17"/>
  </w:num>
  <w:num w:numId="25">
    <w:abstractNumId w:val="29"/>
  </w:num>
  <w:num w:numId="26">
    <w:abstractNumId w:val="7"/>
  </w:num>
  <w:num w:numId="27">
    <w:abstractNumId w:val="2"/>
  </w:num>
  <w:num w:numId="28">
    <w:abstractNumId w:val="30"/>
  </w:num>
  <w:num w:numId="29">
    <w:abstractNumId w:val="13"/>
  </w:num>
  <w:num w:numId="30">
    <w:abstractNumId w:val="8"/>
  </w:num>
  <w:num w:numId="31">
    <w:abstractNumId w:val="18"/>
  </w:num>
  <w:num w:numId="32">
    <w:abstractNumId w:val="12"/>
  </w:num>
  <w:num w:numId="33">
    <w:abstractNumId w:val="26"/>
  </w:num>
  <w:num w:numId="34">
    <w:abstractNumId w:val="16"/>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4821"/>
    <w:rsid w:val="00025098"/>
    <w:rsid w:val="000505D3"/>
    <w:rsid w:val="0005670F"/>
    <w:rsid w:val="00082239"/>
    <w:rsid w:val="000A296A"/>
    <w:rsid w:val="000B4803"/>
    <w:rsid w:val="000D042F"/>
    <w:rsid w:val="001142E5"/>
    <w:rsid w:val="0013221E"/>
    <w:rsid w:val="001677D7"/>
    <w:rsid w:val="00171447"/>
    <w:rsid w:val="0017764C"/>
    <w:rsid w:val="001A6B73"/>
    <w:rsid w:val="001D53EC"/>
    <w:rsid w:val="001D5C90"/>
    <w:rsid w:val="00212717"/>
    <w:rsid w:val="00224F25"/>
    <w:rsid w:val="002311C8"/>
    <w:rsid w:val="00237FAA"/>
    <w:rsid w:val="00262794"/>
    <w:rsid w:val="00272DC4"/>
    <w:rsid w:val="00296F59"/>
    <w:rsid w:val="002A38F6"/>
    <w:rsid w:val="002C70D0"/>
    <w:rsid w:val="002D1B80"/>
    <w:rsid w:val="002D3612"/>
    <w:rsid w:val="002F4E54"/>
    <w:rsid w:val="00303121"/>
    <w:rsid w:val="00315170"/>
    <w:rsid w:val="003328FF"/>
    <w:rsid w:val="00350D02"/>
    <w:rsid w:val="00391DC5"/>
    <w:rsid w:val="003B4E3F"/>
    <w:rsid w:val="003C473D"/>
    <w:rsid w:val="003D392C"/>
    <w:rsid w:val="0040524D"/>
    <w:rsid w:val="004079F4"/>
    <w:rsid w:val="00421FB3"/>
    <w:rsid w:val="00422E31"/>
    <w:rsid w:val="004241FD"/>
    <w:rsid w:val="00464DF9"/>
    <w:rsid w:val="00495C9C"/>
    <w:rsid w:val="004B3847"/>
    <w:rsid w:val="004C4381"/>
    <w:rsid w:val="004D286E"/>
    <w:rsid w:val="004D7667"/>
    <w:rsid w:val="005170A9"/>
    <w:rsid w:val="00532019"/>
    <w:rsid w:val="00534FF5"/>
    <w:rsid w:val="00573A87"/>
    <w:rsid w:val="005A5922"/>
    <w:rsid w:val="005C51F6"/>
    <w:rsid w:val="005D1CEB"/>
    <w:rsid w:val="005E192D"/>
    <w:rsid w:val="006138AD"/>
    <w:rsid w:val="00641991"/>
    <w:rsid w:val="00641A7A"/>
    <w:rsid w:val="006567F7"/>
    <w:rsid w:val="006610F5"/>
    <w:rsid w:val="00662E66"/>
    <w:rsid w:val="00672EFA"/>
    <w:rsid w:val="006855A4"/>
    <w:rsid w:val="00692989"/>
    <w:rsid w:val="006B7F25"/>
    <w:rsid w:val="006D028A"/>
    <w:rsid w:val="006E4B16"/>
    <w:rsid w:val="006E60EC"/>
    <w:rsid w:val="006E6C41"/>
    <w:rsid w:val="00705449"/>
    <w:rsid w:val="007117E2"/>
    <w:rsid w:val="00741B55"/>
    <w:rsid w:val="007427D0"/>
    <w:rsid w:val="00755FB2"/>
    <w:rsid w:val="0078125A"/>
    <w:rsid w:val="007816AA"/>
    <w:rsid w:val="007A24B3"/>
    <w:rsid w:val="007B0769"/>
    <w:rsid w:val="007D1F34"/>
    <w:rsid w:val="00802281"/>
    <w:rsid w:val="00806E2F"/>
    <w:rsid w:val="00844946"/>
    <w:rsid w:val="008B1C4B"/>
    <w:rsid w:val="008C4975"/>
    <w:rsid w:val="008C54C3"/>
    <w:rsid w:val="009416DC"/>
    <w:rsid w:val="0095017B"/>
    <w:rsid w:val="0095366E"/>
    <w:rsid w:val="00985F9D"/>
    <w:rsid w:val="00987DD9"/>
    <w:rsid w:val="009A19BC"/>
    <w:rsid w:val="009A73CE"/>
    <w:rsid w:val="009B0E5E"/>
    <w:rsid w:val="009C317E"/>
    <w:rsid w:val="009C5C65"/>
    <w:rsid w:val="009C7B31"/>
    <w:rsid w:val="009E11EE"/>
    <w:rsid w:val="009E4055"/>
    <w:rsid w:val="00A36E9B"/>
    <w:rsid w:val="00A55A77"/>
    <w:rsid w:val="00A61BA6"/>
    <w:rsid w:val="00A6590D"/>
    <w:rsid w:val="00A73CAB"/>
    <w:rsid w:val="00A9063F"/>
    <w:rsid w:val="00A9549D"/>
    <w:rsid w:val="00AB2C74"/>
    <w:rsid w:val="00AC1BD7"/>
    <w:rsid w:val="00AC2D1D"/>
    <w:rsid w:val="00AE56A2"/>
    <w:rsid w:val="00AF2538"/>
    <w:rsid w:val="00B14D4F"/>
    <w:rsid w:val="00B21EBA"/>
    <w:rsid w:val="00B408CB"/>
    <w:rsid w:val="00B40E76"/>
    <w:rsid w:val="00B5376E"/>
    <w:rsid w:val="00B8019C"/>
    <w:rsid w:val="00BC3C6F"/>
    <w:rsid w:val="00BC58DD"/>
    <w:rsid w:val="00C02904"/>
    <w:rsid w:val="00C460B3"/>
    <w:rsid w:val="00C8496E"/>
    <w:rsid w:val="00C92FF6"/>
    <w:rsid w:val="00C96E70"/>
    <w:rsid w:val="00CA4A4E"/>
    <w:rsid w:val="00CD7956"/>
    <w:rsid w:val="00CE67D7"/>
    <w:rsid w:val="00D1521E"/>
    <w:rsid w:val="00D25A1E"/>
    <w:rsid w:val="00D3730C"/>
    <w:rsid w:val="00D61C7D"/>
    <w:rsid w:val="00D86260"/>
    <w:rsid w:val="00D97D11"/>
    <w:rsid w:val="00DA0F6C"/>
    <w:rsid w:val="00DA165F"/>
    <w:rsid w:val="00DA257A"/>
    <w:rsid w:val="00DE527E"/>
    <w:rsid w:val="00DF59FE"/>
    <w:rsid w:val="00E148DA"/>
    <w:rsid w:val="00EB5658"/>
    <w:rsid w:val="00EC23C4"/>
    <w:rsid w:val="00ED7ABC"/>
    <w:rsid w:val="00EF6652"/>
    <w:rsid w:val="00F21719"/>
    <w:rsid w:val="00F22CD4"/>
    <w:rsid w:val="00F26784"/>
    <w:rsid w:val="00F31D83"/>
    <w:rsid w:val="00F71FCC"/>
    <w:rsid w:val="00F87930"/>
    <w:rsid w:val="00FB350B"/>
    <w:rsid w:val="00FC49CA"/>
    <w:rsid w:val="00FC6FAD"/>
    <w:rsid w:val="00FD2EB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autoSpaceDE w:val="0"/>
      <w:autoSpaceDN w:val="0"/>
      <w:adjustRightInd/>
      <w:ind w:left="0" w:right="0"/>
      <w:jc w:val="left"/>
      <w:textAlignment w:val="auto"/>
    </w:pPr>
    <w:rPr>
      <w:sz w:val="24"/>
      <w:lang w:val="sk-SK" w:eastAsia="sk-SK"/>
    </w:rPr>
  </w:style>
  <w:style w:type="paragraph" w:styleId="Heading1">
    <w:name w:val="heading 1"/>
    <w:basedOn w:val="Normal"/>
    <w:next w:val="Normal"/>
    <w:uiPriority w:val="99"/>
    <w:pPr>
      <w:keepNext/>
      <w:jc w:val="center"/>
      <w:outlineLvl w:val="0"/>
    </w:pPr>
    <w:rPr>
      <w:b/>
    </w:rPr>
  </w:style>
  <w:style w:type="paragraph" w:styleId="Heading2">
    <w:name w:val="heading 2"/>
    <w:basedOn w:val="Normal"/>
    <w:next w:val="Normal"/>
    <w:uiPriority w:val="99"/>
    <w:pPr>
      <w:keepNext/>
      <w:spacing w:before="120"/>
      <w:jc w:val="center"/>
      <w:outlineLvl w:val="1"/>
    </w:pPr>
    <w:rPr>
      <w:b/>
      <w:sz w:val="20"/>
    </w:rPr>
  </w:style>
  <w:style w:type="paragraph" w:styleId="Heading4">
    <w:name w:val="heading 4"/>
    <w:basedOn w:val="Normal"/>
    <w:next w:val="Normal"/>
    <w:uiPriority w:val="99"/>
    <w:pPr>
      <w:keepNext/>
      <w:jc w:val="center"/>
      <w:outlineLvl w:val="3"/>
    </w:pPr>
    <w:rPr>
      <w:b/>
      <w:sz w:val="22"/>
    </w:rPr>
  </w:style>
  <w:style w:type="character" w:default="1" w:styleId="DefaultParagraphFont">
    <w:name w:val="Default Paragraph Font"/>
    <w:uiPriority w:val="99"/>
    <w:semiHidden/>
  </w:style>
  <w:style w:type="table" w:default="1" w:styleId="TableNormal">
    <w:name w:val="Normal Table"/>
    <w:uiPriority w:val="99"/>
    <w:semiHidden/>
    <w:tblPr>
      <w:tblCellMar>
        <w:top w:w="0" w:type="dxa"/>
        <w:left w:w="108" w:type="dxa"/>
        <w:bottom w:w="0" w:type="dxa"/>
        <w:right w:w="108" w:type="dxa"/>
      </w:tblCellMar>
    </w:tblPr>
  </w:style>
  <w:style w:type="paragraph" w:styleId="BodyText3">
    <w:name w:val="Body Text 3"/>
    <w:basedOn w:val="Normal"/>
    <w:uiPriority w:val="99"/>
    <w:pPr>
      <w:spacing w:line="240" w:lineRule="atLeast"/>
      <w:jc w:val="both"/>
    </w:pPr>
  </w:style>
  <w:style w:type="paragraph" w:styleId="Header">
    <w:name w:val="header"/>
    <w:basedOn w:val="Normal"/>
    <w:uiPriority w:val="99"/>
    <w:pPr>
      <w:tabs>
        <w:tab w:val="center" w:pos="4536"/>
        <w:tab w:val="right" w:pos="9072"/>
      </w:tabs>
      <w:jc w:val="left"/>
    </w:pPr>
  </w:style>
  <w:style w:type="paragraph" w:styleId="BodyText2">
    <w:name w:val="Body Text 2"/>
    <w:basedOn w:val="Normal"/>
    <w:uiPriority w:val="99"/>
    <w:pPr>
      <w:jc w:val="center"/>
    </w:pPr>
    <w:rPr>
      <w:sz w:val="20"/>
    </w:rPr>
  </w:style>
  <w:style w:type="paragraph" w:customStyle="1" w:styleId="Normlny">
    <w:name w:val="_Normálny"/>
    <w:basedOn w:val="Normal"/>
    <w:uiPriority w:val="99"/>
    <w:pPr>
      <w:jc w:val="left"/>
    </w:pPr>
    <w:rPr>
      <w:sz w:val="20"/>
      <w:lang w:eastAsia="en-US"/>
    </w:rPr>
  </w:style>
  <w:style w:type="paragraph" w:styleId="FootnoteText">
    <w:name w:val="footnote text"/>
    <w:basedOn w:val="Normal"/>
    <w:uiPriority w:val="99"/>
    <w:semiHidden/>
    <w:pPr>
      <w:jc w:val="left"/>
    </w:pPr>
    <w:rPr>
      <w:sz w:val="2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lang w:eastAsia="en-US"/>
    </w:rPr>
  </w:style>
  <w:style w:type="character" w:styleId="FootnoteReference">
    <w:name w:val="footnote reference"/>
    <w:basedOn w:val="DefaultParagraphFont"/>
    <w:uiPriority w:val="99"/>
    <w:semiHidden/>
    <w:rPr>
      <w:vertAlign w:val="superscript"/>
    </w:rPr>
  </w:style>
  <w:style w:type="paragraph" w:styleId="Footer">
    <w:name w:val="footer"/>
    <w:basedOn w:val="Normal"/>
    <w:uiPriority w:val="99"/>
    <w:pPr>
      <w:tabs>
        <w:tab w:val="center" w:pos="4536"/>
        <w:tab w:val="right" w:pos="9072"/>
      </w:tabs>
      <w:autoSpaceDE/>
      <w:autoSpaceDN/>
      <w:jc w:val="left"/>
    </w:pPr>
  </w:style>
  <w:style w:type="character" w:styleId="PageNumber">
    <w:name w:val="page number"/>
    <w:basedOn w:val="DefaultParagraphFont"/>
    <w:uiPriority w:val="99"/>
  </w:style>
  <w:style w:type="paragraph" w:styleId="BodyTextIndent2">
    <w:name w:val="Body Text Indent 2"/>
    <w:basedOn w:val="Normal"/>
    <w:uiPriority w:val="99"/>
    <w:pPr>
      <w:autoSpaceDE/>
      <w:autoSpaceDN/>
      <w:ind w:left="290" w:hanging="290"/>
      <w:jc w:val="left"/>
    </w:pPr>
    <w:rPr>
      <w:sz w:val="20"/>
    </w:rPr>
  </w:style>
  <w:style w:type="paragraph" w:styleId="BodyTextIndent3">
    <w:name w:val="Body Text Indent 3"/>
    <w:basedOn w:val="Normal"/>
    <w:uiPriority w:val="99"/>
    <w:rsid w:val="00A61BA6"/>
    <w:pPr>
      <w:spacing w:after="120"/>
      <w:ind w:left="283"/>
      <w:jc w:val="left"/>
    </w:pPr>
    <w:rPr>
      <w:sz w:val="16"/>
    </w:rPr>
  </w:style>
  <w:style w:type="paragraph" w:styleId="Title">
    <w:name w:val="Title"/>
    <w:basedOn w:val="Normal"/>
    <w:uiPriority w:val="99"/>
    <w:rsid w:val="0095366E"/>
    <w:pPr>
      <w:overflowPunct w:val="0"/>
      <w:adjustRightInd w:val="0"/>
      <w:jc w:val="center"/>
      <w:textAlignment w:val="baseline"/>
    </w:pPr>
    <w:rPr>
      <w:b/>
    </w:rPr>
  </w:style>
  <w:style w:type="paragraph" w:customStyle="1" w:styleId="Zkladntext">
    <w:name w:val="Základní text"/>
    <w:uiPriority w:val="99"/>
    <w:rsid w:val="0095366E"/>
    <w:pPr>
      <w:widowControl w:val="0"/>
      <w:autoSpaceDE w:val="0"/>
      <w:autoSpaceDN w:val="0"/>
      <w:adjustRightInd/>
      <w:ind w:left="0" w:right="0"/>
      <w:jc w:val="left"/>
      <w:textAlignment w:val="auto"/>
    </w:pPr>
    <w:rPr>
      <w:color w:val="000000"/>
      <w:sz w:val="24"/>
      <w:lang w:val="sk-SK" w:eastAsia="sk-SK"/>
    </w:rPr>
  </w:style>
  <w:style w:type="paragraph" w:styleId="BalloonText">
    <w:name w:val="Balloon Text"/>
    <w:basedOn w:val="Normal"/>
    <w:uiPriority w:val="99"/>
    <w:semiHidden/>
    <w:rsid w:val="00171447"/>
    <w:pPr>
      <w:jc w:val="left"/>
    </w:pPr>
    <w:rPr>
      <w:rFonts w:ascii="Tahoma" w:hAnsi="Tahoma" w:cs="Tahoma"/>
      <w:sz w:val="16"/>
    </w:rPr>
  </w:style>
  <w:style w:type="paragraph" w:customStyle="1" w:styleId="tlArialNarrow10ptPodaokraja">
    <w:name w:val="Štýl Arial Narrow 10 pt Podľa okraja"/>
    <w:basedOn w:val="Normal"/>
    <w:uiPriority w:val="99"/>
    <w:rsid w:val="003328FF"/>
    <w:pPr>
      <w:jc w:val="both"/>
    </w:pPr>
    <w:rPr>
      <w:rFonts w:ascii="Arial Narrow" w:hAnsi="Arial Narrow" w:cs="Arial Narrow"/>
      <w:sz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39</TotalTime>
  <Pages>3</Pages>
  <Words>851</Words>
  <Characters>4853</Characters>
  <Application>Microsoft Office Word</Application>
  <DocSecurity>0</DocSecurity>
  <Lines>0</Lines>
  <Paragraphs>0</Paragraphs>
  <ScaleCrop>false</ScaleCrop>
  <Company>ÚV SR</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cp:lastModifiedBy>
  <cp:revision>8</cp:revision>
  <cp:lastPrinted>2009-02-06T16:41:00Z</cp:lastPrinted>
  <dcterms:created xsi:type="dcterms:W3CDTF">2009-01-28T18:56:00Z</dcterms:created>
  <dcterms:modified xsi:type="dcterms:W3CDTF">2009-02-06T16:59:00Z</dcterms:modified>
</cp:coreProperties>
</file>