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47C41">
        <w:rPr>
          <w:rFonts w:ascii="Times New Roman" w:hAnsi="Times New Roman" w:cs="Times New Roman"/>
          <w:sz w:val="28"/>
        </w:rPr>
        <w:t>6</w:t>
      </w:r>
      <w:r w:rsidR="006964D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E7568B">
      <w:pPr>
        <w:ind w:left="3540" w:firstLine="708"/>
        <w:rPr>
          <w:rFonts w:ascii="Times New Roman" w:hAnsi="Times New Roman" w:cs="Times New Roman"/>
          <w:b/>
        </w:rPr>
      </w:pPr>
    </w:p>
    <w:p w:rsidR="00E7568B">
      <w:pPr>
        <w:ind w:left="3540" w:firstLine="708"/>
        <w:rPr>
          <w:rFonts w:ascii="Times New Roman" w:hAnsi="Times New Roman" w:cs="Times New Roman"/>
          <w:b/>
        </w:rPr>
      </w:pPr>
      <w:r w:rsidR="00297458">
        <w:rPr>
          <w:rFonts w:ascii="Times New Roman" w:hAnsi="Times New Roman" w:cs="Times New Roman"/>
          <w:b/>
        </w:rPr>
        <w:t xml:space="preserve">         443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47C41">
        <w:rPr>
          <w:rFonts w:ascii="Times New Roman" w:hAnsi="Times New Roman" w:cs="Times New Roman"/>
          <w:b/>
        </w:rPr>
        <w:t>z</w:t>
      </w:r>
      <w:r w:rsidR="006964DC">
        <w:rPr>
          <w:rFonts w:ascii="Times New Roman" w:hAnsi="Times New Roman" w:cs="Times New Roman"/>
          <w:b/>
        </w:rPr>
        <w:t> 3. februára</w:t>
      </w:r>
      <w:r w:rsidR="00A47C41">
        <w:rPr>
          <w:rFonts w:ascii="Times New Roman" w:hAnsi="Times New Roman" w:cs="Times New Roman"/>
          <w:b/>
        </w:rPr>
        <w:t xml:space="preserve"> 2009</w:t>
      </w:r>
    </w:p>
    <w:p w:rsidR="00A47C41" w:rsidP="00A47C41">
      <w:pPr>
        <w:jc w:val="both"/>
        <w:rPr>
          <w:rFonts w:ascii="Times New Roman" w:hAnsi="Times New Roman" w:cs="Times New Roman"/>
          <w:b/>
          <w:i/>
        </w:rPr>
      </w:pPr>
    </w:p>
    <w:p w:rsidR="00E7568B" w:rsidP="00A47C41">
      <w:pPr>
        <w:jc w:val="both"/>
        <w:rPr>
          <w:rFonts w:ascii="Times New Roman" w:hAnsi="Times New Roman" w:cs="Times New Roman"/>
          <w:b/>
          <w:i/>
        </w:rPr>
      </w:pPr>
    </w:p>
    <w:p w:rsidR="00451CEF" w:rsidRPr="001F0248" w:rsidP="00A47C41">
      <w:pPr>
        <w:jc w:val="both"/>
        <w:rPr>
          <w:rFonts w:ascii="Times New Roman" w:hAnsi="Times New Roman" w:cs="Times New Roman"/>
          <w:b/>
          <w:i/>
        </w:rPr>
      </w:pPr>
      <w:r w:rsidRPr="00A47C41">
        <w:rPr>
          <w:rFonts w:ascii="Times New Roman" w:hAnsi="Times New Roman" w:cs="Times New Roman"/>
        </w:rPr>
        <w:t>Výbor Národnej rady Slovenskej republiky pre financie, rozpočet a menu prerokoval</w:t>
      </w:r>
      <w:r w:rsidR="00C1112C">
        <w:rPr>
          <w:rFonts w:ascii="Times New Roman" w:hAnsi="Times New Roman" w:cs="Times New Roman"/>
        </w:rPr>
        <w:t xml:space="preserve"> </w:t>
      </w:r>
      <w:r w:rsidR="00E7568B">
        <w:rPr>
          <w:rFonts w:ascii="Times New Roman" w:hAnsi="Times New Roman" w:cs="Times New Roman"/>
        </w:rPr>
        <w:t>v</w:t>
      </w:r>
      <w:r w:rsidRPr="00D109C2" w:rsidR="00E7568B">
        <w:rPr>
          <w:rFonts w:ascii="Times New Roman" w:hAnsi="Times New Roman" w:cs="Times New Roman"/>
        </w:rPr>
        <w:t>ládny návrh zákona o niektorých opatreniach pri majetkovoprávnom usporiadaní pozemkov pod stavbami, ktoré prešli z vlastníctva štátu na obce a vyšš</w:t>
      </w:r>
      <w:r w:rsidRPr="00D109C2" w:rsidR="00E7568B">
        <w:rPr>
          <w:rFonts w:ascii="Times New Roman" w:hAnsi="Times New Roman" w:cs="Times New Roman"/>
        </w:rPr>
        <w:t>ie územné celky a o zmene a doplnení niektorých zákonov (tlač 833)</w:t>
      </w:r>
      <w:r w:rsidR="00E7568B">
        <w:rPr>
          <w:rFonts w:ascii="Times New Roman" w:hAnsi="Times New Roman" w:cs="Times New Roman"/>
        </w:rPr>
        <w:t xml:space="preserve"> </w:t>
      </w:r>
      <w:r w:rsidRPr="00A47C41" w:rsidR="001F0248">
        <w:rPr>
          <w:rFonts w:ascii="Times New Roman" w:hAnsi="Times New Roman" w:cs="Times New Roman"/>
        </w:rPr>
        <w:t xml:space="preserve"> </w:t>
      </w:r>
      <w:r w:rsidRPr="00A47C41">
        <w:rPr>
          <w:rFonts w:ascii="Times New Roman" w:hAnsi="Times New Roman" w:cs="Times New Roman"/>
          <w:b/>
        </w:rPr>
        <w:t>a</w:t>
      </w:r>
      <w:r w:rsidRPr="001F0248">
        <w:rPr>
          <w:rFonts w:ascii="Times New Roman" w:hAnsi="Times New Roman" w:cs="Times New Roman"/>
          <w:i/>
        </w:rPr>
        <w:t xml:space="preserve"> </w:t>
      </w:r>
      <w:r w:rsidRPr="001F0248">
        <w:rPr>
          <w:rFonts w:ascii="Times New Roman" w:hAnsi="Times New Roman" w:cs="Times New Roman"/>
          <w:b/>
          <w:i/>
        </w:rPr>
        <w:t xml:space="preserve"> </w:t>
      </w:r>
    </w:p>
    <w:p w:rsidR="00451CEF">
      <w:pPr>
        <w:rPr>
          <w:rFonts w:ascii="Times New Roman" w:hAnsi="Times New Roman" w:cs="Times New Roman"/>
        </w:rPr>
      </w:pPr>
    </w:p>
    <w:p w:rsidR="00E7568B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1F0248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451CEF" w:rsidRPr="001F0248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Pr="001F0248">
        <w:rPr>
          <w:rFonts w:ascii="Times New Roman" w:hAnsi="Times New Roman" w:cs="Times New Roman"/>
        </w:rPr>
        <w:t xml:space="preserve">s </w:t>
      </w:r>
      <w:r w:rsidR="00E7568B">
        <w:rPr>
          <w:rFonts w:ascii="Times New Roman" w:hAnsi="Times New Roman" w:cs="Times New Roman"/>
        </w:rPr>
        <w:t>v</w:t>
      </w:r>
      <w:r w:rsidRPr="00D109C2" w:rsidR="00E7568B">
        <w:rPr>
          <w:rFonts w:ascii="Times New Roman" w:hAnsi="Times New Roman" w:cs="Times New Roman"/>
        </w:rPr>
        <w:t>ládny</w:t>
      </w:r>
      <w:r w:rsidR="00E7568B">
        <w:rPr>
          <w:rFonts w:ascii="Times New Roman" w:hAnsi="Times New Roman" w:cs="Times New Roman"/>
        </w:rPr>
        <w:t>m</w:t>
      </w:r>
      <w:r w:rsidRPr="00D109C2" w:rsidR="00E7568B">
        <w:rPr>
          <w:rFonts w:ascii="Times New Roman" w:hAnsi="Times New Roman" w:cs="Times New Roman"/>
        </w:rPr>
        <w:t xml:space="preserve"> návrh</w:t>
      </w:r>
      <w:r w:rsidR="00E7568B">
        <w:rPr>
          <w:rFonts w:ascii="Times New Roman" w:hAnsi="Times New Roman" w:cs="Times New Roman"/>
        </w:rPr>
        <w:t>om</w:t>
      </w:r>
      <w:r w:rsidRPr="00D109C2" w:rsidR="00E7568B">
        <w:rPr>
          <w:rFonts w:ascii="Times New Roman" w:hAnsi="Times New Roman" w:cs="Times New Roman"/>
        </w:rPr>
        <w:t xml:space="preserve"> zákona o niektorých opatreniach pri majetkovoprávnom usporiadaní pozemkov pod stavbami, ktoré prešli z vlastníctva štátu na obce a vyššie územné celky a o z</w:t>
      </w:r>
      <w:r w:rsidRPr="00D109C2" w:rsidR="00E7568B">
        <w:rPr>
          <w:rFonts w:ascii="Times New Roman" w:hAnsi="Times New Roman" w:cs="Times New Roman"/>
        </w:rPr>
        <w:t>mene a doplnení niektorých zákonov (tlač 833)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E7568B" w:rsidRPr="00E7568B" w:rsidP="00E7568B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E7568B">
        <w:rPr>
          <w:rFonts w:ascii="Times New Roman" w:hAnsi="Times New Roman" w:cs="Times New Roman"/>
        </w:rPr>
        <w:t>v</w:t>
      </w:r>
      <w:r w:rsidRPr="00D109C2" w:rsidR="00E7568B">
        <w:rPr>
          <w:rFonts w:ascii="Times New Roman" w:hAnsi="Times New Roman" w:cs="Times New Roman"/>
        </w:rPr>
        <w:t>ládny návrh zákona o niektorých opatreniach pri majetkovoprávnom usporiadaní pozemkov pod stavbami, ktoré prešli z vlastníctva štátu na obce a vyššie územn</w:t>
      </w:r>
      <w:r w:rsidRPr="00D109C2" w:rsidR="00E7568B">
        <w:rPr>
          <w:rFonts w:ascii="Times New Roman" w:hAnsi="Times New Roman" w:cs="Times New Roman"/>
        </w:rPr>
        <w:t>é celky a o zmene a doplnení niektorých zákonov (tlač 833)</w:t>
      </w:r>
      <w:r w:rsidR="00E756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 s pozmeňujúcimi a doplňujúcimi návrhmi tak, ako sú uvedené v prílohe tohto uznesenia</w:t>
      </w:r>
    </w:p>
    <w:p w:rsidR="00612A54">
      <w:pPr>
        <w:ind w:left="1416"/>
        <w:jc w:val="both"/>
        <w:rPr>
          <w:rFonts w:ascii="Times New Roman" w:hAnsi="Times New Roman" w:cs="Times New Roman"/>
          <w:b/>
        </w:rPr>
      </w:pPr>
      <w:r w:rsidR="00451CEF">
        <w:rPr>
          <w:rFonts w:ascii="Times New Roman" w:hAnsi="Times New Roman" w:cs="Times New Roman"/>
          <w:b/>
        </w:rPr>
        <w:tab/>
      </w:r>
    </w:p>
    <w:p w:rsidR="00E7568B">
      <w:pPr>
        <w:ind w:left="1416"/>
        <w:jc w:val="both"/>
        <w:rPr>
          <w:rFonts w:ascii="Times New Roman" w:hAnsi="Times New Roman" w:cs="Times New Roman"/>
          <w:b/>
        </w:rPr>
      </w:pP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predsedu Národnej rady Slovenskej republiky o výsledku prerokovania uvedeného </w:t>
      </w:r>
      <w:r w:rsidR="00E7568B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1F0248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612A54" w:rsidP="00B13A87">
      <w:pPr>
        <w:rPr>
          <w:rFonts w:ascii="Times New Roman" w:hAnsi="Times New Roman" w:cs="Times New Roman"/>
        </w:rPr>
      </w:pPr>
    </w:p>
    <w:p w:rsidR="00A47C41" w:rsidP="00B13A87">
      <w:pPr>
        <w:rPr>
          <w:rFonts w:ascii="Times New Roman" w:hAnsi="Times New Roman" w:cs="Times New Roman"/>
        </w:rPr>
      </w:pPr>
    </w:p>
    <w:p w:rsidR="00A47C41" w:rsidP="00B13A87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</w:t>
      </w:r>
      <w:r>
        <w:rPr>
          <w:rFonts w:ascii="AT*Zurich Calligraphic" w:hAnsi="AT*Zurich Calligraphic" w:cs="Times New Roman"/>
        </w:rPr>
        <w:t>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297458">
        <w:rPr>
          <w:rFonts w:ascii="Times New Roman" w:hAnsi="Times New Roman" w:cs="Times New Roman"/>
          <w:b/>
        </w:rPr>
        <w:t>443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A47C41">
        <w:rPr>
          <w:rFonts w:ascii="Times New Roman" w:hAnsi="Times New Roman" w:cs="Times New Roman"/>
          <w:b/>
          <w:bCs w:val="0"/>
        </w:rPr>
        <w:t>60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E7568B" w:rsidRPr="00E7568B" w:rsidP="00A47C41">
      <w:pPr>
        <w:ind w:left="360"/>
        <w:jc w:val="center"/>
        <w:rPr>
          <w:rFonts w:ascii="Times New Roman" w:hAnsi="Times New Roman" w:cs="Times New Roman"/>
          <w:b/>
          <w:bCs w:val="0"/>
        </w:rPr>
      </w:pPr>
      <w:r w:rsidR="00451CEF">
        <w:rPr>
          <w:rFonts w:ascii="Times New Roman" w:hAnsi="Times New Roman" w:cs="Times New Roman"/>
          <w:b/>
          <w:bCs w:val="0"/>
        </w:rPr>
        <w:t>k</w:t>
      </w:r>
      <w:r w:rsidR="001F0248">
        <w:rPr>
          <w:rFonts w:ascii="Times New Roman" w:hAnsi="Times New Roman" w:cs="Times New Roman"/>
          <w:b/>
          <w:bCs w:val="0"/>
        </w:rPr>
        <w:t> </w:t>
      </w:r>
      <w:r w:rsidRPr="00E7568B">
        <w:rPr>
          <w:rFonts w:ascii="Times New Roman" w:hAnsi="Times New Roman" w:cs="Times New Roman"/>
          <w:b/>
        </w:rPr>
        <w:t>vládnemu návrhu zákona o niektorých opatreniach pri majetkovoprávnom usporiadaní pozemkov pod stavbami, ktoré p</w:t>
      </w:r>
      <w:r w:rsidRPr="00E7568B">
        <w:rPr>
          <w:rFonts w:ascii="Times New Roman" w:hAnsi="Times New Roman" w:cs="Times New Roman"/>
          <w:b/>
        </w:rPr>
        <w:t>rešli z vlastníctva štátu na obce a vyššie územné celky a o zmene a doplnení niektorých zákonov (tlač 833)</w:t>
      </w:r>
    </w:p>
    <w:p w:rsidR="00451CEF" w:rsidP="00A47C41">
      <w:pPr>
        <w:ind w:left="360"/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293521">
      <w:pPr>
        <w:rPr>
          <w:rFonts w:ascii="Times New Roman" w:hAnsi="Times New Roman" w:cs="Times New Roman"/>
        </w:rPr>
      </w:pPr>
    </w:p>
    <w:p w:rsidR="00297458" w:rsidRPr="00297458" w:rsidP="00297458">
      <w:pPr>
        <w:numPr>
          <w:ilvl w:val="0"/>
          <w:numId w:val="39"/>
        </w:numPr>
        <w:tabs>
          <w:tab w:val="left" w:pos="720"/>
        </w:tabs>
        <w:ind w:left="714" w:hanging="357"/>
        <w:jc w:val="both"/>
        <w:rPr>
          <w:rFonts w:ascii="Times New Roman" w:hAnsi="Times New Roman" w:cs="Times New Roman"/>
          <w:b/>
        </w:rPr>
      </w:pPr>
      <w:r w:rsidRPr="00297458">
        <w:rPr>
          <w:rFonts w:ascii="Times New Roman" w:hAnsi="Times New Roman" w:cs="Times New Roman"/>
          <w:b/>
        </w:rPr>
        <w:t>K čl. I §2</w:t>
      </w:r>
    </w:p>
    <w:p w:rsidR="00297458" w:rsidP="00297458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 § 2 ods. 1 sa v prvej vete za slovami „vlastníkom stavby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 xml:space="preserve">“ </w:t>
      </w:r>
      <w:r>
        <w:rPr>
          <w:rFonts w:ascii="Times New Roman" w:hAnsi="Times New Roman" w:cs="Times New Roman"/>
        </w:rPr>
        <w:t>vypúšťa čiarka a vkladá sa za slová „(ďalej „len vlastník stavby“).“</w:t>
      </w:r>
    </w:p>
    <w:p w:rsidR="00297458" w:rsidP="00297458">
      <w:pPr>
        <w:spacing w:line="360" w:lineRule="auto"/>
        <w:jc w:val="both"/>
        <w:rPr>
          <w:rFonts w:ascii="Times New Roman" w:hAnsi="Times New Roman" w:cs="Times New Roman"/>
        </w:rPr>
      </w:pPr>
    </w:p>
    <w:p w:rsidR="00297458" w:rsidP="00297458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gramatickú a súčasne legislatívno-technickú pripomienku, ktorou sa sleduje gramatické a významové zosúladenie; slovná konštrukcia “prechodom z vlastníctva štátu bez majetkovo právneho usporiadania“ označuje </w:t>
      </w:r>
      <w:r w:rsidRPr="006D26AF">
        <w:rPr>
          <w:rFonts w:ascii="Times New Roman" w:hAnsi="Times New Roman" w:cs="Times New Roman"/>
          <w:i/>
        </w:rPr>
        <w:t>spôsob</w:t>
      </w:r>
      <w:r>
        <w:rPr>
          <w:rFonts w:ascii="Times New Roman" w:hAnsi="Times New Roman" w:cs="Times New Roman"/>
        </w:rPr>
        <w:t xml:space="preserve"> nadobudnutia vlastníctva stavby, a nie to, že obec alebo VÚC prechodom z vlastníctva štátu bez majetkovoprávneho usporiadania vlastníctva k pozemkom môže poskytnúť náhradný pozemok. </w:t>
      </w:r>
    </w:p>
    <w:p w:rsidR="00A47C41">
      <w:pPr>
        <w:rPr>
          <w:rFonts w:ascii="Times New Roman" w:hAnsi="Times New Roman" w:cs="Times New Roman"/>
          <w:b/>
          <w:bCs w:val="0"/>
        </w:rPr>
      </w:pPr>
    </w:p>
    <w:p w:rsidR="00297458">
      <w:pPr>
        <w:rPr>
          <w:rFonts w:ascii="Times New Roman" w:hAnsi="Times New Roman" w:cs="Times New Roman"/>
          <w:b/>
          <w:bCs w:val="0"/>
        </w:rPr>
      </w:pPr>
    </w:p>
    <w:p w:rsidR="00297458" w:rsidRPr="00297458" w:rsidP="00297458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Nový bod</w:t>
      </w:r>
    </w:p>
    <w:p w:rsidR="00297458" w:rsidRPr="007E05E1" w:rsidP="00297458">
      <w:pPr>
        <w:ind w:left="360" w:firstLine="3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 čl. III. sa vkladá nový čl. IV, ktorý znie: </w:t>
      </w:r>
    </w:p>
    <w:p w:rsidR="00297458" w:rsidRPr="00ED10AF" w:rsidP="00297458">
      <w:pPr>
        <w:ind w:left="360"/>
        <w:jc w:val="both"/>
        <w:rPr>
          <w:rFonts w:ascii="Times New Roman" w:hAnsi="Times New Roman" w:cs="Times New Roman"/>
        </w:rPr>
      </w:pPr>
    </w:p>
    <w:p w:rsidR="00297458" w:rsidRPr="00ED10AF" w:rsidP="00297458">
      <w:pPr>
        <w:jc w:val="center"/>
        <w:rPr>
          <w:rFonts w:ascii="Times New Roman" w:hAnsi="Times New Roman" w:cs="Times New Roman"/>
          <w:b/>
        </w:rPr>
      </w:pPr>
      <w:r w:rsidRPr="00ED10AF">
        <w:rPr>
          <w:rFonts w:ascii="Times New Roman" w:hAnsi="Times New Roman" w:cs="Times New Roman"/>
          <w:b/>
        </w:rPr>
        <w:t>Čl. I</w:t>
      </w:r>
      <w:r>
        <w:rPr>
          <w:rFonts w:ascii="Times New Roman" w:hAnsi="Times New Roman" w:cs="Times New Roman"/>
          <w:b/>
        </w:rPr>
        <w:t>V.</w:t>
      </w:r>
    </w:p>
    <w:p w:rsidR="00297458" w:rsidRPr="00ED10AF" w:rsidP="00297458">
      <w:pPr>
        <w:rPr>
          <w:rFonts w:ascii="Times New Roman" w:hAnsi="Times New Roman" w:cs="Times New Roman"/>
          <w:b/>
        </w:rPr>
      </w:pPr>
    </w:p>
    <w:p w:rsidR="00297458" w:rsidRPr="00E609AF" w:rsidP="00297458">
      <w:pPr>
        <w:ind w:firstLine="708"/>
        <w:jc w:val="both"/>
        <w:rPr>
          <w:rFonts w:ascii="Times New Roman" w:hAnsi="Times New Roman" w:cs="Times New Roman"/>
        </w:rPr>
      </w:pPr>
      <w:r w:rsidRPr="00E609AF">
        <w:rPr>
          <w:rFonts w:ascii="Times New Roman" w:hAnsi="Times New Roman" w:cs="Times New Roman"/>
        </w:rPr>
        <w:t>Zákon č.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483/2001 Z. z. o bankách v znení zákona č.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430/2002 Z. z., zákona č.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510/2002 Z. z., zákona č. 165/2003 Z. z., zákona č. 603/2003 Z. z., zákona č. 215/2004 Z.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 xml:space="preserve">z., zákona č. 554/2004 Z. z., zákona č. </w:t>
      </w:r>
      <w:r>
        <w:rPr>
          <w:rFonts w:ascii="Times New Roman" w:hAnsi="Times New Roman" w:cs="Times New Roman"/>
        </w:rPr>
        <w:t>340</w:t>
      </w:r>
      <w:r w:rsidRPr="00E609AF">
        <w:rPr>
          <w:rFonts w:ascii="Times New Roman" w:hAnsi="Times New Roman" w:cs="Times New Roman"/>
        </w:rPr>
        <w:t>/2004 Z. z.,</w:t>
      </w:r>
      <w:r>
        <w:rPr>
          <w:rFonts w:ascii="Times New Roman" w:hAnsi="Times New Roman" w:cs="Times New Roman"/>
        </w:rPr>
        <w:t xml:space="preserve"> </w:t>
      </w:r>
      <w:r w:rsidRPr="00E609AF">
        <w:rPr>
          <w:rFonts w:ascii="Times New Roman" w:hAnsi="Times New Roman" w:cs="Times New Roman"/>
        </w:rPr>
        <w:t xml:space="preserve">zákona č. </w:t>
      </w:r>
      <w:r>
        <w:rPr>
          <w:rFonts w:ascii="Times New Roman" w:hAnsi="Times New Roman" w:cs="Times New Roman"/>
        </w:rPr>
        <w:t>341</w:t>
      </w:r>
      <w:r w:rsidRPr="00E609AF">
        <w:rPr>
          <w:rFonts w:ascii="Times New Roman" w:hAnsi="Times New Roman" w:cs="Times New Roman"/>
        </w:rPr>
        <w:t>/2004 Z. z.,</w:t>
      </w:r>
      <w:r>
        <w:rPr>
          <w:rFonts w:ascii="Times New Roman" w:hAnsi="Times New Roman" w:cs="Times New Roman"/>
        </w:rPr>
        <w:t xml:space="preserve"> </w:t>
      </w:r>
      <w:r w:rsidRPr="00E609AF">
        <w:rPr>
          <w:rFonts w:ascii="Times New Roman" w:hAnsi="Times New Roman" w:cs="Times New Roman"/>
        </w:rPr>
        <w:t>zákona č. 747/2004 Z. z., zákona č. 69/2005 Z. z., zákona č. 214/2006 Z. z., zákona č. 644/2006 Z.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z., zákona č. 209/2007 Z.</w:t>
      </w:r>
      <w:r>
        <w:rPr>
          <w:rFonts w:ascii="Times New Roman" w:hAnsi="Times New Roman" w:cs="Times New Roman"/>
        </w:rPr>
        <w:t xml:space="preserve"> z., zákona č. 659/2007 Z. z., </w:t>
      </w:r>
      <w:r w:rsidRPr="00E609AF">
        <w:rPr>
          <w:rFonts w:ascii="Times New Roman" w:hAnsi="Times New Roman" w:cs="Times New Roman"/>
        </w:rPr>
        <w:t>zákona č. 297/2008 Z. z.</w:t>
      </w:r>
      <w:r>
        <w:rPr>
          <w:rFonts w:ascii="Times New Roman" w:hAnsi="Times New Roman" w:cs="Times New Roman"/>
        </w:rPr>
        <w:t xml:space="preserve"> a zákona č. 552/2008 Z. z. </w:t>
      </w:r>
      <w:r w:rsidRPr="00E609AF">
        <w:rPr>
          <w:rFonts w:ascii="Times New Roman" w:hAnsi="Times New Roman" w:cs="Times New Roman"/>
        </w:rPr>
        <w:t>sa mení a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dopĺňa takto:</w:t>
      </w:r>
    </w:p>
    <w:p w:rsidR="00297458" w:rsidP="00297458">
      <w:pPr>
        <w:jc w:val="both"/>
        <w:rPr>
          <w:rFonts w:ascii="Times New Roman" w:hAnsi="Times New Roman" w:cs="Times New Roman"/>
        </w:rPr>
      </w:pPr>
    </w:p>
    <w:p w:rsidR="00297458" w:rsidRPr="00C41411" w:rsidP="00297458">
      <w:pPr>
        <w:rPr>
          <w:rFonts w:ascii="Times New Roman" w:hAnsi="Times New Roman" w:cs="Times New Roman"/>
          <w:color w:val="000000"/>
        </w:rPr>
      </w:pPr>
      <w:r w:rsidRPr="00C41411">
        <w:rPr>
          <w:rFonts w:ascii="Times New Roman" w:hAnsi="Times New Roman" w:cs="Times New Roman"/>
          <w:color w:val="000000"/>
        </w:rPr>
        <w:t xml:space="preserve">V § </w:t>
      </w:r>
      <w:r>
        <w:rPr>
          <w:rFonts w:ascii="Times New Roman" w:hAnsi="Times New Roman" w:cs="Times New Roman"/>
          <w:color w:val="000000"/>
        </w:rPr>
        <w:t>27</w:t>
      </w:r>
      <w:r w:rsidRPr="00C41411">
        <w:rPr>
          <w:rFonts w:ascii="Times New Roman" w:hAnsi="Times New Roman" w:cs="Times New Roman"/>
          <w:color w:val="000000"/>
        </w:rPr>
        <w:t xml:space="preserve"> sa za odsek 1</w:t>
      </w:r>
      <w:r>
        <w:rPr>
          <w:rFonts w:ascii="Times New Roman" w:hAnsi="Times New Roman" w:cs="Times New Roman"/>
          <w:color w:val="000000"/>
        </w:rPr>
        <w:t>4</w:t>
      </w:r>
      <w:r w:rsidRPr="00C41411">
        <w:rPr>
          <w:rFonts w:ascii="Times New Roman" w:hAnsi="Times New Roman" w:cs="Times New Roman"/>
          <w:color w:val="000000"/>
        </w:rPr>
        <w:t xml:space="preserve"> vkladá nový odsek 1</w:t>
      </w:r>
      <w:r>
        <w:rPr>
          <w:rFonts w:ascii="Times New Roman" w:hAnsi="Times New Roman" w:cs="Times New Roman"/>
          <w:color w:val="000000"/>
        </w:rPr>
        <w:t>5</w:t>
      </w:r>
      <w:r w:rsidRPr="00C41411">
        <w:rPr>
          <w:rFonts w:ascii="Times New Roman" w:hAnsi="Times New Roman" w:cs="Times New Roman"/>
          <w:color w:val="000000"/>
        </w:rPr>
        <w:t>, ktorý znie:</w:t>
      </w:r>
    </w:p>
    <w:p w:rsidR="00297458" w:rsidP="00297458">
      <w:pPr>
        <w:ind w:left="360"/>
        <w:jc w:val="both"/>
        <w:rPr>
          <w:rFonts w:ascii="Times New Roman" w:hAnsi="Times New Roman" w:cs="Times New Roman"/>
        </w:rPr>
      </w:pPr>
    </w:p>
    <w:p w:rsidR="00297458" w:rsidP="002974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(15) Banka a pobočka zahraničnej banky na území Slovenskej republiky je pri peňažných platbách v hotovosti vrátane vkladov povinná prijímať eurobankovky a euromince bezodplatne a bez obmedzenia ich nominálnej štruktúry alebo ich celkového počtu.“</w:t>
      </w:r>
    </w:p>
    <w:p w:rsidR="00297458" w:rsidP="00297458">
      <w:pPr>
        <w:jc w:val="both"/>
        <w:rPr>
          <w:rFonts w:ascii="Times New Roman" w:hAnsi="Times New Roman" w:cs="Times New Roman"/>
        </w:rPr>
      </w:pPr>
    </w:p>
    <w:p w:rsidR="00297458" w:rsidP="00297458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Zavedenie jednotnej európskej meny euro prinieslo bankovky a mince, ktoré majú niekoľkonásobne vyššiu hodnotu ako mali mince slovenskej koruny. Občania automaticky manipulujú s väčším počtom bankoviek a mincí. Pri bežnom hotovostnom platobnom styku sa tak automaticky uplatňuje viac mincí ako pred zavedením eura. To sa ukazuje aj v tržbách malých podnikateľov. Práve tí sú najviac zaťažení manipuláciou s väčším množstvom bankoviek a mincí. A za súčasných podmienok sú to práve oni, ktorí sú pri vkladaní svojich tržieb na účet v banke vystavení neoprávnenej zvýšenej miere poplatkov zo strany bánk.</w:t>
      </w:r>
    </w:p>
    <w:p w:rsidR="00297458" w:rsidP="00297458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Uvedená novela zákona reaguje na súčasnú nevýhodnú situáciu hlavne občanov - podnikateľov, ale aj bežných občanov. Zavedením nástroja</w:t>
      </w:r>
      <w:r w:rsidRPr="00384D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obmedzujúceho banky na území Slovenskej republiky vyberať poplatok za spracovanie prijatých peňazí sa týmto občanom zmierni znevýhodnená situácia, do ktorej sa vplyvom zavedenia spoločnej európskej meny euro dostali.</w:t>
      </w:r>
    </w:p>
    <w:p w:rsidR="00297458" w:rsidP="00297458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konečnom dôsledku banky a pobočky zahraničnej banky sú podľa tohto zákona povinné pri výkone svojej činnosti postupovať obozretne s tým, že nebude v prvom rade poškodzovať záujmy ich klientov. </w:t>
      </w:r>
    </w:p>
    <w:p w:rsidR="00297458" w:rsidP="00297458">
      <w:pPr>
        <w:jc w:val="both"/>
        <w:rPr>
          <w:rFonts w:ascii="Times New Roman" w:hAnsi="Times New Roman" w:cs="Times New Roman"/>
        </w:rPr>
      </w:pPr>
    </w:p>
    <w:p w:rsidR="00297458" w:rsidP="0029745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Ďalšie články sa primerane prečíslujú.</w:t>
      </w:r>
    </w:p>
    <w:p w:rsidR="00297458" w:rsidP="00297458">
      <w:pPr>
        <w:ind w:left="360"/>
        <w:jc w:val="both"/>
        <w:rPr>
          <w:rFonts w:ascii="Times New Roman" w:hAnsi="Times New Roman" w:cs="Times New Roman"/>
        </w:rPr>
      </w:pPr>
    </w:p>
    <w:p w:rsidR="00297458" w:rsidP="00297458">
      <w:pPr>
        <w:jc w:val="both"/>
        <w:rPr>
          <w:rFonts w:ascii="Times New Roman" w:hAnsi="Times New Roman" w:cs="Times New Roman"/>
        </w:rPr>
      </w:pPr>
    </w:p>
    <w:p w:rsidR="00297458" w:rsidP="00297458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232DF">
        <w:rPr>
          <w:rFonts w:ascii="Times New Roman" w:hAnsi="Times New Roman" w:cs="Times New Roman"/>
          <w:b/>
        </w:rPr>
        <w:t>K čl. IV.</w:t>
      </w:r>
    </w:p>
    <w:p w:rsidR="00297458" w:rsidRPr="006232DF" w:rsidP="00297458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IV znie:</w:t>
      </w:r>
    </w:p>
    <w:p w:rsidR="00297458" w:rsidP="0029745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ED10AF">
        <w:rPr>
          <w:rFonts w:ascii="Times New Roman" w:hAnsi="Times New Roman" w:cs="Times New Roman"/>
        </w:rPr>
        <w:t xml:space="preserve">Tento zákon nadobúda účinnosť 1. </w:t>
      </w:r>
      <w:r>
        <w:rPr>
          <w:rFonts w:ascii="Times New Roman" w:hAnsi="Times New Roman" w:cs="Times New Roman"/>
        </w:rPr>
        <w:t>júla</w:t>
      </w:r>
      <w:r w:rsidRPr="00ED10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2009 okrem čl. IV, ktorý nadobúda účinnosť dňom vyhlásenia.“.</w:t>
      </w:r>
    </w:p>
    <w:p w:rsidR="00297458" w:rsidP="0029745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297458" w:rsidP="00297458">
      <w:pPr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nadobudnutia účinnosti je potrebná z titulu novelizácie zákona o bankách. </w:t>
      </w:r>
    </w:p>
    <w:p w:rsidR="00297458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539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97458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A58DE"/>
    <w:multiLevelType w:val="hybridMultilevel"/>
    <w:tmpl w:val="370A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/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3915C5"/>
    <w:multiLevelType w:val="hybridMultilevel"/>
    <w:tmpl w:val="D248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98467C"/>
    <w:multiLevelType w:val="hybridMultilevel"/>
    <w:tmpl w:val="691A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28"/>
  </w:num>
  <w:num w:numId="6">
    <w:abstractNumId w:val="7"/>
  </w:num>
  <w:num w:numId="7">
    <w:abstractNumId w:val="17"/>
  </w:num>
  <w:num w:numId="8">
    <w:abstractNumId w:val="32"/>
  </w:num>
  <w:num w:numId="9">
    <w:abstractNumId w:val="33"/>
  </w:num>
  <w:num w:numId="10">
    <w:abstractNumId w:val="18"/>
  </w:num>
  <w:num w:numId="11">
    <w:abstractNumId w:val="27"/>
  </w:num>
  <w:num w:numId="12">
    <w:abstractNumId w:val="24"/>
  </w:num>
  <w:num w:numId="13">
    <w:abstractNumId w:val="37"/>
  </w:num>
  <w:num w:numId="14">
    <w:abstractNumId w:val="38"/>
  </w:num>
  <w:num w:numId="15">
    <w:abstractNumId w:val="16"/>
  </w:num>
  <w:num w:numId="16">
    <w:abstractNumId w:val="30"/>
  </w:num>
  <w:num w:numId="17">
    <w:abstractNumId w:val="8"/>
  </w:num>
  <w:num w:numId="18">
    <w:abstractNumId w:val="35"/>
  </w:num>
  <w:num w:numId="19">
    <w:abstractNumId w:val="29"/>
  </w:num>
  <w:num w:numId="20">
    <w:abstractNumId w:val="5"/>
  </w:num>
  <w:num w:numId="21">
    <w:abstractNumId w:val="11"/>
  </w:num>
  <w:num w:numId="22">
    <w:abstractNumId w:val="0"/>
  </w:num>
  <w:num w:numId="23">
    <w:abstractNumId w:val="31"/>
  </w:num>
  <w:num w:numId="24">
    <w:abstractNumId w:val="4"/>
  </w:num>
  <w:num w:numId="25">
    <w:abstractNumId w:val="14"/>
  </w:num>
  <w:num w:numId="26">
    <w:abstractNumId w:val="15"/>
  </w:num>
  <w:num w:numId="27">
    <w:abstractNumId w:val="22"/>
  </w:num>
  <w:num w:numId="28">
    <w:abstractNumId w:val="21"/>
  </w:num>
  <w:num w:numId="29">
    <w:abstractNumId w:val="2"/>
  </w:num>
  <w:num w:numId="30">
    <w:abstractNumId w:val="13"/>
  </w:num>
  <w:num w:numId="31">
    <w:abstractNumId w:val="26"/>
  </w:num>
  <w:num w:numId="32">
    <w:abstractNumId w:val="3"/>
  </w:num>
  <w:num w:numId="33">
    <w:abstractNumId w:val="19"/>
  </w:num>
  <w:num w:numId="34">
    <w:abstractNumId w:val="34"/>
  </w:num>
  <w:num w:numId="35">
    <w:abstractNumId w:val="36"/>
  </w:num>
  <w:num w:numId="36">
    <w:abstractNumId w:val="9"/>
  </w:num>
  <w:num w:numId="37">
    <w:abstractNumId w:val="10"/>
  </w:num>
  <w:num w:numId="38">
    <w:abstractNumId w:val="20"/>
  </w:num>
  <w:num w:numId="39">
    <w:abstractNumId w:val="25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0248"/>
    <w:rsid w:val="00293521"/>
    <w:rsid w:val="00297458"/>
    <w:rsid w:val="00384D3D"/>
    <w:rsid w:val="00451CEF"/>
    <w:rsid w:val="00612A54"/>
    <w:rsid w:val="006232DF"/>
    <w:rsid w:val="006964DC"/>
    <w:rsid w:val="006D26AF"/>
    <w:rsid w:val="007E05E1"/>
    <w:rsid w:val="00843D52"/>
    <w:rsid w:val="00A47C41"/>
    <w:rsid w:val="00A55F5D"/>
    <w:rsid w:val="00B13A87"/>
    <w:rsid w:val="00C1112C"/>
    <w:rsid w:val="00C41411"/>
    <w:rsid w:val="00D109C2"/>
    <w:rsid w:val="00E609AF"/>
    <w:rsid w:val="00E7568B"/>
    <w:rsid w:val="00ED10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625</TotalTime>
  <Pages>1</Pages>
  <Words>714</Words>
  <Characters>4075</Characters>
  <Application>Microsoft Office Word</Application>
  <DocSecurity>0</DocSecurity>
  <Lines>0</Lines>
  <Paragraphs>0</Paragraphs>
  <ScaleCrop>false</ScaleCrop>
  <Company>Kancelária NR SR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255</cp:revision>
  <cp:lastPrinted>2008-06-13T14:49:00Z</cp:lastPrinted>
  <dcterms:created xsi:type="dcterms:W3CDTF">2003-06-05T11:59:00Z</dcterms:created>
  <dcterms:modified xsi:type="dcterms:W3CDTF">2009-02-03T11:47:00Z</dcterms:modified>
</cp:coreProperties>
</file>