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08C9" w:rsidRPr="00327718" w:rsidP="00EB08C9">
      <w:pPr>
        <w:pStyle w:val="BodyTextIndent2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D ô v o d o v á   s p r á v a</w:t>
      </w:r>
    </w:p>
    <w:p w:rsidR="00EB08C9" w:rsidRPr="00327718" w:rsidP="00EB08C9">
      <w:pPr>
        <w:pStyle w:val="BodyTextIndent2"/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:rsidR="00EB08C9" w:rsidRPr="00327718" w:rsidP="00EB08C9">
      <w:pPr>
        <w:pStyle w:val="BodyTextIndent2"/>
        <w:ind w:firstLine="0"/>
        <w:rPr>
          <w:rFonts w:ascii="Times New Roman" w:hAnsi="Times New Roman" w:cs="Times New Roman"/>
          <w:b/>
          <w:szCs w:val="24"/>
          <w:u w:val="single"/>
        </w:rPr>
      </w:pPr>
      <w:r w:rsidRPr="00327718">
        <w:rPr>
          <w:rFonts w:ascii="Times New Roman" w:hAnsi="Times New Roman" w:cs="Times New Roman"/>
          <w:b/>
          <w:szCs w:val="24"/>
          <w:u w:val="single"/>
        </w:rPr>
        <w:t>Všeobecná časť</w:t>
      </w:r>
    </w:p>
    <w:p w:rsidR="00EB08C9" w:rsidRPr="00327718" w:rsidP="00EB08C9">
      <w:pPr>
        <w:pStyle w:val="BodyTextIndent2"/>
        <w:rPr>
          <w:rFonts w:ascii="Times New Roman" w:hAnsi="Times New Roman" w:cs="Times New Roman"/>
          <w:szCs w:val="24"/>
        </w:rPr>
      </w:pPr>
    </w:p>
    <w:p w:rsidR="00EB08C9" w:rsidRPr="00327718" w:rsidP="00EB08C9">
      <w:pPr>
        <w:pStyle w:val="BodyTextIndent2"/>
        <w:spacing w:before="120"/>
        <w:ind w:firstLine="709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Predkladaný návrh zákona, ktorým sa mení a dopĺňa zákon č. 31</w:t>
      </w:r>
      <w:r>
        <w:rPr>
          <w:rFonts w:ascii="Times New Roman" w:hAnsi="Times New Roman" w:cs="Times New Roman"/>
          <w:szCs w:val="24"/>
        </w:rPr>
        <w:t xml:space="preserve">5/2001 Z. z. </w:t>
      </w:r>
      <w:r w:rsidRPr="00327718">
        <w:rPr>
          <w:rFonts w:ascii="Times New Roman" w:hAnsi="Times New Roman" w:cs="Times New Roman"/>
          <w:szCs w:val="24"/>
        </w:rPr>
        <w:t>o Hasičskom a záchrannom zbore v znení nesk</w:t>
      </w:r>
      <w:r>
        <w:rPr>
          <w:rFonts w:ascii="Times New Roman" w:hAnsi="Times New Roman" w:cs="Times New Roman"/>
          <w:szCs w:val="24"/>
        </w:rPr>
        <w:t>orších predpisov a o doplnení zákona</w:t>
      </w:r>
      <w:r w:rsidRPr="004C6498">
        <w:rPr>
          <w:rFonts w:ascii="Times New Roman" w:hAnsi="Times New Roman" w:cs="Times New Roman"/>
          <w:szCs w:val="24"/>
        </w:rPr>
        <w:t xml:space="preserve"> č.</w:t>
      </w:r>
      <w:r>
        <w:rPr>
          <w:rFonts w:ascii="Times New Roman" w:hAnsi="Times New Roman" w:cs="Times New Roman"/>
          <w:szCs w:val="24"/>
        </w:rPr>
        <w:t> </w:t>
      </w:r>
      <w:r w:rsidRPr="004C6498">
        <w:rPr>
          <w:rFonts w:ascii="Times New Roman" w:hAnsi="Times New Roman" w:cs="Times New Roman"/>
          <w:szCs w:val="24"/>
        </w:rPr>
        <w:t>328/2002</w:t>
      </w:r>
      <w:r>
        <w:rPr>
          <w:rFonts w:ascii="Times New Roman" w:hAnsi="Times New Roman" w:cs="Times New Roman"/>
          <w:szCs w:val="24"/>
        </w:rPr>
        <w:t> </w:t>
      </w:r>
      <w:r w:rsidRPr="004C6498">
        <w:rPr>
          <w:rFonts w:ascii="Times New Roman" w:hAnsi="Times New Roman" w:cs="Times New Roman"/>
          <w:szCs w:val="24"/>
        </w:rPr>
        <w:t>Z.</w:t>
      </w:r>
      <w:r>
        <w:rPr>
          <w:rFonts w:ascii="Times New Roman" w:hAnsi="Times New Roman" w:cs="Times New Roman"/>
          <w:szCs w:val="24"/>
        </w:rPr>
        <w:t> </w:t>
      </w:r>
      <w:r w:rsidRPr="004C6498">
        <w:rPr>
          <w:rFonts w:ascii="Times New Roman" w:hAnsi="Times New Roman" w:cs="Times New Roman"/>
          <w:szCs w:val="24"/>
        </w:rPr>
        <w:t xml:space="preserve">z. o sociálnom zabezpečení policajtov a vojakov a o zmene a doplnení niektorých zákonov v znení </w:t>
      </w:r>
      <w:r>
        <w:rPr>
          <w:rFonts w:ascii="Times New Roman" w:hAnsi="Times New Roman" w:cs="Times New Roman"/>
          <w:szCs w:val="24"/>
        </w:rPr>
        <w:t>neskorších predpisov bol vypracovaný v na základe </w:t>
      </w:r>
      <w:r w:rsidRPr="00327718">
        <w:rPr>
          <w:rFonts w:ascii="Times New Roman" w:hAnsi="Times New Roman" w:cs="Times New Roman"/>
          <w:szCs w:val="24"/>
        </w:rPr>
        <w:t>Plán</w:t>
      </w:r>
      <w:r>
        <w:rPr>
          <w:rFonts w:ascii="Times New Roman" w:hAnsi="Times New Roman" w:cs="Times New Roman"/>
          <w:szCs w:val="24"/>
        </w:rPr>
        <w:t>u</w:t>
      </w:r>
      <w:r w:rsidRPr="00327718">
        <w:rPr>
          <w:rFonts w:ascii="Times New Roman" w:hAnsi="Times New Roman" w:cs="Times New Roman"/>
          <w:szCs w:val="24"/>
        </w:rPr>
        <w:t xml:space="preserve"> legislatívnych úloh vlády Slovenskej republiky na rok 2008. </w:t>
      </w:r>
    </w:p>
    <w:p w:rsidR="00EB08C9" w:rsidP="00EB08C9">
      <w:pPr>
        <w:pStyle w:val="BodyTextIndent2"/>
        <w:spacing w:before="120"/>
        <w:ind w:firstLine="709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 xml:space="preserve">Základným cieľom návrhu zákona je </w:t>
      </w:r>
      <w:r>
        <w:rPr>
          <w:rFonts w:ascii="Times New Roman" w:hAnsi="Times New Roman" w:cs="Times New Roman"/>
          <w:szCs w:val="24"/>
        </w:rPr>
        <w:t>upraviť</w:t>
      </w:r>
      <w:r w:rsidRPr="00327718">
        <w:rPr>
          <w:rFonts w:ascii="Times New Roman" w:hAnsi="Times New Roman" w:cs="Times New Roman"/>
          <w:szCs w:val="24"/>
        </w:rPr>
        <w:t xml:space="preserve"> systém odmeňovania príslušníkov Hasičského a záchranného zboru </w:t>
      </w:r>
      <w:r>
        <w:rPr>
          <w:rFonts w:ascii="Times New Roman" w:hAnsi="Times New Roman" w:cs="Times New Roman"/>
          <w:szCs w:val="24"/>
        </w:rPr>
        <w:t>a príslušníkov Horskej záchrannej služby tak, aby i finančne zohľadňoval nielen</w:t>
      </w:r>
      <w:r w:rsidRPr="00327718">
        <w:rPr>
          <w:rFonts w:ascii="Times New Roman" w:hAnsi="Times New Roman" w:cs="Times New Roman"/>
          <w:szCs w:val="24"/>
        </w:rPr>
        <w:t xml:space="preserve"> fyzickú a psychickú náročnosť niektorých špeciálnych činností</w:t>
      </w:r>
      <w:r>
        <w:rPr>
          <w:rFonts w:ascii="Times New Roman" w:hAnsi="Times New Roman" w:cs="Times New Roman"/>
          <w:szCs w:val="24"/>
        </w:rPr>
        <w:t xml:space="preserve">, ale aby zohľadňoval i nové úlohy pri zásahovej činnosti a ich technickú náročnosť. Návrh zákona pri úprave platových podmienok je zameraný najmä na </w:t>
      </w:r>
      <w:r w:rsidRPr="00327718">
        <w:rPr>
          <w:rFonts w:ascii="Times New Roman" w:hAnsi="Times New Roman" w:cs="Times New Roman"/>
          <w:szCs w:val="24"/>
        </w:rPr>
        <w:t>nižš</w:t>
      </w:r>
      <w:r>
        <w:rPr>
          <w:rFonts w:ascii="Times New Roman" w:hAnsi="Times New Roman" w:cs="Times New Roman"/>
          <w:szCs w:val="24"/>
        </w:rPr>
        <w:t>ie</w:t>
      </w:r>
      <w:r w:rsidRPr="00327718">
        <w:rPr>
          <w:rFonts w:ascii="Times New Roman" w:hAnsi="Times New Roman" w:cs="Times New Roman"/>
          <w:szCs w:val="24"/>
        </w:rPr>
        <w:t xml:space="preserve"> platov</w:t>
      </w:r>
      <w:r>
        <w:rPr>
          <w:rFonts w:ascii="Times New Roman" w:hAnsi="Times New Roman" w:cs="Times New Roman"/>
          <w:szCs w:val="24"/>
        </w:rPr>
        <w:t>é</w:t>
      </w:r>
      <w:r w:rsidRPr="00327718">
        <w:rPr>
          <w:rFonts w:ascii="Times New Roman" w:hAnsi="Times New Roman" w:cs="Times New Roman"/>
          <w:szCs w:val="24"/>
        </w:rPr>
        <w:t xml:space="preserve"> tried</w:t>
      </w:r>
      <w:r>
        <w:rPr>
          <w:rFonts w:ascii="Times New Roman" w:hAnsi="Times New Roman" w:cs="Times New Roman"/>
          <w:szCs w:val="24"/>
        </w:rPr>
        <w:t>y</w:t>
      </w:r>
      <w:r w:rsidRPr="00327718">
        <w:rPr>
          <w:rFonts w:ascii="Times New Roman" w:hAnsi="Times New Roman" w:cs="Times New Roman"/>
          <w:szCs w:val="24"/>
        </w:rPr>
        <w:t xml:space="preserve"> a platov</w:t>
      </w:r>
      <w:r>
        <w:rPr>
          <w:rFonts w:ascii="Times New Roman" w:hAnsi="Times New Roman" w:cs="Times New Roman"/>
          <w:szCs w:val="24"/>
        </w:rPr>
        <w:t>é</w:t>
      </w:r>
      <w:r w:rsidRPr="00327718">
        <w:rPr>
          <w:rFonts w:ascii="Times New Roman" w:hAnsi="Times New Roman" w:cs="Times New Roman"/>
          <w:szCs w:val="24"/>
        </w:rPr>
        <w:t xml:space="preserve"> stup</w:t>
      </w:r>
      <w:r>
        <w:rPr>
          <w:rFonts w:ascii="Times New Roman" w:hAnsi="Times New Roman" w:cs="Times New Roman"/>
          <w:szCs w:val="24"/>
        </w:rPr>
        <w:t xml:space="preserve">ne tak, aby platové podmienky mali motivačné účinky už pri prijímaní uchádzačov o štátnu službu a boli adekvátne požiadavkám, ktoré sú na príslušníkov </w:t>
      </w:r>
      <w:r w:rsidRPr="00327718">
        <w:rPr>
          <w:rFonts w:ascii="Times New Roman" w:hAnsi="Times New Roman" w:cs="Times New Roman"/>
          <w:szCs w:val="24"/>
        </w:rPr>
        <w:t xml:space="preserve">Hasičského a záchranného zboru </w:t>
      </w:r>
      <w:r>
        <w:rPr>
          <w:rFonts w:ascii="Times New Roman" w:hAnsi="Times New Roman" w:cs="Times New Roman"/>
          <w:szCs w:val="24"/>
        </w:rPr>
        <w:t>a príslušníkov Horskej záchrannej služby kladené.</w:t>
      </w:r>
    </w:p>
    <w:p w:rsidR="00EB08C9" w:rsidRPr="008C7A50" w:rsidP="00EB08C9">
      <w:pPr>
        <w:pStyle w:val="BodyTextIndent2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8C7A50">
        <w:rPr>
          <w:rFonts w:ascii="Times New Roman" w:hAnsi="Times New Roman" w:cs="Times New Roman"/>
          <w:szCs w:val="24"/>
        </w:rPr>
        <w:t xml:space="preserve">ávrhom zákona sa </w:t>
      </w:r>
    </w:p>
    <w:p w:rsidR="00EB08C9" w:rsidRPr="008C7A50" w:rsidP="00EB08C9">
      <w:pPr>
        <w:pStyle w:val="BodyTextIndent2"/>
        <w:numPr>
          <w:numId w:val="1"/>
        </w:numPr>
        <w:rPr>
          <w:rFonts w:ascii="Times New Roman" w:hAnsi="Times New Roman" w:cs="Times New Roman"/>
          <w:szCs w:val="24"/>
        </w:rPr>
      </w:pPr>
      <w:r w:rsidRPr="008C7A50">
        <w:rPr>
          <w:rFonts w:ascii="Times New Roman" w:hAnsi="Times New Roman" w:cs="Times New Roman"/>
          <w:szCs w:val="24"/>
        </w:rPr>
        <w:t>mení stupnica platových taríf podľa platových tried a platových stupňov</w:t>
      </w:r>
      <w:r>
        <w:rPr>
          <w:rFonts w:ascii="Times New Roman" w:hAnsi="Times New Roman" w:cs="Times New Roman"/>
          <w:szCs w:val="24"/>
        </w:rPr>
        <w:t>; zvyšuje sa tarifný plat v závislosti od výšky</w:t>
      </w:r>
      <w:r w:rsidRPr="008C7A50">
        <w:rPr>
          <w:rFonts w:ascii="Times New Roman" w:hAnsi="Times New Roman" w:cs="Times New Roman"/>
          <w:szCs w:val="24"/>
        </w:rPr>
        <w:t xml:space="preserve"> pridelených finančných prostriedkov a </w:t>
      </w:r>
      <w:r>
        <w:rPr>
          <w:rFonts w:ascii="Times New Roman" w:hAnsi="Times New Roman" w:cs="Times New Roman"/>
          <w:szCs w:val="24"/>
        </w:rPr>
        <w:t>prerozdelením</w:t>
      </w:r>
      <w:r w:rsidRPr="008C7A50">
        <w:rPr>
          <w:rFonts w:ascii="Times New Roman" w:hAnsi="Times New Roman" w:cs="Times New Roman"/>
          <w:szCs w:val="24"/>
        </w:rPr>
        <w:t xml:space="preserve"> finančných prostriedkov </w:t>
      </w:r>
      <w:r>
        <w:rPr>
          <w:rFonts w:ascii="Times New Roman" w:hAnsi="Times New Roman" w:cs="Times New Roman"/>
          <w:szCs w:val="24"/>
        </w:rPr>
        <w:t>medzi zložkami</w:t>
      </w:r>
      <w:r w:rsidRPr="008C7A50">
        <w:rPr>
          <w:rFonts w:ascii="Times New Roman" w:hAnsi="Times New Roman" w:cs="Times New Roman"/>
          <w:szCs w:val="24"/>
        </w:rPr>
        <w:t xml:space="preserve"> služobného príjmu</w:t>
      </w:r>
      <w:r>
        <w:rPr>
          <w:rFonts w:ascii="Times New Roman" w:hAnsi="Times New Roman" w:cs="Times New Roman"/>
          <w:szCs w:val="24"/>
        </w:rPr>
        <w:t>,</w:t>
      </w:r>
    </w:p>
    <w:p w:rsidR="00EB08C9" w:rsidRPr="008C7A50" w:rsidP="00EB08C9">
      <w:pPr>
        <w:numPr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C7A50">
        <w:rPr>
          <w:rFonts w:ascii="Times New Roman" w:hAnsi="Times New Roman" w:cs="Times New Roman"/>
          <w:szCs w:val="24"/>
        </w:rPr>
        <w:t>zrušujú niektoré príplatky (príplatok za štátnu službu v n</w:t>
      </w:r>
      <w:r>
        <w:rPr>
          <w:rFonts w:ascii="Times New Roman" w:hAnsi="Times New Roman" w:cs="Times New Roman"/>
          <w:szCs w:val="24"/>
        </w:rPr>
        <w:t xml:space="preserve">oci, príplatok za štátnu službu v sobotu </w:t>
      </w:r>
      <w:r w:rsidRPr="008C7A50">
        <w:rPr>
          <w:rFonts w:ascii="Times New Roman" w:hAnsi="Times New Roman" w:cs="Times New Roman"/>
          <w:szCs w:val="24"/>
        </w:rPr>
        <w:t xml:space="preserve">a  nedeľu a štátnu službu vo sviatok) a  </w:t>
      </w:r>
      <w:r>
        <w:rPr>
          <w:rFonts w:ascii="Times New Roman" w:hAnsi="Times New Roman" w:cs="Times New Roman"/>
          <w:szCs w:val="24"/>
        </w:rPr>
        <w:t>získané</w:t>
      </w:r>
      <w:r w:rsidRPr="008C7A50">
        <w:rPr>
          <w:rFonts w:ascii="Times New Roman" w:hAnsi="Times New Roman" w:cs="Times New Roman"/>
          <w:szCs w:val="24"/>
        </w:rPr>
        <w:t xml:space="preserve"> finančné prostriedky </w:t>
      </w:r>
      <w:r>
        <w:rPr>
          <w:rFonts w:ascii="Times New Roman" w:hAnsi="Times New Roman" w:cs="Times New Roman"/>
          <w:szCs w:val="24"/>
        </w:rPr>
        <w:t>sa prerozdeľujú do zostávajúcich príplatkov, napríklad do príplatku za zmennosť,</w:t>
      </w:r>
      <w:r w:rsidRPr="008C7A50">
        <w:rPr>
          <w:rFonts w:ascii="Times New Roman" w:hAnsi="Times New Roman" w:cs="Times New Roman"/>
          <w:szCs w:val="24"/>
        </w:rPr>
        <w:t xml:space="preserve"> príplatku za</w:t>
      </w:r>
      <w:r>
        <w:rPr>
          <w:rFonts w:ascii="Times New Roman" w:hAnsi="Times New Roman" w:cs="Times New Roman"/>
          <w:szCs w:val="24"/>
        </w:rPr>
        <w:t> </w:t>
      </w:r>
      <w:r w:rsidRPr="008C7A50">
        <w:rPr>
          <w:rFonts w:ascii="Times New Roman" w:hAnsi="Times New Roman" w:cs="Times New Roman"/>
          <w:szCs w:val="24"/>
        </w:rPr>
        <w:t xml:space="preserve">riadenie, </w:t>
      </w:r>
      <w:r>
        <w:rPr>
          <w:rFonts w:ascii="Times New Roman" w:hAnsi="Times New Roman" w:cs="Times New Roman"/>
          <w:szCs w:val="24"/>
        </w:rPr>
        <w:t xml:space="preserve">príplatku </w:t>
      </w:r>
      <w:r w:rsidRPr="008C7A50">
        <w:rPr>
          <w:rFonts w:ascii="Times New Roman" w:hAnsi="Times New Roman" w:cs="Times New Roman"/>
          <w:szCs w:val="24"/>
        </w:rPr>
        <w:t>za zastupovanie</w:t>
      </w:r>
      <w:r>
        <w:rPr>
          <w:rFonts w:ascii="Times New Roman" w:hAnsi="Times New Roman" w:cs="Times New Roman"/>
          <w:szCs w:val="24"/>
        </w:rPr>
        <w:t>.</w:t>
      </w:r>
    </w:p>
    <w:p w:rsidR="00EB08C9" w:rsidRPr="00327718" w:rsidP="00EB08C9">
      <w:pPr>
        <w:pStyle w:val="BodyTextIndent2"/>
        <w:spacing w:before="120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zákona dopĺňa úpravu </w:t>
      </w:r>
      <w:r w:rsidRPr="008C7A50">
        <w:rPr>
          <w:rFonts w:ascii="Times New Roman" w:hAnsi="Times New Roman" w:cs="Times New Roman"/>
          <w:szCs w:val="24"/>
        </w:rPr>
        <w:t>osobitných podmien</w:t>
      </w:r>
      <w:r>
        <w:rPr>
          <w:rFonts w:ascii="Times New Roman" w:hAnsi="Times New Roman" w:cs="Times New Roman"/>
          <w:szCs w:val="24"/>
        </w:rPr>
        <w:t>ok</w:t>
      </w:r>
      <w:r w:rsidRPr="008C7A50">
        <w:rPr>
          <w:rFonts w:ascii="Times New Roman" w:hAnsi="Times New Roman" w:cs="Times New Roman"/>
          <w:szCs w:val="24"/>
        </w:rPr>
        <w:t xml:space="preserve"> vykonávania štátnej služby príslušníčok Hasičského a záchranného zboru a</w:t>
      </w:r>
      <w:r>
        <w:rPr>
          <w:rFonts w:ascii="Times New Roman" w:hAnsi="Times New Roman" w:cs="Times New Roman"/>
          <w:szCs w:val="24"/>
        </w:rPr>
        <w:t xml:space="preserve"> príslušníčok </w:t>
      </w:r>
      <w:r w:rsidRPr="008C7A50">
        <w:rPr>
          <w:rFonts w:ascii="Times New Roman" w:hAnsi="Times New Roman" w:cs="Times New Roman"/>
          <w:szCs w:val="24"/>
        </w:rPr>
        <w:t>Horskej záchrannej služby</w:t>
      </w:r>
      <w:r>
        <w:rPr>
          <w:rFonts w:ascii="Times New Roman" w:hAnsi="Times New Roman" w:cs="Times New Roman"/>
          <w:szCs w:val="24"/>
        </w:rPr>
        <w:t xml:space="preserve"> a dopĺňa i ustanovenia o náhrade škody.</w:t>
      </w:r>
    </w:p>
    <w:p w:rsidR="00EB08C9" w:rsidRPr="00327718" w:rsidP="00EB08C9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 xml:space="preserve">S realizáciu predkladaného návrhu novely zákona budú spojené </w:t>
      </w:r>
      <w:r>
        <w:rPr>
          <w:rFonts w:ascii="Times New Roman" w:hAnsi="Times New Roman" w:cs="Times New Roman"/>
          <w:szCs w:val="24"/>
        </w:rPr>
        <w:t>dopady</w:t>
      </w:r>
      <w:r w:rsidRPr="00327718">
        <w:rPr>
          <w:rFonts w:ascii="Times New Roman" w:hAnsi="Times New Roman" w:cs="Times New Roman"/>
          <w:szCs w:val="24"/>
        </w:rPr>
        <w:t xml:space="preserve"> na štátny rozpočet, ktoré sú upravené v doložke finančných, ekonomických, environmentálnych vplyvov a vplyvov na zamestnanosť a podnikateľské prostredie</w:t>
      </w:r>
      <w:r>
        <w:rPr>
          <w:rFonts w:ascii="Times New Roman" w:hAnsi="Times New Roman" w:cs="Times New Roman"/>
          <w:szCs w:val="24"/>
        </w:rPr>
        <w:t>; tieto dopady budú kryté z finančných prostriedkov rozpočtovej kapitoly Ministerstva vnútra Slovenskej republiky.</w:t>
      </w:r>
    </w:p>
    <w:p w:rsidR="005B6D42" w:rsidP="005B6D42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327718" w:rsidR="00EB08C9">
        <w:rPr>
          <w:rFonts w:ascii="Times New Roman" w:hAnsi="Times New Roman" w:cs="Times New Roman"/>
          <w:szCs w:val="24"/>
        </w:rPr>
        <w:t xml:space="preserve">Návrh zákona je v súlade s Ústavou Slovenskej republiky, </w:t>
      </w:r>
      <w:r w:rsidR="00EB08C9">
        <w:rPr>
          <w:rFonts w:ascii="Times New Roman" w:hAnsi="Times New Roman" w:cs="Times New Roman"/>
          <w:szCs w:val="24"/>
        </w:rPr>
        <w:t xml:space="preserve">so zákonmi, </w:t>
      </w:r>
      <w:r w:rsidRPr="00327718" w:rsidR="00EB08C9">
        <w:rPr>
          <w:rFonts w:ascii="Times New Roman" w:hAnsi="Times New Roman" w:cs="Times New Roman"/>
          <w:szCs w:val="24"/>
        </w:rPr>
        <w:t>ako aj s medzinárodnými zmluvami a inými medzinárodnými dokumentmi, ktorými je Slovenská republika viazaná.</w:t>
      </w:r>
      <w:r w:rsidRPr="005B6D42">
        <w:rPr>
          <w:rFonts w:ascii="Times New Roman" w:hAnsi="Times New Roman" w:cs="Times New Roman"/>
          <w:szCs w:val="24"/>
        </w:rPr>
        <w:t xml:space="preserve"> </w:t>
      </w:r>
    </w:p>
    <w:p w:rsidR="005B6D42" w:rsidRPr="005B6D42" w:rsidP="005B6D42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5B6D42">
        <w:rPr>
          <w:rFonts w:ascii="Times New Roman" w:hAnsi="Times New Roman" w:cs="Times New Roman"/>
          <w:szCs w:val="24"/>
        </w:rPr>
        <w:t xml:space="preserve">Návrh </w:t>
      </w:r>
      <w:r>
        <w:rPr>
          <w:rFonts w:ascii="Times New Roman" w:hAnsi="Times New Roman" w:cs="Times New Roman"/>
          <w:szCs w:val="24"/>
        </w:rPr>
        <w:t>zákona</w:t>
      </w:r>
      <w:r w:rsidRPr="005B6D42">
        <w:rPr>
          <w:rFonts w:ascii="Times New Roman" w:hAnsi="Times New Roman" w:cs="Times New Roman"/>
          <w:szCs w:val="24"/>
        </w:rPr>
        <w:t xml:space="preserve"> bol podľa § 33 ods. 2 zákona č. 523/2004 Z. z. o rozpočtových pravidlách verejnej správy a  o  zmene a doplnení niektorých zákonov prerokovaný s Ministerstvom financií Slovenskej republiky. </w:t>
      </w:r>
      <w:r w:rsidRPr="005B6D42" w:rsidR="00EC1550">
        <w:rPr>
          <w:rFonts w:ascii="Times New Roman" w:hAnsi="Times New Roman" w:cs="Times New Roman"/>
          <w:szCs w:val="24"/>
        </w:rPr>
        <w:t>Ministerstvo financií Slovenskej republiky</w:t>
      </w:r>
      <w:r w:rsidR="00EC1550">
        <w:rPr>
          <w:rFonts w:ascii="Times New Roman" w:hAnsi="Times New Roman" w:cs="Times New Roman"/>
          <w:szCs w:val="24"/>
        </w:rPr>
        <w:t xml:space="preserve"> vzalo na vedomie, </w:t>
      </w:r>
      <w:r w:rsidR="00B56DA3">
        <w:rPr>
          <w:rFonts w:ascii="Times New Roman" w:hAnsi="Times New Roman" w:cs="Times New Roman"/>
          <w:szCs w:val="24"/>
        </w:rPr>
        <w:t>že z</w:t>
      </w:r>
      <w:r w:rsidR="00EC1550">
        <w:rPr>
          <w:rFonts w:ascii="Times New Roman" w:hAnsi="Times New Roman" w:cs="Times New Roman"/>
          <w:szCs w:val="24"/>
        </w:rPr>
        <w:t>výšené výdavky súvisiace s návrhom zákona budú zabezpečené v rámci schválených limitov kapitoly Ministerstva vnútra Slovenskej republiky na príslušný rozpočtový rok.</w:t>
      </w:r>
    </w:p>
    <w:p w:rsidR="00EB08C9" w:rsidP="00EB08C9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593EB2">
        <w:rPr>
          <w:rFonts w:ascii="Times New Roman" w:hAnsi="Times New Roman" w:cs="Times New Roman"/>
          <w:szCs w:val="24"/>
        </w:rPr>
        <w:t>Návrh zákona bol predmetom medzirezortného pripomienkového konania</w:t>
      </w:r>
      <w:r w:rsidR="000D1FBD">
        <w:rPr>
          <w:rFonts w:ascii="Times New Roman" w:hAnsi="Times New Roman" w:cs="Times New Roman"/>
          <w:szCs w:val="24"/>
        </w:rPr>
        <w:t>;</w:t>
      </w:r>
      <w:r w:rsidR="00861BF4">
        <w:rPr>
          <w:rFonts w:ascii="Times New Roman" w:hAnsi="Times New Roman" w:cs="Times New Roman"/>
          <w:szCs w:val="24"/>
        </w:rPr>
        <w:t xml:space="preserve"> </w:t>
      </w:r>
      <w:r w:rsidR="000D1FBD">
        <w:rPr>
          <w:rFonts w:ascii="Times New Roman" w:hAnsi="Times New Roman" w:cs="Times New Roman"/>
          <w:szCs w:val="24"/>
        </w:rPr>
        <w:t>na</w:t>
      </w:r>
      <w:r w:rsidR="00861BF4">
        <w:rPr>
          <w:rFonts w:ascii="Times New Roman" w:hAnsi="Times New Roman" w:cs="Times New Roman"/>
          <w:szCs w:val="24"/>
        </w:rPr>
        <w:t> </w:t>
      </w:r>
      <w:r w:rsidR="000D1FBD">
        <w:rPr>
          <w:rFonts w:ascii="Times New Roman" w:hAnsi="Times New Roman" w:cs="Times New Roman"/>
          <w:szCs w:val="24"/>
        </w:rPr>
        <w:t>rokovanie vlády Slovenskej republiky sa predkladá bez rozporov.</w:t>
      </w:r>
    </w:p>
    <w:p w:rsidR="00EC1550" w:rsidP="00EB08C9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="00B56DA3">
        <w:rPr>
          <w:rFonts w:ascii="Times New Roman" w:hAnsi="Times New Roman" w:cs="Times New Roman"/>
          <w:szCs w:val="24"/>
        </w:rPr>
        <w:t>Legislatívna</w:t>
      </w:r>
      <w:r>
        <w:rPr>
          <w:rFonts w:ascii="Times New Roman" w:hAnsi="Times New Roman" w:cs="Times New Roman"/>
          <w:szCs w:val="24"/>
        </w:rPr>
        <w:t xml:space="preserve"> rady vlády Slovenskej republiky návrh zákona prerokovala dňa</w:t>
      </w:r>
      <w:r w:rsidR="00701A52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16.</w:t>
      </w:r>
      <w:r w:rsidR="00B56DA3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decembra 2008</w:t>
      </w:r>
      <w:r w:rsidR="00701A52">
        <w:rPr>
          <w:rFonts w:ascii="Times New Roman" w:hAnsi="Times New Roman" w:cs="Times New Roman"/>
          <w:szCs w:val="24"/>
        </w:rPr>
        <w:t xml:space="preserve">; pripomienky vznesené na rokovaní legislatívnej rady </w:t>
      </w:r>
      <w:r>
        <w:rPr>
          <w:rFonts w:ascii="Times New Roman" w:hAnsi="Times New Roman" w:cs="Times New Roman"/>
          <w:szCs w:val="24"/>
        </w:rPr>
        <w:t xml:space="preserve">boli </w:t>
      </w:r>
      <w:r w:rsidR="00701A52">
        <w:rPr>
          <w:rFonts w:ascii="Times New Roman" w:hAnsi="Times New Roman" w:cs="Times New Roman"/>
          <w:szCs w:val="24"/>
        </w:rPr>
        <w:t>zapracované</w:t>
      </w:r>
      <w:r>
        <w:rPr>
          <w:rFonts w:ascii="Times New Roman" w:hAnsi="Times New Roman" w:cs="Times New Roman"/>
          <w:szCs w:val="24"/>
        </w:rPr>
        <w:t xml:space="preserve"> </w:t>
      </w:r>
      <w:r w:rsidR="004C245C">
        <w:rPr>
          <w:rFonts w:ascii="Times New Roman" w:hAnsi="Times New Roman" w:cs="Times New Roman"/>
          <w:szCs w:val="24"/>
        </w:rPr>
        <w:t xml:space="preserve">do </w:t>
      </w:r>
      <w:r>
        <w:rPr>
          <w:rFonts w:ascii="Times New Roman" w:hAnsi="Times New Roman" w:cs="Times New Roman"/>
          <w:szCs w:val="24"/>
        </w:rPr>
        <w:t>návrhu zákona</w:t>
      </w:r>
      <w:r w:rsidR="00701A52">
        <w:rPr>
          <w:rFonts w:ascii="Times New Roman" w:hAnsi="Times New Roman" w:cs="Times New Roman"/>
          <w:szCs w:val="24"/>
        </w:rPr>
        <w:t>.</w:t>
      </w:r>
    </w:p>
    <w:p w:rsidR="00770A33" w:rsidP="00C12F65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770A33" w:rsidP="00770A33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Doložka finančných, ekonomických, environmentálnych vplyvov</w:t>
      </w:r>
    </w:p>
    <w:p w:rsidR="00770A33" w:rsidP="00770A33">
      <w:pPr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a vplyvov na zamestnanosť a podnikateľské prostredie</w:t>
      </w:r>
    </w:p>
    <w:p w:rsidR="00861BF4" w:rsidP="00770A33">
      <w:pPr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:rsidR="00861BF4" w:rsidP="00770A33">
      <w:pPr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:rsidR="00861BF4" w:rsidP="00770A33">
      <w:pPr>
        <w:autoSpaceDE w:val="0"/>
        <w:autoSpaceDN w:val="0"/>
        <w:jc w:val="center"/>
        <w:rPr>
          <w:rFonts w:ascii="Times New Roman" w:hAnsi="Times New Roman" w:cs="Times New Roman"/>
          <w:b/>
          <w:szCs w:val="24"/>
        </w:rPr>
      </w:pPr>
    </w:p>
    <w:p w:rsidR="00770A33" w:rsidP="00770A33">
      <w:pPr>
        <w:pStyle w:val="BodyText"/>
        <w:numPr>
          <w:numId w:val="5"/>
        </w:numPr>
        <w:spacing w:before="120"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Odhad dopadov na verejné financie</w:t>
      </w:r>
    </w:p>
    <w:p w:rsidR="00770A33" w:rsidP="00770A33">
      <w:pPr>
        <w:spacing w:before="120"/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 </w:t>
      </w:r>
      <w:r>
        <w:rPr>
          <w:rFonts w:ascii="Times New Roman" w:hAnsi="Times New Roman" w:cs="Times New Roman"/>
          <w:szCs w:val="24"/>
          <w:lang w:eastAsia="ar-SA" w:bidi="ar-SA"/>
        </w:rPr>
        <w:t>prepočte</w:t>
      </w:r>
      <w:r>
        <w:rPr>
          <w:rFonts w:ascii="Times New Roman" w:hAnsi="Times New Roman" w:cs="Times New Roman"/>
          <w:szCs w:val="24"/>
        </w:rPr>
        <w:t xml:space="preserve"> dopadu na verejné financie sa vychádzalo</w:t>
      </w:r>
    </w:p>
    <w:p w:rsidR="00770A33" w:rsidP="00770A33">
      <w:pPr>
        <w:numPr>
          <w:numId w:val="6"/>
        </w:numPr>
        <w:spacing w:befor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 navrhovanej zmeny stupnice platových taríf a platových stupňov,</w:t>
      </w:r>
    </w:p>
    <w:p w:rsidR="00770A33" w:rsidP="00770A33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zrušenia niektorých príplatkov (príplatok za štátnu službu v noci, </w:t>
      </w:r>
      <w:r w:rsidR="00861BF4">
        <w:rPr>
          <w:rFonts w:ascii="Times New Roman" w:hAnsi="Times New Roman" w:cs="Times New Roman"/>
          <w:szCs w:val="24"/>
        </w:rPr>
        <w:t xml:space="preserve">príplatok </w:t>
      </w:r>
      <w:r>
        <w:rPr>
          <w:rFonts w:ascii="Times New Roman" w:hAnsi="Times New Roman" w:cs="Times New Roman"/>
          <w:szCs w:val="24"/>
        </w:rPr>
        <w:t xml:space="preserve">za štátnu službu v sobotu a v nedeľu a </w:t>
      </w:r>
      <w:r w:rsidR="00861BF4">
        <w:rPr>
          <w:rFonts w:ascii="Times New Roman" w:hAnsi="Times New Roman" w:cs="Times New Roman"/>
          <w:szCs w:val="24"/>
        </w:rPr>
        <w:t xml:space="preserve">príplatok </w:t>
      </w:r>
      <w:r>
        <w:rPr>
          <w:rFonts w:ascii="Times New Roman" w:hAnsi="Times New Roman" w:cs="Times New Roman"/>
          <w:szCs w:val="24"/>
        </w:rPr>
        <w:t>štátnu službu vo sviatok) a premietnutia týchto finančných prostriedkov do príplatku</w:t>
      </w:r>
      <w:r w:rsidR="00861BF4">
        <w:rPr>
          <w:rFonts w:ascii="Times New Roman" w:hAnsi="Times New Roman" w:cs="Times New Roman"/>
          <w:szCs w:val="24"/>
        </w:rPr>
        <w:t xml:space="preserve"> za zmennosť</w:t>
      </w:r>
      <w:r>
        <w:rPr>
          <w:rFonts w:ascii="Times New Roman" w:hAnsi="Times New Roman" w:cs="Times New Roman"/>
          <w:szCs w:val="24"/>
        </w:rPr>
        <w:t>,</w:t>
      </w:r>
      <w:r w:rsidR="00861BF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príplatku za riadenie, </w:t>
      </w:r>
      <w:r w:rsidR="00861BF4">
        <w:rPr>
          <w:rFonts w:ascii="Times New Roman" w:hAnsi="Times New Roman" w:cs="Times New Roman"/>
          <w:szCs w:val="24"/>
        </w:rPr>
        <w:t xml:space="preserve">príplatku </w:t>
      </w:r>
      <w:r>
        <w:rPr>
          <w:rFonts w:ascii="Times New Roman" w:hAnsi="Times New Roman" w:cs="Times New Roman"/>
          <w:szCs w:val="24"/>
        </w:rPr>
        <w:t>za</w:t>
      </w:r>
      <w:r w:rsidR="00861BF4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zastupovanie nadriadeného a podobne), </w:t>
      </w:r>
    </w:p>
    <w:p w:rsidR="00770A33" w:rsidP="00770A33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zo schválenej systemizácie počtu príslušníkov na rok 2009 s predpokladom rovnakého počtu na roky 2010 a 2011, a to 4 096 funkčných miest za Hasičský a záchranný zbor a zo schválenej systemizácie počtu príslušníkov Horskej záchrannej služby 118 funkčných miest, </w:t>
      </w:r>
    </w:p>
    <w:p w:rsidR="00770A33" w:rsidP="00770A33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 každoročného 3 % zvýšenia stupnice platových taríf,</w:t>
      </w:r>
    </w:p>
    <w:p w:rsidR="00770A33" w:rsidP="00770A33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="00861BF4">
        <w:rPr>
          <w:rFonts w:ascii="Times New Roman" w:hAnsi="Times New Roman" w:cs="Times New Roman"/>
          <w:szCs w:val="24"/>
        </w:rPr>
        <w:t xml:space="preserve">zo skutočnosti, že </w:t>
      </w:r>
      <w:r>
        <w:rPr>
          <w:rFonts w:ascii="Times New Roman" w:hAnsi="Times New Roman" w:cs="Times New Roman"/>
          <w:szCs w:val="24"/>
        </w:rPr>
        <w:t>výdavky na mzdové ohodnotenie príslušníkov Hasičského a záchranného zboru a príslušníkov Horskej záchrannej služby budú kryté v rámci schválených limitov kapitoly Ministerstva vnútra Slovenskej republiky na príslušný rok,</w:t>
      </w:r>
    </w:p>
    <w:p w:rsidR="00770A33" w:rsidP="00770A33">
      <w:pPr>
        <w:numPr>
          <w:numId w:val="6"/>
        </w:numPr>
        <w:jc w:val="both"/>
        <w:rPr>
          <w:rFonts w:ascii="Times New Roman" w:hAnsi="Times New Roman" w:cs="Times New Roman"/>
          <w:szCs w:val="24"/>
        </w:rPr>
      </w:pPr>
      <w:r w:rsidR="00861BF4">
        <w:rPr>
          <w:rFonts w:ascii="Times New Roman" w:hAnsi="Times New Roman" w:cs="Times New Roman"/>
          <w:szCs w:val="24"/>
        </w:rPr>
        <w:t xml:space="preserve">z požiadavky, aby </w:t>
      </w:r>
      <w:r>
        <w:rPr>
          <w:rFonts w:ascii="Times New Roman" w:hAnsi="Times New Roman" w:cs="Times New Roman"/>
          <w:szCs w:val="24"/>
        </w:rPr>
        <w:t xml:space="preserve">navrhované úpravy odmeňovania príslušníkov Hasičského a záchranného zboru a príslušníkov Horskej záchrannej služby </w:t>
      </w:r>
      <w:r w:rsidR="00861BF4">
        <w:rPr>
          <w:rFonts w:ascii="Times New Roman" w:hAnsi="Times New Roman" w:cs="Times New Roman"/>
          <w:szCs w:val="24"/>
        </w:rPr>
        <w:t>nemali negatívny dopad na služobný príjem príslušníkov.</w:t>
      </w:r>
    </w:p>
    <w:p w:rsidR="00770A33" w:rsidP="00770A33">
      <w:pPr>
        <w:ind w:left="284"/>
        <w:jc w:val="both"/>
        <w:rPr>
          <w:rFonts w:ascii="Times New Roman" w:hAnsi="Times New Roman" w:cs="Times New Roman"/>
          <w:szCs w:val="24"/>
        </w:rPr>
      </w:pPr>
    </w:p>
    <w:p w:rsidR="00861BF4" w:rsidP="00770A33">
      <w:pPr>
        <w:ind w:left="284"/>
        <w:jc w:val="both"/>
        <w:rPr>
          <w:rFonts w:ascii="Times New Roman" w:hAnsi="Times New Roman" w:cs="Times New Roman"/>
          <w:szCs w:val="24"/>
        </w:rPr>
      </w:pPr>
    </w:p>
    <w:p w:rsidR="00770A33" w:rsidP="00770A33">
      <w:pPr>
        <w:pStyle w:val="BodyText"/>
        <w:spacing w:before="120"/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Navrhované úpravy budú mať tento dopad:</w:t>
      </w:r>
    </w:p>
    <w:p w:rsidR="00861BF4" w:rsidP="00770A33">
      <w:pPr>
        <w:pStyle w:val="BodyText"/>
        <w:spacing w:before="120"/>
        <w:ind w:firstLine="624"/>
        <w:rPr>
          <w:rFonts w:ascii="Times New Roman" w:hAnsi="Times New Roman" w:cs="Times New Roman"/>
          <w:szCs w:val="24"/>
        </w:rPr>
      </w:pPr>
    </w:p>
    <w:p w:rsidR="00770A33" w:rsidP="00770A33">
      <w:pPr>
        <w:pStyle w:val="BodyText"/>
        <w:numPr>
          <w:numId w:val="7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štátny rozpočet:</w:t>
      </w:r>
    </w:p>
    <w:p w:rsidR="00861BF4" w:rsidP="00770A33">
      <w:pPr>
        <w:pStyle w:val="Footer"/>
        <w:tabs>
          <w:tab w:val="left" w:pos="708"/>
        </w:tabs>
        <w:spacing w:before="120"/>
        <w:ind w:firstLine="709"/>
        <w:rPr>
          <w:rFonts w:ascii="Times New Roman" w:hAnsi="Times New Roman" w:cs="Times New Roman"/>
          <w:szCs w:val="24"/>
        </w:rPr>
      </w:pPr>
    </w:p>
    <w:p w:rsidR="00770A33" w:rsidP="00770A33">
      <w:pPr>
        <w:pStyle w:val="Footer"/>
        <w:tabs>
          <w:tab w:val="left" w:pos="708"/>
        </w:tabs>
        <w:spacing w:before="120"/>
        <w:ind w:firstLine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Zvýšenie výdavkov štátneho rozpočtu </w:t>
      </w:r>
      <w:r>
        <w:rPr>
          <w:rFonts w:ascii="Times New Roman" w:hAnsi="Times New Roman" w:cs="Times New Roman"/>
          <w:b/>
          <w:szCs w:val="24"/>
        </w:rPr>
        <w:t>za Hasičský a záchranný zbor:</w:t>
      </w:r>
    </w:p>
    <w:p w:rsidR="00770A33" w:rsidP="00770A33"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>v tis. Sk</w:t>
      </w:r>
    </w:p>
    <w:p w:rsidR="00770A33" w:rsidP="00770A33"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>(v celoročnom vyjadrení)</w:t>
      </w:r>
    </w:p>
    <w:p w:rsidR="00770A33" w:rsidP="00770A33"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Layout w:type="fixed"/>
        <w:tblCellMar>
          <w:left w:w="30" w:type="dxa"/>
          <w:right w:w="30" w:type="dxa"/>
        </w:tblCellMar>
      </w:tblPr>
      <w:tblGrid>
        <w:gridCol w:w="3329"/>
        <w:gridCol w:w="1293"/>
        <w:gridCol w:w="1294"/>
        <w:gridCol w:w="1294"/>
      </w:tblGrid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Ukazovateľ</w:t>
            </w:r>
          </w:p>
        </w:tc>
        <w:tc>
          <w:tcPr>
            <w:tcW w:w="12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Dopady na štátny rozpočet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2011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Mzdy, platy, služobné príjmy a ostatné osobné vyrovnania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196 608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202 506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208 581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Poistné do zdravotných poisťovní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19 689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20 280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20 888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Poistné na osobitný účet MV SR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45 681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47 051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48 463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76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Výdavky spolu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261 978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269 837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277 932</w:t>
            </w:r>
          </w:p>
        </w:tc>
      </w:tr>
    </w:tbl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770A33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Zvýšenie výdavkov štátneho rozpočtu </w:t>
      </w:r>
      <w:r>
        <w:rPr>
          <w:rFonts w:ascii="Times New Roman" w:hAnsi="Times New Roman" w:cs="Times New Roman"/>
          <w:b/>
          <w:szCs w:val="24"/>
        </w:rPr>
        <w:t>za Horskú záchrannú službu:</w:t>
      </w:r>
    </w:p>
    <w:p w:rsidR="00770A33" w:rsidP="00770A33">
      <w:pPr>
        <w:pStyle w:val="Footer"/>
        <w:tabs>
          <w:tab w:val="left" w:pos="708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 xml:space="preserve">                              v tis. Sk</w:t>
      </w:r>
    </w:p>
    <w:p w:rsidR="00770A33" w:rsidP="00770A33">
      <w:pPr>
        <w:pStyle w:val="Footer"/>
        <w:tabs>
          <w:tab w:val="left" w:pos="708"/>
        </w:tabs>
        <w:ind w:left="354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(v celoročnom vyjadrení)</w:t>
      </w:r>
    </w:p>
    <w:p w:rsidR="00770A33" w:rsidP="00770A33">
      <w:pPr>
        <w:pStyle w:val="Footer"/>
        <w:tabs>
          <w:tab w:val="left" w:pos="708"/>
        </w:tabs>
        <w:ind w:left="3540" w:firstLine="708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Layout w:type="fixed"/>
        <w:tblCellMar>
          <w:left w:w="30" w:type="dxa"/>
          <w:right w:w="30" w:type="dxa"/>
        </w:tblCellMar>
      </w:tblPr>
      <w:tblGrid>
        <w:gridCol w:w="3329"/>
        <w:gridCol w:w="1293"/>
        <w:gridCol w:w="1348"/>
        <w:gridCol w:w="1240"/>
      </w:tblGrid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Ukazovateľ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Dopady na štátny rozpočet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2009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2011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Mzdy, platy, služobné príjmy </w:t>
            </w:r>
          </w:p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a ostatné osobné vyrovnania 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5 803 </w:t>
            </w:r>
          </w:p>
        </w:tc>
        <w:tc>
          <w:tcPr>
            <w:tcW w:w="13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5 977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6 156 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Poistné do zdravotných poisťovní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598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616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Poistné na osobitný účet MV SR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1 346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1 386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1 428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76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Výdavky spolu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7 729</w:t>
            </w:r>
          </w:p>
        </w:tc>
        <w:tc>
          <w:tcPr>
            <w:tcW w:w="134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7 961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8 200</w:t>
            </w:r>
          </w:p>
        </w:tc>
      </w:tr>
    </w:tbl>
    <w:p w:rsidR="00770A33" w:rsidP="00770A33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770A33" w:rsidP="00770A33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770A33" w:rsidP="00770A33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Zvýšenie výdavkov štátneho rozpočtu</w:t>
      </w:r>
      <w:r>
        <w:rPr>
          <w:rFonts w:ascii="Times New Roman" w:hAnsi="Times New Roman" w:cs="Times New Roman"/>
          <w:b/>
          <w:szCs w:val="24"/>
        </w:rPr>
        <w:t xml:space="preserve"> spolu za Hasičský a záchranný zbor a Horskú záchrannú službu:</w:t>
      </w:r>
    </w:p>
    <w:p w:rsidR="00770A33" w:rsidP="00770A33">
      <w:pPr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770A33" w:rsidP="00770A33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>v tis. Sk</w:t>
      </w:r>
    </w:p>
    <w:p w:rsidR="00770A33" w:rsidP="00770A33">
      <w:pPr>
        <w:pStyle w:val="Footer"/>
        <w:tabs>
          <w:tab w:val="left" w:pos="708"/>
        </w:tabs>
        <w:ind w:left="354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(v celoročnom vyjadrení)</w:t>
      </w:r>
    </w:p>
    <w:tbl>
      <w:tblPr>
        <w:tblStyle w:val="TableNormal"/>
        <w:tblW w:w="0" w:type="auto"/>
        <w:tblLayout w:type="fixed"/>
        <w:tblCellMar>
          <w:left w:w="30" w:type="dxa"/>
          <w:right w:w="30" w:type="dxa"/>
        </w:tblCellMar>
      </w:tblPr>
      <w:tblGrid>
        <w:gridCol w:w="3329"/>
        <w:gridCol w:w="1293"/>
        <w:gridCol w:w="1348"/>
        <w:gridCol w:w="1240"/>
      </w:tblGrid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Ukazovateľ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Dopady na štátny rozpočet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2009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2011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Mzdy, platy, služobné príjmy a ostatné osobné vyrovnania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202 411</w:t>
            </w:r>
          </w:p>
        </w:tc>
        <w:tc>
          <w:tcPr>
            <w:tcW w:w="13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208 483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214 737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Poistné do zdravotných poisťovní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20 241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20 849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21 474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Poistné na osobitný účet MV SR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47 049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48 460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49 914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76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Výdavky spolu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269 701</w:t>
            </w:r>
          </w:p>
        </w:tc>
        <w:tc>
          <w:tcPr>
            <w:tcW w:w="134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277 729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286 126</w:t>
            </w:r>
          </w:p>
        </w:tc>
      </w:tr>
    </w:tbl>
    <w:p w:rsidR="00770A33" w:rsidP="00770A33">
      <w:pPr>
        <w:jc w:val="both"/>
        <w:rPr>
          <w:rFonts w:ascii="Times New Roman" w:hAnsi="Times New Roman" w:cs="Times New Roman"/>
          <w:szCs w:val="24"/>
        </w:rPr>
      </w:pPr>
    </w:p>
    <w:p w:rsidR="00770A33" w:rsidP="00770A33">
      <w:pPr>
        <w:jc w:val="both"/>
        <w:rPr>
          <w:rFonts w:ascii="Times New Roman" w:hAnsi="Times New Roman" w:cs="Times New Roman"/>
          <w:szCs w:val="24"/>
        </w:rPr>
      </w:pPr>
    </w:p>
    <w:p w:rsidR="00770A33" w:rsidP="00770A33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Zvýšenie výdavkov štátneho rozpočtu </w:t>
      </w:r>
      <w:r>
        <w:rPr>
          <w:rFonts w:ascii="Times New Roman" w:hAnsi="Times New Roman" w:cs="Times New Roman"/>
          <w:b/>
          <w:szCs w:val="24"/>
        </w:rPr>
        <w:t>za Hasičský a záchranný zbor:</w:t>
      </w:r>
    </w:p>
    <w:p w:rsidR="00770A33" w:rsidP="00770A33">
      <w:pPr>
        <w:pStyle w:val="Footer"/>
        <w:tabs>
          <w:tab w:val="left" w:pos="708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 xml:space="preserve">                        v eurách</w:t>
      </w:r>
    </w:p>
    <w:p w:rsidR="00770A33" w:rsidP="00770A33"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ab/>
        <w:t xml:space="preserve">                          </w:t>
      </w:r>
      <w:r>
        <w:rPr>
          <w:rFonts w:ascii="Times New Roman" w:hAnsi="Times New Roman" w:cs="Times New Roman"/>
          <w:szCs w:val="24"/>
        </w:rPr>
        <w:t>(v celoročnom vyjadrení)</w:t>
      </w:r>
    </w:p>
    <w:p w:rsidR="00770A33" w:rsidP="00770A33"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Layout w:type="fixed"/>
        <w:tblCellMar>
          <w:left w:w="30" w:type="dxa"/>
          <w:right w:w="30" w:type="dxa"/>
        </w:tblCellMar>
      </w:tblPr>
      <w:tblGrid>
        <w:gridCol w:w="3329"/>
        <w:gridCol w:w="1293"/>
        <w:gridCol w:w="1294"/>
        <w:gridCol w:w="1294"/>
      </w:tblGrid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  <w:t>Ukazovateľ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Dopady na štátny rozpočet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Mzdy, platy, služobné príjmy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 ostatné osobné vyrovnania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6 526 190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6 721 968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6 923 621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Poistné do zdravotných poisťovní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652 619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672 197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692 362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Poistné na osobitný účet MV SR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1 517 057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1 562 567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1 609 443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76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Výdavky spolu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8 695 866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8 956 732</w:t>
            </w:r>
          </w:p>
        </w:tc>
        <w:tc>
          <w:tcPr>
            <w:tcW w:w="129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9 225 426</w:t>
            </w:r>
          </w:p>
        </w:tc>
      </w:tr>
    </w:tbl>
    <w:p w:rsidR="00770A33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861BF4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szCs w:val="24"/>
        </w:rPr>
      </w:pPr>
    </w:p>
    <w:p w:rsidR="00770A33" w:rsidP="00770A33">
      <w:pPr>
        <w:pStyle w:val="Footer"/>
        <w:tabs>
          <w:tab w:val="left" w:pos="708"/>
        </w:tabs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Zvýšenie výdavkov štátneho rozpočtu </w:t>
      </w:r>
      <w:r>
        <w:rPr>
          <w:rFonts w:ascii="Times New Roman" w:hAnsi="Times New Roman" w:cs="Times New Roman"/>
          <w:b/>
          <w:szCs w:val="24"/>
        </w:rPr>
        <w:t>za Horskú záchrannú službu:</w:t>
      </w:r>
    </w:p>
    <w:p w:rsidR="00770A33" w:rsidP="00770A33">
      <w:pPr>
        <w:pStyle w:val="Footer"/>
        <w:tabs>
          <w:tab w:val="left" w:pos="708"/>
        </w:tabs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 xml:space="preserve">                              v eurách</w:t>
      </w:r>
    </w:p>
    <w:p w:rsidR="00770A33" w:rsidP="00770A33">
      <w:pPr>
        <w:pStyle w:val="Footer"/>
        <w:tabs>
          <w:tab w:val="left" w:pos="708"/>
        </w:tabs>
        <w:ind w:left="3540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(v celoročnom vyjadrení)</w:t>
      </w:r>
    </w:p>
    <w:p w:rsidR="00770A33" w:rsidP="00770A33">
      <w:pPr>
        <w:pStyle w:val="Footer"/>
        <w:tabs>
          <w:tab w:val="left" w:pos="708"/>
        </w:tabs>
        <w:ind w:left="3540" w:firstLine="708"/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Layout w:type="fixed"/>
        <w:tblCellMar>
          <w:left w:w="30" w:type="dxa"/>
          <w:right w:w="30" w:type="dxa"/>
        </w:tblCellMar>
      </w:tblPr>
      <w:tblGrid>
        <w:gridCol w:w="3329"/>
        <w:gridCol w:w="1293"/>
        <w:gridCol w:w="1348"/>
        <w:gridCol w:w="1240"/>
      </w:tblGrid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Ukazovateľ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Dopady na štátny rozpočet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2009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Mzdy, platy, služobné príjmy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 ostatné osobné vyrovnania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192 624</w:t>
            </w:r>
          </w:p>
        </w:tc>
        <w:tc>
          <w:tcPr>
            <w:tcW w:w="13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198 403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204 355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Poistné do zdravotných poisťovní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19 262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19 840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20 435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Poistné na osobitný účet MV SR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44 688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46 029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47 410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76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Výdavky spolu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256 574</w:t>
            </w:r>
          </w:p>
        </w:tc>
        <w:tc>
          <w:tcPr>
            <w:tcW w:w="134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264 272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272 200</w:t>
            </w:r>
          </w:p>
        </w:tc>
      </w:tr>
    </w:tbl>
    <w:p w:rsidR="006848AD" w:rsidP="00770A33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6848AD" w:rsidP="00770A33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770A33" w:rsidP="00770A33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Zvýšenie výdavkov štátneho rozpočtu </w:t>
      </w:r>
      <w:r>
        <w:rPr>
          <w:rFonts w:ascii="Times New Roman" w:hAnsi="Times New Roman" w:cs="Times New Roman"/>
          <w:b/>
          <w:szCs w:val="24"/>
        </w:rPr>
        <w:t>spolu za Hasičský a záchranný zbor a Horskú záchrannú službu:</w:t>
      </w:r>
    </w:p>
    <w:p w:rsidR="00770A33" w:rsidP="00770A33">
      <w:pPr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>v eurách</w:t>
      </w:r>
    </w:p>
    <w:p w:rsidR="00770A33" w:rsidP="00770A33"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                                                         </w:t>
        <w:tab/>
        <w:t>(v celoročnom vyjadrení)</w:t>
      </w:r>
    </w:p>
    <w:p w:rsidR="00770A33" w:rsidP="00770A33"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tbl>
      <w:tblPr>
        <w:tblStyle w:val="TableNormal"/>
        <w:tblW w:w="0" w:type="auto"/>
        <w:tblLayout w:type="fixed"/>
        <w:tblCellMar>
          <w:left w:w="30" w:type="dxa"/>
          <w:right w:w="30" w:type="dxa"/>
        </w:tblCellMar>
      </w:tblPr>
      <w:tblGrid>
        <w:gridCol w:w="3329"/>
        <w:gridCol w:w="1293"/>
        <w:gridCol w:w="1348"/>
        <w:gridCol w:w="1240"/>
      </w:tblGrid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Ukazovateľ</w:t>
            </w:r>
          </w:p>
        </w:tc>
        <w:tc>
          <w:tcPr>
            <w:tcW w:w="26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Dopady na štátny rozpočet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2" w:space="0" w:color="000000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2009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2011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Mzdy, platy, služobné príjmy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a ostatné osobné vyrovnania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6 718 814</w:t>
            </w:r>
          </w:p>
        </w:tc>
        <w:tc>
          <w:tcPr>
            <w:tcW w:w="134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6 920 371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7 127 976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Poistné do zdravotných poisťovní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671 881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692 037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712 797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332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Poistné na osobitný účet MV SR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1 561 745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1 608 596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1 656 853</w:t>
            </w:r>
          </w:p>
        </w:tc>
      </w:tr>
      <w:tr>
        <w:tblPrEx>
          <w:tblW w:w="0" w:type="auto"/>
          <w:tblLayout w:type="fixed"/>
          <w:tblCellMar>
            <w:left w:w="30" w:type="dxa"/>
            <w:right w:w="30" w:type="dxa"/>
          </w:tblCellMar>
        </w:tblPrEx>
        <w:trPr>
          <w:trHeight w:val="276"/>
        </w:trPr>
        <w:tc>
          <w:tcPr>
            <w:tcW w:w="332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770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Výdavky spolu</w:t>
            </w:r>
          </w:p>
        </w:tc>
        <w:tc>
          <w:tcPr>
            <w:tcW w:w="129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8 952 441</w:t>
            </w:r>
          </w:p>
        </w:tc>
        <w:tc>
          <w:tcPr>
            <w:tcW w:w="134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9 221 004</w:t>
            </w:r>
          </w:p>
        </w:tc>
        <w:tc>
          <w:tcPr>
            <w:tcW w:w="124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bottom"/>
          </w:tcPr>
          <w:p w:rsidR="00770A33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9 497 626</w:t>
            </w:r>
          </w:p>
        </w:tc>
      </w:tr>
    </w:tbl>
    <w:p w:rsidR="00770A33" w:rsidP="00770A33">
      <w:pPr>
        <w:pStyle w:val="BodyText"/>
        <w:ind w:left="3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 xml:space="preserve">   </w:t>
      </w:r>
    </w:p>
    <w:p w:rsidR="00770A33" w:rsidP="00770A33">
      <w:pPr>
        <w:pStyle w:val="BodyText"/>
        <w:numPr>
          <w:numId w:val="7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rozpočet štátnych fondov:</w:t>
      </w:r>
    </w:p>
    <w:p w:rsidR="00770A33" w:rsidP="00770A33">
      <w:pPr>
        <w:pStyle w:val="BodyText"/>
        <w:ind w:firstLine="6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nemá žiadny dopad</w:t>
      </w:r>
    </w:p>
    <w:p w:rsidR="00770A33" w:rsidP="00770A33">
      <w:pPr>
        <w:pStyle w:val="BodyText"/>
        <w:numPr>
          <w:numId w:val="7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rozpočet obcí a VÚC:</w:t>
      </w:r>
    </w:p>
    <w:p w:rsidR="00770A33" w:rsidP="00770A33">
      <w:pPr>
        <w:pStyle w:val="BodyText"/>
        <w:spacing w:after="0"/>
        <w:ind w:firstLine="65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nemá žiadny dopad.</w:t>
      </w:r>
    </w:p>
    <w:p w:rsidR="00770A33" w:rsidP="00770A33">
      <w:pPr>
        <w:pStyle w:val="BodyText"/>
        <w:spacing w:after="0"/>
        <w:ind w:firstLine="658"/>
        <w:rPr>
          <w:rFonts w:ascii="Times New Roman" w:hAnsi="Times New Roman" w:cs="Times New Roman"/>
          <w:szCs w:val="24"/>
        </w:rPr>
      </w:pPr>
    </w:p>
    <w:p w:rsidR="00770A33" w:rsidP="00770A33">
      <w:pPr>
        <w:pStyle w:val="BodyText"/>
        <w:numPr>
          <w:numId w:val="5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Odhad dopadov na obyvateľov, hospodárenie podnikateľskej sféry a iných právnických osôb</w:t>
      </w:r>
    </w:p>
    <w:p w:rsidR="00770A33" w:rsidP="00770A33">
      <w:pPr>
        <w:pStyle w:val="BodyText"/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Navrhovaná novela nemá žiadny dopad na položky uvedené v tejto časti.</w:t>
      </w:r>
    </w:p>
    <w:p w:rsidR="00770A33" w:rsidP="00770A33">
      <w:pPr>
        <w:pStyle w:val="BodyText"/>
        <w:ind w:firstLine="624"/>
        <w:rPr>
          <w:rFonts w:ascii="Times New Roman" w:hAnsi="Times New Roman" w:cs="Times New Roman"/>
          <w:szCs w:val="24"/>
        </w:rPr>
      </w:pPr>
    </w:p>
    <w:p w:rsidR="00770A33" w:rsidP="00770A33">
      <w:pPr>
        <w:pStyle w:val="BodyText"/>
        <w:numPr>
          <w:numId w:val="5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Odhad dopadov na životné prostredie</w:t>
      </w:r>
    </w:p>
    <w:p w:rsidR="00770A33" w:rsidP="00770A33">
      <w:pPr>
        <w:pStyle w:val="BodyText"/>
        <w:spacing w:after="0"/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Navrhovaná novela nemá žiadny dopad.</w:t>
      </w:r>
    </w:p>
    <w:p w:rsidR="00770A33" w:rsidP="00770A33">
      <w:pPr>
        <w:pStyle w:val="BodyText"/>
        <w:spacing w:after="0"/>
        <w:ind w:firstLine="624"/>
        <w:rPr>
          <w:rFonts w:ascii="Times New Roman" w:hAnsi="Times New Roman" w:cs="Times New Roman"/>
          <w:szCs w:val="24"/>
        </w:rPr>
      </w:pPr>
    </w:p>
    <w:p w:rsidR="00770A33" w:rsidP="00770A33">
      <w:pPr>
        <w:pStyle w:val="BodyText"/>
        <w:numPr>
          <w:numId w:val="5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Odhad dopadov na zamestnanosť</w:t>
      </w:r>
    </w:p>
    <w:p w:rsidR="00770A33" w:rsidP="00770A33">
      <w:pPr>
        <w:pStyle w:val="BodyText"/>
        <w:spacing w:after="0"/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Navrhovaná novela nemá žiadny dopad na zamestnanosť.</w:t>
      </w:r>
    </w:p>
    <w:p w:rsidR="00770A33" w:rsidP="00770A33">
      <w:pPr>
        <w:pStyle w:val="BodyText"/>
        <w:spacing w:after="0"/>
        <w:ind w:firstLine="624"/>
        <w:rPr>
          <w:rFonts w:ascii="Times New Roman" w:hAnsi="Times New Roman" w:cs="Times New Roman"/>
          <w:szCs w:val="24"/>
        </w:rPr>
      </w:pPr>
    </w:p>
    <w:p w:rsidR="00770A33" w:rsidP="00770A33">
      <w:pPr>
        <w:pStyle w:val="BodyText"/>
        <w:numPr>
          <w:numId w:val="5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Analýza vplyvov na podnikateľské prostredie</w:t>
      </w:r>
    </w:p>
    <w:p w:rsidR="00770A33" w:rsidP="00770A33">
      <w:pPr>
        <w:pStyle w:val="BodyText"/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Navrhovaná novela nemá žiadny vplyv na podnikateľské prostredie..</w:t>
      </w:r>
    </w:p>
    <w:p w:rsidR="00770A33" w:rsidP="00770A33">
      <w:pPr>
        <w:rPr>
          <w:rFonts w:ascii="Times New Roman" w:hAnsi="Times New Roman" w:cs="Times New Roman"/>
          <w:szCs w:val="24"/>
        </w:rPr>
      </w:pPr>
    </w:p>
    <w:p w:rsidR="00B46F15" w:rsidP="00B46F15">
      <w:pPr>
        <w:jc w:val="center"/>
        <w:rPr>
          <w:rFonts w:ascii="Times New Roman" w:hAnsi="Times New Roman" w:cs="Times New Roman"/>
          <w:b/>
          <w:caps/>
          <w:spacing w:val="30"/>
          <w:szCs w:val="24"/>
        </w:rPr>
      </w:pPr>
      <w:r>
        <w:rPr>
          <w:rFonts w:ascii="Times New Roman" w:hAnsi="Times New Roman" w:cs="Times New Roman"/>
          <w:b/>
          <w:caps/>
          <w:spacing w:val="30"/>
          <w:szCs w:val="24"/>
        </w:rPr>
        <w:t>Doložka zlučiteľnosti</w:t>
      </w:r>
    </w:p>
    <w:p w:rsidR="00B46F15" w:rsidP="00B46F1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právneho predpisu </w:t>
      </w:r>
    </w:p>
    <w:p w:rsidR="00B46F15" w:rsidP="00B46F15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 právom Európskych spoločenstiev a právom Európskej únie </w:t>
      </w:r>
    </w:p>
    <w:p w:rsidR="00B46F15" w:rsidP="00B46F15">
      <w:pPr>
        <w:rPr>
          <w:rFonts w:ascii="Times New Roman" w:hAnsi="Times New Roman" w:cs="Times New Roman"/>
          <w:szCs w:val="24"/>
        </w:rPr>
      </w:pPr>
    </w:p>
    <w:p w:rsidR="00B46F15" w:rsidP="00B46F15">
      <w:pPr>
        <w:ind w:left="360" w:hanging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  <w:tab/>
        <w:t>Predkladateľ právneho predpisu:</w:t>
      </w:r>
      <w:r>
        <w:rPr>
          <w:rFonts w:ascii="Times New Roman" w:hAnsi="Times New Roman" w:cs="Times New Roman"/>
          <w:szCs w:val="24"/>
        </w:rPr>
        <w:t xml:space="preserve"> vláda slovenskej republiky</w:t>
      </w: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B46F15" w:rsidP="00B46F15">
      <w:pPr>
        <w:ind w:left="360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2.</w:t>
        <w:tab/>
        <w:t>Názov návrhu právneho predpisu:</w:t>
      </w:r>
      <w:r>
        <w:rPr>
          <w:rFonts w:ascii="Times New Roman" w:hAnsi="Times New Roman" w:cs="Times New Roman"/>
          <w:szCs w:val="24"/>
        </w:rPr>
        <w:t xml:space="preserve"> Návrh zákona , ktorým sa mení a dopĺňa zákon č. 315/2001 Z. z. o Hasičskom a záchrannom zbore v znení neskorších predpisov a o doplnení zákona č. 328/2002 Z. z. o sociálnom zabezpečení policajtov a vojakov v znení neskorších predpisov</w:t>
      </w:r>
    </w:p>
    <w:p w:rsidR="005C35BE" w:rsidP="00B46F15">
      <w:pPr>
        <w:rPr>
          <w:rFonts w:ascii="Times New Roman" w:hAnsi="Times New Roman" w:cs="Times New Roman"/>
          <w:szCs w:val="24"/>
        </w:rPr>
      </w:pPr>
    </w:p>
    <w:p w:rsidR="00B46F15" w:rsidP="00B46F15">
      <w:pPr>
        <w:ind w:left="360" w:hanging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</w:t>
        <w:tab/>
        <w:t>Problematika návrhu právneho predpisu:</w:t>
      </w:r>
    </w:p>
    <w:p w:rsidR="00B46F15" w:rsidP="00B46F15">
      <w:pPr>
        <w:numPr>
          <w:numId w:val="8"/>
        </w:numPr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Európskych spoločenstiev</w:t>
      </w:r>
    </w:p>
    <w:p w:rsidR="00B46F15" w:rsidP="00B46F15">
      <w:pPr>
        <w:numPr>
          <w:numId w:val="9"/>
        </w:numPr>
        <w:spacing w:before="120"/>
        <w:ind w:hanging="1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primárnom</w:t>
      </w:r>
    </w:p>
    <w:p w:rsidR="00B46F15" w:rsidP="00B46F15">
      <w:pPr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Zmluve o založení Európskeho spoločenstva v platnom znení  </w:t>
      </w:r>
    </w:p>
    <w:p w:rsidR="00B46F15" w:rsidP="00B46F15">
      <w:pPr>
        <w:ind w:left="709" w:firstLine="709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(Hlava XI – sociálna politika) </w:t>
      </w:r>
    </w:p>
    <w:p w:rsidR="00B46F15" w:rsidP="00B46F15">
      <w:pPr>
        <w:numPr>
          <w:numId w:val="9"/>
        </w:numPr>
        <w:spacing w:before="120"/>
        <w:ind w:hanging="17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sekundárnom</w:t>
      </w:r>
    </w:p>
    <w:p w:rsidR="00B46F15" w:rsidP="006848AD">
      <w:pPr>
        <w:numPr>
          <w:ilvl w:val="2"/>
          <w:numId w:val="8"/>
        </w:numPr>
        <w:spacing w:befor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Smernica Európskeho parlamentu a Rady 2003/88/ES o niektorých aspektoch organizácie pracovného času</w:t>
      </w:r>
    </w:p>
    <w:p w:rsidR="00B46F15" w:rsidP="00B46F15">
      <w:pPr>
        <w:numPr>
          <w:ilvl w:val="2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Smernica Európskeho parlamentu a Rady 2006/54/ES o vykonávaní zásady rovnosti príležitostí a rovnakého zaobchádzania s mužmi a ženami vo</w:t>
      </w:r>
      <w:r w:rsidR="00735ADB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veciach zamestnanosti a povolania (prepracované znenie), ktorou sa rušia smernice 75/117/EHS, 76/207/EHS, 86/378/EHS a 97/80/EHS </w:t>
      </w:r>
    </w:p>
    <w:p w:rsidR="00B46F15" w:rsidP="00B46F15">
      <w:pPr>
        <w:numPr>
          <w:ilvl w:val="2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Smernica Rady 92/85/ES o zavedení opatrení na zlepšenie bezpečnosti a</w:t>
      </w:r>
      <w:r w:rsidR="00735ADB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ochrany zdravia pri práci tehotných pracovníčok a pracovníčok, ktoré sú krátko po pôrode alebo dojčia</w:t>
      </w:r>
    </w:p>
    <w:p w:rsidR="00B46F15" w:rsidP="00B46F15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B46F15" w:rsidP="00B46F15">
      <w:pPr>
        <w:numPr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Európskej únie</w:t>
      </w:r>
    </w:p>
    <w:p w:rsidR="00B46F15" w:rsidP="00B46F15">
      <w:pPr>
        <w:rPr>
          <w:rFonts w:ascii="Times New Roman" w:hAnsi="Times New Roman" w:cs="Times New Roman"/>
          <w:szCs w:val="24"/>
        </w:rPr>
      </w:pPr>
    </w:p>
    <w:p w:rsidR="00B46F15" w:rsidP="00B46F15">
      <w:pPr>
        <w:numPr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obsiahnutá v judikatúre Súdneho dvora Európskych spoločenstiev alebo Súdu prvého stupňa Európskych spoločenstiev</w:t>
      </w:r>
    </w:p>
    <w:p w:rsidR="00B46F15" w:rsidP="00B46F15">
      <w:pPr>
        <w:numPr>
          <w:numId w:val="11"/>
        </w:numPr>
        <w:spacing w:befor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Uznesenie Súdneho dvora (piata komora) vo veci C-437/05 Vorel zo dňa 11.1. 2007 (I-00331)</w:t>
      </w:r>
    </w:p>
    <w:p w:rsidR="00B46F15" w:rsidP="00B46F15">
      <w:pPr>
        <w:numPr>
          <w:numId w:val="1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Rozsudok Súdneho dvora (prvá komora) vo veci C-284/0 Sass, zo dňa 21. 3.2002 (I-11143)</w:t>
      </w:r>
    </w:p>
    <w:p w:rsidR="00B46F15" w:rsidP="00B46F15">
      <w:pPr>
        <w:rPr>
          <w:rFonts w:ascii="Times New Roman" w:hAnsi="Times New Roman" w:cs="Times New Roman"/>
          <w:szCs w:val="24"/>
        </w:rPr>
      </w:pPr>
    </w:p>
    <w:p w:rsidR="00B46F15" w:rsidP="00B46F15">
      <w:pPr>
        <w:ind w:left="360" w:hanging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</w:t>
        <w:tab/>
        <w:t xml:space="preserve">Záväzky Slovenskej republiky vo vzťahu k Európskym spoločenstvám a Európskej únii: </w:t>
      </w:r>
    </w:p>
    <w:p w:rsidR="00B46F15" w:rsidP="00B46F15">
      <w:pPr>
        <w:numPr>
          <w:numId w:val="12"/>
        </w:numPr>
        <w:spacing w:befor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 implementáciu nariadenia alebo rozhodnutia z nich vyplývajúca</w:t>
      </w:r>
    </w:p>
    <w:p w:rsidR="006848AD" w:rsidP="00B46F15">
      <w:pPr>
        <w:ind w:left="624"/>
        <w:jc w:val="both"/>
        <w:rPr>
          <w:rFonts w:ascii="Times New Roman" w:hAnsi="Times New Roman" w:cs="Times New Roman"/>
          <w:szCs w:val="24"/>
        </w:rPr>
      </w:pPr>
    </w:p>
    <w:p w:rsidR="00B46F15" w:rsidP="00B46F15">
      <w:pPr>
        <w:ind w:left="6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Lehota na prebratie smernice Európskeho parlamentu a Rady 2003/88/ES o niektorých aspektoch organizácie pracovného času uplynula dňom 1. máj</w:t>
      </w:r>
      <w:r w:rsidR="00735ADB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2004 .</w:t>
      </w:r>
    </w:p>
    <w:p w:rsidR="00B46F15" w:rsidP="00B46F15">
      <w:pPr>
        <w:numPr>
          <w:numId w:val="12"/>
        </w:numPr>
        <w:spacing w:befor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informácia o konaní začatom proti Slovenskej republike o porušení Zmluvy o založení Európskych spoločenstiev podľa čl. 226 až 228 Zmluvy o založení Európskych spoločenstiev v platnom znení</w:t>
      </w:r>
    </w:p>
    <w:p w:rsidR="00B46F15" w:rsidP="006848AD">
      <w:pPr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bezpredmetné</w:t>
      </w:r>
    </w:p>
    <w:p w:rsidR="00B46F15" w:rsidP="00B46F15">
      <w:pPr>
        <w:numPr>
          <w:numId w:val="12"/>
        </w:numPr>
        <w:spacing w:before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informácia o právnych predpisoch, v ktorých sú preberané smernice alebo rámcové rozhodnutia už prebraté spolu s uvedením rozsahu tohto prebratia</w:t>
      </w:r>
    </w:p>
    <w:p w:rsidR="00B46F15" w:rsidP="00B46F15">
      <w:pPr>
        <w:ind w:left="6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Smernica Európskeho parlamentu a Rady 2003/88/ES o niektorých aspektoch organizácie pracovného času bola úplne transponovaná Zákonník</w:t>
      </w:r>
      <w:r w:rsidR="006848AD">
        <w:rPr>
          <w:rFonts w:ascii="Times New Roman" w:hAnsi="Times New Roman" w:cs="Times New Roman"/>
          <w:szCs w:val="24"/>
        </w:rPr>
        <w:t>om</w:t>
      </w:r>
      <w:r>
        <w:rPr>
          <w:rFonts w:ascii="Times New Roman" w:hAnsi="Times New Roman" w:cs="Times New Roman"/>
          <w:szCs w:val="24"/>
        </w:rPr>
        <w:t xml:space="preserve"> práce a zákonom </w:t>
      </w:r>
      <w:r w:rsidR="006848AD">
        <w:rPr>
          <w:rFonts w:ascii="Times New Roman" w:hAnsi="Times New Roman" w:cs="Times New Roman"/>
          <w:szCs w:val="24"/>
        </w:rPr>
        <w:t xml:space="preserve">Národnej rady Slovenskej republiky </w:t>
      </w:r>
      <w:r>
        <w:rPr>
          <w:rFonts w:ascii="Times New Roman" w:hAnsi="Times New Roman" w:cs="Times New Roman"/>
          <w:szCs w:val="24"/>
        </w:rPr>
        <w:t xml:space="preserve">č. 330/1996 Z. z. </w:t>
      </w:r>
      <w:r w:rsidR="00735ADB">
        <w:rPr>
          <w:rFonts w:ascii="Times New Roman" w:hAnsi="Times New Roman" w:cs="Times New Roman"/>
          <w:szCs w:val="24"/>
        </w:rPr>
        <w:t xml:space="preserve">o bezpečnosti a ochrane zdravia pri práci </w:t>
      </w:r>
      <w:r>
        <w:rPr>
          <w:rFonts w:ascii="Times New Roman" w:hAnsi="Times New Roman" w:cs="Times New Roman"/>
          <w:szCs w:val="24"/>
        </w:rPr>
        <w:t>v znení neskorších predpisov.</w:t>
      </w:r>
    </w:p>
    <w:p w:rsidR="005C35BE" w:rsidP="00B46F15">
      <w:pPr>
        <w:rPr>
          <w:rFonts w:ascii="Times New Roman" w:hAnsi="Times New Roman" w:cs="Times New Roman"/>
          <w:szCs w:val="24"/>
        </w:rPr>
      </w:pPr>
    </w:p>
    <w:p w:rsidR="00B46F15" w:rsidP="00B46F15">
      <w:pPr>
        <w:ind w:left="360" w:hanging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5.</w:t>
        <w:tab/>
        <w:t>Stupeň zlučiteľnosti návrhu právneho predpisu s právom Európskych spoločenstiev alebo právom Európskej únie:</w:t>
      </w:r>
    </w:p>
    <w:p w:rsidR="00B46F15" w:rsidP="00B46F15">
      <w:pPr>
        <w:spacing w:before="120"/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úplný</w:t>
      </w:r>
    </w:p>
    <w:p w:rsidR="00B46F15" w:rsidP="00B46F15">
      <w:pPr>
        <w:rPr>
          <w:rFonts w:ascii="Times New Roman" w:hAnsi="Times New Roman" w:cs="Times New Roman"/>
          <w:szCs w:val="24"/>
        </w:rPr>
      </w:pPr>
    </w:p>
    <w:p w:rsidR="00B46F15" w:rsidP="00B46F15">
      <w:pPr>
        <w:ind w:left="360" w:hanging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</w:t>
        <w:tab/>
        <w:t xml:space="preserve">Gestor a spolupracujúce rezorty: </w:t>
      </w: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6848AD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6848AD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327718">
        <w:rPr>
          <w:rFonts w:ascii="Times New Roman" w:hAnsi="Times New Roman" w:cs="Times New Roman"/>
          <w:b/>
          <w:szCs w:val="24"/>
          <w:u w:val="single"/>
        </w:rPr>
        <w:t>Osobitná  časť</w:t>
      </w:r>
    </w:p>
    <w:p w:rsidR="009A6DA7" w:rsidRPr="00327718" w:rsidP="009A6DA7">
      <w:pPr>
        <w:jc w:val="center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Čl. I:</w:t>
      </w: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K bodu 1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Navrhuje sa rozčleniť úlohy Hasičského a záchranného zboru na úlohy, ktoré Hasičský a záchranný zbor plní a vykonáva priamo a na úlohy</w:t>
      </w:r>
      <w:r w:rsidR="006848A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na plnení ktorých sa podieľa s ďalšími subjektmi.</w:t>
      </w:r>
    </w:p>
    <w:p w:rsidR="009A6DA7" w:rsidRPr="00223E2C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7D3081">
        <w:rPr>
          <w:rFonts w:ascii="Times New Roman" w:hAnsi="Times New Roman" w:cs="Times New Roman"/>
          <w:b/>
          <w:szCs w:val="24"/>
        </w:rPr>
        <w:t>K bod</w:t>
      </w:r>
      <w:r>
        <w:rPr>
          <w:rFonts w:ascii="Times New Roman" w:hAnsi="Times New Roman" w:cs="Times New Roman"/>
          <w:b/>
          <w:szCs w:val="24"/>
        </w:rPr>
        <w:t>om</w:t>
      </w:r>
      <w:r w:rsidRPr="007D3081">
        <w:rPr>
          <w:rFonts w:ascii="Times New Roman" w:hAnsi="Times New Roman" w:cs="Times New Roman"/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7D3081">
          <w:rPr>
            <w:rFonts w:ascii="Times New Roman" w:hAnsi="Times New Roman" w:cs="Times New Roman"/>
            <w:b/>
            <w:szCs w:val="24"/>
          </w:rPr>
          <w:t>2</w:t>
        </w:r>
        <w:r>
          <w:rPr>
            <w:rFonts w:ascii="Times New Roman" w:hAnsi="Times New Roman" w:cs="Times New Roman"/>
            <w:b/>
            <w:szCs w:val="24"/>
          </w:rPr>
          <w:t xml:space="preserve"> a</w:t>
        </w:r>
      </w:smartTag>
      <w:r>
        <w:rPr>
          <w:rFonts w:ascii="Times New Roman" w:hAnsi="Times New Roman" w:cs="Times New Roman"/>
          <w:b/>
          <w:szCs w:val="24"/>
        </w:rPr>
        <w:t xml:space="preserve"> 3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76DE">
        <w:rPr>
          <w:rFonts w:ascii="Times New Roman" w:hAnsi="Times New Roman" w:cs="Times New Roman"/>
          <w:szCs w:val="24"/>
        </w:rPr>
        <w:t xml:space="preserve">Predmetná úprava sa vykonáva </w:t>
      </w:r>
      <w:r>
        <w:rPr>
          <w:rFonts w:ascii="Times New Roman" w:hAnsi="Times New Roman" w:cs="Times New Roman"/>
          <w:szCs w:val="24"/>
        </w:rPr>
        <w:t>vo väzbe</w:t>
      </w:r>
      <w:r w:rsidRPr="00BD76DE">
        <w:rPr>
          <w:rFonts w:ascii="Times New Roman" w:hAnsi="Times New Roman" w:cs="Times New Roman"/>
          <w:szCs w:val="24"/>
        </w:rPr>
        <w:t xml:space="preserve"> na skutočnosť, že veliteľ Hasičského a záchranného útvaru hlavného mesta Bratislavy má v súčasnosti postavenie riaditeľa krajského riaditeľstva Hasičského a záchranného</w:t>
      </w:r>
      <w:r>
        <w:rPr>
          <w:rFonts w:ascii="Times New Roman" w:hAnsi="Times New Roman" w:cs="Times New Roman"/>
          <w:szCs w:val="24"/>
        </w:rPr>
        <w:t xml:space="preserve"> zboru a v tejto súvislosti sa upravuje aj jeho menovanie a odvolanie. 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BD76DE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BD76DE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4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F3CC8">
        <w:rPr>
          <w:rFonts w:ascii="Times New Roman" w:hAnsi="Times New Roman" w:cs="Times New Roman"/>
          <w:szCs w:val="24"/>
        </w:rPr>
        <w:t>Navrhuj</w:t>
      </w:r>
      <w:r>
        <w:rPr>
          <w:rFonts w:ascii="Times New Roman" w:hAnsi="Times New Roman" w:cs="Times New Roman"/>
          <w:szCs w:val="24"/>
        </w:rPr>
        <w:t>ú</w:t>
      </w:r>
      <w:r w:rsidRPr="003F3CC8">
        <w:rPr>
          <w:rFonts w:ascii="Times New Roman" w:hAnsi="Times New Roman" w:cs="Times New Roman"/>
          <w:szCs w:val="24"/>
        </w:rPr>
        <w:t xml:space="preserve"> sa</w:t>
      </w:r>
      <w:r>
        <w:rPr>
          <w:rFonts w:ascii="Times New Roman" w:hAnsi="Times New Roman" w:cs="Times New Roman"/>
          <w:szCs w:val="24"/>
        </w:rPr>
        <w:t xml:space="preserve"> nové oprávnenia príslušníka Hasičského a záchranného zboru. Príslušník je oprávnený v rámci zásahu vypnúť alebo odstaviť prívod energie do vyhradeného technického zariadenia, avšak len za podmienok ustanovených v zákone a dodržania zásad bezpečnosti a ochrany zdravia pri práci. </w:t>
      </w: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5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23E2C">
        <w:rPr>
          <w:rFonts w:ascii="Times New Roman" w:hAnsi="Times New Roman" w:cs="Times New Roman"/>
          <w:szCs w:val="24"/>
        </w:rPr>
        <w:t xml:space="preserve">Vo väzbe </w:t>
      </w:r>
      <w:r>
        <w:rPr>
          <w:rFonts w:ascii="Times New Roman" w:hAnsi="Times New Roman" w:cs="Times New Roman"/>
          <w:szCs w:val="24"/>
        </w:rPr>
        <w:t>na oprávnenie príslušníka</w:t>
      </w:r>
      <w:r w:rsidRPr="00223E2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Hasičského a záchranného zboru vypnúť alebo zastaviť prívod energií do vyhradených technických zariadení pri zásahovej činnosti </w:t>
      </w:r>
      <w:r w:rsidR="006848AD">
        <w:rPr>
          <w:rFonts w:ascii="Times New Roman" w:hAnsi="Times New Roman" w:cs="Times New Roman"/>
          <w:szCs w:val="24"/>
        </w:rPr>
        <w:t xml:space="preserve">sa </w:t>
      </w:r>
      <w:r>
        <w:rPr>
          <w:rFonts w:ascii="Times New Roman" w:hAnsi="Times New Roman" w:cs="Times New Roman"/>
          <w:szCs w:val="24"/>
        </w:rPr>
        <w:t xml:space="preserve">súčasne ukladá povinnosť bez zbytočného odkladu o tomto úkone upovedomiť zodpovednú osobu vlastníka, správcu alebo užívateľa vyhradeného technického zariadenia (v závislosti od vlastníckeho režimu alebo užívateľského režimu k vyhradenému technickému zariadeniu). </w:t>
      </w:r>
    </w:p>
    <w:p w:rsidR="009A6DA7" w:rsidRPr="002D767B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K</w:t>
      </w:r>
      <w:r>
        <w:rPr>
          <w:rFonts w:ascii="Times New Roman" w:hAnsi="Times New Roman" w:cs="Times New Roman"/>
          <w:b/>
          <w:szCs w:val="24"/>
        </w:rPr>
        <w:t> </w:t>
      </w:r>
      <w:r w:rsidRPr="00327718">
        <w:rPr>
          <w:rFonts w:ascii="Times New Roman" w:hAnsi="Times New Roman" w:cs="Times New Roman"/>
          <w:b/>
          <w:szCs w:val="24"/>
        </w:rPr>
        <w:t>bodu</w:t>
      </w:r>
      <w:r>
        <w:rPr>
          <w:rFonts w:ascii="Times New Roman" w:hAnsi="Times New Roman" w:cs="Times New Roman"/>
          <w:b/>
          <w:szCs w:val="24"/>
        </w:rPr>
        <w:t xml:space="preserve"> 6</w:t>
      </w:r>
    </w:p>
    <w:p w:rsidR="009A6DA7" w:rsidRPr="0065219B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5219B">
        <w:rPr>
          <w:rFonts w:ascii="Times New Roman" w:hAnsi="Times New Roman" w:cs="Times New Roman"/>
          <w:szCs w:val="24"/>
        </w:rPr>
        <w:t>Ustanovenie upr</w:t>
      </w:r>
      <w:r>
        <w:rPr>
          <w:rFonts w:ascii="Times New Roman" w:hAnsi="Times New Roman" w:cs="Times New Roman"/>
          <w:szCs w:val="24"/>
        </w:rPr>
        <w:t>esňujúce znenie platného zákona.</w:t>
      </w: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7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 xml:space="preserve">Navrhovaným ustanovením sa vytvára </w:t>
      </w:r>
      <w:r>
        <w:rPr>
          <w:rFonts w:ascii="Times New Roman" w:hAnsi="Times New Roman" w:cs="Times New Roman"/>
          <w:szCs w:val="24"/>
        </w:rPr>
        <w:t xml:space="preserve">právna </w:t>
      </w:r>
      <w:r w:rsidRPr="00327718">
        <w:rPr>
          <w:rFonts w:ascii="Times New Roman" w:hAnsi="Times New Roman" w:cs="Times New Roman"/>
          <w:szCs w:val="24"/>
        </w:rPr>
        <w:t xml:space="preserve">možnosť, aby pre príslušníka mohol byť podľa zásady nadriadenosti a podriadenosti nadriadeným aj príslušník v štátnej službe, predstavený alebo vedúci zamestnanec podľa osobitných predpisov. </w:t>
      </w:r>
      <w:r>
        <w:rPr>
          <w:rFonts w:ascii="Times New Roman" w:hAnsi="Times New Roman" w:cs="Times New Roman"/>
          <w:szCs w:val="24"/>
        </w:rPr>
        <w:t>Návrh zákona umožňuje</w:t>
      </w:r>
      <w:r w:rsidRPr="00327718">
        <w:rPr>
          <w:rFonts w:ascii="Times New Roman" w:hAnsi="Times New Roman" w:cs="Times New Roman"/>
          <w:szCs w:val="24"/>
        </w:rPr>
        <w:t xml:space="preserve">, aby miestom vykonávania štátnej služby príslušníkov </w:t>
      </w:r>
      <w:r w:rsidR="006848AD">
        <w:rPr>
          <w:rFonts w:ascii="Times New Roman" w:hAnsi="Times New Roman" w:cs="Times New Roman"/>
          <w:szCs w:val="24"/>
        </w:rPr>
        <w:t xml:space="preserve">boli </w:t>
      </w:r>
      <w:r w:rsidRPr="00327718">
        <w:rPr>
          <w:rFonts w:ascii="Times New Roman" w:hAnsi="Times New Roman" w:cs="Times New Roman"/>
          <w:szCs w:val="24"/>
        </w:rPr>
        <w:t>aj iné útvary Ministerstva vnútra Slovenskej republiky</w:t>
      </w:r>
      <w:r w:rsidR="006848AD">
        <w:rPr>
          <w:rFonts w:ascii="Times New Roman" w:hAnsi="Times New Roman" w:cs="Times New Roman"/>
          <w:szCs w:val="24"/>
        </w:rPr>
        <w:t xml:space="preserve"> alebo iný orgán štátnej správy</w:t>
      </w:r>
      <w:r w:rsidRPr="0032771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ak príslušník bude plniť úlohy pre zbor;</w:t>
      </w:r>
      <w:r w:rsidRPr="00327718">
        <w:rPr>
          <w:rFonts w:ascii="Times New Roman" w:hAnsi="Times New Roman" w:cs="Times New Roman"/>
          <w:szCs w:val="24"/>
        </w:rPr>
        <w:t xml:space="preserve"> služobný úrad</w:t>
      </w:r>
      <w:r>
        <w:rPr>
          <w:rFonts w:ascii="Times New Roman" w:hAnsi="Times New Roman" w:cs="Times New Roman"/>
          <w:szCs w:val="24"/>
        </w:rPr>
        <w:t>, čiže i osobný úrad príslušníka zostáva nezmenený.</w:t>
      </w: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RPr="00F71B5F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8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="006848AD">
        <w:rPr>
          <w:rFonts w:ascii="Times New Roman" w:hAnsi="Times New Roman" w:cs="Times New Roman"/>
          <w:szCs w:val="24"/>
        </w:rPr>
        <w:t>Úpravy v počte príslušníkov</w:t>
      </w:r>
      <w:r w:rsidRPr="00F71B5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 štátnej službe</w:t>
      </w:r>
      <w:r w:rsidRPr="00F71B5F">
        <w:rPr>
          <w:rFonts w:ascii="Times New Roman" w:hAnsi="Times New Roman" w:cs="Times New Roman"/>
          <w:szCs w:val="24"/>
        </w:rPr>
        <w:t xml:space="preserve"> </w:t>
      </w:r>
      <w:r w:rsidR="006848AD">
        <w:rPr>
          <w:rFonts w:ascii="Times New Roman" w:hAnsi="Times New Roman" w:cs="Times New Roman"/>
          <w:szCs w:val="24"/>
        </w:rPr>
        <w:t>a v objemoch finančných prostriedkoch určených na ich služobné príjmy vykoná</w:t>
      </w:r>
      <w:r>
        <w:rPr>
          <w:rFonts w:ascii="Times New Roman" w:hAnsi="Times New Roman" w:cs="Times New Roman"/>
          <w:szCs w:val="24"/>
        </w:rPr>
        <w:t xml:space="preserve"> vláda Slovenskej republiky každý rok pri</w:t>
      </w:r>
      <w:r w:rsidR="006848AD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prerokúvaní návrhu zákona o štátnom rozpočte na príslušný rok. Navrhovaným ustanovením sa umožní </w:t>
      </w:r>
      <w:r w:rsidR="006848AD">
        <w:rPr>
          <w:rFonts w:ascii="Times New Roman" w:hAnsi="Times New Roman" w:cs="Times New Roman"/>
          <w:szCs w:val="24"/>
        </w:rPr>
        <w:t xml:space="preserve">vykonať tieto úpravy </w:t>
      </w:r>
      <w:r>
        <w:rPr>
          <w:rFonts w:ascii="Times New Roman" w:hAnsi="Times New Roman" w:cs="Times New Roman"/>
          <w:szCs w:val="24"/>
        </w:rPr>
        <w:t>aj v priebehu roka</w:t>
      </w:r>
      <w:r w:rsidR="006848AD">
        <w:rPr>
          <w:rFonts w:ascii="Times New Roman" w:hAnsi="Times New Roman" w:cs="Times New Roman"/>
          <w:szCs w:val="24"/>
        </w:rPr>
        <w:t xml:space="preserve"> a rozširuje sa toto oprávnenie aj na Ministerstvo financií </w:t>
      </w:r>
      <w:r w:rsidR="00D223C6">
        <w:rPr>
          <w:rFonts w:ascii="Times New Roman" w:hAnsi="Times New Roman" w:cs="Times New Roman"/>
          <w:szCs w:val="24"/>
        </w:rPr>
        <w:t>S</w:t>
      </w:r>
      <w:r w:rsidR="006848AD">
        <w:rPr>
          <w:rFonts w:ascii="Times New Roman" w:hAnsi="Times New Roman" w:cs="Times New Roman"/>
          <w:szCs w:val="24"/>
        </w:rPr>
        <w:t>lovensk</w:t>
      </w:r>
      <w:r w:rsidR="00D223C6">
        <w:rPr>
          <w:rFonts w:ascii="Times New Roman" w:hAnsi="Times New Roman" w:cs="Times New Roman"/>
          <w:szCs w:val="24"/>
        </w:rPr>
        <w:t>ej</w:t>
      </w:r>
      <w:r w:rsidR="006848AD">
        <w:rPr>
          <w:rFonts w:ascii="Times New Roman" w:hAnsi="Times New Roman" w:cs="Times New Roman"/>
          <w:szCs w:val="24"/>
        </w:rPr>
        <w:t xml:space="preserve"> republiky</w:t>
      </w:r>
      <w:r w:rsidR="00D223C6">
        <w:rPr>
          <w:rFonts w:ascii="Times New Roman" w:hAnsi="Times New Roman" w:cs="Times New Roman"/>
          <w:szCs w:val="24"/>
        </w:rPr>
        <w:t xml:space="preserve">, za predpokladu, že ho na to splnomocní vláda Slovenskej republiky. </w:t>
      </w:r>
    </w:p>
    <w:p w:rsidR="006848AD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9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D76DE">
        <w:rPr>
          <w:rFonts w:ascii="Times New Roman" w:hAnsi="Times New Roman" w:cs="Times New Roman"/>
          <w:szCs w:val="24"/>
        </w:rPr>
        <w:t>Navrhuje sa</w:t>
      </w:r>
      <w:r>
        <w:rPr>
          <w:rFonts w:ascii="Times New Roman" w:hAnsi="Times New Roman" w:cs="Times New Roman"/>
          <w:szCs w:val="24"/>
        </w:rPr>
        <w:t xml:space="preserve">, </w:t>
      </w:r>
      <w:r w:rsidRPr="00BD76DE">
        <w:rPr>
          <w:rFonts w:ascii="Times New Roman" w:hAnsi="Times New Roman" w:cs="Times New Roman"/>
          <w:szCs w:val="24"/>
        </w:rPr>
        <w:t xml:space="preserve">aby </w:t>
      </w:r>
      <w:r>
        <w:rPr>
          <w:rFonts w:ascii="Times New Roman" w:hAnsi="Times New Roman" w:cs="Times New Roman"/>
          <w:szCs w:val="24"/>
        </w:rPr>
        <w:t>rozpis schváleného počtu príslušníkov v štátnej službe v členení podľa funkcií v nadväznosti na organizačnú štruktúru služobných úradov schvaľoval minister.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225AAF">
        <w:rPr>
          <w:rFonts w:ascii="Times New Roman" w:hAnsi="Times New Roman" w:cs="Times New Roman"/>
          <w:b/>
          <w:szCs w:val="24"/>
        </w:rPr>
        <w:t>K bod</w:t>
      </w:r>
      <w:r>
        <w:rPr>
          <w:rFonts w:ascii="Times New Roman" w:hAnsi="Times New Roman" w:cs="Times New Roman"/>
          <w:b/>
          <w:szCs w:val="24"/>
        </w:rPr>
        <w:t>om</w:t>
      </w:r>
      <w:r w:rsidRPr="00225AA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10</w:t>
      </w:r>
    </w:p>
    <w:p w:rsidR="009A6DA7" w:rsidRPr="00225AAF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25AAF">
        <w:rPr>
          <w:rFonts w:ascii="Times New Roman" w:hAnsi="Times New Roman" w:cs="Times New Roman"/>
          <w:szCs w:val="24"/>
        </w:rPr>
        <w:t>Zmena</w:t>
      </w:r>
      <w:r>
        <w:rPr>
          <w:rFonts w:ascii="Times New Roman" w:hAnsi="Times New Roman" w:cs="Times New Roman"/>
          <w:szCs w:val="24"/>
        </w:rPr>
        <w:t xml:space="preserve"> tohto ustanovenia sa navrhuje vzhľadom na nové znenie § 20, ktorým sa v záujme spružnenia prijímania uchádzačov o vykonávanie štátnej služby nahradzuje výberové konanie prijímacím konaním.</w:t>
      </w:r>
    </w:p>
    <w:p w:rsidR="009A6DA7" w:rsidRPr="00225AAF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 bodu 11, 17, 41, 43, </w:t>
      </w:r>
      <w:smartTag w:uri="urn:schemas-microsoft-com:office:smarttags" w:element="metricconverter">
        <w:smartTagPr>
          <w:attr w:name="ProductID" w:val="75 a"/>
        </w:smartTagPr>
        <w:r>
          <w:rPr>
            <w:rFonts w:ascii="Times New Roman" w:hAnsi="Times New Roman" w:cs="Times New Roman"/>
            <w:b/>
            <w:szCs w:val="24"/>
          </w:rPr>
          <w:t>75 a</w:t>
        </w:r>
      </w:smartTag>
      <w:r>
        <w:rPr>
          <w:rFonts w:ascii="Times New Roman" w:hAnsi="Times New Roman" w:cs="Times New Roman"/>
          <w:b/>
          <w:szCs w:val="24"/>
        </w:rPr>
        <w:t xml:space="preserve"> 89</w:t>
      </w:r>
    </w:p>
    <w:p w:rsidR="009A6DA7" w:rsidRPr="00A37DDD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37DDD">
        <w:rPr>
          <w:rFonts w:ascii="Times New Roman" w:hAnsi="Times New Roman" w:cs="Times New Roman"/>
          <w:szCs w:val="24"/>
        </w:rPr>
        <w:t xml:space="preserve">Vzhľadom na </w:t>
      </w:r>
      <w:r>
        <w:rPr>
          <w:rFonts w:ascii="Times New Roman" w:hAnsi="Times New Roman" w:cs="Times New Roman"/>
          <w:szCs w:val="24"/>
        </w:rPr>
        <w:t xml:space="preserve">vstup Slovenskej republiky do schengenského priestoru a odstráneniu kontrol na vnútorných hraniciach sa stáva podmienka trvalého pobytu na území Slovenskej republiky nepotrebná. </w:t>
      </w:r>
    </w:p>
    <w:p w:rsidR="009A6DA7" w:rsidRPr="00225AAF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K bod</w:t>
      </w:r>
      <w:r>
        <w:rPr>
          <w:rFonts w:ascii="Times New Roman" w:hAnsi="Times New Roman" w:cs="Times New Roman"/>
          <w:b/>
          <w:szCs w:val="24"/>
        </w:rPr>
        <w:t>u</w:t>
      </w:r>
      <w:r w:rsidRPr="0032771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12 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Ide o väzbové ustanovenie, ktorým sa reaguje na nové znenie § 20.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570940">
        <w:rPr>
          <w:rFonts w:ascii="Times New Roman" w:hAnsi="Times New Roman" w:cs="Times New Roman"/>
          <w:b/>
          <w:szCs w:val="24"/>
        </w:rPr>
        <w:t>K bodu 1</w:t>
      </w:r>
      <w:r>
        <w:rPr>
          <w:rFonts w:ascii="Times New Roman" w:hAnsi="Times New Roman" w:cs="Times New Roman"/>
          <w:b/>
          <w:szCs w:val="24"/>
        </w:rPr>
        <w:t>3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1261D">
        <w:rPr>
          <w:rFonts w:ascii="Times New Roman" w:hAnsi="Times New Roman" w:cs="Times New Roman"/>
          <w:szCs w:val="24"/>
        </w:rPr>
        <w:t>Explicitne sa vymenovávajú osobné údaje, ktoré je služobný úrad oprávnený spracúvať</w:t>
      </w:r>
      <w:r>
        <w:rPr>
          <w:rFonts w:ascii="Times New Roman" w:hAnsi="Times New Roman" w:cs="Times New Roman"/>
          <w:szCs w:val="24"/>
        </w:rPr>
        <w:t xml:space="preserve"> a uchovávať </w:t>
      </w:r>
      <w:r w:rsidRPr="00D1261D">
        <w:rPr>
          <w:rFonts w:ascii="Times New Roman" w:hAnsi="Times New Roman" w:cs="Times New Roman"/>
          <w:szCs w:val="24"/>
        </w:rPr>
        <w:t xml:space="preserve">na účely zákona tak, ako to vyžaduje zákon o ochrane osobných údajov 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D1261D">
        <w:rPr>
          <w:rFonts w:ascii="Times New Roman" w:hAnsi="Times New Roman" w:cs="Times New Roman"/>
          <w:b/>
          <w:szCs w:val="24"/>
        </w:rPr>
        <w:t>K bodu 14</w:t>
      </w:r>
    </w:p>
    <w:p w:rsidR="009A6DA7" w:rsidP="009A6DA7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Ide o zosúladenie so zákonom č. 245/2008 Z. z. </w:t>
      </w:r>
      <w:r w:rsidRPr="00AA5972">
        <w:rPr>
          <w:rFonts w:ascii="Times New Roman" w:hAnsi="Times New Roman" w:cs="Times New Roman"/>
          <w:szCs w:val="24"/>
        </w:rPr>
        <w:t>o výchove a vzdelávaní (školský zákon) a o zmene a doplnení niektorých zákonov</w:t>
      </w:r>
      <w:r>
        <w:rPr>
          <w:rFonts w:ascii="Times New Roman" w:hAnsi="Times New Roman" w:cs="Times New Roman"/>
          <w:szCs w:val="24"/>
        </w:rPr>
        <w:t>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D1261D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D1261D">
        <w:rPr>
          <w:rFonts w:ascii="Times New Roman" w:hAnsi="Times New Roman" w:cs="Times New Roman"/>
          <w:b/>
          <w:szCs w:val="24"/>
        </w:rPr>
        <w:t>K bodu 15</w:t>
      </w:r>
    </w:p>
    <w:p w:rsidR="009A6DA7" w:rsidP="009A6DA7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7F1C3E">
        <w:rPr>
          <w:rFonts w:ascii="Times New Roman" w:hAnsi="Times New Roman" w:cs="Times New Roman"/>
          <w:szCs w:val="24"/>
        </w:rPr>
        <w:t>Z</w:t>
      </w:r>
      <w:r w:rsidRPr="00624B8D">
        <w:rPr>
          <w:rFonts w:ascii="Times New Roman" w:hAnsi="Times New Roman" w:cs="Times New Roman"/>
          <w:szCs w:val="24"/>
        </w:rPr>
        <w:t>menou znenia § 20</w:t>
      </w:r>
      <w:r>
        <w:rPr>
          <w:rFonts w:ascii="Times New Roman" w:hAnsi="Times New Roman" w:cs="Times New Roman"/>
          <w:szCs w:val="24"/>
        </w:rPr>
        <w:t xml:space="preserve"> sa navrhuje zefektívnenie prij</w:t>
      </w:r>
      <w:r w:rsidR="00D223C6">
        <w:rPr>
          <w:rFonts w:ascii="Times New Roman" w:hAnsi="Times New Roman" w:cs="Times New Roman"/>
          <w:szCs w:val="24"/>
        </w:rPr>
        <w:t>ímania</w:t>
      </w:r>
      <w:r>
        <w:rPr>
          <w:rFonts w:ascii="Times New Roman" w:hAnsi="Times New Roman" w:cs="Times New Roman"/>
          <w:szCs w:val="24"/>
        </w:rPr>
        <w:t xml:space="preserve"> uchádzačov do služobného pomeru. Vychádzalo sa pri tom z úpravy prijímacieho konania uchádzačov o prijatie do iných zložiek, ktoré sú v služobnom pomere (napr. príslušníkov Policajného zboru).</w:t>
      </w:r>
    </w:p>
    <w:p w:rsidR="009A6DA7" w:rsidP="009A6DA7">
      <w:pPr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Splnomocňovacie ustanovenie na vydanie všeobecne záväzného právneho predpisu upravujúceho p</w:t>
      </w:r>
      <w:r w:rsidRPr="00595FD3">
        <w:rPr>
          <w:rFonts w:ascii="Times New Roman" w:hAnsi="Times New Roman" w:cs="Times New Roman"/>
          <w:szCs w:val="24"/>
        </w:rPr>
        <w:t>odrobnosti o prijímacom konaní a o výberovom konaní</w:t>
      </w:r>
      <w:r>
        <w:rPr>
          <w:rFonts w:ascii="Times New Roman" w:hAnsi="Times New Roman" w:cs="Times New Roman"/>
          <w:szCs w:val="24"/>
        </w:rPr>
        <w:t xml:space="preserve">, ktoré je v § 17 ods. 7 platného zákona, sa po zmene znenia tohto ustanovenia premiestňuje do § 20 ods. 10 návrhu zákona a jeho rozsah sa prispôsobuje novému zneniu tohto ustanovenia; vykonávací predpis sa bude vzťahovať už len na prijímacie konanie [v súčasnosti je to </w:t>
      </w:r>
      <w:r w:rsidRPr="00C52789">
        <w:rPr>
          <w:rFonts w:ascii="Times New Roman" w:hAnsi="Times New Roman" w:cs="Times New Roman"/>
          <w:szCs w:val="24"/>
        </w:rPr>
        <w:t>výnos z 24. apríla 2006 č.</w:t>
      </w:r>
      <w:r>
        <w:rPr>
          <w:rFonts w:ascii="Times New Roman" w:hAnsi="Times New Roman" w:cs="Times New Roman"/>
          <w:szCs w:val="24"/>
        </w:rPr>
        <w:t> </w:t>
      </w:r>
      <w:r w:rsidRPr="00C52789">
        <w:rPr>
          <w:rFonts w:ascii="Times New Roman" w:hAnsi="Times New Roman" w:cs="Times New Roman"/>
          <w:szCs w:val="24"/>
        </w:rPr>
        <w:t>p.: PHZ-255/KP-2006 o podrobnostiach o výberovom konaní, prijímacom konaní a</w:t>
      </w:r>
      <w:r>
        <w:rPr>
          <w:rFonts w:ascii="Times New Roman" w:hAnsi="Times New Roman" w:cs="Times New Roman"/>
          <w:szCs w:val="24"/>
        </w:rPr>
        <w:t> </w:t>
      </w:r>
      <w:r w:rsidRPr="00C52789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 </w:t>
      </w:r>
      <w:r w:rsidRPr="00C52789">
        <w:rPr>
          <w:rFonts w:ascii="Times New Roman" w:hAnsi="Times New Roman" w:cs="Times New Roman"/>
          <w:szCs w:val="24"/>
        </w:rPr>
        <w:t>rekondičnom pobyte v Hasičskom a záchrannom zbore</w:t>
      </w:r>
      <w:r>
        <w:rPr>
          <w:rFonts w:ascii="Times New Roman" w:hAnsi="Times New Roman" w:cs="Times New Roman"/>
          <w:szCs w:val="24"/>
        </w:rPr>
        <w:t xml:space="preserve"> (oznámenie č. 243/2006 Z. z.) v znení výnosu </w:t>
      </w:r>
      <w:r w:rsidRPr="00CB31EC">
        <w:rPr>
          <w:rFonts w:ascii="Times New Roman" w:hAnsi="Times New Roman" w:cs="Times New Roman"/>
          <w:szCs w:val="24"/>
        </w:rPr>
        <w:t>zo 14. marca 2008 č. p.: PHZ-157/2008</w:t>
      </w:r>
      <w:r>
        <w:rPr>
          <w:rFonts w:ascii="Times New Roman" w:hAnsi="Times New Roman" w:cs="Times New Roman"/>
          <w:szCs w:val="24"/>
        </w:rPr>
        <w:t xml:space="preserve"> (oznámenie č. 95/2008 Z. z.)].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570940">
        <w:rPr>
          <w:rFonts w:ascii="Times New Roman" w:hAnsi="Times New Roman" w:cs="Times New Roman"/>
          <w:b/>
          <w:szCs w:val="24"/>
        </w:rPr>
        <w:t>K bodu 1</w:t>
      </w:r>
      <w:r>
        <w:rPr>
          <w:rFonts w:ascii="Times New Roman" w:hAnsi="Times New Roman" w:cs="Times New Roman"/>
          <w:b/>
          <w:szCs w:val="24"/>
        </w:rPr>
        <w:t>6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Navrhovaná úprava vychádza z toho, že nebude vždy možné obsadiť voľné miesto príslušníkom </w:t>
      </w:r>
      <w:r w:rsidR="00D223C6">
        <w:rPr>
          <w:rFonts w:ascii="Times New Roman" w:hAnsi="Times New Roman" w:cs="Times New Roman"/>
          <w:szCs w:val="24"/>
        </w:rPr>
        <w:t xml:space="preserve">zaradeným </w:t>
      </w:r>
      <w:r>
        <w:rPr>
          <w:rFonts w:ascii="Times New Roman" w:hAnsi="Times New Roman" w:cs="Times New Roman"/>
          <w:szCs w:val="24"/>
        </w:rPr>
        <w:t xml:space="preserve">mimo činnej štátnej služby. 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A6DA7" w:rsidRPr="00FF5EC5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18</w:t>
      </w:r>
    </w:p>
    <w:p w:rsidR="009A6DA7" w:rsidRPr="00FF5EC5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24B8D">
        <w:rPr>
          <w:rFonts w:ascii="Times New Roman" w:hAnsi="Times New Roman" w:cs="Times New Roman"/>
          <w:szCs w:val="24"/>
        </w:rPr>
        <w:t>Do zákona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FC6B64">
        <w:rPr>
          <w:rFonts w:ascii="Times New Roman" w:hAnsi="Times New Roman" w:cs="Times New Roman"/>
          <w:szCs w:val="24"/>
        </w:rPr>
        <w:t>sa navrhuje</w:t>
      </w:r>
      <w:r w:rsidRPr="00624B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zaradiť</w:t>
      </w:r>
      <w:r w:rsidRPr="00624B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aj príslušníkov Horskej záchrannej služby, ktorí vykonávajú podporné činnosti pre záchranársku činnosť.</w:t>
      </w:r>
    </w:p>
    <w:p w:rsidR="005C35BE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AE0A3E">
        <w:rPr>
          <w:rFonts w:ascii="Times New Roman" w:hAnsi="Times New Roman" w:cs="Times New Roman"/>
          <w:b/>
          <w:szCs w:val="24"/>
        </w:rPr>
        <w:t>K bodu 1</w:t>
      </w:r>
      <w:r>
        <w:rPr>
          <w:rFonts w:ascii="Times New Roman" w:hAnsi="Times New Roman" w:cs="Times New Roman"/>
          <w:b/>
          <w:szCs w:val="24"/>
        </w:rPr>
        <w:t>9</w:t>
      </w:r>
    </w:p>
    <w:p w:rsidR="009A6DA7" w:rsidRPr="00B748BD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Úprava je odôvodnená potrebou </w:t>
      </w:r>
      <w:r w:rsidRPr="00B748BD">
        <w:rPr>
          <w:rFonts w:ascii="Times New Roman" w:hAnsi="Times New Roman" w:cs="Times New Roman"/>
          <w:szCs w:val="24"/>
        </w:rPr>
        <w:t>vykonávan</w:t>
      </w:r>
      <w:r>
        <w:rPr>
          <w:rFonts w:ascii="Times New Roman" w:hAnsi="Times New Roman" w:cs="Times New Roman"/>
          <w:szCs w:val="24"/>
        </w:rPr>
        <w:t xml:space="preserve">ia náročnejších činností príslušníkov Hasičského a záchranného zboru na </w:t>
      </w:r>
      <w:r w:rsidR="00D223C6">
        <w:rPr>
          <w:rFonts w:ascii="Times New Roman" w:hAnsi="Times New Roman" w:cs="Times New Roman"/>
          <w:szCs w:val="24"/>
        </w:rPr>
        <w:t xml:space="preserve">okresných a </w:t>
      </w:r>
      <w:r>
        <w:rPr>
          <w:rFonts w:ascii="Times New Roman" w:hAnsi="Times New Roman" w:cs="Times New Roman"/>
          <w:szCs w:val="24"/>
        </w:rPr>
        <w:t xml:space="preserve">krajských riaditeľstvách Hasičského a záchranného zboru. </w:t>
      </w:r>
    </w:p>
    <w:p w:rsidR="009A6DA7" w:rsidRPr="00E17615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20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C940B9">
        <w:rPr>
          <w:rFonts w:ascii="Times New Roman" w:hAnsi="Times New Roman" w:cs="Times New Roman"/>
          <w:szCs w:val="24"/>
        </w:rPr>
        <w:t>Zmena bola vykonaná v nadväznosti na novo</w:t>
      </w:r>
      <w:r>
        <w:rPr>
          <w:rFonts w:ascii="Times New Roman" w:hAnsi="Times New Roman" w:cs="Times New Roman"/>
          <w:szCs w:val="24"/>
        </w:rPr>
        <w:t xml:space="preserve"> </w:t>
      </w:r>
      <w:r w:rsidRPr="00C940B9">
        <w:rPr>
          <w:rFonts w:ascii="Times New Roman" w:hAnsi="Times New Roman" w:cs="Times New Roman"/>
          <w:szCs w:val="24"/>
        </w:rPr>
        <w:t>navrhovanú úpravu § 97</w:t>
      </w:r>
      <w:r>
        <w:rPr>
          <w:rFonts w:ascii="Times New Roman" w:hAnsi="Times New Roman" w:cs="Times New Roman"/>
          <w:szCs w:val="24"/>
        </w:rPr>
        <w:t>.</w:t>
      </w:r>
    </w:p>
    <w:p w:rsidR="005C35BE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RPr="00C940B9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21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Väzba na nové znenie § </w:t>
      </w:r>
      <w:smartTag w:uri="urn:schemas-microsoft-com:office:smarttags" w:element="metricconverter">
        <w:smartTagPr>
          <w:attr w:name="ProductID" w:val="20 a"/>
        </w:smartTagPr>
        <w:r>
          <w:rPr>
            <w:rFonts w:ascii="Times New Roman" w:hAnsi="Times New Roman" w:cs="Times New Roman"/>
            <w:szCs w:val="24"/>
          </w:rPr>
          <w:t>20 a</w:t>
        </w:r>
      </w:smartTag>
      <w:r>
        <w:rPr>
          <w:rFonts w:ascii="Times New Roman" w:hAnsi="Times New Roman" w:cs="Times New Roman"/>
          <w:szCs w:val="24"/>
        </w:rPr>
        <w:t xml:space="preserve"> reakcia na profesionalizáciu</w:t>
      </w:r>
      <w:r w:rsidRPr="00327718">
        <w:rPr>
          <w:rFonts w:ascii="Times New Roman" w:hAnsi="Times New Roman" w:cs="Times New Roman"/>
          <w:szCs w:val="24"/>
        </w:rPr>
        <w:t xml:space="preserve"> ozbrojených síl Slovenskej republiky; výkon základnej služby, civilnej služby a náhradnej služby bol zrušený.</w:t>
      </w:r>
    </w:p>
    <w:p w:rsidR="009A6DA7" w:rsidRPr="00327718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22</w:t>
      </w:r>
    </w:p>
    <w:p w:rsidR="009A6DA7" w:rsidRPr="00FC6B64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C6B64">
        <w:rPr>
          <w:rFonts w:ascii="Times New Roman" w:hAnsi="Times New Roman" w:cs="Times New Roman"/>
          <w:szCs w:val="24"/>
        </w:rPr>
        <w:t xml:space="preserve">Zmena súvisí so zavedením legislatívnej skratky. </w:t>
      </w:r>
    </w:p>
    <w:p w:rsidR="009A6DA7" w:rsidRPr="00E17615" w:rsidP="009A6DA7">
      <w:pPr>
        <w:jc w:val="both"/>
        <w:rPr>
          <w:rFonts w:ascii="Times New Roman" w:hAnsi="Times New Roman" w:cs="Times New Roman"/>
          <w:szCs w:val="24"/>
        </w:rPr>
      </w:pPr>
      <w:r w:rsidRPr="00E17615">
        <w:rPr>
          <w:rFonts w:ascii="Times New Roman" w:hAnsi="Times New Roman" w:cs="Times New Roman"/>
          <w:szCs w:val="24"/>
        </w:rPr>
        <w:t xml:space="preserve"> </w:t>
      </w: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23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Ide o zmenu v nadväznosti na body 2 a 3.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FC6B64">
        <w:rPr>
          <w:rFonts w:ascii="Times New Roman" w:hAnsi="Times New Roman" w:cs="Times New Roman"/>
          <w:b/>
          <w:szCs w:val="24"/>
        </w:rPr>
        <w:t>K bod</w:t>
      </w:r>
      <w:r>
        <w:rPr>
          <w:rFonts w:ascii="Times New Roman" w:hAnsi="Times New Roman" w:cs="Times New Roman"/>
          <w:b/>
          <w:szCs w:val="24"/>
        </w:rPr>
        <w:t>om</w:t>
      </w:r>
      <w:r w:rsidRPr="00FC6B64">
        <w:rPr>
          <w:rFonts w:ascii="Times New Roman" w:hAnsi="Times New Roman" w:cs="Times New Roman"/>
          <w:b/>
          <w:szCs w:val="24"/>
        </w:rPr>
        <w:t xml:space="preserve"> 24</w:t>
      </w:r>
      <w:r>
        <w:rPr>
          <w:rFonts w:ascii="Times New Roman" w:hAnsi="Times New Roman" w:cs="Times New Roman"/>
          <w:b/>
          <w:szCs w:val="24"/>
        </w:rPr>
        <w:t xml:space="preserve"> až 28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Úprava priznávania hodností sa navrhuje v nadväznosti na kvalifikačné predpoklady, ktoré sú ustanovené pre jednotlivé platové triedy. </w:t>
      </w:r>
    </w:p>
    <w:p w:rsidR="009A6DA7" w:rsidRPr="00E17615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29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Navrhovaným ustanovením sa odstraňujú nerovnosti medzi tými, ktorí sú pri</w:t>
      </w:r>
      <w:r>
        <w:rPr>
          <w:rFonts w:ascii="Times New Roman" w:hAnsi="Times New Roman" w:cs="Times New Roman"/>
          <w:szCs w:val="24"/>
        </w:rPr>
        <w:t> </w:t>
      </w:r>
      <w:r w:rsidRPr="00327718">
        <w:rPr>
          <w:rFonts w:ascii="Times New Roman" w:hAnsi="Times New Roman" w:cs="Times New Roman"/>
          <w:szCs w:val="24"/>
        </w:rPr>
        <w:t>vymenovaní do funkcie hneď aj vymenovaní do</w:t>
      </w:r>
      <w:r>
        <w:rPr>
          <w:rFonts w:ascii="Times New Roman" w:hAnsi="Times New Roman" w:cs="Times New Roman"/>
          <w:szCs w:val="24"/>
        </w:rPr>
        <w:t xml:space="preserve"> prvej dôstojníckej</w:t>
      </w:r>
      <w:r w:rsidRPr="00327718">
        <w:rPr>
          <w:rFonts w:ascii="Times New Roman" w:hAnsi="Times New Roman" w:cs="Times New Roman"/>
          <w:szCs w:val="24"/>
        </w:rPr>
        <w:t xml:space="preserve"> hodnosti a tými, ktorí si </w:t>
      </w:r>
      <w:r>
        <w:rPr>
          <w:rFonts w:ascii="Times New Roman" w:hAnsi="Times New Roman" w:cs="Times New Roman"/>
          <w:szCs w:val="24"/>
        </w:rPr>
        <w:t xml:space="preserve">až následne </w:t>
      </w:r>
      <w:r w:rsidRPr="00327718">
        <w:rPr>
          <w:rFonts w:ascii="Times New Roman" w:hAnsi="Times New Roman" w:cs="Times New Roman"/>
          <w:szCs w:val="24"/>
        </w:rPr>
        <w:t>zvýšia stupeň vzdelania a mali by byť pov</w:t>
      </w:r>
      <w:r>
        <w:rPr>
          <w:rFonts w:ascii="Times New Roman" w:hAnsi="Times New Roman" w:cs="Times New Roman"/>
          <w:szCs w:val="24"/>
        </w:rPr>
        <w:t>yšovaní výsluhou rokov</w:t>
      </w:r>
      <w:r w:rsidRPr="00327718">
        <w:rPr>
          <w:rFonts w:ascii="Times New Roman" w:hAnsi="Times New Roman" w:cs="Times New Roman"/>
          <w:szCs w:val="24"/>
        </w:rPr>
        <w:t xml:space="preserve">. </w:t>
      </w:r>
    </w:p>
    <w:p w:rsidR="009A6DA7" w:rsidRPr="00E17615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30</w:t>
      </w:r>
      <w:r w:rsidRPr="00327718">
        <w:rPr>
          <w:rFonts w:ascii="Times New Roman" w:hAnsi="Times New Roman" w:cs="Times New Roman"/>
          <w:b/>
          <w:szCs w:val="24"/>
        </w:rPr>
        <w:t xml:space="preserve"> 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</w:t>
      </w:r>
      <w:r w:rsidRPr="00327718">
        <w:rPr>
          <w:rFonts w:ascii="Times New Roman" w:hAnsi="Times New Roman" w:cs="Times New Roman"/>
          <w:szCs w:val="24"/>
        </w:rPr>
        <w:t xml:space="preserve">prava </w:t>
      </w:r>
      <w:r>
        <w:rPr>
          <w:rFonts w:ascii="Times New Roman" w:hAnsi="Times New Roman" w:cs="Times New Roman"/>
          <w:szCs w:val="24"/>
        </w:rPr>
        <w:t>platného ustanovenia má zabrániť tomu, aby</w:t>
      </w:r>
      <w:r w:rsidRPr="00327718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príslušník </w:t>
      </w:r>
      <w:r w:rsidR="00D223C6">
        <w:rPr>
          <w:rFonts w:ascii="Times New Roman" w:hAnsi="Times New Roman" w:cs="Times New Roman"/>
          <w:szCs w:val="24"/>
        </w:rPr>
        <w:t xml:space="preserve">Hasičského a záchranného zboru </w:t>
      </w:r>
      <w:r>
        <w:rPr>
          <w:rFonts w:ascii="Times New Roman" w:hAnsi="Times New Roman" w:cs="Times New Roman"/>
          <w:szCs w:val="24"/>
        </w:rPr>
        <w:t>absolvoval špecializovanú prípravu a následne aby sa v služobnom hodnotení konštatovalo, že tento</w:t>
      </w:r>
      <w:r w:rsidRPr="00327718">
        <w:rPr>
          <w:rFonts w:ascii="Times New Roman" w:hAnsi="Times New Roman" w:cs="Times New Roman"/>
          <w:szCs w:val="24"/>
        </w:rPr>
        <w:t xml:space="preserve"> príslušník nie je spôsobilý na vymenovanie do stálej štátnej služby.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31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 xml:space="preserve">Navrhované znenie presnejšie upravuje ustanovenie týkajúce sa záveru služobného hodnotenia, ak ide o nadriadeného.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32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Navrhované ustanovenie umožňuje, aby mohol príslušník vykonávať služobné činnosti nielen v organizačných zložkách zboru, ale aj na iných útvaroch Ministerstva vnútra Slovenskej republiky alebo</w:t>
      </w:r>
      <w:r>
        <w:rPr>
          <w:rFonts w:ascii="Times New Roman" w:hAnsi="Times New Roman" w:cs="Times New Roman"/>
          <w:szCs w:val="24"/>
        </w:rPr>
        <w:t> v </w:t>
      </w:r>
      <w:r w:rsidRPr="00327718">
        <w:rPr>
          <w:rFonts w:ascii="Times New Roman" w:hAnsi="Times New Roman" w:cs="Times New Roman"/>
          <w:szCs w:val="24"/>
        </w:rPr>
        <w:t>iných štátnych orgánoch</w:t>
      </w:r>
      <w:r w:rsidR="00D223C6">
        <w:rPr>
          <w:rFonts w:ascii="Times New Roman" w:hAnsi="Times New Roman" w:cs="Times New Roman"/>
          <w:szCs w:val="24"/>
        </w:rPr>
        <w:t>, ak bude plniť úlohy pre zbor.</w:t>
      </w:r>
    </w:p>
    <w:p w:rsidR="009A6DA7" w:rsidRPr="00327718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33</w:t>
      </w:r>
    </w:p>
    <w:p w:rsidR="009A6DA7" w:rsidRPr="00CB1666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CB1666">
        <w:rPr>
          <w:rFonts w:ascii="Times New Roman" w:hAnsi="Times New Roman" w:cs="Times New Roman"/>
          <w:szCs w:val="24"/>
        </w:rPr>
        <w:t xml:space="preserve">Navrhovaná zmena </w:t>
      </w:r>
      <w:r>
        <w:rPr>
          <w:rFonts w:ascii="Times New Roman" w:hAnsi="Times New Roman" w:cs="Times New Roman"/>
          <w:szCs w:val="24"/>
        </w:rPr>
        <w:t xml:space="preserve">bola vykonaná v súvislosti so zmenou znenia </w:t>
      </w:r>
      <w:r w:rsidRPr="00CB1666">
        <w:rPr>
          <w:rFonts w:ascii="Times New Roman" w:hAnsi="Times New Roman" w:cs="Times New Roman"/>
          <w:szCs w:val="24"/>
        </w:rPr>
        <w:t xml:space="preserve">§ 47 ods. 1. </w:t>
      </w:r>
    </w:p>
    <w:p w:rsidR="009A6DA7" w:rsidRPr="00E17615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 bodom </w:t>
      </w:r>
      <w:smartTag w:uri="urn:schemas-microsoft-com:office:smarttags" w:element="metricconverter">
        <w:smartTagPr>
          <w:attr w:name="ProductID" w:val="34 a"/>
        </w:smartTagPr>
        <w:r>
          <w:rPr>
            <w:rFonts w:ascii="Times New Roman" w:hAnsi="Times New Roman" w:cs="Times New Roman"/>
            <w:b/>
            <w:szCs w:val="24"/>
          </w:rPr>
          <w:t>34 a</w:t>
        </w:r>
      </w:smartTag>
      <w:r>
        <w:rPr>
          <w:rFonts w:ascii="Times New Roman" w:hAnsi="Times New Roman" w:cs="Times New Roman"/>
          <w:b/>
          <w:szCs w:val="24"/>
        </w:rPr>
        <w:t xml:space="preserve"> 35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25AAF">
        <w:rPr>
          <w:rFonts w:ascii="Times New Roman" w:hAnsi="Times New Roman" w:cs="Times New Roman"/>
          <w:szCs w:val="24"/>
        </w:rPr>
        <w:t>Zmena</w:t>
      </w:r>
      <w:r>
        <w:rPr>
          <w:rFonts w:ascii="Times New Roman" w:hAnsi="Times New Roman" w:cs="Times New Roman"/>
          <w:szCs w:val="24"/>
        </w:rPr>
        <w:t xml:space="preserve"> tohto ustanovenia sa navrhuje vzhľadom na novú úpravu prijímacieho konania. </w:t>
      </w:r>
    </w:p>
    <w:p w:rsidR="005C35BE" w:rsidRPr="00D223C6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36 a 37</w:t>
      </w:r>
    </w:p>
    <w:p w:rsidR="009A6DA7" w:rsidRPr="001701E6" w:rsidP="009A6DA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Navrhované zmeny vyplývajú zo skutočnosti, že Hasičský a záchranný útvar hlavného mesta Slovenskej republiky má postavenie ako krajské riaditeľstvo Hasičského a záchranného zboru. </w:t>
      </w:r>
    </w:p>
    <w:p w:rsidR="009A6DA7" w:rsidRPr="00E85488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38</w:t>
      </w:r>
    </w:p>
    <w:p w:rsidR="009A6DA7" w:rsidRPr="007E30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E3018">
        <w:rPr>
          <w:rFonts w:ascii="Times New Roman" w:hAnsi="Times New Roman" w:cs="Times New Roman"/>
          <w:szCs w:val="24"/>
        </w:rPr>
        <w:t xml:space="preserve">Navrhuje sa, aby </w:t>
      </w:r>
      <w:r>
        <w:rPr>
          <w:rFonts w:ascii="Times New Roman" w:hAnsi="Times New Roman" w:cs="Times New Roman"/>
          <w:szCs w:val="24"/>
        </w:rPr>
        <w:t xml:space="preserve">príslušník </w:t>
      </w:r>
      <w:r w:rsidRPr="007E3018">
        <w:rPr>
          <w:rFonts w:ascii="Times New Roman" w:hAnsi="Times New Roman" w:cs="Times New Roman"/>
          <w:szCs w:val="24"/>
        </w:rPr>
        <w:t xml:space="preserve">mohol zastupovať </w:t>
      </w:r>
      <w:r>
        <w:rPr>
          <w:rFonts w:ascii="Times New Roman" w:hAnsi="Times New Roman" w:cs="Times New Roman"/>
          <w:szCs w:val="24"/>
        </w:rPr>
        <w:t>príslušníka už zastupujúceho neprítomného nadriadeného</w:t>
      </w:r>
      <w:r w:rsidRPr="007E301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ak tento zastupujúci príslušník</w:t>
      </w:r>
      <w:r w:rsidRPr="007E3018">
        <w:rPr>
          <w:rFonts w:ascii="Times New Roman" w:hAnsi="Times New Roman" w:cs="Times New Roman"/>
          <w:szCs w:val="24"/>
        </w:rPr>
        <w:t xml:space="preserve"> bol vymenovaný na</w:t>
      </w:r>
      <w:r>
        <w:rPr>
          <w:rFonts w:ascii="Times New Roman" w:hAnsi="Times New Roman" w:cs="Times New Roman"/>
          <w:szCs w:val="24"/>
        </w:rPr>
        <w:t> </w:t>
      </w:r>
      <w:r w:rsidRPr="007E3018">
        <w:rPr>
          <w:rFonts w:ascii="Times New Roman" w:hAnsi="Times New Roman" w:cs="Times New Roman"/>
          <w:szCs w:val="24"/>
        </w:rPr>
        <w:t>zastupovanie iného nadriadeného</w:t>
      </w:r>
      <w:r>
        <w:rPr>
          <w:rFonts w:ascii="Times New Roman" w:hAnsi="Times New Roman" w:cs="Times New Roman"/>
          <w:szCs w:val="24"/>
        </w:rPr>
        <w:t xml:space="preserve"> na čas dlhší ako tri týždne.</w:t>
      </w:r>
      <w:r w:rsidRPr="007E3018">
        <w:rPr>
          <w:rFonts w:ascii="Times New Roman" w:hAnsi="Times New Roman" w:cs="Times New Roman"/>
          <w:szCs w:val="24"/>
        </w:rPr>
        <w:t xml:space="preserve"> </w:t>
      </w:r>
    </w:p>
    <w:p w:rsidR="009A6DA7" w:rsidRPr="00A45EE4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39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Rozširuje sa kompetencia ministra pri odvolaní nadriadeného.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40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Upresňuje sa okruh povinností príslušníka počas zaradenia mimo činnej štátnej služby.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smartTag w:uri="urn:schemas-microsoft-com:office:smarttags" w:element="metricconverter">
        <w:smartTagPr>
          <w:attr w:name="ProductID" w:val="42 a"/>
        </w:smartTagPr>
        <w:r>
          <w:rPr>
            <w:rFonts w:ascii="Times New Roman" w:hAnsi="Times New Roman" w:cs="Times New Roman"/>
            <w:b/>
            <w:szCs w:val="24"/>
          </w:rPr>
          <w:t>42 a</w:t>
        </w:r>
      </w:smartTag>
      <w:r>
        <w:rPr>
          <w:rFonts w:ascii="Times New Roman" w:hAnsi="Times New Roman" w:cs="Times New Roman"/>
          <w:b/>
          <w:szCs w:val="24"/>
        </w:rPr>
        <w:t xml:space="preserve"> 46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24C89">
        <w:rPr>
          <w:rFonts w:ascii="Times New Roman" w:hAnsi="Times New Roman" w:cs="Times New Roman"/>
          <w:szCs w:val="24"/>
        </w:rPr>
        <w:t xml:space="preserve">Ide o spresnenie odkazu na § 60. </w:t>
      </w:r>
    </w:p>
    <w:p w:rsidR="00D223C6" w:rsidRPr="00E24C89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E24C89">
        <w:rPr>
          <w:rFonts w:ascii="Times New Roman" w:hAnsi="Times New Roman" w:cs="Times New Roman"/>
          <w:b/>
          <w:szCs w:val="24"/>
        </w:rPr>
        <w:t>K bodu 44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24C89">
        <w:rPr>
          <w:rFonts w:ascii="Times New Roman" w:hAnsi="Times New Roman" w:cs="Times New Roman"/>
          <w:szCs w:val="24"/>
        </w:rPr>
        <w:t>Vzhľadom na</w:t>
      </w:r>
      <w:r>
        <w:rPr>
          <w:rFonts w:ascii="Times New Roman" w:hAnsi="Times New Roman" w:cs="Times New Roman"/>
          <w:szCs w:val="24"/>
        </w:rPr>
        <w:t xml:space="preserve"> náročnosť a charakter štátnej služby sa</w:t>
      </w:r>
      <w:r w:rsidR="00D223C6">
        <w:rPr>
          <w:rFonts w:ascii="Times New Roman" w:hAnsi="Times New Roman" w:cs="Times New Roman"/>
          <w:szCs w:val="24"/>
        </w:rPr>
        <w:t xml:space="preserve"> navrhuje</w:t>
      </w:r>
      <w:r>
        <w:rPr>
          <w:rFonts w:ascii="Times New Roman" w:hAnsi="Times New Roman" w:cs="Times New Roman"/>
          <w:szCs w:val="24"/>
        </w:rPr>
        <w:t>, p</w:t>
      </w:r>
      <w:r w:rsidRPr="00E24C89">
        <w:rPr>
          <w:rFonts w:ascii="Times New Roman" w:hAnsi="Times New Roman" w:cs="Times New Roman"/>
          <w:szCs w:val="24"/>
        </w:rPr>
        <w:t>odobne ako je to v prípade príslušníkov Pol</w:t>
      </w:r>
      <w:r>
        <w:rPr>
          <w:rFonts w:ascii="Times New Roman" w:hAnsi="Times New Roman" w:cs="Times New Roman"/>
          <w:szCs w:val="24"/>
        </w:rPr>
        <w:t>icajného zboru, skončenie služobného pomeru po dosiahnutí stanoveného veku za predpokladu, že prís</w:t>
      </w:r>
      <w:r w:rsidR="00D223C6">
        <w:rPr>
          <w:rFonts w:ascii="Times New Roman" w:hAnsi="Times New Roman" w:cs="Times New Roman"/>
          <w:szCs w:val="24"/>
        </w:rPr>
        <w:t>lušník je výsluhovo zabezpečený alebo ak spĺňa podmienky nároku na starobný dôchodok.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E24C89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E24C89">
        <w:rPr>
          <w:rFonts w:ascii="Times New Roman" w:hAnsi="Times New Roman" w:cs="Times New Roman"/>
          <w:b/>
          <w:szCs w:val="24"/>
        </w:rPr>
        <w:t>K bodu 45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Úprava súvisí s neprimeraným zvýhodnením príslušníkov v prípravnej alebo dočasnej štátnej službe pri skončení služobného pomeru z dôvodu zmien v systemizácii.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9F706C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9F706C">
        <w:rPr>
          <w:rFonts w:ascii="Times New Roman" w:hAnsi="Times New Roman" w:cs="Times New Roman"/>
          <w:b/>
          <w:szCs w:val="24"/>
        </w:rPr>
        <w:t>K bodu 47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E24C89">
        <w:rPr>
          <w:rFonts w:ascii="Times New Roman" w:hAnsi="Times New Roman" w:cs="Times New Roman"/>
          <w:szCs w:val="24"/>
        </w:rPr>
        <w:t>avrhovaná</w:t>
      </w:r>
      <w:r w:rsidRPr="00327718">
        <w:rPr>
          <w:rFonts w:ascii="Times New Roman" w:hAnsi="Times New Roman" w:cs="Times New Roman"/>
          <w:szCs w:val="24"/>
        </w:rPr>
        <w:t xml:space="preserve"> úprava bola vykonaná v nadväznosti na prijatie novely zákona č.</w:t>
      </w:r>
      <w:r>
        <w:rPr>
          <w:rFonts w:ascii="Times New Roman" w:hAnsi="Times New Roman" w:cs="Times New Roman"/>
          <w:szCs w:val="24"/>
        </w:rPr>
        <w:t> </w:t>
      </w:r>
      <w:r w:rsidRPr="00327718">
        <w:rPr>
          <w:rFonts w:ascii="Times New Roman" w:hAnsi="Times New Roman" w:cs="Times New Roman"/>
          <w:szCs w:val="24"/>
        </w:rPr>
        <w:t>328/2002 Z. z. o sociálnom zabezpečení policajtov a vojakov v znení neskorších predpisov.</w:t>
      </w:r>
      <w:r w:rsidRPr="00EF6BAE">
        <w:rPr>
          <w:rFonts w:ascii="Times New Roman" w:hAnsi="Times New Roman" w:cs="Times New Roman"/>
          <w:szCs w:val="24"/>
        </w:rPr>
        <w:t xml:space="preserve"> </w:t>
      </w:r>
      <w:r w:rsidRPr="00327718">
        <w:rPr>
          <w:rFonts w:ascii="Times New Roman" w:hAnsi="Times New Roman" w:cs="Times New Roman"/>
          <w:szCs w:val="24"/>
        </w:rPr>
        <w:t>Navrhovaným ustanovením sa dopĺňa povinnosť príslušníka dodržiava</w:t>
      </w:r>
      <w:r>
        <w:rPr>
          <w:rFonts w:ascii="Times New Roman" w:hAnsi="Times New Roman" w:cs="Times New Roman"/>
          <w:szCs w:val="24"/>
        </w:rPr>
        <w:t>ť</w:t>
      </w:r>
      <w:r w:rsidRPr="00327718">
        <w:rPr>
          <w:rFonts w:ascii="Times New Roman" w:hAnsi="Times New Roman" w:cs="Times New Roman"/>
          <w:szCs w:val="24"/>
        </w:rPr>
        <w:t xml:space="preserve"> liečebn</w:t>
      </w:r>
      <w:r>
        <w:rPr>
          <w:rFonts w:ascii="Times New Roman" w:hAnsi="Times New Roman" w:cs="Times New Roman"/>
          <w:szCs w:val="24"/>
        </w:rPr>
        <w:t>ý</w:t>
      </w:r>
      <w:r w:rsidRPr="00327718">
        <w:rPr>
          <w:rFonts w:ascii="Times New Roman" w:hAnsi="Times New Roman" w:cs="Times New Roman"/>
          <w:szCs w:val="24"/>
        </w:rPr>
        <w:t xml:space="preserve"> režim počas dočasnej neschopnosti na vykonávanie štátnej služby, najmä z dôvodu vyplácania náhrady služobného platu príslušníka </w:t>
      </w:r>
      <w:r>
        <w:rPr>
          <w:rFonts w:ascii="Times New Roman" w:hAnsi="Times New Roman" w:cs="Times New Roman"/>
          <w:szCs w:val="24"/>
        </w:rPr>
        <w:t>zboru počas prvých desiatich</w:t>
      </w:r>
      <w:r w:rsidRPr="00327718">
        <w:rPr>
          <w:rFonts w:ascii="Times New Roman" w:hAnsi="Times New Roman" w:cs="Times New Roman"/>
          <w:szCs w:val="24"/>
        </w:rPr>
        <w:t xml:space="preserve"> dní.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9B1D7A">
        <w:rPr>
          <w:rFonts w:ascii="Times New Roman" w:hAnsi="Times New Roman" w:cs="Times New Roman"/>
          <w:b/>
          <w:szCs w:val="24"/>
        </w:rPr>
        <w:t>K bodu 4</w:t>
      </w:r>
      <w:r>
        <w:rPr>
          <w:rFonts w:ascii="Times New Roman" w:hAnsi="Times New Roman" w:cs="Times New Roman"/>
          <w:b/>
          <w:szCs w:val="24"/>
        </w:rPr>
        <w:t>8</w:t>
      </w:r>
    </w:p>
    <w:p w:rsidR="009A6DA7" w:rsidRPr="006C04AF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Novo navrhovaným ustanovením sa vymedzuje, kedy príslušník Hasičského a záchranného zboru môže vykonávať činnosť uvedenú v § 69 ods. 5 písm. e).</w:t>
      </w:r>
      <w:r w:rsidRPr="006C04AF">
        <w:rPr>
          <w:rFonts w:ascii="Times New Roman" w:hAnsi="Times New Roman" w:cs="Times New Roman"/>
          <w:szCs w:val="24"/>
        </w:rPr>
        <w:t xml:space="preserve"> </w:t>
      </w: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49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Predmetnou zmenou sa novo definuje pojem </w:t>
      </w:r>
      <w:r w:rsidR="006E5D39">
        <w:rPr>
          <w:rFonts w:ascii="Times New Roman" w:hAnsi="Times New Roman" w:cs="Times New Roman"/>
          <w:szCs w:val="24"/>
        </w:rPr>
        <w:t>„</w:t>
      </w:r>
      <w:r w:rsidRPr="00327718">
        <w:rPr>
          <w:rFonts w:ascii="Times New Roman" w:hAnsi="Times New Roman" w:cs="Times New Roman"/>
          <w:szCs w:val="24"/>
        </w:rPr>
        <w:t>nerovnomerne rozvrhnutý služobný</w:t>
      </w:r>
      <w:r>
        <w:rPr>
          <w:rFonts w:ascii="Times New Roman" w:hAnsi="Times New Roman" w:cs="Times New Roman"/>
          <w:szCs w:val="24"/>
        </w:rPr>
        <w:t xml:space="preserve"> čas</w:t>
      </w:r>
      <w:r w:rsidR="006E5D39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, ktorý sa navrhuje rozvrhnúť na obdobie štyroch mesiacov oproti súčasnému stavu, ktorý je rozvrhnutý na obdobie celého kalendárneho roka. Rozvrhnutie na štyri mesiace lepšie vystihuje potreby vykonávania služby a zodpovedá aj právu Európskej únie.</w:t>
      </w: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50</w:t>
      </w:r>
      <w:r w:rsidRPr="00327718">
        <w:rPr>
          <w:rFonts w:ascii="Times New Roman" w:hAnsi="Times New Roman" w:cs="Times New Roman"/>
          <w:b/>
          <w:szCs w:val="24"/>
        </w:rPr>
        <w:t xml:space="preserve"> 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Odstraňuje sa duplicita s § 122 ods. 2 zákona, pretože vecne je zmena služobnej pohotovosti na výkon štátnej služby </w:t>
      </w:r>
      <w:r w:rsidR="00D223C6">
        <w:rPr>
          <w:rFonts w:ascii="Times New Roman" w:hAnsi="Times New Roman" w:cs="Times New Roman"/>
          <w:szCs w:val="24"/>
        </w:rPr>
        <w:t xml:space="preserve">nadčas </w:t>
      </w:r>
      <w:r>
        <w:rPr>
          <w:rFonts w:ascii="Times New Roman" w:hAnsi="Times New Roman" w:cs="Times New Roman"/>
          <w:szCs w:val="24"/>
        </w:rPr>
        <w:t xml:space="preserve">explicitne vyjadrená v § 122 ods. </w:t>
      </w:r>
      <w:r w:rsidR="00D223C6">
        <w:rPr>
          <w:rFonts w:ascii="Times New Roman" w:hAnsi="Times New Roman" w:cs="Times New Roman"/>
          <w:szCs w:val="24"/>
        </w:rPr>
        <w:t>3 návrhu zákona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5C35BE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9A6DA7" w:rsidRPr="009B1D7A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9B1D7A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51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Explicitne sa vyjadruje, že štátna služba sa nariaďuje písomne, a ak to nie je možné, po jej ústnom nariadení a vykonaní sa musí o tom bezodkladne urobiť písomný záznam. </w:t>
      </w:r>
    </w:p>
    <w:p w:rsidR="009A6DA7" w:rsidRPr="00882B00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CB2A81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52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Navrhované ustanovenie jednoznačne vymedzuje dva druhy služobnej pohotovosti, počas ktorých je príslušník povinný zdržiavať sa v určenom čase na určenom mieste alebo inak byť dostupný.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B0269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53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CA37B3">
        <w:rPr>
          <w:rFonts w:ascii="Times New Roman" w:hAnsi="Times New Roman" w:cs="Times New Roman"/>
          <w:szCs w:val="24"/>
        </w:rPr>
        <w:t>Novo sa ustanovuje</w:t>
      </w:r>
      <w:r>
        <w:rPr>
          <w:rFonts w:ascii="Times New Roman" w:hAnsi="Times New Roman" w:cs="Times New Roman"/>
          <w:szCs w:val="24"/>
        </w:rPr>
        <w:t>, aby sa služobná pohotovosť</w:t>
      </w:r>
      <w:r w:rsidRPr="00CA37B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príslušníkovi nemohla nariadiť počas čerpania dovolenky.</w:t>
      </w:r>
    </w:p>
    <w:p w:rsidR="00B76BE5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54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Touto úpravou sa dopĺňa ustanovenie</w:t>
      </w:r>
      <w:r w:rsidR="006E5D39">
        <w:rPr>
          <w:rFonts w:ascii="Times New Roman" w:hAnsi="Times New Roman" w:cs="Times New Roman"/>
          <w:szCs w:val="24"/>
        </w:rPr>
        <w:t>,</w:t>
      </w:r>
      <w:r w:rsidRPr="00327718">
        <w:rPr>
          <w:rFonts w:ascii="Times New Roman" w:hAnsi="Times New Roman" w:cs="Times New Roman"/>
          <w:szCs w:val="24"/>
        </w:rPr>
        <w:t xml:space="preserve"> týkajúce sa príslušníka zaradeného mimo činnej štátnej služby, ak sa preukáže, že nebol dôvod na jeho zaradenie mimo činnej štátnej služby.</w:t>
      </w:r>
    </w:p>
    <w:p w:rsidR="009A6DA7" w:rsidRPr="00A45EE4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K</w:t>
      </w:r>
      <w:r>
        <w:rPr>
          <w:rFonts w:ascii="Times New Roman" w:hAnsi="Times New Roman" w:cs="Times New Roman"/>
          <w:b/>
          <w:szCs w:val="24"/>
        </w:rPr>
        <w:t> bodu 55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Navrhuje sa doplniť za vykonávanie štátnej služby aj čas, počas ktorého príslušník vykonáva funkciu národného experta Slovenskej republiky v inštitúciách Európskej únie</w:t>
      </w:r>
      <w:r>
        <w:rPr>
          <w:rFonts w:ascii="Times New Roman" w:hAnsi="Times New Roman" w:cs="Times New Roman"/>
          <w:szCs w:val="24"/>
        </w:rPr>
        <w:t xml:space="preserve"> alebo je uvoľnený na vykonávanie funkcie v príslušnom odborovom orgáne. </w:t>
      </w:r>
    </w:p>
    <w:p w:rsidR="009A6DA7" w:rsidRPr="00EB380F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56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 hľadiska doterajšej praxe nie je potrebné limitovať poskytovanie služobného voľna na prehlbovanie kvalifikácie. </w:t>
      </w:r>
    </w:p>
    <w:p w:rsidR="009A6DA7" w:rsidRPr="00EB380F" w:rsidP="009A6DA7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327718">
        <w:rPr>
          <w:rFonts w:ascii="Times New Roman" w:hAnsi="Times New Roman" w:cs="Times New Roman"/>
          <w:b/>
          <w:color w:val="000000"/>
          <w:szCs w:val="24"/>
        </w:rPr>
        <w:t xml:space="preserve">K bodu </w:t>
      </w:r>
      <w:r>
        <w:rPr>
          <w:rFonts w:ascii="Times New Roman" w:hAnsi="Times New Roman" w:cs="Times New Roman"/>
          <w:b/>
          <w:color w:val="000000"/>
          <w:szCs w:val="24"/>
        </w:rPr>
        <w:t>57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Novo navrhovaná úprava</w:t>
      </w:r>
      <w:r>
        <w:rPr>
          <w:rFonts w:ascii="Times New Roman" w:hAnsi="Times New Roman" w:cs="Times New Roman"/>
          <w:szCs w:val="24"/>
        </w:rPr>
        <w:t xml:space="preserve"> dopĺňa rozsah </w:t>
      </w:r>
      <w:r w:rsidRPr="00327718">
        <w:rPr>
          <w:rFonts w:ascii="Times New Roman" w:hAnsi="Times New Roman" w:cs="Times New Roman"/>
          <w:szCs w:val="24"/>
        </w:rPr>
        <w:t>služobné</w:t>
      </w:r>
      <w:r>
        <w:rPr>
          <w:rFonts w:ascii="Times New Roman" w:hAnsi="Times New Roman" w:cs="Times New Roman"/>
          <w:szCs w:val="24"/>
        </w:rPr>
        <w:t>ho</w:t>
      </w:r>
      <w:r w:rsidRPr="00327718">
        <w:rPr>
          <w:rFonts w:ascii="Times New Roman" w:hAnsi="Times New Roman" w:cs="Times New Roman"/>
          <w:szCs w:val="24"/>
        </w:rPr>
        <w:t xml:space="preserve"> voľn</w:t>
      </w:r>
      <w:r>
        <w:rPr>
          <w:rFonts w:ascii="Times New Roman" w:hAnsi="Times New Roman" w:cs="Times New Roman"/>
          <w:szCs w:val="24"/>
        </w:rPr>
        <w:t>a</w:t>
      </w:r>
      <w:r w:rsidRPr="00327718">
        <w:rPr>
          <w:rFonts w:ascii="Times New Roman" w:hAnsi="Times New Roman" w:cs="Times New Roman"/>
          <w:szCs w:val="24"/>
        </w:rPr>
        <w:t xml:space="preserve"> na </w:t>
      </w:r>
      <w:r>
        <w:rPr>
          <w:rFonts w:ascii="Times New Roman" w:hAnsi="Times New Roman" w:cs="Times New Roman"/>
          <w:szCs w:val="24"/>
        </w:rPr>
        <w:t xml:space="preserve">prípravu a vykonanie </w:t>
      </w:r>
      <w:r w:rsidRPr="00327718">
        <w:rPr>
          <w:rFonts w:ascii="Times New Roman" w:hAnsi="Times New Roman" w:cs="Times New Roman"/>
          <w:szCs w:val="24"/>
        </w:rPr>
        <w:t>absolventskej skúšky na získanie vyššieho odborného vzdelania</w:t>
      </w:r>
      <w:r>
        <w:rPr>
          <w:rFonts w:ascii="Times New Roman" w:hAnsi="Times New Roman" w:cs="Times New Roman"/>
          <w:szCs w:val="24"/>
        </w:rPr>
        <w:t>, ktorý</w:t>
      </w:r>
      <w:r w:rsidRPr="00327718">
        <w:rPr>
          <w:rFonts w:ascii="Times New Roman" w:hAnsi="Times New Roman" w:cs="Times New Roman"/>
          <w:szCs w:val="24"/>
        </w:rPr>
        <w:t xml:space="preserve"> nebol doteraz ustanoven</w:t>
      </w:r>
      <w:r>
        <w:rPr>
          <w:rFonts w:ascii="Times New Roman" w:hAnsi="Times New Roman" w:cs="Times New Roman"/>
          <w:szCs w:val="24"/>
        </w:rPr>
        <w:t>ý a v rezortnom vzdelávacom zariadení sa takáto forma štúdia realizuje</w:t>
      </w:r>
      <w:r w:rsidRPr="00327718">
        <w:rPr>
          <w:rFonts w:ascii="Times New Roman" w:hAnsi="Times New Roman" w:cs="Times New Roman"/>
          <w:szCs w:val="24"/>
        </w:rPr>
        <w:t>.</w:t>
      </w:r>
    </w:p>
    <w:p w:rsidR="009A6DA7" w:rsidRPr="00EB380F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58</w:t>
      </w:r>
    </w:p>
    <w:p w:rsidR="009A6DA7" w:rsidP="006E5D39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Navrhovaná úprava bola vykonaná z dôvodu zrušenia vyhlášky Ministerstva školstva</w:t>
      </w:r>
      <w:r>
        <w:rPr>
          <w:rFonts w:ascii="Times New Roman" w:hAnsi="Times New Roman" w:cs="Times New Roman"/>
          <w:szCs w:val="24"/>
        </w:rPr>
        <w:t xml:space="preserve"> Slovenskej republiky</w:t>
      </w:r>
      <w:r w:rsidRPr="00327718">
        <w:rPr>
          <w:rFonts w:ascii="Times New Roman" w:hAnsi="Times New Roman" w:cs="Times New Roman"/>
          <w:szCs w:val="24"/>
        </w:rPr>
        <w:t xml:space="preserve"> č. 140/1968 Zb. o pracovných úľavách a hospodárskom zabezpečení študujúcich popri zamestnaní v znení </w:t>
      </w:r>
      <w:r w:rsidR="006E5D39">
        <w:rPr>
          <w:rFonts w:ascii="Times New Roman" w:hAnsi="Times New Roman" w:cs="Times New Roman"/>
          <w:szCs w:val="24"/>
        </w:rPr>
        <w:t>neskorších predpisov</w:t>
      </w:r>
      <w:r w:rsidRPr="00327718">
        <w:rPr>
          <w:rFonts w:ascii="Times New Roman" w:hAnsi="Times New Roman" w:cs="Times New Roman"/>
          <w:szCs w:val="24"/>
        </w:rPr>
        <w:t>, podľa ktorej sa postupovalo pri</w:t>
      </w:r>
      <w:r>
        <w:rPr>
          <w:rFonts w:ascii="Times New Roman" w:hAnsi="Times New Roman" w:cs="Times New Roman"/>
          <w:szCs w:val="24"/>
        </w:rPr>
        <w:t> </w:t>
      </w:r>
      <w:r w:rsidRPr="00327718">
        <w:rPr>
          <w:rFonts w:ascii="Times New Roman" w:hAnsi="Times New Roman" w:cs="Times New Roman"/>
          <w:szCs w:val="24"/>
        </w:rPr>
        <w:t>poskytovaní pracovných úľav v dohodách s príslušníkmi Hasičského a záchranného zboru. Podľa vyjadrenia Ministerstva</w:t>
      </w:r>
      <w:r>
        <w:rPr>
          <w:rFonts w:ascii="Times New Roman" w:hAnsi="Times New Roman" w:cs="Times New Roman"/>
          <w:szCs w:val="24"/>
        </w:rPr>
        <w:t xml:space="preserve"> školstva Slovenskej republiky </w:t>
      </w:r>
      <w:r w:rsidRPr="00327718">
        <w:rPr>
          <w:rFonts w:ascii="Times New Roman" w:hAnsi="Times New Roman" w:cs="Times New Roman"/>
          <w:szCs w:val="24"/>
        </w:rPr>
        <w:t xml:space="preserve">nebol vydaný nový všeobecne záväzný právny predpis </w:t>
      </w:r>
      <w:r>
        <w:rPr>
          <w:rFonts w:ascii="Times New Roman" w:hAnsi="Times New Roman" w:cs="Times New Roman"/>
          <w:szCs w:val="24"/>
        </w:rPr>
        <w:t>a ani sa jeho vydanie nepredpokladá</w:t>
      </w:r>
      <w:r w:rsidRPr="00327718">
        <w:rPr>
          <w:rFonts w:ascii="Times New Roman" w:hAnsi="Times New Roman" w:cs="Times New Roman"/>
          <w:szCs w:val="24"/>
        </w:rPr>
        <w:t xml:space="preserve">. </w:t>
      </w:r>
    </w:p>
    <w:p w:rsidR="006E5D39" w:rsidP="006E5D39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59</w:t>
      </w:r>
    </w:p>
    <w:p w:rsidR="009A6DA7" w:rsidP="009A6DA7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F6BAE">
        <w:rPr>
          <w:rFonts w:ascii="Times New Roman" w:hAnsi="Times New Roman" w:cs="Times New Roman"/>
          <w:szCs w:val="24"/>
        </w:rPr>
        <w:t>Zmen</w:t>
      </w:r>
      <w:r>
        <w:rPr>
          <w:rFonts w:ascii="Times New Roman" w:hAnsi="Times New Roman" w:cs="Times New Roman"/>
          <w:szCs w:val="24"/>
        </w:rPr>
        <w:t xml:space="preserve">a bola vykonaná </w:t>
      </w:r>
      <w:r w:rsidR="006E5D39">
        <w:rPr>
          <w:rFonts w:ascii="Times New Roman" w:hAnsi="Times New Roman" w:cs="Times New Roman"/>
          <w:szCs w:val="24"/>
        </w:rPr>
        <w:t>v súvislosti s no</w:t>
      </w:r>
      <w:r>
        <w:rPr>
          <w:rFonts w:ascii="Times New Roman" w:hAnsi="Times New Roman" w:cs="Times New Roman"/>
          <w:szCs w:val="24"/>
        </w:rPr>
        <w:t>vo navrhovan</w:t>
      </w:r>
      <w:r w:rsidR="006E5D39">
        <w:rPr>
          <w:rFonts w:ascii="Times New Roman" w:hAnsi="Times New Roman" w:cs="Times New Roman"/>
          <w:szCs w:val="24"/>
        </w:rPr>
        <w:t>ým znením</w:t>
      </w:r>
      <w:r>
        <w:rPr>
          <w:rFonts w:ascii="Times New Roman" w:hAnsi="Times New Roman" w:cs="Times New Roman"/>
          <w:szCs w:val="24"/>
        </w:rPr>
        <w:t xml:space="preserve"> § 60.</w:t>
      </w:r>
    </w:p>
    <w:p w:rsidR="006E5D39" w:rsidRPr="006E5D39" w:rsidP="009A6DA7">
      <w:pPr>
        <w:rPr>
          <w:rFonts w:ascii="Times New Roman" w:hAnsi="Times New Roman" w:cs="Times New Roman"/>
          <w:szCs w:val="24"/>
        </w:rPr>
      </w:pPr>
    </w:p>
    <w:p w:rsidR="009A6DA7" w:rsidP="009A6DA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 bodom </w:t>
      </w:r>
      <w:smartTag w:uri="urn:schemas-microsoft-com:office:smarttags" w:element="metricconverter">
        <w:smartTagPr>
          <w:attr w:name="ProductID" w:val="60 a"/>
        </w:smartTagPr>
        <w:r>
          <w:rPr>
            <w:rFonts w:ascii="Times New Roman" w:hAnsi="Times New Roman" w:cs="Times New Roman"/>
            <w:b/>
            <w:szCs w:val="24"/>
          </w:rPr>
          <w:t>60 a</w:t>
        </w:r>
      </w:smartTag>
      <w:r>
        <w:rPr>
          <w:rFonts w:ascii="Times New Roman" w:hAnsi="Times New Roman" w:cs="Times New Roman"/>
          <w:b/>
          <w:szCs w:val="24"/>
        </w:rPr>
        <w:t xml:space="preserve"> 61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Pr="00327718">
        <w:rPr>
          <w:rFonts w:ascii="Times New Roman" w:hAnsi="Times New Roman" w:cs="Times New Roman"/>
          <w:szCs w:val="24"/>
        </w:rPr>
        <w:t>avrhuj</w:t>
      </w:r>
      <w:r>
        <w:rPr>
          <w:rFonts w:ascii="Times New Roman" w:hAnsi="Times New Roman" w:cs="Times New Roman"/>
          <w:szCs w:val="24"/>
        </w:rPr>
        <w:t>e sa</w:t>
      </w:r>
      <w:r w:rsidRPr="003277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komplexne upraviť </w:t>
      </w:r>
      <w:r w:rsidRPr="00327718">
        <w:rPr>
          <w:rFonts w:ascii="Times New Roman" w:hAnsi="Times New Roman" w:cs="Times New Roman"/>
          <w:szCs w:val="24"/>
        </w:rPr>
        <w:t>osobitn</w:t>
      </w:r>
      <w:r>
        <w:rPr>
          <w:rFonts w:ascii="Times New Roman" w:hAnsi="Times New Roman" w:cs="Times New Roman"/>
          <w:szCs w:val="24"/>
        </w:rPr>
        <w:t>é</w:t>
      </w:r>
      <w:r w:rsidRPr="00327718">
        <w:rPr>
          <w:rFonts w:ascii="Times New Roman" w:hAnsi="Times New Roman" w:cs="Times New Roman"/>
          <w:szCs w:val="24"/>
        </w:rPr>
        <w:t xml:space="preserve"> podmienk</w:t>
      </w:r>
      <w:r>
        <w:rPr>
          <w:rFonts w:ascii="Times New Roman" w:hAnsi="Times New Roman" w:cs="Times New Roman"/>
          <w:szCs w:val="24"/>
        </w:rPr>
        <w:t>y</w:t>
      </w:r>
      <w:r w:rsidRPr="00327718">
        <w:rPr>
          <w:rFonts w:ascii="Times New Roman" w:hAnsi="Times New Roman" w:cs="Times New Roman"/>
          <w:szCs w:val="24"/>
        </w:rPr>
        <w:t xml:space="preserve"> vykonávania štátnej služby tehotných príslušníčok </w:t>
      </w:r>
      <w:r w:rsidR="006E5D39">
        <w:rPr>
          <w:rFonts w:ascii="Times New Roman" w:hAnsi="Times New Roman" w:cs="Times New Roman"/>
          <w:szCs w:val="24"/>
        </w:rPr>
        <w:t>a príslušníkov</w:t>
      </w:r>
      <w:r w:rsidRPr="00327718">
        <w:rPr>
          <w:rFonts w:ascii="Times New Roman" w:hAnsi="Times New Roman" w:cs="Times New Roman"/>
          <w:szCs w:val="24"/>
        </w:rPr>
        <w:t>, ktor</w:t>
      </w:r>
      <w:r>
        <w:rPr>
          <w:rFonts w:ascii="Times New Roman" w:hAnsi="Times New Roman" w:cs="Times New Roman"/>
          <w:szCs w:val="24"/>
        </w:rPr>
        <w:t>í</w:t>
      </w:r>
      <w:r w:rsidRPr="00327718">
        <w:rPr>
          <w:rFonts w:ascii="Times New Roman" w:hAnsi="Times New Roman" w:cs="Times New Roman"/>
          <w:szCs w:val="24"/>
        </w:rPr>
        <w:t xml:space="preserve"> majú nárok na materskú </w:t>
      </w:r>
      <w:r>
        <w:rPr>
          <w:rFonts w:ascii="Times New Roman" w:hAnsi="Times New Roman" w:cs="Times New Roman"/>
          <w:szCs w:val="24"/>
        </w:rPr>
        <w:t xml:space="preserve">dovolenku </w:t>
      </w:r>
      <w:r w:rsidRPr="00327718">
        <w:rPr>
          <w:rFonts w:ascii="Times New Roman" w:hAnsi="Times New Roman" w:cs="Times New Roman"/>
          <w:szCs w:val="24"/>
        </w:rPr>
        <w:t>a rodičovskú dovolenku</w:t>
      </w:r>
      <w:r>
        <w:rPr>
          <w:rFonts w:ascii="Times New Roman" w:hAnsi="Times New Roman" w:cs="Times New Roman"/>
          <w:szCs w:val="24"/>
        </w:rPr>
        <w:t>; ide o obdobnú úpravu ako je ustanovená v zákone</w:t>
      </w:r>
      <w:r w:rsidRPr="00327718">
        <w:rPr>
          <w:rFonts w:ascii="Times New Roman" w:hAnsi="Times New Roman" w:cs="Times New Roman"/>
          <w:szCs w:val="24"/>
        </w:rPr>
        <w:t xml:space="preserve"> č. 73/1998 Z. z.</w:t>
      </w:r>
    </w:p>
    <w:p w:rsidR="009A6DA7" w:rsidRPr="00A45EE4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6A0E67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62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Novo sa ustanovujú zložky služobného príjmu.</w:t>
      </w:r>
    </w:p>
    <w:p w:rsidR="009A6DA7" w:rsidRPr="00A45EE4" w:rsidP="006E5D39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K bod</w:t>
      </w:r>
      <w:r>
        <w:rPr>
          <w:rFonts w:ascii="Times New Roman" w:hAnsi="Times New Roman" w:cs="Times New Roman"/>
          <w:b/>
          <w:szCs w:val="24"/>
        </w:rPr>
        <w:t>om</w:t>
      </w:r>
      <w:r w:rsidRPr="00327718">
        <w:rPr>
          <w:rFonts w:ascii="Times New Roman" w:hAnsi="Times New Roman" w:cs="Times New Roman"/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63 a"/>
        </w:smartTagPr>
        <w:r>
          <w:rPr>
            <w:rFonts w:ascii="Times New Roman" w:hAnsi="Times New Roman" w:cs="Times New Roman"/>
            <w:b/>
            <w:szCs w:val="24"/>
          </w:rPr>
          <w:t>63 a</w:t>
        </w:r>
      </w:smartTag>
      <w:r>
        <w:rPr>
          <w:rFonts w:ascii="Times New Roman" w:hAnsi="Times New Roman" w:cs="Times New Roman"/>
          <w:b/>
          <w:szCs w:val="24"/>
        </w:rPr>
        <w:t xml:space="preserve"> 64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Zmena bola vykonaná vzhľadom na novo navrhované zložky služobného príjmu.</w:t>
      </w:r>
    </w:p>
    <w:p w:rsidR="009A6DA7" w:rsidRPr="00A45EE4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65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Ustanovuje sa možnosť započítať do ďalšieho času odbornej praxe i čas zaradenia príslušníka Hasičského a záchranného zboru mimo činnej štátnej služby, ak sa preukáže, že nebol na to dôvod.</w:t>
      </w:r>
    </w:p>
    <w:p w:rsidR="009A6DA7" w:rsidRPr="00A45EE4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C460CE">
        <w:rPr>
          <w:rFonts w:ascii="Times New Roman" w:hAnsi="Times New Roman" w:cs="Times New Roman"/>
          <w:b/>
          <w:szCs w:val="24"/>
        </w:rPr>
        <w:t>K bodu 6</w:t>
      </w:r>
      <w:r>
        <w:rPr>
          <w:rFonts w:ascii="Times New Roman" w:hAnsi="Times New Roman" w:cs="Times New Roman"/>
          <w:b/>
          <w:szCs w:val="24"/>
        </w:rPr>
        <w:t>6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Legislatívno-technická úprava, súvisiaca so zmenou znenia § 49.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C460CE">
        <w:rPr>
          <w:rFonts w:ascii="Times New Roman" w:hAnsi="Times New Roman" w:cs="Times New Roman"/>
          <w:b/>
          <w:szCs w:val="24"/>
        </w:rPr>
        <w:t>K bodu 6</w:t>
      </w:r>
      <w:r>
        <w:rPr>
          <w:rFonts w:ascii="Times New Roman" w:hAnsi="Times New Roman" w:cs="Times New Roman"/>
          <w:b/>
          <w:szCs w:val="24"/>
        </w:rPr>
        <w:t>7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Novo sa u</w:t>
      </w:r>
      <w:r>
        <w:rPr>
          <w:rFonts w:ascii="Times New Roman" w:hAnsi="Times New Roman" w:cs="Times New Roman"/>
          <w:szCs w:val="24"/>
        </w:rPr>
        <w:t>stanovujú</w:t>
      </w:r>
      <w:r w:rsidRPr="00327718">
        <w:rPr>
          <w:rFonts w:ascii="Times New Roman" w:hAnsi="Times New Roman" w:cs="Times New Roman"/>
          <w:szCs w:val="24"/>
        </w:rPr>
        <w:t xml:space="preserve"> sumy hodnostných príplatkov</w:t>
      </w:r>
      <w:r>
        <w:rPr>
          <w:rFonts w:ascii="Times New Roman" w:hAnsi="Times New Roman" w:cs="Times New Roman"/>
          <w:szCs w:val="24"/>
        </w:rPr>
        <w:t xml:space="preserve"> v nadväznosti na nový systém odmeňovania. </w:t>
      </w:r>
    </w:p>
    <w:p w:rsidR="009A6DA7" w:rsidRPr="008D31CA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K</w:t>
      </w:r>
      <w:r>
        <w:rPr>
          <w:rFonts w:ascii="Times New Roman" w:hAnsi="Times New Roman" w:cs="Times New Roman"/>
          <w:b/>
          <w:szCs w:val="24"/>
        </w:rPr>
        <w:t> </w:t>
      </w:r>
      <w:r w:rsidRPr="00327718">
        <w:rPr>
          <w:rFonts w:ascii="Times New Roman" w:hAnsi="Times New Roman" w:cs="Times New Roman"/>
          <w:b/>
          <w:szCs w:val="24"/>
        </w:rPr>
        <w:t>bod</w:t>
      </w:r>
      <w:r>
        <w:rPr>
          <w:rFonts w:ascii="Times New Roman" w:hAnsi="Times New Roman" w:cs="Times New Roman"/>
          <w:b/>
          <w:szCs w:val="24"/>
        </w:rPr>
        <w:t>om 68 a 69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Zmena bola vykonaná v</w:t>
      </w:r>
      <w:r>
        <w:rPr>
          <w:rFonts w:ascii="Times New Roman" w:hAnsi="Times New Roman" w:cs="Times New Roman"/>
          <w:szCs w:val="24"/>
        </w:rPr>
        <w:t xml:space="preserve">o väzbe </w:t>
      </w:r>
      <w:r w:rsidRPr="00327718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 xml:space="preserve"> nový systém odmeňovania, ktorý kompenzuje zrušenie príplatkov za štátnu službu v noci, sobotu, nedeľu a vo sviatok úpravou tarifných tried a príplatku za zmennosť.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2822AE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70</w:t>
      </w:r>
    </w:p>
    <w:p w:rsidR="009A6DA7" w:rsidRPr="009D6D0D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Zvyšuje sa rozpätie príplatku za zmennosť na 20</w:t>
      </w:r>
      <w:r w:rsidRPr="00D10699">
        <w:rPr>
          <w:rFonts w:ascii="Times New Roman" w:hAnsi="Times New Roman" w:cs="Times New Roman"/>
          <w:szCs w:val="24"/>
        </w:rPr>
        <w:t xml:space="preserve">% až </w:t>
      </w:r>
      <w:r>
        <w:rPr>
          <w:rFonts w:ascii="Times New Roman" w:hAnsi="Times New Roman" w:cs="Times New Roman"/>
          <w:szCs w:val="24"/>
        </w:rPr>
        <w:t>50</w:t>
      </w:r>
      <w:r w:rsidRPr="00D10699">
        <w:rPr>
          <w:rFonts w:ascii="Times New Roman" w:hAnsi="Times New Roman" w:cs="Times New Roman"/>
          <w:szCs w:val="24"/>
        </w:rPr>
        <w:t>% z platovej tarify prvého platového stupňa prvej platovej triedy</w:t>
      </w:r>
      <w:r>
        <w:rPr>
          <w:rFonts w:ascii="Times New Roman" w:hAnsi="Times New Roman" w:cs="Times New Roman"/>
          <w:szCs w:val="24"/>
        </w:rPr>
        <w:t>; do tohto príplatku sa presúvajú mzdové prostriedky ušetrené napríklad zo zníženej sadzby za hodinu určenej služobnej pohotovosti, ako aj zrušené príplatky za noc, sobotu, nedeľu a sviatok. Keďže sa zrušenie príplatkov týka len príslušníkov s nerovnomerne rozvrhnutým služobným časom, navrhuje sa presunúť tieto ušetrené finančné prostriedky práve pre túto skupinu príslušníkov.</w:t>
      </w: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71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Navrhovaná zmena zosúlaďuje znenie § 118 ods. 6 s obdobnými ustanoveniami zákona</w:t>
      </w:r>
      <w:r w:rsidRPr="00E355E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72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6E3DD4">
        <w:rPr>
          <w:rFonts w:ascii="Times New Roman" w:hAnsi="Times New Roman" w:cs="Times New Roman"/>
          <w:szCs w:val="24"/>
        </w:rPr>
        <w:t xml:space="preserve">Navrhuje sa </w:t>
      </w:r>
      <w:r>
        <w:rPr>
          <w:rFonts w:ascii="Times New Roman" w:hAnsi="Times New Roman" w:cs="Times New Roman"/>
          <w:szCs w:val="24"/>
        </w:rPr>
        <w:t>explicitne vyjadriť, že je možné príslušníkovi poskytnúť odmenu aj</w:t>
      </w:r>
      <w:r w:rsidR="006E5D39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v prípade kvalitného plnenia služobných úloh, ako aj za vykonanie služobných úloh nad</w:t>
      </w:r>
      <w:r w:rsidR="006E5D39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rozsah činností, ktoré vyplývajú z jeho popisu služobných činností.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6E5D39" w:rsidP="009A6DA7">
      <w:pPr>
        <w:jc w:val="both"/>
        <w:rPr>
          <w:rFonts w:ascii="Times New Roman" w:hAnsi="Times New Roman" w:cs="Times New Roman"/>
          <w:szCs w:val="24"/>
        </w:rPr>
      </w:pPr>
    </w:p>
    <w:p w:rsidR="006E5D39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493353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493353">
        <w:rPr>
          <w:rFonts w:ascii="Times New Roman" w:hAnsi="Times New Roman" w:cs="Times New Roman"/>
          <w:b/>
          <w:szCs w:val="24"/>
        </w:rPr>
        <w:t xml:space="preserve">K bodu </w:t>
      </w:r>
      <w:smartTag w:uri="urn:schemas-microsoft-com:office:smarttags" w:element="metricconverter">
        <w:smartTagPr>
          <w:attr w:name="ProductID" w:val="73 a"/>
        </w:smartTagPr>
        <w:r w:rsidRPr="00493353">
          <w:rPr>
            <w:rFonts w:ascii="Times New Roman" w:hAnsi="Times New Roman" w:cs="Times New Roman"/>
            <w:b/>
            <w:szCs w:val="24"/>
          </w:rPr>
          <w:t>7</w:t>
        </w:r>
        <w:r>
          <w:rPr>
            <w:rFonts w:ascii="Times New Roman" w:hAnsi="Times New Roman" w:cs="Times New Roman"/>
            <w:b/>
            <w:szCs w:val="24"/>
          </w:rPr>
          <w:t>3 a</w:t>
        </w:r>
      </w:smartTag>
      <w:r>
        <w:rPr>
          <w:rFonts w:ascii="Times New Roman" w:hAnsi="Times New Roman" w:cs="Times New Roman"/>
          <w:b/>
          <w:szCs w:val="24"/>
        </w:rPr>
        <w:t xml:space="preserve"> 74</w:t>
      </w:r>
    </w:p>
    <w:p w:rsidR="009A6DA7" w:rsidRPr="004C41D4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93353">
        <w:rPr>
          <w:rFonts w:ascii="Times New Roman" w:hAnsi="Times New Roman" w:cs="Times New Roman"/>
          <w:szCs w:val="24"/>
        </w:rPr>
        <w:t xml:space="preserve">Navrhuje sa vykonať zmenu v súvislosti so zmenou </w:t>
      </w:r>
      <w:r>
        <w:rPr>
          <w:rFonts w:ascii="Times New Roman" w:hAnsi="Times New Roman" w:cs="Times New Roman"/>
          <w:szCs w:val="24"/>
        </w:rPr>
        <w:t xml:space="preserve">znenia </w:t>
      </w:r>
      <w:r w:rsidRPr="00493353">
        <w:rPr>
          <w:rFonts w:ascii="Times New Roman" w:hAnsi="Times New Roman" w:cs="Times New Roman"/>
          <w:szCs w:val="24"/>
        </w:rPr>
        <w:t>§ 92</w:t>
      </w:r>
      <w:r>
        <w:rPr>
          <w:rFonts w:ascii="Times New Roman" w:hAnsi="Times New Roman" w:cs="Times New Roman"/>
          <w:szCs w:val="24"/>
        </w:rPr>
        <w:t xml:space="preserve">. </w:t>
      </w:r>
      <w:r w:rsidRPr="004C41D4">
        <w:rPr>
          <w:rFonts w:ascii="Times New Roman" w:hAnsi="Times New Roman" w:cs="Times New Roman"/>
          <w:szCs w:val="24"/>
        </w:rPr>
        <w:t>Navrhované rozdielne ocenenie určenej služobnej pohotovosti a nariadenej služobnej pohotovosti zodpovedá súčasnému stavu v prípade výkonu služby v rámci rozvrhu služobného času a práce nadčas, ktorú vykonáva príslušník mimo rámca rozvrhu služobného času. Navrhovaná znížená sadzba umožní využiť ušetrené mzdové prostriedky na zvýšenie iných príplatkov</w:t>
      </w:r>
      <w:r>
        <w:rPr>
          <w:rFonts w:ascii="Times New Roman" w:hAnsi="Times New Roman" w:cs="Times New Roman"/>
          <w:szCs w:val="24"/>
        </w:rPr>
        <w:t xml:space="preserve">, a to najmä </w:t>
      </w:r>
      <w:r w:rsidRPr="004C41D4">
        <w:rPr>
          <w:rFonts w:ascii="Times New Roman" w:hAnsi="Times New Roman" w:cs="Times New Roman"/>
          <w:szCs w:val="24"/>
        </w:rPr>
        <w:t>príplatkov za zme</w:t>
      </w:r>
      <w:r>
        <w:rPr>
          <w:rFonts w:ascii="Times New Roman" w:hAnsi="Times New Roman" w:cs="Times New Roman"/>
          <w:szCs w:val="24"/>
        </w:rPr>
        <w:t>nnosť, osobného príplatku alebo</w:t>
      </w:r>
      <w:r w:rsidRPr="004C41D4">
        <w:rPr>
          <w:rFonts w:ascii="Times New Roman" w:hAnsi="Times New Roman" w:cs="Times New Roman"/>
          <w:szCs w:val="24"/>
        </w:rPr>
        <w:t xml:space="preserve"> príplatku za sťažené a zdraviu škodlivé prostredie, t.j. pre tú istú skupinu príslušníkov</w:t>
      </w:r>
      <w:r>
        <w:rPr>
          <w:rFonts w:ascii="Times New Roman" w:hAnsi="Times New Roman" w:cs="Times New Roman"/>
          <w:szCs w:val="24"/>
        </w:rPr>
        <w:t>, ktorí ušetrené mzdové</w:t>
      </w:r>
      <w:r w:rsidRPr="004C41D4">
        <w:rPr>
          <w:rFonts w:ascii="Times New Roman" w:hAnsi="Times New Roman" w:cs="Times New Roman"/>
          <w:szCs w:val="24"/>
        </w:rPr>
        <w:t xml:space="preserve"> prostriedky vyprodukovali. </w:t>
      </w:r>
    </w:p>
    <w:p w:rsidR="009A6DA7" w:rsidRPr="004C41D4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4C41D4">
        <w:rPr>
          <w:rFonts w:ascii="Times New Roman" w:hAnsi="Times New Roman" w:cs="Times New Roman"/>
          <w:b/>
          <w:szCs w:val="24"/>
        </w:rPr>
        <w:t>K bodu 7</w:t>
      </w:r>
      <w:r>
        <w:rPr>
          <w:rFonts w:ascii="Times New Roman" w:hAnsi="Times New Roman" w:cs="Times New Roman"/>
          <w:b/>
          <w:szCs w:val="24"/>
        </w:rPr>
        <w:t>6</w:t>
      </w:r>
    </w:p>
    <w:p w:rsidR="009A6DA7" w:rsidRPr="00E355E3" w:rsidP="009A6DA7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355E3">
        <w:rPr>
          <w:rFonts w:ascii="Times New Roman" w:hAnsi="Times New Roman" w:cs="Times New Roman"/>
          <w:szCs w:val="24"/>
        </w:rPr>
        <w:t>Ide o</w:t>
      </w:r>
      <w:r>
        <w:rPr>
          <w:rFonts w:ascii="Times New Roman" w:hAnsi="Times New Roman" w:cs="Times New Roman"/>
          <w:szCs w:val="24"/>
        </w:rPr>
        <w:t xml:space="preserve"> vypustenie nadbytočných slov. </w:t>
      </w:r>
    </w:p>
    <w:p w:rsidR="009A6DA7" w:rsidRPr="00A359B1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77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 xml:space="preserve">Zmena bola vykonaná vzhľadom na novo </w:t>
      </w:r>
      <w:r>
        <w:rPr>
          <w:rFonts w:ascii="Times New Roman" w:hAnsi="Times New Roman" w:cs="Times New Roman"/>
          <w:szCs w:val="24"/>
        </w:rPr>
        <w:t xml:space="preserve">navrhované znenie § </w:t>
      </w:r>
      <w:r w:rsidR="006E5D39">
        <w:rPr>
          <w:rFonts w:ascii="Times New Roman" w:hAnsi="Times New Roman" w:cs="Times New Roman"/>
          <w:szCs w:val="24"/>
        </w:rPr>
        <w:t>122</w:t>
      </w:r>
      <w:r>
        <w:rPr>
          <w:rFonts w:ascii="Times New Roman" w:hAnsi="Times New Roman" w:cs="Times New Roman"/>
          <w:szCs w:val="24"/>
        </w:rPr>
        <w:t>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 bodom </w:t>
      </w:r>
      <w:smartTag w:uri="urn:schemas-microsoft-com:office:smarttags" w:element="metricconverter">
        <w:smartTagPr>
          <w:attr w:name="ProductID" w:val="78 a"/>
        </w:smartTagPr>
        <w:r>
          <w:rPr>
            <w:rFonts w:ascii="Times New Roman" w:hAnsi="Times New Roman" w:cs="Times New Roman"/>
            <w:b/>
            <w:szCs w:val="24"/>
          </w:rPr>
          <w:t>78 a</w:t>
        </w:r>
      </w:smartTag>
      <w:r>
        <w:rPr>
          <w:rFonts w:ascii="Times New Roman" w:hAnsi="Times New Roman" w:cs="Times New Roman"/>
          <w:b/>
          <w:szCs w:val="24"/>
        </w:rPr>
        <w:t xml:space="preserve"> 79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Ide o väzbové legislatívno-technické úpravy platného znenia zákona. </w:t>
      </w:r>
    </w:p>
    <w:p w:rsidR="009A6DA7" w:rsidRPr="00C6760F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bodom 80 až 82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A25166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 xml:space="preserve">vrhuje sa obdobná právna úprava náhrady škody, ako je to v prípade </w:t>
      </w:r>
      <w:r w:rsidRPr="00327718">
        <w:rPr>
          <w:rFonts w:ascii="Times New Roman" w:hAnsi="Times New Roman" w:cs="Times New Roman"/>
          <w:szCs w:val="24"/>
        </w:rPr>
        <w:t>zákon</w:t>
      </w:r>
      <w:r>
        <w:rPr>
          <w:rFonts w:ascii="Times New Roman" w:hAnsi="Times New Roman" w:cs="Times New Roman"/>
          <w:szCs w:val="24"/>
        </w:rPr>
        <w:t>a</w:t>
      </w:r>
      <w:r w:rsidRPr="00327718">
        <w:rPr>
          <w:rFonts w:ascii="Times New Roman" w:hAnsi="Times New Roman" w:cs="Times New Roman"/>
          <w:szCs w:val="24"/>
        </w:rPr>
        <w:t xml:space="preserve"> č.</w:t>
      </w:r>
      <w:r>
        <w:rPr>
          <w:rFonts w:ascii="Times New Roman" w:hAnsi="Times New Roman" w:cs="Times New Roman"/>
          <w:szCs w:val="24"/>
        </w:rPr>
        <w:t> </w:t>
      </w:r>
      <w:r w:rsidRPr="00327718">
        <w:rPr>
          <w:rFonts w:ascii="Times New Roman" w:hAnsi="Times New Roman" w:cs="Times New Roman"/>
          <w:szCs w:val="24"/>
        </w:rPr>
        <w:t>73/1998</w:t>
      </w:r>
      <w:r>
        <w:rPr>
          <w:rFonts w:ascii="Times New Roman" w:hAnsi="Times New Roman" w:cs="Times New Roman"/>
          <w:szCs w:val="24"/>
        </w:rPr>
        <w:t> </w:t>
      </w:r>
      <w:r w:rsidRPr="00327718">
        <w:rPr>
          <w:rFonts w:ascii="Times New Roman" w:hAnsi="Times New Roman" w:cs="Times New Roman"/>
          <w:szCs w:val="24"/>
        </w:rPr>
        <w:t>Z.</w:t>
      </w:r>
      <w:r>
        <w:rPr>
          <w:rFonts w:ascii="Times New Roman" w:hAnsi="Times New Roman" w:cs="Times New Roman"/>
          <w:szCs w:val="24"/>
        </w:rPr>
        <w:t> </w:t>
      </w:r>
      <w:r w:rsidRPr="00327718">
        <w:rPr>
          <w:rFonts w:ascii="Times New Roman" w:hAnsi="Times New Roman" w:cs="Times New Roman"/>
          <w:szCs w:val="24"/>
        </w:rPr>
        <w:t xml:space="preserve">z. </w:t>
      </w:r>
      <w:r>
        <w:rPr>
          <w:rFonts w:ascii="Times New Roman" w:hAnsi="Times New Roman" w:cs="Times New Roman"/>
          <w:szCs w:val="24"/>
        </w:rPr>
        <w:t xml:space="preserve">v znení neskorších predpisov, pretože </w:t>
      </w:r>
      <w:r w:rsidRPr="00327718">
        <w:rPr>
          <w:rFonts w:ascii="Times New Roman" w:hAnsi="Times New Roman" w:cs="Times New Roman"/>
          <w:szCs w:val="24"/>
        </w:rPr>
        <w:t xml:space="preserve">dochádza </w:t>
      </w:r>
      <w:r>
        <w:rPr>
          <w:rFonts w:ascii="Times New Roman" w:hAnsi="Times New Roman" w:cs="Times New Roman"/>
          <w:szCs w:val="24"/>
        </w:rPr>
        <w:t>k</w:t>
      </w:r>
      <w:r w:rsidRPr="00327718">
        <w:rPr>
          <w:rFonts w:ascii="Times New Roman" w:hAnsi="Times New Roman" w:cs="Times New Roman"/>
          <w:szCs w:val="24"/>
        </w:rPr>
        <w:t xml:space="preserve"> podobným prípadom spôsoben</w:t>
      </w:r>
      <w:r>
        <w:rPr>
          <w:rFonts w:ascii="Times New Roman" w:hAnsi="Times New Roman" w:cs="Times New Roman"/>
          <w:szCs w:val="24"/>
        </w:rPr>
        <w:t>ia</w:t>
      </w:r>
      <w:r w:rsidRPr="00327718">
        <w:rPr>
          <w:rFonts w:ascii="Times New Roman" w:hAnsi="Times New Roman" w:cs="Times New Roman"/>
          <w:szCs w:val="24"/>
        </w:rPr>
        <w:t xml:space="preserve"> škôd.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>K bod</w:t>
      </w:r>
      <w:r>
        <w:rPr>
          <w:rFonts w:ascii="Times New Roman" w:hAnsi="Times New Roman" w:cs="Times New Roman"/>
          <w:b/>
          <w:szCs w:val="24"/>
        </w:rPr>
        <w:t>om</w:t>
      </w:r>
      <w:r w:rsidRPr="00327718">
        <w:rPr>
          <w:rFonts w:ascii="Times New Roman" w:hAnsi="Times New Roman" w:cs="Times New Roman"/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83 a"/>
        </w:smartTagPr>
        <w:r>
          <w:rPr>
            <w:rFonts w:ascii="Times New Roman" w:hAnsi="Times New Roman" w:cs="Times New Roman"/>
            <w:b/>
            <w:szCs w:val="24"/>
          </w:rPr>
          <w:t>83 a</w:t>
        </w:r>
      </w:smartTag>
      <w:r>
        <w:rPr>
          <w:rFonts w:ascii="Times New Roman" w:hAnsi="Times New Roman" w:cs="Times New Roman"/>
          <w:b/>
          <w:szCs w:val="24"/>
        </w:rPr>
        <w:t xml:space="preserve"> 84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Zmeny nadväzujúce na nové znenie</w:t>
      </w:r>
      <w:r w:rsidRPr="009945E0">
        <w:rPr>
          <w:rFonts w:ascii="Times New Roman" w:hAnsi="Times New Roman" w:cs="Times New Roman"/>
          <w:szCs w:val="24"/>
        </w:rPr>
        <w:t xml:space="preserve"> § 20</w:t>
      </w:r>
      <w:r>
        <w:rPr>
          <w:rFonts w:ascii="Times New Roman" w:hAnsi="Times New Roman" w:cs="Times New Roman"/>
          <w:szCs w:val="24"/>
        </w:rPr>
        <w:t xml:space="preserve"> o prijímacom konaní</w:t>
      </w:r>
      <w:r w:rsidRPr="009945E0">
        <w:rPr>
          <w:rFonts w:ascii="Times New Roman" w:hAnsi="Times New Roman" w:cs="Times New Roman"/>
          <w:szCs w:val="24"/>
        </w:rPr>
        <w:t>.</w:t>
      </w:r>
    </w:p>
    <w:p w:rsidR="009A6DA7" w:rsidRPr="00D876CE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85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Navrhované ustanovenie umožní vypracovať pri odmenách personálny rozkaz pre príslušníkov zboru a nie rozhodnutie. </w:t>
      </w:r>
    </w:p>
    <w:p w:rsidR="009A6DA7" w:rsidRPr="00D876CE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86</w:t>
      </w:r>
    </w:p>
    <w:p w:rsidR="009A6DA7" w:rsidRPr="00E46CDC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46CDC">
        <w:rPr>
          <w:rFonts w:ascii="Times New Roman" w:hAnsi="Times New Roman" w:cs="Times New Roman"/>
          <w:szCs w:val="24"/>
        </w:rPr>
        <w:t>Legislatívno</w:t>
      </w:r>
      <w:r>
        <w:rPr>
          <w:rFonts w:ascii="Times New Roman" w:hAnsi="Times New Roman" w:cs="Times New Roman"/>
          <w:szCs w:val="24"/>
        </w:rPr>
        <w:t>-</w:t>
      </w:r>
      <w:r w:rsidRPr="00E46CDC">
        <w:rPr>
          <w:rFonts w:ascii="Times New Roman" w:hAnsi="Times New Roman" w:cs="Times New Roman"/>
          <w:szCs w:val="24"/>
        </w:rPr>
        <w:t>technická úprava.</w:t>
      </w:r>
    </w:p>
    <w:p w:rsidR="009A6DA7" w:rsidRPr="00D876CE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87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Ustanovenie sa vypúšťa z toho dôvodu, že pri vzniku, zmenách a skončení služobného pomeru sa postupuje v súlade s týmto zákonom a </w:t>
      </w:r>
      <w:r w:rsidR="006E5D39">
        <w:rPr>
          <w:rFonts w:ascii="Times New Roman" w:hAnsi="Times New Roman" w:cs="Times New Roman"/>
          <w:szCs w:val="24"/>
        </w:rPr>
        <w:t>dodržanie</w:t>
      </w:r>
      <w:r w:rsidRPr="00327718">
        <w:rPr>
          <w:rFonts w:ascii="Times New Roman" w:hAnsi="Times New Roman" w:cs="Times New Roman"/>
          <w:szCs w:val="24"/>
        </w:rPr>
        <w:t xml:space="preserve"> lehôt je často problematické</w:t>
      </w:r>
      <w:r w:rsidR="006E5D39">
        <w:rPr>
          <w:rFonts w:ascii="Times New Roman" w:hAnsi="Times New Roman" w:cs="Times New Roman"/>
          <w:szCs w:val="24"/>
        </w:rPr>
        <w:t xml:space="preserve">, pretože dotknuté rozhodnutia sa musia vopred prerokovať </w:t>
      </w:r>
      <w:r w:rsidRPr="00327718">
        <w:rPr>
          <w:rFonts w:ascii="Times New Roman" w:hAnsi="Times New Roman" w:cs="Times New Roman"/>
          <w:szCs w:val="24"/>
        </w:rPr>
        <w:t>s odborovým orgánom.</w:t>
      </w:r>
    </w:p>
    <w:p w:rsidR="009A6DA7" w:rsidRPr="00327718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88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V poznámke pod čiarou sa dopĺňa odkaz na poskytovanie kúpeľnej starostlivosti aj</w:t>
      </w:r>
      <w:r>
        <w:rPr>
          <w:rFonts w:ascii="Times New Roman" w:hAnsi="Times New Roman" w:cs="Times New Roman"/>
          <w:szCs w:val="24"/>
        </w:rPr>
        <w:t> </w:t>
      </w:r>
      <w:r w:rsidRPr="00327718">
        <w:rPr>
          <w:rFonts w:ascii="Times New Roman" w:hAnsi="Times New Roman" w:cs="Times New Roman"/>
          <w:szCs w:val="24"/>
        </w:rPr>
        <w:t xml:space="preserve">podľa zákona č. 328/2002 Z. z. </w:t>
      </w:r>
      <w:r w:rsidR="006E5D39">
        <w:rPr>
          <w:rFonts w:ascii="Times New Roman" w:hAnsi="Times New Roman" w:cs="Times New Roman"/>
          <w:szCs w:val="24"/>
        </w:rPr>
        <w:t xml:space="preserve">o sociálnom zabezpečení policajtov a vojakov </w:t>
      </w:r>
      <w:r w:rsidRPr="00327718">
        <w:rPr>
          <w:rFonts w:ascii="Times New Roman" w:hAnsi="Times New Roman" w:cs="Times New Roman"/>
          <w:szCs w:val="24"/>
        </w:rPr>
        <w:t>v znení neskorších predpisov.</w:t>
      </w:r>
    </w:p>
    <w:p w:rsidR="009A6DA7" w:rsidRPr="00D876CE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 bodom </w:t>
      </w:r>
      <w:smartTag w:uri="urn:schemas-microsoft-com:office:smarttags" w:element="metricconverter">
        <w:smartTagPr>
          <w:attr w:name="ProductID" w:val="90 a"/>
        </w:smartTagPr>
        <w:r>
          <w:rPr>
            <w:rFonts w:ascii="Times New Roman" w:hAnsi="Times New Roman" w:cs="Times New Roman"/>
            <w:b/>
            <w:szCs w:val="24"/>
          </w:rPr>
          <w:t>90 a</w:t>
        </w:r>
      </w:smartTag>
      <w:r>
        <w:rPr>
          <w:rFonts w:ascii="Times New Roman" w:hAnsi="Times New Roman" w:cs="Times New Roman"/>
          <w:b/>
          <w:szCs w:val="24"/>
        </w:rPr>
        <w:t xml:space="preserve"> 91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Navrhuje sa nová úprava kolektívn</w:t>
      </w:r>
      <w:r w:rsidR="006E5D39">
        <w:rPr>
          <w:rFonts w:ascii="Times New Roman" w:hAnsi="Times New Roman" w:cs="Times New Roman"/>
          <w:szCs w:val="24"/>
        </w:rPr>
        <w:t xml:space="preserve">ych zmlúv a s ňou súvisiacich postupov, a to </w:t>
      </w:r>
      <w:r>
        <w:rPr>
          <w:rFonts w:ascii="Times New Roman" w:hAnsi="Times New Roman" w:cs="Times New Roman"/>
          <w:szCs w:val="24"/>
        </w:rPr>
        <w:t xml:space="preserve">obdobným spôsobom, ako je to v prípade iných zložiek, ktorých príslušníci sú v služobnom pomere.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6E5D39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1A45C0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1A45C0">
        <w:rPr>
          <w:rFonts w:ascii="Times New Roman" w:hAnsi="Times New Roman" w:cs="Times New Roman"/>
          <w:b/>
          <w:szCs w:val="24"/>
        </w:rPr>
        <w:t>K bod</w:t>
      </w:r>
      <w:r>
        <w:rPr>
          <w:rFonts w:ascii="Times New Roman" w:hAnsi="Times New Roman" w:cs="Times New Roman"/>
          <w:b/>
          <w:szCs w:val="24"/>
        </w:rPr>
        <w:t>om</w:t>
      </w:r>
      <w:r w:rsidRPr="001A45C0">
        <w:rPr>
          <w:rFonts w:ascii="Times New Roman" w:hAnsi="Times New Roman" w:cs="Times New Roman"/>
          <w:b/>
          <w:szCs w:val="24"/>
        </w:rPr>
        <w:t xml:space="preserve"> </w:t>
      </w:r>
      <w:smartTag w:uri="urn:schemas-microsoft-com:office:smarttags" w:element="metricconverter">
        <w:smartTagPr>
          <w:attr w:name="ProductID" w:val="92 a"/>
        </w:smartTagPr>
        <w:r>
          <w:rPr>
            <w:rFonts w:ascii="Times New Roman" w:hAnsi="Times New Roman" w:cs="Times New Roman"/>
            <w:b/>
            <w:szCs w:val="24"/>
          </w:rPr>
          <w:t>92 a</w:t>
        </w:r>
      </w:smartTag>
      <w:r>
        <w:rPr>
          <w:rFonts w:ascii="Times New Roman" w:hAnsi="Times New Roman" w:cs="Times New Roman"/>
          <w:b/>
          <w:szCs w:val="24"/>
        </w:rPr>
        <w:t xml:space="preserve"> 93</w:t>
      </w:r>
    </w:p>
    <w:p w:rsidR="005C35BE" w:rsidP="006E5D39">
      <w:pPr>
        <w:ind w:firstLine="708"/>
        <w:jc w:val="both"/>
        <w:rPr>
          <w:rFonts w:ascii="Times New Roman" w:hAnsi="Times New Roman" w:cs="Times New Roman"/>
          <w:szCs w:val="24"/>
        </w:rPr>
      </w:pPr>
      <w:r w:rsidR="009A6DA7">
        <w:rPr>
          <w:rFonts w:ascii="Times New Roman" w:hAnsi="Times New Roman" w:cs="Times New Roman"/>
          <w:szCs w:val="24"/>
        </w:rPr>
        <w:t xml:space="preserve">Vzhľadom na predchádzajúce zmeny je potrebné upraviť ustanovenie o podpornej pôsobnosti </w:t>
      </w:r>
      <w:r w:rsidRPr="00327718" w:rsidR="009A6DA7">
        <w:rPr>
          <w:rFonts w:ascii="Times New Roman" w:hAnsi="Times New Roman" w:cs="Times New Roman"/>
          <w:szCs w:val="24"/>
        </w:rPr>
        <w:t>Zákonníka práce</w:t>
      </w:r>
      <w:r w:rsidR="009A6DA7">
        <w:rPr>
          <w:rFonts w:ascii="Times New Roman" w:hAnsi="Times New Roman" w:cs="Times New Roman"/>
          <w:szCs w:val="24"/>
        </w:rPr>
        <w:t>, ako aj ustanovenie, ktoré upravuje odchýlky vo vzťahu k pr</w:t>
      </w:r>
      <w:r w:rsidRPr="00327718" w:rsidR="009A6DA7">
        <w:rPr>
          <w:rFonts w:ascii="Times New Roman" w:hAnsi="Times New Roman" w:cs="Times New Roman"/>
          <w:szCs w:val="24"/>
        </w:rPr>
        <w:t>íslušníko</w:t>
      </w:r>
      <w:r w:rsidR="009A6DA7">
        <w:rPr>
          <w:rFonts w:ascii="Times New Roman" w:hAnsi="Times New Roman" w:cs="Times New Roman"/>
          <w:szCs w:val="24"/>
        </w:rPr>
        <w:t>m</w:t>
      </w:r>
      <w:r w:rsidRPr="00327718" w:rsidR="009A6DA7">
        <w:rPr>
          <w:rFonts w:ascii="Times New Roman" w:hAnsi="Times New Roman" w:cs="Times New Roman"/>
          <w:szCs w:val="24"/>
        </w:rPr>
        <w:t xml:space="preserve"> H</w:t>
      </w:r>
      <w:r w:rsidR="009A6DA7">
        <w:rPr>
          <w:rFonts w:ascii="Times New Roman" w:hAnsi="Times New Roman" w:cs="Times New Roman"/>
          <w:szCs w:val="24"/>
        </w:rPr>
        <w:t>orskej záchrannej služby</w:t>
      </w:r>
      <w:r w:rsidR="006E5D39">
        <w:rPr>
          <w:rFonts w:ascii="Times New Roman" w:hAnsi="Times New Roman" w:cs="Times New Roman"/>
          <w:szCs w:val="24"/>
        </w:rPr>
        <w:t>.</w:t>
      </w:r>
    </w:p>
    <w:p w:rsidR="005C35BE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327718" w:rsidP="009A6DA7">
      <w:pPr>
        <w:ind w:left="360" w:hanging="360"/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94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prechodných ustanovenia je potrebné ustanoviť i právny režim pre začaté alebo vyhlásené výberové konanie podľa § 20</w:t>
      </w:r>
      <w:r w:rsidR="006E5D39">
        <w:rPr>
          <w:rFonts w:ascii="Times New Roman" w:hAnsi="Times New Roman" w:cs="Times New Roman"/>
          <w:szCs w:val="24"/>
        </w:rPr>
        <w:t xml:space="preserve"> platného zákona</w:t>
      </w:r>
      <w:r>
        <w:rPr>
          <w:rFonts w:ascii="Times New Roman" w:hAnsi="Times New Roman" w:cs="Times New Roman"/>
          <w:szCs w:val="24"/>
        </w:rPr>
        <w:t>.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prechodných ustanoveniach sa rieši i zmena hodnosti ex lege, ktorá je viazaná na zmenu úpravy vo vzťahu vyššieho odborného vzdelania a bakalárskeho vzdelania.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návrhu zákona sa zavádza</w:t>
      </w:r>
      <w:r w:rsidRPr="00327718">
        <w:rPr>
          <w:rFonts w:ascii="Times New Roman" w:hAnsi="Times New Roman" w:cs="Times New Roman"/>
          <w:szCs w:val="24"/>
        </w:rPr>
        <w:t xml:space="preserve"> doplatok k služobnému príjmu u tých príslušníkov, </w:t>
      </w:r>
      <w:r>
        <w:rPr>
          <w:rFonts w:ascii="Times New Roman" w:hAnsi="Times New Roman" w:cs="Times New Roman"/>
          <w:szCs w:val="24"/>
        </w:rPr>
        <w:t xml:space="preserve">u ktorých </w:t>
      </w:r>
      <w:r w:rsidRPr="00327718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ôjde v dôsledku návrhu zákona</w:t>
      </w:r>
      <w:r w:rsidRPr="00327718">
        <w:rPr>
          <w:rFonts w:ascii="Times New Roman" w:hAnsi="Times New Roman" w:cs="Times New Roman"/>
          <w:szCs w:val="24"/>
        </w:rPr>
        <w:t xml:space="preserve"> k zníženiu služobného príjmu.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 xml:space="preserve">Príplatok za štátnu službu k dôchodku poberajú bývalí príslušníci, ale aj pozostalí rodinní príslušníci po bývalých príslušníkoch, ktorí neboli v štátnej službe zbore. </w:t>
      </w:r>
      <w:r>
        <w:rPr>
          <w:rFonts w:ascii="Times New Roman" w:hAnsi="Times New Roman" w:cs="Times New Roman"/>
          <w:szCs w:val="24"/>
        </w:rPr>
        <w:t>Týmto návrhom zákona sa n</w:t>
      </w:r>
      <w:r w:rsidRPr="00327718">
        <w:rPr>
          <w:rFonts w:ascii="Times New Roman" w:hAnsi="Times New Roman" w:cs="Times New Roman"/>
          <w:szCs w:val="24"/>
        </w:rPr>
        <w:t>ajmä voči pozostalým rodinným príslušníkom po bývalých príslušníko</w:t>
      </w:r>
      <w:r>
        <w:rPr>
          <w:rFonts w:ascii="Times New Roman" w:hAnsi="Times New Roman" w:cs="Times New Roman"/>
          <w:szCs w:val="24"/>
        </w:rPr>
        <w:t>ch</w:t>
      </w:r>
      <w:r w:rsidRPr="0032771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ukladá </w:t>
      </w:r>
      <w:r w:rsidRPr="00327718">
        <w:rPr>
          <w:rFonts w:ascii="Times New Roman" w:hAnsi="Times New Roman" w:cs="Times New Roman"/>
          <w:szCs w:val="24"/>
        </w:rPr>
        <w:t xml:space="preserve">povinnosť hlásiť včas všetky zmeny, ktoré majú vplyv na výšku sumy a výplatu príplatku za štátnu službu k dôchodku. Navrhovanými ustanoveniami sa zlepší evidencia a kontrola vyplácaných finančných prostriedkov a zabráni sa nezákonnému poberaniu príplatku za štátnu službu k dôchodku a problémom s vymáhaním neoprávnene vyplatených finančných prostriedkov zo štátneho rozpočtu. </w:t>
      </w:r>
    </w:p>
    <w:p w:rsidR="009A6DA7" w:rsidRPr="00D876CE" w:rsidP="009A6DA7">
      <w:pPr>
        <w:ind w:left="360" w:hanging="360"/>
        <w:jc w:val="both"/>
        <w:rPr>
          <w:rFonts w:ascii="Times New Roman" w:hAnsi="Times New Roman" w:cs="Times New Roman"/>
          <w:szCs w:val="24"/>
        </w:rPr>
      </w:pPr>
    </w:p>
    <w:p w:rsidR="009A6DA7" w:rsidRPr="00DE6353" w:rsidP="009A6DA7">
      <w:pPr>
        <w:ind w:left="360" w:hanging="360"/>
        <w:jc w:val="both"/>
        <w:rPr>
          <w:rFonts w:ascii="Times New Roman" w:hAnsi="Times New Roman" w:cs="Times New Roman"/>
          <w:b/>
          <w:szCs w:val="24"/>
        </w:rPr>
      </w:pPr>
      <w:r w:rsidRPr="00327718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95</w:t>
      </w:r>
    </w:p>
    <w:p w:rsidR="009A6DA7" w:rsidP="009A6DA7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BB5F53">
        <w:rPr>
          <w:rFonts w:ascii="Times New Roman" w:hAnsi="Times New Roman" w:cs="Times New Roman"/>
          <w:szCs w:val="24"/>
        </w:rPr>
        <w:t xml:space="preserve">Navrhuje sa </w:t>
      </w:r>
      <w:r>
        <w:rPr>
          <w:rFonts w:ascii="Times New Roman" w:hAnsi="Times New Roman" w:cs="Times New Roman"/>
          <w:szCs w:val="24"/>
        </w:rPr>
        <w:t>vypustiť osobitný  kvalifikačný predpoklad u funkcie hasič, lebo po získaní osobitného kvalifikačného predpokladu je zo zákona príslušník zboru preradený do funkcie hasič záchranár.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DA39B0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DA39B0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96</w:t>
      </w:r>
    </w:p>
    <w:p w:rsidR="009A6DA7" w:rsidRPr="00DA39B0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Navrhuje sa skrátenie doby </w:t>
      </w:r>
      <w:r w:rsidR="00BD7111">
        <w:rPr>
          <w:rFonts w:ascii="Times New Roman" w:hAnsi="Times New Roman" w:cs="Times New Roman"/>
          <w:szCs w:val="24"/>
        </w:rPr>
        <w:t>na</w:t>
      </w:r>
      <w:r>
        <w:rPr>
          <w:rFonts w:ascii="Times New Roman" w:hAnsi="Times New Roman" w:cs="Times New Roman"/>
          <w:szCs w:val="24"/>
        </w:rPr>
        <w:t xml:space="preserve"> získanie osobitného kvalifikačného predpokladu. 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DA39B0">
        <w:rPr>
          <w:rFonts w:ascii="Times New Roman" w:hAnsi="Times New Roman" w:cs="Times New Roman"/>
          <w:b/>
          <w:szCs w:val="24"/>
        </w:rPr>
        <w:t>K bodu 9</w:t>
      </w:r>
      <w:r>
        <w:rPr>
          <w:rFonts w:ascii="Times New Roman" w:hAnsi="Times New Roman" w:cs="Times New Roman"/>
          <w:b/>
          <w:szCs w:val="24"/>
        </w:rPr>
        <w:t>7</w:t>
      </w:r>
    </w:p>
    <w:p w:rsidR="009A6DA7" w:rsidRPr="007A38A6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7A38A6">
        <w:rPr>
          <w:rFonts w:ascii="Times New Roman" w:hAnsi="Times New Roman" w:cs="Times New Roman"/>
          <w:szCs w:val="24"/>
        </w:rPr>
        <w:t>Terminologicky sa zosúlaďuje platný zákon so súvisiacimi právnymi predpismi, v ktorých sa používa pojem „osobitný kvalifikačný predpoklad</w:t>
      </w:r>
      <w:r>
        <w:rPr>
          <w:rFonts w:ascii="Times New Roman" w:hAnsi="Times New Roman" w:cs="Times New Roman"/>
          <w:szCs w:val="24"/>
        </w:rPr>
        <w:t>“</w:t>
      </w:r>
      <w:r w:rsidRPr="007A38A6">
        <w:rPr>
          <w:rFonts w:ascii="Times New Roman" w:hAnsi="Times New Roman" w:cs="Times New Roman"/>
          <w:szCs w:val="24"/>
        </w:rPr>
        <w:t>.</w:t>
      </w:r>
    </w:p>
    <w:p w:rsidR="009A6DA7" w:rsidRPr="007A38A6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98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327718">
        <w:rPr>
          <w:rFonts w:ascii="Times New Roman" w:hAnsi="Times New Roman" w:cs="Times New Roman"/>
          <w:szCs w:val="24"/>
        </w:rPr>
        <w:t>Navrhuje sa nová  stupnica platových taríf podľa plat</w:t>
      </w:r>
      <w:r>
        <w:rPr>
          <w:rFonts w:ascii="Times New Roman" w:hAnsi="Times New Roman" w:cs="Times New Roman"/>
          <w:szCs w:val="24"/>
        </w:rPr>
        <w:t xml:space="preserve">ových tried a platových stupňov, v ktorej sú zohľadnené zrušené zložky služobného príjmu. </w:t>
      </w:r>
    </w:p>
    <w:p w:rsidR="009A6DA7" w:rsidRPr="00D876CE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9515E1">
        <w:rPr>
          <w:rFonts w:ascii="Times New Roman" w:hAnsi="Times New Roman" w:cs="Times New Roman"/>
          <w:b/>
          <w:szCs w:val="24"/>
        </w:rPr>
        <w:t xml:space="preserve">K bodu </w:t>
      </w:r>
      <w:r>
        <w:rPr>
          <w:rFonts w:ascii="Times New Roman" w:hAnsi="Times New Roman" w:cs="Times New Roman"/>
          <w:b/>
          <w:szCs w:val="24"/>
        </w:rPr>
        <w:t>99</w:t>
      </w:r>
    </w:p>
    <w:p w:rsidR="009A6DA7" w:rsidRPr="009515E1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515E1">
        <w:rPr>
          <w:rFonts w:ascii="Times New Roman" w:hAnsi="Times New Roman" w:cs="Times New Roman"/>
          <w:szCs w:val="24"/>
        </w:rPr>
        <w:t xml:space="preserve">Navrhuje sa </w:t>
      </w:r>
      <w:r>
        <w:rPr>
          <w:rFonts w:ascii="Times New Roman" w:hAnsi="Times New Roman" w:cs="Times New Roman"/>
          <w:szCs w:val="24"/>
        </w:rPr>
        <w:t>úprava percentuálneho rozpätia príplatkov za riadenie.</w:t>
      </w:r>
    </w:p>
    <w:p w:rsidR="009A6DA7" w:rsidRPr="00D876CE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CB67FC" w:rsidP="009A6DA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 bodom </w:t>
      </w:r>
      <w:smartTag w:uri="urn:schemas-microsoft-com:office:smarttags" w:element="metricconverter">
        <w:smartTagPr>
          <w:attr w:name="ProductID" w:val="100 a"/>
        </w:smartTagPr>
        <w:r>
          <w:rPr>
            <w:rFonts w:ascii="Times New Roman" w:hAnsi="Times New Roman" w:cs="Times New Roman"/>
            <w:b/>
            <w:szCs w:val="24"/>
          </w:rPr>
          <w:t>100 a</w:t>
        </w:r>
      </w:smartTag>
      <w:r>
        <w:rPr>
          <w:rFonts w:ascii="Times New Roman" w:hAnsi="Times New Roman" w:cs="Times New Roman"/>
          <w:b/>
          <w:szCs w:val="24"/>
        </w:rPr>
        <w:t xml:space="preserve"> 101</w:t>
      </w:r>
    </w:p>
    <w:p w:rsidR="009A6DA7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Toto ustanovenie sa navrhuje novelizovať vzhľadom na skutočnosť, že zrušené smernice už boli implementované do všeobecne záväzných právnych predpisov</w:t>
      </w:r>
      <w:r w:rsidRPr="00A906B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 pôsobnosti Ministerstva vnútra Slovenskej republiky; Ministerstv</w:t>
      </w:r>
      <w:r w:rsidR="00BD7111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vnútra Slovenskej republiky len notifikovalo tieto zákony k ich smernici 2006/54/ES.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 bodu 102</w:t>
      </w:r>
    </w:p>
    <w:p w:rsidR="009A6DA7" w:rsidRPr="00327718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Navrhované zmena bola vykonaná v súlade so zákonom č. 2/1991 Zb. o kolektívnom vyjednávaní v znení neskorších predpisov.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P="009A6DA7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 č</w:t>
      </w:r>
      <w:r w:rsidRPr="00327718">
        <w:rPr>
          <w:rFonts w:ascii="Times New Roman" w:hAnsi="Times New Roman" w:cs="Times New Roman"/>
          <w:b/>
          <w:szCs w:val="24"/>
        </w:rPr>
        <w:t>l. I</w:t>
      </w:r>
      <w:r>
        <w:rPr>
          <w:rFonts w:ascii="Times New Roman" w:hAnsi="Times New Roman" w:cs="Times New Roman"/>
          <w:b/>
          <w:szCs w:val="24"/>
        </w:rPr>
        <w:t>I</w:t>
      </w:r>
      <w:r w:rsidRPr="00327718">
        <w:rPr>
          <w:rFonts w:ascii="Times New Roman" w:hAnsi="Times New Roman" w:cs="Times New Roman"/>
          <w:b/>
          <w:szCs w:val="24"/>
        </w:rPr>
        <w:t>:</w:t>
      </w:r>
    </w:p>
    <w:p w:rsidR="009A6DA7" w:rsidRPr="00F165D1" w:rsidP="009A6DA7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165D1">
        <w:rPr>
          <w:rFonts w:ascii="Times New Roman" w:hAnsi="Times New Roman" w:cs="Times New Roman"/>
          <w:szCs w:val="24"/>
        </w:rPr>
        <w:t>V súvislosti s novým znením § 60 ods. 2, ktorý umožňuje skončiť služobný pomer príslušníka odvolaním z</w:t>
      </w:r>
      <w:r>
        <w:rPr>
          <w:rFonts w:ascii="Times New Roman" w:hAnsi="Times New Roman" w:cs="Times New Roman"/>
          <w:szCs w:val="24"/>
        </w:rPr>
        <w:t> </w:t>
      </w:r>
      <w:r w:rsidRPr="00F165D1">
        <w:rPr>
          <w:rFonts w:ascii="Times New Roman" w:hAnsi="Times New Roman" w:cs="Times New Roman"/>
          <w:szCs w:val="24"/>
        </w:rPr>
        <w:t>funkcie</w:t>
      </w:r>
      <w:r>
        <w:rPr>
          <w:rFonts w:ascii="Times New Roman" w:hAnsi="Times New Roman" w:cs="Times New Roman"/>
          <w:szCs w:val="24"/>
        </w:rPr>
        <w:t>,</w:t>
      </w:r>
      <w:r w:rsidRPr="00F165D1">
        <w:rPr>
          <w:rFonts w:ascii="Times New Roman" w:hAnsi="Times New Roman" w:cs="Times New Roman"/>
          <w:szCs w:val="24"/>
        </w:rPr>
        <w:t xml:space="preserve"> ak spĺňa podmienky nároku na výsluhový dôchodok po dovŕšení veku 55 rokov alebo nároku na starobný dôchodok, je potrebné vykonať úpravu znenia § 30 zákona č. 328/2002 Z. z., aby tomuto príslušníkovi vznikol nárok na odchodné.</w:t>
      </w:r>
    </w:p>
    <w:p w:rsidR="009A6DA7" w:rsidP="009A6DA7">
      <w:pPr>
        <w:jc w:val="both"/>
        <w:rPr>
          <w:rFonts w:ascii="Times New Roman" w:hAnsi="Times New Roman" w:cs="Times New Roman"/>
          <w:szCs w:val="24"/>
        </w:rPr>
      </w:pPr>
    </w:p>
    <w:p w:rsidR="009A6DA7" w:rsidRPr="00445DB9" w:rsidP="009A6DA7">
      <w:pPr>
        <w:jc w:val="both"/>
        <w:rPr>
          <w:rFonts w:ascii="Times New Roman" w:hAnsi="Times New Roman" w:cs="Times New Roman"/>
          <w:b/>
          <w:szCs w:val="24"/>
        </w:rPr>
      </w:pPr>
      <w:r w:rsidRPr="00445DB9">
        <w:rPr>
          <w:rFonts w:ascii="Times New Roman" w:hAnsi="Times New Roman" w:cs="Times New Roman"/>
          <w:b/>
          <w:szCs w:val="24"/>
        </w:rPr>
        <w:t xml:space="preserve">K </w:t>
      </w:r>
      <w:r>
        <w:rPr>
          <w:rFonts w:ascii="Times New Roman" w:hAnsi="Times New Roman" w:cs="Times New Roman"/>
          <w:b/>
          <w:szCs w:val="24"/>
        </w:rPr>
        <w:t>č</w:t>
      </w:r>
      <w:r w:rsidRPr="00445DB9">
        <w:rPr>
          <w:rFonts w:ascii="Times New Roman" w:hAnsi="Times New Roman" w:cs="Times New Roman"/>
          <w:b/>
          <w:szCs w:val="24"/>
        </w:rPr>
        <w:t>l. III</w:t>
      </w:r>
      <w:r>
        <w:rPr>
          <w:rFonts w:ascii="Times New Roman" w:hAnsi="Times New Roman" w:cs="Times New Roman"/>
          <w:b/>
          <w:szCs w:val="24"/>
        </w:rPr>
        <w:t>:</w:t>
      </w:r>
    </w:p>
    <w:p w:rsidR="009A6DA7" w:rsidP="009A6DA7">
      <w:pPr>
        <w:autoSpaceDE w:val="0"/>
        <w:autoSpaceDN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Účinnosť zákona sa navrhuje vzhľadom na predpokladanú dĺžku legislatívneho procesu. </w:t>
      </w:r>
    </w:p>
    <w:p w:rsidR="009A6DA7" w:rsidP="009A6DA7">
      <w:pPr>
        <w:rPr>
          <w:szCs w:val="24"/>
        </w:rPr>
      </w:pPr>
    </w:p>
    <w:p w:rsidR="00147AE0" w:rsidRPr="00147AE0" w:rsidP="00147AE0">
      <w:pPr>
        <w:rPr>
          <w:rFonts w:ascii="Times New Roman" w:hAnsi="Times New Roman" w:cs="Times New Roman"/>
          <w:szCs w:val="24"/>
        </w:rPr>
      </w:pPr>
      <w:r w:rsidRPr="00147AE0">
        <w:rPr>
          <w:rFonts w:ascii="Times New Roman" w:hAnsi="Times New Roman" w:cs="Times New Roman"/>
          <w:szCs w:val="24"/>
        </w:rPr>
        <w:t xml:space="preserve">V Bratislave </w:t>
      </w:r>
      <w:r>
        <w:rPr>
          <w:rFonts w:ascii="Times New Roman" w:hAnsi="Times New Roman" w:cs="Times New Roman"/>
          <w:szCs w:val="24"/>
        </w:rPr>
        <w:t>14. januára 2009</w:t>
      </w:r>
    </w:p>
    <w:p w:rsidR="00147AE0" w:rsidRPr="00147AE0" w:rsidP="00147AE0">
      <w:pPr>
        <w:rPr>
          <w:rFonts w:ascii="Times New Roman" w:hAnsi="Times New Roman" w:cs="Times New Roman"/>
          <w:szCs w:val="24"/>
        </w:rPr>
      </w:pPr>
    </w:p>
    <w:p w:rsidR="00147AE0" w:rsidRPr="00147AE0" w:rsidP="00147AE0">
      <w:pPr>
        <w:rPr>
          <w:rFonts w:ascii="Times New Roman" w:hAnsi="Times New Roman" w:cs="Times New Roman"/>
          <w:szCs w:val="24"/>
        </w:rPr>
      </w:pPr>
    </w:p>
    <w:p w:rsidR="00147AE0" w:rsidRPr="00147AE0" w:rsidP="00147AE0">
      <w:pPr>
        <w:rPr>
          <w:rFonts w:ascii="Times New Roman" w:hAnsi="Times New Roman" w:cs="Times New Roman"/>
          <w:szCs w:val="24"/>
        </w:rPr>
      </w:pPr>
    </w:p>
    <w:p w:rsidR="00147AE0" w:rsidRPr="00147AE0" w:rsidP="00147AE0">
      <w:pPr>
        <w:rPr>
          <w:rFonts w:ascii="Times New Roman" w:hAnsi="Times New Roman" w:cs="Times New Roman"/>
          <w:szCs w:val="24"/>
        </w:rPr>
      </w:pPr>
    </w:p>
    <w:p w:rsidR="00147AE0" w:rsidRPr="00147AE0" w:rsidP="00147AE0">
      <w:pPr>
        <w:rPr>
          <w:rFonts w:ascii="Times New Roman" w:hAnsi="Times New Roman" w:cs="Times New Roman"/>
          <w:szCs w:val="24"/>
        </w:rPr>
      </w:pP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  <w:r w:rsidRPr="00147AE0">
        <w:rPr>
          <w:rFonts w:ascii="Times New Roman" w:hAnsi="Times New Roman" w:cs="Times New Roman"/>
          <w:b/>
          <w:szCs w:val="24"/>
        </w:rPr>
        <w:t xml:space="preserve"> Robert FICO </w:t>
      </w: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  <w:r w:rsidRPr="00147AE0">
        <w:rPr>
          <w:rFonts w:ascii="Times New Roman" w:hAnsi="Times New Roman" w:cs="Times New Roman"/>
          <w:b/>
          <w:szCs w:val="24"/>
        </w:rPr>
        <w:t>predseda vlády</w:t>
      </w: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  <w:r w:rsidRPr="00147AE0">
        <w:rPr>
          <w:rFonts w:ascii="Times New Roman" w:hAnsi="Times New Roman" w:cs="Times New Roman"/>
          <w:b/>
          <w:szCs w:val="24"/>
        </w:rPr>
        <w:t>Slovenskej republiky</w:t>
      </w: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  <w:r w:rsidRPr="00147AE0">
        <w:rPr>
          <w:rFonts w:ascii="Times New Roman" w:hAnsi="Times New Roman" w:cs="Times New Roman"/>
          <w:b/>
          <w:szCs w:val="24"/>
        </w:rPr>
        <w:t xml:space="preserve">Robert </w:t>
      </w:r>
      <w:r w:rsidRPr="00147AE0">
        <w:rPr>
          <w:rFonts w:ascii="Times New Roman" w:hAnsi="Times New Roman" w:cs="Times New Roman"/>
          <w:b/>
          <w:caps/>
          <w:szCs w:val="24"/>
        </w:rPr>
        <w:t xml:space="preserve">Kaliňák </w:t>
      </w: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b/>
          <w:szCs w:val="24"/>
        </w:rPr>
      </w:pPr>
      <w:r w:rsidRPr="00147AE0">
        <w:rPr>
          <w:rFonts w:ascii="Times New Roman" w:hAnsi="Times New Roman" w:cs="Times New Roman"/>
          <w:b/>
          <w:szCs w:val="24"/>
        </w:rPr>
        <w:t>podpredseda vlády a minister vnútra</w:t>
      </w:r>
    </w:p>
    <w:p w:rsidR="00147AE0" w:rsidRPr="00147AE0" w:rsidP="00147AE0">
      <w:pPr>
        <w:ind w:firstLine="3828"/>
        <w:jc w:val="center"/>
        <w:rPr>
          <w:rFonts w:ascii="Times New Roman" w:hAnsi="Times New Roman" w:cs="Times New Roman"/>
          <w:szCs w:val="24"/>
        </w:rPr>
      </w:pPr>
      <w:r w:rsidRPr="00147AE0">
        <w:rPr>
          <w:rFonts w:ascii="Times New Roman" w:hAnsi="Times New Roman" w:cs="Times New Roman"/>
          <w:b/>
          <w:szCs w:val="24"/>
        </w:rPr>
        <w:t>Slovenskej republiky</w:t>
      </w:r>
    </w:p>
    <w:p w:rsidR="00147AE0" w:rsidP="00147AE0">
      <w:pPr>
        <w:jc w:val="both"/>
        <w:rPr>
          <w:szCs w:val="24"/>
        </w:rPr>
      </w:pPr>
    </w:p>
    <w:p w:rsidR="00147AE0" w:rsidP="00147AE0">
      <w:pPr>
        <w:rPr>
          <w:color w:val="000000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tabs>
          <w:tab w:val="num" w:pos="360"/>
        </w:tabs>
        <w:ind w:left="360"/>
        <w:rPr>
          <w:rFonts w:ascii="Times New Roman" w:hAnsi="Times New Roman" w:cs="Times New Roman"/>
          <w:szCs w:val="24"/>
        </w:rPr>
      </w:pPr>
    </w:p>
    <w:p w:rsidR="00B46F15" w:rsidP="00B46F15">
      <w:pPr>
        <w:rPr>
          <w:szCs w:val="24"/>
        </w:rPr>
      </w:pPr>
    </w:p>
    <w:p w:rsidR="00B46F15" w:rsidP="00770A33">
      <w:pPr>
        <w:rPr>
          <w:rFonts w:ascii="Times New Roman" w:hAnsi="Times New Roman" w:cs="Times New Roman"/>
          <w:szCs w:val="24"/>
        </w:rPr>
      </w:pPr>
    </w:p>
    <w:sectPr w:rsidSect="005C35B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BE" w:rsidP="001A52BC">
    <w:pPr>
      <w:pStyle w:val="Footer"/>
      <w:framePr w:wrap="around" w:vAnchor="text" w:hAnchor="margin" w:xAlign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szCs w:val="24"/>
      </w:rPr>
      <w:fldChar w:fldCharType="end"/>
    </w:r>
  </w:p>
  <w:p w:rsidR="005C35BE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BE" w:rsidP="001A52BC">
    <w:pPr>
      <w:pStyle w:val="Footer"/>
      <w:framePr w:wrap="around" w:vAnchor="text" w:hAnchor="margin" w:xAlign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B76BE5">
      <w:rPr>
        <w:rStyle w:val="PageNumber"/>
        <w:noProof/>
        <w:szCs w:val="24"/>
      </w:rPr>
      <w:t>14</w:t>
    </w:r>
    <w:r>
      <w:rPr>
        <w:rStyle w:val="PageNumber"/>
        <w:szCs w:val="24"/>
      </w:rPr>
      <w:fldChar w:fldCharType="end"/>
    </w:r>
  </w:p>
  <w:p w:rsidR="005C35BE">
    <w:pPr>
      <w:pStyle w:val="Footer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7D7"/>
    <w:multiLevelType w:val="multilevel"/>
    <w:tmpl w:val="91E45B0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403"/>
        </w:tabs>
        <w:ind w:left="2403" w:hanging="975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2C3DC1"/>
    <w:multiLevelType w:val="hybridMultilevel"/>
    <w:tmpl w:val="CAE42144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E5E34"/>
    <w:multiLevelType w:val="multilevel"/>
    <w:tmpl w:val="96B6694A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1758"/>
        </w:tabs>
        <w:ind w:left="1758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10DC5"/>
    <w:multiLevelType w:val="hybridMultilevel"/>
    <w:tmpl w:val="782EF648"/>
    <w:lvl w:ilvl="0">
      <w:start w:val="3"/>
      <w:numFmt w:val="lowerLetter"/>
      <w:lvlText w:val="%1)"/>
      <w:lvlJc w:val="left"/>
      <w:pPr>
        <w:tabs>
          <w:tab w:val="num" w:pos="624"/>
        </w:tabs>
        <w:ind w:left="624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148C7"/>
    <w:multiLevelType w:val="multilevel"/>
    <w:tmpl w:val="593A9D12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5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F50E0"/>
    <w:multiLevelType w:val="hybridMultilevel"/>
    <w:tmpl w:val="93665DE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747AB"/>
    <w:multiLevelType w:val="hybridMultilevel"/>
    <w:tmpl w:val="9522D9F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5C504F9"/>
    <w:multiLevelType w:val="hybridMultilevel"/>
    <w:tmpl w:val="7DBAD63E"/>
    <w:lvl w:ilvl="0">
      <w:start w:val="1"/>
      <w:numFmt w:val="lowerLetter"/>
      <w:lvlText w:val="%1)"/>
      <w:lvlJc w:val="left"/>
      <w:pPr>
        <w:tabs>
          <w:tab w:val="num" w:pos="992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84249"/>
    <w:multiLevelType w:val="hybridMultilevel"/>
    <w:tmpl w:val="22FEAEC4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D4457"/>
    <w:multiLevelType w:val="hybridMultilevel"/>
    <w:tmpl w:val="0048129C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EB08C9"/>
    <w:rsid w:val="000D1FBD"/>
    <w:rsid w:val="00142992"/>
    <w:rsid w:val="00147AE0"/>
    <w:rsid w:val="00154A9C"/>
    <w:rsid w:val="001701E6"/>
    <w:rsid w:val="001A45C0"/>
    <w:rsid w:val="001A52BC"/>
    <w:rsid w:val="001B17EB"/>
    <w:rsid w:val="0020057B"/>
    <w:rsid w:val="0020713C"/>
    <w:rsid w:val="00223E2C"/>
    <w:rsid w:val="00225AAF"/>
    <w:rsid w:val="002822AE"/>
    <w:rsid w:val="002A46B5"/>
    <w:rsid w:val="002D767B"/>
    <w:rsid w:val="00327718"/>
    <w:rsid w:val="003B0269"/>
    <w:rsid w:val="003F3CC8"/>
    <w:rsid w:val="00445DB9"/>
    <w:rsid w:val="00493353"/>
    <w:rsid w:val="004C245C"/>
    <w:rsid w:val="004C41D4"/>
    <w:rsid w:val="004C6498"/>
    <w:rsid w:val="00570940"/>
    <w:rsid w:val="00593EB2"/>
    <w:rsid w:val="00595FD3"/>
    <w:rsid w:val="005B6D42"/>
    <w:rsid w:val="005C35BE"/>
    <w:rsid w:val="00624B8D"/>
    <w:rsid w:val="0065219B"/>
    <w:rsid w:val="006848AD"/>
    <w:rsid w:val="006A0E67"/>
    <w:rsid w:val="006C04AF"/>
    <w:rsid w:val="006E3DD4"/>
    <w:rsid w:val="006E5D39"/>
    <w:rsid w:val="00701A52"/>
    <w:rsid w:val="00735ADB"/>
    <w:rsid w:val="00770A33"/>
    <w:rsid w:val="007A38A6"/>
    <w:rsid w:val="007D3081"/>
    <w:rsid w:val="007E3018"/>
    <w:rsid w:val="007F1C3E"/>
    <w:rsid w:val="007F6180"/>
    <w:rsid w:val="008366B7"/>
    <w:rsid w:val="00861BF4"/>
    <w:rsid w:val="00882B00"/>
    <w:rsid w:val="008C7A50"/>
    <w:rsid w:val="008D31CA"/>
    <w:rsid w:val="009515E1"/>
    <w:rsid w:val="009945E0"/>
    <w:rsid w:val="009A6DA7"/>
    <w:rsid w:val="009B1D7A"/>
    <w:rsid w:val="009D6D0D"/>
    <w:rsid w:val="009E3810"/>
    <w:rsid w:val="009F706C"/>
    <w:rsid w:val="00A25166"/>
    <w:rsid w:val="00A359B1"/>
    <w:rsid w:val="00A37DDD"/>
    <w:rsid w:val="00A45EE4"/>
    <w:rsid w:val="00A906BF"/>
    <w:rsid w:val="00AA5972"/>
    <w:rsid w:val="00AE0A3E"/>
    <w:rsid w:val="00B12DD2"/>
    <w:rsid w:val="00B46F15"/>
    <w:rsid w:val="00B56DA3"/>
    <w:rsid w:val="00B748BD"/>
    <w:rsid w:val="00B76BE5"/>
    <w:rsid w:val="00B97414"/>
    <w:rsid w:val="00BB5F53"/>
    <w:rsid w:val="00BD7111"/>
    <w:rsid w:val="00BD76DE"/>
    <w:rsid w:val="00BE4918"/>
    <w:rsid w:val="00C12F65"/>
    <w:rsid w:val="00C21C00"/>
    <w:rsid w:val="00C32A30"/>
    <w:rsid w:val="00C460CE"/>
    <w:rsid w:val="00C52789"/>
    <w:rsid w:val="00C6760F"/>
    <w:rsid w:val="00C940B9"/>
    <w:rsid w:val="00CA37B3"/>
    <w:rsid w:val="00CB1666"/>
    <w:rsid w:val="00CB2A81"/>
    <w:rsid w:val="00CB31EC"/>
    <w:rsid w:val="00CB67FC"/>
    <w:rsid w:val="00D10699"/>
    <w:rsid w:val="00D1261D"/>
    <w:rsid w:val="00D223C6"/>
    <w:rsid w:val="00D31C3A"/>
    <w:rsid w:val="00D60A5D"/>
    <w:rsid w:val="00D8620F"/>
    <w:rsid w:val="00D876CE"/>
    <w:rsid w:val="00DA39B0"/>
    <w:rsid w:val="00DE6353"/>
    <w:rsid w:val="00E17615"/>
    <w:rsid w:val="00E24C89"/>
    <w:rsid w:val="00E355E3"/>
    <w:rsid w:val="00E46CDC"/>
    <w:rsid w:val="00E85488"/>
    <w:rsid w:val="00EB08C9"/>
    <w:rsid w:val="00EB380F"/>
    <w:rsid w:val="00EC1550"/>
    <w:rsid w:val="00EF6BAE"/>
    <w:rsid w:val="00F165D1"/>
    <w:rsid w:val="00F71B5F"/>
    <w:rsid w:val="00F947DC"/>
    <w:rsid w:val="00FC6B64"/>
    <w:rsid w:val="00FF5EC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B08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character" w:default="1" w:styleId="DefaultParagraphFont">
    <w:name w:val="Default Paragraph Font"/>
    <w:link w:val="1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uiPriority w:val="99"/>
    <w:rsid w:val="00EB08C9"/>
    <w:pPr>
      <w:ind w:firstLine="708"/>
      <w:jc w:val="both"/>
    </w:pPr>
  </w:style>
  <w:style w:type="paragraph" w:styleId="BodyText">
    <w:name w:val="Body Text"/>
    <w:basedOn w:val="Normal"/>
    <w:uiPriority w:val="99"/>
    <w:rsid w:val="00C12F65"/>
    <w:pPr>
      <w:spacing w:after="120"/>
      <w:jc w:val="left"/>
    </w:pPr>
  </w:style>
  <w:style w:type="paragraph" w:styleId="Footer">
    <w:name w:val="footer"/>
    <w:basedOn w:val="Normal"/>
    <w:uiPriority w:val="99"/>
    <w:rsid w:val="00C12F65"/>
    <w:pPr>
      <w:tabs>
        <w:tab w:val="center" w:pos="4536"/>
        <w:tab w:val="right" w:pos="9072"/>
      </w:tabs>
      <w:jc w:val="left"/>
    </w:pPr>
  </w:style>
  <w:style w:type="paragraph" w:styleId="Title">
    <w:name w:val="Title"/>
    <w:basedOn w:val="Normal"/>
    <w:uiPriority w:val="99"/>
    <w:rsid w:val="00C12F65"/>
    <w:pPr>
      <w:autoSpaceDE w:val="0"/>
      <w:autoSpaceDN w:val="0"/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C12F65"/>
    <w:rPr>
      <w:color w:val="808080"/>
    </w:rPr>
  </w:style>
  <w:style w:type="paragraph" w:styleId="BodyText2">
    <w:name w:val="Body Text 2"/>
    <w:basedOn w:val="Normal"/>
    <w:uiPriority w:val="99"/>
    <w:rsid w:val="009A6DA7"/>
    <w:pPr>
      <w:spacing w:after="120" w:line="480" w:lineRule="auto"/>
      <w:jc w:val="left"/>
    </w:pPr>
  </w:style>
  <w:style w:type="character" w:styleId="PageNumber">
    <w:name w:val="page number"/>
    <w:basedOn w:val="DefaultParagraphFont"/>
    <w:uiPriority w:val="99"/>
    <w:rsid w:val="005C35BE"/>
  </w:style>
  <w:style w:type="paragraph" w:styleId="BalloonText">
    <w:name w:val="Balloon Text"/>
    <w:basedOn w:val="Normal"/>
    <w:uiPriority w:val="99"/>
    <w:semiHidden/>
    <w:rsid w:val="005C35BE"/>
    <w:pPr>
      <w:jc w:val="left"/>
    </w:pPr>
    <w:rPr>
      <w:rFonts w:ascii="Tahoma" w:hAnsi="Tahoma" w:cs="Tahoma"/>
      <w:sz w:val="16"/>
    </w:rPr>
  </w:style>
  <w:style w:type="paragraph" w:customStyle="1" w:styleId="1Char">
    <w:name w:val="1 Char"/>
    <w:basedOn w:val="Normal"/>
    <w:link w:val="DefaultParagraphFont"/>
    <w:uiPriority w:val="99"/>
    <w:rsid w:val="00147AE0"/>
    <w:pPr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14</Pages>
  <Words>4146</Words>
  <Characters>23634</Characters>
  <Application>Microsoft Office Word</Application>
  <DocSecurity>0</DocSecurity>
  <Lines>0</Lines>
  <Paragraphs>0</Paragraphs>
  <ScaleCrop>false</ScaleCrop>
  <Company>MVSR</Company>
  <LinksUpToDate>false</LinksUpToDate>
  <CharactersWithSpaces>27725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kralovae</dc:creator>
  <cp:lastModifiedBy>harustak</cp:lastModifiedBy>
  <cp:revision>8</cp:revision>
  <cp:lastPrinted>2008-12-19T11:11:00Z</cp:lastPrinted>
  <dcterms:created xsi:type="dcterms:W3CDTF">2008-12-19T11:08:00Z</dcterms:created>
  <dcterms:modified xsi:type="dcterms:W3CDTF">2009-01-14T12:33:00Z</dcterms:modified>
</cp:coreProperties>
</file>