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4A60F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  <w:r w:rsidR="00A33782">
        <w:rPr>
          <w:rFonts w:ascii="Times New Roman" w:hAnsi="Times New Roman" w:cs="Times New Roman"/>
        </w:rPr>
        <w:t>z 3. decembra</w:t>
      </w:r>
      <w:r>
        <w:rPr>
          <w:rFonts w:ascii="Times New Roman" w:hAnsi="Times New Roman" w:cs="Times New Roman"/>
        </w:rPr>
        <w:t xml:space="preserve"> 2008</w:t>
      </w: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 prevencii kriminality a inej protispoločenskej činnosti a o zmene a doplnení </w:t>
      </w:r>
      <w:r w:rsidR="00A33782">
        <w:rPr>
          <w:rFonts w:ascii="Times New Roman" w:hAnsi="Times New Roman" w:cs="Times New Roman"/>
          <w:b/>
          <w:color w:val="000000"/>
        </w:rPr>
        <w:t xml:space="preserve">niektorých </w:t>
      </w:r>
      <w:r>
        <w:rPr>
          <w:rFonts w:ascii="Times New Roman" w:hAnsi="Times New Roman" w:cs="Times New Roman"/>
          <w:b/>
          <w:color w:val="000000"/>
        </w:rPr>
        <w:t>zákon</w:t>
      </w:r>
      <w:r w:rsidR="00A33782">
        <w:rPr>
          <w:rFonts w:ascii="Times New Roman" w:hAnsi="Times New Roman" w:cs="Times New Roman"/>
          <w:b/>
          <w:color w:val="000000"/>
        </w:rPr>
        <w:t>ov</w:t>
      </w: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0949D1">
      <w:pPr>
        <w:pStyle w:val="BodyText3"/>
        <w:spacing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0949D1">
      <w:pPr>
        <w:pStyle w:val="Title"/>
        <w:ind w:firstLine="540"/>
        <w:jc w:val="left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jc w:val="left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Čl. I</w:t>
      </w: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Základné ustanovenia</w:t>
      </w: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§ 1</w:t>
      </w:r>
    </w:p>
    <w:p w:rsidR="000949D1">
      <w:pPr>
        <w:pStyle w:val="BodyTextIndent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ustanovuje organizáciu a pôsobnosť orgánov verejnej moci v oblasti prevencie kriminality a inej protispoločenskej činnosti</w:t>
      </w:r>
      <w:r>
        <w:rPr>
          <w:rFonts w:ascii="Times New Roman" w:hAnsi="Times New Roman" w:cs="Times New Roman"/>
          <w:color w:val="000000"/>
        </w:rPr>
        <w:t xml:space="preserve"> a upravuje poskytovanie dotácií zo štátneho rozpočtu (ďalej len „dotácia“) na financovanie projektov v uvedenej oblasti.</w:t>
      </w:r>
    </w:p>
    <w:p w:rsidR="000949D1">
      <w:pPr>
        <w:pStyle w:val="BodyTextIndent2"/>
        <w:ind w:firstLine="540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je povinný podľa svojich možností a schopností konať tak, aby predchádzal alebo zamedzil vzniku a šíreniu kriminality a inej protispoločenskej činnosti.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účely tohto zákona sa rozumie</w:t>
      </w:r>
    </w:p>
    <w:p w:rsidR="000949D1">
      <w:pPr>
        <w:spacing w:after="120"/>
        <w:ind w:left="720" w:hanging="1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p</w:t>
      </w:r>
      <w:r>
        <w:rPr>
          <w:rFonts w:ascii="Times New Roman" w:hAnsi="Times New Roman" w:cs="Times New Roman"/>
        </w:rPr>
        <w:t>revenciou kriminality cieľavedomé, plánovité, koordinované a komplexné pôsobenie na príčiny a podmienky, ktoré vyvolávajú alebo umožňujú kriminalitu a inú protispoločenskú činnosť, s cieľom ich predchádzania, potláčania a zamedzovania; to sa vzťahuje aj na prevenciu inej protispoločenskej činnosti,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b) kriminalitou konanie, ktoré je trestným činom,</w:t>
      </w:r>
    </w:p>
    <w:p w:rsidR="000949D1">
      <w:pPr>
        <w:pStyle w:val="BodyTextIndent"/>
        <w:ind w:left="72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c) inou protispoločenskou činnosťou konanie, ktoré je priestupkom alebo iným správnym deliktom; za inú protispoločenskú činnosť sa považuje aj konanie, ktoré nie je priestupkom alebo iným správnym deliktom, ale pôsobí negatívne na spoločnosť.</w:t>
      </w:r>
    </w:p>
    <w:p w:rsidR="000949D1" w:rsidP="004A60F1">
      <w:pPr>
        <w:spacing w:after="240"/>
        <w:jc w:val="both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4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Orgány verejnej moci v oblasti prevencie kriminality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b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 Pôsobnosť v oblasti prevencie kriminality vykonávajú</w:t>
      </w:r>
    </w:p>
    <w:p w:rsidR="000949D1">
      <w:pPr>
        <w:spacing w:after="1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vláda Slovenskej republiky (ďalej len „vláda“),</w:t>
      </w:r>
    </w:p>
    <w:p w:rsidR="000949D1">
      <w:pPr>
        <w:spacing w:after="12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ministerstvá a ostatné ústredné orgány štátnej správy (ďalej len „ministerst</w:t>
      </w:r>
      <w:r>
        <w:rPr>
          <w:rFonts w:ascii="Times New Roman" w:hAnsi="Times New Roman" w:cs="Times New Roman"/>
          <w:color w:val="000000"/>
        </w:rPr>
        <w:t>vo“),</w:t>
      </w:r>
    </w:p>
    <w:p w:rsidR="000949D1">
      <w:pPr>
        <w:spacing w:after="1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obvodné úrady v sídlach krajov a iné miestne orgány štátnej správy,</w:t>
      </w:r>
    </w:p>
    <w:p w:rsidR="000949D1">
      <w:pPr>
        <w:spacing w:after="1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ostatné orgány verejnej moci.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Orgány verejnej moci uvedené v odseku 1 predchádzajú kriminalite a inej protispoločenskej činnosti najmä tým, že v rozsahu svojej pôsobnosti ustanovenej osobitnými predpismi pôsobia na dodržiavanie zákonnosti fyzickými osobami a právnickými osobami.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5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Vláda</w:t>
      </w:r>
    </w:p>
    <w:p w:rsidR="000949D1">
      <w:pPr>
        <w:spacing w:after="12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 Vláda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prijíma </w:t>
      </w:r>
      <w:r>
        <w:rPr>
          <w:rFonts w:ascii="Times New Roman" w:hAnsi="Times New Roman" w:cs="Times New Roman"/>
        </w:rPr>
        <w:t xml:space="preserve">koncepčné a koordinačné opatrenia </w:t>
      </w:r>
      <w:r>
        <w:rPr>
          <w:rFonts w:ascii="Times New Roman" w:hAnsi="Times New Roman" w:cs="Times New Roman"/>
          <w:color w:val="000000"/>
        </w:rPr>
        <w:t>v oblasti prevencie kriminality,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b) schvaľuje stratégiu prevencie kriminality ako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základný programový dokument, v ktorom určuje na príslušné obdobie ciele, priority a úlohy v oblasti prevencie kriminality a spôsoby ich uskutočňovania,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schvaľuje hodnotiacu správu o plnení úloh vyplývajúcich zo stratégie prevencie kriminality.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</w:p>
    <w:p w:rsidR="000949D1">
      <w:pPr>
        <w:pStyle w:val="BodyText2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Rada vlády Slovenskej republiky pre prevenciu kriminality (ďalej len „rada“) je stály poradný, iniciatívny, koordinačný a odborný orgán vlády pre oblasť prevencie kriminality. Predsedom rady je minister vnútra Slovenskej republiky a podpredsedom rady je minister spravodlivosti Slovenskej republiky. Ďalších členov rady vymenúva a odvoláva vláda na návrh ministra vnútra Slovenskej republiky.</w:t>
      </w:r>
    </w:p>
    <w:p w:rsidR="000949D1">
      <w:pPr>
        <w:pStyle w:val="BodyText2"/>
        <w:tabs>
          <w:tab w:val="left" w:pos="900"/>
          <w:tab w:val="left" w:pos="2130"/>
        </w:tabs>
        <w:spacing w:after="0"/>
        <w:ind w:firstLine="540"/>
        <w:jc w:val="both"/>
        <w:rPr>
          <w:rFonts w:ascii="Times New Roman" w:hAnsi="Times New Roman" w:cs="Times New Roman"/>
        </w:rPr>
      </w:pPr>
    </w:p>
    <w:p w:rsidR="000949D1">
      <w:pPr>
        <w:pStyle w:val="BodyText2"/>
        <w:spacing w:after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Rada v oblasti prevencie kriminality najmä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predkladá vláde na schválenie návrh stratégie prevencie kriminality,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) predkladá vláde na schválenie hodnotiacu správu o plnení úloh vyplývajúcich zo stratégie prevencie kriminality za predchádzajúci kalendárny rok,</w:t>
      </w:r>
    </w:p>
    <w:p w:rsidR="000949D1" w:rsidP="00BA6904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koordinuje činnosť krajských koordinátorov pre prevenciu kriminality na obvodných úradoch v sídlach krajov</w:t>
      </w:r>
      <w:r>
        <w:rPr>
          <w:rFonts w:ascii="Times New Roman" w:hAnsi="Times New Roman" w:cs="Times New Roman"/>
          <w:color w:val="000000"/>
        </w:rPr>
        <w:t>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d) zverejňuje na internetovej stránke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 xml:space="preserve">stva vnútra Slovenskej republiky (ďalej len „ministerstvo vnútra“) výzvy na predkladanie projektov, </w:t>
      </w:r>
      <w:r>
        <w:rPr>
          <w:rFonts w:ascii="Times New Roman" w:hAnsi="Times New Roman" w:cs="Times New Roman"/>
        </w:rPr>
        <w:t>schvaľuje projekty a schvaľuje poskytnutie dotácií na ich financovanie do 31. marca príslušného kalendárneho</w:t>
      </w:r>
      <w:r>
        <w:rPr>
          <w:rFonts w:ascii="Times New Roman" w:hAnsi="Times New Roman" w:cs="Times New Roman"/>
        </w:rPr>
        <w:t xml:space="preserve"> roka; pritom prihliada predovšetkým na priority uvedené v stratégii prevencie kriminality,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spolupracuje s medzinárodnými organizáciami a inými zahraničnými inštitúciami.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(4) Rada je kontaktným miestom v rámci Európskej siete na prevenciu kriminality.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2"/>
      </w:r>
      <w:r>
        <w:rPr>
          <w:rFonts w:ascii="Times New Roman" w:hAnsi="Times New Roman" w:cs="Times New Roman"/>
          <w:color w:val="000000"/>
          <w:vertAlign w:val="superscript"/>
        </w:rPr>
        <w:t>)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(5) Členstvo v rade je čestné.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(6) Podrobnosti o zložení rady a o jej úlohách a činnosti upravuje štatút rady, ktorý schvaľuje vláda.</w:t>
      </w:r>
    </w:p>
    <w:p w:rsidR="000949D1">
      <w:pPr>
        <w:spacing w:before="100" w:after="100"/>
        <w:ind w:firstLine="539"/>
        <w:jc w:val="both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(7) Činnosť rady organizačne a administratívne zabezpečuje ministerstvo vnútra.</w:t>
      </w:r>
    </w:p>
    <w:p w:rsidR="000949D1">
      <w:pPr>
        <w:spacing w:before="100" w:after="100"/>
        <w:ind w:firstLine="539"/>
        <w:jc w:val="both"/>
        <w:outlineLvl w:val="4"/>
        <w:rPr>
          <w:rFonts w:ascii="Times New Roman" w:hAnsi="Times New Roman" w:cs="Times New Roman"/>
          <w:color w:val="000000"/>
        </w:rPr>
      </w:pPr>
    </w:p>
    <w:p w:rsidR="000949D1">
      <w:pPr>
        <w:spacing w:before="100" w:after="100"/>
        <w:ind w:firstLine="539"/>
        <w:jc w:val="both"/>
        <w:outlineLvl w:val="4"/>
        <w:rPr>
          <w:rFonts w:ascii="Times New Roman" w:hAnsi="Times New Roman" w:cs="Times New Roman"/>
          <w:color w:val="000000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(1)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v ob</w:t>
      </w:r>
      <w:r>
        <w:rPr>
          <w:rFonts w:ascii="Times New Roman" w:hAnsi="Times New Roman" w:cs="Times New Roman"/>
          <w:color w:val="000000"/>
        </w:rPr>
        <w:t>lasti prevencie kriminality v rozsahu svojej pôsobnosti ustanovenej osobitnými predpismi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rozpracúva stratégiu prevencie kriminality a predkladá rade správu o plnení úloh vyplývajúcich zo stratégie prevencie kriminality za predchádzajúci kalendárny rok,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zisťuje príčiny kriminality a inej protispoločenskej činnosti, analyzuje ich a prijíma opatrenia na odstránenie týchto príčin,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môže vypracúvať vlastné projekty,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môže zverejňovať na svojej internetovej stránke výzvy na predkladanie projektov; na základe výziev schvaľuje projekty, schvaľuje poskytnutie dotácií na ich financovanie a uzatvára zmluvy o poskytnutí dotácie.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pri výkone pôsobnosti podľa odseku 1 písm. c) a d) prihliada predovšetkým na priority uvedené v stratégii prevencie</w:t>
      </w:r>
      <w:r>
        <w:rPr>
          <w:rFonts w:ascii="Times New Roman" w:hAnsi="Times New Roman" w:cs="Times New Roman"/>
          <w:color w:val="000000"/>
        </w:rPr>
        <w:t xml:space="preserve"> kriminality.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7</w:t>
      </w:r>
    </w:p>
    <w:p w:rsidR="000949D1">
      <w:pPr>
        <w:pStyle w:val="BodyTex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smartTag w:uri="urn:schemas-microsoft-com:office:smarttags" w:element="PersonName">
        <w:r>
          <w:rPr>
            <w:rFonts w:ascii="Times New Roman" w:hAnsi="Times New Roman" w:cs="Times New Roman"/>
          </w:rPr>
          <w:t>Minister</w:t>
        </w:r>
      </w:smartTag>
      <w:r>
        <w:rPr>
          <w:rFonts w:ascii="Times New Roman" w:hAnsi="Times New Roman" w:cs="Times New Roman"/>
        </w:rPr>
        <w:t>stvo vnútra okrem pôsobnosti podľa § 6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a) spracúva údaje o kriminalite a inej protispoločenskej činnosti vrátane osobných údajov podľa odseku 2, ktoré</w:t>
      </w:r>
      <w:r>
        <w:rPr>
          <w:rFonts w:ascii="Times New Roman" w:hAnsi="Times New Roman" w:cs="Times New Roman"/>
          <w:color w:val="000000"/>
        </w:rPr>
        <w:t xml:space="preserve"> získava od orgánov verejnej moci v oblasti prevencie kriminality, iných právnických osôb, príslušných orgánov iných štátov, najmä z členských štátov Európskej únie a od medzinárodných organizácií,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zameriava sa na získavanie údajov týkajúcich sa obchodovania s ľuďmi,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vykonáva typológiu páchateľov a obetí trestných činov,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poskytuje údaje o kriminalite a inej protispoločenskej činnosti vrátane osobných údajov podľa odseku 2 orgánom verejnej moci v oblasti prevencie kriminality, iným právnickým osobám, príslušným orgánom iných štátov, najmä z členských štátov Európskej únie a medzinárodným organizáciám, a to na základe písomnej žiadosti, ktorá musí obsahovať účel, na ktorý sa majú tieto údaje poskytnúť.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vnútra na účel prevencie kriminality spracúva a poskytuje osobné údaje o páchateľoch a obetiach kriminality a inej protispoločenskej činnosti v rozsahu meno, priezvisko, rodné priezvisko, rodné číslo, dátum a miesto narodenia, pohlavie, adresa pobytu, vzdelanie, národnosť a štátna príslušnosť.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(3)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vnútra na výkon pôsobnosti podľa odsekov 1 a 2 zriaďuje Informačné centrum na boj proti obchodovaniu s ľuďmi a prevenciu kriminality ako svoje zariadenie bez právnej subjektivity.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8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Obvodný úrad v sídle kraja a iné miestne orgány štátnej správy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0949D1">
      <w:pPr>
        <w:pStyle w:val="BodyText"/>
        <w:spacing w:after="120"/>
        <w:ind w:firstLine="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(1) Obvodný úrad v sídle kraja v oblasti prevencie krim</w:t>
      </w:r>
      <w:r>
        <w:rPr>
          <w:rFonts w:ascii="Times New Roman" w:hAnsi="Times New Roman" w:cs="Times New Roman"/>
          <w:color w:val="auto"/>
        </w:rPr>
        <w:t>inality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zriaďuje funkciu krajského koordinátora pre prevenciu kriminality,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rozpracúva v spolupráci s vyšším územným celkom stratégiu prevencie kriminality na podmienky kraja a predkladá rade správu o plnení úloh vyplývajúcich zo stratégie prevencie k</w:t>
      </w:r>
      <w:r>
        <w:rPr>
          <w:rFonts w:ascii="Times New Roman" w:hAnsi="Times New Roman" w:cs="Times New Roman"/>
        </w:rPr>
        <w:t>riminality za predchádzajúci kalendárny rok,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zisťuje v rozsahu svojej pôsobnosti ustanovenej osobitnými predpismi príčiny kriminality a inej protispoločenskej činnosti, analyzuje ich a prijíma opatrenia na odstránenie týchto príčin,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posudzuje projekty a odporúča ich rade na schválenie,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uzatvára zmluvy o poskytnutí dotácie na financovanie projektov, ktoré schválila rada.</w:t>
      </w:r>
    </w:p>
    <w:p w:rsidR="000949D1">
      <w:pPr>
        <w:spacing w:after="120"/>
        <w:ind w:firstLine="539"/>
        <w:jc w:val="both"/>
        <w:rPr>
          <w:rFonts w:ascii="Times New Roman" w:hAnsi="Times New Roman" w:cs="Times New Roman"/>
        </w:rPr>
      </w:pPr>
    </w:p>
    <w:p w:rsidR="000949D1">
      <w:pPr>
        <w:pStyle w:val="BodyTextIndent2"/>
        <w:spacing w:before="0" w:after="240"/>
        <w:ind w:firstLine="539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Iné miestne orgány štátnej správy vykonávajú v oblasti prevencie kriminality pôsobnosť podľa odseku 1 písm. c).</w:t>
      </w:r>
    </w:p>
    <w:p w:rsidR="000949D1">
      <w:pPr>
        <w:pStyle w:val="BodyTextIndent2"/>
        <w:spacing w:before="0" w:after="240"/>
        <w:ind w:firstLine="539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Obvodný úrad v sídle kraja prostredníctvom krajského koordinátora pre prevenciu kriminality koordinuje činnosť iných miestnych orgánov štátnej správy v oblasti prevencie kriminality na území kraja.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Ostatné orgány verejnej moci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Ostatné orgány verejnej moci vykonávajú v oblasti prevencie kriminality pôsobnosť podľa osobitných predpisov.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>
        <w:rPr>
          <w:rFonts w:ascii="Times New Roman" w:hAnsi="Times New Roman" w:cs="Times New Roman"/>
          <w:vertAlign w:val="superscript"/>
        </w:rPr>
        <w:t>)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Poskytovanie dotácií v oblasti prevencie kriminality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Na financovanie projektu v oblasti prevencie kriminality, ktorý schválila rada podľa § 5 ods. 3 písm. d), dotác</w:t>
      </w:r>
      <w:r>
        <w:rPr>
          <w:rFonts w:ascii="Times New Roman" w:hAnsi="Times New Roman" w:cs="Times New Roman"/>
        </w:rPr>
        <w:t>iu poskytuje obvodný úrad v sídle kraja.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Na financovanie projektu v oblasti prevencie kriminality, ktorý schválilo príslušné ministerstvo podľa § 6 ods. 1 písm. d), dotáciu poskytuje príslušné ministerstvo.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Dotáciu možno poskytnúť najviac </w:t>
      </w:r>
      <w:r>
        <w:rPr>
          <w:rFonts w:ascii="Times New Roman" w:hAnsi="Times New Roman" w:cs="Times New Roman"/>
        </w:rPr>
        <w:t>do 80% predpokladaných výdavkov projektu.</w:t>
      </w:r>
    </w:p>
    <w:p w:rsidR="000949D1">
      <w:pPr>
        <w:pStyle w:val="BodyTextIndent"/>
        <w:spacing w:after="0"/>
        <w:ind w:left="540" w:firstLine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Dotáciu možno poskytnúť žiadateľovi, ktorý preukáže, že má na financovanie projektu zabezpečených aspoň 20% finančných prostriedkov z iného zdroja ako zo štátneho rozpočtu.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Na projekt v príslušnom rozpočtovom roku možno dotáciu poskytnúť len raz.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Dotáciu nemožno poskytnúť žiadateľovi, ktorý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je štátnym orgánom, štátnou rozpočtovou organizáciou, štátnou príspevkovou organizáciou alebo štátnym účelovým fondom,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nemá vysporiadané finančné vzťahy so štátnym rozpočtom,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má vo vzťahu k štátnemu rozpočtu evidovaný daňový nedoplatok voči správcovi dane alebo nedoplatok na cle,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má evidovaný nedoplatok na poistnom na sociálne poistenie, nedoplatok na príspevku na starobné dôchodkové sporenie alebo nedop</w:t>
      </w:r>
      <w:r>
        <w:rPr>
          <w:rFonts w:ascii="Times New Roman" w:hAnsi="Times New Roman" w:cs="Times New Roman"/>
        </w:rPr>
        <w:t>latok na poistnom na zdravotné poistenie,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je v likvidácii, konkurze, reštrukturalizácii, exekučnom konaní alebo bol proti nemu zamietnutý návrh na vyhlásenie konkurzu pre nedostatok majetku; to sa nevzťahuje na vyšší územný celok a obec, alebo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</w:rPr>
        <w:t>f) porušil zákaz nelegálnej práce a nelegálneho zamestnávania podľa osobitného predpisu.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sz w:val="20"/>
          <w:vertAlign w:val="superscript"/>
        </w:rPr>
        <w:t>)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Na poskytnutie dotácie nie je právny nárok.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Dotáciu možno poskytnúť žiadateľovi na základe písomnej žiadosti o poskytnutie dotácie (ďalej len „žiadosť“).</w:t>
      </w:r>
    </w:p>
    <w:p w:rsidR="000949D1">
      <w:pPr>
        <w:pStyle w:val="BodyTextIndent"/>
        <w:spacing w:after="0"/>
        <w:ind w:firstLine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Žiadateľ o poskytnutie dotácie postupom podľa § 5 ods. 3 písm. d) žiadosť predkladá obvodnému úradu v sídle kraja, v ktorého územnom obvode má trvalý pobyt, ak ž</w:t>
      </w:r>
      <w:r>
        <w:rPr>
          <w:rFonts w:ascii="Times New Roman" w:hAnsi="Times New Roman" w:cs="Times New Roman"/>
        </w:rPr>
        <w:t>iadateľom je fyzická osoba alebo sídlo, ak žiadateľom je právnická osoba. Ak žiadateľom je vyšší územný celok alebo obec, žiadosť predkladajú obvodnému úradu v sídle kraja, v ktorého územnom obvode sa nachádzajú.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Žiadateľ o poskytnutie dotácie postupom podľa § 6 ods. 1 písm. d) žiadosť predkladá príslušnému ministerstvu.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Žiadosť obsahuje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ak žiadateľ je fyzická osoba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meno, priezvisko, rodné priezvisko, akademický titul,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dátum narodenia,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rodné číslo,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adresu trvalého pobytu,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identifikačné číslo organizácie, ak žiadateľ je fyzická osoba – podnikateľ.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 žiadateľ je právnická osoba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názov a právnu formu,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adresu sídla,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identifikačné číslo organizácie,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daňové identifikačné číslo,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meno, priezvisko, akademický titul a adresu trvalého pobytu štatutárneho orgánu alebo členov štatutárneho orgánu.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Žiadosť ďalej obsahuje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vymedzenie cieľa, obsahu, foriem a metód realizácie projektu a jeho očakávaný prínos,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termín a miesto realizácie projektu,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predmet činnosti žiadateľa, ak žiadateľ je fyzická osoba – podnikateľ alebo právnická osoba; to sa nevzťahuje na vyšší územný celok a obec,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rozpočet príjmov a výdavkov projektu.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tabs>
          <w:tab w:val="left" w:pos="720"/>
        </w:tabs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</w:t>
      </w:r>
    </w:p>
    <w:p w:rsidR="000949D1">
      <w:pPr>
        <w:ind w:left="180" w:hanging="1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</w:rPr>
        <w:t>Zákon č. 82/2005 Z. z. o nelegálnej práci a nelegálnom zamestnávaní a o zmene a doplnení niektorých zákonov v znení zákona č. 125/2006 Z. z.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Prílohou žiadosti je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projekt, ktorý obsahuje najmä opis aktuálneho stavu riešeného projektom, subjekt a miesto realizácie projektu, časový harmonogram aktivity v oblasti prevencie kriminality, spôsob jej priebežného sledovania a spôsob vyhodnotenia projektu,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doklad o splnení podmienky podľa § 11 ods. 2,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výpis z registra alebo iný doklad, ktorý osvedčuje právnu subjektivitu žiadateľa, ak žiadateľom je právnická osoba a predmet činnosti žiadateľa, ak žiadateľom je fyzická osoba – podnikateľ alebo právnická osoba; to sa nevzťahuje na vyšší územný celok a obec,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výpis z registra trestov, ktorý nie je starší ako tri mesiace, ak žiadateľom je fyzická osoba,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potvrdenie správcu dane, ktoré nie je staršie ako tri mesiace, že voči žiadateľovi neeviduje daňový nedoplatok vo vzťahu k štátnemu rozpočtu,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potvrdenie colného úradu, že voči žiadateľovi neeviduje nedoplatok na cle,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potvrdenie Sociálnej poisťovne, ktoré nie je staršie ako tri mesiace, že voči žiadateľovi neeviduje nedoplatok na poistnom na sociálne poistenie alebo nedoplatok na príspevku na starobné dôchodkové sporenie,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potvrdenie zdravotnej poisťovne, ktoré nie je staršie ako tri mesiace, že voči žiadateľovi neeviduje nedoplatok na poistnom na zdravotné poistenie,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potvrdenie konkurzného súdu, ktoré nie je staršie ako tri mesiace, že žiadateľ nie je v konkurze, reštrukturalizácii a nebol proti nemu zamietnutý návrh na vyhlásenie konkurzu pre nedostatok majetku; to sa nevzťahuje na vyšší územný celok a obec,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čestné vyhlásenie žiadateľa s osvedčením pravosti podpisu, že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má vysporiadané finančné vzťahy so štátnym rozpočtom,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nie je v likvidácii alebo exekučnom konaní; to sa nevzťahuje na vyšší územný celok a obec,</w:t>
      </w:r>
    </w:p>
    <w:p w:rsidR="000949D1">
      <w:pPr>
        <w:pStyle w:val="BodyTextIndent"/>
        <w:spacing w:after="0"/>
        <w:ind w:left="720" w:hanging="1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3. neporušil zákaz nelegálnej práce a nelegálneho zamestnávania; ak ide o žiadateľa oprávneného podnikať, potvrdenie inšpektorátu práce,</w:t>
      </w:r>
      <w:r>
        <w:rPr>
          <w:rFonts w:ascii="Times New Roman" w:hAnsi="Times New Roman" w:cs="Times New Roman"/>
          <w:vertAlign w:val="superscript"/>
        </w:rPr>
        <w:t>4)</w:t>
      </w:r>
    </w:p>
    <w:p w:rsidR="000949D1">
      <w:pPr>
        <w:pStyle w:val="BodyTextIndent"/>
        <w:spacing w:after="0"/>
        <w:ind w:left="7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účtovná závierka za účtovné obdobie, ktoré predchádza účtovnému obdobiu, v ktorom bola podaná žiadosť, ak žiadateľ je fyzická osoba – podnikateľ alebo právnická osoba.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left="4680" w:hanging="39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0949D1">
      <w:pPr>
        <w:ind w:left="4680" w:hanging="3972"/>
        <w:jc w:val="center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smartTag w:uri="urn:schemas-microsoft-com:office:smarttags" w:element="PersonName">
        <w:r>
          <w:rPr>
            <w:rFonts w:ascii="Times New Roman" w:hAnsi="Times New Roman" w:cs="Times New Roman"/>
          </w:rPr>
          <w:t>Minister</w:t>
        </w:r>
      </w:smartTag>
      <w:r>
        <w:rPr>
          <w:rFonts w:ascii="Times New Roman" w:hAnsi="Times New Roman" w:cs="Times New Roman"/>
        </w:rPr>
        <w:t>stvo podľa § 6 ods. 1 písm. d) alebo obvodný úrad v sídle kraja podľa § 8 ods. 1 písm. e) uzatvorí so žiadateľom, ktorému je schválená dotácia, písomnú zmluvu o poskytnutí dotácie.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Zmluva o poskytnutí dotácie obsahuje najmä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označenie zmluvných strán,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vymedzenie času, na ktorý sa zmluva uzatvára,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účel, na ktorý sa dotácia poskytuje,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sumu poskytovanej dotácie,</w:t>
      </w:r>
    </w:p>
    <w:p w:rsidR="000949D1">
      <w:pPr>
        <w:pStyle w:val="BodyText3"/>
        <w:ind w:left="900" w:hanging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názov peňažného ústavu a číslo samostatného bankového účtu žiadateľa na vedenie prostriedkov poskytovaných zo štátneho rozpočtu,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</w:p>
    <w:p w:rsidR="000949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</w:t>
      </w:r>
    </w:p>
    <w:p w:rsidR="000949D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>4)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§ 2 ods. 4 zákona č. 231/1999 Z. z. o štátnej pomoci v znení zákona č. 82/2005 Z. z.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lehotu, v ktorej možno použiť dotáciu a lehotu na vyúčtovanie dotácie,</w:t>
      </w:r>
    </w:p>
    <w:p w:rsidR="000949D1">
      <w:pPr>
        <w:ind w:left="900" w:hanging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spôsob kontroly hospodárneho použitia dotácie na účel, na ktorý sa poskytuje,</w:t>
      </w:r>
    </w:p>
    <w:p w:rsidR="000949D1">
      <w:pPr>
        <w:pStyle w:val="BodyTextIndent2"/>
        <w:spacing w:before="0" w:after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dôvod a spôsob odstúpenia od zmluvy.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Žiadateľ je povinný nepoužité finančné prostriedky vrátiť ministerstvu alebo obvodnému úradu v sídle kraja do 15 dní od vyúčtovania dotácie.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Spolupráca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Orgány verejnej moci v oblasti prevencie kriminality vzájomne spolupracujú pri vykonávaní tohto zákona.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Orgány verejnej moci v oblasti prevencie kriminality spolupracujú aj s právnickými osobami, ktoré pôsobia v oblasti prevencie kriminality, najmä s médiami, vedeckými a výskumnými inštitúciami, školami, školskými zariadeniami, spolkami a inými združeniami, nadáciami, neziskovými organizáciami poskytujúcimi všeobecne prospešné služby a štátom uznanými cirkvami a náboženskými spoločnosťami, ako aj s orgánmi a organizáciami iných štátov a medzinárodnými organizáciami.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Spoločné ustanovenia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(1) Na konanie podľa tohto zákona sa nevzťahuje všeobecný predpis o správnom konaní.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sz w:val="20"/>
          <w:vertAlign w:val="superscript"/>
        </w:rPr>
        <w:t>)</w:t>
      </w:r>
    </w:p>
    <w:p w:rsidR="000949D1" w:rsidRPr="00BA6904" w:rsidP="00BA6904">
      <w:pPr>
        <w:spacing w:after="240"/>
        <w:ind w:firstLine="54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(2) Ustanoveniami tohto zákona nie sú dotknuté ustanovenia osobitných predpisov v oblasti štátnej pomoci.</w:t>
      </w:r>
      <w:r>
        <w:rPr>
          <w:rFonts w:ascii="Times New Roman" w:hAnsi="Times New Roman" w:cs="Times New Roman"/>
          <w:vertAlign w:val="superscript"/>
        </w:rPr>
        <w:t>6)</w:t>
      </w:r>
    </w:p>
    <w:p w:rsidR="00BA6904" w:rsidP="00BA6904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0949D1" w:rsidP="00BA6904">
      <w:pPr>
        <w:pStyle w:val="BodyTextIndent"/>
        <w:spacing w:after="240"/>
        <w:rPr>
          <w:rFonts w:ascii="Times New Roman" w:hAnsi="Times New Roman" w:cs="Times New Roman"/>
        </w:rPr>
      </w:pPr>
      <w:r w:rsidR="00BA6904">
        <w:rPr>
          <w:rFonts w:ascii="Times New Roman" w:hAnsi="Times New Roman" w:cs="Times New Roman"/>
        </w:rPr>
        <w:t>Zákon č. 575/2001 Z. z. o organizácii činnosti vlády a organizácii ústrednej štátnej správy v 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 a zákona č. 408/2008 Z. z. sa mení a dopĺňa takto:</w:t>
      </w:r>
    </w:p>
    <w:p w:rsidR="000949D1">
      <w:pPr>
        <w:spacing w:before="100" w:after="10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</w:t>
      </w:r>
    </w:p>
    <w:p w:rsidR="000949D1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5) </w:t>
      </w:r>
      <w:r>
        <w:rPr>
          <w:rFonts w:ascii="Times New Roman" w:hAnsi="Times New Roman" w:cs="Times New Roman"/>
        </w:rPr>
        <w:t>Zákon č. 71/1967 Zb. o správnom konaní (správny poriadok) v znení neskorších predpisov.</w:t>
      </w:r>
    </w:p>
    <w:p w:rsidR="000949D1">
      <w:pPr>
        <w:spacing w:before="100" w:after="100"/>
        <w:jc w:val="both"/>
        <w:outlineLvl w:val="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  <w:sz w:val="20"/>
          <w:vertAlign w:val="superscript"/>
        </w:rPr>
        <w:t>)</w:t>
      </w:r>
      <w:r>
        <w:rPr>
          <w:rFonts w:ascii="Times New Roman" w:hAnsi="Times New Roman" w:cs="Times New Roman"/>
          <w:sz w:val="20"/>
        </w:rPr>
        <w:t xml:space="preserve"> Napríklad zákon č. 231/1999 Z. z. o štátnej pomoci v znení neskorších predpisov.</w:t>
      </w:r>
    </w:p>
    <w:p w:rsidR="00BA6904">
      <w:pPr>
        <w:spacing w:before="100" w:after="100"/>
        <w:jc w:val="both"/>
        <w:outlineLvl w:val="4"/>
        <w:rPr>
          <w:rFonts w:ascii="Times New Roman" w:hAnsi="Times New Roman" w:cs="Times New Roman"/>
          <w:sz w:val="20"/>
        </w:rPr>
      </w:pPr>
    </w:p>
    <w:p w:rsidR="000949D1">
      <w:pPr>
        <w:pStyle w:val="BodyTextInden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 § 1a sa vkladá § 1b, ktorý znie:</w:t>
      </w:r>
    </w:p>
    <w:p w:rsidR="000949D1">
      <w:pPr>
        <w:pStyle w:val="BodyTextInden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1b</w:t>
      </w:r>
    </w:p>
    <w:p w:rsidR="000949D1">
      <w:pPr>
        <w:pStyle w:val="BodyTextInden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Úlohy spojené s</w:t>
      </w:r>
      <w:r w:rsidR="00BA690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odborným</w:t>
      </w:r>
      <w:r w:rsidR="00BA6904">
        <w:rPr>
          <w:rFonts w:ascii="Times New Roman" w:hAnsi="Times New Roman" w:cs="Times New Roman"/>
        </w:rPr>
        <w:t>, organizačným a technickým</w:t>
      </w:r>
      <w:r>
        <w:rPr>
          <w:rFonts w:ascii="Times New Roman" w:hAnsi="Times New Roman" w:cs="Times New Roman"/>
        </w:rPr>
        <w:t xml:space="preserve"> zabezpeč</w:t>
      </w:r>
      <w:r w:rsidR="00BA6904">
        <w:rPr>
          <w:rFonts w:ascii="Times New Roman" w:hAnsi="Times New Roman" w:cs="Times New Roman"/>
        </w:rPr>
        <w:t>ovaním</w:t>
      </w:r>
      <w:r>
        <w:rPr>
          <w:rFonts w:ascii="Times New Roman" w:hAnsi="Times New Roman" w:cs="Times New Roman"/>
        </w:rPr>
        <w:t xml:space="preserve"> činnosti vlády plní Úrad vlády Slovenskej republiky.“.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2 ods. 3 sa za slovami „Hospodárska rada vlády Slovenskej republiky“ spojka „a“ nahrádza čiarkou a na konci sa pripájajú slová „a Rada vlády Slovenskej republiky pre prevenciu kriminality“.</w:t>
      </w:r>
    </w:p>
    <w:p w:rsidR="00BA6904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24 ods. 1 sa za slová „Slovenskej republiky“ vkladajú slová „okrem plnenia úloh uvedených v § 1b“.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 w:rsidR="00BA69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V § 24 </w:t>
      </w:r>
      <w:r w:rsidR="00BA6904">
        <w:rPr>
          <w:rFonts w:ascii="Times New Roman" w:hAnsi="Times New Roman" w:cs="Times New Roman"/>
        </w:rPr>
        <w:t xml:space="preserve"> sa vypúšťa </w:t>
      </w:r>
      <w:r>
        <w:rPr>
          <w:rFonts w:ascii="Times New Roman" w:hAnsi="Times New Roman" w:cs="Times New Roman"/>
        </w:rPr>
        <w:t>odsek 5</w:t>
      </w:r>
      <w:r w:rsidR="00BA6904">
        <w:rPr>
          <w:rFonts w:ascii="Times New Roman" w:hAnsi="Times New Roman" w:cs="Times New Roman"/>
        </w:rPr>
        <w:t>.</w:t>
      </w:r>
    </w:p>
    <w:p w:rsidR="00BA6904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Doterajšie odseky 6 a 7 sa označujú ako odseky 5 a 6.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200/1998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z. o štátnej službe colníkov a o zmene a doplnení niektorých </w:t>
      </w:r>
      <w:r w:rsidR="00792C6C">
        <w:rPr>
          <w:rFonts w:ascii="Times New Roman" w:hAnsi="Times New Roman" w:cs="Times New Roman"/>
        </w:rPr>
        <w:t xml:space="preserve">ďalších </w:t>
      </w:r>
      <w:r>
        <w:rPr>
          <w:rFonts w:ascii="Times New Roman" w:hAnsi="Times New Roman" w:cs="Times New Roman"/>
        </w:rPr>
        <w:t>zákonov v znení zákona č. 54/1999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337/1999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417/2000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328/2002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664/2002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251/2003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464/2003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365/2004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382/2004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652/2004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732/2004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258/2005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518/2005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623/2005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330/2007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537/2007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166/2008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a zákona č. 465/2008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sa mení takto: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80 odsek 3 znie: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Pre jednotlivé platové triedy sa určuje funkčný plat v tejto výške: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Platová trieda</w:t>
        <w:tab/>
        <w:tab/>
        <w:tab/>
        <w:t>Mesačný plat v eurách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 w:rsidR="00D21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247,50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280,50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318,00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359,50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405,00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461,50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539,50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628,00</w:t>
      </w:r>
    </w:p>
    <w:p w:rsidR="00A33782" w:rsidP="00A33782">
      <w:pPr>
        <w:numPr>
          <w:ilvl w:val="0"/>
          <w:numId w:val="38"/>
        </w:numPr>
        <w:tabs>
          <w:tab w:val="left" w:pos="3540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728,00.“.</w:t>
      </w:r>
    </w:p>
    <w:p w:rsidR="00A33782" w:rsidP="00755BAD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465/2008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ktorým sa menia a dopĺňajú zákony v pôsobnosti Ministerstva financií Slovenskej republiky v súvislosti so zavedením meny euro v Slovenskej republike sa mení takto: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XVI sa vypúšťa bod 5.</w:t>
      </w:r>
    </w:p>
    <w:p w:rsidR="00A33782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body 6 až 38 sa označujú ako body 5 až 37.</w:t>
      </w:r>
    </w:p>
    <w:p w:rsidR="00032944" w:rsidP="00A33782">
      <w:pPr>
        <w:spacing w:after="240"/>
        <w:jc w:val="both"/>
        <w:rPr>
          <w:rFonts w:ascii="Times New Roman" w:hAnsi="Times New Roman" w:cs="Times New Roman"/>
        </w:rPr>
      </w:pPr>
    </w:p>
    <w:p w:rsidR="00032944" w:rsidP="00755BAD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V</w:t>
      </w:r>
    </w:p>
    <w:p w:rsidR="00032944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428/2002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ochrane osobných údajov v znení zákona č. 602/2003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z., zákona č. 576/2004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a zákona č. 90/2005 Z.</w:t>
      </w:r>
      <w:r w:rsidR="00755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sa mení takto:</w:t>
      </w:r>
    </w:p>
    <w:p w:rsidR="00032944" w:rsidP="00A3378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34 ods. 1 sa slová „Úradu vlády Slovenskej republiky“ nahrádzajú slovami „Všeobecná pokladničná správa“.</w:t>
      </w:r>
    </w:p>
    <w:p w:rsidR="00755BAD" w:rsidP="00A33782">
      <w:pPr>
        <w:spacing w:after="240"/>
        <w:jc w:val="both"/>
        <w:rPr>
          <w:rFonts w:ascii="Times New Roman" w:hAnsi="Times New Roman" w:cs="Times New Roman"/>
        </w:rPr>
      </w:pPr>
    </w:p>
    <w:p w:rsidR="00A33782" w:rsidP="00755BAD">
      <w:pPr>
        <w:spacing w:after="240"/>
        <w:jc w:val="center"/>
        <w:rPr>
          <w:rFonts w:ascii="Times New Roman" w:hAnsi="Times New Roman" w:cs="Times New Roman"/>
        </w:rPr>
      </w:pPr>
      <w:r w:rsidR="00032944">
        <w:rPr>
          <w:rFonts w:ascii="Times New Roman" w:hAnsi="Times New Roman" w:cs="Times New Roman"/>
        </w:rPr>
        <w:t>Čl.</w:t>
      </w:r>
      <w:r w:rsidR="00755BAD">
        <w:rPr>
          <w:rFonts w:ascii="Times New Roman" w:hAnsi="Times New Roman" w:cs="Times New Roman"/>
        </w:rPr>
        <w:t xml:space="preserve"> VI</w:t>
      </w:r>
    </w:p>
    <w:p w:rsidR="000949D1" w:rsidP="00755BAD">
      <w:pPr>
        <w:spacing w:after="2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Účinnosť</w:t>
      </w:r>
    </w:p>
    <w:p w:rsidR="000949D1" w:rsidP="00755BAD">
      <w:pPr>
        <w:spacing w:before="100" w:after="100"/>
        <w:ind w:firstLine="54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Tento zákon nadobúda účinnosť </w:t>
      </w:r>
      <w:r w:rsidR="00755BAD">
        <w:rPr>
          <w:rFonts w:ascii="Times New Roman" w:hAnsi="Times New Roman" w:cs="Times New Roman"/>
          <w:color w:val="000000"/>
        </w:rPr>
        <w:t>31. decembra 2008 s výnimkou čl. I, II, III a V, ktoré nadobúdajú účinnosť 1. januára 2009</w:t>
      </w:r>
      <w:r w:rsidR="00D57458">
        <w:rPr>
          <w:rFonts w:ascii="Times New Roman" w:hAnsi="Times New Roman" w:cs="Times New Roman"/>
          <w:color w:val="000000"/>
        </w:rPr>
        <w:t>.</w:t>
      </w:r>
    </w:p>
    <w:p w:rsidR="00BA6904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BA6904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BA6904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DA2D50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BA6904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  <w:r w:rsidR="00DA2D5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rezident Slovenskej republiky</w:t>
      </w:r>
    </w:p>
    <w:p w:rsidR="00DA2D50" w:rsidP="00755BAD">
      <w:pPr>
        <w:spacing w:before="100" w:after="100"/>
        <w:outlineLvl w:val="4"/>
        <w:rPr>
          <w:rFonts w:ascii="Times New Roman" w:hAnsi="Times New Roman" w:cs="Times New Roman"/>
        </w:rPr>
      </w:pPr>
    </w:p>
    <w:p w:rsidR="00BA6904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BA6904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  <w:r w:rsidR="00DA2D5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redseda Ná</w:t>
      </w:r>
      <w:r w:rsidR="00DA2D50">
        <w:rPr>
          <w:rFonts w:ascii="Times New Roman" w:hAnsi="Times New Roman" w:cs="Times New Roman"/>
        </w:rPr>
        <w:t>rodnej rady Slovenskej republiky</w:t>
      </w:r>
    </w:p>
    <w:p w:rsidR="00DA2D50" w:rsidP="00755BAD">
      <w:pPr>
        <w:spacing w:before="100" w:after="100"/>
        <w:outlineLvl w:val="4"/>
        <w:rPr>
          <w:rFonts w:ascii="Times New Roman" w:hAnsi="Times New Roman" w:cs="Times New Roman"/>
        </w:rPr>
      </w:pPr>
    </w:p>
    <w:p w:rsidR="00DA2D50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DA2D50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DA2D50" w:rsidP="00BA6904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3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1F3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3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57458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D21F3B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74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D21F3B">
        <w:rPr>
          <w:rFonts w:ascii="Times New Roman" w:hAnsi="Times New Roman" w:cs="Times New Roman"/>
          <w:vertAlign w:val="superscript"/>
        </w:rPr>
        <w:t>1)</w:t>
      </w:r>
      <w:r w:rsidR="00D21F3B">
        <w:rPr>
          <w:rFonts w:ascii="Times New Roman" w:hAnsi="Times New Roman" w:cs="Times New Roman"/>
        </w:rPr>
        <w:t xml:space="preserve"> Rozhodnutie Rady 2001/427/SVV z 28. mája 2001 o vytvorení Európskej siete na prevenciu kriminality (Mimoriadne vydanie Ú. v. EÚ kap. 19/zv. 4).</w:t>
      </w:r>
    </w:p>
  </w:footnote>
  <w:footnote w:id="3">
    <w:p w:rsidR="00D21F3B">
      <w:pPr>
        <w:ind w:left="180" w:hanging="180"/>
        <w:jc w:val="both"/>
        <w:outlineLvl w:val="4"/>
        <w:rPr>
          <w:rFonts w:ascii="Times New Roman" w:hAnsi="Times New Roman" w:cs="Times New Roman"/>
          <w:sz w:val="20"/>
        </w:rPr>
      </w:pPr>
      <w:r>
        <w:rPr>
          <w:rStyle w:val="FootnoteReference"/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  <w:vertAlign w:val="superscript"/>
        </w:rPr>
        <w:t>)</w:t>
      </w:r>
      <w:r>
        <w:rPr>
          <w:rFonts w:ascii="Times New Roman" w:hAnsi="Times New Roman" w:cs="Times New Roman"/>
          <w:sz w:val="20"/>
        </w:rPr>
        <w:t xml:space="preserve"> Napríklad § 3 ods. 2 zákona Slovenskej národnej rady č. 564/1991 Zb. o obecnej polícii, § 3 zákona Národnej rady Slovenskej republiky č. 171/1993 Z. z. o Policajnom zbore v znení neskorších predpisov, § 4 ods. 1 písm. g) zákona č. 153/2001 Z. z. o prokuratúre, § 3 ods. 1 písm. f) zákona č. 315/2001 Z. z. o Hasičskom a záchrannom zbore.</w:t>
      </w:r>
    </w:p>
    <w:p>
      <w:pPr>
        <w:ind w:left="357" w:hanging="357"/>
        <w:jc w:val="both"/>
        <w:outlineLvl w:val="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30C"/>
    <w:multiLevelType w:val="singleLevel"/>
    <w:tmpl w:val="ED30F6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12033D47"/>
    <w:multiLevelType w:val="hybridMultilevel"/>
    <w:tmpl w:val="3D36927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3FF545E"/>
    <w:multiLevelType w:val="singleLevel"/>
    <w:tmpl w:val="C868DB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15BB5158"/>
    <w:multiLevelType w:val="singleLevel"/>
    <w:tmpl w:val="CA9AFF6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>
    <w:nsid w:val="15D12C7F"/>
    <w:multiLevelType w:val="hybridMultilevel"/>
    <w:tmpl w:val="8112F644"/>
    <w:lvl w:ilvl="0">
      <w:start w:val="1"/>
      <w:numFmt w:val="decimal"/>
      <w:lvlText w:val="%1"/>
      <w:lvlJc w:val="left"/>
      <w:pPr>
        <w:tabs>
          <w:tab w:val="num" w:pos="3540"/>
        </w:tabs>
        <w:ind w:left="3540" w:hanging="283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74307DB"/>
    <w:multiLevelType w:val="singleLevel"/>
    <w:tmpl w:val="3B2C760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396"/>
      </w:pPr>
    </w:lvl>
  </w:abstractNum>
  <w:abstractNum w:abstractNumId="6">
    <w:nsid w:val="17BB293C"/>
    <w:multiLevelType w:val="hybridMultilevel"/>
    <w:tmpl w:val="DE8E846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54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8745F68"/>
    <w:multiLevelType w:val="hybridMultilevel"/>
    <w:tmpl w:val="DFA8D5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A34738C"/>
    <w:multiLevelType w:val="hybridMultilevel"/>
    <w:tmpl w:val="482C1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61449"/>
    <w:multiLevelType w:val="singleLevel"/>
    <w:tmpl w:val="F348C5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0">
    <w:nsid w:val="1F831E80"/>
    <w:multiLevelType w:val="hybridMultilevel"/>
    <w:tmpl w:val="D65C1762"/>
    <w:lvl w:ilvl="0">
      <w:start w:val="1"/>
      <w:numFmt w:val="decimal"/>
      <w:lvlText w:val="(%1)"/>
      <w:lvlJc w:val="left"/>
      <w:pPr>
        <w:tabs>
          <w:tab w:val="num" w:pos="2148"/>
        </w:tabs>
        <w:ind w:left="2148" w:hanging="360"/>
      </w:pPr>
    </w:lvl>
    <w:lvl w:ilvl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11">
    <w:nsid w:val="266C41CB"/>
    <w:multiLevelType w:val="hybridMultilevel"/>
    <w:tmpl w:val="7664678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9AF61B6"/>
    <w:multiLevelType w:val="hybridMultilevel"/>
    <w:tmpl w:val="22AEF4F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2355"/>
        </w:tabs>
        <w:ind w:left="2355" w:hanging="1095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AAE06D4"/>
    <w:multiLevelType w:val="singleLevel"/>
    <w:tmpl w:val="32B4B21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4">
    <w:nsid w:val="324A7895"/>
    <w:multiLevelType w:val="singleLevel"/>
    <w:tmpl w:val="7E7A6C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5">
    <w:nsid w:val="3F751A96"/>
    <w:multiLevelType w:val="hybridMultilevel"/>
    <w:tmpl w:val="6B3670D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950"/>
        </w:tabs>
        <w:ind w:left="1950" w:hanging="87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07CB1"/>
    <w:multiLevelType w:val="hybridMultilevel"/>
    <w:tmpl w:val="1166D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A1D01"/>
    <w:multiLevelType w:val="hybridMultilevel"/>
    <w:tmpl w:val="8E78037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E3084"/>
    <w:multiLevelType w:val="singleLevel"/>
    <w:tmpl w:val="D5580EA4"/>
    <w:lvl w:ilvl="0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</w:lvl>
  </w:abstractNum>
  <w:abstractNum w:abstractNumId="19">
    <w:nsid w:val="45103B4A"/>
    <w:multiLevelType w:val="singleLevel"/>
    <w:tmpl w:val="A93AAAB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</w:abstractNum>
  <w:abstractNum w:abstractNumId="20">
    <w:nsid w:val="46F565F4"/>
    <w:multiLevelType w:val="multilevel"/>
    <w:tmpl w:val="88F0F56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030762"/>
    <w:multiLevelType w:val="hybridMultilevel"/>
    <w:tmpl w:val="C97E6A7A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141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AEC7BDF"/>
    <w:multiLevelType w:val="singleLevel"/>
    <w:tmpl w:val="BBA099E6"/>
    <w:lvl w:ilvl="0">
      <w:start w:val="1"/>
      <w:numFmt w:val="decimal"/>
      <w:lvlText w:val="(%1)"/>
      <w:lvlJc w:val="left"/>
      <w:pPr>
        <w:tabs>
          <w:tab w:val="num" w:pos="972"/>
        </w:tabs>
        <w:ind w:left="972" w:hanging="432"/>
      </w:pPr>
    </w:lvl>
  </w:abstractNum>
  <w:abstractNum w:abstractNumId="23">
    <w:nsid w:val="4CF87A3A"/>
    <w:multiLevelType w:val="singleLevel"/>
    <w:tmpl w:val="AD52C8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50CC675B"/>
    <w:multiLevelType w:val="hybridMultilevel"/>
    <w:tmpl w:val="F95A90E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360"/>
      </w:p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5">
    <w:nsid w:val="59DF0703"/>
    <w:multiLevelType w:val="singleLevel"/>
    <w:tmpl w:val="472A839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6">
    <w:nsid w:val="5A744D41"/>
    <w:multiLevelType w:val="singleLevel"/>
    <w:tmpl w:val="DCDC919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</w:abstractNum>
  <w:abstractNum w:abstractNumId="27">
    <w:nsid w:val="5FA76185"/>
    <w:multiLevelType w:val="hybridMultilevel"/>
    <w:tmpl w:val="CAAA8CCC"/>
    <w:lvl w:ilvl="0">
      <w:start w:val="1"/>
      <w:numFmt w:val="lowerLetter"/>
      <w:lvlText w:val="%1)"/>
      <w:lvlJc w:val="left"/>
      <w:pPr>
        <w:tabs>
          <w:tab w:val="num" w:pos="2148"/>
        </w:tabs>
        <w:ind w:left="2148" w:hanging="540"/>
      </w:pPr>
    </w:lvl>
    <w:lvl w:ilvl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28">
    <w:nsid w:val="60667D00"/>
    <w:multiLevelType w:val="hybridMultilevel"/>
    <w:tmpl w:val="A270477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9204DF9"/>
    <w:multiLevelType w:val="hybridMultilevel"/>
    <w:tmpl w:val="1B4239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9291D81"/>
    <w:multiLevelType w:val="hybridMultilevel"/>
    <w:tmpl w:val="21A4EB3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0E1A95"/>
    <w:multiLevelType w:val="singleLevel"/>
    <w:tmpl w:val="D8F26A1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2">
    <w:nsid w:val="6CDA35B2"/>
    <w:multiLevelType w:val="multilevel"/>
    <w:tmpl w:val="90B04820"/>
    <w:lvl w:ilvl="0">
      <w:start w:val="1"/>
      <w:numFmt w:val="lowerLetter"/>
      <w:lvlText w:val="%1)"/>
      <w:lvlJc w:val="left"/>
      <w:pPr>
        <w:tabs>
          <w:tab w:val="num" w:pos="2508"/>
        </w:tabs>
        <w:ind w:left="2508" w:hanging="540"/>
      </w:pPr>
    </w:lvl>
    <w:lvl w:ilvl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33">
    <w:nsid w:val="6EFA2C0F"/>
    <w:multiLevelType w:val="singleLevel"/>
    <w:tmpl w:val="FFA2808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4">
    <w:nsid w:val="73AE21DE"/>
    <w:multiLevelType w:val="hybridMultilevel"/>
    <w:tmpl w:val="F8E27C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48E3089"/>
    <w:multiLevelType w:val="singleLevel"/>
    <w:tmpl w:val="57C4705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</w:abstractNum>
  <w:abstractNum w:abstractNumId="36">
    <w:nsid w:val="78BE7380"/>
    <w:multiLevelType w:val="hybridMultilevel"/>
    <w:tmpl w:val="6480119A"/>
    <w:lvl w:ilvl="0">
      <w:start w:val="1"/>
      <w:numFmt w:val="decimal"/>
      <w:lvlText w:val="(%1)"/>
      <w:lvlJc w:val="left"/>
      <w:pPr>
        <w:tabs>
          <w:tab w:val="num" w:pos="2328"/>
        </w:tabs>
        <w:ind w:left="2328" w:hanging="360"/>
      </w:pPr>
    </w:lvl>
    <w:lvl w:ilvl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37">
    <w:nsid w:val="7BCC1238"/>
    <w:multiLevelType w:val="hybridMultilevel"/>
    <w:tmpl w:val="F05EC794"/>
    <w:lvl w:ilvl="0">
      <w:start w:val="1"/>
      <w:numFmt w:val="lowerLetter"/>
      <w:lvlText w:val="%1)"/>
      <w:lvlJc w:val="left"/>
      <w:pPr>
        <w:tabs>
          <w:tab w:val="num" w:pos="1950"/>
        </w:tabs>
        <w:ind w:left="1950" w:hanging="141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7"/>
  </w:num>
  <w:num w:numId="3">
    <w:abstractNumId w:val="37"/>
  </w:num>
  <w:num w:numId="4">
    <w:abstractNumId w:val="21"/>
  </w:num>
  <w:num w:numId="5">
    <w:abstractNumId w:val="11"/>
  </w:num>
  <w:num w:numId="6">
    <w:abstractNumId w:val="29"/>
  </w:num>
  <w:num w:numId="7">
    <w:abstractNumId w:val="6"/>
  </w:num>
  <w:num w:numId="8">
    <w:abstractNumId w:val="20"/>
  </w:num>
  <w:num w:numId="9">
    <w:abstractNumId w:val="17"/>
  </w:num>
  <w:num w:numId="10">
    <w:abstractNumId w:val="27"/>
  </w:num>
  <w:num w:numId="11">
    <w:abstractNumId w:val="36"/>
  </w:num>
  <w:num w:numId="12">
    <w:abstractNumId w:val="32"/>
  </w:num>
  <w:num w:numId="13">
    <w:abstractNumId w:val="15"/>
  </w:num>
  <w:num w:numId="14">
    <w:abstractNumId w:val="1"/>
  </w:num>
  <w:num w:numId="15">
    <w:abstractNumId w:val="10"/>
  </w:num>
  <w:num w:numId="16">
    <w:abstractNumId w:val="12"/>
  </w:num>
  <w:num w:numId="17">
    <w:abstractNumId w:val="30"/>
  </w:num>
  <w:num w:numId="18">
    <w:abstractNumId w:val="16"/>
  </w:num>
  <w:num w:numId="19">
    <w:abstractNumId w:val="8"/>
  </w:num>
  <w:num w:numId="20">
    <w:abstractNumId w:val="28"/>
  </w:num>
  <w:num w:numId="21">
    <w:abstractNumId w:val="34"/>
  </w:num>
  <w:num w:numId="22">
    <w:abstractNumId w:val="33"/>
  </w:num>
  <w:num w:numId="23">
    <w:abstractNumId w:val="5"/>
  </w:num>
  <w:num w:numId="24">
    <w:abstractNumId w:val="25"/>
  </w:num>
  <w:num w:numId="25">
    <w:abstractNumId w:val="0"/>
  </w:num>
  <w:num w:numId="26">
    <w:abstractNumId w:val="23"/>
  </w:num>
  <w:num w:numId="27">
    <w:abstractNumId w:val="2"/>
  </w:num>
  <w:num w:numId="28">
    <w:abstractNumId w:val="31"/>
  </w:num>
  <w:num w:numId="29">
    <w:abstractNumId w:val="13"/>
  </w:num>
  <w:num w:numId="30">
    <w:abstractNumId w:val="9"/>
  </w:num>
  <w:num w:numId="31">
    <w:abstractNumId w:val="3"/>
  </w:num>
  <w:num w:numId="32">
    <w:abstractNumId w:val="26"/>
  </w:num>
  <w:num w:numId="33">
    <w:abstractNumId w:val="35"/>
  </w:num>
  <w:num w:numId="34">
    <w:abstractNumId w:val="14"/>
  </w:num>
  <w:num w:numId="35">
    <w:abstractNumId w:val="19"/>
  </w:num>
  <w:num w:numId="36">
    <w:abstractNumId w:val="22"/>
  </w:num>
  <w:num w:numId="37">
    <w:abstractNumId w:val="1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944"/>
    <w:rsid w:val="000949D1"/>
    <w:rsid w:val="004A60F1"/>
    <w:rsid w:val="00755BAD"/>
    <w:rsid w:val="00792C6C"/>
    <w:rsid w:val="00A33782"/>
    <w:rsid w:val="00BA6904"/>
    <w:rsid w:val="00D21F3B"/>
    <w:rsid w:val="00D57458"/>
    <w:rsid w:val="00DA2D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00" w:after="10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after="240"/>
      <w:jc w:val="both"/>
    </w:pPr>
    <w:rPr>
      <w:color w:val="000000"/>
    </w:rPr>
  </w:style>
  <w:style w:type="paragraph" w:styleId="BodyText2">
    <w:name w:val="Body Text 2"/>
    <w:basedOn w:val="Normal"/>
    <w:pPr>
      <w:spacing w:after="240"/>
      <w:jc w:val="left"/>
    </w:pPr>
    <w:rPr>
      <w:color w:val="000000"/>
    </w:rPr>
  </w:style>
  <w:style w:type="paragraph" w:styleId="BodyText3">
    <w:name w:val="Body Text 3"/>
    <w:basedOn w:val="Normal"/>
    <w:pPr>
      <w:autoSpaceDE/>
      <w:autoSpaceDN/>
      <w:jc w:val="both"/>
    </w:pPr>
  </w:style>
  <w:style w:type="paragraph" w:styleId="BodyTextIndent2">
    <w:name w:val="Body Text Indent 2"/>
    <w:basedOn w:val="Normal"/>
    <w:pPr>
      <w:spacing w:before="100" w:after="100"/>
      <w:ind w:firstLine="708"/>
      <w:jc w:val="both"/>
      <w:outlineLvl w:val="4"/>
    </w:pPr>
  </w:style>
  <w:style w:type="paragraph" w:styleId="BodyTextIndent3">
    <w:name w:val="Body Text Indent 3"/>
    <w:basedOn w:val="Normal"/>
    <w:pPr>
      <w:spacing w:after="240"/>
      <w:ind w:left="720" w:hanging="360"/>
      <w:jc w:val="both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pPr>
      <w:spacing w:after="120"/>
      <w:ind w:firstLine="5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1</Pages>
  <Words>2601</Words>
  <Characters>14827</Characters>
  <Application>Microsoft Office Word</Application>
  <DocSecurity>0</DocSecurity>
  <Lines>0</Lines>
  <Paragraphs>0</Paragraphs>
  <ScaleCrop>false</ScaleCrop>
  <Company>MV SR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z 23</dc:title>
  <dc:creator>eu</dc:creator>
  <cp:lastModifiedBy>Administrator</cp:lastModifiedBy>
  <cp:revision>7</cp:revision>
  <cp:lastPrinted>2008-12-03T12:57:00Z</cp:lastPrinted>
  <dcterms:created xsi:type="dcterms:W3CDTF">2008-11-28T09:01:00Z</dcterms:created>
  <dcterms:modified xsi:type="dcterms:W3CDTF">2008-12-03T13:00:00Z</dcterms:modified>
</cp:coreProperties>
</file>