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4E9F" w:rsidRPr="009A0872" w:rsidP="00006DB4">
      <w:pPr>
        <w:ind w:left="6480"/>
        <w:rPr>
          <w:rFonts w:ascii="Times New Roman" w:hAnsi="Times New Roman" w:cs="Times New Roman"/>
          <w:b/>
          <w:sz w:val="20"/>
          <w:szCs w:val="20"/>
        </w:rPr>
      </w:pPr>
      <w:r w:rsidRPr="009A0872" w:rsidR="009A0872">
        <w:rPr>
          <w:rFonts w:ascii="Times New Roman" w:hAnsi="Times New Roman" w:cs="Times New Roman"/>
          <w:b/>
          <w:sz w:val="20"/>
          <w:szCs w:val="20"/>
        </w:rPr>
        <w:t>Príloha</w:t>
      </w:r>
      <w:r w:rsidR="00A21FC7">
        <w:rPr>
          <w:rFonts w:ascii="Times New Roman" w:hAnsi="Times New Roman" w:cs="Times New Roman"/>
          <w:b/>
          <w:sz w:val="20"/>
          <w:szCs w:val="20"/>
        </w:rPr>
        <w:t xml:space="preserve"> č. 2</w:t>
      </w:r>
    </w:p>
    <w:p w:rsidR="009A0872" w:rsidRPr="009A0872" w:rsidP="00006DB4">
      <w:pPr>
        <w:ind w:left="6480"/>
        <w:rPr>
          <w:rFonts w:ascii="Times New Roman" w:hAnsi="Times New Roman" w:cs="Times New Roman"/>
          <w:b/>
          <w:sz w:val="20"/>
          <w:szCs w:val="20"/>
        </w:rPr>
      </w:pPr>
      <w:r w:rsidRPr="009A0872">
        <w:rPr>
          <w:rFonts w:ascii="Times New Roman" w:hAnsi="Times New Roman" w:cs="Times New Roman"/>
          <w:b/>
          <w:sz w:val="20"/>
          <w:szCs w:val="20"/>
        </w:rPr>
        <w:t>k zákonu č. .../2008 Z. z.</w:t>
      </w:r>
    </w:p>
    <w:p w:rsidR="009A0872" w:rsidP="00DC64AB">
      <w:pPr>
        <w:pStyle w:val="Heading1"/>
        <w:spacing w:before="600" w:after="600"/>
        <w:rPr>
          <w:rFonts w:ascii="Times New Roman" w:hAnsi="Times New Roman"/>
        </w:rPr>
      </w:pPr>
      <w:r>
        <w:rPr>
          <w:rFonts w:ascii="Times New Roman" w:hAnsi="Times New Roman"/>
        </w:rPr>
        <w:t>Zoznam preberaných právnych aktov Európskych spoločenstiev</w:t>
      </w:r>
      <w:r w:rsidR="000D7A1B">
        <w:rPr>
          <w:rFonts w:ascii="Times New Roman" w:hAnsi="Times New Roman"/>
        </w:rPr>
        <w:t xml:space="preserve"> a Európskej únie</w:t>
      </w:r>
    </w:p>
    <w:p w:rsidR="00010582" w:rsidRPr="00010582" w:rsidP="00DC64AB">
      <w:pPr>
        <w:numPr>
          <w:ilvl w:val="3"/>
          <w:numId w:val="32"/>
        </w:numPr>
        <w:tabs>
          <w:tab w:val="clear" w:pos="2880"/>
        </w:tabs>
        <w:autoSpaceDE/>
        <w:autoSpaceDN/>
        <w:spacing w:before="0" w:after="0"/>
        <w:ind w:left="360" w:hanging="357"/>
        <w:rPr>
          <w:rFonts w:ascii="Times New Roman" w:hAnsi="Times New Roman" w:cs="Times New Roman"/>
        </w:rPr>
      </w:pPr>
      <w:r w:rsidRPr="00010582">
        <w:rPr>
          <w:rFonts w:ascii="Times New Roman" w:hAnsi="Times New Roman" w:cs="Times New Roman"/>
        </w:rPr>
        <w:t xml:space="preserve">Smernica Rady 79/409/EHS z 2. apríla 1979 </w:t>
      </w:r>
      <w:r w:rsidRPr="00010582">
        <w:rPr>
          <w:rFonts w:ascii="Times New Roman" w:hAnsi="Times New Roman" w:cs="Times New Roman"/>
          <w:bCs/>
        </w:rPr>
        <w:t>o ochrane voľne žijúceho vtáctva</w:t>
      </w:r>
      <w:r>
        <w:rPr>
          <w:rFonts w:ascii="Times New Roman" w:hAnsi="Times New Roman" w:cs="Times New Roman"/>
          <w:bCs/>
        </w:rPr>
        <w:t xml:space="preserve"> (Mimoriadne vydanie Ú. v. EÚ, kap. 15/zv. 1) v znení</w:t>
      </w:r>
    </w:p>
    <w:p w:rsidR="00010582" w:rsidRPr="00DB021B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="001F7516">
        <w:rPr>
          <w:rFonts w:ascii="Times New Roman" w:hAnsi="Times New Roman" w:cs="Times New Roman"/>
          <w:bCs/>
        </w:rPr>
        <w:t>smernice Rad</w:t>
      </w:r>
      <w:r w:rsidR="001F7516">
        <w:rPr>
          <w:rFonts w:ascii="Times New Roman" w:hAnsi="Times New Roman" w:cs="Times New Roman"/>
          <w:bCs/>
        </w:rPr>
        <w:t>y 81/854/EHS z 19. októbra 1981 (Mimoriadne vydanie Ú. v. EÚ, kap.</w:t>
      </w:r>
      <w:r w:rsidR="00C911BC">
        <w:rPr>
          <w:rFonts w:ascii="Times New Roman" w:hAnsi="Times New Roman" w:cs="Times New Roman"/>
          <w:bCs/>
        </w:rPr>
        <w:t> </w:t>
      </w:r>
      <w:r w:rsidR="001F7516">
        <w:rPr>
          <w:rFonts w:ascii="Times New Roman" w:hAnsi="Times New Roman" w:cs="Times New Roman"/>
          <w:bCs/>
        </w:rPr>
        <w:t>15/zv. 1),</w:t>
      </w:r>
    </w:p>
    <w:p w:rsidR="00DB021B" w:rsidRPr="00DB021B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smernice Komisie </w:t>
      </w:r>
      <w:r w:rsidR="006D6EF3">
        <w:rPr>
          <w:rFonts w:ascii="Times New Roman" w:hAnsi="Times New Roman" w:cs="Times New Roman"/>
          <w:bCs/>
        </w:rPr>
        <w:t xml:space="preserve">85/411/EHS </w:t>
      </w:r>
      <w:r>
        <w:rPr>
          <w:rFonts w:ascii="Times New Roman" w:hAnsi="Times New Roman" w:cs="Times New Roman"/>
          <w:bCs/>
        </w:rPr>
        <w:t>z 25. júla 1985 (Ú. v. EÚ L 233, 30.8.1985),</w:t>
      </w:r>
    </w:p>
    <w:p w:rsidR="00DB021B" w:rsidRPr="001F7516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smernice Rady </w:t>
      </w:r>
      <w:r w:rsidR="006D6EF3">
        <w:rPr>
          <w:rFonts w:ascii="Times New Roman" w:hAnsi="Times New Roman" w:cs="Times New Roman"/>
          <w:bCs/>
        </w:rPr>
        <w:t xml:space="preserve">86/122/EHS </w:t>
      </w:r>
      <w:r>
        <w:rPr>
          <w:rFonts w:ascii="Times New Roman" w:hAnsi="Times New Roman" w:cs="Times New Roman"/>
          <w:bCs/>
        </w:rPr>
        <w:t>z 8. apríla 1986 (Ú. v. EÚ L 100, 14.6.1986),</w:t>
      </w:r>
    </w:p>
    <w:p w:rsidR="001F7516" w:rsidRPr="001F7516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smernice Komisie </w:t>
      </w:r>
      <w:r w:rsidR="006D6EF3">
        <w:rPr>
          <w:rFonts w:ascii="Times New Roman" w:hAnsi="Times New Roman" w:cs="Times New Roman"/>
          <w:bCs/>
        </w:rPr>
        <w:t xml:space="preserve">91/244/EHS </w:t>
      </w:r>
      <w:r>
        <w:rPr>
          <w:rFonts w:ascii="Times New Roman" w:hAnsi="Times New Roman" w:cs="Times New Roman"/>
          <w:bCs/>
        </w:rPr>
        <w:t>zo 6. marca 1991 (Mimoriadne vydanie Ú. v. EÚ, kap. 15/zv. 2),</w:t>
      </w:r>
    </w:p>
    <w:p w:rsidR="001F7516" w:rsidRPr="0068544B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="0068544B">
        <w:rPr>
          <w:rFonts w:ascii="Times New Roman" w:hAnsi="Times New Roman" w:cs="Times New Roman"/>
        </w:rPr>
        <w:t xml:space="preserve">smernice Rady 94/24/ES </w:t>
      </w:r>
      <w:r w:rsidR="006063EB">
        <w:rPr>
          <w:rFonts w:ascii="Times New Roman" w:hAnsi="Times New Roman" w:cs="Times New Roman"/>
        </w:rPr>
        <w:t>z </w:t>
      </w:r>
      <w:r w:rsidR="0068544B">
        <w:rPr>
          <w:rFonts w:ascii="Times New Roman" w:hAnsi="Times New Roman" w:cs="Times New Roman"/>
        </w:rPr>
        <w:t xml:space="preserve">8. júna 1994 </w:t>
      </w:r>
      <w:r w:rsidR="0068544B">
        <w:rPr>
          <w:rFonts w:ascii="Times New Roman" w:hAnsi="Times New Roman" w:cs="Times New Roman"/>
          <w:bCs/>
        </w:rPr>
        <w:t>(Mimoriadne vydanie Ú. v. EÚ, kap.</w:t>
      </w:r>
      <w:r w:rsidR="006D6EF3">
        <w:rPr>
          <w:rFonts w:ascii="Times New Roman" w:hAnsi="Times New Roman" w:cs="Times New Roman"/>
          <w:bCs/>
        </w:rPr>
        <w:t> </w:t>
      </w:r>
      <w:r w:rsidR="0068544B">
        <w:rPr>
          <w:rFonts w:ascii="Times New Roman" w:hAnsi="Times New Roman" w:cs="Times New Roman"/>
          <w:bCs/>
        </w:rPr>
        <w:t>15/zv.</w:t>
      </w:r>
      <w:r w:rsidR="006D6EF3">
        <w:rPr>
          <w:rFonts w:ascii="Times New Roman" w:hAnsi="Times New Roman" w:cs="Times New Roman"/>
          <w:bCs/>
        </w:rPr>
        <w:t> </w:t>
      </w:r>
      <w:r w:rsidR="0068544B">
        <w:rPr>
          <w:rFonts w:ascii="Times New Roman" w:hAnsi="Times New Roman" w:cs="Times New Roman"/>
          <w:bCs/>
        </w:rPr>
        <w:t>2),</w:t>
      </w:r>
    </w:p>
    <w:p w:rsidR="0068544B" w:rsidRPr="00A04BE0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smernice Komisie 97/49/ES z 29. júla 1997 (Mimoriadne vydanie Ú. v. EÚ, kap.</w:t>
      </w:r>
      <w:r w:rsidR="00C911BC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15/zv. 3),</w:t>
      </w:r>
    </w:p>
    <w:p w:rsidR="00A04BE0" w:rsidRPr="0068544B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04BE0">
        <w:rPr>
          <w:rFonts w:ascii="Times New Roman" w:hAnsi="Times New Roman" w:cs="Times New Roman"/>
        </w:rPr>
        <w:t>ariaden</w:t>
      </w:r>
      <w:r>
        <w:rPr>
          <w:rFonts w:ascii="Times New Roman" w:hAnsi="Times New Roman" w:cs="Times New Roman"/>
        </w:rPr>
        <w:t xml:space="preserve">ia </w:t>
      </w:r>
      <w:r w:rsidRPr="00A04BE0">
        <w:rPr>
          <w:rFonts w:ascii="Times New Roman" w:hAnsi="Times New Roman" w:cs="Times New Roman"/>
        </w:rPr>
        <w:t xml:space="preserve">Rady (ES) </w:t>
      </w:r>
      <w:r w:rsidRPr="00A04BE0">
        <w:rPr>
          <w:rFonts w:ascii="Times New Roman" w:hAnsi="Times New Roman" w:cs="Times New Roman"/>
        </w:rPr>
        <w:t xml:space="preserve">č. 807/2003 zo 14. apríla 2003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Ú. v. EÚ, </w:t>
      </w:r>
      <w:r w:rsidRPr="00A04BE0">
        <w:rPr>
          <w:rFonts w:ascii="Times New Roman" w:hAnsi="Times New Roman" w:cs="Times New Roman"/>
        </w:rPr>
        <w:t>L 122 16.5.2003</w:t>
      </w:r>
      <w:r>
        <w:rPr>
          <w:rFonts w:ascii="Times New Roman" w:hAnsi="Times New Roman" w:cs="Times New Roman"/>
        </w:rPr>
        <w:t>),</w:t>
      </w:r>
    </w:p>
    <w:p w:rsidR="00887E0C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="0068544B">
        <w:rPr>
          <w:rFonts w:ascii="Times New Roman" w:hAnsi="Times New Roman" w:cs="Times New Roman"/>
        </w:rPr>
        <w:t>smernice Rady 2006/105/ES z 20. novembra 2006 (Ú. v. EÚ </w:t>
      </w:r>
      <w:r w:rsidRPr="00010582" w:rsidR="0068544B">
        <w:rPr>
          <w:rFonts w:ascii="Times New Roman" w:hAnsi="Times New Roman" w:cs="Times New Roman"/>
        </w:rPr>
        <w:t>L 363 20.12.2006</w:t>
      </w:r>
      <w:r w:rsidR="0068544B">
        <w:rPr>
          <w:rFonts w:ascii="Times New Roman" w:hAnsi="Times New Roman" w:cs="Times New Roman"/>
        </w:rPr>
        <w:t>)</w:t>
      </w:r>
    </w:p>
    <w:p w:rsidR="00987528" w:rsidRPr="00887E0C" w:rsidP="00987528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>
        <w:rPr>
          <w:rFonts w:ascii="Times New Roman" w:hAnsi="Times New Roman" w:cs="Times New Roman"/>
        </w:rPr>
        <w:t xml:space="preserve"> o pristúpení </w:t>
      </w:r>
      <w:r>
        <w:rPr>
          <w:rFonts w:ascii="Times New Roman" w:hAnsi="Times New Roman" w:cs="Times New Roman"/>
        </w:rPr>
        <w:t>Grécka</w:t>
      </w:r>
      <w:r w:rsidRPr="00887E0C">
        <w:rPr>
          <w:rFonts w:ascii="Times New Roman" w:hAnsi="Times New Roman" w:cs="Times New Roman"/>
        </w:rPr>
        <w:t xml:space="preserve"> (Ú. v. EÚ </w:t>
      </w:r>
      <w:r>
        <w:rPr>
          <w:rFonts w:ascii="Times New Roman" w:hAnsi="Times New Roman" w:cs="Times New Roman"/>
        </w:rPr>
        <w:t>L</w:t>
      </w:r>
      <w:r w:rsidRPr="00887E0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887E0C">
        <w:rPr>
          <w:rFonts w:ascii="Times New Roman" w:hAnsi="Times New Roman" w:cs="Times New Roman"/>
        </w:rPr>
        <w:t>1, 19.</w:t>
      </w:r>
      <w:r>
        <w:rPr>
          <w:rFonts w:ascii="Times New Roman" w:hAnsi="Times New Roman" w:cs="Times New Roman"/>
        </w:rPr>
        <w:t>11</w:t>
      </w:r>
      <w:r w:rsidRPr="00887E0C"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>79</w:t>
      </w:r>
      <w:r w:rsidRPr="00887E0C">
        <w:rPr>
          <w:rFonts w:ascii="Times New Roman" w:hAnsi="Times New Roman" w:cs="Times New Roman"/>
        </w:rPr>
        <w:t>),</w:t>
      </w:r>
    </w:p>
    <w:p w:rsidR="00987528" w:rsidRPr="00887E0C" w:rsidP="00987528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>
        <w:rPr>
          <w:rFonts w:ascii="Times New Roman" w:hAnsi="Times New Roman" w:cs="Times New Roman"/>
        </w:rPr>
        <w:t xml:space="preserve"> o pristúpení </w:t>
      </w:r>
      <w:r>
        <w:rPr>
          <w:rFonts w:ascii="Times New Roman" w:hAnsi="Times New Roman" w:cs="Times New Roman"/>
        </w:rPr>
        <w:t>Španielska a Portugal</w:t>
      </w:r>
      <w:r w:rsidRPr="00887E0C">
        <w:rPr>
          <w:rFonts w:ascii="Times New Roman" w:hAnsi="Times New Roman" w:cs="Times New Roman"/>
        </w:rPr>
        <w:t xml:space="preserve">ska (Ú. v. EÚ </w:t>
      </w:r>
      <w:r>
        <w:rPr>
          <w:rFonts w:ascii="Times New Roman" w:hAnsi="Times New Roman" w:cs="Times New Roman"/>
        </w:rPr>
        <w:t>L</w:t>
      </w:r>
      <w:r w:rsidRPr="00887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302</w:t>
      </w:r>
      <w:r w:rsidRPr="00887E0C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5</w:t>
      </w:r>
      <w:r w:rsidRPr="00887E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87E0C">
        <w:rPr>
          <w:rFonts w:ascii="Times New Roman" w:hAnsi="Times New Roman" w:cs="Times New Roman"/>
        </w:rPr>
        <w:t>.1</w:t>
      </w:r>
      <w:r w:rsidRPr="00887E0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85</w:t>
      </w:r>
      <w:r w:rsidRPr="00887E0C">
        <w:rPr>
          <w:rFonts w:ascii="Times New Roman" w:hAnsi="Times New Roman" w:cs="Times New Roman"/>
        </w:rPr>
        <w:t>),</w:t>
      </w:r>
    </w:p>
    <w:p w:rsidR="00987528" w:rsidRPr="00887E0C" w:rsidP="00987528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>
        <w:rPr>
          <w:rFonts w:ascii="Times New Roman" w:hAnsi="Times New Roman" w:cs="Times New Roman"/>
        </w:rPr>
        <w:t xml:space="preserve"> o pristúpení Rakúska, Švédska a Fínska (Ú. v. EÚ C 241, 19.8.1994),</w:t>
      </w:r>
    </w:p>
    <w:p w:rsidR="00887E0C" w:rsidRPr="00887E0C" w:rsidP="00887E0C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podmienkach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pristúpenia Českej republiky, Estónskej republiky, Cyperskej republiky, Lotyšskej republiky, Litovskej republiky, Maďarskej republiky, Maltskej republiky, Poľ</w:t>
      </w:r>
      <w:r w:rsidRPr="00887E0C">
        <w:rPr>
          <w:rFonts w:ascii="Times New Roman" w:hAnsi="Times New Roman" w:cs="Times New Roman"/>
        </w:rPr>
        <w:t>skej republiky, Slovinskej republiky a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republiky a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úpravách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zmlúv, na ktorých je založená Európska únia (Ú. v. EÚ L 236, 23.9.2003).</w:t>
      </w:r>
    </w:p>
    <w:p w:rsidR="009A0872" w:rsidRPr="00D1231B" w:rsidP="00DC64AB">
      <w:pPr>
        <w:numPr>
          <w:ilvl w:val="3"/>
          <w:numId w:val="32"/>
        </w:numPr>
        <w:tabs>
          <w:tab w:val="clear" w:pos="2880"/>
        </w:tabs>
        <w:autoSpaceDE/>
        <w:autoSpaceDN/>
        <w:spacing w:before="0" w:after="0"/>
        <w:ind w:left="360" w:hanging="357"/>
        <w:rPr>
          <w:rFonts w:ascii="Times New Roman" w:hAnsi="Times New Roman" w:cs="Times New Roman"/>
        </w:rPr>
      </w:pPr>
      <w:r w:rsidRPr="00D1231B">
        <w:rPr>
          <w:rFonts w:ascii="Times New Roman" w:hAnsi="Times New Roman" w:cs="Times New Roman"/>
        </w:rPr>
        <w:t xml:space="preserve">Smernica Rady 92/43/EHS z 21. mája 1992 </w:t>
      </w:r>
      <w:r w:rsidRPr="00D1231B">
        <w:rPr>
          <w:rFonts w:ascii="Times New Roman" w:hAnsi="Times New Roman" w:cs="Times New Roman"/>
          <w:bCs/>
        </w:rPr>
        <w:t>o</w:t>
      </w:r>
      <w:r w:rsidR="00D1231B">
        <w:rPr>
          <w:rFonts w:ascii="Times New Roman" w:hAnsi="Times New Roman" w:cs="Times New Roman"/>
          <w:bCs/>
        </w:rPr>
        <w:t> </w:t>
      </w:r>
      <w:r w:rsidRPr="00D1231B">
        <w:rPr>
          <w:rFonts w:ascii="Times New Roman" w:hAnsi="Times New Roman" w:cs="Times New Roman"/>
          <w:bCs/>
        </w:rPr>
        <w:t>ochrane</w:t>
      </w:r>
      <w:r w:rsidR="00D1231B">
        <w:rPr>
          <w:rFonts w:ascii="Times New Roman" w:hAnsi="Times New Roman" w:cs="Times New Roman"/>
          <w:bCs/>
        </w:rPr>
        <w:t xml:space="preserve"> </w:t>
      </w:r>
      <w:r w:rsidRPr="00D1231B">
        <w:rPr>
          <w:rFonts w:ascii="Times New Roman" w:hAnsi="Times New Roman" w:cs="Times New Roman"/>
          <w:bCs/>
        </w:rPr>
        <w:t>prirodzených biotopov a</w:t>
      </w:r>
      <w:r w:rsidR="00D1231B">
        <w:rPr>
          <w:rFonts w:ascii="Times New Roman" w:hAnsi="Times New Roman" w:cs="Times New Roman"/>
          <w:bCs/>
        </w:rPr>
        <w:t> </w:t>
      </w:r>
      <w:r w:rsidRPr="00D1231B">
        <w:rPr>
          <w:rFonts w:ascii="Times New Roman" w:hAnsi="Times New Roman" w:cs="Times New Roman"/>
          <w:bCs/>
        </w:rPr>
        <w:t>voľne</w:t>
      </w:r>
      <w:r w:rsidR="00D1231B">
        <w:rPr>
          <w:rFonts w:ascii="Times New Roman" w:hAnsi="Times New Roman" w:cs="Times New Roman"/>
          <w:bCs/>
        </w:rPr>
        <w:t xml:space="preserve"> </w:t>
      </w:r>
      <w:r w:rsidRPr="00D1231B">
        <w:rPr>
          <w:rFonts w:ascii="Times New Roman" w:hAnsi="Times New Roman" w:cs="Times New Roman"/>
          <w:bCs/>
        </w:rPr>
        <w:t>žijúcich živočíchov a</w:t>
      </w:r>
      <w:r w:rsidR="00D1231B">
        <w:rPr>
          <w:rFonts w:ascii="Times New Roman" w:hAnsi="Times New Roman" w:cs="Times New Roman"/>
          <w:bCs/>
        </w:rPr>
        <w:t> </w:t>
      </w:r>
      <w:r w:rsidRPr="00D1231B">
        <w:rPr>
          <w:rFonts w:ascii="Times New Roman" w:hAnsi="Times New Roman" w:cs="Times New Roman"/>
          <w:bCs/>
        </w:rPr>
        <w:t>rastlín</w:t>
      </w:r>
      <w:r w:rsidR="00D1231B">
        <w:rPr>
          <w:rFonts w:ascii="Times New Roman" w:hAnsi="Times New Roman" w:cs="Times New Roman"/>
          <w:bCs/>
        </w:rPr>
        <w:t xml:space="preserve"> </w:t>
      </w:r>
      <w:r w:rsidR="00D1231B">
        <w:rPr>
          <w:rFonts w:ascii="Times New Roman" w:hAnsi="Times New Roman" w:cs="Times New Roman"/>
          <w:bCs/>
        </w:rPr>
        <w:t xml:space="preserve">(Mimoriadne vydanie </w:t>
      </w:r>
      <w:r w:rsidR="00010582">
        <w:rPr>
          <w:rFonts w:ascii="Times New Roman" w:hAnsi="Times New Roman" w:cs="Times New Roman"/>
          <w:bCs/>
        </w:rPr>
        <w:t>Ú</w:t>
      </w:r>
      <w:r w:rsidR="00D1231B">
        <w:rPr>
          <w:rFonts w:ascii="Times New Roman" w:hAnsi="Times New Roman" w:cs="Times New Roman"/>
          <w:bCs/>
        </w:rPr>
        <w:t>. v.</w:t>
      </w:r>
      <w:r w:rsidR="00010582">
        <w:rPr>
          <w:rFonts w:ascii="Times New Roman" w:hAnsi="Times New Roman" w:cs="Times New Roman"/>
          <w:bCs/>
        </w:rPr>
        <w:t> EÚ</w:t>
      </w:r>
      <w:r w:rsidR="00D1231B">
        <w:rPr>
          <w:rFonts w:ascii="Times New Roman" w:hAnsi="Times New Roman" w:cs="Times New Roman"/>
          <w:bCs/>
        </w:rPr>
        <w:t>, kap. 15/zv. 2) v znení</w:t>
      </w:r>
    </w:p>
    <w:p w:rsidR="00D1231B" w:rsidRPr="00010582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1231B">
        <w:rPr>
          <w:rFonts w:ascii="Times New Roman" w:hAnsi="Times New Roman" w:cs="Times New Roman"/>
        </w:rPr>
        <w:t>mernic</w:t>
      </w:r>
      <w:r>
        <w:rPr>
          <w:rFonts w:ascii="Times New Roman" w:hAnsi="Times New Roman" w:cs="Times New Roman"/>
        </w:rPr>
        <w:t>e</w:t>
      </w:r>
      <w:r w:rsidRPr="00D1231B">
        <w:rPr>
          <w:rFonts w:ascii="Times New Roman" w:hAnsi="Times New Roman" w:cs="Times New Roman"/>
        </w:rPr>
        <w:t xml:space="preserve"> rady 97/62/ES z 27. októbra 1997</w:t>
      </w:r>
      <w:r>
        <w:rPr>
          <w:rFonts w:ascii="Times New Roman" w:hAnsi="Times New Roman" w:cs="Times New Roman"/>
        </w:rPr>
        <w:t xml:space="preserve"> (Mimoriadne vydanie </w:t>
      </w:r>
      <w:r w:rsidR="0001058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. v.</w:t>
      </w:r>
      <w:r w:rsidR="00010582">
        <w:rPr>
          <w:rFonts w:ascii="Times New Roman" w:hAnsi="Times New Roman" w:cs="Times New Roman"/>
        </w:rPr>
        <w:t> EÚ</w:t>
      </w:r>
      <w:r>
        <w:rPr>
          <w:rFonts w:ascii="Times New Roman" w:hAnsi="Times New Roman" w:cs="Times New Roman"/>
        </w:rPr>
        <w:t>, kap.</w:t>
      </w:r>
      <w:r w:rsidR="00A21FC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15/zv. 4),</w:t>
      </w:r>
    </w:p>
    <w:p w:rsidR="00D1231B" w:rsidP="00DC64AB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D1231B">
        <w:rPr>
          <w:rFonts w:ascii="Times New Roman" w:hAnsi="Times New Roman" w:cs="Times New Roman"/>
        </w:rPr>
        <w:t>nariadeni</w:t>
      </w:r>
      <w:r w:rsidR="00010582">
        <w:rPr>
          <w:rFonts w:ascii="Times New Roman" w:hAnsi="Times New Roman" w:cs="Times New Roman"/>
        </w:rPr>
        <w:t>a</w:t>
      </w:r>
      <w:r w:rsidRPr="00D1231B">
        <w:rPr>
          <w:rFonts w:ascii="Times New Roman" w:hAnsi="Times New Roman" w:cs="Times New Roman"/>
        </w:rPr>
        <w:t xml:space="preserve"> </w:t>
      </w:r>
      <w:r w:rsidR="00010582">
        <w:rPr>
          <w:rFonts w:ascii="Times New Roman" w:hAnsi="Times New Roman" w:cs="Times New Roman"/>
        </w:rPr>
        <w:t>E</w:t>
      </w:r>
      <w:r w:rsidRPr="00D1231B">
        <w:rPr>
          <w:rFonts w:ascii="Times New Roman" w:hAnsi="Times New Roman" w:cs="Times New Roman"/>
        </w:rPr>
        <w:t xml:space="preserve">urópskeho parlamentu a </w:t>
      </w:r>
      <w:r w:rsidR="00010582">
        <w:rPr>
          <w:rFonts w:ascii="Times New Roman" w:hAnsi="Times New Roman" w:cs="Times New Roman"/>
        </w:rPr>
        <w:t>R</w:t>
      </w:r>
      <w:r w:rsidRPr="00D1231B">
        <w:rPr>
          <w:rFonts w:ascii="Times New Roman" w:hAnsi="Times New Roman" w:cs="Times New Roman"/>
        </w:rPr>
        <w:t>ady (ES) č. 1882/2003 z 29. septembra 2003</w:t>
      </w:r>
      <w:r w:rsidR="00010582">
        <w:rPr>
          <w:rFonts w:ascii="Times New Roman" w:hAnsi="Times New Roman" w:cs="Times New Roman"/>
        </w:rPr>
        <w:t xml:space="preserve"> (Mimoriadne vydanie Ú. v. EÚ, kap. 1/zv. 4),</w:t>
      </w:r>
    </w:p>
    <w:p w:rsidR="00887E0C" w:rsidP="00A04BE0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="00010582">
        <w:rPr>
          <w:rFonts w:ascii="Times New Roman" w:hAnsi="Times New Roman" w:cs="Times New Roman"/>
        </w:rPr>
        <w:t>s</w:t>
      </w:r>
      <w:r w:rsidRPr="00010582" w:rsidR="00010582">
        <w:rPr>
          <w:rFonts w:ascii="Times New Roman" w:hAnsi="Times New Roman" w:cs="Times New Roman"/>
        </w:rPr>
        <w:t>mernic</w:t>
      </w:r>
      <w:r w:rsidR="00010582">
        <w:rPr>
          <w:rFonts w:ascii="Times New Roman" w:hAnsi="Times New Roman" w:cs="Times New Roman"/>
        </w:rPr>
        <w:t>e</w:t>
      </w:r>
      <w:r w:rsidRPr="00010582" w:rsidR="00010582">
        <w:rPr>
          <w:rFonts w:ascii="Times New Roman" w:hAnsi="Times New Roman" w:cs="Times New Roman"/>
        </w:rPr>
        <w:t xml:space="preserve"> Rady 2006/105/ES z 20. novembra 2006 </w:t>
      </w:r>
      <w:r w:rsidR="00010582">
        <w:rPr>
          <w:rFonts w:ascii="Times New Roman" w:hAnsi="Times New Roman" w:cs="Times New Roman"/>
        </w:rPr>
        <w:t>(Ú. v. EÚ </w:t>
      </w:r>
      <w:r w:rsidRPr="00010582" w:rsidR="00010582">
        <w:rPr>
          <w:rFonts w:ascii="Times New Roman" w:hAnsi="Times New Roman" w:cs="Times New Roman"/>
        </w:rPr>
        <w:t>L 363</w:t>
      </w:r>
      <w:r w:rsidR="00C911BC">
        <w:rPr>
          <w:rFonts w:ascii="Times New Roman" w:hAnsi="Times New Roman" w:cs="Times New Roman"/>
        </w:rPr>
        <w:t>,</w:t>
      </w:r>
      <w:r w:rsidRPr="00010582" w:rsidR="00010582">
        <w:rPr>
          <w:rFonts w:ascii="Times New Roman" w:hAnsi="Times New Roman" w:cs="Times New Roman"/>
        </w:rPr>
        <w:t xml:space="preserve"> 20.12.2006</w:t>
      </w:r>
      <w:r w:rsidR="00010582">
        <w:rPr>
          <w:rFonts w:ascii="Times New Roman" w:hAnsi="Times New Roman" w:cs="Times New Roman"/>
        </w:rPr>
        <w:t>)</w:t>
      </w:r>
    </w:p>
    <w:p w:rsidR="00A04BE0" w:rsidRPr="00887E0C" w:rsidP="00A04BE0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 w:rsid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 w:rsidR="00887E0C">
        <w:rPr>
          <w:rFonts w:ascii="Times New Roman" w:hAnsi="Times New Roman" w:cs="Times New Roman"/>
        </w:rPr>
        <w:t xml:space="preserve"> o pristúpení Rakúska, Švédska a Fínska (Ú. v</w:t>
      </w:r>
      <w:r w:rsidRPr="00887E0C" w:rsidR="00010582">
        <w:rPr>
          <w:rFonts w:ascii="Times New Roman" w:hAnsi="Times New Roman" w:cs="Times New Roman"/>
        </w:rPr>
        <w:t>.</w:t>
      </w:r>
      <w:r w:rsidRPr="00887E0C" w:rsidR="00887E0C">
        <w:rPr>
          <w:rFonts w:ascii="Times New Roman" w:hAnsi="Times New Roman" w:cs="Times New Roman"/>
        </w:rPr>
        <w:t xml:space="preserve"> EÚ C 241, 19.8.1994),</w:t>
      </w:r>
    </w:p>
    <w:p w:rsidR="00887E0C" w:rsidRPr="00887E0C" w:rsidP="00A04BE0">
      <w:pPr>
        <w:numPr>
          <w:ilvl w:val="4"/>
          <w:numId w:val="32"/>
        </w:numPr>
        <w:tabs>
          <w:tab w:val="clear" w:pos="3600"/>
        </w:tabs>
        <w:autoSpaceDE/>
        <w:autoSpaceDN/>
        <w:spacing w:before="0" w:after="0"/>
        <w:ind w:left="720" w:hanging="357"/>
        <w:rPr>
          <w:rFonts w:ascii="Times New Roman" w:hAnsi="Times New Roman" w:cs="Times New Roman"/>
        </w:rPr>
      </w:pPr>
      <w:r w:rsidRPr="00887E0C">
        <w:rPr>
          <w:rFonts w:ascii="Times New Roman" w:hAnsi="Times New Roman" w:cs="Times New Roman"/>
        </w:rPr>
        <w:t>Akt</w:t>
      </w:r>
      <w:r w:rsidR="00DB021B">
        <w:rPr>
          <w:rFonts w:ascii="Times New Roman" w:hAnsi="Times New Roman" w:cs="Times New Roman"/>
        </w:rPr>
        <w:t>u</w:t>
      </w:r>
      <w:r w:rsidRPr="00887E0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podmienkach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pristúpenia Českej republiky, Estónskej republiky, Cyperskej republiky, Lotyšskej republiky, Litovskej republiky, Maďarskej republiky, Maltskej republiky, Poľskej republiky, Slovinskej republiky a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republiky a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887E0C">
        <w:rPr>
          <w:rFonts w:ascii="Times New Roman" w:hAnsi="Times New Roman" w:cs="Times New Roman"/>
        </w:rPr>
        <w:t>úpravách</w:t>
      </w:r>
      <w:r>
        <w:rPr>
          <w:rFonts w:ascii="Times New Roman" w:hAnsi="Times New Roman" w:cs="Times New Roman"/>
        </w:rPr>
        <w:t xml:space="preserve"> </w:t>
      </w:r>
      <w:r w:rsidRPr="00887E0C">
        <w:rPr>
          <w:rFonts w:ascii="Times New Roman" w:hAnsi="Times New Roman" w:cs="Times New Roman"/>
        </w:rPr>
        <w:t>zmlúv, na ktorých je založená Európska únia (Ú. v. EÚ L 236, 23.9.2003).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66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B4" w:rsidP="002F08C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06DB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B4" w:rsidP="002F08C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D5413">
      <w:rPr>
        <w:rStyle w:val="PageNumber"/>
        <w:rFonts w:ascii="Times New Roman" w:hAnsi="Times New Roman" w:cs="Times New Roman"/>
        <w:noProof/>
      </w:rPr>
      <w:t>66</w:t>
    </w:r>
    <w:r>
      <w:rPr>
        <w:rStyle w:val="PageNumber"/>
        <w:rFonts w:ascii="Times New Roman" w:hAnsi="Times New Roman" w:cs="Times New Roman"/>
      </w:rPr>
      <w:fldChar w:fldCharType="end"/>
    </w:r>
  </w:p>
  <w:p w:rsidR="00006DB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1CF"/>
    <w:multiLevelType w:val="hybridMultilevel"/>
    <w:tmpl w:val="D3D2B790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4FEE2A35"/>
    <w:multiLevelType w:val="hybridMultilevel"/>
    <w:tmpl w:val="7750D572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993507"/>
    <w:multiLevelType w:val="hybridMultilevel"/>
    <w:tmpl w:val="8A94B3E0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371" w:firstLine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rtl w:val="0"/>
      </w:rPr>
    </w:lvl>
    <w:lvl w:ilvl="2">
      <w:start w:val="1"/>
      <w:numFmt w:val="decimal"/>
      <w:lvlText w:val="(%3)"/>
      <w:lvlJc w:val="left"/>
      <w:pPr>
        <w:tabs>
          <w:tab w:val="num" w:pos="1271"/>
        </w:tabs>
        <w:ind w:left="1271" w:firstLine="709"/>
      </w:pPr>
      <w:rPr>
        <w:rFonts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rtl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C6CD9"/>
    <w:multiLevelType w:val="hybridMultilevel"/>
    <w:tmpl w:val="3C4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Arial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73DA2"/>
    <w:multiLevelType w:val="hybridMultilevel"/>
    <w:tmpl w:val="3046654C"/>
    <w:lvl w:ilvl="0">
      <w:start w:val="1"/>
      <w:numFmt w:val="decimal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C713E"/>
    <w:multiLevelType w:val="hybridMultilevel"/>
    <w:tmpl w:val="5A02623E"/>
    <w:lvl w:ilvl="0">
      <w:start w:val="1"/>
      <w:numFmt w:val="decimal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5"/>
  </w:num>
  <w:num w:numId="17">
    <w:abstractNumId w:val="2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6"/>
  </w:num>
  <w:num w:numId="31">
    <w:abstractNumId w:val="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6DB4"/>
    <w:rsid w:val="00010582"/>
    <w:rsid w:val="000D7A1B"/>
    <w:rsid w:val="001F7516"/>
    <w:rsid w:val="002F08C2"/>
    <w:rsid w:val="006063EB"/>
    <w:rsid w:val="0068544B"/>
    <w:rsid w:val="006D6EF3"/>
    <w:rsid w:val="00887E0C"/>
    <w:rsid w:val="008D5413"/>
    <w:rsid w:val="00904E9F"/>
    <w:rsid w:val="00987528"/>
    <w:rsid w:val="009A0872"/>
    <w:rsid w:val="00A04BE0"/>
    <w:rsid w:val="00A21FC7"/>
    <w:rsid w:val="00C911BC"/>
    <w:rsid w:val="00D1231B"/>
    <w:rsid w:val="00DB021B"/>
    <w:rsid w:val="00DC64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7B8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paragraph" w:styleId="FootnoteText">
    <w:name w:val="footnote text"/>
    <w:basedOn w:val="Normal"/>
    <w:semiHidden/>
    <w:rsid w:val="009737B8"/>
    <w:pPr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BB08EE"/>
    <w:pPr>
      <w:numPr>
        <w:ilvl w:val="0"/>
        <w:numId w:val="29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rsid w:val="00BB08EE"/>
    <w:pPr>
      <w:numPr>
        <w:ilvl w:val="0"/>
        <w:numId w:val="31"/>
      </w:numPr>
      <w:tabs>
        <w:tab w:val="left" w:pos="227"/>
      </w:tabs>
      <w:spacing w:before="360" w:after="120"/>
      <w:ind w:firstLine="0"/>
      <w:jc w:val="center"/>
    </w:pPr>
    <w:rPr>
      <w:b/>
      <w:color w:val="000000"/>
      <w:szCs w:val="20"/>
    </w:rPr>
  </w:style>
  <w:style w:type="paragraph" w:customStyle="1" w:styleId="odsek1">
    <w:name w:val="odsek1"/>
    <w:basedOn w:val="Normal"/>
    <w:qFormat/>
    <w:rsid w:val="00074AAB"/>
    <w:pPr>
      <w:numPr>
        <w:ilvl w:val="0"/>
        <w:numId w:val="24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006DB4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006D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338</Words>
  <Characters>1928</Characters>
  <Application>Microsoft Office Word</Application>
  <DocSecurity>0</DocSecurity>
  <Lines>0</Lines>
  <Paragraphs>0</Paragraphs>
  <ScaleCrop>false</ScaleCrop>
  <Company>MP SR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pavol.nunuk</dc:creator>
  <cp:lastModifiedBy>timea.lengyelova</cp:lastModifiedBy>
  <cp:revision>9</cp:revision>
  <dcterms:created xsi:type="dcterms:W3CDTF">2008-04-08T08:39:00Z</dcterms:created>
  <dcterms:modified xsi:type="dcterms:W3CDTF">2008-10-16T08:16:00Z</dcterms:modified>
</cp:coreProperties>
</file>