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0B75" w:rsidP="00B70B75">
      <w:pPr>
        <w:jc w:val="center"/>
        <w:rPr>
          <w:rFonts w:ascii="Times New Roman" w:hAnsi="Times New Roman" w:cs="Times New Roman"/>
          <w:b/>
        </w:rPr>
      </w:pPr>
      <w:r w:rsidRPr="00C207BC">
        <w:rPr>
          <w:rFonts w:ascii="Times New Roman" w:hAnsi="Times New Roman" w:cs="Times New Roman"/>
          <w:b/>
        </w:rPr>
        <w:t>DOLOŽKA ZLUČITEĽNOSTI</w:t>
      </w:r>
    </w:p>
    <w:p w:rsidR="00B70B75" w:rsidRPr="00C207BC" w:rsidP="00B70B75">
      <w:pPr>
        <w:jc w:val="center"/>
        <w:rPr>
          <w:rFonts w:ascii="Times New Roman" w:hAnsi="Times New Roman" w:cs="Times New Roman"/>
          <w:b/>
        </w:rPr>
      </w:pP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k návrhu zákona, ktorým sa mení a dopĺňa zákon č. 483/2001</w:t>
      </w:r>
      <w:r w:rsidRPr="00C207BC">
        <w:rPr>
          <w:rFonts w:ascii="Symbol" w:hAnsi="Symbol" w:cs="Times New Roman"/>
        </w:rPr>
        <w:sym w:font="Symbol" w:char="F020"/>
      </w:r>
      <w:r w:rsidRPr="00C207BC">
        <w:rPr>
          <w:rFonts w:ascii="Times New Roman" w:hAnsi="Times New Roman" w:cs="Times New Roman"/>
        </w:rPr>
        <w:t>Z.</w:t>
      </w:r>
      <w:r w:rsidRPr="00C207BC">
        <w:rPr>
          <w:rFonts w:ascii="Symbol" w:hAnsi="Symbol" w:cs="Times New Roman"/>
        </w:rPr>
        <w:sym w:font="Symbol" w:char="F020"/>
      </w:r>
      <w:r w:rsidRPr="00C207BC">
        <w:rPr>
          <w:rFonts w:ascii="Times New Roman" w:hAnsi="Times New Roman" w:cs="Times New Roman"/>
        </w:rPr>
        <w:t>z. o bankách a o zmene a doplnení niektorých zákonov v znení neskorších predpisov a o zmene a doplnení niektorých zákonov s právom Európskych spoločenstiev a právom Európs</w:t>
      </w:r>
      <w:r w:rsidRPr="00C207BC">
        <w:rPr>
          <w:rFonts w:ascii="Times New Roman" w:hAnsi="Times New Roman" w:cs="Times New Roman"/>
        </w:rPr>
        <w:t>kej únie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</w:p>
    <w:p w:rsidR="00B70B75" w:rsidRPr="00C207BC" w:rsidP="00B70B75">
      <w:pPr>
        <w:jc w:val="both"/>
        <w:rPr>
          <w:rFonts w:ascii="Times New Roman" w:hAnsi="Times New Roman" w:cs="Times New Roman"/>
          <w:b/>
          <w:bCs/>
        </w:rPr>
      </w:pPr>
      <w:r w:rsidRPr="00C207BC">
        <w:rPr>
          <w:rFonts w:ascii="Times New Roman" w:hAnsi="Times New Roman" w:cs="Times New Roman"/>
          <w:b/>
          <w:bCs/>
        </w:rPr>
        <w:t>1. Navrhovateľ zákona: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</w:r>
      <w:r w:rsidR="00A51A7C">
        <w:rPr>
          <w:rFonts w:ascii="Times New Roman" w:hAnsi="Times New Roman" w:cs="Times New Roman"/>
        </w:rPr>
        <w:t>Skupina poslancov</w:t>
      </w:r>
    </w:p>
    <w:p w:rsidR="00B70B75" w:rsidRPr="00C207BC" w:rsidP="00B70B75">
      <w:pPr>
        <w:jc w:val="both"/>
        <w:rPr>
          <w:rFonts w:ascii="Times New Roman" w:hAnsi="Times New Roman" w:cs="Times New Roman"/>
          <w:b/>
          <w:bCs/>
        </w:rPr>
      </w:pPr>
      <w:r w:rsidRPr="00C207BC">
        <w:rPr>
          <w:rFonts w:ascii="Times New Roman" w:hAnsi="Times New Roman" w:cs="Times New Roman"/>
          <w:b/>
          <w:bCs/>
        </w:rPr>
        <w:t>2. Názov návrhu zákona: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</w:t>
      </w:r>
      <w:r w:rsidRPr="00C207BC">
        <w:rPr>
          <w:rFonts w:ascii="Times New Roman" w:hAnsi="Times New Roman" w:cs="Times New Roman"/>
        </w:rPr>
        <w:t>ávrh zákona, ktorým sa mení a dopĺňa zákon č. 483/2001</w:t>
      </w:r>
      <w:r w:rsidRPr="00C207BC">
        <w:rPr>
          <w:rFonts w:ascii="Symbol" w:hAnsi="Symbol" w:cs="Times New Roman"/>
        </w:rPr>
        <w:sym w:font="Symbol" w:char="F020"/>
      </w:r>
      <w:r w:rsidRPr="00C207BC">
        <w:rPr>
          <w:rFonts w:ascii="Times New Roman" w:hAnsi="Times New Roman" w:cs="Times New Roman"/>
        </w:rPr>
        <w:t>Z.</w:t>
      </w:r>
      <w:r w:rsidRPr="00C207BC">
        <w:rPr>
          <w:rFonts w:ascii="Symbol" w:hAnsi="Symbol" w:cs="Times New Roman"/>
        </w:rPr>
        <w:sym w:font="Symbol" w:char="F020"/>
      </w:r>
      <w:r w:rsidRPr="00C207BC">
        <w:rPr>
          <w:rFonts w:ascii="Times New Roman" w:hAnsi="Times New Roman" w:cs="Times New Roman"/>
        </w:rPr>
        <w:t xml:space="preserve">z. o bankách a </w:t>
      </w:r>
      <w:r w:rsidRPr="00C207BC">
        <w:rPr>
          <w:rFonts w:ascii="Times New Roman" w:hAnsi="Times New Roman" w:cs="Times New Roman"/>
          <w:bCs/>
        </w:rPr>
        <w:t>o zmene a doplnení niektorých zákonov v znení neskorších predpisov a o zmene a doplnení niektorých zákono</w:t>
      </w:r>
      <w:r w:rsidRPr="00C207BC">
        <w:rPr>
          <w:rFonts w:ascii="Times New Roman" w:hAnsi="Times New Roman" w:cs="Times New Roman"/>
          <w:bCs/>
        </w:rPr>
        <w:t>v.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  <w:b/>
        </w:rPr>
        <w:t>3. Problematika návrhu zákona :</w:t>
      </w:r>
      <w:r w:rsidRPr="00C207BC">
        <w:rPr>
          <w:rFonts w:ascii="Times New Roman" w:hAnsi="Times New Roman" w:cs="Times New Roman"/>
        </w:rPr>
        <w:t xml:space="preserve"> 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a) je upravená v práve Európskych spoločenstiev: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</w:p>
    <w:p w:rsidR="00B70B75" w:rsidRPr="00C207BC" w:rsidP="00B70B75">
      <w:pPr>
        <w:jc w:val="both"/>
        <w:rPr>
          <w:rFonts w:ascii="Times New Roman" w:hAnsi="Times New Roman" w:cs="Times New Roman"/>
          <w:b/>
        </w:rPr>
      </w:pPr>
      <w:r w:rsidRPr="00C207BC">
        <w:rPr>
          <w:rFonts w:ascii="Times New Roman" w:hAnsi="Times New Roman" w:cs="Times New Roman"/>
          <w:b/>
        </w:rPr>
        <w:t>Primárnom: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v čl. 3 ods. 1 písm. h), čl. 4 ods. 1, čl. 14 ods. 2, čl. 48 až 60 Zmluvy o založení ES,</w:t>
      </w:r>
    </w:p>
    <w:p w:rsidR="00B70B75" w:rsidP="00B70B75">
      <w:pPr>
        <w:jc w:val="both"/>
        <w:rPr>
          <w:rFonts w:ascii="Times New Roman" w:hAnsi="Times New Roman" w:cs="Times New Roman"/>
        </w:rPr>
      </w:pPr>
    </w:p>
    <w:p w:rsidR="00B70B75" w:rsidRPr="00C207BC" w:rsidP="00B70B75">
      <w:pPr>
        <w:jc w:val="both"/>
        <w:rPr>
          <w:rFonts w:ascii="Times New Roman" w:hAnsi="Times New Roman" w:cs="Times New Roman"/>
          <w:b/>
        </w:rPr>
      </w:pPr>
      <w:r w:rsidRPr="00C207BC">
        <w:rPr>
          <w:rFonts w:ascii="Times New Roman" w:hAnsi="Times New Roman" w:cs="Times New Roman"/>
          <w:b/>
        </w:rPr>
        <w:t>Sekundárnom: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 smernici Rady 93/22/EHS z 10. mája 1993 o investičných službách v oblasti cenných papierov v platnom znení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02, s. 43)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 smernici Európskeho parlamentu a Rady 97/9/ES z 3. marca 1997 o systémoch náhrad pre investorov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 xml:space="preserve">kapitola </w:t>
      </w:r>
      <w:r w:rsidRPr="00C207BC">
        <w:rPr>
          <w:rStyle w:val="Emphasis"/>
          <w:rFonts w:ascii="Times New Roman" w:hAnsi="Times New Roman" w:cs="Times New Roman"/>
          <w:i w:val="0"/>
        </w:rPr>
        <w:t>06 / zväzok 02, s. 311)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 smernici Európskeho parlamentu a Rady 2000/46/ES z 18. septembra 2000 o začatí, vykonávaní a dohľade nad obozretným podnikaním inštitúcií elektronického peňažníctva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03, s. 343 )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 smernici Európskeho parlamentu a Rady 2001/24/ES zo 4. apríla 2001 o reorganizácii a likvidácii úverových inštitúcií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4, s. 15</w:t>
      </w:r>
      <w:r w:rsidRPr="00C207BC">
        <w:rPr>
          <w:rFonts w:ascii="Times New Roman" w:hAnsi="Times New Roman" w:cs="Times New Roman"/>
        </w:rPr>
        <w:t>),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 smernici Európskeho parlamentu a Rady 2001/34/ES z 28. mája 2001 o pri</w:t>
      </w:r>
      <w:r w:rsidRPr="00C207BC">
        <w:rPr>
          <w:rFonts w:ascii="Times New Roman" w:hAnsi="Times New Roman" w:cs="Times New Roman"/>
        </w:rPr>
        <w:t xml:space="preserve">jímaní cenných papierov na kótovanie na burze cenných papierov a o informáciách, ktoré sa o týchto cenných papieroch musia zverejňovať v platnom znení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04, s. 24)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 smernici Európskeho parlamentu a Rady 2002/47/ES zo 6. júna 2002 o dohodách o finančných zárukách (Mimoriadne vydanie Ú. v. ES / </w:t>
      </w:r>
      <w:r w:rsidRPr="00C207BC">
        <w:rPr>
          <w:rStyle w:val="Emphasis"/>
          <w:rFonts w:ascii="Times New Roman" w:hAnsi="Times New Roman" w:cs="Times New Roman"/>
          <w:i w:val="0"/>
        </w:rPr>
        <w:t>kapitola 10, zväzok 03, s. 89)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 smernici Európskeho parlamentu a Rady 2002/87/ES zo 16. decembra 2002 o doplnkovom dohľade nad úverovými inštitúciami, poisťovňami a investičnými spoločnosťami vo finančnom konglomeráte, ktorou sa menia a dopĺňajú smernice Rady 73/239/EHS, 79/267/EHS, 92/49/EHS, 92/96/EHS, 93/6/EHS a 93/22/EHS a smernice Európskeho parlamentu a Rady 98/78/ES a 2000/12/ES v platnom znení (Mimoriadne vy</w:t>
      </w:r>
      <w:r w:rsidRPr="00C207BC">
        <w:rPr>
          <w:rFonts w:ascii="Times New Roman" w:hAnsi="Times New Roman" w:cs="Times New Roman"/>
        </w:rPr>
        <w:t xml:space="preserve">danie Ú. v. ES / </w:t>
      </w:r>
      <w:r w:rsidRPr="00C207BC">
        <w:rPr>
          <w:rStyle w:val="Emphasis"/>
          <w:rFonts w:ascii="Times New Roman" w:hAnsi="Times New Roman" w:cs="Times New Roman"/>
          <w:i w:val="0"/>
        </w:rPr>
        <w:t>kapitola 06, zväzok 04, s. 340)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 smernici Európskeho parlamentu a Rady 2003/6/ES z 28. januára 2003 o obchodovaní s využitím dôverných informácií a o manipulácii s trhom (zneužívanie trhu)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</w:t>
      </w:r>
      <w:r w:rsidRPr="00C207BC">
        <w:rPr>
          <w:rStyle w:val="Emphasis"/>
          <w:rFonts w:ascii="Times New Roman" w:hAnsi="Times New Roman" w:cs="Times New Roman"/>
          <w:i w:val="0"/>
        </w:rPr>
        <w:t>zok 04, s. 367)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 smernici Európskeho parlamentu a Rady 2003/71/ES zo 4. novembra 2003 o prospekte, ktorý sa zverejňuje pri verejnej ponuke cenných papierov alebo ich prijatí na obchodovanie, a o zmene a doplnení smernice 2001/34/ES (Mimoriadne vydanie Ú</w:t>
      </w:r>
      <w:r w:rsidRPr="00C207BC">
        <w:rPr>
          <w:rFonts w:ascii="Times New Roman" w:hAnsi="Times New Roman" w:cs="Times New Roman"/>
        </w:rPr>
        <w:t xml:space="preserve">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06, s. 356)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 smernici Komisie 2003/124/ES z 22. decembra 2003, ktorou sa vykonáva smernica Európskeho parlamentu a Rady 2003/6/ES, pokiaľ ide o vymedzenie a zverejňovanie dôverných informácií a vymedzenie manipulácie s trho</w:t>
      </w:r>
      <w:r w:rsidRPr="00C207BC">
        <w:rPr>
          <w:rFonts w:ascii="Times New Roman" w:hAnsi="Times New Roman" w:cs="Times New Roman"/>
        </w:rPr>
        <w:t xml:space="preserve">m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06, s. 348)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 smernici Komisie 2003/125/ES z 22. decembra 2003, ktorou sa vykonáva smernica Európskeho parlamentu a Rady 2003/6/ES, pokiaľ ide o správne poskytovanie investičných odporúčaní a zverejňov</w:t>
      </w:r>
      <w:r w:rsidRPr="00C207BC">
        <w:rPr>
          <w:rFonts w:ascii="Times New Roman" w:hAnsi="Times New Roman" w:cs="Times New Roman"/>
        </w:rPr>
        <w:t xml:space="preserve">anie konfliktu záujmov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06, s. 351)</w:t>
      </w:r>
      <w:r w:rsidRPr="00C207BC">
        <w:rPr>
          <w:rFonts w:ascii="Times New Roman" w:hAnsi="Times New Roman" w:cs="Times New Roman"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 smernici Európskeho parlamentu a Rady 2004/25/ES z 21. apríla 2004 o ponukách na prevzatie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17 / zväzok 02, s. 20),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 smernici </w:t>
      </w:r>
      <w:r w:rsidRPr="00C207BC">
        <w:rPr>
          <w:rFonts w:ascii="Times New Roman" w:hAnsi="Times New Roman" w:cs="Times New Roman"/>
        </w:rPr>
        <w:t>Európskeho parlamentu a Rady 2004/39/ES z 21. apríla 2004 o trhoch s finančnými nástrojmi, o zmene a doplnení smerníc Rady 85/611/EHS a 93/6/EHS a smernice Európskeho parlamentu a Rady 2000/12/ES a o zrušení smernice Rady 93/22/EHS v platnom znení (Mimoria</w:t>
      </w:r>
      <w:r w:rsidRPr="00C207BC">
        <w:rPr>
          <w:rFonts w:ascii="Times New Roman" w:hAnsi="Times New Roman" w:cs="Times New Roman"/>
        </w:rPr>
        <w:t xml:space="preserve">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07, s. 263)</w:t>
      </w:r>
      <w:r w:rsidRPr="00C207BC">
        <w:rPr>
          <w:rFonts w:ascii="Times New Roman" w:hAnsi="Times New Roman" w:cs="Times New Roman"/>
          <w:iCs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  <w:iCs/>
        </w:rPr>
        <w:tab/>
        <w:t xml:space="preserve">v smernici Komisie </w:t>
      </w:r>
      <w:r w:rsidRPr="00C207BC">
        <w:rPr>
          <w:rFonts w:ascii="Times New Roman" w:hAnsi="Times New Roman" w:cs="Times New Roman"/>
        </w:rPr>
        <w:t xml:space="preserve">2004/72/ES z 29. apríla 2004, ktorou sa vykonáva smernica Európskeho parlamentu a Rady 2003/6/ES, pokiaľ ide o prijatú trhovú prax, vymedzenie dôvernej informácie vo vzťahu k derivátom komodít, vypracovanie zoznamov zasvätených osôb, oznamovanie operácií manažérov a ohlasovanie podozrivých operácií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07, s. 413)</w:t>
      </w:r>
      <w:r w:rsidRPr="00C207BC">
        <w:rPr>
          <w:rFonts w:ascii="Times New Roman" w:hAnsi="Times New Roman" w:cs="Times New Roman"/>
          <w:iCs/>
        </w:rPr>
        <w:t>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 smernici Európskeho parlamentu a Rady 2004/109/ES z 15. decembra 2004 o harmonizácii požiadaviek na transparentnosť v súvislosti s informáciami o emitentoch, ktorých cenné papiere sú prijaté na obchodovanie na regulovanom trhu, a ktorou sa mení a dopĺňa smernica 2001/34/ES (Ú.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>v. EÚ L 390, 31.12.2004),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 nariadení Komisie (ES) č. 2273/2003 z 22.decembra 2003 implementujúceho smernicu 2003/6/ES Európskeho parlamentu a Rady o výnimkách pre programy spätného výkupu a pre stabilizáciu finančných nástrojov (Mimoriadne vydanie Ú. v. ES, </w:t>
      </w:r>
      <w:r w:rsidRPr="00C207BC">
        <w:rPr>
          <w:rStyle w:val="Emphasis"/>
          <w:rFonts w:ascii="Times New Roman" w:hAnsi="Times New Roman" w:cs="Times New Roman"/>
          <w:i w:val="0"/>
        </w:rPr>
        <w:t>kapitola 06 / zväzok 06, s. 342)</w:t>
      </w:r>
      <w:r w:rsidRPr="00C207BC">
        <w:rPr>
          <w:rFonts w:ascii="Times New Roman" w:hAnsi="Times New Roman" w:cs="Times New Roman"/>
          <w:iCs/>
        </w:rPr>
        <w:t>.</w:t>
      </w:r>
    </w:p>
    <w:p w:rsidR="00B70B75" w:rsidRPr="00C207BC" w:rsidP="00B70B75">
      <w:pPr>
        <w:jc w:val="both"/>
        <w:rPr>
          <w:rFonts w:ascii="Times New Roman" w:hAnsi="Times New Roman" w:cs="Times New Roman"/>
          <w:b/>
          <w:bCs/>
        </w:rPr>
      </w:pPr>
      <w:r w:rsidRPr="00C207BC">
        <w:rPr>
          <w:rStyle w:val="Strong"/>
          <w:rFonts w:ascii="Times New Roman" w:hAnsi="Times New Roman" w:cs="Times New Roman"/>
          <w:b w:val="0"/>
        </w:rPr>
        <w:tab/>
      </w:r>
      <w:r w:rsidRPr="00C207BC">
        <w:rPr>
          <w:rStyle w:val="Strong"/>
          <w:rFonts w:ascii="Times New Roman" w:hAnsi="Times New Roman" w:cs="Times New Roman"/>
          <w:b w:val="0"/>
          <w:bCs w:val="0"/>
        </w:rPr>
        <w:t>v</w:t>
      </w:r>
      <w:r w:rsidRPr="00C207BC">
        <w:rPr>
          <w:rStyle w:val="Strong"/>
          <w:rFonts w:ascii="Times New Roman" w:hAnsi="Times New Roman" w:cs="Times New Roman"/>
        </w:rPr>
        <w:t xml:space="preserve"> </w:t>
      </w:r>
      <w:r w:rsidRPr="00C207BC">
        <w:rPr>
          <w:rStyle w:val="Strong"/>
          <w:rFonts w:ascii="Times New Roman" w:hAnsi="Times New Roman" w:cs="Times New Roman"/>
          <w:b w:val="0"/>
          <w:bCs w:val="0"/>
        </w:rPr>
        <w:t>smernici  Európskeho parlamentu a Rady 2006/48/ES zo 14. júna 2006 o začatí a vykonávaní činností úverových inštitúcií  (Ú.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0C207BC">
        <w:rPr>
          <w:rStyle w:val="Strong"/>
          <w:rFonts w:ascii="Times New Roman" w:hAnsi="Times New Roman" w:cs="Times New Roman"/>
          <w:b w:val="0"/>
          <w:bCs w:val="0"/>
        </w:rPr>
        <w:t>v. EÚ L 177 z 30. 06.2006),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 smernici Európskeho parlamentu a Rady 2006/49/ES zo 14. júna 2006 o kapitálovej primeranosti investičných spoločností a úverových inštitúcií (Ú.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 xml:space="preserve">v. EÚ L 177 z 30.06.2006), 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b) nie je upravená v práve Európskej únie.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c) je obsiahnutá v judikatúre Súdneho dvora Európskych spoločenstiev alebo Súdu prvého stupňa Európskych spoločenstiev: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 rozhodnutí Súdneho dvora Európskych spoločenstiev vo veci C - 464/98, Westdeutsche Landesbank Girozentrale v. Friedrich Stefan, rok 2001, Zb.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>roz. ESD (I-173),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 rozhodnutí Súdneho dvora Európskych spoločenstiev vo veci C - </w:t>
      </w:r>
      <w:r w:rsidRPr="00C207BC">
        <w:rPr>
          <w:rFonts w:ascii="Times New Roman" w:hAnsi="Times New Roman" w:cs="Times New Roman"/>
          <w:lang w:val="et-EE"/>
        </w:rPr>
        <w:t>384/93</w:t>
      </w:r>
      <w:r w:rsidRPr="00C207BC">
        <w:rPr>
          <w:rFonts w:ascii="Times New Roman" w:hAnsi="Times New Roman" w:cs="Times New Roman"/>
        </w:rPr>
        <w:t>, Alpine Investments v. Minister van Financiën, rok 1995, Zb. roz. ESD (I-1141),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 xml:space="preserve">v rozhodnutí Súdneho dvora Európskych spoločenstiev vo veci C - </w:t>
      </w:r>
      <w:r w:rsidRPr="00C207BC">
        <w:rPr>
          <w:rFonts w:ascii="Times New Roman" w:hAnsi="Times New Roman" w:cs="Times New Roman"/>
          <w:lang w:val="et-EE"/>
        </w:rPr>
        <w:t>356/00</w:t>
      </w:r>
      <w:r w:rsidRPr="00C207BC">
        <w:rPr>
          <w:rFonts w:ascii="Times New Roman" w:hAnsi="Times New Roman" w:cs="Times New Roman"/>
        </w:rPr>
        <w:t xml:space="preserve">, </w:t>
      </w:r>
      <w:r w:rsidRPr="00C207BC">
        <w:rPr>
          <w:rFonts w:ascii="Times New Roman" w:hAnsi="Times New Roman" w:cs="Times New Roman"/>
          <w:bCs/>
        </w:rPr>
        <w:t xml:space="preserve">Antonio Testa, Lido Lazzeri v. Commissione Nazionale per le Società e </w:t>
      </w:r>
      <w:smartTag w:uri="urn:schemas-microsoft-com:office:smarttags" w:element="PersonName">
        <w:smartTagPr>
          <w:attr w:name="ProductID" w:val="la Borsa"/>
        </w:smartTagPr>
        <w:r w:rsidRPr="00C207BC">
          <w:rPr>
            <w:rFonts w:ascii="Times New Roman" w:hAnsi="Times New Roman" w:cs="Times New Roman"/>
            <w:bCs/>
          </w:rPr>
          <w:t>la Borsa</w:t>
        </w:r>
      </w:smartTag>
      <w:r w:rsidRPr="00C207BC">
        <w:rPr>
          <w:rFonts w:ascii="Times New Roman" w:hAnsi="Times New Roman" w:cs="Times New Roman"/>
          <w:bCs/>
        </w:rPr>
        <w:t xml:space="preserve"> (Consob)</w:t>
      </w:r>
      <w:r w:rsidRPr="00C207BC">
        <w:rPr>
          <w:rFonts w:ascii="Times New Roman" w:hAnsi="Times New Roman" w:cs="Times New Roman"/>
        </w:rPr>
        <w:t>, rok 2002, Zb. roz. ESD (I-10 797),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v rozhodnutí Súdneho dvora Európskych spoločenstiev vo veci C – 417/97, Európska komisia</w:t>
      </w:r>
      <w:r w:rsidRPr="00C207BC">
        <w:rPr>
          <w:rFonts w:ascii="Times New Roman" w:hAnsi="Times New Roman" w:cs="Times New Roman"/>
          <w:bCs/>
        </w:rPr>
        <w:t xml:space="preserve"> v. Luxemburské veľkovojvodstvo</w:t>
      </w:r>
      <w:r w:rsidRPr="00C207BC">
        <w:rPr>
          <w:rFonts w:ascii="Times New Roman" w:hAnsi="Times New Roman" w:cs="Times New Roman"/>
        </w:rPr>
        <w:t>, rok 1999, Zb. roz. ESD (I-3247).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</w:p>
    <w:p w:rsidR="00B70B75" w:rsidRPr="00C207BC" w:rsidP="00B70B75">
      <w:pPr>
        <w:jc w:val="both"/>
        <w:rPr>
          <w:rFonts w:ascii="Times New Roman" w:hAnsi="Times New Roman" w:cs="Times New Roman"/>
          <w:b/>
        </w:rPr>
      </w:pPr>
      <w:r w:rsidRPr="00C207BC">
        <w:rPr>
          <w:rFonts w:ascii="Times New Roman" w:hAnsi="Times New Roman" w:cs="Times New Roman"/>
          <w:b/>
          <w:bCs/>
        </w:rPr>
        <w:t xml:space="preserve">4. </w:t>
      </w:r>
      <w:r w:rsidRPr="00C207BC">
        <w:rPr>
          <w:rFonts w:ascii="Times New Roman" w:hAnsi="Times New Roman" w:cs="Times New Roman"/>
          <w:b/>
        </w:rPr>
        <w:t>Záväzky Slovenskej republiky vo vzťahu k Európskym spoločenstvám a k Európskej únii:</w:t>
      </w:r>
    </w:p>
    <w:p w:rsidR="00B70B75" w:rsidRPr="00C207BC" w:rsidP="00B70B75">
      <w:pPr>
        <w:ind w:left="360" w:hanging="360"/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>Zo Zmluvy o pristúpení Slovenskej republiky k Európskej únii, najmä z Aktu o podmienkach pristúpenia nevyplývajú pre SR žiadne záväzky.</w:t>
      </w:r>
    </w:p>
    <w:p w:rsidR="00B70B75" w:rsidRPr="00C207BC" w:rsidP="00B70B75">
      <w:pPr>
        <w:ind w:left="360" w:hanging="360"/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b) Podľa Zmluvy o pristúpení Slovenskej republiky k Európskej únii, najmä podľa Aktu o podmienkach pristúpenia nepožiadala SR o žiadne prechodné obdobie.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 xml:space="preserve">  </w:t>
      </w:r>
      <w:r w:rsidRPr="00C207BC">
        <w:rPr>
          <w:rFonts w:ascii="Times New Roman" w:hAnsi="Times New Roman" w:cs="Times New Roman"/>
        </w:rPr>
        <w:t>Bezpredmetné.</w:t>
      </w:r>
    </w:p>
    <w:p w:rsidR="00B70B75" w:rsidRPr="00C207BC" w:rsidP="00B70B75">
      <w:pPr>
        <w:ind w:left="360" w:hanging="360"/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>Proti SR nebolo začaté konanie o porušení Zmluvy o založení Európskych spoločenstiev podľa čl. 226 až 228 Zmluvy o založení Európskych spoločenstiev v platnom znení.</w:t>
      </w:r>
    </w:p>
    <w:p w:rsidR="00B70B75" w:rsidRPr="00C207BC" w:rsidP="00B70B75">
      <w:pPr>
        <w:ind w:left="360" w:hanging="360"/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>Do zákona č. 429/2002 Z.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>z. o burze cenných papierov v znení neskorších predpisov boli prebraté smernice 1993/22/ES, 2001/34/ES, 2003/6ES, 2003/71/ES, 2004/39/ES a 2004/109/ES.</w:t>
      </w:r>
    </w:p>
    <w:p w:rsidR="00B70B75" w:rsidRPr="00C207BC" w:rsidP="00B70B75">
      <w:pPr>
        <w:ind w:left="360"/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Do zákona č. 747/2004 Z.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 xml:space="preserve">z. o dohľade nad finančným trhom a o zmene a doplnení niektorých zákonov v znení neskorších predpisov  boli prebraté smernice 1993/6/EHS, 1993/22/ES, 2001/34/ES, 2003/6ES a 2002/87/ES. </w:t>
      </w:r>
    </w:p>
    <w:p w:rsidR="00B70B75" w:rsidRPr="00C207BC" w:rsidP="00B70B75">
      <w:pPr>
        <w:ind w:left="360"/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Do zákona č. 594/2003 Z.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>z. o kolektívnom investovaní v znení neskorších predpisov boli prebraté smernice  2002/87/ES a 2003/71/ES.</w:t>
      </w:r>
    </w:p>
    <w:p w:rsidR="00B70B75" w:rsidRPr="00C207BC" w:rsidP="00B70B75">
      <w:pPr>
        <w:ind w:left="360"/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>Do zákona č. 40/1964 Z. z. Občiansky zákonník v znení neskorších predpisov bola prebratá smernica 2002/47/ES a do zákona č. 95/2002 Z.</w:t>
      </w:r>
      <w:r>
        <w:rPr>
          <w:rFonts w:ascii="Times New Roman" w:hAnsi="Times New Roman" w:cs="Times New Roman"/>
        </w:rPr>
        <w:t xml:space="preserve"> </w:t>
      </w:r>
      <w:r w:rsidRPr="00C207BC">
        <w:rPr>
          <w:rFonts w:ascii="Times New Roman" w:hAnsi="Times New Roman" w:cs="Times New Roman"/>
        </w:rPr>
        <w:t>z. o poisťovníctve v znení neskorších predpisov bola prebratá smernica 2002/87/ES.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</w:p>
    <w:p w:rsidR="00B70B75" w:rsidRPr="00C207BC" w:rsidP="00B70B75">
      <w:pPr>
        <w:jc w:val="both"/>
        <w:rPr>
          <w:rFonts w:ascii="Times New Roman" w:hAnsi="Times New Roman" w:cs="Times New Roman"/>
          <w:b/>
        </w:rPr>
      </w:pPr>
      <w:r w:rsidRPr="00C207BC">
        <w:rPr>
          <w:rFonts w:ascii="Times New Roman" w:hAnsi="Times New Roman" w:cs="Times New Roman"/>
          <w:b/>
        </w:rPr>
        <w:t>5. Stupeň zlučiteľnosti návrhu zákona s právom Európskych spoločenstiev a právom Európskej únie: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</w:r>
      <w:r w:rsidR="00A51A7C">
        <w:rPr>
          <w:rFonts w:ascii="Times New Roman" w:hAnsi="Times New Roman" w:cs="Times New Roman"/>
        </w:rPr>
        <w:t>Návrh zákon je zlučiteľný s právom EÚ.</w:t>
      </w:r>
    </w:p>
    <w:p w:rsidR="00B70B75" w:rsidRPr="00C207BC" w:rsidP="00B70B75">
      <w:pPr>
        <w:jc w:val="both"/>
        <w:rPr>
          <w:rFonts w:ascii="Times New Roman" w:hAnsi="Times New Roman" w:cs="Times New Roman"/>
          <w:b/>
        </w:rPr>
      </w:pPr>
      <w:r w:rsidRPr="00C207BC">
        <w:rPr>
          <w:rFonts w:ascii="Times New Roman" w:hAnsi="Times New Roman" w:cs="Times New Roman"/>
          <w:b/>
        </w:rPr>
        <w:t>6. Gestor: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Ministerstvo financií SR.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</w:p>
    <w:p w:rsidR="00B70B75" w:rsidRPr="00C207BC" w:rsidP="00B70B75">
      <w:pPr>
        <w:jc w:val="both"/>
        <w:rPr>
          <w:rFonts w:ascii="Times New Roman" w:hAnsi="Times New Roman" w:cs="Times New Roman"/>
          <w:b/>
        </w:rPr>
      </w:pPr>
      <w:r w:rsidRPr="00C207BC">
        <w:rPr>
          <w:rFonts w:ascii="Times New Roman" w:hAnsi="Times New Roman" w:cs="Times New Roman"/>
          <w:b/>
        </w:rPr>
        <w:t>Spolupracujúci rezort: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  <w:r w:rsidRPr="00C207BC">
        <w:rPr>
          <w:rFonts w:ascii="Times New Roman" w:hAnsi="Times New Roman" w:cs="Times New Roman"/>
        </w:rPr>
        <w:tab/>
        <w:t>.</w:t>
      </w:r>
    </w:p>
    <w:p w:rsidR="00B70B75" w:rsidRPr="00C207BC" w:rsidP="00B70B75">
      <w:pPr>
        <w:jc w:val="both"/>
        <w:rPr>
          <w:rFonts w:ascii="Times New Roman" w:hAnsi="Times New Roman" w:cs="Times New Roman"/>
        </w:rPr>
      </w:pPr>
    </w:p>
    <w:p w:rsidR="00B70B75" w:rsidP="00B70B75">
      <w:pPr>
        <w:jc w:val="both"/>
        <w:rPr>
          <w:rFonts w:ascii="Times New Roman" w:hAnsi="Times New Roman" w:cs="Times New Roman"/>
        </w:rPr>
      </w:pPr>
    </w:p>
    <w:p w:rsidR="00B70B75" w:rsidP="00B70B75">
      <w:pPr>
        <w:jc w:val="both"/>
        <w:rPr>
          <w:rFonts w:ascii="Times New Roman" w:hAnsi="Times New Roman" w:cs="Times New Roman"/>
        </w:rPr>
      </w:pPr>
    </w:p>
    <w:p w:rsidR="00FC5F5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A51A7C"/>
    <w:rsid w:val="00B70B75"/>
    <w:rsid w:val="00C207BC"/>
    <w:rsid w:val="00FC5F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B7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Strong">
    <w:name w:val="Strong"/>
    <w:basedOn w:val="DefaultParagraphFont"/>
    <w:qFormat/>
    <w:rsid w:val="00B70B75"/>
    <w:rPr>
      <w:b/>
      <w:bCs/>
      <w:rtl w:val="0"/>
    </w:rPr>
  </w:style>
  <w:style w:type="character" w:styleId="Emphasis">
    <w:name w:val="Emphasis"/>
    <w:basedOn w:val="DefaultParagraphFont"/>
    <w:qFormat/>
    <w:rsid w:val="00B70B75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1124</Words>
  <Characters>6413</Characters>
  <Application>Microsoft Office Word</Application>
  <DocSecurity>0</DocSecurity>
  <Lines>0</Lines>
  <Paragraphs>0</Paragraphs>
  <ScaleCrop>false</ScaleCrop>
  <Company>Kancelaria NR SR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Ivan_Miklos</dc:creator>
  <cp:lastModifiedBy>Ivan_Miklos</cp:lastModifiedBy>
  <cp:revision>2</cp:revision>
  <dcterms:created xsi:type="dcterms:W3CDTF">2008-11-06T08:20:00Z</dcterms:created>
  <dcterms:modified xsi:type="dcterms:W3CDTF">2008-11-06T08:20:00Z</dcterms:modified>
</cp:coreProperties>
</file>