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6497E" w:rsidRPr="00FD17B6" w:rsidP="00FD17B6">
      <w:pPr>
        <w:jc w:val="right"/>
        <w:rPr>
          <w:rFonts w:ascii="Times New Roman" w:hAnsi="Times New Roman" w:cs="Times New Roman"/>
          <w:b/>
          <w:szCs w:val="24"/>
        </w:rPr>
      </w:pPr>
      <w:r w:rsidR="003B7B9A">
        <w:rPr>
          <w:rFonts w:ascii="Times New Roman" w:hAnsi="Times New Roman" w:cs="Times New Roman"/>
          <w:b/>
          <w:szCs w:val="24"/>
        </w:rPr>
        <w:t>Príloha</w:t>
      </w:r>
      <w:r w:rsidR="00785C68">
        <w:rPr>
          <w:rFonts w:ascii="Times New Roman" w:hAnsi="Times New Roman" w:cs="Times New Roman"/>
          <w:b/>
          <w:szCs w:val="24"/>
        </w:rPr>
        <w:t xml:space="preserve"> č. 1</w:t>
      </w:r>
    </w:p>
    <w:p w:rsidR="0086497E">
      <w:pPr>
        <w:rPr>
          <w:rFonts w:ascii="Times New Roman" w:hAnsi="Times New Roman" w:cs="Times New Roman"/>
          <w:szCs w:val="24"/>
        </w:rPr>
      </w:pPr>
    </w:p>
    <w:p w:rsidR="00FD17B6">
      <w:pPr>
        <w:rPr>
          <w:rFonts w:ascii="Times New Roman" w:hAnsi="Times New Roman" w:cs="Times New Roman"/>
          <w:szCs w:val="24"/>
        </w:rPr>
      </w:pPr>
    </w:p>
    <w:p w:rsidR="005B22A6" w:rsidRPr="009817E7" w:rsidP="005B22A6">
      <w:pPr>
        <w:ind w:firstLine="708"/>
        <w:jc w:val="both"/>
        <w:rPr>
          <w:rFonts w:ascii="Times New Roman" w:hAnsi="Times New Roman" w:cs="Times New Roman"/>
          <w:szCs w:val="24"/>
        </w:rPr>
      </w:pPr>
      <w:r w:rsidRPr="009817E7">
        <w:rPr>
          <w:rFonts w:ascii="Times New Roman" w:hAnsi="Times New Roman" w:cs="Times New Roman"/>
          <w:szCs w:val="24"/>
        </w:rPr>
        <w:t>Podľa štatistických údajov Ministerstva spravodlivosti Slovenskej republiky [Štatistická ročenka</w:t>
      </w:r>
      <w:r>
        <w:rPr>
          <w:rStyle w:val="FootnoteReference"/>
          <w:rFonts w:ascii="Times New Roman" w:hAnsi="Times New Roman" w:cs="Times New Roman"/>
          <w:szCs w:val="24"/>
        </w:rPr>
        <w:footnoteReference w:customMarkFollows="1" w:id="2"/>
        <w:t xml:space="preserve">1</w:t>
      </w:r>
      <w:r w:rsidRPr="0082267F">
        <w:rPr>
          <w:rStyle w:val="FootnoteReference"/>
          <w:rFonts w:ascii="Times New Roman" w:hAnsi="Times New Roman" w:cs="Times New Roman"/>
          <w:szCs w:val="24"/>
          <w:vertAlign w:val="baseline"/>
        </w:rPr>
        <w:t>)</w:t>
      </w:r>
      <w:r w:rsidRPr="009817E7">
        <w:rPr>
          <w:rFonts w:ascii="Times New Roman" w:hAnsi="Times New Roman" w:cs="Times New Roman"/>
          <w:szCs w:val="24"/>
        </w:rPr>
        <w:t>]</w:t>
      </w:r>
      <w:r>
        <w:rPr>
          <w:rFonts w:ascii="Times New Roman" w:hAnsi="Times New Roman" w:cs="Times New Roman"/>
          <w:szCs w:val="24"/>
        </w:rPr>
        <w:t xml:space="preserve">: </w:t>
      </w:r>
    </w:p>
    <w:p w:rsidR="005B22A6" w:rsidRPr="009817E7" w:rsidP="005B22A6">
      <w:pPr>
        <w:jc w:val="both"/>
        <w:rPr>
          <w:rFonts w:ascii="Times New Roman" w:hAnsi="Times New Roman" w:cs="Times New Roman"/>
          <w:szCs w:val="24"/>
        </w:rPr>
      </w:pPr>
    </w:p>
    <w:p w:rsidR="005B22A6" w:rsidRPr="009817E7" w:rsidP="005B22A6">
      <w:pPr>
        <w:numPr>
          <w:numId w:val="1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</w:t>
      </w:r>
      <w:r w:rsidRPr="009817E7">
        <w:rPr>
          <w:rFonts w:ascii="Times New Roman" w:hAnsi="Times New Roman" w:cs="Times New Roman"/>
          <w:szCs w:val="24"/>
        </w:rPr>
        <w:t xml:space="preserve">ojenské obvodové súdy </w:t>
      </w:r>
      <w:r w:rsidRPr="0082267F">
        <w:rPr>
          <w:rFonts w:ascii="Times New Roman" w:hAnsi="Times New Roman" w:cs="Times New Roman"/>
          <w:b/>
          <w:szCs w:val="24"/>
        </w:rPr>
        <w:t>za rok 2005</w:t>
      </w:r>
      <w:r w:rsidRPr="009817E7">
        <w:rPr>
          <w:rFonts w:ascii="Times New Roman" w:hAnsi="Times New Roman" w:cs="Times New Roman"/>
          <w:szCs w:val="24"/>
        </w:rPr>
        <w:t xml:space="preserve"> vybavili (právoplatne rozhodli) 384 trestných vecí, čo predstavuje v priemerne na jeden vojenský obvodový súd 128 vybavených trestných vecí ročne. Okresné súdy</w:t>
      </w:r>
      <w:r>
        <w:rPr>
          <w:rStyle w:val="FootnoteReference"/>
          <w:rFonts w:ascii="Times New Roman" w:hAnsi="Times New Roman" w:cs="Times New Roman"/>
          <w:szCs w:val="24"/>
        </w:rPr>
        <w:footnoteReference w:customMarkFollows="1" w:id="3"/>
        <w:t xml:space="preserve">2</w:t>
      </w:r>
      <w:r w:rsidRPr="0082267F">
        <w:rPr>
          <w:rStyle w:val="FootnoteReference"/>
          <w:rFonts w:ascii="Times New Roman" w:hAnsi="Times New Roman" w:cs="Times New Roman"/>
          <w:szCs w:val="24"/>
          <w:vertAlign w:val="baseline"/>
        </w:rPr>
        <w:t>)</w:t>
      </w:r>
      <w:r w:rsidRPr="0082267F">
        <w:rPr>
          <w:rFonts w:ascii="Times New Roman" w:hAnsi="Times New Roman" w:cs="Times New Roman"/>
          <w:szCs w:val="24"/>
        </w:rPr>
        <w:t xml:space="preserve"> </w:t>
      </w:r>
      <w:r w:rsidRPr="009817E7">
        <w:rPr>
          <w:rFonts w:ascii="Times New Roman" w:hAnsi="Times New Roman" w:cs="Times New Roman"/>
          <w:szCs w:val="24"/>
        </w:rPr>
        <w:t>vybavili v roku 2005 28 697 trestných vecí, čo v priemere predstavuje 637 vecí vybavených ročne na okresnom súde. Pri porovnaní pohybu agendy na Vyššom voj</w:t>
      </w:r>
      <w:r w:rsidR="00FD17B6">
        <w:rPr>
          <w:rFonts w:ascii="Times New Roman" w:hAnsi="Times New Roman" w:cs="Times New Roman"/>
          <w:szCs w:val="24"/>
        </w:rPr>
        <w:t xml:space="preserve">enskom súde (odvolacia agenda) </w:t>
      </w:r>
      <w:r w:rsidRPr="009817E7">
        <w:rPr>
          <w:rFonts w:ascii="Times New Roman" w:hAnsi="Times New Roman" w:cs="Times New Roman"/>
          <w:szCs w:val="24"/>
        </w:rPr>
        <w:t>a krajských</w:t>
      </w:r>
      <w:r w:rsidR="00FD17B6">
        <w:rPr>
          <w:rFonts w:ascii="Times New Roman" w:hAnsi="Times New Roman" w:cs="Times New Roman"/>
          <w:szCs w:val="24"/>
        </w:rPr>
        <w:t xml:space="preserve"> súdoch (odvolacia agenda) </w:t>
      </w:r>
      <w:r w:rsidRPr="009817E7">
        <w:rPr>
          <w:rFonts w:ascii="Times New Roman" w:hAnsi="Times New Roman" w:cs="Times New Roman"/>
          <w:szCs w:val="24"/>
        </w:rPr>
        <w:t xml:space="preserve">vyplýva nasledovný záver: Vyšší vojenský súd v roku 2005 vybavil 120 trestných vecí. Krajské súdy v tom istom období vybavili 4595 vecí, čo predstavuje v priemere 574 vecí na jeden krajský súd. </w:t>
      </w:r>
    </w:p>
    <w:p w:rsidR="005B22A6" w:rsidRPr="009817E7" w:rsidP="005B22A6">
      <w:pPr>
        <w:jc w:val="both"/>
        <w:rPr>
          <w:rFonts w:ascii="Times New Roman" w:hAnsi="Times New Roman" w:cs="Times New Roman"/>
          <w:szCs w:val="24"/>
        </w:rPr>
      </w:pPr>
    </w:p>
    <w:p w:rsidR="005B22A6" w:rsidRPr="009817E7" w:rsidP="005B22A6">
      <w:pPr>
        <w:numPr>
          <w:numId w:val="1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</w:t>
      </w:r>
      <w:r w:rsidRPr="009817E7">
        <w:rPr>
          <w:rFonts w:ascii="Times New Roman" w:hAnsi="Times New Roman" w:cs="Times New Roman"/>
          <w:szCs w:val="24"/>
        </w:rPr>
        <w:t xml:space="preserve">ojenské obvodové </w:t>
      </w:r>
      <w:r w:rsidRPr="00E21B35">
        <w:rPr>
          <w:rFonts w:ascii="Times New Roman" w:hAnsi="Times New Roman" w:cs="Times New Roman"/>
          <w:szCs w:val="24"/>
        </w:rPr>
        <w:t xml:space="preserve">súdy </w:t>
      </w:r>
      <w:r w:rsidRPr="0082267F">
        <w:rPr>
          <w:rFonts w:ascii="Times New Roman" w:hAnsi="Times New Roman" w:cs="Times New Roman"/>
          <w:b/>
          <w:szCs w:val="24"/>
        </w:rPr>
        <w:t>za rok 2006</w:t>
      </w:r>
      <w:r w:rsidRPr="009817E7">
        <w:rPr>
          <w:rFonts w:ascii="Times New Roman" w:hAnsi="Times New Roman" w:cs="Times New Roman"/>
          <w:szCs w:val="24"/>
        </w:rPr>
        <w:t xml:space="preserve"> vybavili (právoplatne rozhodli) 237 trestných vecí, čo predstavuje v priemerne na jeden vojenský obvodový súd 79 vybavených trestných vecí ročne. Okresné súdy</w:t>
      </w:r>
      <w:r w:rsidRPr="009817E7">
        <w:rPr>
          <w:rFonts w:ascii="Times New Roman" w:hAnsi="Times New Roman" w:cs="Times New Roman"/>
          <w:szCs w:val="24"/>
          <w:vertAlign w:val="superscript"/>
        </w:rPr>
        <w:t>2</w:t>
      </w:r>
      <w:r w:rsidRPr="009817E7">
        <w:rPr>
          <w:rFonts w:ascii="Times New Roman" w:hAnsi="Times New Roman" w:cs="Times New Roman"/>
          <w:szCs w:val="24"/>
        </w:rPr>
        <w:t>) vybavili v roku 2006 27 689 trestných vecí, čo v priemere predstavuje 615 vecí vybavených ročne na okresnom súde. Pri porovnaní pohybu agendy na Vyššom vojenskom súde (odvolacia agenda)  a krajs</w:t>
      </w:r>
      <w:r w:rsidR="00EE1165">
        <w:rPr>
          <w:rFonts w:ascii="Times New Roman" w:hAnsi="Times New Roman" w:cs="Times New Roman"/>
          <w:szCs w:val="24"/>
        </w:rPr>
        <w:t xml:space="preserve">kých súdoch (odvolacia agenda) </w:t>
      </w:r>
      <w:r w:rsidRPr="009817E7">
        <w:rPr>
          <w:rFonts w:ascii="Times New Roman" w:hAnsi="Times New Roman" w:cs="Times New Roman"/>
          <w:szCs w:val="24"/>
        </w:rPr>
        <w:t xml:space="preserve">vyplýva nasledovný záver: Vyšší vojenský súd v roku 2006 vybavil 73 trestných vecí. Krajské súdy v tom istom období vybavili 4 236 vecí, čo predstavuje v priemere 529 vecí na jeden krajský súd. </w:t>
      </w:r>
    </w:p>
    <w:p w:rsidR="005B22A6" w:rsidRPr="009817E7" w:rsidP="005B22A6">
      <w:pPr>
        <w:jc w:val="both"/>
        <w:rPr>
          <w:rFonts w:ascii="Times New Roman" w:hAnsi="Times New Roman" w:cs="Times New Roman"/>
          <w:szCs w:val="24"/>
        </w:rPr>
      </w:pPr>
    </w:p>
    <w:p w:rsidR="005B22A6" w:rsidRPr="009817E7" w:rsidP="005B22A6">
      <w:pPr>
        <w:numPr>
          <w:numId w:val="1"/>
        </w:num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V</w:t>
      </w:r>
      <w:r w:rsidRPr="009817E7">
        <w:rPr>
          <w:rFonts w:ascii="Times New Roman" w:hAnsi="Times New Roman" w:cs="Times New Roman"/>
          <w:szCs w:val="24"/>
        </w:rPr>
        <w:t xml:space="preserve">ojenské obvodové súdy </w:t>
      </w:r>
      <w:r w:rsidRPr="0082267F">
        <w:rPr>
          <w:rFonts w:ascii="Times New Roman" w:hAnsi="Times New Roman" w:cs="Times New Roman"/>
          <w:b/>
          <w:szCs w:val="24"/>
        </w:rPr>
        <w:t>za rok 2007</w:t>
      </w:r>
      <w:r w:rsidRPr="009817E7">
        <w:rPr>
          <w:rFonts w:ascii="Times New Roman" w:hAnsi="Times New Roman" w:cs="Times New Roman"/>
          <w:szCs w:val="24"/>
        </w:rPr>
        <w:t xml:space="preserve"> vybavili (právoplatne rozhodli) 289 trestných vecí, čo predstavuje v priemerne na jeden vojenský obvodový súd 96 vybavených trestných vecí ročne. Okresné súdy</w:t>
      </w:r>
      <w:r w:rsidRPr="009817E7">
        <w:rPr>
          <w:rFonts w:ascii="Times New Roman" w:hAnsi="Times New Roman" w:cs="Times New Roman"/>
          <w:szCs w:val="24"/>
          <w:vertAlign w:val="superscript"/>
        </w:rPr>
        <w:t>2</w:t>
      </w:r>
      <w:r w:rsidRPr="009817E7">
        <w:rPr>
          <w:rFonts w:ascii="Times New Roman" w:hAnsi="Times New Roman" w:cs="Times New Roman"/>
          <w:szCs w:val="24"/>
        </w:rPr>
        <w:t>) vybavili v roku 2007 29 360 trestných vecí, čo v priemere predstavuje 652 vecí vybavených ročne na okresnom súde. Pri porovnaní pohybu agendy na Vyššom vojenskom súde (odvolacia agenda)  a krajs</w:t>
      </w:r>
      <w:r w:rsidR="00EE1165">
        <w:rPr>
          <w:rFonts w:ascii="Times New Roman" w:hAnsi="Times New Roman" w:cs="Times New Roman"/>
          <w:szCs w:val="24"/>
        </w:rPr>
        <w:t xml:space="preserve">kých súdoch (odvolacia agenda) vyplýva nasledovný záver: </w:t>
      </w:r>
      <w:r w:rsidRPr="009817E7">
        <w:rPr>
          <w:rFonts w:ascii="Times New Roman" w:hAnsi="Times New Roman" w:cs="Times New Roman"/>
          <w:szCs w:val="24"/>
        </w:rPr>
        <w:t xml:space="preserve">Vyšší vojenský súd v roku 2007 vybavil </w:t>
      </w:r>
      <w:r w:rsidR="00507EC0">
        <w:rPr>
          <w:rFonts w:ascii="Times New Roman" w:hAnsi="Times New Roman" w:cs="Times New Roman"/>
          <w:szCs w:val="24"/>
        </w:rPr>
        <w:t>67</w:t>
      </w:r>
      <w:r w:rsidRPr="009817E7">
        <w:rPr>
          <w:rFonts w:ascii="Times New Roman" w:hAnsi="Times New Roman" w:cs="Times New Roman"/>
          <w:szCs w:val="24"/>
        </w:rPr>
        <w:t xml:space="preserve"> trestných vecí. Krajské súdy v tom istom období vybavili 3723 vecí, čo predstavuje v priemere 465 vecí na jeden krajský súd. </w:t>
      </w:r>
    </w:p>
    <w:p w:rsidR="0086497E">
      <w:pPr>
        <w:rPr>
          <w:rFonts w:ascii="Times New Roman" w:hAnsi="Times New Roman" w:cs="Times New Roman"/>
          <w:szCs w:val="24"/>
        </w:rPr>
      </w:pPr>
    </w:p>
    <w:p w:rsidR="00927B77" w:rsidP="00F64F46">
      <w:pPr>
        <w:jc w:val="both"/>
        <w:rPr>
          <w:rFonts w:ascii="Times New Roman" w:hAnsi="Times New Roman" w:cs="Times New Roman"/>
          <w:szCs w:val="24"/>
        </w:rPr>
      </w:pPr>
    </w:p>
    <w:p w:rsidR="009E019B" w:rsidP="00BA4656">
      <w:pPr>
        <w:ind w:firstLine="708"/>
        <w:jc w:val="both"/>
        <w:rPr>
          <w:rFonts w:ascii="Times New Roman" w:hAnsi="Times New Roman" w:cs="Times New Roman"/>
          <w:szCs w:val="24"/>
        </w:rPr>
      </w:pPr>
      <w:r w:rsidR="00351634">
        <w:rPr>
          <w:rFonts w:ascii="Times New Roman" w:hAnsi="Times New Roman" w:cs="Times New Roman"/>
          <w:szCs w:val="24"/>
        </w:rPr>
        <w:t xml:space="preserve">Pri porovnaní vyťaženosti sudcov krajských súdov a Vyššieho vojenského súdu možno </w:t>
      </w:r>
      <w:r w:rsidR="00F64F46">
        <w:rPr>
          <w:rFonts w:ascii="Times New Roman" w:hAnsi="Times New Roman" w:cs="Times New Roman"/>
          <w:szCs w:val="24"/>
        </w:rPr>
        <w:t>konštatovať</w:t>
      </w:r>
      <w:r w:rsidR="00351634">
        <w:rPr>
          <w:rFonts w:ascii="Times New Roman" w:hAnsi="Times New Roman" w:cs="Times New Roman"/>
          <w:szCs w:val="24"/>
        </w:rPr>
        <w:t>, že v </w:t>
      </w:r>
      <w:r w:rsidR="00F64F46">
        <w:rPr>
          <w:rFonts w:ascii="Times New Roman" w:hAnsi="Times New Roman" w:cs="Times New Roman"/>
          <w:szCs w:val="24"/>
        </w:rPr>
        <w:t>priemere</w:t>
      </w:r>
      <w:r w:rsidR="00351634">
        <w:rPr>
          <w:rFonts w:ascii="Times New Roman" w:hAnsi="Times New Roman" w:cs="Times New Roman"/>
          <w:szCs w:val="24"/>
        </w:rPr>
        <w:t xml:space="preserve"> pripadá na </w:t>
      </w:r>
      <w:r w:rsidR="00F64F46">
        <w:rPr>
          <w:rFonts w:ascii="Times New Roman" w:hAnsi="Times New Roman" w:cs="Times New Roman"/>
          <w:szCs w:val="24"/>
        </w:rPr>
        <w:t>sudcu</w:t>
      </w:r>
      <w:r w:rsidR="00351634">
        <w:rPr>
          <w:rFonts w:ascii="Times New Roman" w:hAnsi="Times New Roman" w:cs="Times New Roman"/>
          <w:szCs w:val="24"/>
        </w:rPr>
        <w:t xml:space="preserve"> krajského súdu 47 </w:t>
      </w:r>
      <w:r w:rsidR="00FB5F0D">
        <w:rPr>
          <w:rFonts w:ascii="Times New Roman" w:hAnsi="Times New Roman" w:cs="Times New Roman"/>
          <w:szCs w:val="24"/>
        </w:rPr>
        <w:t xml:space="preserve">vybavených </w:t>
      </w:r>
      <w:r w:rsidR="00A0281F">
        <w:rPr>
          <w:rFonts w:ascii="Times New Roman" w:hAnsi="Times New Roman" w:cs="Times New Roman"/>
          <w:szCs w:val="24"/>
        </w:rPr>
        <w:t xml:space="preserve">trestných </w:t>
      </w:r>
      <w:r w:rsidR="00351634">
        <w:rPr>
          <w:rFonts w:ascii="Times New Roman" w:hAnsi="Times New Roman" w:cs="Times New Roman"/>
          <w:szCs w:val="24"/>
        </w:rPr>
        <w:t>vecí</w:t>
      </w:r>
      <w:r w:rsidR="00A0281F">
        <w:rPr>
          <w:rFonts w:ascii="Times New Roman" w:hAnsi="Times New Roman" w:cs="Times New Roman"/>
          <w:szCs w:val="24"/>
        </w:rPr>
        <w:t xml:space="preserve"> v odvolacej agen</w:t>
      </w:r>
      <w:r w:rsidR="004D2782">
        <w:rPr>
          <w:rFonts w:ascii="Times New Roman" w:hAnsi="Times New Roman" w:cs="Times New Roman"/>
          <w:szCs w:val="24"/>
        </w:rPr>
        <w:t>d</w:t>
      </w:r>
      <w:r w:rsidR="00A0281F">
        <w:rPr>
          <w:rFonts w:ascii="Times New Roman" w:hAnsi="Times New Roman" w:cs="Times New Roman"/>
          <w:szCs w:val="24"/>
        </w:rPr>
        <w:t>e</w:t>
      </w:r>
      <w:r w:rsidR="00351634">
        <w:rPr>
          <w:rFonts w:ascii="Times New Roman" w:hAnsi="Times New Roman" w:cs="Times New Roman"/>
          <w:szCs w:val="24"/>
        </w:rPr>
        <w:t xml:space="preserve">, pričom na sudcu Vyššieho vojenského súdu 11 </w:t>
      </w:r>
      <w:r w:rsidR="00BE0FB7">
        <w:rPr>
          <w:rFonts w:ascii="Times New Roman" w:hAnsi="Times New Roman" w:cs="Times New Roman"/>
          <w:szCs w:val="24"/>
        </w:rPr>
        <w:t>vybavených</w:t>
      </w:r>
      <w:r w:rsidRPr="004D2782" w:rsidR="004D2782">
        <w:rPr>
          <w:rFonts w:ascii="Times New Roman" w:hAnsi="Times New Roman" w:cs="Times New Roman"/>
          <w:szCs w:val="24"/>
        </w:rPr>
        <w:t xml:space="preserve"> </w:t>
      </w:r>
      <w:r w:rsidR="004D2782">
        <w:rPr>
          <w:rFonts w:ascii="Times New Roman" w:hAnsi="Times New Roman" w:cs="Times New Roman"/>
          <w:szCs w:val="24"/>
        </w:rPr>
        <w:t>trestných vecí v odvolacej agende</w:t>
      </w:r>
      <w:r w:rsidR="00351634">
        <w:rPr>
          <w:rFonts w:ascii="Times New Roman" w:hAnsi="Times New Roman" w:cs="Times New Roman"/>
          <w:szCs w:val="24"/>
        </w:rPr>
        <w:t xml:space="preserve">. </w:t>
      </w:r>
      <w:r w:rsidR="00A0281F">
        <w:rPr>
          <w:rFonts w:ascii="Times New Roman" w:hAnsi="Times New Roman" w:cs="Times New Roman"/>
          <w:szCs w:val="24"/>
        </w:rPr>
        <w:t xml:space="preserve"> </w:t>
      </w:r>
      <w:r w:rsidR="00134987">
        <w:rPr>
          <w:rFonts w:ascii="Times New Roman" w:hAnsi="Times New Roman" w:cs="Times New Roman"/>
          <w:szCs w:val="24"/>
        </w:rPr>
        <w:t xml:space="preserve">V tejto súvislosti je potrebné poukázať tiež na to, že </w:t>
      </w:r>
      <w:r w:rsidR="00D67696">
        <w:rPr>
          <w:rFonts w:ascii="Times New Roman" w:hAnsi="Times New Roman" w:cs="Times New Roman"/>
          <w:szCs w:val="24"/>
        </w:rPr>
        <w:t xml:space="preserve">krajské súdy naviac dokončujú trestnú agendu v prvom stupni podľa starého Trestného poriadku. </w:t>
      </w:r>
    </w:p>
    <w:p w:rsidR="006B0047" w:rsidP="00BA4656">
      <w:pPr>
        <w:ind w:firstLine="708"/>
        <w:jc w:val="both"/>
        <w:rPr>
          <w:rFonts w:ascii="Times New Roman" w:hAnsi="Times New Roman" w:cs="Times New Roman"/>
          <w:szCs w:val="24"/>
        </w:rPr>
      </w:pPr>
    </w:p>
    <w:p w:rsidR="006B0047" w:rsidP="00BA4656">
      <w:pPr>
        <w:ind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Pri porovnaní vyťaženosti sudcov okresných súdov a vojenských obvodových súdov možno konštatovať, že v priemere pripadá na sudcu okresného súdu </w:t>
      </w:r>
      <w:r w:rsidR="00F978AC">
        <w:rPr>
          <w:rFonts w:ascii="Times New Roman" w:hAnsi="Times New Roman" w:cs="Times New Roman"/>
          <w:szCs w:val="24"/>
        </w:rPr>
        <w:t>1</w:t>
      </w:r>
      <w:r w:rsidR="00306EF5">
        <w:rPr>
          <w:rFonts w:ascii="Times New Roman" w:hAnsi="Times New Roman" w:cs="Times New Roman"/>
          <w:szCs w:val="24"/>
        </w:rPr>
        <w:t>52</w:t>
      </w:r>
      <w:r w:rsidRPr="00BE0FB7" w:rsidR="00BE0FB7">
        <w:rPr>
          <w:rFonts w:ascii="Times New Roman" w:hAnsi="Times New Roman" w:cs="Times New Roman"/>
          <w:szCs w:val="24"/>
        </w:rPr>
        <w:t xml:space="preserve"> </w:t>
      </w:r>
      <w:r w:rsidR="00BE0FB7">
        <w:rPr>
          <w:rFonts w:ascii="Times New Roman" w:hAnsi="Times New Roman" w:cs="Times New Roman"/>
          <w:szCs w:val="24"/>
        </w:rPr>
        <w:t>vybavených</w:t>
      </w:r>
      <w:r w:rsidR="00F978AC">
        <w:rPr>
          <w:rFonts w:ascii="Times New Roman" w:hAnsi="Times New Roman" w:cs="Times New Roman"/>
          <w:szCs w:val="24"/>
        </w:rPr>
        <w:t xml:space="preserve"> </w:t>
      </w:r>
      <w:r w:rsidR="009B6210">
        <w:rPr>
          <w:rFonts w:ascii="Times New Roman" w:hAnsi="Times New Roman" w:cs="Times New Roman"/>
          <w:szCs w:val="24"/>
        </w:rPr>
        <w:t xml:space="preserve">trestných </w:t>
      </w:r>
      <w:r w:rsidR="00F978AC">
        <w:rPr>
          <w:rFonts w:ascii="Times New Roman" w:hAnsi="Times New Roman" w:cs="Times New Roman"/>
          <w:szCs w:val="24"/>
        </w:rPr>
        <w:t>vecí ročne</w:t>
      </w:r>
      <w:r w:rsidR="00FC234E">
        <w:rPr>
          <w:rFonts w:ascii="Times New Roman" w:hAnsi="Times New Roman" w:cs="Times New Roman"/>
          <w:szCs w:val="24"/>
        </w:rPr>
        <w:t xml:space="preserve"> (má sa namysli agenda súdneho registra T)</w:t>
      </w:r>
      <w:r w:rsidR="00F978AC">
        <w:rPr>
          <w:rFonts w:ascii="Times New Roman" w:hAnsi="Times New Roman" w:cs="Times New Roman"/>
          <w:szCs w:val="24"/>
        </w:rPr>
        <w:t xml:space="preserve">, </w:t>
      </w:r>
      <w:r w:rsidR="000D5D34">
        <w:rPr>
          <w:rFonts w:ascii="Times New Roman" w:hAnsi="Times New Roman" w:cs="Times New Roman"/>
          <w:szCs w:val="24"/>
        </w:rPr>
        <w:t xml:space="preserve">pričom na sudcu vojenského obvodového súdu </w:t>
      </w:r>
      <w:r w:rsidR="003D15A8">
        <w:rPr>
          <w:rFonts w:ascii="Times New Roman" w:hAnsi="Times New Roman" w:cs="Times New Roman"/>
          <w:szCs w:val="24"/>
        </w:rPr>
        <w:t xml:space="preserve">26 </w:t>
      </w:r>
      <w:r w:rsidR="00BE0FB7">
        <w:rPr>
          <w:rFonts w:ascii="Times New Roman" w:hAnsi="Times New Roman" w:cs="Times New Roman"/>
          <w:szCs w:val="24"/>
        </w:rPr>
        <w:t xml:space="preserve">vybavených </w:t>
      </w:r>
      <w:r w:rsidR="009B6210">
        <w:rPr>
          <w:rFonts w:ascii="Times New Roman" w:hAnsi="Times New Roman" w:cs="Times New Roman"/>
          <w:szCs w:val="24"/>
        </w:rPr>
        <w:t xml:space="preserve">trestných </w:t>
      </w:r>
      <w:r w:rsidR="003D15A8">
        <w:rPr>
          <w:rFonts w:ascii="Times New Roman" w:hAnsi="Times New Roman" w:cs="Times New Roman"/>
          <w:szCs w:val="24"/>
        </w:rPr>
        <w:t>vecí ročne</w:t>
      </w:r>
      <w:r w:rsidR="00A63653">
        <w:rPr>
          <w:rFonts w:ascii="Times New Roman" w:hAnsi="Times New Roman" w:cs="Times New Roman"/>
          <w:szCs w:val="24"/>
        </w:rPr>
        <w:t xml:space="preserve"> </w:t>
      </w:r>
      <w:r w:rsidR="00C91E63">
        <w:rPr>
          <w:rFonts w:ascii="Times New Roman" w:hAnsi="Times New Roman" w:cs="Times New Roman"/>
          <w:szCs w:val="24"/>
        </w:rPr>
        <w:t>(má sa namysli agenda súdneho registra T)</w:t>
      </w:r>
      <w:r w:rsidR="003D15A8">
        <w:rPr>
          <w:rFonts w:ascii="Times New Roman" w:hAnsi="Times New Roman" w:cs="Times New Roman"/>
          <w:szCs w:val="24"/>
        </w:rPr>
        <w:t xml:space="preserve">. </w:t>
      </w:r>
    </w:p>
    <w:p w:rsidR="009E019B" w:rsidP="00BA4656">
      <w:pPr>
        <w:ind w:firstLine="708"/>
        <w:jc w:val="both"/>
        <w:rPr>
          <w:rFonts w:ascii="Times New Roman" w:hAnsi="Times New Roman" w:cs="Times New Roman"/>
          <w:szCs w:val="24"/>
        </w:rPr>
      </w:pPr>
    </w:p>
    <w:p w:rsidR="00ED6436" w:rsidP="00BA4656">
      <w:pPr>
        <w:ind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Z hľadiska ročného nápadu </w:t>
      </w:r>
      <w:r w:rsidR="00AF49FA">
        <w:rPr>
          <w:rFonts w:ascii="Times New Roman" w:hAnsi="Times New Roman" w:cs="Times New Roman"/>
          <w:szCs w:val="24"/>
        </w:rPr>
        <w:t>na okresných súdoch</w:t>
      </w:r>
      <w:r w:rsidR="004A0B45">
        <w:rPr>
          <w:rFonts w:ascii="Times New Roman" w:hAnsi="Times New Roman" w:cs="Times New Roman"/>
          <w:szCs w:val="24"/>
        </w:rPr>
        <w:t xml:space="preserve"> v trestnej agende, ktorý predstavuje </w:t>
      </w:r>
      <w:r w:rsidRPr="004A0B45" w:rsidR="004A0B45">
        <w:rPr>
          <w:rFonts w:ascii="Times New Roman" w:hAnsi="Times New Roman" w:cs="Times New Roman"/>
          <w:szCs w:val="24"/>
        </w:rPr>
        <w:t>30</w:t>
      </w:r>
      <w:r w:rsidR="009279C4">
        <w:rPr>
          <w:rFonts w:ascii="Times New Roman" w:hAnsi="Times New Roman" w:cs="Times New Roman"/>
          <w:szCs w:val="24"/>
        </w:rPr>
        <w:t xml:space="preserve"> </w:t>
      </w:r>
      <w:r w:rsidRPr="004A0B45" w:rsidR="004A0B45">
        <w:rPr>
          <w:rFonts w:ascii="Times New Roman" w:hAnsi="Times New Roman" w:cs="Times New Roman"/>
          <w:szCs w:val="24"/>
        </w:rPr>
        <w:t>484</w:t>
      </w:r>
      <w:r w:rsidR="004A0B45">
        <w:rPr>
          <w:rFonts w:ascii="Times New Roman" w:hAnsi="Times New Roman" w:cs="Times New Roman"/>
          <w:szCs w:val="24"/>
        </w:rPr>
        <w:t xml:space="preserve"> došlých vecí</w:t>
      </w:r>
      <w:r w:rsidR="009279C4">
        <w:rPr>
          <w:rFonts w:ascii="Times New Roman" w:hAnsi="Times New Roman" w:cs="Times New Roman"/>
          <w:szCs w:val="24"/>
        </w:rPr>
        <w:t xml:space="preserve"> možno konštatovať, že na jedného sudcu okresného súdu, ktorý vybavuje trestnú agendu pripadá </w:t>
      </w:r>
      <w:r w:rsidR="00D858D7">
        <w:rPr>
          <w:rFonts w:ascii="Times New Roman" w:hAnsi="Times New Roman" w:cs="Times New Roman"/>
          <w:szCs w:val="24"/>
        </w:rPr>
        <w:t xml:space="preserve">približne </w:t>
      </w:r>
      <w:r w:rsidR="006623BA">
        <w:rPr>
          <w:rFonts w:ascii="Times New Roman" w:hAnsi="Times New Roman" w:cs="Times New Roman"/>
          <w:szCs w:val="24"/>
        </w:rPr>
        <w:t xml:space="preserve">157 trestných vecí. </w:t>
      </w:r>
      <w:r w:rsidR="003842F7">
        <w:rPr>
          <w:rFonts w:ascii="Times New Roman" w:hAnsi="Times New Roman" w:cs="Times New Roman"/>
          <w:szCs w:val="24"/>
        </w:rPr>
        <w:t xml:space="preserve">Na vojenských obvodových súdov </w:t>
      </w:r>
      <w:r w:rsidR="00146570">
        <w:rPr>
          <w:rFonts w:ascii="Times New Roman" w:hAnsi="Times New Roman" w:cs="Times New Roman"/>
          <w:szCs w:val="24"/>
        </w:rPr>
        <w:t xml:space="preserve">ročný nápad predstavuje </w:t>
      </w:r>
      <w:r w:rsidRPr="00146570" w:rsidR="00146570">
        <w:rPr>
          <w:rFonts w:ascii="Times New Roman" w:hAnsi="Times New Roman" w:cs="Times New Roman"/>
          <w:szCs w:val="24"/>
        </w:rPr>
        <w:t>382</w:t>
      </w:r>
      <w:r w:rsidR="00146570">
        <w:rPr>
          <w:rFonts w:ascii="Times New Roman" w:hAnsi="Times New Roman" w:cs="Times New Roman"/>
          <w:szCs w:val="24"/>
        </w:rPr>
        <w:t xml:space="preserve"> došlých vecí, čo v priemere na jedného súdu vojenského obvodového súdu predstavuje približne 35 trestných vecí. </w:t>
      </w:r>
      <w:r w:rsidR="004A0B45">
        <w:rPr>
          <w:rFonts w:ascii="Times New Roman" w:hAnsi="Times New Roman" w:cs="Times New Roman"/>
          <w:szCs w:val="24"/>
        </w:rPr>
        <w:t xml:space="preserve">   </w:t>
      </w:r>
    </w:p>
    <w:p w:rsidR="005D5F68" w:rsidP="005D5F68">
      <w:pPr>
        <w:jc w:val="both"/>
        <w:rPr>
          <w:rFonts w:ascii="Times New Roman" w:hAnsi="Times New Roman" w:cs="Times New Roman"/>
          <w:szCs w:val="24"/>
        </w:rPr>
      </w:pPr>
    </w:p>
    <w:p w:rsidR="00146570" w:rsidP="00146570">
      <w:pPr>
        <w:ind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 hľadiska r</w:t>
      </w:r>
      <w:r w:rsidR="00AF49FA">
        <w:rPr>
          <w:rFonts w:ascii="Times New Roman" w:hAnsi="Times New Roman" w:cs="Times New Roman"/>
          <w:szCs w:val="24"/>
        </w:rPr>
        <w:t>očného nápadu na krajských súdoch</w:t>
      </w:r>
      <w:r>
        <w:rPr>
          <w:rFonts w:ascii="Times New Roman" w:hAnsi="Times New Roman" w:cs="Times New Roman"/>
          <w:szCs w:val="24"/>
        </w:rPr>
        <w:t xml:space="preserve"> v trestnej odvolacej agende, ktorý predstavuje 3532 došlých vecí možno konštatovať, že na jedného sudcu krajského súdu, ktorý vybavuje trestnú agendu pripadá </w:t>
      </w:r>
      <w:r w:rsidR="00D858D7">
        <w:rPr>
          <w:rFonts w:ascii="Times New Roman" w:hAnsi="Times New Roman" w:cs="Times New Roman"/>
          <w:szCs w:val="24"/>
        </w:rPr>
        <w:t xml:space="preserve">približne </w:t>
      </w:r>
      <w:r>
        <w:rPr>
          <w:rFonts w:ascii="Times New Roman" w:hAnsi="Times New Roman" w:cs="Times New Roman"/>
          <w:szCs w:val="24"/>
        </w:rPr>
        <w:t xml:space="preserve">43 trestných vecí. Na </w:t>
      </w:r>
      <w:r w:rsidR="00D858D7">
        <w:rPr>
          <w:rFonts w:ascii="Times New Roman" w:hAnsi="Times New Roman" w:cs="Times New Roman"/>
          <w:szCs w:val="24"/>
        </w:rPr>
        <w:t xml:space="preserve">Vyššom </w:t>
      </w:r>
      <w:r>
        <w:rPr>
          <w:rFonts w:ascii="Times New Roman" w:hAnsi="Times New Roman" w:cs="Times New Roman"/>
          <w:szCs w:val="24"/>
        </w:rPr>
        <w:t>vojensk</w:t>
      </w:r>
      <w:r w:rsidR="00D858D7">
        <w:rPr>
          <w:rFonts w:ascii="Times New Roman" w:hAnsi="Times New Roman" w:cs="Times New Roman"/>
          <w:szCs w:val="24"/>
        </w:rPr>
        <w:t>om</w:t>
      </w:r>
      <w:r>
        <w:rPr>
          <w:rFonts w:ascii="Times New Roman" w:hAnsi="Times New Roman" w:cs="Times New Roman"/>
          <w:szCs w:val="24"/>
        </w:rPr>
        <w:t xml:space="preserve"> súd</w:t>
      </w:r>
      <w:r w:rsidR="00D858D7">
        <w:rPr>
          <w:rFonts w:ascii="Times New Roman" w:hAnsi="Times New Roman" w:cs="Times New Roman"/>
          <w:szCs w:val="24"/>
        </w:rPr>
        <w:t>e</w:t>
      </w:r>
      <w:r>
        <w:rPr>
          <w:rFonts w:ascii="Times New Roman" w:hAnsi="Times New Roman" w:cs="Times New Roman"/>
          <w:szCs w:val="24"/>
        </w:rPr>
        <w:t xml:space="preserve"> ročný nápad predstavuje </w:t>
      </w:r>
      <w:r w:rsidR="00D858D7">
        <w:rPr>
          <w:rFonts w:ascii="Times New Roman" w:hAnsi="Times New Roman" w:cs="Times New Roman"/>
          <w:szCs w:val="24"/>
        </w:rPr>
        <w:t>72</w:t>
      </w:r>
      <w:r>
        <w:rPr>
          <w:rFonts w:ascii="Times New Roman" w:hAnsi="Times New Roman" w:cs="Times New Roman"/>
          <w:szCs w:val="24"/>
        </w:rPr>
        <w:t xml:space="preserve"> došlých vecí, čo v priemere na jedného súdu </w:t>
      </w:r>
      <w:r w:rsidR="00D858D7">
        <w:rPr>
          <w:rFonts w:ascii="Times New Roman" w:hAnsi="Times New Roman" w:cs="Times New Roman"/>
          <w:szCs w:val="24"/>
        </w:rPr>
        <w:t xml:space="preserve">Vyššieho </w:t>
      </w:r>
      <w:r>
        <w:rPr>
          <w:rFonts w:ascii="Times New Roman" w:hAnsi="Times New Roman" w:cs="Times New Roman"/>
          <w:szCs w:val="24"/>
        </w:rPr>
        <w:t xml:space="preserve">vojenského súdu predstavuje približne </w:t>
      </w:r>
      <w:r w:rsidR="00D858D7">
        <w:rPr>
          <w:rFonts w:ascii="Times New Roman" w:hAnsi="Times New Roman" w:cs="Times New Roman"/>
          <w:szCs w:val="24"/>
        </w:rPr>
        <w:t>10</w:t>
      </w:r>
      <w:r>
        <w:rPr>
          <w:rFonts w:ascii="Times New Roman" w:hAnsi="Times New Roman" w:cs="Times New Roman"/>
          <w:szCs w:val="24"/>
        </w:rPr>
        <w:t xml:space="preserve"> trestných vecí.    </w:t>
      </w:r>
    </w:p>
    <w:p w:rsidR="00146570" w:rsidP="005D5F68">
      <w:pPr>
        <w:jc w:val="both"/>
        <w:rPr>
          <w:rFonts w:ascii="Times New Roman" w:hAnsi="Times New Roman" w:cs="Times New Roman"/>
          <w:szCs w:val="24"/>
        </w:rPr>
      </w:pPr>
    </w:p>
    <w:p w:rsidR="00146570" w:rsidP="005D5F68">
      <w:pPr>
        <w:jc w:val="both"/>
        <w:rPr>
          <w:rFonts w:ascii="Times New Roman" w:hAnsi="Times New Roman" w:cs="Times New Roman"/>
          <w:szCs w:val="24"/>
        </w:rPr>
      </w:pPr>
    </w:p>
    <w:p w:rsidR="00C60B62" w:rsidP="005D5F68">
      <w:pPr>
        <w:jc w:val="both"/>
        <w:rPr>
          <w:rFonts w:ascii="Times New Roman" w:hAnsi="Times New Roman" w:cs="Times New Roman"/>
          <w:szCs w:val="24"/>
        </w:rPr>
      </w:pPr>
    </w:p>
    <w:p w:rsidR="00EC5551" w:rsidP="005D5F68">
      <w:pPr>
        <w:jc w:val="both"/>
        <w:rPr>
          <w:rFonts w:ascii="Times New Roman" w:hAnsi="Times New Roman" w:cs="Times New Roman"/>
          <w:szCs w:val="24"/>
        </w:rPr>
      </w:pPr>
    </w:p>
    <w:p w:rsidR="00EC5551" w:rsidP="005D5F68">
      <w:pPr>
        <w:jc w:val="both"/>
        <w:rPr>
          <w:rFonts w:ascii="Times New Roman" w:hAnsi="Times New Roman" w:cs="Times New Roman"/>
          <w:szCs w:val="24"/>
        </w:rPr>
      </w:pPr>
    </w:p>
    <w:p w:rsidR="00EC5551" w:rsidP="005D5F68">
      <w:pPr>
        <w:jc w:val="both"/>
        <w:rPr>
          <w:rFonts w:ascii="Times New Roman" w:hAnsi="Times New Roman" w:cs="Times New Roman"/>
          <w:szCs w:val="24"/>
        </w:rPr>
      </w:pPr>
    </w:p>
    <w:p w:rsidR="00EC5551" w:rsidP="005D5F68">
      <w:pPr>
        <w:jc w:val="both"/>
        <w:rPr>
          <w:rFonts w:ascii="Times New Roman" w:hAnsi="Times New Roman" w:cs="Times New Roman"/>
          <w:szCs w:val="24"/>
        </w:rPr>
      </w:pPr>
    </w:p>
    <w:p w:rsidR="00EC5551" w:rsidP="005D5F68">
      <w:pPr>
        <w:jc w:val="both"/>
        <w:rPr>
          <w:rFonts w:ascii="Times New Roman" w:hAnsi="Times New Roman" w:cs="Times New Roman"/>
          <w:szCs w:val="24"/>
        </w:rPr>
      </w:pPr>
    </w:p>
    <w:p w:rsidR="00EC5551" w:rsidP="005D5F68">
      <w:pPr>
        <w:jc w:val="both"/>
        <w:rPr>
          <w:rFonts w:ascii="Times New Roman" w:hAnsi="Times New Roman" w:cs="Times New Roman"/>
          <w:szCs w:val="24"/>
        </w:rPr>
      </w:pPr>
    </w:p>
    <w:p w:rsidR="00EC5551" w:rsidP="005D5F68">
      <w:pPr>
        <w:jc w:val="both"/>
        <w:rPr>
          <w:rFonts w:ascii="Times New Roman" w:hAnsi="Times New Roman" w:cs="Times New Roman"/>
          <w:szCs w:val="24"/>
        </w:rPr>
      </w:pPr>
    </w:p>
    <w:p w:rsidR="00EC5551" w:rsidP="005D5F68">
      <w:pPr>
        <w:jc w:val="both"/>
        <w:rPr>
          <w:rFonts w:ascii="Times New Roman" w:hAnsi="Times New Roman" w:cs="Times New Roman"/>
          <w:szCs w:val="24"/>
        </w:rPr>
      </w:pPr>
    </w:p>
    <w:p w:rsidR="00EC5551" w:rsidP="005D5F68">
      <w:pPr>
        <w:jc w:val="both"/>
        <w:rPr>
          <w:rFonts w:ascii="Times New Roman" w:hAnsi="Times New Roman" w:cs="Times New Roman"/>
          <w:szCs w:val="24"/>
        </w:rPr>
      </w:pPr>
    </w:p>
    <w:p w:rsidR="00EC5551" w:rsidP="005D5F68">
      <w:pPr>
        <w:jc w:val="both"/>
        <w:rPr>
          <w:rFonts w:ascii="Times New Roman" w:hAnsi="Times New Roman" w:cs="Times New Roman"/>
          <w:szCs w:val="24"/>
        </w:rPr>
      </w:pPr>
    </w:p>
    <w:p w:rsidR="00EC5551" w:rsidP="005D5F68">
      <w:pPr>
        <w:jc w:val="both"/>
        <w:rPr>
          <w:rFonts w:ascii="Times New Roman" w:hAnsi="Times New Roman" w:cs="Times New Roman"/>
          <w:szCs w:val="24"/>
        </w:rPr>
      </w:pPr>
    </w:p>
    <w:p w:rsidR="00EC5551" w:rsidP="005D5F68">
      <w:pPr>
        <w:jc w:val="both"/>
        <w:rPr>
          <w:rFonts w:ascii="Times New Roman" w:hAnsi="Times New Roman" w:cs="Times New Roman"/>
          <w:szCs w:val="24"/>
        </w:rPr>
      </w:pPr>
    </w:p>
    <w:p w:rsidR="00EC5551" w:rsidP="005D5F68">
      <w:pPr>
        <w:jc w:val="both"/>
        <w:rPr>
          <w:rFonts w:ascii="Times New Roman" w:hAnsi="Times New Roman" w:cs="Times New Roman"/>
          <w:szCs w:val="24"/>
        </w:rPr>
      </w:pPr>
    </w:p>
    <w:p w:rsidR="00EC5551" w:rsidP="005D5F68">
      <w:pPr>
        <w:jc w:val="both"/>
        <w:rPr>
          <w:rFonts w:ascii="Times New Roman" w:hAnsi="Times New Roman" w:cs="Times New Roman"/>
          <w:szCs w:val="24"/>
        </w:rPr>
      </w:pPr>
    </w:p>
    <w:p w:rsidR="00EC5551" w:rsidP="005D5F68">
      <w:pPr>
        <w:jc w:val="both"/>
        <w:rPr>
          <w:rFonts w:ascii="Times New Roman" w:hAnsi="Times New Roman" w:cs="Times New Roman"/>
          <w:szCs w:val="24"/>
        </w:rPr>
      </w:pPr>
    </w:p>
    <w:p w:rsidR="00EC5551" w:rsidP="005D5F68">
      <w:pPr>
        <w:jc w:val="both"/>
        <w:rPr>
          <w:rFonts w:ascii="Times New Roman" w:hAnsi="Times New Roman" w:cs="Times New Roman"/>
          <w:szCs w:val="24"/>
        </w:rPr>
      </w:pPr>
    </w:p>
    <w:p w:rsidR="00EC5551" w:rsidP="005D5F68">
      <w:pPr>
        <w:jc w:val="both"/>
        <w:rPr>
          <w:rFonts w:ascii="Times New Roman" w:hAnsi="Times New Roman" w:cs="Times New Roman"/>
          <w:szCs w:val="24"/>
        </w:rPr>
      </w:pPr>
    </w:p>
    <w:p w:rsidR="00EC5551" w:rsidP="005D5F68">
      <w:pPr>
        <w:jc w:val="both"/>
        <w:rPr>
          <w:rFonts w:ascii="Times New Roman" w:hAnsi="Times New Roman" w:cs="Times New Roman"/>
          <w:szCs w:val="24"/>
        </w:rPr>
      </w:pPr>
    </w:p>
    <w:p w:rsidR="00EC5551" w:rsidP="005D5F68">
      <w:pPr>
        <w:jc w:val="both"/>
        <w:rPr>
          <w:rFonts w:ascii="Times New Roman" w:hAnsi="Times New Roman" w:cs="Times New Roman"/>
          <w:szCs w:val="24"/>
        </w:rPr>
      </w:pPr>
    </w:p>
    <w:p w:rsidR="00EC5551" w:rsidP="005D5F68">
      <w:pPr>
        <w:jc w:val="both"/>
        <w:rPr>
          <w:rFonts w:ascii="Times New Roman" w:hAnsi="Times New Roman" w:cs="Times New Roman"/>
          <w:szCs w:val="24"/>
        </w:rPr>
      </w:pPr>
    </w:p>
    <w:p w:rsidR="00EC5551" w:rsidP="005D5F68">
      <w:pPr>
        <w:jc w:val="both"/>
        <w:rPr>
          <w:rFonts w:ascii="Times New Roman" w:hAnsi="Times New Roman" w:cs="Times New Roman"/>
          <w:szCs w:val="24"/>
        </w:rPr>
      </w:pPr>
    </w:p>
    <w:p w:rsidR="00EC5551" w:rsidP="005D5F68">
      <w:pPr>
        <w:jc w:val="both"/>
        <w:rPr>
          <w:rFonts w:ascii="Times New Roman" w:hAnsi="Times New Roman" w:cs="Times New Roman"/>
          <w:szCs w:val="24"/>
        </w:rPr>
      </w:pPr>
    </w:p>
    <w:p w:rsidR="00EC5551" w:rsidP="005D5F68">
      <w:pPr>
        <w:jc w:val="both"/>
        <w:rPr>
          <w:rFonts w:ascii="Times New Roman" w:hAnsi="Times New Roman" w:cs="Times New Roman"/>
          <w:szCs w:val="24"/>
        </w:rPr>
      </w:pPr>
    </w:p>
    <w:p w:rsidR="00EC5551" w:rsidP="005D5F68">
      <w:pPr>
        <w:jc w:val="both"/>
        <w:rPr>
          <w:rFonts w:ascii="Times New Roman" w:hAnsi="Times New Roman" w:cs="Times New Roman"/>
          <w:szCs w:val="24"/>
        </w:rPr>
      </w:pPr>
    </w:p>
    <w:p w:rsidR="00EC5551" w:rsidP="005D5F68">
      <w:pPr>
        <w:jc w:val="both"/>
        <w:rPr>
          <w:rFonts w:ascii="Times New Roman" w:hAnsi="Times New Roman" w:cs="Times New Roman"/>
          <w:szCs w:val="24"/>
        </w:rPr>
      </w:pPr>
    </w:p>
    <w:p w:rsidR="00EC5551" w:rsidP="005D5F68">
      <w:pPr>
        <w:jc w:val="both"/>
        <w:rPr>
          <w:rFonts w:ascii="Times New Roman" w:hAnsi="Times New Roman" w:cs="Times New Roman"/>
          <w:szCs w:val="24"/>
        </w:rPr>
      </w:pPr>
    </w:p>
    <w:p w:rsidR="00EC5551" w:rsidP="005D5F68">
      <w:pPr>
        <w:jc w:val="both"/>
        <w:rPr>
          <w:rFonts w:ascii="Times New Roman" w:hAnsi="Times New Roman" w:cs="Times New Roman"/>
          <w:szCs w:val="24"/>
        </w:rPr>
      </w:pPr>
    </w:p>
    <w:p w:rsidR="00EC5551" w:rsidP="005D5F68">
      <w:pPr>
        <w:jc w:val="both"/>
        <w:rPr>
          <w:rFonts w:ascii="Times New Roman" w:hAnsi="Times New Roman" w:cs="Times New Roman"/>
          <w:szCs w:val="24"/>
        </w:rPr>
      </w:pPr>
    </w:p>
    <w:p w:rsidR="00EC5551" w:rsidP="005D5F68">
      <w:pPr>
        <w:jc w:val="both"/>
        <w:rPr>
          <w:rFonts w:ascii="Times New Roman" w:hAnsi="Times New Roman" w:cs="Times New Roman"/>
          <w:szCs w:val="24"/>
        </w:rPr>
      </w:pPr>
    </w:p>
    <w:p w:rsidR="00EC5551" w:rsidP="005D5F68">
      <w:pPr>
        <w:jc w:val="both"/>
        <w:rPr>
          <w:rFonts w:ascii="Times New Roman" w:hAnsi="Times New Roman" w:cs="Times New Roman"/>
          <w:szCs w:val="24"/>
        </w:rPr>
      </w:pPr>
    </w:p>
    <w:p w:rsidR="00EC5551" w:rsidP="005D5F68">
      <w:pPr>
        <w:jc w:val="both"/>
        <w:rPr>
          <w:rFonts w:ascii="Times New Roman" w:hAnsi="Times New Roman" w:cs="Times New Roman"/>
          <w:szCs w:val="24"/>
        </w:rPr>
      </w:pPr>
    </w:p>
    <w:p w:rsidR="00EC5551" w:rsidP="005D5F68">
      <w:pPr>
        <w:jc w:val="both"/>
        <w:rPr>
          <w:rFonts w:ascii="Times New Roman" w:hAnsi="Times New Roman" w:cs="Times New Roman"/>
          <w:szCs w:val="24"/>
        </w:rPr>
      </w:pPr>
    </w:p>
    <w:p w:rsidR="00EC5551" w:rsidP="005D5F68">
      <w:pPr>
        <w:jc w:val="both"/>
        <w:rPr>
          <w:rFonts w:ascii="Times New Roman" w:hAnsi="Times New Roman" w:cs="Times New Roman"/>
          <w:szCs w:val="24"/>
        </w:rPr>
      </w:pPr>
    </w:p>
    <w:p w:rsidR="00EC5551" w:rsidP="005D5F68">
      <w:pPr>
        <w:jc w:val="both"/>
        <w:rPr>
          <w:rFonts w:ascii="Times New Roman" w:hAnsi="Times New Roman" w:cs="Times New Roman"/>
          <w:szCs w:val="24"/>
        </w:rPr>
      </w:pPr>
    </w:p>
    <w:p w:rsidR="00EC5551" w:rsidP="005D5F68">
      <w:pPr>
        <w:jc w:val="both"/>
        <w:rPr>
          <w:rFonts w:ascii="Times New Roman" w:hAnsi="Times New Roman" w:cs="Times New Roman"/>
          <w:szCs w:val="24"/>
        </w:rPr>
      </w:pPr>
    </w:p>
    <w:p w:rsidR="00EC5551" w:rsidP="005D5F68">
      <w:pPr>
        <w:jc w:val="both"/>
        <w:rPr>
          <w:rFonts w:ascii="Times New Roman" w:hAnsi="Times New Roman" w:cs="Times New Roman"/>
          <w:szCs w:val="24"/>
        </w:rPr>
      </w:pPr>
    </w:p>
    <w:p w:rsidR="00C60B62" w:rsidRPr="00BC0EA0" w:rsidP="00503113">
      <w:pPr>
        <w:jc w:val="center"/>
        <w:rPr>
          <w:rFonts w:ascii="Times New Roman" w:hAnsi="Times New Roman" w:cs="Times New Roman"/>
          <w:b/>
          <w:caps/>
          <w:spacing w:val="30"/>
          <w:szCs w:val="24"/>
        </w:rPr>
      </w:pPr>
      <w:r w:rsidRPr="00BC0EA0">
        <w:rPr>
          <w:rFonts w:ascii="Times New Roman" w:hAnsi="Times New Roman" w:cs="Times New Roman"/>
          <w:b/>
          <w:caps/>
          <w:spacing w:val="30"/>
          <w:szCs w:val="24"/>
        </w:rPr>
        <w:t>Sumarizácia</w:t>
      </w:r>
    </w:p>
    <w:p w:rsidR="00C60B62" w:rsidP="005D5F68">
      <w:pPr>
        <w:jc w:val="both"/>
        <w:rPr>
          <w:rFonts w:ascii="Times New Roman" w:hAnsi="Times New Roman" w:cs="Times New Roman"/>
          <w:szCs w:val="24"/>
        </w:rPr>
      </w:pPr>
    </w:p>
    <w:p w:rsidR="00503113" w:rsidRPr="002003BE" w:rsidP="00503113">
      <w:pPr>
        <w:jc w:val="both"/>
        <w:rPr>
          <w:rFonts w:ascii="Times New Roman" w:hAnsi="Times New Roman" w:cs="Times New Roman"/>
          <w:b/>
          <w:sz w:val="20"/>
          <w:szCs w:val="24"/>
        </w:rPr>
      </w:pPr>
    </w:p>
    <w:p w:rsidR="00503113" w:rsidRPr="00187D32" w:rsidP="00503113">
      <w:pPr>
        <w:jc w:val="both"/>
        <w:rPr>
          <w:rFonts w:ascii="Times New Roman" w:hAnsi="Times New Roman" w:cs="Times New Roman"/>
          <w:b/>
          <w:sz w:val="20"/>
          <w:szCs w:val="24"/>
        </w:rPr>
      </w:pPr>
      <w:r w:rsidRPr="00187D32">
        <w:rPr>
          <w:rFonts w:ascii="Times New Roman" w:hAnsi="Times New Roman" w:cs="Times New Roman"/>
          <w:b/>
          <w:sz w:val="20"/>
          <w:szCs w:val="24"/>
        </w:rPr>
        <w:t xml:space="preserve">Graf č. 1 </w:t>
      </w:r>
    </w:p>
    <w:p w:rsidR="00C60B62" w:rsidRPr="00187D32" w:rsidP="00503113">
      <w:pPr>
        <w:jc w:val="both"/>
        <w:rPr>
          <w:rFonts w:ascii="Times New Roman" w:hAnsi="Times New Roman" w:cs="Times New Roman"/>
          <w:b/>
          <w:sz w:val="20"/>
          <w:szCs w:val="24"/>
        </w:rPr>
      </w:pPr>
      <w:r w:rsidRPr="00187D32" w:rsidR="00503113">
        <w:rPr>
          <w:rFonts w:ascii="Times New Roman" w:hAnsi="Times New Roman" w:cs="Times New Roman"/>
          <w:b/>
          <w:sz w:val="20"/>
          <w:szCs w:val="24"/>
        </w:rPr>
        <w:t>Počet vecí vybavených v priemere na okresnom súde a vojenskom obvodovom súde</w:t>
      </w:r>
    </w:p>
    <w:p w:rsidR="00C60B62" w:rsidRPr="00187D32" w:rsidP="005D5F68">
      <w:pPr>
        <w:jc w:val="both"/>
        <w:rPr>
          <w:rFonts w:ascii="Times New Roman" w:hAnsi="Times New Roman" w:cs="Times New Roman"/>
          <w:sz w:val="20"/>
          <w:szCs w:val="24"/>
        </w:rPr>
      </w:pPr>
    </w:p>
    <w:p w:rsidR="009B4C56" w:rsidRPr="00187D32" w:rsidP="00503113">
      <w:pPr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1.5pt;height:287.25pt" o:bordertopcolor="this" o:borderleftcolor="this" o:borderbottomcolor="this" o:borderrightcolor="this" stroked="f">
            <v:imagedata r:id="rId5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2003BE" w:rsidRPr="00187D32" w:rsidP="00503113">
      <w:pPr>
        <w:jc w:val="both"/>
        <w:rPr>
          <w:rFonts w:ascii="Times New Roman" w:hAnsi="Times New Roman" w:cs="Times New Roman"/>
          <w:b/>
          <w:sz w:val="20"/>
          <w:szCs w:val="24"/>
        </w:rPr>
      </w:pPr>
    </w:p>
    <w:p w:rsidR="00503113" w:rsidRPr="00187D32" w:rsidP="00503113">
      <w:pPr>
        <w:jc w:val="both"/>
        <w:rPr>
          <w:rFonts w:ascii="Times New Roman" w:hAnsi="Times New Roman" w:cs="Times New Roman"/>
          <w:b/>
          <w:sz w:val="20"/>
          <w:szCs w:val="24"/>
        </w:rPr>
      </w:pPr>
      <w:r w:rsidRPr="00187D32">
        <w:rPr>
          <w:rFonts w:ascii="Times New Roman" w:hAnsi="Times New Roman" w:cs="Times New Roman"/>
          <w:b/>
          <w:sz w:val="20"/>
          <w:szCs w:val="24"/>
        </w:rPr>
        <w:t>Graf č.</w:t>
      </w:r>
      <w:r w:rsidRPr="00187D32" w:rsidR="002003BE">
        <w:rPr>
          <w:rFonts w:ascii="Times New Roman" w:hAnsi="Times New Roman" w:cs="Times New Roman"/>
          <w:b/>
          <w:sz w:val="20"/>
          <w:szCs w:val="24"/>
        </w:rPr>
        <w:t xml:space="preserve"> 2</w:t>
      </w:r>
      <w:r w:rsidRPr="00187D32">
        <w:rPr>
          <w:rFonts w:ascii="Times New Roman" w:hAnsi="Times New Roman" w:cs="Times New Roman"/>
          <w:b/>
          <w:sz w:val="20"/>
          <w:szCs w:val="24"/>
        </w:rPr>
        <w:t xml:space="preserve"> </w:t>
      </w:r>
    </w:p>
    <w:p w:rsidR="00503113" w:rsidRPr="00187D32" w:rsidP="00503113">
      <w:pPr>
        <w:jc w:val="both"/>
        <w:rPr>
          <w:rFonts w:ascii="Times New Roman" w:hAnsi="Times New Roman" w:cs="Times New Roman"/>
          <w:b/>
          <w:sz w:val="20"/>
          <w:szCs w:val="24"/>
        </w:rPr>
      </w:pPr>
      <w:r w:rsidRPr="00187D32">
        <w:rPr>
          <w:rFonts w:ascii="Times New Roman" w:hAnsi="Times New Roman" w:cs="Times New Roman"/>
          <w:b/>
          <w:sz w:val="20"/>
          <w:szCs w:val="24"/>
        </w:rPr>
        <w:t>Počet vecí vybavených v priemere na krajskom súde a Vyššom vojenskom súde</w:t>
      </w:r>
    </w:p>
    <w:p w:rsidR="00503113" w:rsidRPr="00187D32" w:rsidP="00503113">
      <w:pPr>
        <w:jc w:val="center"/>
        <w:rPr>
          <w:rFonts w:ascii="Times New Roman" w:hAnsi="Times New Roman" w:cs="Times New Roman"/>
          <w:sz w:val="20"/>
          <w:szCs w:val="24"/>
        </w:rPr>
      </w:pPr>
    </w:p>
    <w:p w:rsidR="00C6358E" w:rsidP="006300B6">
      <w:pPr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pict>
          <v:shape id="_x0000_i1026" type="#_x0000_t75" style="width:361.5pt;height:287.25pt" o:bordertopcolor="this" o:borderleftcolor="this" o:borderbottomcolor="this" o:borderrightcolor="this" stroked="f">
            <v:imagedata r:id="rId6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:rsidR="00187D32" w:rsidRPr="00C91482" w:rsidP="00187D32">
      <w:pPr>
        <w:jc w:val="both"/>
        <w:rPr>
          <w:rFonts w:ascii="Times New Roman" w:hAnsi="Times New Roman" w:cs="Times New Roman"/>
          <w:b/>
          <w:sz w:val="20"/>
          <w:szCs w:val="24"/>
        </w:rPr>
      </w:pPr>
      <w:r w:rsidRPr="00C91482">
        <w:rPr>
          <w:rFonts w:ascii="Times New Roman" w:hAnsi="Times New Roman" w:cs="Times New Roman"/>
          <w:b/>
          <w:sz w:val="20"/>
          <w:szCs w:val="24"/>
        </w:rPr>
        <w:t>Graf č. 3</w:t>
      </w:r>
    </w:p>
    <w:p w:rsidR="00187D32" w:rsidRPr="00C91482" w:rsidP="00187D32">
      <w:pPr>
        <w:jc w:val="both"/>
        <w:rPr>
          <w:rFonts w:ascii="Times New Roman" w:hAnsi="Times New Roman" w:cs="Times New Roman"/>
          <w:b/>
          <w:sz w:val="20"/>
          <w:szCs w:val="24"/>
        </w:rPr>
      </w:pPr>
      <w:r w:rsidRPr="00C91482">
        <w:rPr>
          <w:rFonts w:ascii="Times New Roman" w:hAnsi="Times New Roman" w:cs="Times New Roman"/>
          <w:b/>
          <w:sz w:val="20"/>
          <w:szCs w:val="24"/>
        </w:rPr>
        <w:t xml:space="preserve">Počet vybavených vecí pripadajúcich na sudcu okresného súdu a sudcu vojenského obvodového súdu </w:t>
      </w:r>
      <w:r w:rsidRPr="00C91482" w:rsidR="00C91482">
        <w:rPr>
          <w:rFonts w:ascii="Times New Roman" w:hAnsi="Times New Roman" w:cs="Times New Roman"/>
          <w:b/>
          <w:sz w:val="20"/>
          <w:szCs w:val="24"/>
        </w:rPr>
        <w:t>(ročne)</w:t>
      </w:r>
    </w:p>
    <w:p w:rsidR="00187D32" w:rsidRPr="00C91482" w:rsidP="00187D32">
      <w:pPr>
        <w:jc w:val="both"/>
        <w:rPr>
          <w:rFonts w:ascii="Times New Roman" w:hAnsi="Times New Roman" w:cs="Times New Roman"/>
          <w:b/>
          <w:sz w:val="20"/>
          <w:szCs w:val="24"/>
        </w:rPr>
      </w:pPr>
    </w:p>
    <w:p w:rsidR="00187D32" w:rsidRPr="008B3E5C" w:rsidP="008B3E5C">
      <w:pPr>
        <w:jc w:val="center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szCs w:val="24"/>
        </w:rPr>
        <w:pict>
          <v:shape id="_x0000_i1027" type="#_x0000_t75" style="width:361.5pt;height:287.25pt" stroked="f">
            <v:imagedata r:id="rId7" o:title=""/>
          </v:shape>
        </w:pict>
      </w:r>
    </w:p>
    <w:p w:rsidR="008B3E5C" w:rsidP="00187D32">
      <w:pPr>
        <w:jc w:val="both"/>
        <w:rPr>
          <w:rFonts w:ascii="Times New Roman" w:hAnsi="Times New Roman" w:cs="Times New Roman"/>
          <w:b/>
          <w:sz w:val="20"/>
          <w:szCs w:val="24"/>
        </w:rPr>
      </w:pPr>
    </w:p>
    <w:p w:rsidR="00187D32" w:rsidRPr="00C91482" w:rsidP="00187D32">
      <w:pPr>
        <w:jc w:val="both"/>
        <w:rPr>
          <w:rFonts w:ascii="Times New Roman" w:hAnsi="Times New Roman" w:cs="Times New Roman"/>
          <w:b/>
          <w:sz w:val="20"/>
          <w:szCs w:val="24"/>
        </w:rPr>
      </w:pPr>
      <w:r w:rsidRPr="00C91482">
        <w:rPr>
          <w:rFonts w:ascii="Times New Roman" w:hAnsi="Times New Roman" w:cs="Times New Roman"/>
          <w:b/>
          <w:sz w:val="20"/>
          <w:szCs w:val="24"/>
        </w:rPr>
        <w:t>Graf č. 3</w:t>
      </w:r>
    </w:p>
    <w:p w:rsidR="00187D32" w:rsidRPr="00C91482" w:rsidP="00187D32">
      <w:pPr>
        <w:jc w:val="both"/>
        <w:rPr>
          <w:rFonts w:ascii="Times New Roman" w:hAnsi="Times New Roman" w:cs="Times New Roman"/>
          <w:b/>
          <w:sz w:val="20"/>
          <w:szCs w:val="24"/>
        </w:rPr>
      </w:pPr>
      <w:r w:rsidRPr="00C91482">
        <w:rPr>
          <w:rFonts w:ascii="Times New Roman" w:hAnsi="Times New Roman" w:cs="Times New Roman"/>
          <w:b/>
          <w:sz w:val="20"/>
          <w:szCs w:val="24"/>
        </w:rPr>
        <w:t xml:space="preserve">Počet vybavených vecí pripadajúcich na sudcu krajského súdu a sudcu Vyššieho vojenského súdu </w:t>
      </w:r>
      <w:r w:rsidRPr="00C91482" w:rsidR="00C91482">
        <w:rPr>
          <w:rFonts w:ascii="Times New Roman" w:hAnsi="Times New Roman" w:cs="Times New Roman"/>
          <w:b/>
          <w:sz w:val="20"/>
          <w:szCs w:val="24"/>
        </w:rPr>
        <w:t>(ročne)</w:t>
      </w:r>
    </w:p>
    <w:p w:rsidR="00187D32" w:rsidP="00187D32">
      <w:pPr>
        <w:jc w:val="both"/>
        <w:rPr>
          <w:rFonts w:ascii="Times New Roman" w:hAnsi="Times New Roman" w:cs="Times New Roman"/>
          <w:sz w:val="20"/>
          <w:szCs w:val="24"/>
        </w:rPr>
      </w:pPr>
    </w:p>
    <w:p w:rsidR="008B3E5C" w:rsidRPr="008B3E5C" w:rsidP="008B3E5C">
      <w:pPr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Cs w:val="24"/>
        </w:rPr>
        <w:pict>
          <v:shape id="_x0000_i1028" type="#_x0000_t75" style="width:361.5pt;height:287.25pt" stroked="f">
            <v:imagedata r:id="rId8" o:title=""/>
          </v:shape>
        </w:pict>
      </w:r>
    </w:p>
    <w:sectPr w:rsidSect="003D1DC5">
      <w:footerReference w:type="default" r:id="rId9"/>
      <w:pgSz w:w="11906" w:h="16838"/>
      <w:pgMar w:top="1417" w:right="1417" w:bottom="1417" w:left="1417" w:header="708" w:footer="708"/>
      <w:lnNumType w:distance="0"/>
      <w:cols w:space="708"/>
      <w:noEndnote w:val="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DC5" w:rsidP="00BB5BD3">
    <w:pPr>
      <w:pStyle w:val="Footer"/>
      <w:framePr w:vAnchor="text" w:hAnchor="margin" w:xAlign="center"/>
      <w:rPr>
        <w:rStyle w:val="PageNumber"/>
        <w:rFonts w:ascii="Times New Roman" w:hAnsi="Times New Roman" w:cs="Times New Roman"/>
        <w:szCs w:val="24"/>
      </w:rPr>
    </w:pPr>
    <w:r>
      <w:rPr>
        <w:rStyle w:val="PageNumber"/>
        <w:rFonts w:ascii="Times New Roman" w:hAnsi="Times New Roman" w:cs="Times New Roman"/>
        <w:szCs w:val="24"/>
      </w:rPr>
      <w:fldChar w:fldCharType="begin"/>
    </w:r>
    <w:r>
      <w:rPr>
        <w:rStyle w:val="PageNumber"/>
        <w:rFonts w:ascii="Times New Roman" w:hAnsi="Times New Roman" w:cs="Times New Roman"/>
        <w:szCs w:val="24"/>
      </w:rPr>
      <w:instrText xml:space="preserve">PAGE  </w:instrText>
    </w:r>
    <w:r>
      <w:rPr>
        <w:rStyle w:val="PageNumber"/>
        <w:rFonts w:ascii="Times New Roman" w:hAnsi="Times New Roman" w:cs="Times New Roman"/>
        <w:szCs w:val="24"/>
      </w:rPr>
      <w:fldChar w:fldCharType="separate"/>
    </w:r>
    <w:r w:rsidR="00001453">
      <w:rPr>
        <w:rStyle w:val="PageNumber"/>
        <w:rFonts w:ascii="Times New Roman" w:hAnsi="Times New Roman" w:cs="Times New Roman"/>
        <w:noProof/>
        <w:szCs w:val="24"/>
      </w:rPr>
      <w:t>4</w:t>
    </w:r>
    <w:r>
      <w:rPr>
        <w:rStyle w:val="PageNumber"/>
        <w:rFonts w:ascii="Times New Roman" w:hAnsi="Times New Roman" w:cs="Times New Roman"/>
        <w:szCs w:val="24"/>
      </w:rPr>
      <w:fldChar w:fldCharType="end"/>
    </w:r>
  </w:p>
  <w:p w:rsidR="003D1DC5">
    <w:pPr>
      <w:pStyle w:val="Footer"/>
      <w:rPr>
        <w:rFonts w:ascii="Times New Roman" w:hAnsi="Times New Roman" w:cs="Times New Roman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3071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separator/>
      </w:r>
    </w:p>
  </w:footnote>
  <w:footnote w:type="continuationSeparator" w:id="1">
    <w:p w:rsidR="00B83071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continuationSeparator/>
      </w:r>
    </w:p>
  </w:footnote>
  <w:footnote w:id="2">
    <w:p w:rsidP="005B22A6">
      <w:pPr>
        <w:jc w:val="both"/>
        <w:rPr>
          <w:rFonts w:ascii="Times New Roman" w:hAnsi="Times New Roman" w:cs="Times New Roman"/>
          <w:szCs w:val="24"/>
        </w:rPr>
      </w:pPr>
      <w:r w:rsidRPr="00A64D22" w:rsidR="00B83071">
        <w:rPr>
          <w:rStyle w:val="FootnoteReference"/>
          <w:rFonts w:ascii="Times New Roman" w:hAnsi="Times New Roman" w:cs="Times New Roman"/>
          <w:szCs w:val="24"/>
        </w:rPr>
        <w:t>1)</w:t>
      </w:r>
      <w:r w:rsidRPr="00A64D22" w:rsidR="00B83071">
        <w:rPr>
          <w:rFonts w:ascii="Times New Roman" w:hAnsi="Times New Roman" w:cs="Times New Roman"/>
          <w:szCs w:val="24"/>
        </w:rPr>
        <w:t xml:space="preserve"> </w:t>
      </w:r>
      <w:hyperlink r:id="rId1" w:history="1">
        <w:r w:rsidRPr="00A64D22" w:rsidR="00B83071">
          <w:rPr>
            <w:rStyle w:val="Hyperlink"/>
            <w:rFonts w:ascii="Times New Roman" w:hAnsi="Times New Roman" w:cs="Times New Roman"/>
            <w:sz w:val="18"/>
            <w:szCs w:val="24"/>
          </w:rPr>
          <w:t>http://www.justice.gov.sk/wfn.aspx?pg=r3&amp;htm=r3/statr.htm</w:t>
        </w:r>
      </w:hyperlink>
      <w:r w:rsidRPr="00A64D22" w:rsidR="00B83071">
        <w:rPr>
          <w:rFonts w:ascii="Times New Roman" w:hAnsi="Times New Roman" w:cs="Times New Roman"/>
          <w:szCs w:val="24"/>
        </w:rPr>
        <w:t xml:space="preserve"> </w:t>
      </w:r>
    </w:p>
  </w:footnote>
  <w:footnote w:id="3">
    <w:p w:rsidP="005B22A6">
      <w:pPr>
        <w:pStyle w:val="FootnoteText"/>
        <w:rPr>
          <w:rFonts w:ascii="Times New Roman" w:hAnsi="Times New Roman" w:cs="Times New Roman"/>
          <w:szCs w:val="24"/>
        </w:rPr>
      </w:pPr>
      <w:r w:rsidRPr="00A64D22" w:rsidR="00B83071">
        <w:rPr>
          <w:rStyle w:val="FootnoteReference"/>
          <w:rFonts w:ascii="Times New Roman" w:hAnsi="Times New Roman" w:cs="Times New Roman"/>
          <w:sz w:val="24"/>
          <w:szCs w:val="24"/>
          <w:lang w:val="sk-SK"/>
        </w:rPr>
        <w:t>2)</w:t>
      </w:r>
      <w:r w:rsidRPr="00A64D22" w:rsidR="00B83071">
        <w:rPr>
          <w:rFonts w:ascii="Times New Roman" w:hAnsi="Times New Roman" w:cs="Times New Roman"/>
          <w:szCs w:val="24"/>
          <w:lang w:val="sk-SK"/>
        </w:rPr>
        <w:t xml:space="preserve"> </w:t>
      </w:r>
      <w:r w:rsidRPr="00A64D22" w:rsidR="00B83071">
        <w:rPr>
          <w:rFonts w:ascii="Times New Roman" w:hAnsi="Times New Roman" w:cs="Times New Roman"/>
          <w:sz w:val="18"/>
          <w:szCs w:val="24"/>
          <w:lang w:val="sk-SK"/>
        </w:rPr>
        <w:t>V období rokov 2005 až 2007 v Slovenskej republike pôsobilo 45 okresných súdov</w:t>
      </w:r>
      <w:r w:rsidR="00B83071">
        <w:rPr>
          <w:rFonts w:ascii="Times New Roman" w:hAnsi="Times New Roman" w:cs="Times New Roman"/>
          <w:sz w:val="18"/>
          <w:szCs w:val="24"/>
          <w:lang w:val="sk-SK"/>
        </w:rPr>
        <w:t>; v súčasnosti je to 54 okresných súdov</w:t>
      </w:r>
      <w:r w:rsidRPr="00A64D22" w:rsidR="00B83071">
        <w:rPr>
          <w:rFonts w:ascii="Times New Roman" w:hAnsi="Times New Roman" w:cs="Times New Roman"/>
          <w:sz w:val="18"/>
          <w:szCs w:val="24"/>
          <w:lang w:val="sk-SK"/>
        </w:rPr>
        <w:t>.</w:t>
      </w:r>
      <w:r w:rsidRPr="00A64D22" w:rsidR="00B83071">
        <w:rPr>
          <w:rFonts w:ascii="Times New Roman" w:hAnsi="Times New Roman" w:cs="Times New Roman"/>
          <w:szCs w:val="24"/>
          <w:lang w:val="sk-SK"/>
        </w:rPr>
        <w:t xml:space="preserve">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C5C68"/>
    <w:multiLevelType w:val="hybridMultilevel"/>
    <w:tmpl w:val="CB6C8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oNotHyphenateCaps/>
  <w:characterSpacingControl w:val="doNotCompress"/>
  <w:footnotePr>
    <w:footnote w:id="0"/>
    <w:footnote w:id="1"/>
  </w:footnotePr>
  <w:compat>
    <w:doNotUseIndentAsNumberingTabStop/>
    <w:allowSpaceOfSameStyleInTable/>
    <w:splitPgBreakAndParaMark/>
    <w:useAnsiKerningPairs/>
  </w:compat>
  <w:rsids>
    <w:rsidRoot w:val="0086497E"/>
    <w:rsid w:val="00001453"/>
    <w:rsid w:val="000652B0"/>
    <w:rsid w:val="000D5D34"/>
    <w:rsid w:val="00134987"/>
    <w:rsid w:val="00146570"/>
    <w:rsid w:val="00187D32"/>
    <w:rsid w:val="001B1AE6"/>
    <w:rsid w:val="002003BE"/>
    <w:rsid w:val="00290D13"/>
    <w:rsid w:val="002911CE"/>
    <w:rsid w:val="00306EF5"/>
    <w:rsid w:val="00351634"/>
    <w:rsid w:val="003842F7"/>
    <w:rsid w:val="003B7B9A"/>
    <w:rsid w:val="003D15A8"/>
    <w:rsid w:val="003D1DC5"/>
    <w:rsid w:val="003F7F7A"/>
    <w:rsid w:val="004A0B45"/>
    <w:rsid w:val="004B300F"/>
    <w:rsid w:val="004D2782"/>
    <w:rsid w:val="00503113"/>
    <w:rsid w:val="00507EC0"/>
    <w:rsid w:val="005B22A6"/>
    <w:rsid w:val="005D5F68"/>
    <w:rsid w:val="006300B6"/>
    <w:rsid w:val="00656ACF"/>
    <w:rsid w:val="006623BA"/>
    <w:rsid w:val="006B0047"/>
    <w:rsid w:val="00785C68"/>
    <w:rsid w:val="0082267F"/>
    <w:rsid w:val="0086497E"/>
    <w:rsid w:val="008B3E5C"/>
    <w:rsid w:val="009279C4"/>
    <w:rsid w:val="00927B77"/>
    <w:rsid w:val="009817E7"/>
    <w:rsid w:val="009B4C56"/>
    <w:rsid w:val="009B6210"/>
    <w:rsid w:val="009E019B"/>
    <w:rsid w:val="009F7C08"/>
    <w:rsid w:val="00A0281F"/>
    <w:rsid w:val="00A63653"/>
    <w:rsid w:val="00A64D22"/>
    <w:rsid w:val="00AF49FA"/>
    <w:rsid w:val="00B83071"/>
    <w:rsid w:val="00B942E8"/>
    <w:rsid w:val="00BA4656"/>
    <w:rsid w:val="00BB5BD3"/>
    <w:rsid w:val="00BC0EA0"/>
    <w:rsid w:val="00BE0FB7"/>
    <w:rsid w:val="00BE19C4"/>
    <w:rsid w:val="00C60B62"/>
    <w:rsid w:val="00C6358E"/>
    <w:rsid w:val="00C91482"/>
    <w:rsid w:val="00C91E63"/>
    <w:rsid w:val="00CC3834"/>
    <w:rsid w:val="00D67696"/>
    <w:rsid w:val="00D858D7"/>
    <w:rsid w:val="00E21B35"/>
    <w:rsid w:val="00EC132A"/>
    <w:rsid w:val="00EC5551"/>
    <w:rsid w:val="00ED6436"/>
    <w:rsid w:val="00EE1165"/>
    <w:rsid w:val="00F64F46"/>
    <w:rsid w:val="00F978AC"/>
    <w:rsid w:val="00FB5F0D"/>
    <w:rsid w:val="00FC1E95"/>
    <w:rsid w:val="00FC234E"/>
    <w:rsid w:val="00FD17B6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/>
      <w:autoSpaceDN/>
      <w:adjustRightInd/>
      <w:ind w:left="0" w:right="0"/>
      <w:jc w:val="left"/>
      <w:textAlignment w:val="auto"/>
    </w:pPr>
    <w:rPr>
      <w:sz w:val="24"/>
      <w:lang w:val="sk-SK"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5B22A6"/>
    <w:rPr>
      <w:color w:val="0000FF"/>
      <w:u w:val="single"/>
    </w:rPr>
  </w:style>
  <w:style w:type="paragraph" w:styleId="FootnoteText">
    <w:name w:val="footnote text"/>
    <w:basedOn w:val="Normal"/>
    <w:uiPriority w:val="99"/>
    <w:semiHidden/>
    <w:rsid w:val="005B22A6"/>
    <w:pPr>
      <w:jc w:val="left"/>
    </w:pPr>
    <w:rPr>
      <w:sz w:val="20"/>
      <w:lang w:val="cs-CZ" w:eastAsia="cs-CZ"/>
    </w:rPr>
  </w:style>
  <w:style w:type="character" w:styleId="FootnoteReference">
    <w:name w:val="footnote reference"/>
    <w:basedOn w:val="DefaultParagraphFont"/>
    <w:uiPriority w:val="99"/>
    <w:semiHidden/>
    <w:rsid w:val="005B22A6"/>
    <w:rPr>
      <w:vertAlign w:val="superscript"/>
    </w:rPr>
  </w:style>
  <w:style w:type="character" w:styleId="FollowedHyperlink">
    <w:name w:val="FollowedHyperlink"/>
    <w:basedOn w:val="DefaultParagraphFont"/>
    <w:uiPriority w:val="99"/>
    <w:rsid w:val="00FD17B6"/>
    <w:rPr>
      <w:color w:val="800080"/>
      <w:u w:val="single"/>
    </w:rPr>
  </w:style>
  <w:style w:type="paragraph" w:styleId="Footer">
    <w:name w:val="footer"/>
    <w:basedOn w:val="Normal"/>
    <w:uiPriority w:val="99"/>
    <w:rsid w:val="003D1DC5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uiPriority w:val="99"/>
    <w:rsid w:val="003D1DC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image" Target="media/image1.emf" /><Relationship Id="rId6" Type="http://schemas.openxmlformats.org/officeDocument/2006/relationships/image" Target="media/image2.emf" /><Relationship Id="rId7" Type="http://schemas.openxmlformats.org/officeDocument/2006/relationships/image" Target="media/image3.emf" /><Relationship Id="rId8" Type="http://schemas.openxmlformats.org/officeDocument/2006/relationships/image" Target="media/image4.emf" /><Relationship Id="rId9" Type="http://schemas.openxmlformats.org/officeDocument/2006/relationships/footer" Target="footer1.xml" /></Relationships>
</file>

<file path=word/_rels/footnotes.xml.rels>&#65279;<?xml version="1.0" encoding="utf-8" standalone="yes"?><Relationships xmlns="http://schemas.openxmlformats.org/package/2006/relationships"><Relationship Id="rId1" Type="http://schemas.openxmlformats.org/officeDocument/2006/relationships/hyperlink" Target="http://www.justice.gov.sk/wfn.aspx?pg=r3&amp;htm=r3/statr.h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</Pages>
  <Words>581</Words>
  <Characters>3431</Characters>
  <Application>Microsoft Office Word</Application>
  <DocSecurity>0</DocSecurity>
  <Lines>0</Lines>
  <Paragraphs>0</Paragraphs>
  <ScaleCrop>false</ScaleCrop>
  <Company>MS SR</Company>
  <LinksUpToDate>false</LinksUpToDate>
  <CharactersWithSpaces>4004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juraj.palus</dc:creator>
  <cp:lastModifiedBy>lucia.pjescakova</cp:lastModifiedBy>
  <cp:revision>2</cp:revision>
  <cp:lastPrinted>2008-09-08T11:09:00Z</cp:lastPrinted>
  <dcterms:created xsi:type="dcterms:W3CDTF">2008-11-07T09:11:00Z</dcterms:created>
  <dcterms:modified xsi:type="dcterms:W3CDTF">2008-11-07T09:11:00Z</dcterms:modified>
</cp:coreProperties>
</file>