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425D" w:rsidP="0001291B">
      <w:pPr>
        <w:pStyle w:val="BodyText2"/>
        <w:snapToGrid/>
        <w:rPr>
          <w:rFonts w:cs="Arial"/>
          <w:szCs w:val="22"/>
        </w:rPr>
      </w:pPr>
    </w:p>
    <w:p w:rsidR="0051425D" w:rsidP="0001291B">
      <w:pPr>
        <w:pStyle w:val="BodyText2"/>
        <w:snapToGrid/>
        <w:rPr>
          <w:rFonts w:cs="Arial"/>
          <w:szCs w:val="22"/>
        </w:rPr>
      </w:pPr>
    </w:p>
    <w:p w:rsidR="0051425D" w:rsidP="0001291B">
      <w:pPr>
        <w:pStyle w:val="BodyText2"/>
        <w:snapToGrid/>
        <w:rPr>
          <w:rFonts w:cs="Arial"/>
          <w:szCs w:val="22"/>
        </w:rPr>
      </w:pPr>
    </w:p>
    <w:p w:rsidR="0051425D" w:rsidP="0001291B">
      <w:pPr>
        <w:pStyle w:val="BodyText2"/>
        <w:snapToGrid/>
        <w:rPr>
          <w:rFonts w:cs="Arial"/>
          <w:szCs w:val="22"/>
        </w:rPr>
      </w:pPr>
    </w:p>
    <w:p w:rsidR="0051425D" w:rsidP="0001291B">
      <w:pPr>
        <w:pStyle w:val="BodyText2"/>
        <w:snapToGrid/>
        <w:rPr>
          <w:rFonts w:cs="Arial"/>
          <w:szCs w:val="22"/>
        </w:rPr>
      </w:pPr>
    </w:p>
    <w:p w:rsidR="0051425D" w:rsidP="0001291B">
      <w:pPr>
        <w:pStyle w:val="BodyText2"/>
        <w:snapToGrid/>
        <w:rPr>
          <w:rFonts w:cs="Arial"/>
          <w:szCs w:val="22"/>
        </w:rPr>
      </w:pPr>
    </w:p>
    <w:p w:rsidR="0051425D" w:rsidP="0001291B">
      <w:pPr>
        <w:pStyle w:val="BodyText2"/>
        <w:snapToGrid/>
        <w:rPr>
          <w:rFonts w:cs="Arial"/>
          <w:szCs w:val="22"/>
        </w:rPr>
      </w:pPr>
    </w:p>
    <w:p w:rsidR="0051425D" w:rsidP="0001291B">
      <w:pPr>
        <w:pStyle w:val="BodyText2"/>
        <w:snapToGrid/>
        <w:rPr>
          <w:rFonts w:cs="Arial"/>
          <w:szCs w:val="22"/>
        </w:rPr>
      </w:pPr>
    </w:p>
    <w:p w:rsidR="0001291B" w:rsidP="0001291B">
      <w:pPr>
        <w:pStyle w:val="BodyText2"/>
        <w:snapToGrid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F358DD">
        <w:rPr>
          <w:rFonts w:cs="Arial"/>
          <w:szCs w:val="22"/>
        </w:rPr>
        <w:t> 24</w:t>
      </w:r>
      <w:r w:rsidR="0051425D">
        <w:rPr>
          <w:rFonts w:cs="Arial"/>
          <w:szCs w:val="22"/>
        </w:rPr>
        <w:t>. októbra</w:t>
      </w:r>
      <w:r>
        <w:rPr>
          <w:rFonts w:cs="Arial"/>
          <w:szCs w:val="22"/>
        </w:rPr>
        <w:t xml:space="preserve"> 2008,</w:t>
      </w:r>
    </w:p>
    <w:p w:rsidR="0001291B" w:rsidP="0001291B">
      <w:pPr>
        <w:pStyle w:val="BodyText2"/>
        <w:snapToGrid/>
        <w:jc w:val="both"/>
        <w:rPr>
          <w:rFonts w:cs="Arial"/>
          <w:szCs w:val="22"/>
        </w:rPr>
      </w:pPr>
      <w:r>
        <w:rPr>
          <w:rFonts w:cs="Arial"/>
          <w:szCs w:val="22"/>
        </w:rPr>
        <w:t>ktorým sa dopĺňa zákon č. 43/2004 Z. z. o starobnom dôchodkovom sporení  a o zmene a doplnení niektorých zákonov v znení neskorších predpisov a ktorým sa dopĺňa zákon č. 461/2003 Z. z. o sociálnom poistení v znení neskorších pre</w:t>
      </w:r>
      <w:r>
        <w:rPr>
          <w:rFonts w:cs="Arial"/>
          <w:szCs w:val="22"/>
        </w:rPr>
        <w:t>dpisov</w:t>
      </w:r>
    </w:p>
    <w:p w:rsidR="0001291B" w:rsidP="0001291B">
      <w:pPr>
        <w:pStyle w:val="BodyText2"/>
        <w:snapToGrid/>
        <w:jc w:val="both"/>
        <w:rPr>
          <w:rFonts w:cs="Arial"/>
          <w:szCs w:val="22"/>
        </w:rPr>
      </w:pPr>
    </w:p>
    <w:p w:rsidR="0001291B" w:rsidP="0001291B">
      <w:pPr>
        <w:pStyle w:val="BodyText2"/>
        <w:snapToGrid/>
        <w:ind w:firstLine="708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Národná rada Slovenskej republiky sa uzniesla na tomto zákone:</w:t>
      </w:r>
    </w:p>
    <w:p w:rsidR="0001291B" w:rsidP="0001291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1291B" w:rsidP="0001291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</w:t>
      </w:r>
    </w:p>
    <w:p w:rsidR="0001291B" w:rsidP="0001291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Zákon č. 43/2004 Z. z. o starobnom dôchodkovom sporení a o zmene a doplnení niektorých zákonov v znení zákona č. 186/2004 Z. z., zákona č. 439/2004 Z. z., zákona         č. 721/2004 Z. z., zákona č. 747/2004 Z. z., zákona č. 310/2006 Z. z., zákona č. 644/2006    Z. z., zákona č. 677/2006 Z. z., zákona č. 209/2007 Z. z., zákona č. 519/2007 Z. z., zákona       č. 555/2007 Z. z., zákona č. 659/2007 Z. z. a  zákona č. 62/2008 Z. z. sa dopĺňa takto: </w:t>
      </w:r>
    </w:p>
    <w:p w:rsidR="0001291B" w:rsidP="0001291B">
      <w:pPr>
        <w:spacing w:before="120" w:line="360" w:lineRule="auto"/>
        <w:rPr>
          <w:rFonts w:ascii="Arial" w:hAnsi="Arial" w:cs="Arial"/>
          <w:color w:val="000000"/>
          <w:sz w:val="22"/>
          <w:szCs w:val="22"/>
        </w:rPr>
      </w:pPr>
    </w:p>
    <w:p w:rsidR="0001291B" w:rsidP="0001291B">
      <w:pPr>
        <w:spacing w:before="12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§ 123k sa vkladajú § 123l a 123m, ktoré vrátane nadpisu znejú:</w:t>
      </w:r>
    </w:p>
    <w:p w:rsidR="0051425D" w:rsidP="0001291B">
      <w:pPr>
        <w:spacing w:before="12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1291B" w:rsidP="0001291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„Prechodné ustanovenia účinné od 15. novembra 2008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§ 123l</w:t>
      </w:r>
    </w:p>
    <w:p w:rsidR="0001291B" w:rsidP="0001291B">
      <w:pPr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osoba, ktorá  k 15. novembru 2008 nie je sporiteľ, môže do 30. júna 2009 uzatvoriť zmluvu o starobnom dôc</w:t>
      </w:r>
      <w:r>
        <w:rPr>
          <w:rFonts w:ascii="Arial" w:hAnsi="Arial" w:cs="Arial"/>
          <w:sz w:val="22"/>
          <w:szCs w:val="22"/>
        </w:rPr>
        <w:t>hodkovom sporení.</w:t>
      </w:r>
    </w:p>
    <w:p w:rsidR="0001291B" w:rsidP="0001291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1425D" w:rsidP="0001291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1291B" w:rsidP="0001291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123m</w:t>
      </w:r>
    </w:p>
    <w:p w:rsidR="0001291B" w:rsidP="0001291B">
      <w:pPr>
        <w:tabs>
          <w:tab w:val="left" w:pos="720"/>
        </w:tabs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(1) Sporiteľovi, ktorý pred 15. novembrom 2008 uzatvoril zmluvu o starobnom dôchodkovom sporení alebo ktorému Sociálna poisťovňa určila dôchodkovú správcovskú spoločnosť, zaniká účasť na starobnom dôchodkovom sporení</w:t>
      </w:r>
      <w:r w:rsidR="00B11322">
        <w:rPr>
          <w:rFonts w:ascii="Arial" w:hAnsi="Arial" w:cs="Arial"/>
          <w:color w:val="000000"/>
          <w:sz w:val="22"/>
          <w:szCs w:val="22"/>
        </w:rPr>
        <w:t xml:space="preserve">, ak do 30. júna 2009 doručí </w:t>
      </w:r>
      <w:r>
        <w:rPr>
          <w:rFonts w:ascii="Arial" w:hAnsi="Arial" w:cs="Arial"/>
          <w:color w:val="000000"/>
          <w:sz w:val="22"/>
          <w:szCs w:val="22"/>
        </w:rPr>
        <w:t xml:space="preserve"> Sociálnej poisťovni písomné oznámenie, ktorého obsahom je prejav vôle nebyť zúčastnený na starobnom dôchodkovom sporení.</w:t>
      </w:r>
    </w:p>
    <w:p w:rsidR="0001291B" w:rsidP="0001291B">
      <w:pPr>
        <w:tabs>
          <w:tab w:val="left" w:pos="720"/>
        </w:tabs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(2) </w:t>
      </w:r>
      <w:r w:rsidR="00B11322">
        <w:rPr>
          <w:rFonts w:ascii="Arial" w:hAnsi="Arial" w:cs="Arial"/>
          <w:color w:val="000000"/>
          <w:sz w:val="22"/>
          <w:szCs w:val="22"/>
        </w:rPr>
        <w:t>Účasť na</w:t>
      </w:r>
      <w:r>
        <w:rPr>
          <w:rFonts w:ascii="Arial" w:hAnsi="Arial" w:cs="Arial"/>
          <w:color w:val="000000"/>
          <w:sz w:val="22"/>
          <w:szCs w:val="22"/>
        </w:rPr>
        <w:t xml:space="preserve"> starobnom dôchodkovom sporení</w:t>
      </w:r>
      <w:r w:rsidR="00B11322">
        <w:rPr>
          <w:rFonts w:ascii="Arial" w:hAnsi="Arial" w:cs="Arial"/>
          <w:color w:val="000000"/>
          <w:sz w:val="22"/>
          <w:szCs w:val="22"/>
        </w:rPr>
        <w:t xml:space="preserve"> zaniká dňom doručenia písomného oznámenia podľa odseku 1, najskôr však 1. januára 2009, a to spätne odo dňa vzniku prvej účasti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B11322">
        <w:rPr>
          <w:rFonts w:ascii="Arial" w:hAnsi="Arial" w:cs="Arial"/>
          <w:color w:val="000000"/>
          <w:sz w:val="22"/>
          <w:szCs w:val="22"/>
        </w:rPr>
        <w:t xml:space="preserve"> Zmluva o starobnom dôchodkovom sporení zaniká</w:t>
      </w:r>
    </w:p>
    <w:p w:rsidR="00B11322" w:rsidP="00B11322">
      <w:pPr>
        <w:tabs>
          <w:tab w:val="left" w:pos="-360"/>
        </w:tabs>
        <w:spacing w:before="120"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 1. januára 2009, ak sporiteľ doručí Sociálnej poisťovni písomné oznámenie podľa odseku 1 pred 1. januárom 2009,</w:t>
      </w:r>
    </w:p>
    <w:p w:rsidR="00B11322" w:rsidP="00B11322">
      <w:pPr>
        <w:spacing w:before="120"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 dňom doručenia písomného oznámenia podľa odseku 1, ak sporiteľ doručí Sociálnej poisťovni písomné oznámenie podľa odseku 1 v období od 1. januára 2009 do 30. júna 2009.</w:t>
      </w:r>
    </w:p>
    <w:p w:rsidR="0001291B" w:rsidP="0001291B">
      <w:pPr>
        <w:spacing w:before="12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(3) Sociálna poisťovňa je povinná bez zbytočného odkladu po doručení písomného oznámenia podľa odsek</w:t>
      </w:r>
      <w:r>
        <w:rPr>
          <w:rFonts w:ascii="Arial" w:hAnsi="Arial" w:cs="Arial"/>
          <w:color w:val="000000"/>
          <w:sz w:val="22"/>
          <w:szCs w:val="22"/>
        </w:rPr>
        <w:t>u 1</w:t>
      </w:r>
      <w:r w:rsidR="00B11322">
        <w:rPr>
          <w:rFonts w:ascii="Arial" w:hAnsi="Arial" w:cs="Arial"/>
          <w:color w:val="000000"/>
          <w:sz w:val="22"/>
          <w:szCs w:val="22"/>
        </w:rPr>
        <w:t>, najskôr však po 31. decembri 2008</w:t>
      </w:r>
      <w:r>
        <w:rPr>
          <w:rFonts w:ascii="Arial" w:hAnsi="Arial" w:cs="Arial"/>
          <w:color w:val="000000"/>
          <w:sz w:val="22"/>
          <w:szCs w:val="22"/>
        </w:rPr>
        <w:t xml:space="preserve"> oznámiť dôchodkovej správcovskej spoločnosti zánik </w:t>
      </w:r>
      <w:r w:rsidR="00B11322">
        <w:rPr>
          <w:rFonts w:ascii="Arial" w:hAnsi="Arial" w:cs="Arial"/>
          <w:color w:val="000000"/>
          <w:sz w:val="22"/>
          <w:szCs w:val="22"/>
        </w:rPr>
        <w:t>účasti na</w:t>
      </w:r>
      <w:r>
        <w:rPr>
          <w:rFonts w:ascii="Arial" w:hAnsi="Arial" w:cs="Arial"/>
          <w:color w:val="000000"/>
          <w:sz w:val="22"/>
          <w:szCs w:val="22"/>
        </w:rPr>
        <w:t xml:space="preserve"> starobnom dôchodkovom sporení</w:t>
      </w:r>
      <w:r w:rsidR="00B11322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Dôchodková správcovská spoločnosť je povinná bez zbytočného odkladu odo dňa oznámenia Sociálnej poisťovne podľa prvej vet</w:t>
      </w:r>
      <w:r>
        <w:rPr>
          <w:rFonts w:ascii="Arial" w:hAnsi="Arial" w:cs="Arial"/>
          <w:color w:val="000000"/>
          <w:sz w:val="22"/>
          <w:szCs w:val="22"/>
        </w:rPr>
        <w:t xml:space="preserve">y previesť z bežného účtu dôchodkového fondu na účet Sociálnej poisťovne v Štátnej pokladnici sumu zodpovedajúcu aktuálnej hodnote osobného dôchodkového účtu ku dňu, ktorý predchádza dňu prevodu.“. </w:t>
      </w:r>
    </w:p>
    <w:p w:rsidR="0001291B" w:rsidP="0001291B">
      <w:pPr>
        <w:pStyle w:val="BodyText2"/>
        <w:snapToGrid/>
        <w:jc w:val="both"/>
        <w:rPr>
          <w:rFonts w:cs="Arial"/>
          <w:szCs w:val="22"/>
        </w:rPr>
      </w:pPr>
    </w:p>
    <w:p w:rsidR="0001291B" w:rsidP="0001291B">
      <w:pPr>
        <w:pStyle w:val="BodyText2"/>
        <w:snapToGrid/>
        <w:rPr>
          <w:rFonts w:cs="Arial"/>
          <w:szCs w:val="22"/>
        </w:rPr>
      </w:pPr>
      <w:r>
        <w:rPr>
          <w:rFonts w:cs="Arial"/>
          <w:szCs w:val="22"/>
        </w:rPr>
        <w:t>Čl. II</w:t>
      </w:r>
    </w:p>
    <w:p w:rsidR="0001291B" w:rsidP="0001291B">
      <w:pPr>
        <w:pStyle w:val="BodyText2"/>
        <w:snapToGrid/>
        <w:ind w:firstLine="708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Zákon č. 461/2003 Z. z. o sociálnom poistení v znení zákona č. 551/2003                   Z. z., zákona č. 600/2003 Z. z., zákona č. 5/2004 Z. z., zákona č. 43/2004 Z. z., zákona        č. 186/2004 Z. z., zákona č. 365/2004 Z. z., zákona č. 391/2004 Z. z., zákona č. 439/2004      Z. z., zákona  č. 523/2004 Z. z., zákona č. 721/2004 Z. z., zákona č. 82/2005 Z. z., zákona  č. 244/2005 Z. z., zákona č. 351/2005 Z. z., zákona č. 534/2005 Z. z., zákona   č. 584/2005 Z. z., zákona č. 310/2006 Z. z., nálezu Ústavného súdu Slovenskej republiky č. 460/2006     Z. z., zákona č. 529/2006 Z. z., zákona č. 592/2006 Z. z., zákona č. 677/2006 Z. z., zákona č. 274/2007 Z. z., zákona č. 519/2007 Z. z., zákona č. 555/2007 Z. z., zákona č. 659/2007    Z. z. a  nálezu Ústavného súdu Slovenskej republiky č. 204/2008 Z. z.  sa dopĺňa takto:</w:t>
      </w:r>
    </w:p>
    <w:p w:rsidR="0001291B" w:rsidP="0001291B">
      <w:pPr>
        <w:pStyle w:val="BodyText2"/>
        <w:snapToGrid/>
        <w:ind w:firstLine="708"/>
        <w:jc w:val="both"/>
        <w:rPr>
          <w:rFonts w:cs="Arial"/>
          <w:b w:val="0"/>
          <w:szCs w:val="22"/>
        </w:rPr>
      </w:pPr>
    </w:p>
    <w:p w:rsidR="00B11322" w:rsidP="0001291B">
      <w:pPr>
        <w:pStyle w:val="BodyText2"/>
        <w:snapToGrid/>
        <w:ind w:firstLine="708"/>
        <w:jc w:val="both"/>
        <w:rPr>
          <w:rFonts w:cs="Arial"/>
          <w:b w:val="0"/>
          <w:szCs w:val="22"/>
        </w:rPr>
      </w:pPr>
    </w:p>
    <w:p w:rsidR="0001291B" w:rsidP="0001291B">
      <w:pPr>
        <w:pStyle w:val="BodyText2"/>
        <w:snapToGrid/>
        <w:ind w:firstLine="708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Za § 293ar sa vkladajú § 293as a 293at, ktoré vrátane nadpisu znejú:</w:t>
      </w:r>
    </w:p>
    <w:p w:rsidR="0001291B" w:rsidP="0001291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„Prechodné ustanovenia účinné od 15. novembra 2008</w:t>
      </w:r>
    </w:p>
    <w:p w:rsidR="0001291B" w:rsidP="0001291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293as</w:t>
      </w:r>
    </w:p>
    <w:p w:rsidR="0001291B" w:rsidP="0001291B">
      <w:pPr>
        <w:spacing w:before="12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 Suma podľa osobitného predpisu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118)</w:t>
      </w:r>
      <w:r>
        <w:rPr>
          <w:rFonts w:ascii="Arial" w:hAnsi="Arial" w:cs="Arial"/>
          <w:color w:val="000000"/>
          <w:sz w:val="22"/>
          <w:szCs w:val="22"/>
        </w:rPr>
        <w:t xml:space="preserve">  prevedená dôchodkovou správcovskou spoločnosťou na účet Sociálnej poisťovne v Štátnej pokladnici za poistenca, ktorému zanikla  účasť na starobnom dôchodkovom sporení podľa osobitného predpisu,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118)</w:t>
      </w:r>
      <w:r>
        <w:rPr>
          <w:rFonts w:ascii="Arial" w:hAnsi="Arial" w:cs="Arial"/>
          <w:color w:val="000000"/>
          <w:sz w:val="22"/>
          <w:szCs w:val="22"/>
        </w:rPr>
        <w:t xml:space="preserve">  sa považuje za poistné zaplatené na starobné poistenie za obdobie jeho účasti na starobnom dôchodkovom sporení.</w:t>
      </w:r>
    </w:p>
    <w:p w:rsidR="0001291B" w:rsidP="0001291B">
      <w:pPr>
        <w:tabs>
          <w:tab w:val="left" w:pos="720"/>
        </w:tabs>
        <w:spacing w:before="120" w:line="360" w:lineRule="auto"/>
        <w:ind w:firstLine="1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(2) Starobný dôchodok a predčasný starobný dôchodok poistenca, za ktorého bola prevedená suma podľa odseku 1, sa neznižuje za obdobie starobného dôchodkového sporenia.</w:t>
      </w:r>
    </w:p>
    <w:p w:rsidR="0001291B" w:rsidP="0001291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293at</w:t>
      </w:r>
    </w:p>
    <w:p w:rsidR="0001291B" w:rsidP="0001291B">
      <w:pPr>
        <w:tabs>
          <w:tab w:val="left" w:pos="720"/>
        </w:tabs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Správny fond sa tvorí najviac vo výške 3 % aj zo sumy, ktorá sa podľa § 293as ods. 1 považuje za poistné zaplatené na starobné poistenie.“.  </w:t>
      </w:r>
    </w:p>
    <w:p w:rsidR="0001291B" w:rsidP="0001291B">
      <w:pPr>
        <w:tabs>
          <w:tab w:val="left" w:pos="720"/>
        </w:tabs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Poznámka pod čiarou k odkazu 118 znie:</w:t>
      </w:r>
    </w:p>
    <w:p w:rsidR="0001291B" w:rsidRPr="00B11322" w:rsidP="00B11322">
      <w:pPr>
        <w:tabs>
          <w:tab w:val="left" w:pos="720"/>
        </w:tabs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„118) § 123m zákona č. 43/2004 Z. z. v znení zákona č. .../2008 Z. z.“.   </w:t>
      </w:r>
    </w:p>
    <w:p w:rsidR="0001291B" w:rsidP="0001291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</w:t>
      </w:r>
    </w:p>
    <w:p w:rsidR="0001291B" w:rsidP="0001291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Účinnosť</w:t>
      </w:r>
    </w:p>
    <w:p w:rsidR="0081400B" w:rsidP="0051425D">
      <w:pPr>
        <w:pStyle w:val="BodyText2"/>
        <w:snapToGrid/>
        <w:ind w:firstLine="708"/>
        <w:rPr>
          <w:rFonts w:cs="Arial"/>
          <w:b w:val="0"/>
          <w:szCs w:val="22"/>
        </w:rPr>
      </w:pPr>
      <w:r w:rsidRPr="0001291B" w:rsidR="0001291B">
        <w:rPr>
          <w:rFonts w:cs="Arial"/>
          <w:b w:val="0"/>
          <w:szCs w:val="22"/>
        </w:rPr>
        <w:t>Tento zákon nadobúda účinnosť 15. novembra 2008.</w:t>
      </w:r>
    </w:p>
    <w:p w:rsidR="0051425D" w:rsidP="0051425D">
      <w:pPr>
        <w:pStyle w:val="BodyText2"/>
        <w:snapToGrid/>
        <w:ind w:firstLine="708"/>
        <w:rPr>
          <w:rFonts w:cs="Arial"/>
          <w:b w:val="0"/>
          <w:szCs w:val="22"/>
        </w:rPr>
      </w:pPr>
    </w:p>
    <w:p w:rsidR="0051425D" w:rsidP="0051425D">
      <w:pPr>
        <w:pStyle w:val="BodyText2"/>
        <w:snapToGrid/>
        <w:ind w:firstLine="708"/>
        <w:rPr>
          <w:rFonts w:cs="Arial"/>
          <w:b w:val="0"/>
          <w:szCs w:val="22"/>
        </w:rPr>
      </w:pPr>
    </w:p>
    <w:p w:rsidR="0051425D" w:rsidP="0051425D">
      <w:pPr>
        <w:pStyle w:val="BodyText2"/>
        <w:snapToGrid/>
        <w:ind w:firstLine="708"/>
        <w:rPr>
          <w:rFonts w:cs="Arial"/>
          <w:b w:val="0"/>
          <w:szCs w:val="22"/>
        </w:rPr>
      </w:pPr>
    </w:p>
    <w:p w:rsidR="0051425D" w:rsidP="0051425D">
      <w:pPr>
        <w:pStyle w:val="BodyText2"/>
        <w:snapToGrid/>
        <w:ind w:firstLine="708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prezident Slovenskej republiky</w:t>
      </w:r>
    </w:p>
    <w:p w:rsidR="0051425D" w:rsidP="0051425D">
      <w:pPr>
        <w:pStyle w:val="BodyText2"/>
        <w:snapToGrid/>
        <w:ind w:firstLine="708"/>
        <w:rPr>
          <w:rFonts w:cs="Arial"/>
          <w:b w:val="0"/>
          <w:szCs w:val="22"/>
        </w:rPr>
      </w:pPr>
    </w:p>
    <w:p w:rsidR="0051425D" w:rsidP="0051425D">
      <w:pPr>
        <w:pStyle w:val="BodyText2"/>
        <w:snapToGrid/>
        <w:ind w:firstLine="708"/>
        <w:rPr>
          <w:rFonts w:cs="Arial"/>
          <w:b w:val="0"/>
          <w:szCs w:val="22"/>
        </w:rPr>
      </w:pPr>
    </w:p>
    <w:p w:rsidR="0051425D" w:rsidP="0051425D">
      <w:pPr>
        <w:pStyle w:val="BodyText2"/>
        <w:snapToGrid/>
        <w:ind w:firstLine="708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predseda Národnej rady Slovenskej republiky</w:t>
      </w:r>
    </w:p>
    <w:p w:rsidR="0051425D" w:rsidP="0051425D">
      <w:pPr>
        <w:pStyle w:val="BodyText2"/>
        <w:snapToGrid/>
        <w:ind w:firstLine="708"/>
        <w:rPr>
          <w:rFonts w:cs="Arial"/>
          <w:b w:val="0"/>
          <w:szCs w:val="22"/>
        </w:rPr>
      </w:pPr>
    </w:p>
    <w:p w:rsidR="0051425D" w:rsidP="0051425D">
      <w:pPr>
        <w:pStyle w:val="BodyText2"/>
        <w:snapToGrid/>
        <w:ind w:firstLine="708"/>
        <w:rPr>
          <w:rFonts w:cs="Arial"/>
          <w:b w:val="0"/>
          <w:szCs w:val="22"/>
        </w:rPr>
      </w:pPr>
    </w:p>
    <w:p w:rsidR="0051425D" w:rsidP="0051425D">
      <w:pPr>
        <w:pStyle w:val="BodyText2"/>
        <w:snapToGrid/>
        <w:ind w:firstLine="708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predseda vlády Slovenskej republiky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FA" w:rsidP="00A41FCE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E3CF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FA" w:rsidP="00A41FCE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358DD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6E3CF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27293"/>
    <w:multiLevelType w:val="hybridMultilevel"/>
    <w:tmpl w:val="A560F8D2"/>
    <w:lvl w:ilvl="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">
    <w:nsid w:val="572A40AB"/>
    <w:multiLevelType w:val="hybridMultilevel"/>
    <w:tmpl w:val="C21890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291B"/>
    <w:rsid w:val="0051425D"/>
    <w:rsid w:val="006E3CFA"/>
    <w:rsid w:val="0081400B"/>
    <w:rsid w:val="00A41FCE"/>
    <w:rsid w:val="00B11322"/>
    <w:rsid w:val="00F358D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00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81400B"/>
    <w:pPr>
      <w:snapToGrid w:val="0"/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Footer">
    <w:name w:val="footer"/>
    <w:basedOn w:val="Normal"/>
    <w:rsid w:val="0081400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1400B"/>
    <w:rPr>
      <w:rFonts w:cs="Times New Roman"/>
      <w:rtl w:val="0"/>
    </w:rPr>
  </w:style>
  <w:style w:type="character" w:styleId="PlaceholderText">
    <w:name w:val="Placeholder Text"/>
    <w:basedOn w:val="DefaultParagraphFont"/>
    <w:semiHidden/>
    <w:rsid w:val="002B288B"/>
    <w:rPr>
      <w:rFonts w:cs="Times New Roman"/>
      <w:color w:val="808080"/>
      <w:rtl w:val="0"/>
    </w:rPr>
  </w:style>
  <w:style w:type="table" w:styleId="TableGrid">
    <w:name w:val="Table Grid"/>
    <w:rsid w:val="002B288B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663</Words>
  <Characters>3785</Characters>
  <Application>Microsoft Office Word</Application>
  <DocSecurity>0</DocSecurity>
  <Lines>0</Lines>
  <Paragraphs>0</Paragraphs>
  <ScaleCrop>false</ScaleCrop>
  <Company>MPSVR SR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cebulakova</dc:creator>
  <cp:lastModifiedBy>Administrator</cp:lastModifiedBy>
  <cp:revision>5</cp:revision>
  <cp:lastPrinted>2008-10-01T12:02:00Z</cp:lastPrinted>
  <dcterms:created xsi:type="dcterms:W3CDTF">2008-10-23T06:44:00Z</dcterms:created>
  <dcterms:modified xsi:type="dcterms:W3CDTF">2008-10-24T10:52:00Z</dcterms:modified>
</cp:coreProperties>
</file>