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ascii="Arial Narrow" w:hAnsi="Arial Narrow" w:cs="Times New Roman"/>
        </w:rPr>
      </w:pPr>
    </w:p>
    <w:p w:rsidR="00C52DD5" w:rsidP="00C52DD5">
      <w:pPr>
        <w:rPr>
          <w:rFonts w:ascii="Arial Narrow" w:hAnsi="Arial Narrow" w:cs="Times New Roman"/>
        </w:rPr>
      </w:pPr>
    </w:p>
    <w:p w:rsidR="00C52DD5" w:rsidP="00C52DD5">
      <w:pPr>
        <w:rPr>
          <w:rFonts w:ascii="Arial Narrow" w:hAnsi="Arial Narrow" w:cs="Times New Roman"/>
        </w:rPr>
      </w:pPr>
    </w:p>
    <w:p w:rsidR="00C52DD5"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jc w:val="center"/>
        <w:rPr>
          <w:rFonts w:ascii="Arial Narrow" w:hAnsi="Arial Narrow" w:cs="Times New Roman"/>
          <w:b/>
          <w:sz w:val="44"/>
          <w:szCs w:val="44"/>
        </w:rPr>
      </w:pPr>
      <w:r w:rsidRPr="00231151">
        <w:rPr>
          <w:rFonts w:ascii="Arial Narrow" w:hAnsi="Arial Narrow" w:cs="Times New Roman"/>
          <w:b/>
          <w:sz w:val="44"/>
          <w:szCs w:val="44"/>
        </w:rPr>
        <w:t xml:space="preserve">Príloha č. </w:t>
      </w:r>
      <w:r>
        <w:rPr>
          <w:rFonts w:ascii="Arial Narrow" w:hAnsi="Arial Narrow" w:cs="Times New Roman"/>
          <w:b/>
          <w:sz w:val="44"/>
          <w:szCs w:val="44"/>
        </w:rPr>
        <w:t>1</w:t>
      </w:r>
    </w:p>
    <w:p w:rsidR="00C52DD5" w:rsidRPr="00231151" w:rsidP="00C52DD5">
      <w:pPr>
        <w:jc w:val="center"/>
        <w:rPr>
          <w:rFonts w:ascii="Arial Narrow" w:hAnsi="Arial Narrow" w:cs="Times New Roman"/>
          <w:b/>
          <w:sz w:val="44"/>
          <w:szCs w:val="44"/>
        </w:rPr>
      </w:pPr>
    </w:p>
    <w:p w:rsidR="00C52DD5" w:rsidRPr="00231151" w:rsidP="00C52DD5">
      <w:pPr>
        <w:jc w:val="center"/>
        <w:rPr>
          <w:rFonts w:ascii="Arial Narrow" w:hAnsi="Arial Narrow" w:cs="Times New Roman"/>
          <w:b/>
          <w:sz w:val="44"/>
          <w:szCs w:val="44"/>
        </w:rPr>
      </w:pPr>
      <w:r w:rsidRPr="00231151">
        <w:rPr>
          <w:rFonts w:ascii="Arial Narrow" w:hAnsi="Arial Narrow" w:cs="Times New Roman"/>
          <w:b/>
          <w:sz w:val="44"/>
          <w:szCs w:val="44"/>
        </w:rPr>
        <w:t xml:space="preserve">Rozpočtovanie príjmov a výdavkov </w:t>
      </w:r>
    </w:p>
    <w:p w:rsidR="00C52DD5" w:rsidRPr="00231151" w:rsidP="00C52DD5">
      <w:pPr>
        <w:jc w:val="center"/>
        <w:rPr>
          <w:rFonts w:ascii="Arial Narrow" w:hAnsi="Arial Narrow" w:cs="Times New Roman"/>
          <w:b/>
          <w:sz w:val="44"/>
          <w:szCs w:val="44"/>
        </w:rPr>
      </w:pPr>
      <w:r w:rsidRPr="00231151">
        <w:rPr>
          <w:rFonts w:ascii="Arial Narrow" w:hAnsi="Arial Narrow" w:cs="Times New Roman"/>
          <w:b/>
          <w:sz w:val="44"/>
          <w:szCs w:val="44"/>
        </w:rPr>
        <w:t xml:space="preserve">ostatných subjektov verejnej správy v metodike </w:t>
      </w:r>
      <w:r>
        <w:rPr>
          <w:rFonts w:ascii="Arial Narrow" w:hAnsi="Arial Narrow" w:cs="Times New Roman"/>
          <w:b/>
          <w:sz w:val="44"/>
          <w:szCs w:val="44"/>
        </w:rPr>
        <w:t xml:space="preserve">  </w:t>
      </w:r>
      <w:r w:rsidRPr="00231151">
        <w:rPr>
          <w:rFonts w:ascii="Arial Narrow" w:hAnsi="Arial Narrow" w:cs="Times New Roman"/>
          <w:b/>
          <w:sz w:val="44"/>
          <w:szCs w:val="44"/>
        </w:rPr>
        <w:t>ESA 95</w:t>
      </w:r>
    </w:p>
    <w:p w:rsidR="00C52DD5" w:rsidRPr="00231151" w:rsidP="00C52DD5">
      <w:pPr>
        <w:jc w:val="center"/>
        <w:rPr>
          <w:rFonts w:ascii="Arial Narrow" w:hAnsi="Arial Narrow" w:cs="Times New Roman"/>
          <w:b/>
          <w:sz w:val="44"/>
          <w:szCs w:val="44"/>
        </w:rPr>
      </w:pPr>
    </w:p>
    <w:p w:rsidR="00C52DD5" w:rsidRPr="00231151" w:rsidP="00C52DD5">
      <w:pPr>
        <w:rPr>
          <w:rFonts w:ascii="Arial Narrow" w:hAnsi="Arial Narrow" w:cs="Times New Roman"/>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P="00C52DD5">
      <w:pPr>
        <w:jc w:val="both"/>
        <w:rPr>
          <w:rFonts w:ascii="Arial Narrow" w:hAnsi="Arial Narrow" w:cs="Arial"/>
          <w:b/>
          <w:sz w:val="28"/>
          <w:szCs w:val="28"/>
        </w:rPr>
      </w:pPr>
    </w:p>
    <w:p w:rsidR="00C52DD5" w:rsidRPr="00EE12C1" w:rsidP="00C52DD5">
      <w:pPr>
        <w:pStyle w:val="Zkladntext"/>
        <w:jc w:val="both"/>
        <w:rPr>
          <w:rFonts w:ascii="Arial Narrow" w:hAnsi="Arial Narrow" w:cs="Times New Roman"/>
          <w:b/>
          <w:sz w:val="28"/>
          <w:szCs w:val="28"/>
        </w:rPr>
      </w:pPr>
      <w:r w:rsidRPr="00EE12C1">
        <w:rPr>
          <w:rFonts w:ascii="Arial Narrow" w:hAnsi="Arial Narrow" w:cs="Times New Roman"/>
          <w:b/>
          <w:sz w:val="28"/>
          <w:szCs w:val="28"/>
        </w:rPr>
        <w:t>Rozpočtovanie príjmov a výdavkov ostatných subjektov verejnej správy v metodike ESA 95</w:t>
      </w:r>
    </w:p>
    <w:p w:rsidR="00C52DD5" w:rsidP="00C52DD5">
      <w:pPr>
        <w:jc w:val="both"/>
        <w:rPr>
          <w:rFonts w:ascii="Arial Narrow" w:hAnsi="Arial Narrow" w:cs="Times New Roman"/>
          <w:b/>
          <w:sz w:val="22"/>
          <w:szCs w:val="22"/>
        </w:rPr>
      </w:pPr>
    </w:p>
    <w:p w:rsidR="00C52DD5" w:rsidRPr="001A548B" w:rsidP="00C52DD5">
      <w:pPr>
        <w:jc w:val="both"/>
        <w:rPr>
          <w:rFonts w:ascii="Arial Narrow" w:hAnsi="Arial Narrow" w:cs="Times New Roman"/>
          <w:szCs w:val="24"/>
        </w:rPr>
      </w:pPr>
      <w:r>
        <w:rPr>
          <w:rFonts w:ascii="Arial Narrow" w:hAnsi="Arial Narrow" w:cs="Times New Roman"/>
          <w:b/>
          <w:sz w:val="22"/>
          <w:szCs w:val="22"/>
        </w:rPr>
        <w:t xml:space="preserve">1. </w:t>
      </w:r>
      <w:r w:rsidRPr="001A548B">
        <w:rPr>
          <w:rFonts w:ascii="Arial Narrow" w:hAnsi="Arial Narrow" w:cs="Times New Roman"/>
          <w:b/>
          <w:szCs w:val="24"/>
        </w:rPr>
        <w:t>Obce a vyššie územné ce</w:t>
      </w:r>
      <w:r w:rsidRPr="001A548B">
        <w:rPr>
          <w:rFonts w:ascii="Arial Narrow" w:hAnsi="Arial Narrow" w:cs="Times New Roman"/>
          <w:b/>
          <w:szCs w:val="24"/>
        </w:rPr>
        <w:t>lky</w:t>
      </w:r>
    </w:p>
    <w:p w:rsidR="00C52DD5" w:rsidP="00C52DD5">
      <w:pPr>
        <w:jc w:val="both"/>
        <w:rPr>
          <w:rFonts w:ascii="Arial Narrow" w:hAnsi="Arial Narrow" w:cs="Times New Roman"/>
          <w:sz w:val="22"/>
          <w:szCs w:val="22"/>
        </w:rPr>
      </w:pPr>
      <w:r>
        <w:rPr>
          <w:rFonts w:ascii="Arial Narrow" w:hAnsi="Arial Narrow" w:cs="Times New Roman"/>
          <w:sz w:val="22"/>
          <w:szCs w:val="22"/>
        </w:rPr>
        <w:tab/>
      </w:r>
    </w:p>
    <w:p w:rsidR="00C52DD5" w:rsidP="00C52DD5">
      <w:pPr>
        <w:pStyle w:val="BodyText"/>
        <w:ind w:firstLine="708"/>
        <w:jc w:val="both"/>
        <w:rPr>
          <w:rFonts w:ascii="Arial Narrow" w:hAnsi="Arial Narrow" w:cs="Times New Roman"/>
          <w:sz w:val="22"/>
          <w:szCs w:val="22"/>
        </w:rPr>
      </w:pPr>
      <w:r w:rsidRPr="003202EE">
        <w:rPr>
          <w:rFonts w:ascii="Arial Narrow" w:hAnsi="Arial Narrow" w:cs="Times New Roman"/>
          <w:sz w:val="22"/>
          <w:szCs w:val="22"/>
        </w:rPr>
        <w:t xml:space="preserve">Návrh rozpočtu </w:t>
      </w:r>
      <w:r>
        <w:rPr>
          <w:rFonts w:ascii="Arial Narrow" w:hAnsi="Arial Narrow" w:cs="Times New Roman"/>
          <w:sz w:val="22"/>
          <w:szCs w:val="22"/>
        </w:rPr>
        <w:t>územnej samosprávy</w:t>
      </w:r>
      <w:r w:rsidRPr="003202EE">
        <w:rPr>
          <w:rFonts w:ascii="Arial Narrow" w:hAnsi="Arial Narrow" w:cs="Times New Roman"/>
          <w:sz w:val="22"/>
          <w:szCs w:val="22"/>
        </w:rPr>
        <w:t xml:space="preserve"> na roky 200</w:t>
      </w:r>
      <w:r>
        <w:rPr>
          <w:rFonts w:ascii="Arial Narrow" w:hAnsi="Arial Narrow" w:cs="Times New Roman"/>
          <w:sz w:val="22"/>
          <w:szCs w:val="22"/>
        </w:rPr>
        <w:t xml:space="preserve">9 až </w:t>
      </w:r>
      <w:r w:rsidRPr="003202EE">
        <w:rPr>
          <w:rFonts w:ascii="Arial Narrow" w:hAnsi="Arial Narrow" w:cs="Times New Roman"/>
          <w:sz w:val="22"/>
          <w:szCs w:val="22"/>
        </w:rPr>
        <w:t>201</w:t>
      </w:r>
      <w:r>
        <w:rPr>
          <w:rFonts w:ascii="Arial Narrow" w:hAnsi="Arial Narrow" w:cs="Times New Roman"/>
          <w:sz w:val="22"/>
          <w:szCs w:val="22"/>
        </w:rPr>
        <w:t>1</w:t>
      </w:r>
      <w:r w:rsidRPr="003202EE">
        <w:rPr>
          <w:rFonts w:ascii="Arial Narrow" w:hAnsi="Arial Narrow" w:cs="Times New Roman"/>
          <w:sz w:val="22"/>
          <w:szCs w:val="22"/>
        </w:rPr>
        <w:t xml:space="preserve"> nadväzuje na</w:t>
      </w:r>
      <w:r>
        <w:rPr>
          <w:rFonts w:ascii="Arial Narrow" w:hAnsi="Arial Narrow" w:cs="Times New Roman"/>
          <w:sz w:val="22"/>
          <w:szCs w:val="22"/>
        </w:rPr>
        <w:t xml:space="preserve"> východiská rozpočtu verejnej správy</w:t>
      </w:r>
      <w:r w:rsidRPr="003202EE">
        <w:rPr>
          <w:rFonts w:ascii="Arial Narrow" w:hAnsi="Arial Narrow" w:cs="Times New Roman"/>
          <w:sz w:val="22"/>
          <w:szCs w:val="22"/>
        </w:rPr>
        <w:t xml:space="preserve"> </w:t>
      </w:r>
      <w:r>
        <w:rPr>
          <w:rFonts w:ascii="Arial Narrow" w:hAnsi="Arial Narrow" w:cs="Times New Roman"/>
          <w:sz w:val="22"/>
          <w:szCs w:val="22"/>
        </w:rPr>
        <w:t xml:space="preserve">a </w:t>
      </w:r>
      <w:r w:rsidRPr="003202EE">
        <w:rPr>
          <w:rFonts w:ascii="Arial Narrow" w:hAnsi="Arial Narrow" w:cs="Times New Roman"/>
          <w:sz w:val="22"/>
          <w:szCs w:val="22"/>
        </w:rPr>
        <w:t>vývoj hospodárenia obcí a</w:t>
      </w:r>
      <w:r>
        <w:rPr>
          <w:rFonts w:ascii="Arial Narrow" w:hAnsi="Arial Narrow" w:cs="Times New Roman"/>
          <w:sz w:val="22"/>
          <w:szCs w:val="22"/>
        </w:rPr>
        <w:t xml:space="preserve"> vyšších územných celkov (ďalej len „VÚC“) </w:t>
      </w:r>
      <w:r w:rsidRPr="003202EE">
        <w:rPr>
          <w:rFonts w:ascii="Arial Narrow" w:hAnsi="Arial Narrow" w:cs="Times New Roman"/>
          <w:sz w:val="22"/>
          <w:szCs w:val="22"/>
        </w:rPr>
        <w:t>v predchádzajúcich rokoch</w:t>
      </w:r>
      <w:r>
        <w:rPr>
          <w:rFonts w:ascii="Arial Narrow" w:hAnsi="Arial Narrow" w:cs="Times New Roman"/>
          <w:sz w:val="22"/>
          <w:szCs w:val="22"/>
        </w:rPr>
        <w:t>, ako aj na vykonávaný monitoring rozpočtového hosp</w:t>
      </w:r>
      <w:r>
        <w:rPr>
          <w:rFonts w:ascii="Arial Narrow" w:hAnsi="Arial Narrow" w:cs="Times New Roman"/>
          <w:sz w:val="22"/>
          <w:szCs w:val="22"/>
        </w:rPr>
        <w:t>odárenia územnej samosprávy.</w:t>
      </w:r>
      <w:r w:rsidRPr="003202EE">
        <w:rPr>
          <w:rFonts w:ascii="Arial Narrow" w:hAnsi="Arial Narrow" w:cs="Times New Roman"/>
          <w:sz w:val="22"/>
          <w:szCs w:val="22"/>
        </w:rPr>
        <w:t xml:space="preserve"> Finančné vzťahy k rozpočtom obcí a VÚC sa budú aj v týchto rokoch realizovať predovšetkým prostredníctvom daňových príjmov a prostredníctvom dotácií z príslušných rozpočtových kapitol. Formou dotácií zo štátneho rozpočtu z príslušných kapitol sa budú financovať kompetencie preneseného výkonu štátnej správy a niektoré ďalšie úlohy spojené </w:t>
      </w:r>
      <w:r>
        <w:rPr>
          <w:rFonts w:ascii="Arial Narrow" w:hAnsi="Arial Narrow" w:cs="Times New Roman"/>
          <w:sz w:val="22"/>
          <w:szCs w:val="22"/>
        </w:rPr>
        <w:t xml:space="preserve">najmä </w:t>
      </w:r>
      <w:r w:rsidRPr="003202EE">
        <w:rPr>
          <w:rFonts w:ascii="Arial Narrow" w:hAnsi="Arial Narrow" w:cs="Times New Roman"/>
          <w:sz w:val="22"/>
          <w:szCs w:val="22"/>
        </w:rPr>
        <w:t>s realizáciou projektov v rámci štrukturálnych fondov EÚ, napr. v súvislosti s podporou regionálneho rozvoja obcí a VÚC, vzdelávaním</w:t>
      </w:r>
      <w:r>
        <w:rPr>
          <w:rFonts w:ascii="Arial Narrow" w:hAnsi="Arial Narrow" w:cs="Times New Roman"/>
          <w:sz w:val="22"/>
          <w:szCs w:val="22"/>
        </w:rPr>
        <w:t xml:space="preserve"> a po</w:t>
      </w:r>
      <w:r>
        <w:rPr>
          <w:rFonts w:ascii="Arial Narrow" w:hAnsi="Arial Narrow" w:cs="Times New Roman"/>
          <w:sz w:val="22"/>
          <w:szCs w:val="22"/>
        </w:rPr>
        <w:t xml:space="preserve">d. Niektoré špecifické potreby obcí, </w:t>
      </w:r>
      <w:r w:rsidR="00CE10EF">
        <w:rPr>
          <w:rFonts w:ascii="Arial Narrow" w:hAnsi="Arial Narrow" w:cs="Times New Roman"/>
          <w:sz w:val="22"/>
          <w:szCs w:val="22"/>
        </w:rPr>
        <w:t xml:space="preserve">ako </w:t>
      </w:r>
      <w:r w:rsidR="00F12F4B">
        <w:rPr>
          <w:rFonts w:ascii="Arial Narrow" w:hAnsi="Arial Narrow" w:cs="Times New Roman"/>
          <w:sz w:val="22"/>
          <w:szCs w:val="22"/>
        </w:rPr>
        <w:t>je napr.</w:t>
      </w:r>
      <w:r w:rsidR="00CE10EF">
        <w:rPr>
          <w:rFonts w:ascii="Arial Narrow" w:hAnsi="Arial Narrow" w:cs="Times New Roman"/>
          <w:sz w:val="22"/>
          <w:szCs w:val="22"/>
        </w:rPr>
        <w:t xml:space="preserve"> zachovanie a obnova kultúrnych pamiatok v niektorých mestách a individuálne potreby obcí, </w:t>
      </w:r>
      <w:r>
        <w:rPr>
          <w:rFonts w:ascii="Arial Narrow" w:hAnsi="Arial Narrow" w:cs="Times New Roman"/>
          <w:sz w:val="22"/>
          <w:szCs w:val="22"/>
        </w:rPr>
        <w:t xml:space="preserve">ktoré neboli súčasťou fiškálnej decentralizácie budú financované formou dotácií zo štátneho rozpočtu rozpočtovaných v kapitole Všeobecná pokladničná správa. </w:t>
      </w:r>
      <w:r w:rsidRPr="003202EE">
        <w:rPr>
          <w:rFonts w:ascii="Arial Narrow" w:hAnsi="Arial Narrow" w:cs="Times New Roman"/>
          <w:sz w:val="22"/>
          <w:szCs w:val="22"/>
        </w:rPr>
        <w:t xml:space="preserve"> </w:t>
      </w:r>
    </w:p>
    <w:p w:rsidR="00C52DD5" w:rsidP="00C52DD5">
      <w:pPr>
        <w:pStyle w:val="BodyText"/>
        <w:spacing w:after="0"/>
        <w:ind w:firstLine="709"/>
        <w:jc w:val="both"/>
        <w:rPr>
          <w:rFonts w:ascii="Arial Narrow" w:hAnsi="Arial Narrow" w:cs="Times New Roman"/>
          <w:sz w:val="22"/>
          <w:szCs w:val="22"/>
        </w:rPr>
      </w:pPr>
      <w:r>
        <w:rPr>
          <w:rFonts w:ascii="Arial Narrow" w:hAnsi="Arial Narrow" w:cs="Times New Roman"/>
          <w:sz w:val="22"/>
          <w:szCs w:val="22"/>
        </w:rPr>
        <w:t xml:space="preserve">V návrhu rozpočtu územnej samosprávy sú zohľadnené výsledky rozpočtového hospodárenia za rok 2007, schválený rozpočet na rok 2008, ako aj podklady VÚC o ich rozpočtoch na roky 2008 až 2010. V roku 2009 sa v rozpočtoch VÚC očakáva nižší schodok ako v roku 2008, a to vo výške 38 505 tis. eur, čo predstavuje zníženie o 50 588 tis. eur. V rozpočtoch obcí sa predpokladá vyrovnané rozpočtové hospodárenie aj napriek tomu, že v roku 2007 skončilo rozpočtové hospodárenie obcí podľa metodiky ESA 95 so schodkom vo výške 35 600 tis. eur. Ministerstvo financií SR pravidelne sleduje vývoj rozpočtového hospodárenia územnej samosprávy. </w:t>
      </w:r>
    </w:p>
    <w:p w:rsidR="00C52DD5" w:rsidP="00C52DD5">
      <w:pPr>
        <w:pStyle w:val="Heading2"/>
        <w:spacing w:before="0" w:after="0"/>
        <w:jc w:val="both"/>
        <w:rPr>
          <w:rFonts w:ascii="Arial Narrow" w:hAnsi="Arial Narrow"/>
          <w:i w:val="0"/>
          <w:sz w:val="22"/>
          <w:szCs w:val="22"/>
        </w:rPr>
      </w:pPr>
    </w:p>
    <w:p w:rsidR="00C52DD5" w:rsidP="00C52DD5">
      <w:pPr>
        <w:pStyle w:val="Heading2"/>
        <w:spacing w:before="0" w:after="0"/>
        <w:jc w:val="both"/>
        <w:rPr>
          <w:rFonts w:ascii="Arial Narrow" w:hAnsi="Arial Narrow"/>
          <w:i w:val="0"/>
          <w:sz w:val="22"/>
          <w:szCs w:val="22"/>
        </w:rPr>
      </w:pPr>
      <w:r>
        <w:rPr>
          <w:rFonts w:ascii="Arial Narrow" w:hAnsi="Arial Narrow"/>
          <w:i w:val="0"/>
          <w:sz w:val="22"/>
          <w:szCs w:val="22"/>
        </w:rPr>
        <w:t>1.1. Obce</w:t>
      </w:r>
    </w:p>
    <w:p w:rsidR="00C52DD5" w:rsidP="00C52DD5">
      <w:pPr>
        <w:jc w:val="both"/>
        <w:rPr>
          <w:rFonts w:ascii="Arial Narrow" w:hAnsi="Arial Narrow" w:cs="Times New Roman"/>
          <w:sz w:val="22"/>
          <w:szCs w:val="22"/>
        </w:rPr>
      </w:pPr>
      <w:r>
        <w:rPr>
          <w:rFonts w:ascii="Arial Narrow" w:hAnsi="Arial Narrow" w:cs="Times New Roman"/>
          <w:sz w:val="22"/>
          <w:szCs w:val="22"/>
        </w:rPr>
        <w:tab/>
      </w: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Predpokladá sa, že obce v roku 2009 dosiahnu </w:t>
      </w:r>
      <w:r>
        <w:rPr>
          <w:rFonts w:ascii="Arial Narrow" w:hAnsi="Arial Narrow" w:cs="Times New Roman"/>
          <w:b/>
          <w:sz w:val="22"/>
          <w:szCs w:val="22"/>
        </w:rPr>
        <w:t>celkové príjmy vo výške 3 620 737 tis.</w:t>
      </w:r>
      <w:r>
        <w:rPr>
          <w:rFonts w:ascii="Arial Narrow" w:hAnsi="Arial Narrow" w:cs="Times New Roman"/>
          <w:b/>
          <w:sz w:val="22"/>
          <w:szCs w:val="22"/>
        </w:rPr>
        <w:t xml:space="preserve"> eur</w:t>
      </w:r>
      <w:r>
        <w:rPr>
          <w:rFonts w:ascii="Arial Narrow" w:hAnsi="Arial Narrow" w:cs="Times New Roman"/>
          <w:sz w:val="22"/>
          <w:szCs w:val="22"/>
        </w:rPr>
        <w:t xml:space="preserve"> a </w:t>
      </w:r>
      <w:r>
        <w:rPr>
          <w:rFonts w:ascii="Arial Narrow" w:hAnsi="Arial Narrow" w:cs="Times New Roman"/>
          <w:b/>
          <w:sz w:val="22"/>
          <w:szCs w:val="22"/>
        </w:rPr>
        <w:t>celkové výdavky v sume 3 459 747 tis. eur.</w:t>
      </w:r>
      <w:r>
        <w:rPr>
          <w:rFonts w:ascii="Arial Narrow" w:hAnsi="Arial Narrow" w:cs="Times New Roman"/>
          <w:sz w:val="22"/>
          <w:szCs w:val="22"/>
        </w:rPr>
        <w:t xml:space="preserve"> Uvedené údaje sú odhadom Ministerstva financií SR vzhľadom na to, že </w:t>
      </w:r>
      <w:r>
        <w:rPr>
          <w:rFonts w:ascii="Arial Narrow" w:hAnsi="Arial Narrow" w:cs="Times New Roman"/>
          <w:b/>
          <w:sz w:val="22"/>
          <w:szCs w:val="22"/>
        </w:rPr>
        <w:t>financovanie samosprávnych kompetencií je v plnej pôsobnosti obcí</w:t>
      </w:r>
      <w:r>
        <w:rPr>
          <w:rFonts w:ascii="Arial Narrow" w:hAnsi="Arial Narrow" w:cs="Times New Roman"/>
          <w:sz w:val="22"/>
          <w:szCs w:val="22"/>
        </w:rPr>
        <w:t>, ktorých zastupiteľstvá rozhodujú o rozdelení a použití finančných prostriedkov podľa jednotlivých úsekov v rámci schválených rozpočtov. Obce takto samostatne rozhodujú o 72,3  % svojich príjmov.</w:t>
      </w:r>
    </w:p>
    <w:p w:rsidR="00C52DD5" w:rsidP="00C52DD5">
      <w:pPr>
        <w:ind w:firstLine="708"/>
        <w:jc w:val="both"/>
        <w:rPr>
          <w:rFonts w:ascii="Arial Narrow" w:hAnsi="Arial Narrow" w:cs="Times New Roman"/>
          <w:b/>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b/>
          <w:sz w:val="22"/>
          <w:szCs w:val="22"/>
        </w:rPr>
        <w:t>Daňové príjmy</w:t>
      </w:r>
      <w:r>
        <w:rPr>
          <w:rFonts w:ascii="Arial Narrow" w:hAnsi="Arial Narrow" w:cs="Times New Roman"/>
          <w:sz w:val="22"/>
          <w:szCs w:val="22"/>
        </w:rPr>
        <w:t xml:space="preserve"> sa očakávajú </w:t>
      </w:r>
      <w:r>
        <w:rPr>
          <w:rFonts w:ascii="Arial Narrow" w:hAnsi="Arial Narrow" w:cs="Times New Roman"/>
          <w:b/>
          <w:sz w:val="22"/>
          <w:szCs w:val="22"/>
        </w:rPr>
        <w:t>v sume 1 814 013 tis. eur,</w:t>
      </w:r>
      <w:r>
        <w:rPr>
          <w:rFonts w:ascii="Arial Narrow" w:hAnsi="Arial Narrow" w:cs="Times New Roman"/>
          <w:sz w:val="22"/>
          <w:szCs w:val="22"/>
        </w:rPr>
        <w:t xml:space="preserve"> ktoré obce získajú z výnosu dane z príjmov platenej fyzickými osobami, z výnosu dane z nehnuteľností, z výnosu daní za špecifické služby (miestne dane a poplatok za komunálne odpady), z výnosu dane z úhrad za dobývací priestor a zo sankcií uložených   v daňovom konaní.  Z výnosov týchto daní bude zabezpečované financovanie samosprávnych pôsobností obcí vrátane samosprávnych pôsobností presunutých z orgánov štátnej správy na obce v rámci decentralizácie verejnej správy. Predpoklad vývoja jednotlivých druhov daňových príjmov v rokoch 2009 až 2011 do rozpočtov obcí  je nasledovný:</w:t>
      </w:r>
    </w:p>
    <w:p w:rsidR="00C52DD5" w:rsidP="00C52DD5">
      <w:pPr>
        <w:jc w:val="both"/>
        <w:rPr>
          <w:rFonts w:ascii="Arial Narrow" w:hAnsi="Arial Narrow" w:cs="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Grid>
        <w:gridCol w:w="2851"/>
        <w:gridCol w:w="1673"/>
        <w:gridCol w:w="1440"/>
        <w:gridCol w:w="1440"/>
        <w:gridCol w:w="1440"/>
      </w:tblGrid>
      <w:tr>
        <w:tblPrEx>
          <w:tblW w:w="0" w:type="auto"/>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Height w:val="285"/>
          <w:tblHeader/>
          <w:jc w:val="center"/>
        </w:trPr>
        <w:tc>
          <w:tcPr>
            <w:tcW w:w="0" w:type="auto"/>
            <w:vMerge w:val="restart"/>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RPr="000663D7" w:rsidP="00C52DD5">
            <w:pPr>
              <w:jc w:val="both"/>
              <w:rPr>
                <w:rFonts w:ascii="Arial Narrow" w:hAnsi="Arial Narrow" w:cs="Times New Roman"/>
                <w:b/>
                <w:sz w:val="20"/>
                <w:szCs w:val="22"/>
              </w:rPr>
            </w:pPr>
            <w:r w:rsidRPr="000663D7">
              <w:rPr>
                <w:rFonts w:ascii="Arial Narrow" w:hAnsi="Arial Narrow" w:cs="Times New Roman"/>
                <w:b/>
                <w:sz w:val="20"/>
                <w:szCs w:val="22"/>
              </w:rPr>
              <w:t>(v</w:t>
            </w:r>
            <w:r w:rsidRPr="000663D7">
              <w:rPr>
                <w:rFonts w:ascii="Arial Narrow" w:hAnsi="Arial Narrow" w:cs="Times New Roman"/>
                <w:b/>
                <w:sz w:val="20"/>
                <w:szCs w:val="22"/>
              </w:rPr>
              <w:t xml:space="preserve"> tis. eur)</w:t>
            </w:r>
          </w:p>
        </w:tc>
        <w:tc>
          <w:tcPr>
            <w:tcW w:w="1673" w:type="dxa"/>
            <w:vMerge w:val="restart"/>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2008</w:t>
            </w:r>
          </w:p>
          <w:p w:rsidR="00C52DD5" w:rsidP="00C52DD5">
            <w:pPr>
              <w:jc w:val="center"/>
              <w:rPr>
                <w:rFonts w:ascii="Arial Narrow" w:hAnsi="Arial Narrow" w:cs="Times New Roman"/>
                <w:b/>
                <w:sz w:val="20"/>
                <w:szCs w:val="22"/>
              </w:rPr>
            </w:pPr>
            <w:r>
              <w:rPr>
                <w:rFonts w:ascii="Arial Narrow" w:hAnsi="Arial Narrow" w:cs="Times New Roman"/>
                <w:b/>
                <w:sz w:val="20"/>
                <w:szCs w:val="22"/>
              </w:rPr>
              <w:t>rozpočet</w:t>
            </w:r>
          </w:p>
        </w:tc>
        <w:tc>
          <w:tcPr>
            <w:tcW w:w="4320" w:type="dxa"/>
            <w:gridSpan w:val="3"/>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Predpoklad</w:t>
            </w:r>
          </w:p>
        </w:tc>
      </w:tr>
      <w:tr>
        <w:tblPrEx>
          <w:tblW w:w="0" w:type="auto"/>
          <w:jc w:val="center"/>
        </w:tblPrEx>
        <w:trPr>
          <w:cantSplit/>
          <w:trHeight w:val="285"/>
          <w:jc w:val="center"/>
        </w:trPr>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rPr>
                <w:rFonts w:ascii="Arial Narrow" w:hAnsi="Arial Narrow" w:cs="Times New Roman"/>
                <w:sz w:val="20"/>
                <w:szCs w:val="22"/>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rPr>
                <w:rFonts w:ascii="Arial Narrow" w:hAnsi="Arial Narrow" w:cs="Times New Roman"/>
                <w:b/>
                <w:sz w:val="20"/>
                <w:szCs w:val="22"/>
              </w:rPr>
            </w:pP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2009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2010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2011</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both"/>
              <w:rPr>
                <w:rFonts w:ascii="Arial Narrow" w:hAnsi="Arial Narrow" w:cs="Times New Roman"/>
                <w:b/>
                <w:sz w:val="20"/>
                <w:szCs w:val="22"/>
              </w:rPr>
            </w:pPr>
            <w:r>
              <w:rPr>
                <w:rFonts w:ascii="Arial Narrow" w:hAnsi="Arial Narrow" w:cs="Times New Roman"/>
                <w:b/>
                <w:sz w:val="20"/>
                <w:szCs w:val="22"/>
              </w:rPr>
              <w:t>Daňové príjmy spolu</w:t>
            </w: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sz w:val="20"/>
                <w:szCs w:val="22"/>
              </w:rPr>
            </w:pPr>
            <w:r>
              <w:rPr>
                <w:rFonts w:ascii="Arial Narrow" w:hAnsi="Arial Narrow" w:cs="Times New Roman"/>
                <w:b/>
                <w:sz w:val="20"/>
                <w:szCs w:val="22"/>
              </w:rPr>
              <w:t>1 548 231</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sz w:val="20"/>
                <w:szCs w:val="22"/>
              </w:rPr>
            </w:pPr>
            <w:r>
              <w:rPr>
                <w:rFonts w:ascii="Arial Narrow" w:hAnsi="Arial Narrow" w:cs="Times New Roman"/>
                <w:b/>
                <w:sz w:val="20"/>
                <w:szCs w:val="22"/>
              </w:rPr>
              <w:t>1 814 013</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sz w:val="20"/>
                <w:szCs w:val="22"/>
              </w:rPr>
            </w:pPr>
            <w:r>
              <w:rPr>
                <w:rFonts w:ascii="Arial Narrow" w:hAnsi="Arial Narrow" w:cs="Times New Roman"/>
                <w:b/>
                <w:sz w:val="20"/>
                <w:szCs w:val="22"/>
              </w:rPr>
              <w:t>1 945 837</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sz w:val="20"/>
                <w:szCs w:val="22"/>
              </w:rPr>
            </w:pPr>
            <w:r>
              <w:rPr>
                <w:rFonts w:ascii="Arial Narrow" w:hAnsi="Arial Narrow" w:cs="Times New Roman"/>
                <w:b/>
                <w:sz w:val="20"/>
                <w:szCs w:val="22"/>
              </w:rPr>
              <w:t>2 117 224</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z toho: daň z príjmov fyzických osôb</w:t>
            </w:r>
          </w:p>
        </w:tc>
        <w:tc>
          <w:tcPr>
            <w:tcW w:w="16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1 178 517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1 427 041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1 551 583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1 715 657</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 xml:space="preserve">            daň z nehnuteľností</w:t>
            </w:r>
          </w:p>
        </w:tc>
        <w:tc>
          <w:tcPr>
            <w:tcW w:w="16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234 017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236 673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241 419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246 26</w:t>
            </w:r>
            <w:r>
              <w:rPr>
                <w:rFonts w:ascii="Arial Narrow" w:hAnsi="Arial Narrow" w:cs="Times New Roman"/>
                <w:sz w:val="20"/>
                <w:szCs w:val="22"/>
              </w:rPr>
              <w:t>6</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 xml:space="preserve">            daň za špecifické služby</w:t>
            </w:r>
          </w:p>
        </w:tc>
        <w:tc>
          <w:tcPr>
            <w:tcW w:w="16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135 266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145 323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147 813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150 302</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 xml:space="preserve">            daň za dobývací priestor</w:t>
            </w:r>
          </w:p>
        </w:tc>
        <w:tc>
          <w:tcPr>
            <w:tcW w:w="16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xml:space="preserve">431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425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xml:space="preserve">425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xml:space="preserve">425 </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 xml:space="preserve">            sankcie</w:t>
            </w:r>
          </w:p>
        </w:tc>
        <w:tc>
          <w:tcPr>
            <w:tcW w:w="16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4 551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4 597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4 574</w:t>
            </w:r>
          </w:p>
        </w:tc>
      </w:tr>
    </w:tbl>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V rámci </w:t>
      </w:r>
      <w:r>
        <w:rPr>
          <w:rFonts w:ascii="Arial Narrow" w:hAnsi="Arial Narrow" w:cs="Times New Roman"/>
          <w:b/>
          <w:sz w:val="22"/>
          <w:szCs w:val="22"/>
        </w:rPr>
        <w:t>nedaňových  príjmov</w:t>
      </w:r>
      <w:r>
        <w:rPr>
          <w:rFonts w:ascii="Arial Narrow" w:hAnsi="Arial Narrow" w:cs="Times New Roman"/>
          <w:sz w:val="22"/>
          <w:szCs w:val="22"/>
        </w:rPr>
        <w:t xml:space="preserve"> sa uvažuje, že obce dosiahnu </w:t>
      </w:r>
      <w:r>
        <w:rPr>
          <w:rFonts w:ascii="Arial Narrow" w:hAnsi="Arial Narrow" w:cs="Times New Roman"/>
          <w:b/>
          <w:sz w:val="22"/>
          <w:szCs w:val="22"/>
        </w:rPr>
        <w:t>sumu 494 589 tis. eur.</w:t>
      </w:r>
      <w:r>
        <w:rPr>
          <w:rFonts w:ascii="Arial Narrow" w:hAnsi="Arial Narrow" w:cs="Times New Roman"/>
          <w:sz w:val="22"/>
          <w:szCs w:val="22"/>
        </w:rPr>
        <w:t xml:space="preserve"> Ide najmä o príjmy z podnikania a z vlastníctva majetku v sume 147 713 tis. eur, a to z nájomného z prenajatých pozemkov, budov, strojov a zariadení, čiastku 136 095 tis. eur  z administratívnych a iných poplatkov a platieb (správne poplatky, za ubytovacie a stravovacie služby, zo vstupného, za relácie v miestnom rozhlase a pod.) a z iných nedaňových príjmov v sume 36 513 tis. eur.  Predpokladá sa, že kapitálové príjmy dosiahnu výšku 165 970 tis. eur, a to najmä z predaja budov, bytov a z predaja pozemkov. Z úrokov z domácich úverov, pôžičiek a vkladov sa očakáva získať 8 298 tis. eur.</w:t>
      </w:r>
    </w:p>
    <w:p w:rsidR="00C52DD5" w:rsidP="00C52DD5">
      <w:pPr>
        <w:ind w:firstLine="708"/>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b/>
          <w:sz w:val="22"/>
          <w:szCs w:val="22"/>
        </w:rPr>
        <w:t>Granty a transfery</w:t>
      </w:r>
      <w:r>
        <w:rPr>
          <w:rFonts w:ascii="Arial Narrow" w:hAnsi="Arial Narrow" w:cs="Times New Roman"/>
          <w:sz w:val="22"/>
          <w:szCs w:val="22"/>
        </w:rPr>
        <w:t xml:space="preserve"> zo štátneho rozpočtu, zo štátnych fondov, z rozpočtov iných obcí na činnosť spoločných úradov obcí a z rozpočtov VÚC na riešenie spoločných úloh sa očakávajú  </w:t>
      </w:r>
      <w:r>
        <w:rPr>
          <w:rFonts w:ascii="Arial Narrow" w:hAnsi="Arial Narrow" w:cs="Times New Roman"/>
          <w:b/>
          <w:sz w:val="22"/>
          <w:szCs w:val="22"/>
        </w:rPr>
        <w:t>v</w:t>
      </w:r>
      <w:r>
        <w:rPr>
          <w:rFonts w:ascii="Arial Narrow" w:hAnsi="Arial Narrow" w:cs="Times New Roman"/>
          <w:b/>
          <w:sz w:val="22"/>
          <w:szCs w:val="22"/>
        </w:rPr>
        <w:t xml:space="preserve"> objeme 1 001 772 tis. eur, </w:t>
      </w:r>
      <w:r>
        <w:rPr>
          <w:rFonts w:ascii="Arial Narrow" w:hAnsi="Arial Narrow" w:cs="Times New Roman"/>
          <w:sz w:val="22"/>
          <w:szCs w:val="22"/>
        </w:rPr>
        <w:t>z toho bežné transfery 752 622 tis. eur a  kapitálové transfery 249 150 tis. eur</w:t>
      </w:r>
      <w:r w:rsidRPr="00924F4F">
        <w:rPr>
          <w:rFonts w:ascii="Arial Narrow" w:hAnsi="Arial Narrow" w:cs="Times New Roman"/>
          <w:sz w:val="22"/>
          <w:szCs w:val="22"/>
        </w:rPr>
        <w:t>. G</w:t>
      </w:r>
      <w:r>
        <w:rPr>
          <w:rFonts w:ascii="Arial Narrow" w:hAnsi="Arial Narrow" w:cs="Times New Roman"/>
          <w:sz w:val="22"/>
          <w:szCs w:val="22"/>
        </w:rPr>
        <w:t>ranty a transfery zo štátneho rozpočtu  do rozpočtov obcí sa očakávajú z týchto kapitol:</w:t>
      </w:r>
    </w:p>
    <w:p w:rsidR="00C52DD5" w:rsidP="00C52DD5">
      <w:pPr>
        <w:ind w:left="720" w:hanging="180"/>
        <w:jc w:val="both"/>
        <w:rPr>
          <w:rFonts w:ascii="Arial Narrow" w:hAnsi="Arial Narrow" w:cs="Times New Roman"/>
          <w:sz w:val="22"/>
          <w:szCs w:val="22"/>
        </w:rPr>
      </w:pPr>
    </w:p>
    <w:p w:rsidR="00C52DD5" w:rsidP="00C52DD5">
      <w:pPr>
        <w:ind w:left="720" w:hanging="180"/>
        <w:jc w:val="both"/>
        <w:rPr>
          <w:rFonts w:ascii="Arial Narrow" w:hAnsi="Arial Narrow" w:cs="Times New Roman"/>
          <w:sz w:val="22"/>
          <w:szCs w:val="22"/>
        </w:rPr>
      </w:pPr>
      <w:r>
        <w:rPr>
          <w:rFonts w:ascii="Arial Narrow" w:hAnsi="Arial Narrow" w:cs="Times New Roman"/>
          <w:sz w:val="22"/>
          <w:szCs w:val="22"/>
        </w:rPr>
        <w:t xml:space="preserve"> - </w:t>
      </w:r>
      <w:r>
        <w:rPr>
          <w:rFonts w:ascii="Arial Narrow" w:hAnsi="Arial Narrow" w:cs="Times New Roman"/>
          <w:sz w:val="22"/>
          <w:szCs w:val="22"/>
          <w:u w:val="single"/>
        </w:rPr>
        <w:t>Ministerstva školstva SR</w:t>
      </w:r>
      <w:r>
        <w:rPr>
          <w:rFonts w:ascii="Arial Narrow" w:hAnsi="Arial Narrow" w:cs="Times New Roman"/>
          <w:sz w:val="22"/>
          <w:szCs w:val="22"/>
        </w:rPr>
        <w:t xml:space="preserve"> – v celkovej sume </w:t>
      </w:r>
      <w:r>
        <w:rPr>
          <w:rFonts w:ascii="Arial Narrow" w:hAnsi="Arial Narrow" w:cs="Times New Roman"/>
          <w:b/>
          <w:sz w:val="22"/>
          <w:szCs w:val="22"/>
        </w:rPr>
        <w:t>614 283 t</w:t>
      </w:r>
      <w:r>
        <w:rPr>
          <w:rFonts w:ascii="Arial Narrow" w:hAnsi="Arial Narrow" w:cs="Times New Roman"/>
          <w:b/>
          <w:sz w:val="22"/>
          <w:szCs w:val="22"/>
        </w:rPr>
        <w:t>is. eur</w:t>
      </w:r>
      <w:r>
        <w:rPr>
          <w:rFonts w:ascii="Arial Narrow" w:hAnsi="Arial Narrow" w:cs="Times New Roman"/>
          <w:sz w:val="22"/>
          <w:szCs w:val="22"/>
        </w:rPr>
        <w:t xml:space="preserve">. Na zabezpečenie </w:t>
      </w:r>
      <w:r>
        <w:rPr>
          <w:rFonts w:ascii="Arial Narrow" w:hAnsi="Arial Narrow" w:cs="Times New Roman"/>
          <w:b/>
          <w:sz w:val="22"/>
          <w:szCs w:val="22"/>
        </w:rPr>
        <w:t>preneseného výkonu   štátnej správy</w:t>
      </w:r>
      <w:r>
        <w:rPr>
          <w:rFonts w:ascii="Arial Narrow" w:hAnsi="Arial Narrow" w:cs="Times New Roman"/>
          <w:sz w:val="22"/>
          <w:szCs w:val="22"/>
        </w:rPr>
        <w:t xml:space="preserve"> na financovanie činností základných škôl a na činnosť spoločných úradovní obcí pre úsek školstva bude smerovať suma </w:t>
      </w:r>
      <w:r w:rsidRPr="001B4B98">
        <w:rPr>
          <w:rFonts w:ascii="Arial Narrow" w:hAnsi="Arial Narrow" w:cs="Times New Roman"/>
          <w:b/>
          <w:sz w:val="22"/>
          <w:szCs w:val="22"/>
        </w:rPr>
        <w:t>602 711</w:t>
      </w:r>
      <w:r>
        <w:rPr>
          <w:rFonts w:ascii="Arial Narrow" w:hAnsi="Arial Narrow" w:cs="Times New Roman"/>
          <w:b/>
          <w:sz w:val="22"/>
          <w:szCs w:val="22"/>
        </w:rPr>
        <w:t xml:space="preserve"> tis. eur </w:t>
      </w:r>
      <w:r>
        <w:rPr>
          <w:rFonts w:ascii="Arial Narrow" w:hAnsi="Arial Narrow" w:cs="Times New Roman"/>
          <w:sz w:val="22"/>
          <w:szCs w:val="22"/>
        </w:rPr>
        <w:t>a ostatné finančné prostriedky</w:t>
      </w:r>
      <w:r>
        <w:rPr>
          <w:rFonts w:ascii="Arial Narrow" w:hAnsi="Arial Narrow" w:cs="Times New Roman"/>
          <w:b/>
          <w:sz w:val="22"/>
          <w:szCs w:val="22"/>
        </w:rPr>
        <w:t xml:space="preserve"> </w:t>
      </w:r>
      <w:r w:rsidRPr="002B5C85">
        <w:rPr>
          <w:rFonts w:ascii="Arial Narrow" w:hAnsi="Arial Narrow" w:cs="Times New Roman"/>
          <w:sz w:val="22"/>
          <w:szCs w:val="22"/>
        </w:rPr>
        <w:t>v</w:t>
      </w:r>
      <w:r>
        <w:rPr>
          <w:rFonts w:ascii="Arial Narrow" w:hAnsi="Arial Narrow" w:cs="Times New Roman"/>
          <w:sz w:val="22"/>
          <w:szCs w:val="22"/>
        </w:rPr>
        <w:t> </w:t>
      </w:r>
      <w:r w:rsidRPr="002B5C85">
        <w:rPr>
          <w:rFonts w:ascii="Arial Narrow" w:hAnsi="Arial Narrow" w:cs="Times New Roman"/>
          <w:sz w:val="22"/>
          <w:szCs w:val="22"/>
        </w:rPr>
        <w:t>sume</w:t>
      </w:r>
      <w:r>
        <w:rPr>
          <w:rFonts w:ascii="Arial Narrow" w:hAnsi="Arial Narrow" w:cs="Times New Roman"/>
          <w:sz w:val="22"/>
          <w:szCs w:val="22"/>
        </w:rPr>
        <w:t xml:space="preserve"> 11 572 tis. eur</w:t>
      </w:r>
      <w:r>
        <w:rPr>
          <w:rFonts w:ascii="Arial Narrow" w:hAnsi="Arial Narrow" w:cs="Times New Roman"/>
          <w:b/>
          <w:sz w:val="22"/>
          <w:szCs w:val="22"/>
        </w:rPr>
        <w:t xml:space="preserve"> </w:t>
      </w:r>
      <w:r w:rsidRPr="002B5C85">
        <w:rPr>
          <w:rFonts w:ascii="Arial Narrow" w:hAnsi="Arial Narrow" w:cs="Times New Roman"/>
          <w:sz w:val="22"/>
          <w:szCs w:val="22"/>
        </w:rPr>
        <w:t>budú</w:t>
      </w:r>
      <w:r>
        <w:rPr>
          <w:rFonts w:ascii="Arial Narrow" w:hAnsi="Arial Narrow" w:cs="Times New Roman"/>
          <w:sz w:val="22"/>
          <w:szCs w:val="22"/>
        </w:rPr>
        <w:t xml:space="preserve"> smerované na realizáciu aktivít kapitálového charakteru a na ďalšie vzdelávanie.</w:t>
      </w:r>
    </w:p>
    <w:p w:rsidR="00C52DD5" w:rsidP="00C52DD5">
      <w:pPr>
        <w:jc w:val="both"/>
        <w:rPr>
          <w:rFonts w:ascii="Arial Narrow" w:hAnsi="Arial Narrow" w:cs="Times New Roman"/>
          <w:sz w:val="22"/>
          <w:szCs w:val="22"/>
        </w:rPr>
      </w:pPr>
    </w:p>
    <w:p w:rsidR="00C52DD5" w:rsidP="00C52DD5">
      <w:pPr>
        <w:numPr>
          <w:ilvl w:val="0"/>
          <w:numId w:val="182"/>
        </w:numPr>
        <w:tabs>
          <w:tab w:val="left" w:pos="720"/>
          <w:tab w:val="left" w:pos="900"/>
        </w:tabs>
        <w:ind w:left="720" w:hanging="180"/>
        <w:jc w:val="both"/>
        <w:rPr>
          <w:rFonts w:ascii="Arial Narrow" w:hAnsi="Arial Narrow" w:cs="Times New Roman"/>
          <w:sz w:val="22"/>
          <w:szCs w:val="22"/>
        </w:rPr>
      </w:pPr>
      <w:r>
        <w:rPr>
          <w:rFonts w:ascii="Arial Narrow" w:hAnsi="Arial Narrow" w:cs="Times New Roman"/>
          <w:sz w:val="22"/>
          <w:szCs w:val="22"/>
          <w:u w:val="single"/>
        </w:rPr>
        <w:t>Ministerstva vnútra SR</w:t>
      </w:r>
      <w:r>
        <w:rPr>
          <w:rFonts w:ascii="Arial Narrow" w:hAnsi="Arial Narrow" w:cs="Times New Roman"/>
          <w:sz w:val="22"/>
          <w:szCs w:val="22"/>
        </w:rPr>
        <w:t xml:space="preserve"> – v sume </w:t>
      </w:r>
      <w:r>
        <w:rPr>
          <w:rFonts w:ascii="Arial Narrow" w:hAnsi="Arial Narrow" w:cs="Times New Roman"/>
          <w:b/>
          <w:sz w:val="22"/>
          <w:szCs w:val="22"/>
        </w:rPr>
        <w:t>18 516 tis. eur</w:t>
      </w:r>
      <w:r>
        <w:rPr>
          <w:rFonts w:ascii="Arial Narrow" w:hAnsi="Arial Narrow" w:cs="Times New Roman"/>
          <w:sz w:val="22"/>
          <w:szCs w:val="22"/>
        </w:rPr>
        <w:t xml:space="preserve">.  Na </w:t>
      </w:r>
      <w:r>
        <w:rPr>
          <w:rFonts w:ascii="Arial Narrow" w:hAnsi="Arial Narrow" w:cs="Times New Roman"/>
          <w:b/>
          <w:sz w:val="22"/>
          <w:szCs w:val="22"/>
        </w:rPr>
        <w:t>prenesený výkon štátnej správy</w:t>
      </w:r>
      <w:r>
        <w:rPr>
          <w:rFonts w:ascii="Arial Narrow" w:hAnsi="Arial Narrow" w:cs="Times New Roman"/>
          <w:sz w:val="22"/>
          <w:szCs w:val="22"/>
        </w:rPr>
        <w:t xml:space="preserve"> sú určené finančné prostriedky v celkovej sume </w:t>
      </w:r>
      <w:r>
        <w:rPr>
          <w:rFonts w:ascii="Arial Narrow" w:hAnsi="Arial Narrow" w:cs="Times New Roman"/>
          <w:b/>
          <w:sz w:val="22"/>
          <w:szCs w:val="22"/>
        </w:rPr>
        <w:t>7 352 tis. eur</w:t>
      </w:r>
      <w:r>
        <w:rPr>
          <w:rFonts w:ascii="Arial Narrow" w:hAnsi="Arial Narrow" w:cs="Times New Roman"/>
          <w:sz w:val="22"/>
          <w:szCs w:val="22"/>
        </w:rPr>
        <w:t xml:space="preserve">, z toho na činnosť matričných úradov v sume 5 559 tis. eur a na hlásenie a evidenciu občanov a register občanov podľa zákona č. 153/1998 Z. z. 1 793 tis. eur. Z ostatných finančných prostriedkov poskytnutých obciam (11 164 tis. eur) </w:t>
      </w:r>
      <w:r>
        <w:rPr>
          <w:rFonts w:ascii="Arial Narrow" w:hAnsi="Arial Narrow" w:cs="Arial Narrow"/>
          <w:color w:val="000000"/>
          <w:sz w:val="22"/>
          <w:szCs w:val="22"/>
        </w:rPr>
        <w:t>budú financované doplňujúce voľby do orgánov samosprávy obcí, do orgánov samosprávnych krajov, prezidentské voľby a voľby do Európskeho parlamentu, azylová politika a vojnové hroby.</w:t>
      </w:r>
    </w:p>
    <w:p w:rsidR="00C52DD5" w:rsidP="00C52DD5">
      <w:pPr>
        <w:jc w:val="both"/>
        <w:rPr>
          <w:rFonts w:ascii="Arial Narrow" w:hAnsi="Arial Narrow" w:cs="Times New Roman"/>
          <w:sz w:val="22"/>
          <w:szCs w:val="22"/>
        </w:rPr>
      </w:pPr>
    </w:p>
    <w:p w:rsidR="00C52DD5" w:rsidP="00C52DD5">
      <w:pPr>
        <w:numPr>
          <w:ilvl w:val="0"/>
          <w:numId w:val="182"/>
        </w:numPr>
        <w:tabs>
          <w:tab w:val="left" w:pos="720"/>
          <w:tab w:val="left" w:pos="900"/>
        </w:tabs>
        <w:ind w:left="720" w:hanging="180"/>
        <w:jc w:val="both"/>
        <w:rPr>
          <w:rFonts w:ascii="Arial Narrow" w:hAnsi="Arial Narrow" w:cs="Times New Roman"/>
          <w:sz w:val="22"/>
          <w:szCs w:val="22"/>
        </w:rPr>
      </w:pPr>
      <w:r>
        <w:rPr>
          <w:rFonts w:ascii="Arial Narrow" w:hAnsi="Arial Narrow" w:cs="Times New Roman"/>
          <w:sz w:val="22"/>
          <w:szCs w:val="22"/>
          <w:u w:val="single"/>
        </w:rPr>
        <w:t>Ministerstva dopravy, pôšt a telekomunikácií SR –</w:t>
      </w:r>
      <w:r>
        <w:rPr>
          <w:rFonts w:ascii="Arial Narrow" w:hAnsi="Arial Narrow" w:cs="Times New Roman"/>
          <w:sz w:val="22"/>
          <w:szCs w:val="22"/>
        </w:rPr>
        <w:t xml:space="preserve"> suma </w:t>
      </w:r>
      <w:r>
        <w:rPr>
          <w:rFonts w:ascii="Arial Narrow" w:hAnsi="Arial Narrow" w:cs="Times New Roman"/>
          <w:b/>
          <w:sz w:val="22"/>
          <w:szCs w:val="22"/>
        </w:rPr>
        <w:t>269</w:t>
      </w:r>
      <w:r>
        <w:rPr>
          <w:rFonts w:ascii="Arial Narrow" w:hAnsi="Arial Narrow" w:cs="Times New Roman"/>
          <w:sz w:val="22"/>
          <w:szCs w:val="22"/>
        </w:rPr>
        <w:t xml:space="preserve"> </w:t>
      </w:r>
      <w:r>
        <w:rPr>
          <w:rFonts w:ascii="Arial Narrow" w:hAnsi="Arial Narrow" w:cs="Times New Roman"/>
          <w:b/>
          <w:sz w:val="22"/>
          <w:szCs w:val="22"/>
        </w:rPr>
        <w:t>tis. eur</w:t>
      </w:r>
      <w:r>
        <w:rPr>
          <w:rFonts w:ascii="Arial Narrow" w:hAnsi="Arial Narrow" w:cs="Times New Roman"/>
          <w:sz w:val="22"/>
          <w:szCs w:val="22"/>
        </w:rPr>
        <w:t xml:space="preserve"> je určená obciam na financovanie </w:t>
      </w:r>
      <w:r>
        <w:rPr>
          <w:rFonts w:ascii="Arial Narrow" w:hAnsi="Arial Narrow" w:cs="Times New Roman"/>
          <w:b/>
          <w:sz w:val="22"/>
          <w:szCs w:val="22"/>
        </w:rPr>
        <w:t>preneseného výkonu štátnej</w:t>
      </w:r>
      <w:r>
        <w:rPr>
          <w:rFonts w:ascii="Arial Narrow" w:hAnsi="Arial Narrow" w:cs="Times New Roman"/>
          <w:b/>
          <w:sz w:val="22"/>
          <w:szCs w:val="22"/>
        </w:rPr>
        <w:t xml:space="preserve"> správy</w:t>
      </w:r>
      <w:r>
        <w:rPr>
          <w:rFonts w:ascii="Arial Narrow" w:hAnsi="Arial Narrow" w:cs="Times New Roman"/>
          <w:sz w:val="22"/>
          <w:szCs w:val="22"/>
        </w:rPr>
        <w:t xml:space="preserve"> v oblasti pozemných komunikácií – špeciálnych stavebných úradov.</w:t>
      </w:r>
    </w:p>
    <w:p w:rsidR="00C52DD5" w:rsidP="00C52DD5">
      <w:pPr>
        <w:tabs>
          <w:tab w:val="left" w:pos="900"/>
        </w:tabs>
        <w:jc w:val="both"/>
        <w:rPr>
          <w:rFonts w:ascii="Arial Narrow" w:hAnsi="Arial Narrow" w:cs="Times New Roman"/>
          <w:sz w:val="22"/>
          <w:szCs w:val="22"/>
        </w:rPr>
      </w:pPr>
      <w:r>
        <w:rPr>
          <w:rFonts w:ascii="Arial Narrow" w:hAnsi="Arial Narrow" w:cs="Times New Roman"/>
          <w:sz w:val="22"/>
          <w:szCs w:val="22"/>
        </w:rPr>
        <w:t xml:space="preserve">   </w:t>
      </w:r>
    </w:p>
    <w:p w:rsidR="00C52DD5" w:rsidP="00C52DD5">
      <w:pPr>
        <w:ind w:left="720" w:hanging="135"/>
        <w:jc w:val="both"/>
        <w:rPr>
          <w:rFonts w:ascii="Arial Narrow" w:hAnsi="Arial Narrow" w:cs="Times New Roman"/>
          <w:sz w:val="22"/>
          <w:szCs w:val="22"/>
        </w:rPr>
      </w:pPr>
      <w:r>
        <w:rPr>
          <w:rFonts w:ascii="Arial Narrow" w:hAnsi="Arial Narrow" w:cs="Times New Roman"/>
          <w:sz w:val="22"/>
          <w:szCs w:val="22"/>
        </w:rPr>
        <w:t xml:space="preserve">- </w:t>
      </w:r>
      <w:r>
        <w:rPr>
          <w:rFonts w:ascii="Arial Narrow" w:hAnsi="Arial Narrow" w:cs="Times New Roman"/>
          <w:sz w:val="22"/>
          <w:szCs w:val="22"/>
          <w:u w:val="single"/>
        </w:rPr>
        <w:t>Ministerstva výstavby a regionálneho rozvoja SR</w:t>
      </w:r>
      <w:r>
        <w:rPr>
          <w:rFonts w:ascii="Arial Narrow" w:hAnsi="Arial Narrow" w:cs="Times New Roman"/>
          <w:sz w:val="22"/>
          <w:szCs w:val="22"/>
        </w:rPr>
        <w:t xml:space="preserve"> –  celková  suma  </w:t>
      </w:r>
      <w:r>
        <w:rPr>
          <w:rFonts w:ascii="Arial Narrow" w:hAnsi="Arial Narrow" w:cs="Times New Roman"/>
          <w:b/>
          <w:sz w:val="22"/>
          <w:szCs w:val="22"/>
        </w:rPr>
        <w:t> 180 178 tis. eur.</w:t>
      </w:r>
      <w:r>
        <w:rPr>
          <w:rFonts w:ascii="Arial Narrow" w:hAnsi="Arial Narrow" w:cs="Times New Roman"/>
          <w:sz w:val="22"/>
          <w:szCs w:val="22"/>
        </w:rPr>
        <w:t xml:space="preserve">   Na  financovanie   </w:t>
      </w:r>
      <w:r>
        <w:rPr>
          <w:rFonts w:ascii="Arial Narrow" w:hAnsi="Arial Narrow" w:cs="Times New Roman"/>
          <w:b/>
          <w:sz w:val="22"/>
          <w:szCs w:val="22"/>
        </w:rPr>
        <w:t xml:space="preserve">preneseného  výkonu   štátnej   správy </w:t>
      </w:r>
      <w:r>
        <w:rPr>
          <w:rFonts w:ascii="Arial Narrow" w:hAnsi="Arial Narrow" w:cs="Times New Roman"/>
          <w:sz w:val="22"/>
          <w:szCs w:val="22"/>
        </w:rPr>
        <w:t xml:space="preserve">je rozpočtovaný bežný  transfer </w:t>
      </w:r>
      <w:r>
        <w:rPr>
          <w:rFonts w:ascii="Arial Narrow" w:hAnsi="Arial Narrow" w:cs="Times New Roman"/>
          <w:sz w:val="22"/>
          <w:szCs w:val="22"/>
        </w:rPr>
        <w:t xml:space="preserve">v sume </w:t>
      </w:r>
      <w:r>
        <w:rPr>
          <w:rFonts w:ascii="Arial Narrow" w:hAnsi="Arial Narrow" w:cs="Times New Roman"/>
          <w:b/>
          <w:sz w:val="22"/>
          <w:szCs w:val="22"/>
        </w:rPr>
        <w:t>5 809</w:t>
      </w:r>
      <w:r>
        <w:rPr>
          <w:rFonts w:ascii="Arial Narrow" w:hAnsi="Arial Narrow" w:cs="Times New Roman"/>
          <w:sz w:val="22"/>
          <w:szCs w:val="22"/>
        </w:rPr>
        <w:t xml:space="preserve"> </w:t>
      </w:r>
      <w:r>
        <w:rPr>
          <w:rFonts w:ascii="Arial Narrow" w:hAnsi="Arial Narrow" w:cs="Times New Roman"/>
          <w:b/>
          <w:sz w:val="22"/>
          <w:szCs w:val="22"/>
        </w:rPr>
        <w:t>tis. eur</w:t>
      </w:r>
      <w:r>
        <w:rPr>
          <w:rFonts w:ascii="Arial Narrow" w:hAnsi="Arial Narrow" w:cs="Times New Roman"/>
          <w:sz w:val="22"/>
          <w:szCs w:val="22"/>
        </w:rPr>
        <w:t xml:space="preserve"> na zabezpečenie činnosti v oblasti stavebného poriadku a bývania v sume 4 714 tis. eur a na činnosti súvisiace so Štátnym fondom rozvoja bývania v sume 1 095 tis. eur. Ďalšie transfery sa predpokladajú poskytnúť obciam na podporu regionálnych aktivít, riešenie nájomných bytov, na program renovácie a rozvoja obcí a zachovanie kultúrneho dedičstva, na aktivity cezhraničnej spolupráce, na podporu zdravotnej, sociálnej, kultúrnej a inštitucionálnej infraštruktúry, na budovanie a rozvoj informačnej spoločnosti verejnej správy a na podporu spoločných služieb pre podnikateľov.</w:t>
      </w:r>
    </w:p>
    <w:p w:rsidR="00C52DD5" w:rsidP="00C52DD5">
      <w:pPr>
        <w:jc w:val="both"/>
        <w:rPr>
          <w:rFonts w:ascii="Arial Narrow" w:hAnsi="Arial Narrow" w:cs="Times New Roman"/>
          <w:sz w:val="22"/>
          <w:szCs w:val="22"/>
        </w:rPr>
      </w:pPr>
    </w:p>
    <w:p w:rsidR="00C52DD5" w:rsidP="00C52DD5">
      <w:pPr>
        <w:numPr>
          <w:ilvl w:val="0"/>
          <w:numId w:val="183"/>
        </w:numPr>
        <w:tabs>
          <w:tab w:val="left" w:pos="720"/>
          <w:tab w:val="clear" w:pos="900"/>
        </w:tabs>
        <w:ind w:left="720" w:hanging="180"/>
        <w:jc w:val="both"/>
        <w:rPr>
          <w:rFonts w:ascii="Arial Narrow" w:hAnsi="Arial Narrow" w:cs="Times New Roman"/>
          <w:sz w:val="22"/>
          <w:szCs w:val="22"/>
        </w:rPr>
      </w:pPr>
      <w:r>
        <w:rPr>
          <w:rFonts w:ascii="Arial Narrow" w:hAnsi="Arial Narrow" w:cs="Times New Roman"/>
          <w:sz w:val="22"/>
          <w:szCs w:val="22"/>
          <w:u w:val="single"/>
        </w:rPr>
        <w:t>Ministerstva životného prostredia SR</w:t>
      </w:r>
      <w:r>
        <w:rPr>
          <w:rFonts w:ascii="Arial Narrow" w:hAnsi="Arial Narrow" w:cs="Times New Roman"/>
          <w:sz w:val="22"/>
          <w:szCs w:val="22"/>
        </w:rPr>
        <w:t xml:space="preserve"> – celková suma </w:t>
      </w:r>
      <w:r>
        <w:rPr>
          <w:rFonts w:ascii="Arial Narrow" w:hAnsi="Arial Narrow" w:cs="Times New Roman"/>
          <w:b/>
          <w:sz w:val="22"/>
          <w:szCs w:val="22"/>
        </w:rPr>
        <w:t>8 486</w:t>
      </w:r>
      <w:r>
        <w:rPr>
          <w:rFonts w:ascii="Arial Narrow" w:hAnsi="Arial Narrow" w:cs="Times New Roman"/>
          <w:sz w:val="22"/>
          <w:szCs w:val="22"/>
        </w:rPr>
        <w:t xml:space="preserve"> </w:t>
      </w:r>
      <w:r>
        <w:rPr>
          <w:rFonts w:ascii="Arial Narrow" w:hAnsi="Arial Narrow" w:cs="Times New Roman"/>
          <w:b/>
          <w:sz w:val="22"/>
          <w:szCs w:val="22"/>
        </w:rPr>
        <w:t>tis. eur</w:t>
      </w:r>
      <w:r>
        <w:rPr>
          <w:rFonts w:ascii="Arial Narrow" w:hAnsi="Arial Narrow" w:cs="Times New Roman"/>
          <w:sz w:val="22"/>
          <w:szCs w:val="22"/>
        </w:rPr>
        <w:t xml:space="preserve">. Dotácie sú smerované </w:t>
      </w:r>
      <w:r>
        <w:rPr>
          <w:rFonts w:ascii="Arial Narrow" w:hAnsi="Arial Narrow" w:cs="Times New Roman"/>
          <w:b/>
          <w:sz w:val="22"/>
          <w:szCs w:val="22"/>
        </w:rPr>
        <w:t>na prenesený výkon štátnej správy</w:t>
      </w:r>
      <w:r>
        <w:rPr>
          <w:rFonts w:ascii="Arial Narrow" w:hAnsi="Arial Narrow" w:cs="Times New Roman"/>
          <w:sz w:val="22"/>
          <w:szCs w:val="22"/>
        </w:rPr>
        <w:t xml:space="preserve"> na úseku ochrany pred povodňami v sume </w:t>
      </w:r>
      <w:r>
        <w:rPr>
          <w:rFonts w:ascii="Arial Narrow" w:hAnsi="Arial Narrow" w:cs="Times New Roman"/>
          <w:b/>
          <w:sz w:val="22"/>
          <w:szCs w:val="22"/>
        </w:rPr>
        <w:t>783</w:t>
      </w:r>
      <w:r>
        <w:rPr>
          <w:rFonts w:ascii="Arial Narrow" w:hAnsi="Arial Narrow" w:cs="Times New Roman"/>
          <w:sz w:val="22"/>
          <w:szCs w:val="22"/>
        </w:rPr>
        <w:t xml:space="preserve"> </w:t>
      </w:r>
      <w:r>
        <w:rPr>
          <w:rFonts w:ascii="Arial Narrow" w:hAnsi="Arial Narrow" w:cs="Times New Roman"/>
          <w:b/>
          <w:sz w:val="22"/>
          <w:szCs w:val="22"/>
        </w:rPr>
        <w:t>ti</w:t>
      </w:r>
      <w:r>
        <w:rPr>
          <w:rFonts w:ascii="Arial Narrow" w:hAnsi="Arial Narrow" w:cs="Times New Roman"/>
          <w:b/>
          <w:sz w:val="22"/>
          <w:szCs w:val="22"/>
        </w:rPr>
        <w:t>s. eur</w:t>
      </w:r>
      <w:r>
        <w:rPr>
          <w:rFonts w:ascii="Arial Narrow" w:hAnsi="Arial Narrow" w:cs="Times New Roman"/>
          <w:sz w:val="22"/>
          <w:szCs w:val="22"/>
        </w:rPr>
        <w:t>, ostatné dotácie (7 703 tis. eur) na podporu realizácie environmentálnych opatrení na podporu investičných akcií v oblasti odpadového hospodárstva - nakladanie s odpadmi, na sanáciu skládok a podporu separovaného zberu, na ochranu ovzdušia - znižovanie znečisťovania a ochrany životného prostredia.</w:t>
      </w:r>
    </w:p>
    <w:p w:rsidR="00C52DD5" w:rsidP="00C52DD5">
      <w:pPr>
        <w:ind w:left="720" w:hanging="180"/>
        <w:jc w:val="both"/>
        <w:rPr>
          <w:rFonts w:ascii="Arial Narrow" w:hAnsi="Arial Narrow" w:cs="Times New Roman"/>
          <w:sz w:val="22"/>
          <w:szCs w:val="22"/>
        </w:rPr>
      </w:pPr>
    </w:p>
    <w:p w:rsidR="00C52DD5" w:rsidP="00C52DD5">
      <w:pPr>
        <w:numPr>
          <w:ilvl w:val="0"/>
          <w:numId w:val="183"/>
        </w:numPr>
        <w:tabs>
          <w:tab w:val="left" w:pos="720"/>
          <w:tab w:val="left" w:pos="900"/>
        </w:tabs>
        <w:ind w:left="720" w:hanging="180"/>
        <w:jc w:val="both"/>
        <w:rPr>
          <w:rFonts w:ascii="Arial Narrow" w:hAnsi="Arial Narrow" w:cs="Times New Roman"/>
          <w:sz w:val="22"/>
          <w:szCs w:val="22"/>
        </w:rPr>
      </w:pPr>
      <w:r>
        <w:rPr>
          <w:rFonts w:ascii="Arial Narrow" w:hAnsi="Arial Narrow" w:cs="Times New Roman"/>
          <w:sz w:val="22"/>
          <w:szCs w:val="22"/>
          <w:u w:val="single"/>
        </w:rPr>
        <w:t>Ministerstva hospodárstva SR</w:t>
      </w:r>
      <w:r>
        <w:rPr>
          <w:rFonts w:ascii="Arial Narrow" w:hAnsi="Arial Narrow" w:cs="Times New Roman"/>
          <w:sz w:val="22"/>
          <w:szCs w:val="22"/>
        </w:rPr>
        <w:t xml:space="preserve"> – do rozpočtov obcí budú smerovať finančné prostriedky v sume </w:t>
      </w:r>
      <w:r>
        <w:rPr>
          <w:rFonts w:ascii="Arial Narrow" w:hAnsi="Arial Narrow" w:cs="Times New Roman"/>
          <w:b/>
          <w:sz w:val="22"/>
          <w:szCs w:val="22"/>
        </w:rPr>
        <w:t xml:space="preserve">32 189 tis. eur. </w:t>
      </w:r>
      <w:r>
        <w:rPr>
          <w:rFonts w:ascii="Arial Narrow" w:hAnsi="Arial Narrow" w:cs="Times New Roman"/>
          <w:sz w:val="22"/>
          <w:szCs w:val="22"/>
        </w:rPr>
        <w:t xml:space="preserve">Ide o finančné prostriedky na realizáciu investičných akcií - podporu, budovanie a rekonštrukciu </w:t>
      </w:r>
      <w:r>
        <w:rPr>
          <w:rFonts w:ascii="Arial Narrow" w:hAnsi="Arial Narrow" w:cs="Times New Roman"/>
          <w:sz w:val="22"/>
          <w:szCs w:val="22"/>
        </w:rPr>
        <w:t>infraštruktúry.</w:t>
      </w:r>
    </w:p>
    <w:p w:rsidR="00C52DD5" w:rsidP="00C52DD5">
      <w:pPr>
        <w:jc w:val="both"/>
        <w:rPr>
          <w:rFonts w:ascii="Arial Narrow" w:hAnsi="Arial Narrow" w:cs="Times New Roman"/>
          <w:sz w:val="22"/>
          <w:szCs w:val="22"/>
        </w:rPr>
      </w:pPr>
      <w:r>
        <w:rPr>
          <w:rFonts w:ascii="Arial Narrow" w:hAnsi="Arial Narrow" w:cs="Times New Roman"/>
          <w:sz w:val="22"/>
          <w:szCs w:val="22"/>
        </w:rPr>
        <w:t xml:space="preserve"> </w:t>
      </w:r>
    </w:p>
    <w:p w:rsidR="00C52DD5" w:rsidP="00C52DD5">
      <w:pPr>
        <w:numPr>
          <w:ilvl w:val="0"/>
          <w:numId w:val="183"/>
        </w:numPr>
        <w:tabs>
          <w:tab w:val="left" w:pos="720"/>
          <w:tab w:val="clear" w:pos="900"/>
        </w:tabs>
        <w:ind w:left="720" w:hanging="180"/>
        <w:jc w:val="both"/>
        <w:rPr>
          <w:rFonts w:ascii="Arial Narrow" w:hAnsi="Arial Narrow" w:cs="Times New Roman"/>
          <w:sz w:val="22"/>
          <w:szCs w:val="22"/>
        </w:rPr>
      </w:pPr>
      <w:r>
        <w:rPr>
          <w:rFonts w:ascii="Arial Narrow" w:hAnsi="Arial Narrow" w:cs="Times New Roman"/>
          <w:sz w:val="22"/>
          <w:szCs w:val="22"/>
          <w:u w:val="single"/>
        </w:rPr>
        <w:t xml:space="preserve">Ministerstva práce, sociálnych vecí a rodiny SR </w:t>
      </w:r>
      <w:r>
        <w:rPr>
          <w:rFonts w:ascii="Arial Narrow" w:hAnsi="Arial Narrow" w:cs="Times New Roman"/>
          <w:sz w:val="22"/>
          <w:szCs w:val="22"/>
        </w:rPr>
        <w:t xml:space="preserve">- v sume </w:t>
      </w:r>
      <w:r>
        <w:rPr>
          <w:rFonts w:ascii="Arial Narrow" w:hAnsi="Arial Narrow" w:cs="Times New Roman"/>
          <w:b/>
          <w:sz w:val="22"/>
          <w:szCs w:val="22"/>
        </w:rPr>
        <w:t>16 361</w:t>
      </w:r>
      <w:r>
        <w:rPr>
          <w:rFonts w:ascii="Arial Narrow" w:hAnsi="Arial Narrow" w:cs="Times New Roman"/>
          <w:sz w:val="22"/>
          <w:szCs w:val="22"/>
        </w:rPr>
        <w:t xml:space="preserve"> </w:t>
      </w:r>
      <w:r>
        <w:rPr>
          <w:rFonts w:ascii="Arial Narrow" w:hAnsi="Arial Narrow" w:cs="Times New Roman"/>
          <w:b/>
          <w:sz w:val="22"/>
          <w:szCs w:val="22"/>
        </w:rPr>
        <w:t>tis. eur</w:t>
      </w:r>
      <w:r>
        <w:rPr>
          <w:rFonts w:ascii="Arial Narrow" w:hAnsi="Arial Narrow" w:cs="Times New Roman"/>
          <w:sz w:val="22"/>
          <w:szCs w:val="22"/>
        </w:rPr>
        <w:t>, ktoré budú poskytované obciam na zabezpečenie stravy pre deti v hmotnej núdzi, na výkon osobitného príjemcu, na školské potreby a štipendiá  pre deti v hmotnej núdz</w:t>
      </w:r>
      <w:r>
        <w:rPr>
          <w:rFonts w:ascii="Arial Narrow" w:hAnsi="Arial Narrow" w:cs="Times New Roman"/>
          <w:sz w:val="22"/>
          <w:szCs w:val="22"/>
        </w:rPr>
        <w:t>i.</w:t>
      </w:r>
    </w:p>
    <w:p w:rsidR="00C52DD5" w:rsidP="00C52DD5">
      <w:pPr>
        <w:jc w:val="both"/>
        <w:rPr>
          <w:rFonts w:ascii="Arial Narrow" w:hAnsi="Arial Narrow" w:cs="Times New Roman"/>
          <w:sz w:val="22"/>
          <w:szCs w:val="22"/>
        </w:rPr>
      </w:pPr>
    </w:p>
    <w:p w:rsidR="00C52DD5" w:rsidRPr="003A016F" w:rsidP="00C52DD5">
      <w:pPr>
        <w:numPr>
          <w:ilvl w:val="0"/>
          <w:numId w:val="183"/>
        </w:numPr>
        <w:tabs>
          <w:tab w:val="left" w:pos="720"/>
          <w:tab w:val="clear" w:pos="900"/>
        </w:tabs>
        <w:ind w:left="720" w:hanging="180"/>
        <w:jc w:val="both"/>
        <w:rPr>
          <w:rFonts w:ascii="Arial Narrow" w:hAnsi="Arial Narrow" w:cs="Times New Roman"/>
          <w:sz w:val="22"/>
          <w:szCs w:val="22"/>
        </w:rPr>
      </w:pPr>
      <w:r>
        <w:rPr>
          <w:rFonts w:ascii="Arial Narrow" w:hAnsi="Arial Narrow" w:cs="Times New Roman"/>
          <w:sz w:val="22"/>
          <w:szCs w:val="22"/>
          <w:u w:val="single"/>
        </w:rPr>
        <w:t xml:space="preserve">Ministerstva kultúry SR </w:t>
      </w:r>
      <w:r>
        <w:rPr>
          <w:rFonts w:ascii="Arial Narrow" w:hAnsi="Arial Narrow" w:cs="Times New Roman"/>
          <w:sz w:val="22"/>
          <w:szCs w:val="22"/>
        </w:rPr>
        <w:t xml:space="preserve">– v sume </w:t>
      </w:r>
      <w:r w:rsidRPr="003A016F">
        <w:rPr>
          <w:rFonts w:ascii="Arial Narrow" w:hAnsi="Arial Narrow" w:cs="Times New Roman"/>
          <w:b/>
          <w:sz w:val="22"/>
          <w:szCs w:val="22"/>
        </w:rPr>
        <w:t xml:space="preserve">4 919 tis. </w:t>
      </w:r>
      <w:r>
        <w:rPr>
          <w:rFonts w:ascii="Arial Narrow" w:hAnsi="Arial Narrow" w:cs="Times New Roman"/>
          <w:b/>
          <w:sz w:val="22"/>
          <w:szCs w:val="22"/>
        </w:rPr>
        <w:t>e</w:t>
      </w:r>
      <w:r w:rsidRPr="003A016F">
        <w:rPr>
          <w:rFonts w:ascii="Arial Narrow" w:hAnsi="Arial Narrow" w:cs="Times New Roman"/>
          <w:b/>
          <w:sz w:val="22"/>
          <w:szCs w:val="22"/>
        </w:rPr>
        <w:t>ur</w:t>
      </w:r>
      <w:r>
        <w:rPr>
          <w:rFonts w:ascii="Arial Narrow" w:hAnsi="Arial Narrow" w:cs="Times New Roman"/>
          <w:b/>
          <w:sz w:val="22"/>
          <w:szCs w:val="22"/>
        </w:rPr>
        <w:t xml:space="preserve"> </w:t>
      </w:r>
      <w:r w:rsidRPr="003A016F">
        <w:rPr>
          <w:rFonts w:ascii="Arial Narrow" w:hAnsi="Arial Narrow" w:cs="Times New Roman"/>
          <w:sz w:val="22"/>
          <w:szCs w:val="22"/>
        </w:rPr>
        <w:t>na financov</w:t>
      </w:r>
      <w:r>
        <w:rPr>
          <w:rFonts w:ascii="Arial Narrow" w:hAnsi="Arial Narrow" w:cs="Times New Roman"/>
          <w:sz w:val="22"/>
          <w:szCs w:val="22"/>
        </w:rPr>
        <w:t>anie obnovy kultúrnych pamiatok, na podporu kultúrnych a umeleckých aktivít národnostných menšín, podporu návštevnosti kultúrnych podujatí a aktivít prezentujúcich kultúru SR v zahraničí prostr</w:t>
      </w:r>
      <w:r>
        <w:rPr>
          <w:rFonts w:ascii="Arial Narrow" w:hAnsi="Arial Narrow" w:cs="Times New Roman"/>
          <w:sz w:val="22"/>
          <w:szCs w:val="22"/>
        </w:rPr>
        <w:t>edníctvom štátnych a neštátnych subjektov.</w:t>
      </w:r>
    </w:p>
    <w:p w:rsidR="00C52DD5" w:rsidRPr="003A016F" w:rsidP="00C52DD5">
      <w:pPr>
        <w:jc w:val="both"/>
        <w:rPr>
          <w:rFonts w:ascii="Arial Narrow" w:hAnsi="Arial Narrow" w:cs="Times New Roman"/>
          <w:sz w:val="22"/>
          <w:szCs w:val="22"/>
        </w:rPr>
      </w:pPr>
    </w:p>
    <w:p w:rsidR="00C52DD5" w:rsidP="00C52DD5">
      <w:pPr>
        <w:numPr>
          <w:ilvl w:val="0"/>
          <w:numId w:val="183"/>
        </w:numPr>
        <w:tabs>
          <w:tab w:val="left" w:pos="720"/>
          <w:tab w:val="left" w:pos="900"/>
        </w:tabs>
        <w:ind w:left="720" w:hanging="180"/>
        <w:jc w:val="both"/>
        <w:rPr>
          <w:rFonts w:ascii="Arial Narrow" w:hAnsi="Arial Narrow" w:cs="Times New Roman"/>
          <w:sz w:val="22"/>
          <w:szCs w:val="22"/>
        </w:rPr>
      </w:pPr>
      <w:r>
        <w:rPr>
          <w:rFonts w:ascii="Arial Narrow" w:hAnsi="Arial Narrow" w:cs="Times New Roman"/>
          <w:sz w:val="22"/>
          <w:szCs w:val="22"/>
          <w:u w:val="single"/>
        </w:rPr>
        <w:t>Úradu vlády SR</w:t>
      </w:r>
      <w:r>
        <w:rPr>
          <w:rFonts w:ascii="Arial Narrow" w:hAnsi="Arial Narrow" w:cs="Times New Roman"/>
          <w:sz w:val="22"/>
          <w:szCs w:val="22"/>
        </w:rPr>
        <w:t xml:space="preserve"> – do rozpočtov obcí budú smerovať finančné prostriedky v sume </w:t>
      </w:r>
      <w:r>
        <w:rPr>
          <w:rFonts w:ascii="Arial Narrow" w:hAnsi="Arial Narrow" w:cs="Times New Roman"/>
          <w:b/>
          <w:sz w:val="22"/>
          <w:szCs w:val="22"/>
        </w:rPr>
        <w:t>5 720 tis. eur</w:t>
      </w:r>
      <w:r>
        <w:rPr>
          <w:rFonts w:ascii="Arial Narrow" w:hAnsi="Arial Narrow" w:cs="Times New Roman"/>
          <w:sz w:val="22"/>
          <w:szCs w:val="22"/>
        </w:rPr>
        <w:t xml:space="preserve"> na financovanie menšinovej a kultúrnej politiky.</w:t>
      </w:r>
    </w:p>
    <w:p w:rsidR="00C52DD5" w:rsidP="00C52DD5">
      <w:pPr>
        <w:jc w:val="both"/>
        <w:rPr>
          <w:rFonts w:ascii="Arial Narrow" w:hAnsi="Arial Narrow" w:cs="Times New Roman"/>
          <w:sz w:val="22"/>
          <w:szCs w:val="22"/>
        </w:rPr>
      </w:pPr>
    </w:p>
    <w:p w:rsidR="00C52DD5" w:rsidP="00C52DD5">
      <w:pPr>
        <w:numPr>
          <w:ilvl w:val="0"/>
          <w:numId w:val="184"/>
        </w:numPr>
        <w:tabs>
          <w:tab w:val="left" w:pos="720"/>
          <w:tab w:val="left" w:pos="900"/>
        </w:tabs>
        <w:ind w:left="720" w:hanging="180"/>
        <w:jc w:val="both"/>
        <w:rPr>
          <w:rFonts w:ascii="Arial Narrow" w:hAnsi="Arial Narrow" w:cs="Times New Roman"/>
          <w:sz w:val="22"/>
          <w:szCs w:val="22"/>
        </w:rPr>
      </w:pPr>
      <w:r>
        <w:rPr>
          <w:rFonts w:ascii="Arial Narrow" w:hAnsi="Arial Narrow" w:cs="Times New Roman"/>
          <w:sz w:val="22"/>
          <w:szCs w:val="22"/>
          <w:u w:val="single"/>
        </w:rPr>
        <w:t xml:space="preserve">Všeobecnej pokladničnej správy </w:t>
      </w:r>
      <w:r>
        <w:rPr>
          <w:rFonts w:ascii="Arial Narrow" w:hAnsi="Arial Narrow" w:cs="Times New Roman"/>
          <w:sz w:val="22"/>
          <w:szCs w:val="22"/>
        </w:rPr>
        <w:t xml:space="preserve">– v sume </w:t>
      </w:r>
      <w:r>
        <w:rPr>
          <w:rFonts w:ascii="Arial Narrow" w:hAnsi="Arial Narrow" w:cs="Times New Roman"/>
          <w:b/>
          <w:sz w:val="22"/>
          <w:szCs w:val="22"/>
        </w:rPr>
        <w:t>29 325 tis. eur</w:t>
      </w:r>
      <w:r>
        <w:rPr>
          <w:rFonts w:ascii="Arial Narrow" w:hAnsi="Arial Narrow" w:cs="Times New Roman"/>
          <w:sz w:val="22"/>
          <w:szCs w:val="22"/>
        </w:rPr>
        <w:t>. Ide o finančné prostriedky na financovanie individuálnych potrieb obcí (2 689 tis. eur), na záchranu a obnovu kultúrnych pamiatok (1 958 tis. eur) a na financovanie zariadení sociálnych služieb v sume 24 678 tis. eur.</w:t>
      </w:r>
    </w:p>
    <w:p w:rsidR="00C52DD5" w:rsidP="00C52DD5">
      <w:pPr>
        <w:ind w:firstLine="720"/>
        <w:jc w:val="both"/>
        <w:rPr>
          <w:rFonts w:ascii="Arial Narrow" w:hAnsi="Arial Narrow" w:cs="Times New Roman"/>
          <w:b/>
          <w:sz w:val="22"/>
          <w:szCs w:val="22"/>
        </w:rPr>
      </w:pPr>
    </w:p>
    <w:p w:rsidR="00C52DD5" w:rsidP="00C52DD5">
      <w:pPr>
        <w:ind w:firstLine="720"/>
        <w:jc w:val="both"/>
        <w:rPr>
          <w:rFonts w:ascii="Arial Narrow" w:hAnsi="Arial Narrow" w:cs="Times New Roman"/>
          <w:sz w:val="22"/>
          <w:szCs w:val="22"/>
        </w:rPr>
      </w:pPr>
      <w:r w:rsidRPr="002200A4">
        <w:rPr>
          <w:rFonts w:ascii="Arial Narrow" w:hAnsi="Arial Narrow" w:cs="Times New Roman"/>
          <w:sz w:val="22"/>
          <w:szCs w:val="22"/>
        </w:rPr>
        <w:t>Do rozpočtov obcí s</w:t>
      </w:r>
      <w:r>
        <w:rPr>
          <w:rFonts w:ascii="Arial Narrow" w:hAnsi="Arial Narrow" w:cs="Times New Roman"/>
          <w:sz w:val="22"/>
          <w:szCs w:val="22"/>
        </w:rPr>
        <w:t>a</w:t>
      </w:r>
      <w:r w:rsidRPr="002200A4">
        <w:rPr>
          <w:rFonts w:ascii="Arial Narrow" w:hAnsi="Arial Narrow" w:cs="Times New Roman"/>
          <w:sz w:val="22"/>
          <w:szCs w:val="22"/>
        </w:rPr>
        <w:t xml:space="preserve"> </w:t>
      </w:r>
      <w:r>
        <w:rPr>
          <w:rFonts w:ascii="Arial Narrow" w:hAnsi="Arial Narrow" w:cs="Times New Roman"/>
          <w:sz w:val="22"/>
          <w:szCs w:val="22"/>
        </w:rPr>
        <w:t xml:space="preserve">predpokladajú </w:t>
      </w:r>
      <w:r w:rsidRPr="002200A4">
        <w:rPr>
          <w:rFonts w:ascii="Arial Narrow" w:hAnsi="Arial Narrow" w:cs="Times New Roman"/>
          <w:sz w:val="22"/>
          <w:szCs w:val="22"/>
        </w:rPr>
        <w:t>poskyt</w:t>
      </w:r>
      <w:r>
        <w:rPr>
          <w:rFonts w:ascii="Arial Narrow" w:hAnsi="Arial Narrow" w:cs="Times New Roman"/>
          <w:sz w:val="22"/>
          <w:szCs w:val="22"/>
        </w:rPr>
        <w:t xml:space="preserve">núť finančné prostriedky </w:t>
      </w:r>
      <w:r w:rsidRPr="002200A4">
        <w:rPr>
          <w:rFonts w:ascii="Arial Narrow" w:hAnsi="Arial Narrow" w:cs="Times New Roman"/>
          <w:sz w:val="22"/>
          <w:szCs w:val="22"/>
          <w:u w:val="single"/>
        </w:rPr>
        <w:t>zo štátnych fondov</w:t>
      </w:r>
      <w:r>
        <w:rPr>
          <w:rFonts w:ascii="Arial Narrow" w:hAnsi="Arial Narrow" w:cs="Times New Roman"/>
          <w:sz w:val="22"/>
          <w:szCs w:val="22"/>
        </w:rPr>
        <w:t xml:space="preserve"> v celkovej výške </w:t>
      </w:r>
      <w:r>
        <w:rPr>
          <w:rFonts w:ascii="Arial Narrow" w:hAnsi="Arial Narrow" w:cs="Times New Roman"/>
          <w:b/>
          <w:sz w:val="22"/>
          <w:szCs w:val="22"/>
        </w:rPr>
        <w:t>33 792</w:t>
      </w:r>
      <w:r w:rsidRPr="002200A4">
        <w:rPr>
          <w:rFonts w:ascii="Arial Narrow" w:hAnsi="Arial Narrow" w:cs="Times New Roman"/>
          <w:b/>
          <w:sz w:val="22"/>
          <w:szCs w:val="22"/>
        </w:rPr>
        <w:t xml:space="preserve"> </w:t>
      </w:r>
      <w:r>
        <w:rPr>
          <w:rFonts w:ascii="Arial Narrow" w:hAnsi="Arial Narrow" w:cs="Times New Roman"/>
          <w:b/>
          <w:sz w:val="22"/>
          <w:szCs w:val="22"/>
        </w:rPr>
        <w:t>tis. eur</w:t>
      </w:r>
      <w:r>
        <w:rPr>
          <w:rFonts w:ascii="Arial Narrow" w:hAnsi="Arial Narrow" w:cs="Times New Roman"/>
          <w:sz w:val="22"/>
          <w:szCs w:val="22"/>
        </w:rPr>
        <w:t>, z toho zo Štátneho fondu rozvoja bývania v sume 266 tis. eur a z Environmentálneho fondu v sume 33 526 tis. eur.</w:t>
      </w:r>
    </w:p>
    <w:p w:rsidR="00C52DD5" w:rsidRPr="002200A4" w:rsidP="00C52DD5">
      <w:pPr>
        <w:ind w:firstLine="720"/>
        <w:jc w:val="both"/>
        <w:rPr>
          <w:rFonts w:ascii="Arial Narrow" w:hAnsi="Arial Narrow" w:cs="Times New Roman"/>
          <w:sz w:val="22"/>
          <w:szCs w:val="22"/>
        </w:rPr>
      </w:pPr>
    </w:p>
    <w:p w:rsidR="00C52DD5" w:rsidP="00C52DD5">
      <w:pPr>
        <w:ind w:firstLine="720"/>
        <w:jc w:val="both"/>
        <w:rPr>
          <w:rFonts w:ascii="Arial Narrow" w:hAnsi="Arial Narrow" w:cs="Times New Roman"/>
          <w:sz w:val="22"/>
          <w:szCs w:val="22"/>
        </w:rPr>
      </w:pPr>
      <w:r>
        <w:rPr>
          <w:rFonts w:ascii="Arial Narrow" w:hAnsi="Arial Narrow" w:cs="Times New Roman"/>
          <w:b/>
          <w:sz w:val="22"/>
          <w:szCs w:val="22"/>
        </w:rPr>
        <w:t xml:space="preserve">Príjmové finančné operácie  </w:t>
      </w:r>
      <w:r>
        <w:rPr>
          <w:rFonts w:ascii="Arial Narrow" w:hAnsi="Arial Narrow" w:cs="Times New Roman"/>
          <w:sz w:val="22"/>
          <w:szCs w:val="22"/>
        </w:rPr>
        <w:t xml:space="preserve">sa predpokladajú </w:t>
      </w:r>
      <w:r>
        <w:rPr>
          <w:rFonts w:ascii="Arial Narrow" w:hAnsi="Arial Narrow" w:cs="Times New Roman"/>
          <w:b/>
          <w:sz w:val="22"/>
          <w:szCs w:val="22"/>
        </w:rPr>
        <w:t>v celkovej sume 310 363 tis.</w:t>
      </w:r>
      <w:r>
        <w:rPr>
          <w:rFonts w:ascii="Arial Narrow" w:hAnsi="Arial Narrow" w:cs="Times New Roman"/>
          <w:b/>
          <w:sz w:val="22"/>
          <w:szCs w:val="22"/>
        </w:rPr>
        <w:t xml:space="preserve"> eur. </w:t>
      </w:r>
      <w:r>
        <w:rPr>
          <w:rFonts w:ascii="Arial Narrow" w:hAnsi="Arial Narrow" w:cs="Times New Roman"/>
          <w:sz w:val="22"/>
          <w:szCs w:val="22"/>
        </w:rPr>
        <w:t xml:space="preserve">Predpokladá sa, že obce z prostriedkov peňažných fondov prevedú do príjmov rozpočtu sumu 86 304 tis. eur, zo zostatku prostriedkov z predchádzajúcich rokov v sume 49 791 tis. eur, z predaja majetkových účastí získajú sumu 8 298 tis. eur a prijmú úvery na plnenie svojich investičných zámerov v sume 165 970 tis. eur. </w:t>
      </w:r>
    </w:p>
    <w:p w:rsidR="00C52DD5" w:rsidP="00C52DD5">
      <w:pPr>
        <w:jc w:val="both"/>
        <w:rPr>
          <w:rFonts w:ascii="Arial Narrow" w:hAnsi="Arial Narrow" w:cs="Times New Roman"/>
          <w:b/>
          <w:sz w:val="22"/>
          <w:szCs w:val="22"/>
        </w:rPr>
      </w:pPr>
    </w:p>
    <w:p w:rsidR="00C52DD5" w:rsidP="00C52DD5">
      <w:pPr>
        <w:ind w:firstLine="708"/>
        <w:jc w:val="both"/>
        <w:rPr>
          <w:rFonts w:ascii="Arial Narrow" w:hAnsi="Arial Narrow" w:cs="Times New Roman"/>
          <w:b/>
          <w:sz w:val="22"/>
          <w:szCs w:val="22"/>
        </w:rPr>
      </w:pPr>
      <w:r>
        <w:rPr>
          <w:rFonts w:ascii="Arial Narrow" w:hAnsi="Arial Narrow" w:cs="Times New Roman"/>
          <w:b/>
          <w:sz w:val="22"/>
          <w:szCs w:val="22"/>
        </w:rPr>
        <w:t>Celkové výdavky</w:t>
      </w:r>
      <w:r>
        <w:rPr>
          <w:rFonts w:ascii="Arial Narrow" w:hAnsi="Arial Narrow" w:cs="Times New Roman"/>
          <w:sz w:val="22"/>
          <w:szCs w:val="22"/>
        </w:rPr>
        <w:t xml:space="preserve"> obcí na rok 2009 sa predpokladajú  v objeme </w:t>
      </w:r>
      <w:r>
        <w:rPr>
          <w:rFonts w:ascii="Arial Narrow" w:hAnsi="Arial Narrow" w:cs="Times New Roman"/>
          <w:b/>
          <w:sz w:val="22"/>
          <w:szCs w:val="22"/>
        </w:rPr>
        <w:t>3 459 747</w:t>
      </w:r>
      <w:r>
        <w:rPr>
          <w:rFonts w:ascii="Arial Narrow" w:hAnsi="Arial Narrow" w:cs="Times New Roman"/>
          <w:sz w:val="22"/>
          <w:szCs w:val="22"/>
        </w:rPr>
        <w:t xml:space="preserve"> </w:t>
      </w:r>
      <w:r>
        <w:rPr>
          <w:rFonts w:ascii="Arial Narrow" w:hAnsi="Arial Narrow" w:cs="Times New Roman"/>
          <w:b/>
          <w:sz w:val="22"/>
          <w:szCs w:val="22"/>
        </w:rPr>
        <w:t>tis. eur.</w:t>
      </w: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 </w:t>
      </w:r>
    </w:p>
    <w:p w:rsidR="00C52DD5" w:rsidP="00C52DD5">
      <w:pPr>
        <w:jc w:val="both"/>
        <w:rPr>
          <w:rFonts w:ascii="Arial Narrow" w:hAnsi="Arial Narrow" w:cs="Times New Roman"/>
          <w:bCs/>
          <w:sz w:val="22"/>
          <w:szCs w:val="22"/>
        </w:rPr>
      </w:pPr>
      <w:r>
        <w:rPr>
          <w:rFonts w:ascii="Arial Narrow" w:hAnsi="Arial Narrow" w:cs="Times New Roman"/>
          <w:b/>
          <w:bCs/>
          <w:sz w:val="22"/>
          <w:szCs w:val="22"/>
        </w:rPr>
        <w:tab/>
      </w:r>
      <w:r>
        <w:rPr>
          <w:rFonts w:ascii="Arial Narrow" w:hAnsi="Arial Narrow" w:cs="Times New Roman"/>
          <w:bCs/>
          <w:sz w:val="22"/>
          <w:szCs w:val="22"/>
        </w:rPr>
        <w:t>Na základe vývoja hospodárenia v predchádzajúcich rokoch</w:t>
      </w:r>
      <w:r>
        <w:rPr>
          <w:rFonts w:ascii="Arial Narrow" w:hAnsi="Arial Narrow" w:cs="Times New Roman"/>
          <w:b/>
          <w:bCs/>
          <w:sz w:val="22"/>
          <w:szCs w:val="22"/>
        </w:rPr>
        <w:t xml:space="preserve"> </w:t>
      </w:r>
      <w:r>
        <w:rPr>
          <w:rFonts w:ascii="Arial Narrow" w:hAnsi="Arial Narrow" w:cs="Times New Roman"/>
          <w:bCs/>
          <w:sz w:val="22"/>
          <w:szCs w:val="22"/>
        </w:rPr>
        <w:t>a predpokladaného vývoja príjmov</w:t>
      </w:r>
      <w:r>
        <w:rPr>
          <w:rFonts w:ascii="Arial Narrow" w:hAnsi="Arial Narrow" w:cs="Times New Roman"/>
          <w:b/>
          <w:bCs/>
          <w:sz w:val="22"/>
          <w:szCs w:val="22"/>
        </w:rPr>
        <w:t xml:space="preserve">, </w:t>
      </w:r>
      <w:r>
        <w:rPr>
          <w:rFonts w:ascii="Arial Narrow" w:hAnsi="Arial Narrow" w:cs="Times New Roman"/>
          <w:bCs/>
          <w:sz w:val="22"/>
          <w:szCs w:val="22"/>
        </w:rPr>
        <w:t>Ministerstvo financií SR odhaduje, že výdavky obcí budú smerované do jednotlivých úsekov činností v roku 2009 takto:</w:t>
      </w:r>
    </w:p>
    <w:p w:rsidR="00C52DD5" w:rsidP="00C52DD5">
      <w:pPr>
        <w:jc w:val="both"/>
        <w:rPr>
          <w:rFonts w:ascii="Arial Narrow" w:hAnsi="Arial Narrow" w:cs="Times New Roman"/>
          <w:bCs/>
          <w:sz w:val="22"/>
          <w:szCs w:val="22"/>
        </w:rPr>
      </w:pPr>
    </w:p>
    <w:p w:rsidR="00C52DD5" w:rsidP="00C52DD5">
      <w:pPr>
        <w:jc w:val="both"/>
        <w:rPr>
          <w:rFonts w:ascii="Arial Narrow" w:hAnsi="Arial Narrow" w:cs="Times New Roman"/>
          <w:b/>
          <w:bCs/>
          <w:sz w:val="22"/>
          <w:szCs w:val="22"/>
        </w:rPr>
      </w:pPr>
      <w:r>
        <w:rPr>
          <w:rFonts w:ascii="Arial Narrow" w:hAnsi="Arial Narrow" w:cs="Times New Roman"/>
          <w:b/>
          <w:bCs/>
          <w:sz w:val="22"/>
          <w:szCs w:val="22"/>
        </w:rPr>
        <w:tab/>
      </w:r>
      <w:r>
        <w:rPr>
          <w:rFonts w:ascii="Arial Narrow" w:hAnsi="Arial Narrow" w:cs="Times New Roman"/>
          <w:bCs/>
          <w:sz w:val="22"/>
          <w:szCs w:val="22"/>
        </w:rPr>
        <w:t>Na činnosť</w:t>
      </w:r>
      <w:r>
        <w:rPr>
          <w:rFonts w:ascii="Arial Narrow" w:hAnsi="Arial Narrow" w:cs="Times New Roman"/>
          <w:b/>
          <w:bCs/>
          <w:sz w:val="22"/>
          <w:szCs w:val="22"/>
        </w:rPr>
        <w:t xml:space="preserve"> obecných a mestských úradov </w:t>
      </w:r>
      <w:r>
        <w:rPr>
          <w:rFonts w:ascii="Arial Narrow" w:hAnsi="Arial Narrow" w:cs="Times New Roman"/>
          <w:bCs/>
          <w:sz w:val="22"/>
          <w:szCs w:val="22"/>
        </w:rPr>
        <w:t xml:space="preserve">a na transfery všeobecnej povahy medzi rôznymi úrovňami verejnej správy  sa predpokladá vynaložiť </w:t>
      </w:r>
      <w:r>
        <w:rPr>
          <w:rFonts w:ascii="Arial Narrow" w:hAnsi="Arial Narrow" w:cs="Times New Roman"/>
          <w:b/>
          <w:bCs/>
          <w:sz w:val="22"/>
          <w:szCs w:val="22"/>
        </w:rPr>
        <w:t xml:space="preserve"> 800 007</w:t>
      </w:r>
      <w:r w:rsidRPr="00281E3F">
        <w:rPr>
          <w:rFonts w:ascii="Arial Narrow" w:hAnsi="Arial Narrow" w:cs="Times New Roman"/>
          <w:b/>
          <w:bCs/>
          <w:sz w:val="22"/>
          <w:szCs w:val="22"/>
        </w:rPr>
        <w:t xml:space="preserve"> </w:t>
      </w:r>
      <w:r>
        <w:rPr>
          <w:rFonts w:ascii="Arial Narrow" w:hAnsi="Arial Narrow" w:cs="Times New Roman"/>
          <w:b/>
          <w:bCs/>
          <w:sz w:val="22"/>
          <w:szCs w:val="22"/>
        </w:rPr>
        <w:t>tis.</w:t>
      </w:r>
      <w:r>
        <w:rPr>
          <w:rFonts w:ascii="Arial Narrow" w:hAnsi="Arial Narrow" w:cs="Times New Roman"/>
          <w:b/>
          <w:bCs/>
          <w:sz w:val="22"/>
          <w:szCs w:val="22"/>
        </w:rPr>
        <w:t xml:space="preserve"> eur</w:t>
      </w:r>
      <w:r w:rsidRPr="00281E3F">
        <w:rPr>
          <w:rFonts w:ascii="Arial Narrow" w:hAnsi="Arial Narrow" w:cs="Times New Roman"/>
          <w:b/>
          <w:bCs/>
          <w:sz w:val="22"/>
          <w:szCs w:val="22"/>
        </w:rPr>
        <w:t>.</w:t>
      </w:r>
    </w:p>
    <w:p w:rsidR="00C52DD5" w:rsidP="00C52DD5">
      <w:pPr>
        <w:jc w:val="both"/>
        <w:rPr>
          <w:rFonts w:ascii="Arial Narrow" w:hAnsi="Arial Narrow" w:cs="Times New Roman"/>
          <w:bCs/>
          <w:sz w:val="22"/>
          <w:szCs w:val="22"/>
        </w:rPr>
      </w:pPr>
    </w:p>
    <w:p w:rsidR="00C52DD5" w:rsidRPr="00281E3F" w:rsidP="00C52DD5">
      <w:pPr>
        <w:jc w:val="both"/>
        <w:rPr>
          <w:rFonts w:ascii="Arial Narrow" w:hAnsi="Arial Narrow" w:cs="Times New Roman"/>
          <w:b/>
          <w:bCs/>
          <w:sz w:val="22"/>
          <w:szCs w:val="22"/>
        </w:rPr>
      </w:pPr>
      <w:r>
        <w:rPr>
          <w:rFonts w:ascii="Arial Narrow" w:hAnsi="Arial Narrow" w:cs="Times New Roman"/>
          <w:bCs/>
          <w:sz w:val="22"/>
          <w:szCs w:val="22"/>
        </w:rPr>
        <w:tab/>
        <w:t xml:space="preserve">Na zabezpečenie úloh </w:t>
      </w:r>
      <w:r>
        <w:rPr>
          <w:rFonts w:ascii="Arial Narrow" w:hAnsi="Arial Narrow" w:cs="Times New Roman"/>
          <w:b/>
          <w:bCs/>
          <w:sz w:val="22"/>
          <w:szCs w:val="22"/>
        </w:rPr>
        <w:t>civilnej ochrany</w:t>
      </w:r>
      <w:r>
        <w:rPr>
          <w:rFonts w:ascii="Arial Narrow" w:hAnsi="Arial Narrow" w:cs="Times New Roman"/>
          <w:bCs/>
          <w:sz w:val="22"/>
          <w:szCs w:val="22"/>
        </w:rPr>
        <w:t xml:space="preserve"> v pôsobnosti obcí a na činnosť </w:t>
      </w:r>
      <w:r>
        <w:rPr>
          <w:rFonts w:ascii="Arial Narrow" w:hAnsi="Arial Narrow" w:cs="Times New Roman"/>
          <w:b/>
          <w:bCs/>
          <w:sz w:val="22"/>
          <w:szCs w:val="22"/>
        </w:rPr>
        <w:t>policajných služieb</w:t>
      </w:r>
      <w:r>
        <w:rPr>
          <w:rFonts w:ascii="Arial Narrow" w:hAnsi="Arial Narrow" w:cs="Times New Roman"/>
          <w:bCs/>
          <w:sz w:val="22"/>
          <w:szCs w:val="22"/>
        </w:rPr>
        <w:t xml:space="preserve"> – obecnej polície a </w:t>
      </w:r>
      <w:r>
        <w:rPr>
          <w:rFonts w:ascii="Arial Narrow" w:hAnsi="Arial Narrow" w:cs="Times New Roman"/>
          <w:b/>
          <w:bCs/>
          <w:sz w:val="22"/>
          <w:szCs w:val="22"/>
        </w:rPr>
        <w:t>požiarnej ochrany</w:t>
      </w:r>
      <w:r>
        <w:rPr>
          <w:rFonts w:ascii="Arial Narrow" w:hAnsi="Arial Narrow" w:cs="Times New Roman"/>
          <w:bCs/>
          <w:sz w:val="22"/>
          <w:szCs w:val="22"/>
        </w:rPr>
        <w:t xml:space="preserve"> sa predpokladajú finančné prostriedky v sume </w:t>
      </w:r>
      <w:r>
        <w:rPr>
          <w:rFonts w:ascii="Arial Narrow" w:hAnsi="Arial Narrow" w:cs="Times New Roman"/>
          <w:b/>
          <w:bCs/>
          <w:sz w:val="22"/>
          <w:szCs w:val="22"/>
        </w:rPr>
        <w:t>46 804</w:t>
      </w:r>
      <w:r w:rsidRPr="00281E3F">
        <w:rPr>
          <w:rFonts w:ascii="Arial Narrow" w:hAnsi="Arial Narrow" w:cs="Times New Roman"/>
          <w:b/>
          <w:bCs/>
          <w:sz w:val="22"/>
          <w:szCs w:val="22"/>
        </w:rPr>
        <w:t xml:space="preserve"> </w:t>
      </w:r>
      <w:r>
        <w:rPr>
          <w:rFonts w:ascii="Arial Narrow" w:hAnsi="Arial Narrow" w:cs="Times New Roman"/>
          <w:b/>
          <w:bCs/>
          <w:sz w:val="22"/>
          <w:szCs w:val="22"/>
        </w:rPr>
        <w:t>tis. eur</w:t>
      </w:r>
      <w:r w:rsidRPr="00281E3F">
        <w:rPr>
          <w:rFonts w:ascii="Arial Narrow" w:hAnsi="Arial Narrow" w:cs="Times New Roman"/>
          <w:b/>
          <w:bCs/>
          <w:sz w:val="22"/>
          <w:szCs w:val="22"/>
        </w:rPr>
        <w:t>.</w:t>
      </w:r>
    </w:p>
    <w:p w:rsidR="00C52DD5" w:rsidP="00C52DD5">
      <w:pPr>
        <w:jc w:val="both"/>
        <w:rPr>
          <w:rFonts w:ascii="Arial Narrow" w:hAnsi="Arial Narrow" w:cs="Times New Roman"/>
          <w:bCs/>
          <w:sz w:val="22"/>
          <w:szCs w:val="22"/>
        </w:rPr>
      </w:pPr>
    </w:p>
    <w:p w:rsidR="00C52DD5" w:rsidP="00C52DD5">
      <w:pPr>
        <w:jc w:val="both"/>
        <w:rPr>
          <w:rFonts w:ascii="Arial Narrow" w:hAnsi="Arial Narrow" w:cs="Times New Roman"/>
          <w:bCs/>
          <w:sz w:val="22"/>
          <w:szCs w:val="22"/>
        </w:rPr>
      </w:pPr>
      <w:r>
        <w:rPr>
          <w:rFonts w:ascii="Arial Narrow" w:hAnsi="Arial Narrow" w:cs="Times New Roman"/>
          <w:bCs/>
          <w:sz w:val="22"/>
          <w:szCs w:val="22"/>
        </w:rPr>
        <w:tab/>
        <w:t xml:space="preserve">V ekonomickej oblasti sa uvažuje so sumou  </w:t>
      </w:r>
      <w:r>
        <w:rPr>
          <w:rFonts w:ascii="Arial Narrow" w:hAnsi="Arial Narrow" w:cs="Times New Roman"/>
          <w:b/>
          <w:bCs/>
          <w:sz w:val="22"/>
          <w:szCs w:val="22"/>
        </w:rPr>
        <w:t>414 605</w:t>
      </w:r>
      <w:r w:rsidRPr="00281E3F">
        <w:rPr>
          <w:rFonts w:ascii="Arial Narrow" w:hAnsi="Arial Narrow" w:cs="Times New Roman"/>
          <w:b/>
          <w:bCs/>
          <w:sz w:val="22"/>
          <w:szCs w:val="22"/>
        </w:rPr>
        <w:t xml:space="preserve"> </w:t>
      </w:r>
      <w:r>
        <w:rPr>
          <w:rFonts w:ascii="Arial Narrow" w:hAnsi="Arial Narrow" w:cs="Times New Roman"/>
          <w:b/>
          <w:bCs/>
          <w:sz w:val="22"/>
          <w:szCs w:val="22"/>
        </w:rPr>
        <w:t>tis. e</w:t>
      </w:r>
      <w:r>
        <w:rPr>
          <w:rFonts w:ascii="Arial Narrow" w:hAnsi="Arial Narrow" w:cs="Times New Roman"/>
          <w:b/>
          <w:bCs/>
          <w:sz w:val="22"/>
          <w:szCs w:val="22"/>
        </w:rPr>
        <w:t>ur</w:t>
      </w:r>
      <w:r w:rsidRPr="00281E3F">
        <w:rPr>
          <w:rFonts w:ascii="Arial Narrow" w:hAnsi="Arial Narrow" w:cs="Times New Roman"/>
          <w:b/>
          <w:bCs/>
          <w:sz w:val="22"/>
          <w:szCs w:val="22"/>
        </w:rPr>
        <w:t>,</w:t>
      </w:r>
      <w:r>
        <w:rPr>
          <w:rFonts w:ascii="Arial Narrow" w:hAnsi="Arial Narrow" w:cs="Times New Roman"/>
          <w:bCs/>
          <w:sz w:val="22"/>
          <w:szCs w:val="22"/>
        </w:rPr>
        <w:t xml:space="preserve"> z ktorých budú financované kompetencie obcí na úseku </w:t>
      </w:r>
      <w:r>
        <w:rPr>
          <w:rFonts w:ascii="Arial Narrow" w:hAnsi="Arial Narrow" w:cs="Times New Roman"/>
          <w:b/>
          <w:bCs/>
          <w:sz w:val="22"/>
          <w:szCs w:val="22"/>
        </w:rPr>
        <w:t>dopravy</w:t>
      </w:r>
      <w:r>
        <w:rPr>
          <w:rFonts w:ascii="Arial Narrow" w:hAnsi="Arial Narrow" w:cs="Times New Roman"/>
          <w:bCs/>
          <w:sz w:val="22"/>
          <w:szCs w:val="22"/>
        </w:rPr>
        <w:t xml:space="preserve">, v rámci ktorej sú aj výdavky na mestskú verejnú dopravu, na úseku </w:t>
      </w:r>
      <w:r>
        <w:rPr>
          <w:rFonts w:ascii="Arial Narrow" w:hAnsi="Arial Narrow" w:cs="Times New Roman"/>
          <w:b/>
          <w:bCs/>
          <w:sz w:val="22"/>
          <w:szCs w:val="22"/>
        </w:rPr>
        <w:t>poľnohospodárstva, lesníctva, palív a energie, ťažby, výroby a výstavby, komunikácií</w:t>
      </w:r>
      <w:r>
        <w:rPr>
          <w:rFonts w:ascii="Arial Narrow" w:hAnsi="Arial Narrow" w:cs="Times New Roman"/>
          <w:bCs/>
          <w:sz w:val="22"/>
          <w:szCs w:val="22"/>
        </w:rPr>
        <w:t xml:space="preserve"> a ostatných činností spadajúcich do ich</w:t>
      </w:r>
      <w:r>
        <w:rPr>
          <w:rFonts w:ascii="Arial Narrow" w:hAnsi="Arial Narrow" w:cs="Times New Roman"/>
          <w:bCs/>
          <w:sz w:val="22"/>
          <w:szCs w:val="22"/>
        </w:rPr>
        <w:t xml:space="preserve"> pôsobnosti. </w:t>
      </w:r>
    </w:p>
    <w:p w:rsidR="00C52DD5" w:rsidP="00C52DD5">
      <w:pPr>
        <w:jc w:val="both"/>
        <w:rPr>
          <w:rFonts w:ascii="Arial Narrow" w:hAnsi="Arial Narrow" w:cs="Times New Roman"/>
          <w:bCs/>
          <w:sz w:val="22"/>
          <w:szCs w:val="22"/>
        </w:rPr>
      </w:pPr>
    </w:p>
    <w:p w:rsidR="00C52DD5" w:rsidP="00C52DD5">
      <w:pPr>
        <w:ind w:firstLine="708"/>
        <w:jc w:val="both"/>
        <w:rPr>
          <w:rFonts w:ascii="Arial Narrow" w:hAnsi="Arial Narrow" w:cs="Times New Roman"/>
          <w:bCs/>
          <w:sz w:val="22"/>
          <w:szCs w:val="22"/>
        </w:rPr>
      </w:pPr>
      <w:r>
        <w:rPr>
          <w:rFonts w:ascii="Arial Narrow" w:hAnsi="Arial Narrow" w:cs="Times New Roman"/>
          <w:bCs/>
          <w:sz w:val="22"/>
          <w:szCs w:val="22"/>
        </w:rPr>
        <w:t xml:space="preserve">Na úseku </w:t>
      </w:r>
      <w:r>
        <w:rPr>
          <w:rFonts w:ascii="Arial Narrow" w:hAnsi="Arial Narrow" w:cs="Times New Roman"/>
          <w:b/>
          <w:bCs/>
          <w:sz w:val="22"/>
          <w:szCs w:val="22"/>
        </w:rPr>
        <w:t>ochrany životného prostredia</w:t>
      </w:r>
      <w:r>
        <w:rPr>
          <w:rFonts w:ascii="Arial Narrow" w:hAnsi="Arial Narrow" w:cs="Times New Roman"/>
          <w:bCs/>
          <w:sz w:val="22"/>
          <w:szCs w:val="22"/>
        </w:rPr>
        <w:t xml:space="preserve"> sa predpokladá financovať činnosti zberu, prepravy, a zneškodňovania odpadu, nakladanie s odpadovými vodami, výdavky súvisiace so znižovaním znečisťovania ovzdušia, životného prostredia a ochranou prírody a krajiny. Finančné prostriedky na tomto úseku sa predpokladajú v celkovej sume  </w:t>
      </w:r>
      <w:r>
        <w:rPr>
          <w:rFonts w:ascii="Arial Narrow" w:hAnsi="Arial Narrow" w:cs="Times New Roman"/>
          <w:b/>
          <w:bCs/>
          <w:sz w:val="22"/>
          <w:szCs w:val="22"/>
        </w:rPr>
        <w:t>273 159</w:t>
      </w:r>
      <w:r w:rsidRPr="00281E3F">
        <w:rPr>
          <w:rFonts w:ascii="Arial Narrow" w:hAnsi="Arial Narrow" w:cs="Times New Roman"/>
          <w:b/>
          <w:bCs/>
          <w:sz w:val="22"/>
          <w:szCs w:val="22"/>
        </w:rPr>
        <w:t xml:space="preserve"> </w:t>
      </w:r>
      <w:r>
        <w:rPr>
          <w:rFonts w:ascii="Arial Narrow" w:hAnsi="Arial Narrow" w:cs="Times New Roman"/>
          <w:b/>
          <w:bCs/>
          <w:sz w:val="22"/>
          <w:szCs w:val="22"/>
        </w:rPr>
        <w:t>tis. eur</w:t>
      </w:r>
      <w:r w:rsidRPr="00281E3F">
        <w:rPr>
          <w:rFonts w:ascii="Arial Narrow" w:hAnsi="Arial Narrow" w:cs="Times New Roman"/>
          <w:b/>
          <w:bCs/>
          <w:sz w:val="22"/>
          <w:szCs w:val="22"/>
        </w:rPr>
        <w:t>.</w:t>
      </w:r>
    </w:p>
    <w:p w:rsidR="00C52DD5" w:rsidP="00C52DD5">
      <w:pPr>
        <w:jc w:val="both"/>
        <w:rPr>
          <w:rFonts w:ascii="Arial Narrow" w:hAnsi="Arial Narrow" w:cs="Times New Roman"/>
          <w:bCs/>
          <w:sz w:val="22"/>
          <w:szCs w:val="22"/>
        </w:rPr>
      </w:pPr>
    </w:p>
    <w:p w:rsidR="00C52DD5" w:rsidP="00C52DD5">
      <w:pPr>
        <w:jc w:val="both"/>
        <w:rPr>
          <w:rFonts w:ascii="Arial Narrow" w:hAnsi="Arial Narrow" w:cs="Times New Roman"/>
          <w:bCs/>
          <w:sz w:val="22"/>
          <w:szCs w:val="22"/>
        </w:rPr>
      </w:pPr>
      <w:r>
        <w:rPr>
          <w:rFonts w:ascii="Arial Narrow" w:hAnsi="Arial Narrow" w:cs="Times New Roman"/>
          <w:bCs/>
          <w:sz w:val="22"/>
          <w:szCs w:val="22"/>
        </w:rPr>
        <w:tab/>
        <w:t xml:space="preserve">Na úseku </w:t>
      </w:r>
      <w:r>
        <w:rPr>
          <w:rFonts w:ascii="Arial Narrow" w:hAnsi="Arial Narrow" w:cs="Times New Roman"/>
          <w:b/>
          <w:bCs/>
          <w:sz w:val="22"/>
          <w:szCs w:val="22"/>
        </w:rPr>
        <w:t>bývania a občianskej vybavenosti</w:t>
      </w:r>
      <w:r>
        <w:rPr>
          <w:rFonts w:ascii="Arial Narrow" w:hAnsi="Arial Narrow" w:cs="Times New Roman"/>
          <w:bCs/>
          <w:sz w:val="22"/>
          <w:szCs w:val="22"/>
        </w:rPr>
        <w:t xml:space="preserve"> sa predpokladajú finančné prostriedky v celkovej sume </w:t>
      </w:r>
      <w:r>
        <w:rPr>
          <w:rFonts w:ascii="Arial Narrow" w:hAnsi="Arial Narrow" w:cs="Times New Roman"/>
          <w:b/>
          <w:bCs/>
          <w:sz w:val="22"/>
          <w:szCs w:val="22"/>
        </w:rPr>
        <w:t>444 469</w:t>
      </w:r>
      <w:r w:rsidRPr="00281E3F">
        <w:rPr>
          <w:rFonts w:ascii="Arial Narrow" w:hAnsi="Arial Narrow" w:cs="Times New Roman"/>
          <w:b/>
          <w:bCs/>
          <w:sz w:val="22"/>
          <w:szCs w:val="22"/>
        </w:rPr>
        <w:t xml:space="preserve"> </w:t>
      </w:r>
      <w:r>
        <w:rPr>
          <w:rFonts w:ascii="Arial Narrow" w:hAnsi="Arial Narrow" w:cs="Times New Roman"/>
          <w:b/>
          <w:bCs/>
          <w:sz w:val="22"/>
          <w:szCs w:val="22"/>
        </w:rPr>
        <w:t>tis. eur</w:t>
      </w:r>
      <w:r>
        <w:rPr>
          <w:rFonts w:ascii="Arial Narrow" w:hAnsi="Arial Narrow" w:cs="Times New Roman"/>
          <w:bCs/>
          <w:sz w:val="22"/>
          <w:szCs w:val="22"/>
        </w:rPr>
        <w:t>, v rámci ktorého budú realizované aktivi</w:t>
      </w:r>
      <w:r>
        <w:rPr>
          <w:rFonts w:ascii="Arial Narrow" w:hAnsi="Arial Narrow" w:cs="Times New Roman"/>
          <w:bCs/>
          <w:sz w:val="22"/>
          <w:szCs w:val="22"/>
        </w:rPr>
        <w:t>ty obcí súvisiace s rozvojom bývania, s rozvojom obcí so zásobovaním pitnou vodou a  verejným osvetlením.</w:t>
      </w:r>
    </w:p>
    <w:p w:rsidR="00C52DD5" w:rsidP="00C52DD5">
      <w:pPr>
        <w:jc w:val="both"/>
        <w:rPr>
          <w:rFonts w:ascii="Arial Narrow" w:hAnsi="Arial Narrow" w:cs="Times New Roman"/>
          <w:bCs/>
          <w:sz w:val="22"/>
          <w:szCs w:val="22"/>
        </w:rPr>
      </w:pPr>
    </w:p>
    <w:p w:rsidR="00C52DD5" w:rsidP="00C52DD5">
      <w:pPr>
        <w:jc w:val="both"/>
        <w:rPr>
          <w:rFonts w:ascii="Arial Narrow" w:hAnsi="Arial Narrow" w:cs="Times New Roman"/>
          <w:bCs/>
          <w:sz w:val="22"/>
          <w:szCs w:val="22"/>
        </w:rPr>
      </w:pPr>
      <w:r>
        <w:rPr>
          <w:rFonts w:ascii="Arial Narrow" w:hAnsi="Arial Narrow" w:cs="Times New Roman"/>
          <w:bCs/>
          <w:sz w:val="22"/>
          <w:szCs w:val="22"/>
        </w:rPr>
        <w:tab/>
        <w:t xml:space="preserve">Na financovanie </w:t>
      </w:r>
      <w:r>
        <w:rPr>
          <w:rFonts w:ascii="Arial Narrow" w:hAnsi="Arial Narrow" w:cs="Times New Roman"/>
          <w:b/>
          <w:bCs/>
          <w:sz w:val="22"/>
          <w:szCs w:val="22"/>
        </w:rPr>
        <w:t>zdravotníctva</w:t>
      </w:r>
      <w:r>
        <w:rPr>
          <w:rFonts w:ascii="Arial Narrow" w:hAnsi="Arial Narrow" w:cs="Times New Roman"/>
          <w:bCs/>
          <w:sz w:val="22"/>
          <w:szCs w:val="22"/>
        </w:rPr>
        <w:t xml:space="preserve"> - zdravotníckych služieb a zdravotníckych zariadení, záchrannú zdravotnú službu v pôsobnosti obcí sa uvažuje so sumou </w:t>
      </w:r>
      <w:r>
        <w:rPr>
          <w:rFonts w:ascii="Arial Narrow" w:hAnsi="Arial Narrow" w:cs="Times New Roman"/>
          <w:bCs/>
          <w:sz w:val="22"/>
          <w:szCs w:val="22"/>
        </w:rPr>
        <w:t xml:space="preserve"> </w:t>
      </w:r>
      <w:r>
        <w:rPr>
          <w:rFonts w:ascii="Arial Narrow" w:hAnsi="Arial Narrow" w:cs="Times New Roman"/>
          <w:b/>
          <w:bCs/>
          <w:sz w:val="22"/>
          <w:szCs w:val="22"/>
        </w:rPr>
        <w:t>10 290</w:t>
      </w:r>
      <w:r w:rsidRPr="00281E3F">
        <w:rPr>
          <w:rFonts w:ascii="Arial Narrow" w:hAnsi="Arial Narrow" w:cs="Times New Roman"/>
          <w:b/>
          <w:bCs/>
          <w:sz w:val="22"/>
          <w:szCs w:val="22"/>
        </w:rPr>
        <w:t xml:space="preserve"> </w:t>
      </w:r>
      <w:r>
        <w:rPr>
          <w:rFonts w:ascii="Arial Narrow" w:hAnsi="Arial Narrow" w:cs="Times New Roman"/>
          <w:b/>
          <w:bCs/>
          <w:sz w:val="22"/>
          <w:szCs w:val="22"/>
        </w:rPr>
        <w:t>tis. eur</w:t>
      </w:r>
      <w:r w:rsidRPr="00281E3F">
        <w:rPr>
          <w:rFonts w:ascii="Arial Narrow" w:hAnsi="Arial Narrow" w:cs="Times New Roman"/>
          <w:b/>
          <w:bCs/>
          <w:sz w:val="22"/>
          <w:szCs w:val="22"/>
        </w:rPr>
        <w:t>.</w:t>
      </w:r>
    </w:p>
    <w:p w:rsidR="00C52DD5" w:rsidP="00C52DD5">
      <w:pPr>
        <w:jc w:val="both"/>
        <w:rPr>
          <w:rFonts w:ascii="Arial Narrow" w:hAnsi="Arial Narrow" w:cs="Times New Roman"/>
          <w:bCs/>
          <w:sz w:val="22"/>
          <w:szCs w:val="22"/>
        </w:rPr>
      </w:pPr>
    </w:p>
    <w:p w:rsidR="00C52DD5" w:rsidP="00C52DD5">
      <w:pPr>
        <w:jc w:val="both"/>
        <w:rPr>
          <w:rFonts w:ascii="Arial Narrow" w:hAnsi="Arial Narrow" w:cs="Times New Roman"/>
          <w:bCs/>
          <w:sz w:val="22"/>
          <w:szCs w:val="22"/>
        </w:rPr>
      </w:pPr>
      <w:r>
        <w:rPr>
          <w:rFonts w:ascii="Arial Narrow" w:hAnsi="Arial Narrow" w:cs="Times New Roman"/>
          <w:bCs/>
          <w:sz w:val="22"/>
          <w:szCs w:val="22"/>
        </w:rPr>
        <w:tab/>
        <w:t xml:space="preserve">Na úseku </w:t>
      </w:r>
      <w:r>
        <w:rPr>
          <w:rFonts w:ascii="Arial Narrow" w:hAnsi="Arial Narrow" w:cs="Times New Roman"/>
          <w:b/>
          <w:bCs/>
          <w:sz w:val="22"/>
          <w:szCs w:val="22"/>
        </w:rPr>
        <w:t xml:space="preserve">kultúry </w:t>
      </w:r>
      <w:r>
        <w:rPr>
          <w:rFonts w:ascii="Arial Narrow" w:hAnsi="Arial Narrow" w:cs="Times New Roman"/>
          <w:bCs/>
          <w:sz w:val="22"/>
          <w:szCs w:val="22"/>
        </w:rPr>
        <w:t xml:space="preserve">sa predpokladá vynaložiť </w:t>
      </w:r>
      <w:r>
        <w:rPr>
          <w:rFonts w:ascii="Arial Narrow" w:hAnsi="Arial Narrow" w:cs="Times New Roman"/>
          <w:b/>
          <w:bCs/>
          <w:sz w:val="22"/>
          <w:szCs w:val="22"/>
        </w:rPr>
        <w:t>204 083 tis. eur</w:t>
      </w:r>
      <w:r>
        <w:rPr>
          <w:rFonts w:ascii="Arial Narrow" w:hAnsi="Arial Narrow" w:cs="Times New Roman"/>
          <w:bCs/>
          <w:sz w:val="22"/>
          <w:szCs w:val="22"/>
        </w:rPr>
        <w:t>, z ktorých budú financované aktivity obcí súvisiace s rekreačnými a športovými službami, kultúrne služby (divadlá, umelecké súbory, klubové a špeciálne kultúrne zariadenia, odborno-metodické zariadenia, knižnice, múzeá, galérie, pamiatková starostlivosť, národná kultúra), vysielacie a vydavateľské služby a iné kultúrne a spoločenské aktivity realizované obcami.</w:t>
      </w:r>
    </w:p>
    <w:p w:rsidR="00C52DD5" w:rsidP="00C52DD5">
      <w:pPr>
        <w:jc w:val="both"/>
        <w:rPr>
          <w:rFonts w:ascii="Arial Narrow" w:hAnsi="Arial Narrow" w:cs="Times New Roman"/>
          <w:bCs/>
          <w:sz w:val="22"/>
          <w:szCs w:val="22"/>
        </w:rPr>
      </w:pPr>
    </w:p>
    <w:p w:rsidR="00C52DD5" w:rsidRPr="00A7652A" w:rsidP="00C52DD5">
      <w:pPr>
        <w:ind w:firstLine="708"/>
        <w:jc w:val="both"/>
        <w:rPr>
          <w:rFonts w:ascii="Arial Narrow" w:hAnsi="Arial Narrow" w:cs="Times New Roman"/>
          <w:sz w:val="22"/>
          <w:szCs w:val="22"/>
        </w:rPr>
      </w:pPr>
      <w:r>
        <w:rPr>
          <w:rFonts w:ascii="Arial Narrow" w:hAnsi="Arial Narrow" w:cs="Times New Roman"/>
          <w:bCs/>
          <w:sz w:val="22"/>
          <w:szCs w:val="22"/>
        </w:rPr>
        <w:t xml:space="preserve">Na </w:t>
      </w:r>
      <w:r>
        <w:rPr>
          <w:rFonts w:ascii="Arial Narrow" w:hAnsi="Arial Narrow" w:cs="Times New Roman"/>
          <w:b/>
          <w:bCs/>
          <w:sz w:val="22"/>
          <w:szCs w:val="22"/>
        </w:rPr>
        <w:t>vzdelávanie</w:t>
      </w:r>
      <w:r>
        <w:rPr>
          <w:rFonts w:ascii="Arial Narrow" w:hAnsi="Arial Narrow" w:cs="Times New Roman"/>
          <w:bCs/>
          <w:sz w:val="22"/>
          <w:szCs w:val="22"/>
        </w:rPr>
        <w:t xml:space="preserve"> sa predpokladá vynaložiť suma </w:t>
      </w:r>
      <w:r>
        <w:rPr>
          <w:rFonts w:ascii="Arial Narrow" w:hAnsi="Arial Narrow" w:cs="Times New Roman"/>
          <w:b/>
          <w:bCs/>
          <w:sz w:val="22"/>
          <w:szCs w:val="22"/>
        </w:rPr>
        <w:t>1 102 287 tis. eur</w:t>
      </w:r>
      <w:r>
        <w:rPr>
          <w:rFonts w:ascii="Arial Narrow" w:hAnsi="Arial Narrow" w:cs="Times New Roman"/>
          <w:bCs/>
          <w:sz w:val="22"/>
          <w:szCs w:val="22"/>
        </w:rPr>
        <w:t>, a to na financovanie predškolskej výchovy, základných škôl, zariadenia pre záujmové vzdelávanie, centrá voľného času, jazykové školy, zariadenia pre celoživotné vzdelávanie, služby pridružené ku školám – školské stravovanie, strediská služieb škole, zariadeni</w:t>
      </w:r>
      <w:r>
        <w:rPr>
          <w:rFonts w:ascii="Arial Narrow" w:hAnsi="Arial Narrow" w:cs="Times New Roman"/>
          <w:bCs/>
          <w:sz w:val="22"/>
          <w:szCs w:val="22"/>
        </w:rPr>
        <w:t xml:space="preserve">a výchovného poradenstva a ostatné výdavky súvisiace so vzdelávaním. </w:t>
      </w:r>
      <w:r>
        <w:rPr>
          <w:rFonts w:ascii="Arial Narrow" w:hAnsi="Arial Narrow" w:cs="Times New Roman"/>
          <w:sz w:val="22"/>
          <w:szCs w:val="22"/>
        </w:rPr>
        <w:t xml:space="preserve">Z uvedených prostriedkov sa predpokladá aj poskytovanie dotácií obcami zriaďovateľom </w:t>
      </w:r>
      <w:r>
        <w:rPr>
          <w:rFonts w:ascii="Arial Narrow" w:hAnsi="Arial Narrow" w:cs="Times New Roman"/>
          <w:bCs/>
          <w:sz w:val="22"/>
          <w:szCs w:val="22"/>
        </w:rPr>
        <w:t>neštátnych škôl a školských zariadení na financovanie ich činnosti.</w:t>
      </w:r>
    </w:p>
    <w:p w:rsidR="00C52DD5" w:rsidP="00C52DD5">
      <w:pPr>
        <w:jc w:val="both"/>
        <w:rPr>
          <w:rFonts w:ascii="Arial Narrow" w:hAnsi="Arial Narrow" w:cs="Times New Roman"/>
          <w:bCs/>
          <w:sz w:val="22"/>
          <w:szCs w:val="22"/>
        </w:rPr>
      </w:pPr>
    </w:p>
    <w:p w:rsidR="00C52DD5" w:rsidRPr="00313D65" w:rsidP="00C52DD5">
      <w:pPr>
        <w:jc w:val="both"/>
        <w:rPr>
          <w:rFonts w:ascii="Arial Narrow" w:hAnsi="Arial Narrow" w:cs="Times New Roman"/>
          <w:bCs/>
          <w:sz w:val="22"/>
          <w:szCs w:val="22"/>
        </w:rPr>
      </w:pPr>
      <w:r>
        <w:rPr>
          <w:rFonts w:ascii="Arial Narrow" w:hAnsi="Arial Narrow" w:cs="Times New Roman"/>
          <w:bCs/>
          <w:sz w:val="22"/>
          <w:szCs w:val="22"/>
        </w:rPr>
        <w:tab/>
        <w:t xml:space="preserve">Na úseku </w:t>
      </w:r>
      <w:r>
        <w:rPr>
          <w:rFonts w:ascii="Arial Narrow" w:hAnsi="Arial Narrow" w:cs="Times New Roman"/>
          <w:b/>
          <w:bCs/>
          <w:sz w:val="22"/>
          <w:szCs w:val="22"/>
        </w:rPr>
        <w:t>sociálneho zabezpečenia</w:t>
      </w:r>
      <w:r>
        <w:rPr>
          <w:rFonts w:ascii="Arial Narrow" w:hAnsi="Arial Narrow" w:cs="Times New Roman"/>
          <w:bCs/>
          <w:sz w:val="22"/>
          <w:szCs w:val="22"/>
        </w:rPr>
        <w:t xml:space="preserve"> sa uvažuje s finančnými prostriedkami v sume </w:t>
      </w:r>
      <w:r>
        <w:rPr>
          <w:rFonts w:ascii="Arial Narrow" w:hAnsi="Arial Narrow" w:cs="Times New Roman"/>
          <w:b/>
          <w:bCs/>
          <w:sz w:val="22"/>
          <w:szCs w:val="22"/>
        </w:rPr>
        <w:t>164 043</w:t>
      </w:r>
      <w:r w:rsidRPr="008243D5">
        <w:rPr>
          <w:rFonts w:ascii="Arial Narrow" w:hAnsi="Arial Narrow" w:cs="Times New Roman"/>
          <w:b/>
          <w:bCs/>
          <w:sz w:val="22"/>
          <w:szCs w:val="22"/>
        </w:rPr>
        <w:t xml:space="preserve"> </w:t>
      </w:r>
      <w:r>
        <w:rPr>
          <w:rFonts w:ascii="Arial Narrow" w:hAnsi="Arial Narrow" w:cs="Times New Roman"/>
          <w:b/>
          <w:bCs/>
          <w:sz w:val="22"/>
          <w:szCs w:val="22"/>
        </w:rPr>
        <w:t>tis. eur</w:t>
      </w:r>
      <w:r w:rsidR="00313D65">
        <w:rPr>
          <w:rFonts w:ascii="Arial Narrow" w:hAnsi="Arial Narrow" w:cs="Times New Roman"/>
          <w:b/>
          <w:bCs/>
          <w:sz w:val="22"/>
          <w:szCs w:val="22"/>
        </w:rPr>
        <w:t xml:space="preserve"> </w:t>
      </w:r>
      <w:r w:rsidRPr="00313D65" w:rsidR="00313D65">
        <w:rPr>
          <w:rFonts w:ascii="Arial Narrow" w:hAnsi="Arial Narrow" w:cs="Times New Roman"/>
          <w:bCs/>
          <w:sz w:val="22"/>
          <w:szCs w:val="22"/>
        </w:rPr>
        <w:t>na zabezpečenie financovania pôsobnosti obcí v uvedenej oblasti.</w:t>
      </w:r>
    </w:p>
    <w:p w:rsidR="00C52DD5" w:rsidP="00C52DD5">
      <w:pPr>
        <w:jc w:val="both"/>
        <w:rPr>
          <w:rFonts w:ascii="Arial Narrow" w:hAnsi="Arial Narrow" w:cs="Times New Roman"/>
          <w:sz w:val="22"/>
          <w:szCs w:val="22"/>
        </w:rPr>
      </w:pPr>
      <w:r>
        <w:rPr>
          <w:rFonts w:ascii="Arial Narrow" w:hAnsi="Arial Narrow" w:cs="Times New Roman"/>
          <w:sz w:val="22"/>
          <w:szCs w:val="22"/>
        </w:rPr>
        <w:tab/>
      </w: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Vývoj výdavkov podľa jednotlivých úsekov činnosti obcí sa podľa odhadu Ministerstva financií SR v rokoch 2009 až 2011 predpokl</w:t>
      </w:r>
      <w:r>
        <w:rPr>
          <w:rFonts w:ascii="Arial Narrow" w:hAnsi="Arial Narrow" w:cs="Times New Roman"/>
          <w:sz w:val="22"/>
          <w:szCs w:val="22"/>
        </w:rPr>
        <w:t>adá takto:</w:t>
      </w:r>
    </w:p>
    <w:p w:rsidR="00C52DD5" w:rsidP="00C52DD5">
      <w:pPr>
        <w:jc w:val="both"/>
        <w:rPr>
          <w:rFonts w:ascii="Arial Narrow" w:hAnsi="Arial Narrow" w:cs="Times New Roman"/>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Grid>
        <w:gridCol w:w="3600"/>
        <w:gridCol w:w="1800"/>
        <w:gridCol w:w="1800"/>
        <w:gridCol w:w="1800"/>
      </w:tblGrid>
      <w:tr>
        <w:tblPrEx>
          <w:tblW w:w="9000"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both"/>
              <w:rPr>
                <w:rFonts w:ascii="Arial Narrow" w:hAnsi="Arial Narrow" w:cs="Times New Roman"/>
                <w:b/>
                <w:color w:val="FFFFFF"/>
                <w:sz w:val="20"/>
                <w:szCs w:val="22"/>
              </w:rPr>
            </w:pPr>
            <w:r>
              <w:rPr>
                <w:rFonts w:ascii="Arial Narrow" w:hAnsi="Arial Narrow" w:cs="Times New Roman"/>
                <w:b/>
                <w:color w:val="FFFFFF"/>
                <w:sz w:val="20"/>
                <w:szCs w:val="22"/>
              </w:rPr>
              <w:t xml:space="preserve">Funkcia </w:t>
            </w:r>
            <w:r w:rsidRPr="000663D7">
              <w:rPr>
                <w:rFonts w:ascii="Arial Narrow" w:hAnsi="Arial Narrow" w:cs="Arial"/>
                <w:b/>
                <w:bCs/>
                <w:color w:val="FFFFFF"/>
                <w:sz w:val="20"/>
                <w:szCs w:val="22"/>
              </w:rPr>
              <w:t>(v tis. eur)</w:t>
            </w:r>
          </w:p>
        </w:tc>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2009</w:t>
            </w:r>
          </w:p>
        </w:tc>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2010</w:t>
            </w:r>
          </w:p>
        </w:tc>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2011</w:t>
            </w:r>
          </w:p>
        </w:tc>
      </w:tr>
      <w:tr>
        <w:tblPrEx>
          <w:tblW w:w="9000" w:type="dxa"/>
          <w:tblInd w:w="108" w:type="dxa"/>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01 Všeobecné verejné služby</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80"/>
              <w:jc w:val="right"/>
              <w:rPr>
                <w:rFonts w:ascii="Arial Narrow" w:hAnsi="Arial Narrow" w:cs="Times New Roman"/>
                <w:sz w:val="20"/>
                <w:szCs w:val="22"/>
              </w:rPr>
            </w:pPr>
            <w:r>
              <w:rPr>
                <w:rFonts w:ascii="Arial Narrow" w:hAnsi="Arial Narrow" w:cs="Times New Roman"/>
                <w:sz w:val="20"/>
                <w:szCs w:val="22"/>
              </w:rPr>
              <w:t>800 007</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836 985</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869 681</w:t>
            </w:r>
          </w:p>
        </w:tc>
      </w:tr>
      <w:tr>
        <w:tblPrEx>
          <w:tblW w:w="9000" w:type="dxa"/>
          <w:tblInd w:w="108" w:type="dxa"/>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02 Obrana</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332</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348</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365</w:t>
            </w:r>
          </w:p>
        </w:tc>
      </w:tr>
      <w:tr>
        <w:tblPrEx>
          <w:tblW w:w="9000" w:type="dxa"/>
          <w:tblInd w:w="108" w:type="dxa"/>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03 Verejný poriadok a bezpečnosť</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46 472</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59 749</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76 346</w:t>
            </w:r>
          </w:p>
        </w:tc>
      </w:tr>
      <w:tr>
        <w:tblPrEx>
          <w:tblW w:w="9000" w:type="dxa"/>
          <w:tblInd w:w="108" w:type="dxa"/>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04 Ekonomická oblasť</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414 605</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441 479</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469 827</w:t>
            </w:r>
          </w:p>
        </w:tc>
      </w:tr>
      <w:tr>
        <w:tblPrEx>
          <w:tblW w:w="9000" w:type="dxa"/>
          <w:tblInd w:w="108" w:type="dxa"/>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05 Ochrana životného prostredi</w:t>
            </w:r>
            <w:r>
              <w:rPr>
                <w:rFonts w:ascii="Arial Narrow" w:hAnsi="Arial Narrow" w:cs="Times New Roman"/>
                <w:sz w:val="20"/>
                <w:szCs w:val="22"/>
              </w:rPr>
              <w:t>a</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273 159</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292 936</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328 839</w:t>
            </w:r>
          </w:p>
        </w:tc>
      </w:tr>
      <w:tr>
        <w:tblPrEx>
          <w:tblW w:w="9000" w:type="dxa"/>
          <w:tblInd w:w="108" w:type="dxa"/>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06 Bývanie a občianska vybavenosť</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444 469</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497 190</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545 920</w:t>
            </w:r>
          </w:p>
        </w:tc>
      </w:tr>
      <w:tr>
        <w:tblPrEx>
          <w:tblW w:w="9000" w:type="dxa"/>
          <w:tblInd w:w="108" w:type="dxa"/>
        </w:tblPrEx>
        <w:trPr>
          <w:trHeight w:val="249"/>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07 Zdravotníctvo</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10 290</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10 788</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11 618</w:t>
            </w:r>
          </w:p>
        </w:tc>
      </w:tr>
      <w:tr>
        <w:tblPrEx>
          <w:tblW w:w="9000" w:type="dxa"/>
          <w:tblInd w:w="108" w:type="dxa"/>
        </w:tblPrEx>
        <w:trPr>
          <w:trHeight w:val="154"/>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08 Rekreácia, kultúra a náboženstvo</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204 083</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221 403</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237 502</w:t>
            </w:r>
          </w:p>
        </w:tc>
      </w:tr>
      <w:tr>
        <w:tblPrEx>
          <w:tblW w:w="9000" w:type="dxa"/>
          <w:tblInd w:w="108" w:type="dxa"/>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09 Vzdelávanie</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1 102 287</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1 146 362</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1 184 728</w:t>
            </w:r>
          </w:p>
        </w:tc>
      </w:tr>
      <w:tr>
        <w:tblPrEx>
          <w:tblW w:w="9000" w:type="dxa"/>
          <w:tblInd w:w="108" w:type="dxa"/>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10 Sociálne zabezpečenie</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164 043</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179 006</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211 597</w:t>
            </w:r>
          </w:p>
        </w:tc>
      </w:tr>
      <w:tr>
        <w:tblPrEx>
          <w:tblW w:w="9000" w:type="dxa"/>
          <w:tblInd w:w="108" w:type="dxa"/>
        </w:tblPrEx>
        <w:trPr>
          <w:trHeight w:hRule="auto" w:val="0"/>
        </w:trPr>
        <w:tc>
          <w:tcPr>
            <w:tcW w:w="36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both"/>
              <w:rPr>
                <w:rFonts w:ascii="Arial Narrow" w:hAnsi="Arial Narrow" w:cs="Times New Roman"/>
                <w:b/>
                <w:sz w:val="20"/>
                <w:szCs w:val="22"/>
              </w:rPr>
            </w:pPr>
            <w:r>
              <w:rPr>
                <w:rFonts w:ascii="Arial Narrow" w:hAnsi="Arial Narrow" w:cs="Times New Roman"/>
                <w:b/>
                <w:sz w:val="20"/>
                <w:szCs w:val="22"/>
              </w:rPr>
              <w:t>S p o l u</w:t>
            </w:r>
          </w:p>
        </w:tc>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3 459 747</w:t>
            </w:r>
          </w:p>
        </w:tc>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3 686 246</w:t>
            </w:r>
          </w:p>
        </w:tc>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3 936 423</w:t>
            </w:r>
          </w:p>
        </w:tc>
      </w:tr>
    </w:tbl>
    <w:p w:rsidR="00C52DD5" w:rsidP="00C52DD5">
      <w:pPr>
        <w:pStyle w:val="BodyText"/>
        <w:spacing w:after="0"/>
        <w:jc w:val="both"/>
        <w:rPr>
          <w:rFonts w:ascii="Arial Narrow" w:hAnsi="Arial Narrow" w:cs="Times New Roman"/>
          <w:sz w:val="22"/>
          <w:szCs w:val="22"/>
        </w:rPr>
      </w:pP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sz w:val="22"/>
          <w:szCs w:val="22"/>
        </w:rPr>
        <w:t>Vývoj príjmovej a výdavkovej časti rozpočtu obcí na roky  2009 až  2011 je nasledovný:</w:t>
      </w:r>
    </w:p>
    <w:p w:rsidR="00C52DD5" w:rsidP="00C52DD5">
      <w:pPr>
        <w:pStyle w:val="BodyText"/>
        <w:spacing w:after="0"/>
        <w:jc w:val="both"/>
        <w:rPr>
          <w:rFonts w:ascii="Arial Narrow" w:hAnsi="Arial Narrow" w:cs="Times New Roman"/>
          <w:sz w:val="22"/>
          <w:szCs w:val="22"/>
        </w:rPr>
      </w:pPr>
    </w:p>
    <w:tbl>
      <w:tblPr>
        <w:tblW w:w="9108"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Grid>
        <w:gridCol w:w="3348"/>
        <w:gridCol w:w="1440"/>
        <w:gridCol w:w="1440"/>
        <w:gridCol w:w="1440"/>
        <w:gridCol w:w="1440"/>
      </w:tblGrid>
      <w:tr>
        <w:tblPrEx>
          <w:tblW w:w="9108"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RPr="000663D7" w:rsidP="00C52DD5">
            <w:pPr>
              <w:jc w:val="both"/>
              <w:rPr>
                <w:rFonts w:ascii="Arial Narrow" w:hAnsi="Arial Narrow" w:cs="Times New Roman"/>
                <w:b/>
                <w:color w:val="FFFFFF"/>
                <w:sz w:val="20"/>
                <w:szCs w:val="22"/>
              </w:rPr>
            </w:pPr>
            <w:r w:rsidRPr="000663D7">
              <w:rPr>
                <w:rFonts w:ascii="Arial Narrow" w:hAnsi="Arial Narrow" w:cs="Times New Roman"/>
                <w:b/>
                <w:color w:val="FFFFFF"/>
                <w:sz w:val="20"/>
                <w:szCs w:val="22"/>
              </w:rPr>
              <w:t>(v tis. eur)</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2008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2009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2010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2011</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Príjmy obcí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80"/>
              <w:jc w:val="right"/>
              <w:rPr>
                <w:rFonts w:ascii="Arial Narrow" w:hAnsi="Arial Narrow" w:cs="Times New Roman"/>
                <w:b/>
                <w:i/>
                <w:sz w:val="20"/>
                <w:szCs w:val="22"/>
              </w:rPr>
            </w:pPr>
            <w:r>
              <w:rPr>
                <w:rFonts w:ascii="Arial Narrow" w:hAnsi="Arial Narrow" w:cs="Times New Roman"/>
                <w:b/>
                <w:i/>
                <w:sz w:val="20"/>
                <w:szCs w:val="22"/>
              </w:rPr>
              <w:t>3 190 161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80"/>
              <w:jc w:val="right"/>
              <w:rPr>
                <w:rFonts w:ascii="Arial Narrow" w:hAnsi="Arial Narrow" w:cs="Times New Roman"/>
                <w:b/>
                <w:i/>
                <w:sz w:val="20"/>
                <w:szCs w:val="22"/>
              </w:rPr>
            </w:pPr>
            <w:r>
              <w:rPr>
                <w:rFonts w:ascii="Arial Narrow" w:hAnsi="Arial Narrow" w:cs="Times New Roman"/>
                <w:b/>
                <w:i/>
                <w:sz w:val="20"/>
                <w:szCs w:val="22"/>
              </w:rPr>
              <w:t>3 620 737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3 857 195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4 097 413</w:t>
            </w:r>
          </w:p>
        </w:tc>
      </w:tr>
      <w:tr>
        <w:tblPrEx>
          <w:tblW w:w="9108" w:type="dxa"/>
          <w:jc w:val="center"/>
        </w:tblPrEx>
        <w:trPr>
          <w:trHeight w:val="227"/>
          <w:jc w:val="center"/>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E31076" w:rsidP="00C52DD5">
            <w:pPr>
              <w:jc w:val="both"/>
              <w:rPr>
                <w:rFonts w:ascii="Arial Narrow" w:hAnsi="Arial Narrow" w:cs="Times New Roman"/>
                <w:b/>
                <w:i/>
                <w:sz w:val="20"/>
                <w:szCs w:val="22"/>
              </w:rPr>
            </w:pPr>
            <w:r>
              <w:rPr>
                <w:rFonts w:ascii="Arial Narrow" w:hAnsi="Arial Narrow" w:cs="Times New Roman"/>
                <w:b/>
                <w:i/>
                <w:sz w:val="20"/>
                <w:szCs w:val="22"/>
              </w:rPr>
              <w:t xml:space="preserve">z </w:t>
            </w:r>
            <w:r w:rsidRPr="00E31076">
              <w:rPr>
                <w:rFonts w:ascii="Arial Narrow" w:hAnsi="Arial Narrow" w:cs="Times New Roman"/>
                <w:b/>
                <w:i/>
                <w:sz w:val="20"/>
                <w:szCs w:val="22"/>
              </w:rPr>
              <w:t xml:space="preserve"> toh</w:t>
            </w:r>
            <w:r w:rsidRPr="00E31076">
              <w:rPr>
                <w:rFonts w:ascii="Arial Narrow" w:hAnsi="Arial Narrow" w:cs="Times New Roman"/>
                <w:b/>
                <w:i/>
                <w:sz w:val="20"/>
                <w:szCs w:val="22"/>
              </w:rPr>
              <w:t>o</w:t>
            </w:r>
            <w:r>
              <w:rPr>
                <w:rFonts w:ascii="Arial Narrow" w:hAnsi="Arial Narrow" w:cs="Times New Roman"/>
                <w:b/>
                <w:i/>
                <w:sz w:val="20"/>
                <w:szCs w:val="22"/>
              </w:rPr>
              <w:t>:</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daňové príjmy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1 548 231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1 814 013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1 945 837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2 117 224</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nedaňové príjmy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446 458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xml:space="preserve">494 589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497 909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501 228</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granty a  transfery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900 046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1 001 772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1 089 808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1 161 959</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zo splátok tuz. úverov, pôžičiek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0,0</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z predaja majetk. účastí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w:t>
            </w:r>
            <w:r>
              <w:rPr>
                <w:rFonts w:ascii="Arial Narrow" w:hAnsi="Arial Narrow" w:cs="Times New Roman"/>
                <w:sz w:val="20"/>
                <w:szCs w:val="22"/>
              </w:rPr>
              <w:t>,0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8 298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8 298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8 298</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zostat. prostr. z predch. rokov a prevod prostr. z peňaž. fondov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53 110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136 095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132 776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126 137</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4"/>
              </w:numPr>
              <w:tabs>
                <w:tab w:val="left" w:pos="360"/>
              </w:tabs>
              <w:jc w:val="both"/>
              <w:rPr>
                <w:rFonts w:ascii="Arial Narrow" w:hAnsi="Arial Narrow" w:cs="Times New Roman"/>
                <w:sz w:val="20"/>
                <w:szCs w:val="22"/>
              </w:rPr>
            </w:pPr>
            <w:r>
              <w:rPr>
                <w:rFonts w:ascii="Arial Narrow" w:hAnsi="Arial Narrow" w:cs="Times New Roman"/>
                <w:sz w:val="20"/>
                <w:szCs w:val="22"/>
              </w:rPr>
              <w:t>prijaté úvery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242 316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165 970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182 567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182 567</w:t>
            </w:r>
          </w:p>
        </w:tc>
      </w:tr>
      <w:tr>
        <w:tblPrEx>
          <w:tblW w:w="9108" w:type="dxa"/>
          <w:jc w:val="center"/>
        </w:tblPrEx>
        <w:trPr>
          <w:trHeight w:val="227"/>
          <w:jc w:val="center"/>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Výdavky obcí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3 097 218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3 459 747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3 686 246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3 936 422</w:t>
            </w:r>
          </w:p>
        </w:tc>
      </w:tr>
      <w:tr>
        <w:tblPrEx>
          <w:tblW w:w="9108" w:type="dxa"/>
          <w:jc w:val="center"/>
        </w:tblPrEx>
        <w:trPr>
          <w:trHeight w:val="227"/>
          <w:jc w:val="center"/>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z  toho:</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mzdy a</w:t>
            </w:r>
            <w:r>
              <w:rPr>
                <w:rFonts w:ascii="Arial Narrow" w:hAnsi="Arial Narrow" w:cs="Times New Roman"/>
                <w:sz w:val="20"/>
                <w:szCs w:val="22"/>
              </w:rPr>
              <w:t> odvody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1 134 488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1 241 029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1 292 619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1 398 976</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tovary a služby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809 457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869 332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944 028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989 989</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bežné transfery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308 670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327 823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340 072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358 494</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splácanie úrokov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34 854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36 513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38 173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38 173</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kapitálové výdavky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607 266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835 677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918 662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994 779</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úvery a účasť na majetku (FO)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3 319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33 194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33 194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33 194</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splácanie istiny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199 164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116 179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119 498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122 817</w:t>
            </w:r>
          </w:p>
        </w:tc>
      </w:tr>
      <w:tr>
        <w:tblPrEx>
          <w:tblW w:w="9108" w:type="dxa"/>
          <w:jc w:val="center"/>
        </w:tblPrEx>
        <w:trPr>
          <w:trHeight w:val="227"/>
          <w:jc w:val="center"/>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Celkový prebytok obcí</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92 943</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160 990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170 949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160 991</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vylúčenie finančných operácií</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65"/>
              <w:jc w:val="right"/>
              <w:rPr>
                <w:rFonts w:ascii="Arial Narrow" w:hAnsi="Arial Narrow" w:cs="Times New Roman"/>
                <w:b/>
                <w:i/>
                <w:sz w:val="20"/>
                <w:szCs w:val="22"/>
              </w:rPr>
            </w:pPr>
            <w:r>
              <w:rPr>
                <w:rFonts w:ascii="Arial Narrow" w:hAnsi="Arial Narrow" w:cs="Times New Roman"/>
                <w:b/>
                <w:i/>
                <w:sz w:val="20"/>
                <w:szCs w:val="22"/>
              </w:rPr>
              <w:t>- 92 943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65"/>
              <w:jc w:val="right"/>
              <w:rPr>
                <w:rFonts w:ascii="Arial Narrow" w:hAnsi="Arial Narrow" w:cs="Times New Roman"/>
                <w:b/>
                <w:i/>
                <w:sz w:val="20"/>
                <w:szCs w:val="22"/>
              </w:rPr>
            </w:pPr>
            <w:r>
              <w:rPr>
                <w:rFonts w:ascii="Arial Narrow" w:hAnsi="Arial Narrow" w:cs="Times New Roman"/>
                <w:b/>
                <w:i/>
                <w:sz w:val="20"/>
                <w:szCs w:val="22"/>
              </w:rPr>
              <w:t>- 160 990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- 170 949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- 160 991</w:t>
            </w:r>
          </w:p>
        </w:tc>
      </w:tr>
      <w:tr>
        <w:tblPrEx>
          <w:tblW w:w="9108" w:type="dxa"/>
          <w:jc w:val="center"/>
        </w:tblPrEx>
        <w:trPr>
          <w:trHeight w:val="227"/>
          <w:jc w:val="center"/>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z toho:</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6"/>
              </w:numPr>
              <w:tabs>
                <w:tab w:val="left" w:pos="360"/>
              </w:tabs>
              <w:jc w:val="both"/>
              <w:rPr>
                <w:rFonts w:ascii="Arial Narrow" w:hAnsi="Arial Narrow" w:cs="Times New Roman"/>
                <w:b/>
                <w:sz w:val="20"/>
                <w:szCs w:val="22"/>
              </w:rPr>
            </w:pPr>
            <w:r>
              <w:rPr>
                <w:rFonts w:ascii="Arial Narrow" w:hAnsi="Arial Narrow" w:cs="Times New Roman"/>
                <w:sz w:val="20"/>
                <w:szCs w:val="22"/>
              </w:rPr>
              <w:t>vylúčenie príjm</w:t>
            </w:r>
            <w:r>
              <w:rPr>
                <w:rFonts w:ascii="Arial Narrow" w:hAnsi="Arial Narrow" w:cs="Times New Roman"/>
                <w:sz w:val="20"/>
                <w:szCs w:val="22"/>
              </w:rPr>
              <w:t xml:space="preserve">ových FO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- 295 426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- 310 363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- 323 641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- 317 002</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6"/>
              </w:numPr>
              <w:tabs>
                <w:tab w:val="left" w:pos="360"/>
              </w:tabs>
              <w:jc w:val="both"/>
              <w:rPr>
                <w:rFonts w:ascii="Arial Narrow" w:hAnsi="Arial Narrow" w:cs="Times New Roman"/>
                <w:sz w:val="20"/>
                <w:szCs w:val="22"/>
              </w:rPr>
            </w:pPr>
            <w:r>
              <w:rPr>
                <w:rFonts w:ascii="Arial Narrow" w:hAnsi="Arial Narrow" w:cs="Times New Roman"/>
                <w:sz w:val="20"/>
                <w:szCs w:val="22"/>
              </w:rPr>
              <w:t>vylúčenie výdavkov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202 483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149 373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152 692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156 011</w:t>
            </w:r>
          </w:p>
        </w:tc>
      </w:tr>
      <w:tr>
        <w:tblPrEx>
          <w:tblW w:w="9108" w:type="dxa"/>
          <w:jc w:val="center"/>
        </w:tblPrEx>
        <w:trPr>
          <w:trHeight w:val="227"/>
          <w:jc w:val="center"/>
        </w:trPr>
        <w:tc>
          <w:tcPr>
            <w:tcW w:w="334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Prebytok  / schodok obcí  (ESA 95)</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50"/>
              <w:jc w:val="right"/>
              <w:rPr>
                <w:rFonts w:ascii="Arial Narrow" w:hAnsi="Arial Narrow" w:cs="Times New Roman"/>
                <w:b/>
                <w:i/>
                <w:sz w:val="20"/>
                <w:szCs w:val="22"/>
              </w:rPr>
            </w:pPr>
            <w:r>
              <w:rPr>
                <w:rFonts w:ascii="Arial Narrow" w:hAnsi="Arial Narrow" w:cs="Times New Roman"/>
                <w:b/>
                <w:i/>
                <w:sz w:val="20"/>
                <w:szCs w:val="22"/>
              </w:rPr>
              <w:t>0,0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50"/>
              <w:jc w:val="right"/>
              <w:rPr>
                <w:rFonts w:ascii="Arial Narrow" w:hAnsi="Arial Narrow" w:cs="Times New Roman"/>
                <w:b/>
                <w:i/>
                <w:sz w:val="20"/>
                <w:szCs w:val="22"/>
              </w:rPr>
            </w:pPr>
            <w:r>
              <w:rPr>
                <w:rFonts w:ascii="Arial Narrow" w:hAnsi="Arial Narrow" w:cs="Times New Roman"/>
                <w:b/>
                <w:i/>
                <w:sz w:val="20"/>
                <w:szCs w:val="22"/>
              </w:rPr>
              <w:t>0,0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0,0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335"/>
              <w:jc w:val="right"/>
              <w:rPr>
                <w:rFonts w:ascii="Arial Narrow" w:hAnsi="Arial Narrow" w:cs="Times New Roman"/>
                <w:b/>
                <w:i/>
                <w:sz w:val="20"/>
                <w:szCs w:val="22"/>
              </w:rPr>
            </w:pPr>
            <w:r>
              <w:rPr>
                <w:rFonts w:ascii="Arial Narrow" w:hAnsi="Arial Narrow" w:cs="Times New Roman"/>
                <w:b/>
                <w:i/>
                <w:sz w:val="20"/>
                <w:szCs w:val="22"/>
              </w:rPr>
              <w:t>0,0</w:t>
            </w:r>
          </w:p>
        </w:tc>
      </w:tr>
    </w:tbl>
    <w:p w:rsidR="00C52DD5" w:rsidP="00C52DD5">
      <w:pPr>
        <w:ind w:firstLine="708"/>
        <w:jc w:val="both"/>
        <w:rPr>
          <w:rFonts w:ascii="Arial Narrow" w:hAnsi="Arial Narrow" w:cs="Times New Roman"/>
          <w:sz w:val="22"/>
          <w:szCs w:val="22"/>
        </w:rPr>
      </w:pPr>
    </w:p>
    <w:p w:rsidR="00C52DD5" w:rsidRPr="000729CF" w:rsidP="00C52DD5">
      <w:pPr>
        <w:ind w:firstLine="708"/>
        <w:jc w:val="both"/>
        <w:rPr>
          <w:rFonts w:ascii="Arial Narrow" w:hAnsi="Arial Narrow" w:cs="Times New Roman"/>
          <w:sz w:val="22"/>
          <w:szCs w:val="22"/>
        </w:rPr>
      </w:pPr>
      <w:r>
        <w:rPr>
          <w:rFonts w:ascii="Arial Narrow" w:hAnsi="Arial Narrow" w:cs="Times New Roman"/>
          <w:sz w:val="22"/>
          <w:szCs w:val="22"/>
        </w:rPr>
        <w:t>Celkové príjmy obcí v roku 2009 oproti roku 2008 rastú o 13,5 %, z toho daňové príjmy rastú o 17,</w:t>
      </w:r>
      <w:r>
        <w:rPr>
          <w:rFonts w:ascii="Arial Narrow" w:hAnsi="Arial Narrow" w:cs="Times New Roman"/>
          <w:sz w:val="22"/>
          <w:szCs w:val="22"/>
        </w:rPr>
        <w:t xml:space="preserve">2 %. </w:t>
      </w:r>
      <w:r w:rsidRPr="000729CF">
        <w:rPr>
          <w:rFonts w:ascii="Arial Narrow" w:hAnsi="Arial Narrow" w:cs="Times New Roman"/>
          <w:sz w:val="22"/>
          <w:szCs w:val="22"/>
        </w:rPr>
        <w:t>V roku 20</w:t>
      </w:r>
      <w:r>
        <w:rPr>
          <w:rFonts w:ascii="Arial Narrow" w:hAnsi="Arial Narrow" w:cs="Times New Roman"/>
          <w:sz w:val="22"/>
          <w:szCs w:val="22"/>
        </w:rPr>
        <w:t>10</w:t>
      </w:r>
      <w:r w:rsidRPr="000729CF">
        <w:rPr>
          <w:rFonts w:ascii="Arial Narrow" w:hAnsi="Arial Narrow" w:cs="Times New Roman"/>
          <w:sz w:val="22"/>
          <w:szCs w:val="22"/>
        </w:rPr>
        <w:t xml:space="preserve"> sa oproti roku 200</w:t>
      </w:r>
      <w:r>
        <w:rPr>
          <w:rFonts w:ascii="Arial Narrow" w:hAnsi="Arial Narrow" w:cs="Times New Roman"/>
          <w:sz w:val="22"/>
          <w:szCs w:val="22"/>
        </w:rPr>
        <w:t>9</w:t>
      </w:r>
      <w:r w:rsidRPr="000729CF">
        <w:rPr>
          <w:rFonts w:ascii="Arial Narrow" w:hAnsi="Arial Narrow" w:cs="Times New Roman"/>
          <w:sz w:val="22"/>
          <w:szCs w:val="22"/>
        </w:rPr>
        <w:t xml:space="preserve"> v rozpočtoch obcí v príjmoch očakáva </w:t>
      </w:r>
      <w:r>
        <w:rPr>
          <w:rFonts w:ascii="Arial Narrow" w:hAnsi="Arial Narrow" w:cs="Times New Roman"/>
          <w:sz w:val="22"/>
          <w:szCs w:val="22"/>
        </w:rPr>
        <w:t>nárast</w:t>
      </w:r>
      <w:r w:rsidRPr="000729CF">
        <w:rPr>
          <w:rFonts w:ascii="Arial Narrow" w:hAnsi="Arial Narrow" w:cs="Times New Roman"/>
          <w:sz w:val="22"/>
          <w:szCs w:val="22"/>
        </w:rPr>
        <w:t xml:space="preserve"> o</w:t>
      </w:r>
      <w:r>
        <w:rPr>
          <w:rFonts w:ascii="Arial Narrow" w:hAnsi="Arial Narrow" w:cs="Times New Roman"/>
          <w:sz w:val="22"/>
          <w:szCs w:val="22"/>
        </w:rPr>
        <w:t> 6,5</w:t>
      </w:r>
      <w:r w:rsidRPr="000729CF">
        <w:rPr>
          <w:rFonts w:ascii="Arial Narrow" w:hAnsi="Arial Narrow" w:cs="Times New Roman"/>
          <w:sz w:val="22"/>
          <w:szCs w:val="22"/>
        </w:rPr>
        <w:t xml:space="preserve"> % a v roku 201</w:t>
      </w:r>
      <w:r>
        <w:rPr>
          <w:rFonts w:ascii="Arial Narrow" w:hAnsi="Arial Narrow" w:cs="Times New Roman"/>
          <w:sz w:val="22"/>
          <w:szCs w:val="22"/>
        </w:rPr>
        <w:t>1</w:t>
      </w:r>
      <w:r w:rsidRPr="000729CF">
        <w:rPr>
          <w:rFonts w:ascii="Arial Narrow" w:hAnsi="Arial Narrow" w:cs="Times New Roman"/>
          <w:sz w:val="22"/>
          <w:szCs w:val="22"/>
        </w:rPr>
        <w:t xml:space="preserve"> oproti roku 20</w:t>
      </w:r>
      <w:r>
        <w:rPr>
          <w:rFonts w:ascii="Arial Narrow" w:hAnsi="Arial Narrow" w:cs="Times New Roman"/>
          <w:sz w:val="22"/>
          <w:szCs w:val="22"/>
        </w:rPr>
        <w:t>10</w:t>
      </w:r>
      <w:r w:rsidRPr="000729CF">
        <w:rPr>
          <w:rFonts w:ascii="Arial Narrow" w:hAnsi="Arial Narrow" w:cs="Times New Roman"/>
          <w:sz w:val="22"/>
          <w:szCs w:val="22"/>
        </w:rPr>
        <w:t xml:space="preserve"> v príjmovej časti rozpočtu</w:t>
      </w:r>
      <w:r>
        <w:rPr>
          <w:rFonts w:ascii="Arial Narrow" w:hAnsi="Arial Narrow" w:cs="Times New Roman"/>
          <w:sz w:val="22"/>
          <w:szCs w:val="22"/>
        </w:rPr>
        <w:t xml:space="preserve"> sa očakáva </w:t>
      </w:r>
      <w:r w:rsidRPr="000729CF">
        <w:rPr>
          <w:rFonts w:ascii="Arial Narrow" w:hAnsi="Arial Narrow" w:cs="Times New Roman"/>
          <w:sz w:val="22"/>
          <w:szCs w:val="22"/>
        </w:rPr>
        <w:t>nárast o</w:t>
      </w:r>
      <w:r>
        <w:rPr>
          <w:rFonts w:ascii="Arial Narrow" w:hAnsi="Arial Narrow" w:cs="Times New Roman"/>
          <w:sz w:val="22"/>
          <w:szCs w:val="22"/>
        </w:rPr>
        <w:t> 6,2</w:t>
      </w:r>
      <w:r w:rsidRPr="000729CF">
        <w:rPr>
          <w:rFonts w:ascii="Arial Narrow" w:hAnsi="Arial Narrow" w:cs="Times New Roman"/>
          <w:sz w:val="22"/>
          <w:szCs w:val="22"/>
        </w:rPr>
        <w:t xml:space="preserve"> %</w:t>
      </w:r>
      <w:r>
        <w:rPr>
          <w:rFonts w:ascii="Arial Narrow" w:hAnsi="Arial Narrow" w:cs="Times New Roman"/>
          <w:sz w:val="22"/>
          <w:szCs w:val="22"/>
        </w:rPr>
        <w:t xml:space="preserve">. </w:t>
      </w:r>
      <w:r w:rsidRPr="000729CF">
        <w:rPr>
          <w:rFonts w:ascii="Arial Narrow" w:hAnsi="Arial Narrow" w:cs="Times New Roman"/>
          <w:sz w:val="22"/>
          <w:szCs w:val="22"/>
        </w:rPr>
        <w:t>Nárast sa očakáva v daňových príjmoch, ktorých vyššie výnosy, a tým aj ich vyššie smerovanie do rozpočtov obcí sa očakáva v roku 20</w:t>
      </w:r>
      <w:r>
        <w:rPr>
          <w:rFonts w:ascii="Arial Narrow" w:hAnsi="Arial Narrow" w:cs="Times New Roman"/>
          <w:sz w:val="22"/>
          <w:szCs w:val="22"/>
        </w:rPr>
        <w:t xml:space="preserve">10 </w:t>
      </w:r>
      <w:r w:rsidRPr="000729CF">
        <w:rPr>
          <w:rFonts w:ascii="Arial Narrow" w:hAnsi="Arial Narrow" w:cs="Times New Roman"/>
          <w:sz w:val="22"/>
          <w:szCs w:val="22"/>
        </w:rPr>
        <w:t>oproti roku 200</w:t>
      </w:r>
      <w:r>
        <w:rPr>
          <w:rFonts w:ascii="Arial Narrow" w:hAnsi="Arial Narrow" w:cs="Times New Roman"/>
          <w:sz w:val="22"/>
          <w:szCs w:val="22"/>
        </w:rPr>
        <w:t>9</w:t>
      </w:r>
      <w:r w:rsidRPr="000729CF">
        <w:rPr>
          <w:rFonts w:ascii="Arial Narrow" w:hAnsi="Arial Narrow" w:cs="Times New Roman"/>
          <w:sz w:val="22"/>
          <w:szCs w:val="22"/>
        </w:rPr>
        <w:t xml:space="preserve"> o</w:t>
      </w:r>
      <w:r>
        <w:rPr>
          <w:rFonts w:ascii="Arial Narrow" w:hAnsi="Arial Narrow" w:cs="Times New Roman"/>
          <w:sz w:val="22"/>
          <w:szCs w:val="22"/>
        </w:rPr>
        <w:t> 7,3</w:t>
      </w:r>
      <w:r w:rsidRPr="000729CF">
        <w:rPr>
          <w:rFonts w:ascii="Arial Narrow" w:hAnsi="Arial Narrow" w:cs="Times New Roman"/>
          <w:sz w:val="22"/>
          <w:szCs w:val="22"/>
        </w:rPr>
        <w:t xml:space="preserve"> % a v roku 201</w:t>
      </w:r>
      <w:r>
        <w:rPr>
          <w:rFonts w:ascii="Arial Narrow" w:hAnsi="Arial Narrow" w:cs="Times New Roman"/>
          <w:sz w:val="22"/>
          <w:szCs w:val="22"/>
        </w:rPr>
        <w:t>1</w:t>
      </w:r>
      <w:r w:rsidRPr="000729CF">
        <w:rPr>
          <w:rFonts w:ascii="Arial Narrow" w:hAnsi="Arial Narrow" w:cs="Times New Roman"/>
          <w:sz w:val="22"/>
          <w:szCs w:val="22"/>
        </w:rPr>
        <w:t xml:space="preserve"> oproti roku 20</w:t>
      </w:r>
      <w:r>
        <w:rPr>
          <w:rFonts w:ascii="Arial Narrow" w:hAnsi="Arial Narrow" w:cs="Times New Roman"/>
          <w:sz w:val="22"/>
          <w:szCs w:val="22"/>
        </w:rPr>
        <w:t xml:space="preserve">10 </w:t>
      </w:r>
      <w:r w:rsidRPr="000729CF">
        <w:rPr>
          <w:rFonts w:ascii="Arial Narrow" w:hAnsi="Arial Narrow" w:cs="Times New Roman"/>
          <w:sz w:val="22"/>
          <w:szCs w:val="22"/>
        </w:rPr>
        <w:t>o</w:t>
      </w:r>
      <w:r>
        <w:rPr>
          <w:rFonts w:ascii="Arial Narrow" w:hAnsi="Arial Narrow" w:cs="Times New Roman"/>
          <w:sz w:val="22"/>
          <w:szCs w:val="22"/>
        </w:rPr>
        <w:t> 8,8</w:t>
      </w:r>
      <w:r w:rsidRPr="000729CF">
        <w:rPr>
          <w:rFonts w:ascii="Arial Narrow" w:hAnsi="Arial Narrow" w:cs="Times New Roman"/>
          <w:sz w:val="22"/>
          <w:szCs w:val="22"/>
        </w:rPr>
        <w:t xml:space="preserve"> %.  </w:t>
      </w:r>
    </w:p>
    <w:p w:rsidR="00C52DD5" w:rsidP="00C52DD5">
      <w:pPr>
        <w:ind w:firstLine="708"/>
        <w:jc w:val="both"/>
        <w:rPr>
          <w:rFonts w:ascii="Arial Narrow" w:hAnsi="Arial Narrow" w:cs="Times New Roman"/>
          <w:sz w:val="22"/>
          <w:szCs w:val="22"/>
        </w:rPr>
      </w:pPr>
    </w:p>
    <w:p w:rsidR="00C52DD5" w:rsidRPr="000729CF" w:rsidP="00C52DD5">
      <w:pPr>
        <w:ind w:firstLine="708"/>
        <w:jc w:val="both"/>
        <w:rPr>
          <w:rFonts w:ascii="Arial Narrow" w:hAnsi="Arial Narrow" w:cs="Times New Roman"/>
          <w:sz w:val="22"/>
          <w:szCs w:val="22"/>
        </w:rPr>
      </w:pPr>
      <w:r>
        <w:rPr>
          <w:rFonts w:ascii="Arial Narrow" w:hAnsi="Arial Narrow" w:cs="Times New Roman"/>
          <w:sz w:val="22"/>
          <w:szCs w:val="22"/>
        </w:rPr>
        <w:t>Vo výdavkovej časti rozpočtu obcí sa očakáva v roku 2009 oproti roku 2008 nárast o 11,7 %, v roku 2010 oproti roku 2009 o 6,5 % a v roku</w:t>
      </w:r>
      <w:r>
        <w:rPr>
          <w:rFonts w:ascii="Arial Narrow" w:hAnsi="Arial Narrow" w:cs="Times New Roman"/>
          <w:sz w:val="22"/>
          <w:szCs w:val="22"/>
        </w:rPr>
        <w:t xml:space="preserve"> 2011 v porovnaní s rokom 2010 o 6,8 %.</w:t>
      </w:r>
    </w:p>
    <w:p w:rsidR="00C52DD5" w:rsidP="00C52DD5">
      <w:pPr>
        <w:pStyle w:val="BodyText"/>
        <w:spacing w:after="0"/>
        <w:jc w:val="both"/>
        <w:rPr>
          <w:rFonts w:ascii="Arial Narrow" w:hAnsi="Arial Narrow" w:cs="Times New Roman"/>
          <w:b/>
          <w:sz w:val="22"/>
          <w:szCs w:val="22"/>
        </w:rPr>
      </w:pPr>
    </w:p>
    <w:p w:rsidR="00C52DD5" w:rsidP="00C52DD5">
      <w:pPr>
        <w:pStyle w:val="BodyText"/>
        <w:spacing w:after="0"/>
        <w:jc w:val="both"/>
        <w:rPr>
          <w:rFonts w:ascii="Arial Narrow" w:hAnsi="Arial Narrow" w:cs="Times New Roman"/>
          <w:b/>
          <w:sz w:val="22"/>
          <w:szCs w:val="22"/>
        </w:rPr>
      </w:pPr>
      <w:r>
        <w:rPr>
          <w:rFonts w:ascii="Arial Narrow" w:hAnsi="Arial Narrow" w:cs="Times New Roman"/>
          <w:b/>
          <w:sz w:val="22"/>
          <w:szCs w:val="22"/>
        </w:rPr>
        <w:t>1.2. Vyššie územné celky</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Predpokladá sa, že VÚC v roku 2009 dosiahnu </w:t>
      </w:r>
      <w:r>
        <w:rPr>
          <w:rFonts w:ascii="Arial Narrow" w:hAnsi="Arial Narrow" w:cs="Times New Roman"/>
          <w:b/>
          <w:sz w:val="22"/>
          <w:szCs w:val="22"/>
        </w:rPr>
        <w:t>celkové príjmy vo výške 1 131 333 tis. eur</w:t>
      </w:r>
      <w:r>
        <w:rPr>
          <w:rFonts w:ascii="Arial Narrow" w:hAnsi="Arial Narrow" w:cs="Times New Roman"/>
          <w:sz w:val="22"/>
          <w:szCs w:val="22"/>
        </w:rPr>
        <w:t xml:space="preserve"> a </w:t>
      </w:r>
      <w:r>
        <w:rPr>
          <w:rFonts w:ascii="Arial Narrow" w:hAnsi="Arial Narrow" w:cs="Times New Roman"/>
          <w:b/>
          <w:sz w:val="22"/>
          <w:szCs w:val="22"/>
        </w:rPr>
        <w:t xml:space="preserve">celkové výdavky v sume 1 131 333 tis. eur. </w:t>
      </w:r>
      <w:r>
        <w:rPr>
          <w:rFonts w:ascii="Arial Narrow" w:hAnsi="Arial Narrow" w:cs="Times New Roman"/>
          <w:sz w:val="22"/>
          <w:szCs w:val="22"/>
        </w:rPr>
        <w:t>Uvedené údaje sú odhadom Ministerstva financií SR vzhľadom na to, že financovanie samosprávnych kompetencií je v plnej pôsobnosti VÚC, ktorých zastupiteľstvá rozhodujú o rozdelení a použití prostriedkov podľa jednotlivých úsekov v rámci schválených rozpočtov. VÚC takto samostatne rozhodujú cca o 63,3 % svojich p</w:t>
      </w:r>
      <w:r>
        <w:rPr>
          <w:rFonts w:ascii="Arial Narrow" w:hAnsi="Arial Narrow" w:cs="Times New Roman"/>
          <w:sz w:val="22"/>
          <w:szCs w:val="22"/>
        </w:rPr>
        <w:t>ríjmov.</w:t>
      </w:r>
    </w:p>
    <w:p w:rsidR="00C52DD5" w:rsidP="00C52DD5">
      <w:pPr>
        <w:ind w:firstLine="708"/>
        <w:jc w:val="both"/>
        <w:rPr>
          <w:rFonts w:ascii="Arial Narrow" w:hAnsi="Arial Narrow" w:cs="Times New Roman"/>
          <w:b/>
          <w:sz w:val="22"/>
          <w:szCs w:val="22"/>
        </w:rPr>
      </w:pP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b/>
          <w:sz w:val="22"/>
          <w:szCs w:val="22"/>
        </w:rPr>
        <w:t xml:space="preserve">Daňové príjmy </w:t>
      </w:r>
      <w:r>
        <w:rPr>
          <w:rFonts w:ascii="Arial Narrow" w:hAnsi="Arial Narrow" w:cs="Times New Roman"/>
          <w:sz w:val="22"/>
          <w:szCs w:val="22"/>
        </w:rPr>
        <w:t>sa očakávajú v celkovej sume</w:t>
      </w:r>
      <w:r>
        <w:rPr>
          <w:rFonts w:ascii="Arial Narrow" w:hAnsi="Arial Narrow" w:cs="Times New Roman"/>
          <w:b/>
          <w:sz w:val="22"/>
          <w:szCs w:val="22"/>
        </w:rPr>
        <w:t xml:space="preserve"> 606 551 tis. eur, </w:t>
      </w:r>
      <w:r>
        <w:rPr>
          <w:rFonts w:ascii="Arial Narrow" w:hAnsi="Arial Narrow" w:cs="Times New Roman"/>
          <w:sz w:val="22"/>
          <w:szCs w:val="22"/>
        </w:rPr>
        <w:t xml:space="preserve">ktoré  VÚC získajú z  výnosu dane z príjmov  platenej  fyzickými   osobami  v sume 477 034 tis. eur, z výnosu dane z  motorových vozidiel v sume 126 469 tis. eur a zo sankcií uložených v daňovom konaní v sume 3 048 tis. eur. Predpoklad vývoja daňových príjmov VÚC v rokoch 2009 až 2011 je nasledovný: </w:t>
      </w:r>
    </w:p>
    <w:p w:rsidR="00C52DD5" w:rsidP="00C52DD5">
      <w:pPr>
        <w:pStyle w:val="BodyText"/>
        <w:spacing w:after="0"/>
        <w:jc w:val="both"/>
        <w:rPr>
          <w:rFonts w:ascii="Arial Narrow" w:hAnsi="Arial Narrow" w:cs="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Grid>
        <w:gridCol w:w="2851"/>
        <w:gridCol w:w="900"/>
        <w:gridCol w:w="1785"/>
        <w:gridCol w:w="1620"/>
        <w:gridCol w:w="1620"/>
      </w:tblGrid>
      <w:tr>
        <w:tblPrEx>
          <w:tblW w:w="0" w:type="auto"/>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Height w:val="285"/>
          <w:tblHeader/>
          <w:jc w:val="center"/>
        </w:trPr>
        <w:tc>
          <w:tcPr>
            <w:tcW w:w="0" w:type="auto"/>
            <w:vMerge w:val="restart"/>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both"/>
              <w:rPr>
                <w:rFonts w:ascii="Arial Narrow" w:hAnsi="Arial Narrow" w:cs="Times New Roman"/>
                <w:b/>
                <w:i/>
                <w:sz w:val="20"/>
                <w:szCs w:val="22"/>
              </w:rPr>
            </w:pPr>
          </w:p>
          <w:p w:rsidR="00C52DD5" w:rsidRPr="000663D7" w:rsidP="00C52DD5">
            <w:pPr>
              <w:jc w:val="both"/>
              <w:rPr>
                <w:rFonts w:ascii="Arial Narrow" w:hAnsi="Arial Narrow" w:cs="Times New Roman"/>
                <w:b/>
                <w:i/>
                <w:sz w:val="20"/>
                <w:szCs w:val="22"/>
              </w:rPr>
            </w:pPr>
            <w:r w:rsidRPr="000663D7">
              <w:rPr>
                <w:rFonts w:ascii="Arial Narrow" w:hAnsi="Arial Narrow" w:cs="Arial"/>
                <w:b/>
                <w:bCs/>
                <w:color w:val="FFFFFF"/>
                <w:sz w:val="20"/>
                <w:szCs w:val="22"/>
              </w:rPr>
              <w:t>(v tis. eur)</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2008</w:t>
            </w:r>
          </w:p>
          <w:p w:rsidR="00C52DD5" w:rsidP="00C52DD5">
            <w:pPr>
              <w:jc w:val="center"/>
              <w:rPr>
                <w:rFonts w:ascii="Arial Narrow" w:hAnsi="Arial Narrow" w:cs="Times New Roman"/>
                <w:b/>
                <w:sz w:val="20"/>
                <w:szCs w:val="22"/>
              </w:rPr>
            </w:pPr>
            <w:r>
              <w:rPr>
                <w:rFonts w:ascii="Arial Narrow" w:hAnsi="Arial Narrow" w:cs="Times New Roman"/>
                <w:b/>
                <w:sz w:val="20"/>
                <w:szCs w:val="22"/>
              </w:rPr>
              <w:t>rozpočet</w:t>
            </w:r>
          </w:p>
        </w:tc>
        <w:tc>
          <w:tcPr>
            <w:tcW w:w="5025" w:type="dxa"/>
            <w:gridSpan w:val="3"/>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Predpoklad</w:t>
            </w:r>
          </w:p>
        </w:tc>
      </w:tr>
      <w:tr>
        <w:tblPrEx>
          <w:tblW w:w="0" w:type="auto"/>
          <w:jc w:val="center"/>
        </w:tblPrEx>
        <w:trPr>
          <w:cantSplit/>
          <w:trHeight w:val="285"/>
          <w:jc w:val="center"/>
        </w:trPr>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rPr>
                <w:rFonts w:ascii="Arial Narrow" w:hAnsi="Arial Narrow" w:cs="Times New Roman"/>
                <w:b/>
                <w:i/>
                <w:sz w:val="20"/>
                <w:szCs w:val="22"/>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rPr>
                <w:rFonts w:ascii="Arial Narrow" w:hAnsi="Arial Narrow" w:cs="Times New Roman"/>
                <w:b/>
                <w:sz w:val="20"/>
                <w:szCs w:val="22"/>
              </w:rPr>
            </w:pPr>
          </w:p>
        </w:tc>
        <w:tc>
          <w:tcPr>
            <w:tcW w:w="1785"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2009</w:t>
            </w:r>
          </w:p>
        </w:tc>
        <w:tc>
          <w:tcPr>
            <w:tcW w:w="162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2010</w:t>
            </w:r>
          </w:p>
        </w:tc>
        <w:tc>
          <w:tcPr>
            <w:tcW w:w="162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center"/>
          </w:tcPr>
          <w:p w:rsidR="00C52DD5" w:rsidP="00C52DD5">
            <w:pPr>
              <w:jc w:val="center"/>
              <w:rPr>
                <w:rFonts w:ascii="Arial Narrow" w:hAnsi="Arial Narrow" w:cs="Times New Roman"/>
                <w:b/>
                <w:sz w:val="20"/>
                <w:szCs w:val="22"/>
              </w:rPr>
            </w:pPr>
            <w:r>
              <w:rPr>
                <w:rFonts w:ascii="Arial Narrow" w:hAnsi="Arial Narrow" w:cs="Times New Roman"/>
                <w:b/>
                <w:sz w:val="20"/>
                <w:szCs w:val="22"/>
              </w:rPr>
              <w:t>2011</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both"/>
              <w:rPr>
                <w:rFonts w:ascii="Arial Narrow" w:hAnsi="Arial Narrow" w:cs="Times New Roman"/>
                <w:b/>
                <w:sz w:val="20"/>
                <w:szCs w:val="22"/>
              </w:rPr>
            </w:pPr>
            <w:r>
              <w:rPr>
                <w:rFonts w:ascii="Arial Narrow" w:hAnsi="Arial Narrow" w:cs="Times New Roman"/>
                <w:b/>
                <w:sz w:val="20"/>
                <w:szCs w:val="22"/>
              </w:rPr>
              <w:t>Daňové príjmy spolu</w:t>
            </w:r>
          </w:p>
        </w:tc>
        <w:tc>
          <w:tcPr>
            <w:tcW w:w="0" w:type="auto"/>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b/>
                <w:sz w:val="20"/>
                <w:szCs w:val="22"/>
              </w:rPr>
            </w:pPr>
            <w:r>
              <w:rPr>
                <w:rFonts w:ascii="Arial Narrow" w:hAnsi="Arial Narrow" w:cs="Times New Roman"/>
                <w:b/>
                <w:sz w:val="20"/>
                <w:szCs w:val="22"/>
              </w:rPr>
              <w:t>516 929</w:t>
            </w:r>
          </w:p>
        </w:tc>
        <w:tc>
          <w:tcPr>
            <w:tcW w:w="178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b/>
                <w:sz w:val="20"/>
                <w:szCs w:val="22"/>
              </w:rPr>
            </w:pPr>
            <w:r>
              <w:rPr>
                <w:rFonts w:ascii="Arial Narrow" w:hAnsi="Arial Narrow" w:cs="Times New Roman"/>
                <w:b/>
                <w:sz w:val="20"/>
                <w:szCs w:val="22"/>
              </w:rPr>
              <w:t>606 551</w:t>
            </w:r>
          </w:p>
        </w:tc>
        <w:tc>
          <w:tcPr>
            <w:tcW w:w="162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b/>
                <w:sz w:val="20"/>
                <w:szCs w:val="22"/>
              </w:rPr>
            </w:pPr>
            <w:r>
              <w:rPr>
                <w:rFonts w:ascii="Arial Narrow" w:hAnsi="Arial Narrow" w:cs="Times New Roman"/>
                <w:b/>
                <w:sz w:val="20"/>
                <w:szCs w:val="22"/>
              </w:rPr>
              <w:t>653 443</w:t>
            </w:r>
          </w:p>
        </w:tc>
        <w:tc>
          <w:tcPr>
            <w:tcW w:w="162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b/>
                <w:sz w:val="20"/>
                <w:szCs w:val="22"/>
              </w:rPr>
            </w:pPr>
            <w:r>
              <w:rPr>
                <w:rFonts w:ascii="Arial Narrow" w:hAnsi="Arial Narrow" w:cs="Times New Roman"/>
                <w:b/>
                <w:sz w:val="20"/>
                <w:szCs w:val="22"/>
              </w:rPr>
              <w:t>713 726</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z toho: daň z príjmov fyzick</w:t>
            </w:r>
            <w:r>
              <w:rPr>
                <w:rFonts w:ascii="Arial Narrow" w:hAnsi="Arial Narrow" w:cs="Times New Roman"/>
                <w:sz w:val="20"/>
                <w:szCs w:val="22"/>
              </w:rPr>
              <w:t>ých osôb</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393 945</w:t>
            </w:r>
          </w:p>
        </w:tc>
        <w:tc>
          <w:tcPr>
            <w:tcW w:w="17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477 034</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518 666</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573 513</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 xml:space="preserve">            daň z motorových vozidiel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122 984</w:t>
            </w:r>
            <w:r>
              <w:rPr>
                <w:rStyle w:val="FootnoteReference"/>
                <w:rFonts w:ascii="Arial Narrow" w:hAnsi="Arial Narrow" w:cs="Times New Roman"/>
                <w:sz w:val="20"/>
                <w:szCs w:val="22"/>
                <w:rtl w:val="0"/>
              </w:rPr>
              <w:footnoteReference w:id="0"/>
            </w:r>
          </w:p>
        </w:tc>
        <w:tc>
          <w:tcPr>
            <w:tcW w:w="17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126 469</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131 713</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137 157</w:t>
            </w:r>
          </w:p>
        </w:tc>
      </w:tr>
      <w:tr>
        <w:tblPrEx>
          <w:tblW w:w="0" w:type="auto"/>
          <w:jc w:val="center"/>
        </w:tblPrEx>
        <w:trPr>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 xml:space="preserve">            sankcie</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p>
        </w:tc>
        <w:tc>
          <w:tcPr>
            <w:tcW w:w="17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3 048</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3 064</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3 056</w:t>
            </w:r>
          </w:p>
        </w:tc>
      </w:tr>
    </w:tbl>
    <w:p w:rsidR="00C52DD5" w:rsidRPr="002917A9" w:rsidP="00C52DD5">
      <w:pPr>
        <w:jc w:val="both"/>
        <w:rPr>
          <w:rFonts w:ascii="Arial Narrow" w:hAnsi="Arial Narrow" w:cs="Times New Roman"/>
          <w:b/>
          <w:sz w:val="22"/>
          <w:szCs w:val="22"/>
        </w:rPr>
      </w:pPr>
      <w:r>
        <w:rPr>
          <w:rFonts w:ascii="Arial Narrow" w:hAnsi="Arial Narrow" w:cs="Times New Roman"/>
          <w:b/>
          <w:sz w:val="22"/>
          <w:szCs w:val="22"/>
        </w:rPr>
        <w:t xml:space="preserve">  </w:t>
      </w:r>
    </w:p>
    <w:p w:rsidR="00C52DD5" w:rsidP="00C52DD5">
      <w:pPr>
        <w:pStyle w:val="BodyText"/>
        <w:spacing w:after="0"/>
        <w:ind w:firstLine="540"/>
        <w:jc w:val="both"/>
        <w:rPr>
          <w:rFonts w:ascii="Arial Narrow" w:hAnsi="Arial Narrow" w:cs="Times New Roman"/>
          <w:sz w:val="22"/>
          <w:szCs w:val="22"/>
        </w:rPr>
      </w:pPr>
      <w:r>
        <w:rPr>
          <w:rFonts w:ascii="Arial Narrow" w:hAnsi="Arial Narrow" w:cs="Times New Roman"/>
          <w:b/>
          <w:sz w:val="22"/>
          <w:szCs w:val="22"/>
        </w:rPr>
        <w:t xml:space="preserve">   Nedaňové príjmy</w:t>
      </w:r>
      <w:r>
        <w:rPr>
          <w:rFonts w:ascii="Arial Narrow" w:hAnsi="Arial Narrow" w:cs="Times New Roman"/>
          <w:sz w:val="22"/>
          <w:szCs w:val="22"/>
        </w:rPr>
        <w:t xml:space="preserve"> sa získajú z  činnosti organizácií v zriaďovateľskej pôsobnosti VÚC na úseku sociálneho zabezpečenia, na úseku školstva, dopravy, z kapitálových príjmov a z úrokov z prostriedkov vlastného hospodárenia. Uvažuje sa s ich celkovou výškou </w:t>
      </w:r>
      <w:r>
        <w:rPr>
          <w:rFonts w:ascii="Arial Narrow" w:hAnsi="Arial Narrow" w:cs="Times New Roman"/>
          <w:b/>
          <w:sz w:val="22"/>
          <w:szCs w:val="22"/>
        </w:rPr>
        <w:t>59 749 tis. eur</w:t>
      </w:r>
      <w:r>
        <w:rPr>
          <w:rFonts w:ascii="Arial Narrow" w:hAnsi="Arial Narrow" w:cs="Times New Roman"/>
          <w:sz w:val="22"/>
          <w:szCs w:val="22"/>
        </w:rPr>
        <w:t>, ktorá by sa mala dosiahnuť najmä na úseku sociálneho zabezpečenia, z úhrad platených občanmi umiestnenými v zariadeniach sociálnych služieb, za poskytované služby, ako sú stravovanie, bývanie a zaopatrenie.  Na úseku školstva, z poplatkov zo zápisného a školného v základných umeleckých školách, za ubytovanie v domovoch mládeže, z nájomné</w:t>
      </w:r>
      <w:r>
        <w:rPr>
          <w:rFonts w:ascii="Arial Narrow" w:hAnsi="Arial Narrow" w:cs="Times New Roman"/>
          <w:sz w:val="22"/>
          <w:szCs w:val="22"/>
        </w:rPr>
        <w:t>ho a z vlastného hospodárenia úradov samosprávnych krajov (úroky z vlastných prostriedkov, príjmy z prenájmu a z predaja majetku a pod.).</w:t>
      </w:r>
    </w:p>
    <w:p w:rsidR="00C52DD5" w:rsidP="00C52DD5">
      <w:pPr>
        <w:pStyle w:val="BodyText"/>
        <w:spacing w:after="0"/>
        <w:ind w:firstLine="540"/>
        <w:jc w:val="both"/>
        <w:rPr>
          <w:rFonts w:ascii="Arial Narrow" w:hAnsi="Arial Narrow" w:cs="Times New Roman"/>
          <w:sz w:val="22"/>
          <w:szCs w:val="22"/>
        </w:rPr>
      </w:pPr>
      <w:r>
        <w:rPr>
          <w:rFonts w:ascii="Arial Narrow" w:hAnsi="Arial Narrow" w:cs="Times New Roman"/>
          <w:sz w:val="22"/>
          <w:szCs w:val="22"/>
        </w:rPr>
        <w:t xml:space="preserve">   </w:t>
      </w:r>
    </w:p>
    <w:p w:rsidR="00C52DD5" w:rsidP="00C52DD5">
      <w:pPr>
        <w:pStyle w:val="BodyText"/>
        <w:spacing w:after="0"/>
        <w:ind w:firstLine="180"/>
        <w:jc w:val="both"/>
        <w:rPr>
          <w:rFonts w:ascii="Arial Narrow" w:hAnsi="Arial Narrow" w:cs="Times New Roman"/>
          <w:sz w:val="22"/>
          <w:szCs w:val="22"/>
        </w:rPr>
      </w:pPr>
      <w:r>
        <w:rPr>
          <w:rFonts w:ascii="Arial Narrow" w:hAnsi="Arial Narrow" w:cs="Times New Roman"/>
          <w:b/>
          <w:sz w:val="22"/>
          <w:szCs w:val="22"/>
        </w:rPr>
        <w:t xml:space="preserve">           Granty a transfery </w:t>
      </w:r>
      <w:r>
        <w:rPr>
          <w:rFonts w:ascii="Arial Narrow" w:hAnsi="Arial Narrow" w:cs="Times New Roman"/>
          <w:sz w:val="22"/>
          <w:szCs w:val="22"/>
        </w:rPr>
        <w:t xml:space="preserve">zo štátneho rozpočtu sa rozpočtujú v celkovej sume </w:t>
      </w:r>
      <w:r>
        <w:rPr>
          <w:rFonts w:ascii="Arial Narrow" w:hAnsi="Arial Narrow" w:cs="Times New Roman"/>
          <w:b/>
          <w:sz w:val="22"/>
          <w:szCs w:val="22"/>
        </w:rPr>
        <w:t xml:space="preserve">415 242 tis. eur, </w:t>
      </w:r>
      <w:r w:rsidRPr="0061547F">
        <w:rPr>
          <w:rFonts w:ascii="Arial Narrow" w:hAnsi="Arial Narrow" w:cs="Times New Roman"/>
          <w:sz w:val="22"/>
          <w:szCs w:val="22"/>
        </w:rPr>
        <w:t>čo predstavuje</w:t>
      </w:r>
      <w:r>
        <w:rPr>
          <w:rFonts w:ascii="Arial Narrow" w:hAnsi="Arial Narrow" w:cs="Times New Roman"/>
          <w:b/>
          <w:sz w:val="22"/>
          <w:szCs w:val="22"/>
        </w:rPr>
        <w:t xml:space="preserve"> </w:t>
      </w:r>
      <w:r>
        <w:rPr>
          <w:rFonts w:ascii="Arial Narrow" w:hAnsi="Arial Narrow" w:cs="Times New Roman"/>
          <w:sz w:val="22"/>
          <w:szCs w:val="22"/>
        </w:rPr>
        <w:t xml:space="preserve">bežné granty a transfery. Granty a transfery sa predpokladajú poskytnúť do rozpočtov VÚC z týchto kapitol štátneho rozpočtu: </w:t>
      </w:r>
    </w:p>
    <w:p w:rsidR="00C52DD5" w:rsidP="00C52DD5">
      <w:pPr>
        <w:pStyle w:val="BodyText"/>
        <w:spacing w:after="0"/>
        <w:jc w:val="both"/>
        <w:rPr>
          <w:rFonts w:ascii="Arial Narrow" w:hAnsi="Arial Narrow" w:cs="Times New Roman"/>
          <w:sz w:val="22"/>
          <w:szCs w:val="22"/>
        </w:rPr>
      </w:pPr>
    </w:p>
    <w:p w:rsidR="00C52DD5" w:rsidP="00C52DD5">
      <w:pPr>
        <w:pStyle w:val="BodyText"/>
        <w:numPr>
          <w:ilvl w:val="0"/>
          <w:numId w:val="195"/>
        </w:numPr>
        <w:tabs>
          <w:tab w:val="left" w:pos="360"/>
          <w:tab w:val="clear" w:pos="720"/>
        </w:tabs>
        <w:spacing w:after="0"/>
        <w:ind w:left="360"/>
        <w:jc w:val="both"/>
        <w:rPr>
          <w:rFonts w:ascii="Arial Narrow" w:hAnsi="Arial Narrow" w:cs="Times New Roman"/>
          <w:sz w:val="22"/>
          <w:szCs w:val="22"/>
        </w:rPr>
      </w:pPr>
      <w:r>
        <w:rPr>
          <w:rFonts w:ascii="Arial Narrow" w:hAnsi="Arial Narrow" w:cs="Times New Roman"/>
          <w:sz w:val="22"/>
          <w:szCs w:val="22"/>
          <w:u w:val="single"/>
        </w:rPr>
        <w:t>Ministerstva školstva SR</w:t>
      </w:r>
      <w:r>
        <w:rPr>
          <w:rFonts w:ascii="Arial Narrow" w:hAnsi="Arial Narrow" w:cs="Times New Roman"/>
          <w:sz w:val="22"/>
          <w:szCs w:val="22"/>
        </w:rPr>
        <w:t xml:space="preserve"> – v celkovej sume </w:t>
      </w:r>
      <w:r>
        <w:rPr>
          <w:rFonts w:ascii="Arial Narrow" w:hAnsi="Arial Narrow" w:cs="Times New Roman"/>
          <w:b/>
          <w:sz w:val="22"/>
          <w:szCs w:val="22"/>
        </w:rPr>
        <w:t xml:space="preserve">411 531 tis. eur, </w:t>
      </w:r>
      <w:r>
        <w:rPr>
          <w:rFonts w:ascii="Arial Narrow" w:hAnsi="Arial Narrow" w:cs="Times New Roman"/>
          <w:sz w:val="22"/>
          <w:szCs w:val="22"/>
        </w:rPr>
        <w:t xml:space="preserve">z toho na financovanie </w:t>
      </w:r>
      <w:r>
        <w:rPr>
          <w:rFonts w:ascii="Arial Narrow" w:hAnsi="Arial Narrow" w:cs="Times New Roman"/>
          <w:b/>
          <w:sz w:val="22"/>
          <w:szCs w:val="22"/>
        </w:rPr>
        <w:t>preneseného výkonu štátnej správy</w:t>
      </w:r>
      <w:r>
        <w:rPr>
          <w:rFonts w:ascii="Arial Narrow" w:hAnsi="Arial Narrow" w:cs="Times New Roman"/>
          <w:sz w:val="22"/>
          <w:szCs w:val="22"/>
        </w:rPr>
        <w:t xml:space="preserve"> na úseku stredných škôl, ku ktorým zriaďovateľskú funkciu plnia VÚC v sume </w:t>
      </w:r>
      <w:r w:rsidRPr="00076E10">
        <w:rPr>
          <w:rFonts w:ascii="Arial Narrow" w:hAnsi="Arial Narrow" w:cs="Times New Roman"/>
          <w:b/>
          <w:sz w:val="22"/>
          <w:szCs w:val="22"/>
        </w:rPr>
        <w:t>400 953 tis</w:t>
      </w:r>
      <w:r>
        <w:rPr>
          <w:rFonts w:ascii="Arial Narrow" w:hAnsi="Arial Narrow" w:cs="Times New Roman"/>
          <w:b/>
          <w:sz w:val="22"/>
          <w:szCs w:val="22"/>
        </w:rPr>
        <w:t>. eur</w:t>
      </w:r>
      <w:r>
        <w:rPr>
          <w:rFonts w:ascii="Arial Narrow" w:hAnsi="Arial Narrow" w:cs="Times New Roman"/>
          <w:sz w:val="22"/>
          <w:szCs w:val="22"/>
        </w:rPr>
        <w:t xml:space="preserve"> a na financovanie ďalšieho vzdelávania a kapitálových aktivít 10 579 tis. eur. </w:t>
      </w:r>
    </w:p>
    <w:p w:rsidR="00C52DD5" w:rsidP="00C52DD5">
      <w:pPr>
        <w:pStyle w:val="BodyText"/>
        <w:spacing w:after="0"/>
        <w:jc w:val="both"/>
        <w:rPr>
          <w:rFonts w:ascii="Arial Narrow" w:hAnsi="Arial Narrow" w:cs="Times New Roman"/>
          <w:sz w:val="22"/>
          <w:szCs w:val="22"/>
          <w:u w:val="single"/>
        </w:rPr>
      </w:pPr>
    </w:p>
    <w:p w:rsidR="00C52DD5" w:rsidP="00C52DD5">
      <w:pPr>
        <w:pStyle w:val="BodyText"/>
        <w:numPr>
          <w:ilvl w:val="0"/>
          <w:numId w:val="195"/>
        </w:numPr>
        <w:tabs>
          <w:tab w:val="left" w:pos="360"/>
          <w:tab w:val="clear" w:pos="720"/>
        </w:tabs>
        <w:spacing w:after="0"/>
        <w:ind w:left="360"/>
        <w:jc w:val="both"/>
        <w:rPr>
          <w:rFonts w:ascii="Arial Narrow" w:hAnsi="Arial Narrow" w:cs="Times New Roman"/>
          <w:sz w:val="22"/>
          <w:szCs w:val="22"/>
        </w:rPr>
      </w:pPr>
      <w:r>
        <w:rPr>
          <w:rFonts w:ascii="Arial Narrow" w:hAnsi="Arial Narrow" w:cs="Times New Roman"/>
          <w:sz w:val="22"/>
          <w:szCs w:val="22"/>
          <w:u w:val="single"/>
        </w:rPr>
        <w:t>Ministerstva práce, sociálnych vecí a rodiny SR</w:t>
      </w:r>
      <w:r>
        <w:rPr>
          <w:rFonts w:ascii="Arial Narrow" w:hAnsi="Arial Narrow" w:cs="Times New Roman"/>
          <w:sz w:val="22"/>
          <w:szCs w:val="22"/>
        </w:rPr>
        <w:t xml:space="preserve"> – sumu </w:t>
      </w:r>
      <w:r>
        <w:rPr>
          <w:rFonts w:ascii="Arial Narrow" w:hAnsi="Arial Narrow" w:cs="Times New Roman"/>
          <w:b/>
          <w:sz w:val="22"/>
          <w:szCs w:val="22"/>
        </w:rPr>
        <w:t>126 tis. eur</w:t>
      </w:r>
      <w:r>
        <w:rPr>
          <w:rFonts w:ascii="Arial Narrow" w:hAnsi="Arial Narrow" w:cs="Times New Roman"/>
          <w:sz w:val="22"/>
          <w:szCs w:val="22"/>
        </w:rPr>
        <w:t xml:space="preserve"> na financovanie detských r</w:t>
      </w:r>
      <w:r>
        <w:rPr>
          <w:rFonts w:ascii="Arial Narrow" w:hAnsi="Arial Narrow" w:cs="Times New Roman"/>
          <w:sz w:val="22"/>
          <w:szCs w:val="22"/>
        </w:rPr>
        <w:t xml:space="preserve">ekreácií. </w:t>
      </w:r>
    </w:p>
    <w:p w:rsidR="00C52DD5" w:rsidP="00C52DD5">
      <w:pPr>
        <w:pStyle w:val="BodyText"/>
        <w:spacing w:after="0"/>
        <w:jc w:val="both"/>
        <w:rPr>
          <w:rFonts w:ascii="Arial Narrow" w:hAnsi="Arial Narrow" w:cs="Times New Roman"/>
          <w:sz w:val="22"/>
          <w:szCs w:val="22"/>
        </w:rPr>
      </w:pPr>
    </w:p>
    <w:p w:rsidR="00C52DD5" w:rsidP="00C52DD5">
      <w:pPr>
        <w:pStyle w:val="BodyText"/>
        <w:numPr>
          <w:ilvl w:val="0"/>
          <w:numId w:val="195"/>
        </w:numPr>
        <w:tabs>
          <w:tab w:val="left" w:pos="360"/>
          <w:tab w:val="clear" w:pos="720"/>
        </w:tabs>
        <w:spacing w:after="0"/>
        <w:ind w:left="360"/>
        <w:jc w:val="both"/>
        <w:rPr>
          <w:rFonts w:ascii="Arial Narrow" w:hAnsi="Arial Narrow" w:cs="Times New Roman"/>
          <w:sz w:val="22"/>
          <w:szCs w:val="22"/>
        </w:rPr>
      </w:pPr>
      <w:r>
        <w:rPr>
          <w:rFonts w:ascii="Arial Narrow" w:hAnsi="Arial Narrow" w:cs="Times New Roman"/>
          <w:sz w:val="22"/>
          <w:szCs w:val="22"/>
          <w:u w:val="single"/>
        </w:rPr>
        <w:t xml:space="preserve">Ministerstva kultúry SR </w:t>
      </w:r>
      <w:r>
        <w:rPr>
          <w:rFonts w:ascii="Arial Narrow" w:hAnsi="Arial Narrow" w:cs="Times New Roman"/>
          <w:sz w:val="22"/>
          <w:szCs w:val="22"/>
        </w:rPr>
        <w:t xml:space="preserve">– v sume </w:t>
      </w:r>
      <w:r>
        <w:rPr>
          <w:rFonts w:ascii="Arial Narrow" w:hAnsi="Arial Narrow" w:cs="Times New Roman"/>
          <w:b/>
          <w:sz w:val="22"/>
          <w:szCs w:val="22"/>
        </w:rPr>
        <w:t>3 585</w:t>
      </w:r>
      <w:r w:rsidRPr="003A016F">
        <w:rPr>
          <w:rFonts w:ascii="Arial Narrow" w:hAnsi="Arial Narrow" w:cs="Times New Roman"/>
          <w:b/>
          <w:sz w:val="22"/>
          <w:szCs w:val="22"/>
        </w:rPr>
        <w:t xml:space="preserve"> tis. </w:t>
      </w:r>
      <w:r>
        <w:rPr>
          <w:rFonts w:ascii="Arial Narrow" w:hAnsi="Arial Narrow" w:cs="Times New Roman"/>
          <w:b/>
          <w:sz w:val="22"/>
          <w:szCs w:val="22"/>
        </w:rPr>
        <w:t>e</w:t>
      </w:r>
      <w:r w:rsidRPr="003A016F">
        <w:rPr>
          <w:rFonts w:ascii="Arial Narrow" w:hAnsi="Arial Narrow" w:cs="Times New Roman"/>
          <w:b/>
          <w:sz w:val="22"/>
          <w:szCs w:val="22"/>
        </w:rPr>
        <w:t>ur</w:t>
      </w:r>
      <w:r>
        <w:rPr>
          <w:rFonts w:ascii="Arial Narrow" w:hAnsi="Arial Narrow" w:cs="Times New Roman"/>
          <w:b/>
          <w:sz w:val="22"/>
          <w:szCs w:val="22"/>
        </w:rPr>
        <w:t xml:space="preserve"> </w:t>
      </w:r>
      <w:r w:rsidRPr="003A016F">
        <w:rPr>
          <w:rFonts w:ascii="Arial Narrow" w:hAnsi="Arial Narrow" w:cs="Times New Roman"/>
          <w:sz w:val="22"/>
          <w:szCs w:val="22"/>
        </w:rPr>
        <w:t>na financov</w:t>
      </w:r>
      <w:r>
        <w:rPr>
          <w:rFonts w:ascii="Arial Narrow" w:hAnsi="Arial Narrow" w:cs="Times New Roman"/>
          <w:sz w:val="22"/>
          <w:szCs w:val="22"/>
        </w:rPr>
        <w:t>anie obnovy kultúrnych pamiatok, na podporu kultúrnych a umeleckých aktivít národnostných menšín, podporu návštevnosti kultúrnych podujatí a aktivít prezentujúcich kultúru SR v zahranič</w:t>
      </w:r>
      <w:r>
        <w:rPr>
          <w:rFonts w:ascii="Arial Narrow" w:hAnsi="Arial Narrow" w:cs="Times New Roman"/>
          <w:sz w:val="22"/>
          <w:szCs w:val="22"/>
        </w:rPr>
        <w:t>í prostredníctvom štátnych a neštátnych subjektov.</w:t>
      </w:r>
    </w:p>
    <w:p w:rsidR="00C52DD5" w:rsidP="00C52DD5">
      <w:pPr>
        <w:jc w:val="both"/>
        <w:rPr>
          <w:rFonts w:ascii="Arial Narrow" w:hAnsi="Arial Narrow" w:cs="Times New Roman"/>
          <w:sz w:val="22"/>
          <w:szCs w:val="22"/>
        </w:rPr>
      </w:pP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b/>
          <w:sz w:val="22"/>
          <w:szCs w:val="22"/>
        </w:rPr>
        <w:t xml:space="preserve">Príjmové finančné operácie </w:t>
      </w:r>
      <w:r>
        <w:rPr>
          <w:rFonts w:ascii="Arial Narrow" w:hAnsi="Arial Narrow" w:cs="Times New Roman"/>
          <w:sz w:val="22"/>
          <w:szCs w:val="22"/>
        </w:rPr>
        <w:t xml:space="preserve">sa predpokladajú v sume 49 791 tis. eur, a to z prevodov prostriedkov z peňažných fondov v sume 9 958 tis. eur, zo zostatku prostriedkov z predchádzajúcich rokov v sume 5 643 tis. eur, z predaja majetkových účastí v sume 996 tis. eur a z prijatých úverov v sume 33 194 tis. eur. </w:t>
      </w:r>
    </w:p>
    <w:p w:rsidR="00C52DD5" w:rsidP="00C52DD5">
      <w:pPr>
        <w:spacing w:before="120"/>
        <w:ind w:firstLine="709"/>
        <w:jc w:val="both"/>
        <w:rPr>
          <w:rFonts w:ascii="Arial Narrow" w:hAnsi="Arial Narrow" w:cs="Times New Roman"/>
          <w:sz w:val="22"/>
          <w:szCs w:val="22"/>
        </w:rPr>
      </w:pPr>
      <w:r>
        <w:rPr>
          <w:rFonts w:ascii="Arial Narrow" w:hAnsi="Arial Narrow" w:cs="Times New Roman"/>
          <w:b/>
          <w:sz w:val="22"/>
          <w:szCs w:val="22"/>
        </w:rPr>
        <w:t>Celkové výdavky</w:t>
      </w:r>
      <w:r>
        <w:rPr>
          <w:rFonts w:ascii="Arial Narrow" w:hAnsi="Arial Narrow" w:cs="Times New Roman"/>
          <w:sz w:val="22"/>
          <w:szCs w:val="22"/>
        </w:rPr>
        <w:t xml:space="preserve"> VÚC sa predpokladajú v sume </w:t>
      </w:r>
      <w:r>
        <w:rPr>
          <w:rFonts w:ascii="Arial Narrow" w:hAnsi="Arial Narrow" w:cs="Times New Roman"/>
          <w:b/>
          <w:sz w:val="22"/>
          <w:szCs w:val="22"/>
        </w:rPr>
        <w:t>1 131 333 tis. eur</w:t>
      </w:r>
      <w:r>
        <w:rPr>
          <w:rFonts w:ascii="Arial Narrow" w:hAnsi="Arial Narrow" w:cs="Times New Roman"/>
          <w:sz w:val="22"/>
          <w:szCs w:val="22"/>
        </w:rPr>
        <w:t xml:space="preserve">. </w:t>
      </w:r>
    </w:p>
    <w:p w:rsidR="00C52DD5" w:rsidP="00C52DD5">
      <w:pPr>
        <w:pStyle w:val="BodyText"/>
        <w:spacing w:after="0"/>
        <w:jc w:val="both"/>
        <w:rPr>
          <w:rFonts w:ascii="Arial Narrow" w:hAnsi="Arial Narrow" w:cs="Times New Roman"/>
          <w:sz w:val="22"/>
          <w:szCs w:val="22"/>
        </w:rPr>
      </w:pPr>
    </w:p>
    <w:p w:rsidR="00C52DD5" w:rsidP="00C52DD5">
      <w:pPr>
        <w:ind w:firstLine="708"/>
        <w:jc w:val="both"/>
        <w:rPr>
          <w:rFonts w:ascii="Arial Narrow" w:hAnsi="Arial Narrow" w:cs="Times New Roman"/>
          <w:bCs/>
          <w:sz w:val="22"/>
          <w:szCs w:val="22"/>
        </w:rPr>
      </w:pPr>
    </w:p>
    <w:p w:rsidR="00C52DD5" w:rsidP="00C52DD5">
      <w:pPr>
        <w:ind w:firstLine="708"/>
        <w:jc w:val="both"/>
        <w:rPr>
          <w:rFonts w:ascii="Arial Narrow" w:hAnsi="Arial Narrow" w:cs="Times New Roman"/>
          <w:bCs/>
          <w:sz w:val="22"/>
          <w:szCs w:val="22"/>
        </w:rPr>
      </w:pPr>
      <w:r>
        <w:rPr>
          <w:rFonts w:ascii="Arial Narrow" w:hAnsi="Arial Narrow" w:cs="Times New Roman"/>
          <w:bCs/>
          <w:sz w:val="22"/>
          <w:szCs w:val="22"/>
        </w:rPr>
        <w:t>Na základe vývoja hospodárenia v predchádzajúcich rokoch</w:t>
      </w:r>
      <w:r>
        <w:rPr>
          <w:rFonts w:ascii="Arial Narrow" w:hAnsi="Arial Narrow" w:cs="Times New Roman"/>
          <w:b/>
          <w:bCs/>
          <w:sz w:val="22"/>
          <w:szCs w:val="22"/>
        </w:rPr>
        <w:t xml:space="preserve"> </w:t>
      </w:r>
      <w:r>
        <w:rPr>
          <w:rFonts w:ascii="Arial Narrow" w:hAnsi="Arial Narrow" w:cs="Times New Roman"/>
          <w:bCs/>
          <w:sz w:val="22"/>
          <w:szCs w:val="22"/>
        </w:rPr>
        <w:t>a predpokladaného vývoja príj</w:t>
      </w:r>
      <w:r>
        <w:rPr>
          <w:rFonts w:ascii="Arial Narrow" w:hAnsi="Arial Narrow" w:cs="Times New Roman"/>
          <w:bCs/>
          <w:sz w:val="22"/>
          <w:szCs w:val="22"/>
        </w:rPr>
        <w:t>mov</w:t>
      </w:r>
      <w:r>
        <w:rPr>
          <w:rFonts w:ascii="Arial Narrow" w:hAnsi="Arial Narrow" w:cs="Times New Roman"/>
          <w:b/>
          <w:bCs/>
          <w:sz w:val="22"/>
          <w:szCs w:val="22"/>
        </w:rPr>
        <w:t xml:space="preserve">, </w:t>
      </w:r>
      <w:r>
        <w:rPr>
          <w:rFonts w:ascii="Arial Narrow" w:hAnsi="Arial Narrow" w:cs="Times New Roman"/>
          <w:bCs/>
          <w:sz w:val="22"/>
          <w:szCs w:val="22"/>
        </w:rPr>
        <w:t>Ministerstvo financií SR odhaduje, že výdavky VÚC budú smerované do jednotlivých úsekov činností v roku 2009 takto:</w:t>
      </w:r>
    </w:p>
    <w:p w:rsidR="00C52DD5" w:rsidP="00C52DD5">
      <w:pPr>
        <w:ind w:firstLine="708"/>
        <w:jc w:val="both"/>
        <w:rPr>
          <w:rFonts w:ascii="Arial Narrow" w:hAnsi="Arial Narrow" w:cs="Times New Roman"/>
          <w:bCs/>
          <w:sz w:val="22"/>
          <w:szCs w:val="22"/>
        </w:rPr>
      </w:pP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sz w:val="22"/>
          <w:szCs w:val="22"/>
        </w:rPr>
        <w:t xml:space="preserve">V oblasti výdavkov na zabezpečenie činností </w:t>
      </w:r>
      <w:r>
        <w:rPr>
          <w:rFonts w:ascii="Arial Narrow" w:hAnsi="Arial Narrow" w:cs="Times New Roman"/>
          <w:b/>
          <w:sz w:val="22"/>
          <w:szCs w:val="22"/>
        </w:rPr>
        <w:t>úradov samosprávnych krajov</w:t>
      </w:r>
      <w:r>
        <w:rPr>
          <w:rFonts w:ascii="Arial Narrow" w:hAnsi="Arial Narrow" w:cs="Times New Roman"/>
          <w:sz w:val="22"/>
          <w:szCs w:val="22"/>
        </w:rPr>
        <w:t xml:space="preserve"> sa predpokladá vynaložiť finančné prostriedky v celkovej sume </w:t>
      </w:r>
      <w:r>
        <w:rPr>
          <w:rFonts w:ascii="Arial Narrow" w:hAnsi="Arial Narrow" w:cs="Times New Roman"/>
          <w:b/>
          <w:sz w:val="22"/>
          <w:szCs w:val="22"/>
        </w:rPr>
        <w:t xml:space="preserve">89 016 tis. eur. </w:t>
      </w:r>
      <w:r>
        <w:rPr>
          <w:rFonts w:ascii="Arial Narrow" w:hAnsi="Arial Narrow" w:cs="Times New Roman"/>
          <w:sz w:val="22"/>
          <w:szCs w:val="22"/>
        </w:rPr>
        <w:t xml:space="preserve"> Z uvedenej sumy sa predpokladá financovať osobné a prevádzkové výdavky úradov, činnosť poslancov zastupiteľstiev, činnosť komisií, projekty súvisiace s regionálnym rozvojom, splátky istiny a ostatné úlohy spojené s činnosťou úradov samosprávnych krajov a výkon volieb do orgánov samosprávnych krajov. V rámci kapitálových výdavkov sa predpokladá financovať vybavenie úradov VÚC, rekonštrukčné práce objektov, v k</w:t>
      </w:r>
      <w:r w:rsidR="00D7129B">
        <w:rPr>
          <w:rFonts w:ascii="Arial Narrow" w:hAnsi="Arial Narrow" w:cs="Times New Roman"/>
          <w:sz w:val="22"/>
          <w:szCs w:val="22"/>
        </w:rPr>
        <w:t xml:space="preserve">torých sú umiestnené úrady VÚC </w:t>
      </w:r>
      <w:r>
        <w:rPr>
          <w:rFonts w:ascii="Arial Narrow" w:hAnsi="Arial Narrow" w:cs="Times New Roman"/>
          <w:sz w:val="22"/>
          <w:szCs w:val="22"/>
        </w:rPr>
        <w:t>a na obstaranie technického vybavenia úradov.</w:t>
      </w:r>
    </w:p>
    <w:p w:rsidR="00C52DD5" w:rsidP="00C52DD5">
      <w:pPr>
        <w:pStyle w:val="BodyText"/>
        <w:spacing w:after="0"/>
        <w:jc w:val="both"/>
        <w:rPr>
          <w:rFonts w:ascii="Arial Narrow" w:hAnsi="Arial Narrow" w:cs="Times New Roman"/>
          <w:sz w:val="22"/>
          <w:szCs w:val="22"/>
        </w:rPr>
      </w:pP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sz w:val="22"/>
          <w:szCs w:val="22"/>
        </w:rPr>
        <w:t>N</w:t>
      </w:r>
      <w:r w:rsidRPr="00B94436">
        <w:rPr>
          <w:rFonts w:ascii="Arial Narrow" w:hAnsi="Arial Narrow" w:cs="Times New Roman"/>
          <w:sz w:val="22"/>
          <w:szCs w:val="22"/>
        </w:rPr>
        <w:t>a ú</w:t>
      </w:r>
      <w:r w:rsidRPr="00B94436">
        <w:rPr>
          <w:rFonts w:ascii="Arial Narrow" w:hAnsi="Arial Narrow" w:cs="Times New Roman"/>
          <w:sz w:val="22"/>
          <w:szCs w:val="22"/>
        </w:rPr>
        <w:t>seku</w:t>
      </w:r>
      <w:r>
        <w:rPr>
          <w:rFonts w:ascii="Arial Narrow" w:hAnsi="Arial Narrow" w:cs="Times New Roman"/>
          <w:b/>
          <w:sz w:val="22"/>
          <w:szCs w:val="22"/>
        </w:rPr>
        <w:t xml:space="preserve"> dopravy, </w:t>
      </w:r>
      <w:r w:rsidRPr="00A7652A">
        <w:rPr>
          <w:rFonts w:ascii="Arial Narrow" w:hAnsi="Arial Narrow" w:cs="Times New Roman"/>
          <w:sz w:val="22"/>
          <w:szCs w:val="22"/>
        </w:rPr>
        <w:t>kde</w:t>
      </w:r>
      <w:r>
        <w:rPr>
          <w:rFonts w:ascii="Arial Narrow" w:hAnsi="Arial Narrow" w:cs="Times New Roman"/>
          <w:sz w:val="22"/>
          <w:szCs w:val="22"/>
        </w:rPr>
        <w:t xml:space="preserve"> sa uvažuje s finančnými prostriedkami v sume </w:t>
      </w:r>
      <w:r>
        <w:rPr>
          <w:rFonts w:ascii="Arial Narrow" w:hAnsi="Arial Narrow" w:cs="Times New Roman"/>
          <w:b/>
          <w:sz w:val="22"/>
          <w:szCs w:val="22"/>
        </w:rPr>
        <w:t>234 900</w:t>
      </w:r>
      <w:r>
        <w:rPr>
          <w:rFonts w:ascii="Arial Narrow" w:hAnsi="Arial Narrow" w:cs="Times New Roman"/>
          <w:sz w:val="22"/>
          <w:szCs w:val="22"/>
        </w:rPr>
        <w:t xml:space="preserve"> </w:t>
      </w:r>
      <w:r>
        <w:rPr>
          <w:rFonts w:ascii="Arial Narrow" w:hAnsi="Arial Narrow" w:cs="Times New Roman"/>
          <w:b/>
          <w:sz w:val="22"/>
          <w:szCs w:val="22"/>
        </w:rPr>
        <w:t>tis. eur</w:t>
      </w:r>
      <w:r>
        <w:rPr>
          <w:rFonts w:ascii="Arial Narrow" w:hAnsi="Arial Narrow" w:cs="Times New Roman"/>
          <w:sz w:val="22"/>
          <w:szCs w:val="22"/>
        </w:rPr>
        <w:t>, a to na úhradu straty, jej časti alebo iné vyrovnanie dopravcom, ktorí na základe uzatvorených zmlúv o výkonoch vo verejnom záujme vykonávajú vnútroštátnu verejnú autobusovú dopravu a na zabezpečenie obslužnosti územia. Ďalšie prostriedky na úseku dopravy budú smerované na zabezpečenie správy, opravy a údržby, ale predovšetkým na rekonštrukciu ciest II. a III. triedy a na nákup a obnovu technického a strojného vybavenia súvisiaceho s údržbou ciest.</w:t>
      </w:r>
    </w:p>
    <w:p w:rsidR="00C52DD5" w:rsidP="00C52DD5">
      <w:pPr>
        <w:ind w:firstLine="708"/>
        <w:jc w:val="both"/>
        <w:rPr>
          <w:rFonts w:ascii="Arial Narrow" w:hAnsi="Arial Narrow" w:cs="Times New Roman"/>
          <w:bCs/>
          <w:sz w:val="22"/>
          <w:szCs w:val="22"/>
        </w:rPr>
      </w:pPr>
    </w:p>
    <w:p w:rsidR="00C52DD5" w:rsidP="00C52DD5">
      <w:pPr>
        <w:ind w:firstLine="708"/>
        <w:jc w:val="both"/>
        <w:rPr>
          <w:rFonts w:ascii="Arial Narrow" w:hAnsi="Arial Narrow" w:cs="Times New Roman"/>
          <w:bCs/>
          <w:sz w:val="22"/>
          <w:szCs w:val="22"/>
        </w:rPr>
      </w:pPr>
      <w:r>
        <w:rPr>
          <w:rFonts w:ascii="Arial Narrow" w:hAnsi="Arial Narrow" w:cs="Times New Roman"/>
          <w:bCs/>
          <w:sz w:val="22"/>
          <w:szCs w:val="22"/>
        </w:rPr>
        <w:t xml:space="preserve">Na úseku </w:t>
      </w:r>
      <w:r>
        <w:rPr>
          <w:rFonts w:ascii="Arial Narrow" w:hAnsi="Arial Narrow" w:cs="Times New Roman"/>
          <w:b/>
          <w:bCs/>
          <w:sz w:val="22"/>
          <w:szCs w:val="22"/>
        </w:rPr>
        <w:t>ochrany životného prostredia</w:t>
      </w:r>
      <w:r>
        <w:rPr>
          <w:rFonts w:ascii="Arial Narrow" w:hAnsi="Arial Narrow" w:cs="Times New Roman"/>
          <w:bCs/>
          <w:sz w:val="22"/>
          <w:szCs w:val="22"/>
        </w:rPr>
        <w:t xml:space="preserve"> sa predpokladá financovať činnosti spadajúce do pôsobnosti VÚC, napr. na úseku ochrany prírody a krajiny. Finančné prostriedky na tomto úseku sa predpokladajú v celkovej sume  </w:t>
      </w:r>
      <w:r>
        <w:rPr>
          <w:rFonts w:ascii="Arial Narrow" w:hAnsi="Arial Narrow" w:cs="Times New Roman"/>
          <w:b/>
          <w:bCs/>
          <w:sz w:val="22"/>
          <w:szCs w:val="22"/>
        </w:rPr>
        <w:t>133 tis. eur</w:t>
      </w:r>
      <w:r w:rsidRPr="00281E3F">
        <w:rPr>
          <w:rFonts w:ascii="Arial Narrow" w:hAnsi="Arial Narrow" w:cs="Times New Roman"/>
          <w:b/>
          <w:bCs/>
          <w:sz w:val="22"/>
          <w:szCs w:val="22"/>
        </w:rPr>
        <w:t>.</w:t>
      </w:r>
    </w:p>
    <w:p w:rsidR="00C52DD5" w:rsidP="00C52DD5">
      <w:pPr>
        <w:pStyle w:val="BodyText"/>
        <w:spacing w:after="0"/>
        <w:jc w:val="both"/>
        <w:rPr>
          <w:rFonts w:ascii="Arial Narrow" w:hAnsi="Arial Narrow" w:cs="Times New Roman"/>
          <w:sz w:val="22"/>
          <w:szCs w:val="22"/>
        </w:rPr>
      </w:pP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sz w:val="22"/>
          <w:szCs w:val="22"/>
        </w:rPr>
        <w:t xml:space="preserve">Na </w:t>
      </w:r>
      <w:r w:rsidRPr="00373740">
        <w:rPr>
          <w:rFonts w:ascii="Arial Narrow" w:hAnsi="Arial Narrow" w:cs="Times New Roman"/>
          <w:b/>
          <w:sz w:val="22"/>
          <w:szCs w:val="22"/>
        </w:rPr>
        <w:t>b</w:t>
      </w:r>
      <w:r>
        <w:rPr>
          <w:rFonts w:ascii="Arial Narrow" w:hAnsi="Arial Narrow" w:cs="Times New Roman"/>
          <w:b/>
          <w:sz w:val="22"/>
          <w:szCs w:val="22"/>
        </w:rPr>
        <w:t>ývanie a občiansku</w:t>
      </w:r>
      <w:r>
        <w:rPr>
          <w:rFonts w:ascii="Arial Narrow" w:hAnsi="Arial Narrow" w:cs="Times New Roman"/>
          <w:sz w:val="22"/>
          <w:szCs w:val="22"/>
        </w:rPr>
        <w:t xml:space="preserve"> </w:t>
      </w:r>
      <w:r>
        <w:rPr>
          <w:rFonts w:ascii="Arial Narrow" w:hAnsi="Arial Narrow" w:cs="Times New Roman"/>
          <w:b/>
          <w:sz w:val="22"/>
          <w:szCs w:val="22"/>
        </w:rPr>
        <w:t xml:space="preserve">vybavenosť </w:t>
      </w:r>
      <w:r>
        <w:rPr>
          <w:rFonts w:ascii="Arial Narrow" w:hAnsi="Arial Narrow" w:cs="Times New Roman"/>
          <w:sz w:val="22"/>
          <w:szCs w:val="22"/>
        </w:rPr>
        <w:t>sa predpokladá vynaložiť prostriedky v </w:t>
      </w:r>
      <w:r>
        <w:rPr>
          <w:rFonts w:ascii="Arial Narrow" w:hAnsi="Arial Narrow" w:cs="Times New Roman"/>
          <w:b/>
          <w:sz w:val="22"/>
          <w:szCs w:val="22"/>
        </w:rPr>
        <w:t xml:space="preserve"> </w:t>
      </w:r>
      <w:r>
        <w:rPr>
          <w:rFonts w:ascii="Arial Narrow" w:hAnsi="Arial Narrow" w:cs="Times New Roman"/>
          <w:sz w:val="22"/>
          <w:szCs w:val="22"/>
        </w:rPr>
        <w:t xml:space="preserve">celkovej sume </w:t>
      </w:r>
      <w:r>
        <w:rPr>
          <w:rFonts w:ascii="Arial Narrow" w:hAnsi="Arial Narrow" w:cs="Times New Roman"/>
          <w:b/>
          <w:sz w:val="22"/>
          <w:szCs w:val="22"/>
        </w:rPr>
        <w:t xml:space="preserve">209 tis. eur,  </w:t>
      </w:r>
      <w:r>
        <w:rPr>
          <w:rFonts w:ascii="Arial Narrow" w:hAnsi="Arial Narrow" w:cs="Times New Roman"/>
          <w:sz w:val="22"/>
          <w:szCs w:val="22"/>
        </w:rPr>
        <w:t>z ktorých budú financované štúdie a expertízy súvisiace s regionálnym rozvojom.</w:t>
      </w:r>
    </w:p>
    <w:p w:rsidR="00C52DD5" w:rsidP="00C52DD5">
      <w:pPr>
        <w:pStyle w:val="BodyText"/>
        <w:spacing w:after="0"/>
        <w:ind w:firstLine="708"/>
        <w:jc w:val="both"/>
        <w:rPr>
          <w:rFonts w:ascii="Arial Narrow" w:hAnsi="Arial Narrow" w:cs="Times New Roman"/>
          <w:sz w:val="22"/>
          <w:szCs w:val="22"/>
        </w:rPr>
      </w:pP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b/>
          <w:sz w:val="22"/>
          <w:szCs w:val="22"/>
        </w:rPr>
        <w:t xml:space="preserve">Pre úsek zdravotníctva </w:t>
      </w:r>
      <w:r>
        <w:rPr>
          <w:rFonts w:ascii="Arial Narrow" w:hAnsi="Arial Narrow" w:cs="Times New Roman"/>
          <w:sz w:val="22"/>
          <w:szCs w:val="22"/>
        </w:rPr>
        <w:t xml:space="preserve">sa uvažuje so sumou </w:t>
      </w:r>
      <w:r>
        <w:rPr>
          <w:rFonts w:ascii="Arial Narrow" w:hAnsi="Arial Narrow" w:cs="Times New Roman"/>
          <w:b/>
          <w:sz w:val="22"/>
          <w:szCs w:val="22"/>
        </w:rPr>
        <w:t>9 693 tis. eur</w:t>
      </w:r>
      <w:r>
        <w:rPr>
          <w:rFonts w:ascii="Arial Narrow" w:hAnsi="Arial Narrow" w:cs="Times New Roman"/>
          <w:sz w:val="22"/>
          <w:szCs w:val="22"/>
        </w:rPr>
        <w:t xml:space="preserve"> na dostavbu rozost</w:t>
      </w:r>
      <w:r>
        <w:rPr>
          <w:rFonts w:ascii="Arial Narrow" w:hAnsi="Arial Narrow" w:cs="Times New Roman"/>
          <w:sz w:val="22"/>
          <w:szCs w:val="22"/>
        </w:rPr>
        <w:t>avaných stavieb, rekonštrukciu  zdravotníckych zariadení a na splátky prístrojov.</w:t>
      </w:r>
    </w:p>
    <w:p w:rsidR="00C52DD5" w:rsidP="00C52DD5">
      <w:pPr>
        <w:pStyle w:val="BodyText"/>
        <w:spacing w:after="0"/>
        <w:jc w:val="both"/>
        <w:rPr>
          <w:rFonts w:ascii="Arial Narrow" w:hAnsi="Arial Narrow" w:cs="Times New Roman"/>
          <w:sz w:val="22"/>
          <w:szCs w:val="22"/>
          <w:u w:val="single"/>
        </w:rPr>
      </w:pPr>
      <w:r>
        <w:rPr>
          <w:rFonts w:ascii="Arial Narrow" w:hAnsi="Arial Narrow" w:cs="Times New Roman"/>
          <w:sz w:val="22"/>
          <w:szCs w:val="22"/>
        </w:rPr>
        <w:tab/>
      </w: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b/>
          <w:sz w:val="22"/>
          <w:szCs w:val="22"/>
        </w:rPr>
        <w:t>V kultúrnych zariadeniach</w:t>
      </w:r>
      <w:r>
        <w:rPr>
          <w:rFonts w:ascii="Arial Narrow" w:hAnsi="Arial Narrow" w:cs="Times New Roman"/>
          <w:sz w:val="22"/>
          <w:szCs w:val="22"/>
        </w:rPr>
        <w:t xml:space="preserve"> sa predpokladá vynaložiť výdavky vo výške </w:t>
      </w:r>
      <w:r>
        <w:rPr>
          <w:rFonts w:ascii="Arial Narrow" w:hAnsi="Arial Narrow" w:cs="Times New Roman"/>
          <w:b/>
          <w:sz w:val="22"/>
          <w:szCs w:val="22"/>
        </w:rPr>
        <w:t>63 699 tis. eur,</w:t>
      </w:r>
      <w:r>
        <w:rPr>
          <w:rFonts w:ascii="Arial Narrow" w:hAnsi="Arial Narrow" w:cs="Times New Roman"/>
          <w:sz w:val="22"/>
          <w:szCs w:val="22"/>
        </w:rPr>
        <w:t xml:space="preserve"> z ktorých sa bude financovať kultúrna činnosť, a to divadiel, múzeí a galérií, osvetových zariadení, knižníc, hvezdární a ostatných kultúrnych inštitúcií v pôsobnosti VÚC a na realizáciu výdavkov kapitálového charakteru.</w:t>
      </w:r>
    </w:p>
    <w:p w:rsidR="00C52DD5" w:rsidP="00C52DD5">
      <w:pPr>
        <w:pStyle w:val="BodyText"/>
        <w:spacing w:after="0"/>
        <w:jc w:val="both"/>
        <w:rPr>
          <w:rFonts w:ascii="Arial Narrow" w:hAnsi="Arial Narrow" w:cs="Times New Roman"/>
          <w:sz w:val="22"/>
          <w:szCs w:val="22"/>
        </w:rPr>
      </w:pPr>
      <w:r>
        <w:rPr>
          <w:rFonts w:ascii="Arial Narrow" w:hAnsi="Arial Narrow" w:cs="Times New Roman"/>
          <w:sz w:val="22"/>
          <w:szCs w:val="22"/>
        </w:rPr>
        <w:t xml:space="preserve"> </w:t>
      </w:r>
    </w:p>
    <w:p w:rsidR="00C52DD5" w:rsidP="00C52DD5">
      <w:pPr>
        <w:ind w:firstLine="708"/>
        <w:jc w:val="both"/>
        <w:rPr>
          <w:rFonts w:ascii="Arial Narrow" w:hAnsi="Arial Narrow" w:cs="Times New Roman"/>
          <w:sz w:val="22"/>
          <w:szCs w:val="22"/>
        </w:rPr>
      </w:pPr>
      <w:r w:rsidRPr="0017616A">
        <w:rPr>
          <w:rFonts w:ascii="Arial Narrow" w:hAnsi="Arial Narrow" w:cs="Times New Roman"/>
          <w:sz w:val="22"/>
          <w:szCs w:val="22"/>
        </w:rPr>
        <w:t>Na úseku</w:t>
      </w:r>
      <w:r w:rsidRPr="00B7287B">
        <w:rPr>
          <w:rFonts w:ascii="Arial Narrow" w:hAnsi="Arial Narrow" w:cs="Times New Roman"/>
          <w:b/>
          <w:sz w:val="22"/>
          <w:szCs w:val="22"/>
        </w:rPr>
        <w:t xml:space="preserve"> školstva</w:t>
      </w:r>
      <w:r w:rsidRPr="00B7287B">
        <w:rPr>
          <w:rFonts w:ascii="Arial Narrow" w:hAnsi="Arial Narrow" w:cs="Times New Roman"/>
          <w:sz w:val="22"/>
          <w:szCs w:val="22"/>
        </w:rPr>
        <w:t xml:space="preserve"> na zabezpečenie bežných a kapitálových výdavkov pre stredné školy a školské zariadenia sa predpokladá použiť finančné prostriedky vo výške</w:t>
      </w:r>
      <w:r w:rsidRPr="00B7287B">
        <w:rPr>
          <w:rFonts w:ascii="Arial Narrow" w:hAnsi="Arial Narrow" w:cs="Times New Roman"/>
          <w:b/>
          <w:sz w:val="22"/>
          <w:szCs w:val="22"/>
        </w:rPr>
        <w:t> </w:t>
      </w:r>
      <w:r>
        <w:rPr>
          <w:rFonts w:ascii="Arial Narrow" w:hAnsi="Arial Narrow" w:cs="Times New Roman"/>
          <w:b/>
          <w:sz w:val="22"/>
          <w:szCs w:val="22"/>
        </w:rPr>
        <w:t>508 810 tis. eur</w:t>
      </w:r>
      <w:r w:rsidRPr="00B7287B">
        <w:rPr>
          <w:rFonts w:ascii="Arial Narrow" w:hAnsi="Arial Narrow" w:cs="Times New Roman"/>
          <w:b/>
          <w:sz w:val="22"/>
          <w:szCs w:val="22"/>
        </w:rPr>
        <w:t xml:space="preserve">. </w:t>
      </w:r>
      <w:r w:rsidRPr="00B7287B">
        <w:rPr>
          <w:rFonts w:ascii="Arial Narrow" w:hAnsi="Arial Narrow" w:cs="Times New Roman"/>
          <w:sz w:val="22"/>
          <w:szCs w:val="22"/>
        </w:rPr>
        <w:t>Činnosti na úseku školstva budú financované z dotácií poskytnutých z  kapitoly Ministerstva školstva SR v rámci preneseného výkonu štátnej správy a z vlastných príjmov VÚC. Ide o financovanie škôl a školských zariadení – gymnázií, stredných odborných škôl, stredných odborných učilíšť, stredísk praktického vyučovania, združených stredných škôl a zariadení, školských jedální, domovov mládeže, umeleckých škôl, ktoré patria do zriaďovateľskej pôsobnosti VÚC</w:t>
      </w:r>
      <w:r>
        <w:rPr>
          <w:rFonts w:ascii="Arial Narrow" w:hAnsi="Arial Narrow" w:cs="Times New Roman"/>
          <w:sz w:val="22"/>
          <w:szCs w:val="22"/>
        </w:rPr>
        <w:t>. Z uvedených prostriedkov sa predpokladá aj poskytovanie dotácií zriaďovateľom neštátnych škôl a školských zariadení na financovanie ich činnosti.</w:t>
      </w:r>
    </w:p>
    <w:p w:rsidR="00C52DD5" w:rsidP="00C52DD5">
      <w:pPr>
        <w:jc w:val="both"/>
        <w:rPr>
          <w:rFonts w:cs="Times New Roman"/>
        </w:rPr>
      </w:pPr>
      <w:r w:rsidR="00313D65">
        <w:rPr>
          <w:rFonts w:cs="Times New Roman"/>
        </w:rPr>
        <w:t xml:space="preserve"> </w:t>
      </w:r>
    </w:p>
    <w:p w:rsidR="00313D65" w:rsidRPr="00313D65" w:rsidP="00313D65">
      <w:pPr>
        <w:ind w:firstLine="708"/>
        <w:jc w:val="both"/>
        <w:rPr>
          <w:rFonts w:ascii="Arial Narrow" w:hAnsi="Arial Narrow" w:cs="Times New Roman"/>
          <w:bCs/>
          <w:sz w:val="22"/>
          <w:szCs w:val="22"/>
        </w:rPr>
      </w:pPr>
      <w:r w:rsidR="00F56B91">
        <w:rPr>
          <w:rFonts w:ascii="Arial Narrow" w:hAnsi="Arial Narrow" w:cs="Times New Roman"/>
          <w:bCs/>
          <w:sz w:val="22"/>
          <w:szCs w:val="22"/>
        </w:rPr>
        <w:t xml:space="preserve">Na úseku </w:t>
      </w:r>
      <w:r w:rsidR="00F56B91">
        <w:rPr>
          <w:rFonts w:ascii="Arial Narrow" w:hAnsi="Arial Narrow" w:cs="Times New Roman"/>
          <w:b/>
          <w:bCs/>
          <w:sz w:val="22"/>
          <w:szCs w:val="22"/>
        </w:rPr>
        <w:t>sociálneho zabezpečenia</w:t>
      </w:r>
      <w:r w:rsidR="00F56B91">
        <w:rPr>
          <w:rFonts w:ascii="Arial Narrow" w:hAnsi="Arial Narrow" w:cs="Times New Roman"/>
          <w:bCs/>
          <w:sz w:val="22"/>
          <w:szCs w:val="22"/>
        </w:rPr>
        <w:t xml:space="preserve"> sa uvažuje s finančnými prostriedkami v sume </w:t>
      </w:r>
      <w:r w:rsidRPr="00F56B91" w:rsidR="00F56B91">
        <w:rPr>
          <w:rFonts w:ascii="Arial Narrow" w:hAnsi="Arial Narrow" w:cs="Times New Roman"/>
          <w:b/>
          <w:bCs/>
          <w:sz w:val="22"/>
          <w:szCs w:val="22"/>
        </w:rPr>
        <w:t>224 873</w:t>
      </w:r>
      <w:r w:rsidRPr="008243D5" w:rsidR="00F56B91">
        <w:rPr>
          <w:rFonts w:ascii="Arial Narrow" w:hAnsi="Arial Narrow" w:cs="Times New Roman"/>
          <w:b/>
          <w:bCs/>
          <w:sz w:val="22"/>
          <w:szCs w:val="22"/>
        </w:rPr>
        <w:t xml:space="preserve"> </w:t>
      </w:r>
      <w:r w:rsidR="00F56B91">
        <w:rPr>
          <w:rFonts w:ascii="Arial Narrow" w:hAnsi="Arial Narrow" w:cs="Times New Roman"/>
          <w:b/>
          <w:bCs/>
          <w:sz w:val="22"/>
          <w:szCs w:val="22"/>
        </w:rPr>
        <w:t>tis. eur</w:t>
      </w:r>
      <w:r w:rsidRPr="00313D65">
        <w:rPr>
          <w:rFonts w:ascii="Arial Narrow" w:hAnsi="Arial Narrow" w:cs="Times New Roman"/>
          <w:bCs/>
          <w:sz w:val="22"/>
          <w:szCs w:val="22"/>
        </w:rPr>
        <w:t xml:space="preserve"> na zabezpeč</w:t>
      </w:r>
      <w:r w:rsidRPr="00313D65">
        <w:rPr>
          <w:rFonts w:ascii="Arial Narrow" w:hAnsi="Arial Narrow" w:cs="Times New Roman"/>
          <w:bCs/>
          <w:sz w:val="22"/>
          <w:szCs w:val="22"/>
        </w:rPr>
        <w:t xml:space="preserve">enie financovania pôsobnosti </w:t>
      </w:r>
      <w:r>
        <w:rPr>
          <w:rFonts w:ascii="Arial Narrow" w:hAnsi="Arial Narrow" w:cs="Times New Roman"/>
          <w:bCs/>
          <w:sz w:val="22"/>
          <w:szCs w:val="22"/>
        </w:rPr>
        <w:t>VÚC</w:t>
      </w:r>
      <w:r w:rsidRPr="00313D65">
        <w:rPr>
          <w:rFonts w:ascii="Arial Narrow" w:hAnsi="Arial Narrow" w:cs="Times New Roman"/>
          <w:bCs/>
          <w:sz w:val="22"/>
          <w:szCs w:val="22"/>
        </w:rPr>
        <w:t xml:space="preserve"> v uvedenej oblasti.</w:t>
      </w:r>
    </w:p>
    <w:p w:rsidR="005C1768" w:rsidP="00C52DD5">
      <w:pPr>
        <w:ind w:firstLine="708"/>
        <w:jc w:val="both"/>
        <w:rPr>
          <w:rFonts w:ascii="Arial Narrow" w:hAnsi="Arial Narrow" w:cs="Times New Roman"/>
          <w:sz w:val="22"/>
          <w:szCs w:val="22"/>
        </w:rPr>
      </w:pPr>
    </w:p>
    <w:p w:rsidR="001A548B" w:rsidP="00C52DD5">
      <w:pPr>
        <w:ind w:firstLine="708"/>
        <w:jc w:val="both"/>
        <w:rPr>
          <w:rFonts w:ascii="Arial Narrow" w:hAnsi="Arial Narrow" w:cs="Times New Roman"/>
          <w:sz w:val="22"/>
          <w:szCs w:val="22"/>
        </w:rPr>
      </w:pPr>
    </w:p>
    <w:p w:rsidR="001A548B" w:rsidP="00C52DD5">
      <w:pPr>
        <w:ind w:firstLine="708"/>
        <w:jc w:val="both"/>
        <w:rPr>
          <w:rFonts w:ascii="Arial Narrow" w:hAnsi="Arial Narrow" w:cs="Times New Roman"/>
          <w:sz w:val="22"/>
          <w:szCs w:val="22"/>
        </w:rPr>
      </w:pPr>
    </w:p>
    <w:p w:rsidR="001A548B" w:rsidP="00C52DD5">
      <w:pPr>
        <w:ind w:firstLine="708"/>
        <w:jc w:val="both"/>
        <w:rPr>
          <w:rFonts w:ascii="Arial Narrow" w:hAnsi="Arial Narrow" w:cs="Times New Roman"/>
          <w:sz w:val="22"/>
          <w:szCs w:val="22"/>
        </w:rPr>
      </w:pPr>
    </w:p>
    <w:p w:rsidR="001A548B" w:rsidP="00C52DD5">
      <w:pPr>
        <w:ind w:firstLine="708"/>
        <w:jc w:val="both"/>
        <w:rPr>
          <w:rFonts w:ascii="Arial Narrow" w:hAnsi="Arial Narrow" w:cs="Times New Roman"/>
          <w:sz w:val="22"/>
          <w:szCs w:val="22"/>
        </w:rPr>
      </w:pPr>
    </w:p>
    <w:p w:rsidR="001A548B" w:rsidP="00C52DD5">
      <w:pPr>
        <w:ind w:firstLine="708"/>
        <w:jc w:val="both"/>
        <w:rPr>
          <w:rFonts w:ascii="Arial Narrow" w:hAnsi="Arial Narrow" w:cs="Times New Roman"/>
          <w:sz w:val="22"/>
          <w:szCs w:val="22"/>
        </w:rPr>
      </w:pPr>
    </w:p>
    <w:p w:rsidR="001A548B" w:rsidP="00C52DD5">
      <w:pPr>
        <w:ind w:firstLine="708"/>
        <w:jc w:val="both"/>
        <w:rPr>
          <w:rFonts w:ascii="Arial Narrow" w:hAnsi="Arial Narrow" w:cs="Times New Roman"/>
          <w:sz w:val="22"/>
          <w:szCs w:val="22"/>
        </w:rPr>
      </w:pPr>
    </w:p>
    <w:p w:rsidR="001A548B" w:rsidP="00C52DD5">
      <w:pPr>
        <w:ind w:firstLine="708"/>
        <w:jc w:val="both"/>
        <w:rPr>
          <w:rFonts w:ascii="Arial Narrow" w:hAnsi="Arial Narrow" w:cs="Times New Roman"/>
          <w:sz w:val="22"/>
          <w:szCs w:val="22"/>
        </w:rPr>
      </w:pPr>
    </w:p>
    <w:p w:rsidR="001A548B" w:rsidP="00C52DD5">
      <w:pPr>
        <w:ind w:firstLine="708"/>
        <w:jc w:val="both"/>
        <w:rPr>
          <w:rFonts w:ascii="Arial Narrow" w:hAnsi="Arial Narrow" w:cs="Times New Roman"/>
          <w:sz w:val="22"/>
          <w:szCs w:val="22"/>
        </w:rPr>
      </w:pPr>
    </w:p>
    <w:p w:rsidR="001A548B" w:rsidP="00C52DD5">
      <w:pPr>
        <w:ind w:firstLine="708"/>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Vývoj výdavkov podľa jednotlivých úsekov činnosti VÚC sa podľa odhadu Ministerstva financií SR v rokoch 2009 až 2011 predpokladá takto:</w:t>
      </w:r>
    </w:p>
    <w:p w:rsidR="00C52DD5" w:rsidP="00C52DD5">
      <w:pPr>
        <w:pStyle w:val="BodyText"/>
        <w:spacing w:after="0"/>
        <w:jc w:val="both"/>
        <w:rPr>
          <w:rFonts w:ascii="Arial Narrow" w:hAnsi="Arial Narrow" w:cs="Times New Roman"/>
          <w:sz w:val="22"/>
          <w:szCs w:val="22"/>
        </w:rPr>
      </w:pPr>
    </w:p>
    <w:tbl>
      <w:tblPr>
        <w:tblW w:w="8798" w:type="dxa"/>
        <w:jc w:val="center"/>
        <w:tblInd w:w="-55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Grid>
        <w:gridCol w:w="3807"/>
        <w:gridCol w:w="1620"/>
        <w:gridCol w:w="1751"/>
        <w:gridCol w:w="1620"/>
      </w:tblGrid>
      <w:tr>
        <w:tblPrEx>
          <w:tblW w:w="8798" w:type="dxa"/>
          <w:jc w:val="center"/>
          <w:tblInd w:w="-55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hRule="auto" w:val="0"/>
          <w:jc w:val="center"/>
        </w:trPr>
        <w:tc>
          <w:tcPr>
            <w:tcW w:w="3807"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both"/>
              <w:rPr>
                <w:rFonts w:ascii="Arial Narrow" w:hAnsi="Arial Narrow" w:cs="Times New Roman"/>
                <w:b/>
                <w:color w:val="FFFFFF"/>
                <w:sz w:val="20"/>
                <w:szCs w:val="22"/>
              </w:rPr>
            </w:pPr>
            <w:r>
              <w:rPr>
                <w:rFonts w:ascii="Arial Narrow" w:hAnsi="Arial Narrow" w:cs="Times New Roman"/>
                <w:b/>
                <w:color w:val="FFFFFF"/>
                <w:sz w:val="20"/>
                <w:szCs w:val="22"/>
              </w:rPr>
              <w:t xml:space="preserve">Funkcia </w:t>
            </w:r>
            <w:r w:rsidRPr="000663D7">
              <w:rPr>
                <w:rFonts w:ascii="Arial Narrow" w:hAnsi="Arial Narrow" w:cs="Arial"/>
                <w:b/>
                <w:bCs/>
                <w:color w:val="FFFFFF"/>
                <w:sz w:val="20"/>
                <w:szCs w:val="22"/>
              </w:rPr>
              <w:t>(v tis. eur)</w:t>
            </w:r>
          </w:p>
        </w:tc>
        <w:tc>
          <w:tcPr>
            <w:tcW w:w="162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2009</w:t>
            </w:r>
          </w:p>
        </w:tc>
        <w:tc>
          <w:tcPr>
            <w:tcW w:w="1751"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2010</w:t>
            </w:r>
          </w:p>
        </w:tc>
        <w:tc>
          <w:tcPr>
            <w:tcW w:w="162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2011</w:t>
            </w:r>
          </w:p>
        </w:tc>
      </w:tr>
      <w:tr>
        <w:tblPrEx>
          <w:tblW w:w="8798" w:type="dxa"/>
          <w:jc w:val="center"/>
          <w:tblInd w:w="-558" w:type="dxa"/>
        </w:tblPrEx>
        <w:trPr>
          <w:trHeight w:hRule="auto" w:val="0"/>
          <w:jc w:val="center"/>
        </w:trPr>
        <w:tc>
          <w:tcPr>
            <w:tcW w:w="380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01 Všeobecné verejné služby</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80"/>
              <w:jc w:val="right"/>
              <w:rPr>
                <w:rFonts w:ascii="Arial Narrow" w:hAnsi="Arial Narrow" w:cs="Times New Roman"/>
                <w:sz w:val="20"/>
                <w:szCs w:val="22"/>
              </w:rPr>
            </w:pPr>
            <w:r>
              <w:rPr>
                <w:rFonts w:ascii="Arial Narrow" w:hAnsi="Arial Narrow" w:cs="Times New Roman"/>
                <w:sz w:val="20"/>
                <w:szCs w:val="22"/>
              </w:rPr>
              <w:t>89 016</w:t>
            </w:r>
          </w:p>
        </w:tc>
        <w:tc>
          <w:tcPr>
            <w:tcW w:w="17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94 792</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102 901</w:t>
            </w:r>
          </w:p>
        </w:tc>
      </w:tr>
      <w:tr>
        <w:tblPrEx>
          <w:tblW w:w="8798" w:type="dxa"/>
          <w:jc w:val="center"/>
          <w:tblInd w:w="-558" w:type="dxa"/>
        </w:tblPrEx>
        <w:trPr>
          <w:trHeight w:hRule="auto" w:val="0"/>
          <w:jc w:val="center"/>
        </w:trPr>
        <w:tc>
          <w:tcPr>
            <w:tcW w:w="380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04 Ekonomická oblasť</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234 900</w:t>
            </w:r>
          </w:p>
        </w:tc>
        <w:tc>
          <w:tcPr>
            <w:tcW w:w="17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243 411</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260 987</w:t>
            </w:r>
          </w:p>
        </w:tc>
      </w:tr>
      <w:tr>
        <w:tblPrEx>
          <w:tblW w:w="8798" w:type="dxa"/>
          <w:jc w:val="center"/>
          <w:tblInd w:w="-558" w:type="dxa"/>
        </w:tblPrEx>
        <w:trPr>
          <w:trHeight w:hRule="auto" w:val="0"/>
          <w:jc w:val="center"/>
        </w:trPr>
        <w:tc>
          <w:tcPr>
            <w:tcW w:w="380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05 Ochrana životného prostredia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133</w:t>
            </w:r>
          </w:p>
        </w:tc>
        <w:tc>
          <w:tcPr>
            <w:tcW w:w="17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133</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133</w:t>
            </w:r>
          </w:p>
        </w:tc>
      </w:tr>
      <w:tr>
        <w:tblPrEx>
          <w:tblW w:w="8798" w:type="dxa"/>
          <w:jc w:val="center"/>
          <w:tblInd w:w="-558" w:type="dxa"/>
        </w:tblPrEx>
        <w:trPr>
          <w:trHeight w:hRule="auto" w:val="0"/>
          <w:jc w:val="center"/>
        </w:trPr>
        <w:tc>
          <w:tcPr>
            <w:tcW w:w="380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06 Bývanie a občianska vybavenosť</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209</w:t>
            </w:r>
          </w:p>
        </w:tc>
        <w:tc>
          <w:tcPr>
            <w:tcW w:w="17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209</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209</w:t>
            </w:r>
          </w:p>
        </w:tc>
      </w:tr>
      <w:tr>
        <w:tblPrEx>
          <w:tblW w:w="8798" w:type="dxa"/>
          <w:jc w:val="center"/>
          <w:tblInd w:w="-558" w:type="dxa"/>
        </w:tblPrEx>
        <w:trPr>
          <w:trHeight w:hRule="auto" w:val="0"/>
          <w:jc w:val="center"/>
        </w:trPr>
        <w:tc>
          <w:tcPr>
            <w:tcW w:w="380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07 Zdravotníctvo</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9 693</w:t>
            </w:r>
          </w:p>
        </w:tc>
        <w:tc>
          <w:tcPr>
            <w:tcW w:w="17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9 958</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11 618</w:t>
            </w:r>
          </w:p>
        </w:tc>
      </w:tr>
      <w:tr>
        <w:tblPrEx>
          <w:tblW w:w="8798" w:type="dxa"/>
          <w:jc w:val="center"/>
          <w:tblInd w:w="-558" w:type="dxa"/>
        </w:tblPrEx>
        <w:trPr>
          <w:trHeight w:val="261"/>
          <w:jc w:val="center"/>
        </w:trPr>
        <w:tc>
          <w:tcPr>
            <w:tcW w:w="380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08 Rekreácia, kultúra a náboženstvo</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63 699</w:t>
            </w:r>
          </w:p>
        </w:tc>
        <w:tc>
          <w:tcPr>
            <w:tcW w:w="17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64 861</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71 533</w:t>
            </w:r>
          </w:p>
        </w:tc>
      </w:tr>
      <w:tr>
        <w:tblPrEx>
          <w:tblW w:w="8798" w:type="dxa"/>
          <w:jc w:val="center"/>
          <w:tblInd w:w="-558" w:type="dxa"/>
        </w:tblPrEx>
        <w:trPr>
          <w:trHeight w:hRule="auto" w:val="0"/>
          <w:jc w:val="center"/>
        </w:trPr>
        <w:tc>
          <w:tcPr>
            <w:tcW w:w="380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09 Vzdelávanie</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508 810</w:t>
            </w:r>
          </w:p>
        </w:tc>
        <w:tc>
          <w:tcPr>
            <w:tcW w:w="17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540 785</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562 929</w:t>
            </w:r>
          </w:p>
        </w:tc>
      </w:tr>
      <w:tr>
        <w:tblPrEx>
          <w:tblW w:w="8798" w:type="dxa"/>
          <w:jc w:val="center"/>
          <w:tblInd w:w="-558" w:type="dxa"/>
        </w:tblPrEx>
        <w:trPr>
          <w:trHeight w:hRule="auto" w:val="0"/>
          <w:jc w:val="center"/>
        </w:trPr>
        <w:tc>
          <w:tcPr>
            <w:tcW w:w="380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r>
              <w:rPr>
                <w:rFonts w:ascii="Arial Narrow" w:hAnsi="Arial Narrow" w:cs="Times New Roman"/>
                <w:sz w:val="20"/>
                <w:szCs w:val="22"/>
              </w:rPr>
              <w:t>10 Sociálne zabezpečenie</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224 873</w:t>
            </w:r>
          </w:p>
        </w:tc>
        <w:tc>
          <w:tcPr>
            <w:tcW w:w="17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225 398</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251 820</w:t>
            </w:r>
          </w:p>
        </w:tc>
      </w:tr>
      <w:tr>
        <w:tblPrEx>
          <w:tblW w:w="8798" w:type="dxa"/>
          <w:jc w:val="center"/>
          <w:tblInd w:w="-558" w:type="dxa"/>
        </w:tblPrEx>
        <w:trPr>
          <w:trHeight w:hRule="auto" w:val="0"/>
          <w:jc w:val="center"/>
        </w:trPr>
        <w:tc>
          <w:tcPr>
            <w:tcW w:w="3807"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both"/>
              <w:rPr>
                <w:rFonts w:ascii="Arial Narrow" w:hAnsi="Arial Narrow" w:cs="Times New Roman"/>
                <w:b/>
                <w:sz w:val="20"/>
                <w:szCs w:val="22"/>
              </w:rPr>
            </w:pPr>
            <w:r>
              <w:rPr>
                <w:rFonts w:ascii="Arial Narrow" w:hAnsi="Arial Narrow" w:cs="Times New Roman"/>
                <w:b/>
                <w:sz w:val="20"/>
                <w:szCs w:val="22"/>
              </w:rPr>
              <w:t>S p o l u</w:t>
            </w:r>
          </w:p>
        </w:tc>
        <w:tc>
          <w:tcPr>
            <w:tcW w:w="162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1 131 333</w:t>
            </w:r>
          </w:p>
        </w:tc>
        <w:tc>
          <w:tcPr>
            <w:tcW w:w="1751"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1 179 547</w:t>
            </w:r>
          </w:p>
        </w:tc>
        <w:tc>
          <w:tcPr>
            <w:tcW w:w="162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1 262 130</w:t>
            </w:r>
          </w:p>
        </w:tc>
      </w:tr>
    </w:tbl>
    <w:p w:rsidR="00C52DD5" w:rsidP="00C52DD5">
      <w:pPr>
        <w:jc w:val="both"/>
        <w:rPr>
          <w:rFonts w:ascii="Arial Narrow" w:hAnsi="Arial Narrow" w:cs="Times New Roman"/>
          <w:sz w:val="22"/>
          <w:szCs w:val="22"/>
        </w:rPr>
      </w:pPr>
      <w:r>
        <w:rPr>
          <w:rFonts w:cs="Times New Roman"/>
        </w:rPr>
        <w:t xml:space="preserve"> </w:t>
      </w: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sz w:val="22"/>
          <w:szCs w:val="22"/>
        </w:rPr>
        <w:t xml:space="preserve">Vývoj príjmovej a výdavkovej časti rozpočtu VÚC na roky 2009 až  2011 je nasledovný: </w:t>
        <w:tab/>
      </w:r>
    </w:p>
    <w:p w:rsidR="00C52DD5" w:rsidP="00C52DD5">
      <w:pPr>
        <w:pStyle w:val="BodyText"/>
        <w:spacing w:after="0"/>
        <w:jc w:val="both"/>
        <w:rPr>
          <w:rFonts w:ascii="Arial Narrow" w:hAnsi="Arial Narrow" w:cs="Times New Roman"/>
          <w:sz w:val="22"/>
          <w:szCs w:val="22"/>
        </w:rPr>
      </w:pPr>
    </w:p>
    <w:tbl>
      <w:tblPr>
        <w:tblW w:w="912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Grid>
        <w:gridCol w:w="3726"/>
        <w:gridCol w:w="1440"/>
        <w:gridCol w:w="1440"/>
        <w:gridCol w:w="1260"/>
        <w:gridCol w:w="1260"/>
      </w:tblGrid>
      <w:tr>
        <w:tblPrEx>
          <w:tblW w:w="912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RPr="000663D7" w:rsidP="00C52DD5">
            <w:pPr>
              <w:jc w:val="both"/>
              <w:rPr>
                <w:rFonts w:ascii="Arial Narrow" w:hAnsi="Arial Narrow" w:cs="Times New Roman"/>
                <w:b/>
                <w:i/>
                <w:color w:val="FFFFFF"/>
                <w:sz w:val="20"/>
                <w:szCs w:val="22"/>
              </w:rPr>
            </w:pPr>
            <w:r w:rsidRPr="000663D7">
              <w:rPr>
                <w:rFonts w:ascii="Arial Narrow" w:hAnsi="Arial Narrow" w:cs="Arial"/>
                <w:b/>
                <w:bCs/>
                <w:color w:val="FFFFFF"/>
                <w:sz w:val="20"/>
                <w:szCs w:val="22"/>
              </w:rPr>
              <w:t xml:space="preserve"> (v tis. eur)</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2008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2009</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w:t>
            </w:r>
            <w:r>
              <w:rPr>
                <w:rFonts w:ascii="Arial Narrow" w:hAnsi="Arial Narrow" w:cs="Times New Roman"/>
                <w:b/>
                <w:color w:val="FFFFFF"/>
                <w:sz w:val="20"/>
                <w:szCs w:val="22"/>
              </w:rPr>
              <w:t>10</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2011</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Príjmy VÚC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80"/>
              <w:jc w:val="right"/>
              <w:rPr>
                <w:rFonts w:ascii="Arial Narrow" w:hAnsi="Arial Narrow" w:cs="Times New Roman"/>
                <w:b/>
                <w:i/>
                <w:sz w:val="20"/>
                <w:szCs w:val="22"/>
              </w:rPr>
            </w:pPr>
            <w:r>
              <w:rPr>
                <w:rFonts w:ascii="Arial Narrow" w:hAnsi="Arial Narrow" w:cs="Times New Roman"/>
                <w:b/>
                <w:i/>
                <w:sz w:val="20"/>
                <w:szCs w:val="22"/>
              </w:rPr>
              <w:t>1 083 771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80"/>
              <w:jc w:val="right"/>
              <w:rPr>
                <w:rFonts w:ascii="Arial Narrow" w:hAnsi="Arial Narrow" w:cs="Times New Roman"/>
                <w:b/>
                <w:i/>
                <w:sz w:val="20"/>
                <w:szCs w:val="22"/>
              </w:rPr>
            </w:pPr>
            <w:r>
              <w:rPr>
                <w:rFonts w:ascii="Arial Narrow" w:hAnsi="Arial Narrow" w:cs="Times New Roman"/>
                <w:b/>
                <w:i/>
                <w:sz w:val="20"/>
                <w:szCs w:val="22"/>
              </w:rPr>
              <w:t>1 131 333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1 205 105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1 278 062</w:t>
            </w:r>
          </w:p>
        </w:tc>
      </w:tr>
      <w:tr>
        <w:tblPrEx>
          <w:tblW w:w="9126" w:type="dxa"/>
        </w:tblPrEx>
        <w:trPr>
          <w:trHeight w:val="227"/>
        </w:trPr>
        <w:tc>
          <w:tcPr>
            <w:tcW w:w="9126"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6B2EA2" w:rsidP="00C52DD5">
            <w:pPr>
              <w:jc w:val="both"/>
              <w:rPr>
                <w:rFonts w:ascii="Arial Narrow" w:hAnsi="Arial Narrow" w:cs="Times New Roman"/>
                <w:b/>
                <w:i/>
                <w:sz w:val="20"/>
                <w:szCs w:val="22"/>
              </w:rPr>
            </w:pPr>
            <w:r w:rsidRPr="006B2EA2">
              <w:rPr>
                <w:rFonts w:ascii="Arial Narrow" w:hAnsi="Arial Narrow" w:cs="Times New Roman"/>
                <w:b/>
                <w:i/>
                <w:sz w:val="20"/>
                <w:szCs w:val="22"/>
              </w:rPr>
              <w:t>z toho</w:t>
            </w:r>
            <w:r>
              <w:rPr>
                <w:rFonts w:ascii="Arial Narrow" w:hAnsi="Arial Narrow" w:cs="Times New Roman"/>
                <w:b/>
                <w:i/>
                <w:sz w:val="20"/>
                <w:szCs w:val="22"/>
              </w:rPr>
              <w:t>:</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daňové príjmy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516 929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606 551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653 443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713 726</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nedaňové príjmy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52 446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59 749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63 068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66 388</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granty a transfery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380 127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415 242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437 807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454 796</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zo splátok tuz. úverov,pôžičiek a z predaja majetkový. účastí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996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996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996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0,0</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3"/>
              </w:numPr>
              <w:tabs>
                <w:tab w:val="left" w:pos="360"/>
              </w:tabs>
              <w:jc w:val="both"/>
              <w:rPr>
                <w:rFonts w:ascii="Arial Narrow" w:hAnsi="Arial Narrow" w:cs="Times New Roman"/>
                <w:sz w:val="20"/>
                <w:szCs w:val="22"/>
              </w:rPr>
            </w:pPr>
            <w:r>
              <w:rPr>
                <w:rFonts w:ascii="Arial Narrow" w:hAnsi="Arial Narrow" w:cs="Times New Roman"/>
                <w:sz w:val="20"/>
                <w:szCs w:val="22"/>
              </w:rPr>
              <w:t>zostat. prostr. z predch. rokov a prevod prostr. z peňaž. fondov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3 983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15 601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16 597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C52DD5" w:rsidP="00C52DD5">
            <w:pPr>
              <w:jc w:val="right"/>
              <w:rPr>
                <w:rFonts w:ascii="Arial Narrow" w:hAnsi="Arial Narrow" w:cs="Times New Roman"/>
                <w:sz w:val="20"/>
                <w:szCs w:val="22"/>
              </w:rPr>
            </w:pPr>
            <w:r>
              <w:rPr>
                <w:rFonts w:ascii="Arial Narrow" w:hAnsi="Arial Narrow" w:cs="Times New Roman"/>
                <w:sz w:val="20"/>
                <w:szCs w:val="22"/>
              </w:rPr>
              <w:t>16 597</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4"/>
              </w:numPr>
              <w:tabs>
                <w:tab w:val="left" w:pos="360"/>
              </w:tabs>
              <w:jc w:val="both"/>
              <w:rPr>
                <w:rFonts w:ascii="Arial Narrow" w:hAnsi="Arial Narrow" w:cs="Times New Roman"/>
                <w:sz w:val="20"/>
                <w:szCs w:val="22"/>
              </w:rPr>
            </w:pPr>
            <w:r>
              <w:rPr>
                <w:rFonts w:ascii="Arial Narrow" w:hAnsi="Arial Narrow" w:cs="Times New Roman"/>
                <w:sz w:val="20"/>
                <w:szCs w:val="22"/>
              </w:rPr>
              <w:t>prijaté úvery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129 290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33 194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33 194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26 555</w:t>
            </w:r>
          </w:p>
        </w:tc>
      </w:tr>
      <w:tr>
        <w:tblPrEx>
          <w:tblW w:w="9126" w:type="dxa"/>
        </w:tblPrEx>
        <w:trPr>
          <w:trHeight w:val="227"/>
        </w:trPr>
        <w:tc>
          <w:tcPr>
            <w:tcW w:w="9126"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Výdavky VÚC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1 043 574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1 131 333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1 179 547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 xml:space="preserve">1 262 </w:t>
            </w:r>
            <w:r>
              <w:rPr>
                <w:rFonts w:ascii="Arial Narrow" w:hAnsi="Arial Narrow" w:cs="Times New Roman"/>
                <w:b/>
                <w:i/>
                <w:sz w:val="20"/>
                <w:szCs w:val="22"/>
              </w:rPr>
              <w:t>130</w:t>
            </w:r>
          </w:p>
        </w:tc>
      </w:tr>
      <w:tr>
        <w:tblPrEx>
          <w:tblW w:w="9126" w:type="dxa"/>
        </w:tblPrEx>
        <w:trPr>
          <w:trHeight w:val="227"/>
        </w:trPr>
        <w:tc>
          <w:tcPr>
            <w:tcW w:w="9126"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sidRPr="006B2EA2">
              <w:rPr>
                <w:rFonts w:ascii="Arial Narrow" w:hAnsi="Arial Narrow" w:cs="Times New Roman"/>
                <w:b/>
                <w:i/>
                <w:sz w:val="20"/>
                <w:szCs w:val="22"/>
              </w:rPr>
              <w:t>z toho</w:t>
            </w:r>
            <w:r>
              <w:rPr>
                <w:rFonts w:ascii="Arial Narrow" w:hAnsi="Arial Narrow" w:cs="Times New Roman"/>
                <w:b/>
                <w:i/>
                <w:sz w:val="20"/>
                <w:szCs w:val="22"/>
              </w:rPr>
              <w:t>:</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mzdy a odvody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339 159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388 208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414 136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459 063</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tovary a služby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211 598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248 768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265 179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287 897</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bežné transfery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294 384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331 939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335 590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341 897</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splácanie úrokov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4 647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4 647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9 958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13 278</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kapitálové výdavky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188 807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147 813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142 734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146 053</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úvery a účasť na majetku (FO)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664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664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664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664</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5"/>
              </w:numPr>
              <w:tabs>
                <w:tab w:val="left" w:pos="360"/>
              </w:tabs>
              <w:jc w:val="both"/>
              <w:rPr>
                <w:rFonts w:ascii="Arial Narrow" w:hAnsi="Arial Narrow" w:cs="Times New Roman"/>
                <w:sz w:val="20"/>
                <w:szCs w:val="22"/>
              </w:rPr>
            </w:pPr>
            <w:r>
              <w:rPr>
                <w:rFonts w:ascii="Arial Narrow" w:hAnsi="Arial Narrow" w:cs="Times New Roman"/>
                <w:sz w:val="20"/>
                <w:szCs w:val="22"/>
              </w:rPr>
              <w:t>splácanie istiny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4 315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9 294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11 286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13 278</w:t>
            </w:r>
          </w:p>
        </w:tc>
      </w:tr>
      <w:tr>
        <w:tblPrEx>
          <w:tblW w:w="9126" w:type="dxa"/>
        </w:tblPrEx>
        <w:trPr>
          <w:trHeight w:val="227"/>
        </w:trPr>
        <w:tc>
          <w:tcPr>
            <w:tcW w:w="9126"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Celkový prebytok VÚC</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40 197</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0,0</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25 558</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15 932</w:t>
            </w:r>
          </w:p>
        </w:tc>
      </w:tr>
      <w:tr>
        <w:tblPrEx>
          <w:tblW w:w="9126" w:type="dxa"/>
        </w:tblPrEx>
        <w:trPr>
          <w:trHeight w:hRule="auto" w:val="0"/>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vylúčenie finančných operácií</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65"/>
              <w:jc w:val="right"/>
              <w:rPr>
                <w:rFonts w:ascii="Arial Narrow" w:hAnsi="Arial Narrow" w:cs="Times New Roman"/>
                <w:b/>
                <w:i/>
                <w:sz w:val="20"/>
                <w:szCs w:val="22"/>
              </w:rPr>
            </w:pPr>
            <w:r>
              <w:rPr>
                <w:rFonts w:ascii="Arial Narrow" w:hAnsi="Arial Narrow" w:cs="Times New Roman"/>
                <w:b/>
                <w:i/>
                <w:sz w:val="20"/>
                <w:szCs w:val="22"/>
              </w:rPr>
              <w:t>- 129 290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65"/>
              <w:jc w:val="right"/>
              <w:rPr>
                <w:rFonts w:ascii="Arial Narrow" w:hAnsi="Arial Narrow" w:cs="Times New Roman"/>
                <w:b/>
                <w:i/>
                <w:sz w:val="20"/>
                <w:szCs w:val="22"/>
              </w:rPr>
            </w:pPr>
            <w:r>
              <w:rPr>
                <w:rFonts w:ascii="Arial Narrow" w:hAnsi="Arial Narrow" w:cs="Times New Roman"/>
                <w:b/>
                <w:i/>
                <w:sz w:val="20"/>
                <w:szCs w:val="22"/>
              </w:rPr>
              <w:t>- 39 833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- 38 837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- 29 210</w:t>
            </w:r>
          </w:p>
        </w:tc>
      </w:tr>
      <w:tr>
        <w:tblPrEx>
          <w:tblW w:w="9126" w:type="dxa"/>
        </w:tblPrEx>
        <w:trPr>
          <w:trHeight w:val="227"/>
        </w:trPr>
        <w:tc>
          <w:tcPr>
            <w:tcW w:w="9126"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sidRPr="006B2EA2">
              <w:rPr>
                <w:rFonts w:ascii="Arial Narrow" w:hAnsi="Arial Narrow" w:cs="Times New Roman"/>
                <w:b/>
                <w:i/>
                <w:sz w:val="20"/>
                <w:szCs w:val="22"/>
              </w:rPr>
              <w:t>z toho</w:t>
            </w:r>
            <w:r>
              <w:rPr>
                <w:rFonts w:ascii="Arial Narrow" w:hAnsi="Arial Narrow" w:cs="Times New Roman"/>
                <w:b/>
                <w:i/>
                <w:sz w:val="20"/>
                <w:szCs w:val="22"/>
              </w:rPr>
              <w:t>:</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6"/>
              </w:numPr>
              <w:tabs>
                <w:tab w:val="left" w:pos="360"/>
              </w:tabs>
              <w:jc w:val="both"/>
              <w:rPr>
                <w:rFonts w:ascii="Arial Narrow" w:hAnsi="Arial Narrow" w:cs="Times New Roman"/>
                <w:b/>
                <w:sz w:val="20"/>
                <w:szCs w:val="22"/>
              </w:rPr>
            </w:pPr>
            <w:r>
              <w:rPr>
                <w:rFonts w:ascii="Arial Narrow" w:hAnsi="Arial Narrow" w:cs="Times New Roman"/>
                <w:sz w:val="20"/>
                <w:szCs w:val="22"/>
              </w:rPr>
              <w:t>vylúčenie príjmových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- 134 26</w:t>
            </w:r>
            <w:r>
              <w:rPr>
                <w:rFonts w:ascii="Arial Narrow" w:hAnsi="Arial Narrow" w:cs="Times New Roman"/>
                <w:sz w:val="20"/>
                <w:szCs w:val="22"/>
              </w:rPr>
              <w:t>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- 49 791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- 50 787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- 43 152</w:t>
            </w: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76"/>
              </w:numPr>
              <w:tabs>
                <w:tab w:val="left" w:pos="360"/>
              </w:tabs>
              <w:jc w:val="both"/>
              <w:rPr>
                <w:rFonts w:ascii="Arial Narrow" w:hAnsi="Arial Narrow" w:cs="Times New Roman"/>
                <w:sz w:val="20"/>
                <w:szCs w:val="22"/>
              </w:rPr>
            </w:pPr>
            <w:r>
              <w:rPr>
                <w:rFonts w:ascii="Arial Narrow" w:hAnsi="Arial Narrow" w:cs="Times New Roman"/>
                <w:sz w:val="20"/>
                <w:szCs w:val="22"/>
              </w:rPr>
              <w:t>vylúčenie výdavkových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4 979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9 958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11 950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13 942</w:t>
            </w:r>
          </w:p>
        </w:tc>
      </w:tr>
      <w:tr>
        <w:tblPrEx>
          <w:tblW w:w="9126" w:type="dxa"/>
        </w:tblPrEx>
        <w:trPr>
          <w:trHeight w:val="227"/>
        </w:trPr>
        <w:tc>
          <w:tcPr>
            <w:tcW w:w="9126"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zahrnutie časového rozlíšenia</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50"/>
              <w:jc w:val="right"/>
              <w:rPr>
                <w:rFonts w:ascii="Arial Narrow" w:hAnsi="Arial Narrow" w:cs="Times New Roman"/>
                <w:b/>
                <w:i/>
                <w:sz w:val="20"/>
                <w:szCs w:val="22"/>
              </w:rPr>
            </w:pPr>
            <w:r>
              <w:rPr>
                <w:rFonts w:ascii="Arial Narrow" w:hAnsi="Arial Narrow" w:cs="Times New Roman"/>
                <w:b/>
                <w:i/>
                <w:sz w:val="20"/>
                <w:szCs w:val="22"/>
              </w:rPr>
              <w:t>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50"/>
              <w:jc w:val="right"/>
              <w:rPr>
                <w:rFonts w:ascii="Arial Narrow" w:hAnsi="Arial Narrow" w:cs="Times New Roman"/>
                <w:b/>
                <w:i/>
                <w:sz w:val="20"/>
                <w:szCs w:val="22"/>
              </w:rPr>
            </w:pPr>
            <w:r>
              <w:rPr>
                <w:rFonts w:ascii="Arial Narrow" w:hAnsi="Arial Narrow" w:cs="Times New Roman"/>
                <w:b/>
                <w:i/>
                <w:sz w:val="20"/>
                <w:szCs w:val="22"/>
              </w:rPr>
              <w:t>1 328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1 395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335"/>
              <w:jc w:val="right"/>
              <w:rPr>
                <w:rFonts w:ascii="Arial Narrow" w:hAnsi="Arial Narrow" w:cs="Times New Roman"/>
                <w:b/>
                <w:i/>
                <w:sz w:val="20"/>
                <w:szCs w:val="22"/>
              </w:rPr>
            </w:pPr>
            <w:r>
              <w:rPr>
                <w:rFonts w:ascii="Arial Narrow" w:hAnsi="Arial Narrow" w:cs="Times New Roman"/>
                <w:b/>
                <w:i/>
                <w:sz w:val="20"/>
                <w:szCs w:val="22"/>
              </w:rPr>
              <w:t>1 428</w:t>
            </w:r>
          </w:p>
        </w:tc>
      </w:tr>
      <w:tr>
        <w:tblPrEx>
          <w:tblW w:w="9126" w:type="dxa"/>
        </w:tblPrEx>
        <w:trPr>
          <w:trHeight w:val="227"/>
        </w:trPr>
        <w:tc>
          <w:tcPr>
            <w:tcW w:w="3726" w:type="dxa"/>
            <w:tcBorders>
              <w:top w:val="single" w:sz="4" w:space="0" w:color="auto"/>
              <w:left w:val="single" w:sz="4" w:space="0" w:color="auto"/>
              <w:bottom w:val="single" w:sz="4" w:space="0" w:color="auto"/>
              <w:right w:val="nil"/>
              <w:tl2br w:val="nil"/>
              <w:tr2bl w:val="nil"/>
            </w:tcBorders>
            <w:textDirection w:val="lrTb"/>
            <w:vAlign w:val="top"/>
          </w:tcPr>
          <w:p w:rsidR="00C52DD5" w:rsidP="00C52DD5">
            <w:pPr>
              <w:jc w:val="both"/>
              <w:rPr>
                <w:rFonts w:ascii="Arial Narrow" w:hAnsi="Arial Narrow" w:cs="Times New Roman"/>
                <w:b/>
                <w:i/>
                <w:sz w:val="20"/>
                <w:szCs w:val="22"/>
              </w:rPr>
            </w:pPr>
          </w:p>
        </w:tc>
        <w:tc>
          <w:tcPr>
            <w:tcW w:w="1440" w:type="dxa"/>
            <w:tcBorders>
              <w:top w:val="single" w:sz="4" w:space="0" w:color="auto"/>
              <w:left w:val="nil"/>
              <w:bottom w:val="single" w:sz="4" w:space="0" w:color="auto"/>
              <w:right w:val="nil"/>
              <w:tl2br w:val="nil"/>
              <w:tr2bl w:val="nil"/>
            </w:tcBorders>
            <w:textDirection w:val="lrTb"/>
            <w:vAlign w:val="top"/>
          </w:tcPr>
          <w:p w:rsidR="00C52DD5" w:rsidP="00C52DD5">
            <w:pPr>
              <w:ind w:left="50"/>
              <w:jc w:val="right"/>
              <w:rPr>
                <w:rFonts w:ascii="Arial Narrow" w:hAnsi="Arial Narrow" w:cs="Times New Roman"/>
                <w:b/>
                <w:i/>
                <w:sz w:val="20"/>
                <w:szCs w:val="22"/>
              </w:rPr>
            </w:pPr>
          </w:p>
        </w:tc>
        <w:tc>
          <w:tcPr>
            <w:tcW w:w="1440" w:type="dxa"/>
            <w:tcBorders>
              <w:top w:val="single" w:sz="4" w:space="0" w:color="auto"/>
              <w:left w:val="nil"/>
              <w:bottom w:val="single" w:sz="4" w:space="0" w:color="auto"/>
              <w:right w:val="nil"/>
              <w:tl2br w:val="nil"/>
              <w:tr2bl w:val="nil"/>
            </w:tcBorders>
            <w:textDirection w:val="lrTb"/>
            <w:vAlign w:val="top"/>
          </w:tcPr>
          <w:p w:rsidR="00C52DD5" w:rsidP="00C52DD5">
            <w:pPr>
              <w:ind w:left="50"/>
              <w:jc w:val="right"/>
              <w:rPr>
                <w:rFonts w:ascii="Arial Narrow" w:hAnsi="Arial Narrow" w:cs="Times New Roman"/>
                <w:b/>
                <w:i/>
                <w:sz w:val="20"/>
                <w:szCs w:val="22"/>
              </w:rPr>
            </w:pPr>
          </w:p>
        </w:tc>
        <w:tc>
          <w:tcPr>
            <w:tcW w:w="1260" w:type="dxa"/>
            <w:tcBorders>
              <w:top w:val="single" w:sz="4" w:space="0" w:color="auto"/>
              <w:left w:val="nil"/>
              <w:bottom w:val="single" w:sz="4" w:space="0" w:color="auto"/>
              <w:right w:val="nil"/>
              <w:tl2br w:val="nil"/>
              <w:tr2bl w:val="nil"/>
            </w:tcBorders>
            <w:textDirection w:val="lrTb"/>
            <w:vAlign w:val="top"/>
          </w:tcPr>
          <w:p w:rsidR="00C52DD5" w:rsidP="00C52DD5">
            <w:pPr>
              <w:jc w:val="right"/>
              <w:rPr>
                <w:rFonts w:ascii="Arial Narrow" w:hAnsi="Arial Narrow" w:cs="Times New Roman"/>
                <w:b/>
                <w:i/>
                <w:sz w:val="20"/>
                <w:szCs w:val="22"/>
              </w:rPr>
            </w:pP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P="00C52DD5">
            <w:pPr>
              <w:ind w:left="335"/>
              <w:jc w:val="right"/>
              <w:rPr>
                <w:rFonts w:ascii="Arial Narrow" w:hAnsi="Arial Narrow" w:cs="Times New Roman"/>
                <w:b/>
                <w:i/>
                <w:sz w:val="20"/>
                <w:szCs w:val="22"/>
              </w:rPr>
            </w:pPr>
          </w:p>
        </w:tc>
      </w:tr>
      <w:tr>
        <w:tblPrEx>
          <w:tblW w:w="9126" w:type="dxa"/>
        </w:tblPrEx>
        <w:trPr>
          <w:trHeight w:val="227"/>
        </w:trPr>
        <w:tc>
          <w:tcPr>
            <w:tcW w:w="3726"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Schodok  VÚC  (ESA 95)</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50"/>
              <w:jc w:val="right"/>
              <w:rPr>
                <w:rFonts w:ascii="Arial Narrow" w:hAnsi="Arial Narrow" w:cs="Times New Roman"/>
                <w:b/>
                <w:i/>
                <w:sz w:val="20"/>
                <w:szCs w:val="22"/>
              </w:rPr>
            </w:pPr>
            <w:r>
              <w:rPr>
                <w:rFonts w:ascii="Arial Narrow" w:hAnsi="Arial Narrow" w:cs="Times New Roman"/>
                <w:b/>
                <w:i/>
                <w:sz w:val="20"/>
                <w:szCs w:val="22"/>
              </w:rPr>
              <w:t>- 89 093</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50"/>
              <w:jc w:val="right"/>
              <w:rPr>
                <w:rFonts w:ascii="Arial Narrow" w:hAnsi="Arial Narrow" w:cs="Times New Roman"/>
                <w:b/>
                <w:i/>
                <w:sz w:val="20"/>
                <w:szCs w:val="22"/>
              </w:rPr>
            </w:pPr>
            <w:r>
              <w:rPr>
                <w:rFonts w:ascii="Arial Narrow" w:hAnsi="Arial Narrow" w:cs="Times New Roman"/>
                <w:b/>
                <w:i/>
                <w:sz w:val="20"/>
                <w:szCs w:val="22"/>
              </w:rPr>
              <w:t>- 38 505</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- 11 884</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335"/>
              <w:jc w:val="right"/>
              <w:rPr>
                <w:rFonts w:ascii="Arial Narrow" w:hAnsi="Arial Narrow" w:cs="Times New Roman"/>
                <w:b/>
                <w:i/>
                <w:sz w:val="20"/>
                <w:szCs w:val="22"/>
              </w:rPr>
            </w:pPr>
            <w:r>
              <w:rPr>
                <w:rFonts w:ascii="Arial Narrow" w:hAnsi="Arial Narrow" w:cs="Times New Roman"/>
                <w:b/>
                <w:i/>
                <w:sz w:val="20"/>
                <w:szCs w:val="22"/>
              </w:rPr>
              <w:t>- 11 850</w:t>
            </w:r>
          </w:p>
        </w:tc>
      </w:tr>
    </w:tbl>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Celkové príjmy VÚC v roku 2009 oproti roku 2008 rastú o 4,4 %, z toho daňové príjmy rastú o 17,3 %. V roku 2010 sa oproti roku 2009 v rozpočtoch VÚC v príjmoch očakáva nárast o 6,5 % predovšetkým z dôvodu nárastu daňových príjmov a grantov a transferov zo štátneho rozpočtu. V roku 2011 oproti roku 2010 sa v príjmovej časti rozpočtu očakáva nárast o 6,1 %. Na  náraste príjmovej časti rozpočtu sa podieľajú najmä daňové príjmy, ktorých vyššie výnosy, a tým aj ich vyššie smerovanie do rozpočtov VÚC sa očakáva v roku 2010 oproti roku 2009 o 7,7 %, rovnako aj v ro</w:t>
      </w:r>
      <w:r>
        <w:rPr>
          <w:rFonts w:ascii="Arial Narrow" w:hAnsi="Arial Narrow" w:cs="Times New Roman"/>
          <w:sz w:val="22"/>
          <w:szCs w:val="22"/>
        </w:rPr>
        <w:t xml:space="preserve">ku 2011 oproti roku 2010 o 9,2 %.   </w:t>
      </w:r>
    </w:p>
    <w:p w:rsidR="00C52DD5" w:rsidP="00C52DD5">
      <w:pPr>
        <w:jc w:val="both"/>
        <w:rPr>
          <w:rFonts w:ascii="Arial Narrow" w:hAnsi="Arial Narrow" w:cs="Times New Roman"/>
          <w:b/>
          <w:bCs/>
        </w:rPr>
      </w:pPr>
    </w:p>
    <w:p w:rsidR="005C1768" w:rsidP="00C52DD5">
      <w:pPr>
        <w:jc w:val="both"/>
        <w:rPr>
          <w:rFonts w:ascii="Arial Narrow" w:hAnsi="Arial Narrow" w:cs="Times New Roman"/>
          <w:b/>
          <w:bCs/>
        </w:rPr>
      </w:pPr>
    </w:p>
    <w:p w:rsidR="005C1768" w:rsidP="00C52DD5">
      <w:pPr>
        <w:jc w:val="both"/>
        <w:rPr>
          <w:rFonts w:ascii="Arial Narrow" w:hAnsi="Arial Narrow" w:cs="Times New Roman"/>
          <w:b/>
          <w:bCs/>
        </w:rPr>
      </w:pPr>
    </w:p>
    <w:p w:rsidR="00C52DD5" w:rsidRPr="00443AB4" w:rsidP="00C52DD5">
      <w:pPr>
        <w:jc w:val="both"/>
        <w:rPr>
          <w:rFonts w:ascii="Arial Narrow" w:hAnsi="Arial Narrow" w:cs="Times New Roman"/>
          <w:b/>
          <w:bCs/>
        </w:rPr>
      </w:pPr>
      <w:r w:rsidRPr="00443AB4">
        <w:rPr>
          <w:rFonts w:ascii="Arial Narrow" w:hAnsi="Arial Narrow" w:cs="Times New Roman"/>
          <w:b/>
          <w:bCs/>
        </w:rPr>
        <w:t>2. Sociálna poisťovňa</w:t>
      </w:r>
    </w:p>
    <w:p w:rsidR="00C52DD5" w:rsidRPr="00AB421E" w:rsidP="00C52DD5">
      <w:pPr>
        <w:jc w:val="both"/>
        <w:rPr>
          <w:rFonts w:ascii="Arial Narrow" w:hAnsi="Arial Narrow" w:cs="Times New Roman"/>
          <w:sz w:val="22"/>
          <w:szCs w:val="22"/>
          <w:highlight w:val="yellow"/>
        </w:rPr>
      </w:pPr>
    </w:p>
    <w:p w:rsidR="00C52DD5" w:rsidRPr="003C3498" w:rsidP="00C52DD5">
      <w:pPr>
        <w:ind w:firstLine="708"/>
        <w:jc w:val="both"/>
        <w:rPr>
          <w:rFonts w:ascii="Arial Narrow" w:hAnsi="Arial Narrow" w:cs="Times New Roman"/>
          <w:sz w:val="22"/>
          <w:szCs w:val="22"/>
        </w:rPr>
      </w:pPr>
      <w:r w:rsidRPr="003C3498">
        <w:rPr>
          <w:rFonts w:ascii="Arial Narrow" w:hAnsi="Arial Narrow" w:cs="Arial"/>
          <w:sz w:val="22"/>
          <w:szCs w:val="22"/>
        </w:rPr>
        <w:t xml:space="preserve">Návrh rozpočtu Sociálnej poisťovne v roku 2009 vychádza z očakávanej skutočnosti Sociálnej poisťovne v roku 2008 </w:t>
      </w:r>
      <w:r w:rsidRPr="003C3498">
        <w:rPr>
          <w:rFonts w:ascii="Arial Narrow" w:hAnsi="Arial Narrow" w:cs="Times New Roman"/>
          <w:sz w:val="22"/>
          <w:szCs w:val="22"/>
        </w:rPr>
        <w:t xml:space="preserve">a z aktualizovanej makroekonomickej prognózy </w:t>
      </w:r>
      <w:r>
        <w:rPr>
          <w:rFonts w:ascii="Arial Narrow" w:hAnsi="Arial Narrow" w:cs="Times New Roman"/>
          <w:sz w:val="22"/>
          <w:szCs w:val="22"/>
        </w:rPr>
        <w:t>Ministerstva financií SR</w:t>
      </w:r>
      <w:r w:rsidRPr="00195BA1">
        <w:rPr>
          <w:rFonts w:ascii="Arial Narrow" w:hAnsi="Arial Narrow" w:cs="Times New Roman"/>
          <w:sz w:val="22"/>
          <w:szCs w:val="22"/>
        </w:rPr>
        <w:t xml:space="preserve"> </w:t>
      </w:r>
      <w:r w:rsidRPr="003C3498">
        <w:rPr>
          <w:rFonts w:ascii="Arial Narrow" w:hAnsi="Arial Narrow" w:cs="Times New Roman"/>
          <w:sz w:val="22"/>
          <w:szCs w:val="22"/>
        </w:rPr>
        <w:t xml:space="preserve">zo septembra 2008. Prihliada na aktuálne znenie zákona o sociálnom poistení, zároveň zohľadňuje rozpočtové dôsledky vládou schválenej novely zákona o sociálnom poistení, ktorá nadobudne účinnosť 1. januára 2009 i vplyv vládou schválenej novely zákona č. 43/2004 Z. z. o starobnom dôchodkovom sporení s účinnosťou od 15. novembra 2008. </w:t>
      </w:r>
    </w:p>
    <w:p w:rsidR="00C52DD5" w:rsidRPr="00195BA1" w:rsidP="00C52DD5">
      <w:pPr>
        <w:jc w:val="both"/>
        <w:rPr>
          <w:rFonts w:ascii="Arial Narrow" w:hAnsi="Arial Narrow" w:cs="Arial"/>
          <w:sz w:val="22"/>
          <w:szCs w:val="22"/>
        </w:rPr>
      </w:pPr>
    </w:p>
    <w:p w:rsidR="00C52DD5" w:rsidRPr="00195BA1" w:rsidP="00C52DD5">
      <w:pPr>
        <w:ind w:firstLine="708"/>
        <w:jc w:val="both"/>
        <w:rPr>
          <w:rFonts w:ascii="Arial Narrow" w:hAnsi="Arial Narrow" w:cs="Arial"/>
          <w:sz w:val="22"/>
          <w:szCs w:val="22"/>
        </w:rPr>
      </w:pPr>
      <w:r w:rsidRPr="00195BA1">
        <w:rPr>
          <w:rFonts w:ascii="Arial Narrow" w:hAnsi="Arial Narrow" w:cs="Arial"/>
          <w:sz w:val="22"/>
          <w:szCs w:val="22"/>
        </w:rPr>
        <w:t>Vývoj príjmovej a výdavkovej časti rozpočtu Sociálnej poisťovne na roky 2009 až 2011 je nasledovný:</w:t>
      </w:r>
    </w:p>
    <w:p w:rsidR="00C52DD5" w:rsidRPr="00AB421E" w:rsidP="00C52DD5">
      <w:pPr>
        <w:jc w:val="both"/>
        <w:rPr>
          <w:rFonts w:ascii="Arial Narrow" w:hAnsi="Arial Narrow" w:cs="Times New Roman"/>
          <w:b/>
          <w:bCs/>
          <w:sz w:val="22"/>
          <w:szCs w:val="22"/>
          <w:highlight w:val="yellow"/>
        </w:rPr>
      </w:pPr>
    </w:p>
    <w:tbl>
      <w:tblPr>
        <w:tblW w:w="9148" w:type="dxa"/>
        <w:jc w:val="center"/>
        <w:tblLayout w:type="fixed"/>
        <w:tblCellMar>
          <w:left w:w="70" w:type="dxa"/>
          <w:right w:w="70" w:type="dxa"/>
        </w:tblCellMar>
      </w:tblPr>
      <w:tblGrid>
        <w:gridCol w:w="3998"/>
        <w:gridCol w:w="1287"/>
        <w:gridCol w:w="1288"/>
        <w:gridCol w:w="1287"/>
        <w:gridCol w:w="1288"/>
      </w:tblGrid>
      <w:tr>
        <w:tblPrEx>
          <w:tblW w:w="9148" w:type="dxa"/>
          <w:jc w:val="center"/>
          <w:tblLayout w:type="fixed"/>
          <w:tblCellMar>
            <w:left w:w="70" w:type="dxa"/>
            <w:right w:w="70" w:type="dxa"/>
          </w:tblCellMar>
        </w:tblPrEx>
        <w:trPr>
          <w:trHeight w:val="227"/>
          <w:jc w:val="center"/>
        </w:trPr>
        <w:tc>
          <w:tcPr>
            <w:tcW w:w="3998" w:type="dxa"/>
            <w:tcBorders>
              <w:top w:val="nil"/>
              <w:left w:val="single" w:sz="8" w:space="0" w:color="auto"/>
              <w:bottom w:val="single" w:sz="4" w:space="0" w:color="auto"/>
              <w:right w:val="nil"/>
              <w:tl2br w:val="nil"/>
              <w:tr2bl w:val="nil"/>
            </w:tcBorders>
            <w:shd w:val="clear" w:color="auto" w:fill="000000"/>
            <w:noWrap/>
            <w:textDirection w:val="lrTb"/>
            <w:vAlign w:val="bottom"/>
          </w:tcPr>
          <w:p w:rsidR="00C52DD5" w:rsidRPr="001C088C" w:rsidP="00C52DD5">
            <w:pPr>
              <w:rPr>
                <w:rFonts w:ascii="Arial Narrow" w:hAnsi="Arial Narrow" w:cs="Arial"/>
                <w:b/>
                <w:sz w:val="20"/>
              </w:rPr>
            </w:pPr>
            <w:r w:rsidRPr="001C088C">
              <w:rPr>
                <w:rFonts w:ascii="Arial Narrow" w:hAnsi="Arial Narrow" w:cs="Arial"/>
                <w:b/>
                <w:bCs/>
                <w:color w:val="FFFFFF"/>
                <w:sz w:val="20"/>
              </w:rPr>
              <w:t>(v</w:t>
            </w:r>
            <w:r>
              <w:rPr>
                <w:rFonts w:ascii="Arial Narrow" w:hAnsi="Arial Narrow" w:cs="Arial"/>
                <w:b/>
                <w:bCs/>
                <w:color w:val="FFFFFF"/>
                <w:sz w:val="20"/>
              </w:rPr>
              <w:t xml:space="preserve"> tis. eur</w:t>
            </w:r>
            <w:r w:rsidRPr="001C088C">
              <w:rPr>
                <w:rFonts w:ascii="Arial Narrow" w:hAnsi="Arial Narrow" w:cs="Arial"/>
                <w:b/>
                <w:bCs/>
                <w:color w:val="FFFFFF"/>
                <w:sz w:val="20"/>
              </w:rPr>
              <w:t>)</w:t>
            </w:r>
          </w:p>
        </w:tc>
        <w:tc>
          <w:tcPr>
            <w:tcW w:w="1287" w:type="dxa"/>
            <w:tcBorders>
              <w:top w:val="nil"/>
              <w:left w:val="nil"/>
              <w:bottom w:val="single" w:sz="4" w:space="0" w:color="auto"/>
              <w:right w:val="nil"/>
              <w:tl2br w:val="nil"/>
              <w:tr2bl w:val="nil"/>
            </w:tcBorders>
            <w:shd w:val="clear" w:color="auto" w:fill="000000"/>
            <w:noWrap/>
            <w:textDirection w:val="lrTb"/>
            <w:vAlign w:val="bottom"/>
          </w:tcPr>
          <w:p w:rsidR="00C52DD5" w:rsidRPr="005E1460" w:rsidP="00C52DD5">
            <w:pPr>
              <w:jc w:val="center"/>
              <w:rPr>
                <w:rFonts w:ascii="Arial Narrow" w:hAnsi="Arial Narrow" w:cs="Arial"/>
                <w:b/>
                <w:bCs/>
                <w:color w:val="FFFFFF"/>
                <w:sz w:val="20"/>
              </w:rPr>
            </w:pPr>
            <w:r w:rsidRPr="005E1460">
              <w:rPr>
                <w:rFonts w:ascii="Arial Narrow" w:hAnsi="Arial Narrow" w:cs="Arial"/>
                <w:b/>
                <w:bCs/>
                <w:color w:val="FFFFFF"/>
                <w:sz w:val="20"/>
              </w:rPr>
              <w:t xml:space="preserve"> 2008</w:t>
            </w:r>
          </w:p>
        </w:tc>
        <w:tc>
          <w:tcPr>
            <w:tcW w:w="1288" w:type="dxa"/>
            <w:tcBorders>
              <w:top w:val="nil"/>
              <w:left w:val="single" w:sz="4" w:space="0" w:color="auto"/>
              <w:bottom w:val="single" w:sz="4" w:space="0" w:color="auto"/>
              <w:right w:val="single" w:sz="4" w:space="0" w:color="auto"/>
              <w:tl2br w:val="nil"/>
              <w:tr2bl w:val="nil"/>
            </w:tcBorders>
            <w:shd w:val="clear" w:color="auto" w:fill="000000"/>
            <w:textDirection w:val="lrTb"/>
            <w:vAlign w:val="bottom"/>
          </w:tcPr>
          <w:p w:rsidR="00C52DD5" w:rsidRPr="001C088C" w:rsidP="00C52DD5">
            <w:pPr>
              <w:jc w:val="center"/>
              <w:rPr>
                <w:rFonts w:ascii="Arial Narrow" w:hAnsi="Arial Narrow" w:cs="Arial"/>
                <w:b/>
                <w:bCs/>
                <w:color w:val="FFFFFF"/>
                <w:sz w:val="20"/>
              </w:rPr>
            </w:pPr>
            <w:r w:rsidRPr="001C088C">
              <w:rPr>
                <w:rFonts w:ascii="Arial Narrow" w:hAnsi="Arial Narrow" w:cs="Arial"/>
                <w:b/>
                <w:bCs/>
                <w:color w:val="FFFFFF"/>
                <w:sz w:val="20"/>
              </w:rPr>
              <w:t xml:space="preserve"> 200</w:t>
            </w:r>
            <w:r>
              <w:rPr>
                <w:rFonts w:ascii="Arial Narrow" w:hAnsi="Arial Narrow" w:cs="Arial"/>
                <w:b/>
                <w:bCs/>
                <w:color w:val="FFFFFF"/>
                <w:sz w:val="20"/>
              </w:rPr>
              <w:t>9</w:t>
            </w:r>
          </w:p>
        </w:tc>
        <w:tc>
          <w:tcPr>
            <w:tcW w:w="1287" w:type="dxa"/>
            <w:tcBorders>
              <w:top w:val="nil"/>
              <w:left w:val="single" w:sz="4" w:space="0" w:color="auto"/>
              <w:bottom w:val="single" w:sz="4" w:space="0" w:color="auto"/>
              <w:right w:val="single" w:sz="4" w:space="0" w:color="auto"/>
              <w:tl2br w:val="nil"/>
              <w:tr2bl w:val="nil"/>
            </w:tcBorders>
            <w:shd w:val="clear" w:color="auto" w:fill="000000"/>
            <w:noWrap/>
            <w:textDirection w:val="lrTb"/>
            <w:vAlign w:val="bottom"/>
          </w:tcPr>
          <w:p w:rsidR="00C52DD5" w:rsidRPr="001C088C" w:rsidP="00C52DD5">
            <w:pPr>
              <w:jc w:val="center"/>
              <w:rPr>
                <w:rFonts w:ascii="Arial Narrow" w:hAnsi="Arial Narrow" w:cs="Arial"/>
                <w:b/>
                <w:bCs/>
                <w:color w:val="FFFFFF"/>
                <w:sz w:val="20"/>
              </w:rPr>
            </w:pPr>
            <w:r w:rsidRPr="001C088C">
              <w:rPr>
                <w:rFonts w:ascii="Arial Narrow" w:hAnsi="Arial Narrow" w:cs="Arial"/>
                <w:b/>
                <w:bCs/>
                <w:color w:val="FFFFFF"/>
                <w:sz w:val="20"/>
              </w:rPr>
              <w:t xml:space="preserve"> 20</w:t>
            </w:r>
            <w:r>
              <w:rPr>
                <w:rFonts w:ascii="Arial Narrow" w:hAnsi="Arial Narrow" w:cs="Arial"/>
                <w:b/>
                <w:bCs/>
                <w:color w:val="FFFFFF"/>
                <w:sz w:val="20"/>
              </w:rPr>
              <w:t>10</w:t>
            </w:r>
          </w:p>
        </w:tc>
        <w:tc>
          <w:tcPr>
            <w:tcW w:w="1288" w:type="dxa"/>
            <w:tcBorders>
              <w:top w:val="nil"/>
              <w:left w:val="nil"/>
              <w:bottom w:val="single" w:sz="4" w:space="0" w:color="auto"/>
              <w:right w:val="nil"/>
              <w:tl2br w:val="nil"/>
              <w:tr2bl w:val="nil"/>
            </w:tcBorders>
            <w:shd w:val="clear" w:color="auto" w:fill="000000"/>
            <w:noWrap/>
            <w:textDirection w:val="lrTb"/>
            <w:vAlign w:val="bottom"/>
          </w:tcPr>
          <w:p w:rsidR="00C52DD5" w:rsidRPr="001C088C" w:rsidP="00C52DD5">
            <w:pPr>
              <w:jc w:val="center"/>
              <w:rPr>
                <w:rFonts w:ascii="Arial Narrow" w:hAnsi="Arial Narrow" w:cs="Arial"/>
                <w:b/>
                <w:bCs/>
                <w:color w:val="FFFFFF"/>
                <w:sz w:val="20"/>
              </w:rPr>
            </w:pPr>
            <w:r w:rsidRPr="001C088C">
              <w:rPr>
                <w:rFonts w:ascii="Arial Narrow" w:hAnsi="Arial Narrow" w:cs="Arial"/>
                <w:b/>
                <w:bCs/>
                <w:color w:val="FFFFFF"/>
                <w:sz w:val="20"/>
              </w:rPr>
              <w:t xml:space="preserve"> 201</w:t>
            </w:r>
            <w:r>
              <w:rPr>
                <w:rFonts w:ascii="Arial Narrow" w:hAnsi="Arial Narrow" w:cs="Arial"/>
                <w:b/>
                <w:bCs/>
                <w:color w:val="FFFFFF"/>
                <w:sz w:val="20"/>
              </w:rPr>
              <w:t>1</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b/>
                <w:bCs/>
                <w:i/>
                <w:sz w:val="20"/>
              </w:rPr>
            </w:pPr>
            <w:r w:rsidRPr="001C088C">
              <w:rPr>
                <w:rFonts w:ascii="Arial Narrow" w:hAnsi="Arial Narrow" w:cs="Arial"/>
                <w:b/>
                <w:bCs/>
                <w:i/>
                <w:sz w:val="20"/>
              </w:rPr>
              <w:t>Príjmy Sociálnej poisťovne spolu</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5E1460" w:rsidP="00C52DD5">
            <w:pPr>
              <w:jc w:val="right"/>
              <w:rPr>
                <w:rFonts w:ascii="Arial Narrow" w:hAnsi="Arial Narrow" w:cs="Arial"/>
                <w:b/>
                <w:bCs/>
                <w:i/>
                <w:sz w:val="20"/>
              </w:rPr>
            </w:pPr>
            <w:r w:rsidRPr="005E1460">
              <w:rPr>
                <w:rFonts w:ascii="Arial Narrow" w:hAnsi="Arial Narrow" w:cs="Arial"/>
                <w:b/>
                <w:bCs/>
                <w:i/>
                <w:sz w:val="20"/>
              </w:rPr>
              <w:t>5 385 062</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6 4</w:t>
            </w:r>
            <w:r>
              <w:rPr>
                <w:rFonts w:ascii="Arial Narrow" w:hAnsi="Arial Narrow" w:cs="Arial"/>
                <w:b/>
                <w:bCs/>
                <w:i/>
                <w:sz w:val="20"/>
              </w:rPr>
              <w:t>13 047</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7 005 282</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7 586 068</w:t>
            </w:r>
          </w:p>
        </w:tc>
      </w:tr>
      <w:tr>
        <w:tblPrEx>
          <w:tblW w:w="9148" w:type="dxa"/>
          <w:jc w:val="center"/>
          <w:tblLayout w:type="fixed"/>
          <w:tblCellMar>
            <w:left w:w="70" w:type="dxa"/>
            <w:right w:w="70" w:type="dxa"/>
          </w:tblCellMar>
        </w:tblPrEx>
        <w:trPr>
          <w:trHeight w:val="227"/>
          <w:jc w:val="center"/>
        </w:trPr>
        <w:tc>
          <w:tcPr>
            <w:tcW w:w="9148" w:type="dxa"/>
            <w:gridSpan w:val="5"/>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sz w:val="20"/>
              </w:rPr>
            </w:pPr>
            <w:r w:rsidRPr="001C088C">
              <w:rPr>
                <w:rFonts w:ascii="Arial Narrow" w:hAnsi="Arial Narrow" w:cs="Arial"/>
                <w:b/>
                <w:i/>
                <w:sz w:val="20"/>
              </w:rPr>
              <w:t>z toho:</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sz w:val="20"/>
              </w:rPr>
            </w:pPr>
            <w:r w:rsidRPr="001C088C">
              <w:rPr>
                <w:rFonts w:ascii="Arial Narrow" w:hAnsi="Arial Narrow" w:cs="Arial"/>
                <w:sz w:val="20"/>
              </w:rPr>
              <w:t>daňové príjmy (príjmy z poistného), z toho:</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4 337 093</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5 225 618</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5 415 024</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5 868 288</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sz w:val="20"/>
              </w:rPr>
            </w:pPr>
            <w:r w:rsidRPr="001C088C">
              <w:rPr>
                <w:rFonts w:ascii="Arial Narrow" w:hAnsi="Arial Narrow" w:cs="Arial"/>
                <w:sz w:val="20"/>
              </w:rPr>
              <w:t xml:space="preserve">                  ekonomicky aktívne osoby</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3 907 646</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4 693 920</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5 105 551</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5 544 527</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sz w:val="20"/>
              </w:rPr>
            </w:pPr>
            <w:r>
              <w:rPr>
                <w:rFonts w:ascii="Arial Narrow" w:hAnsi="Arial Narrow" w:cs="Arial"/>
                <w:sz w:val="20"/>
              </w:rPr>
              <w:t xml:space="preserve">                  prevod za výstup z II. piliera</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w:t>
            </w:r>
            <w:r>
              <w:rPr>
                <w:rFonts w:ascii="Arial Narrow" w:hAnsi="Arial Narrow" w:cs="Arial"/>
                <w:sz w:val="20"/>
              </w:rPr>
              <w:t>18 336</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231 494</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0</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0</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sz w:val="20"/>
              </w:rPr>
            </w:pPr>
            <w:r w:rsidRPr="001C088C">
              <w:rPr>
                <w:rFonts w:ascii="Arial Narrow" w:hAnsi="Arial Narrow" w:cs="Arial"/>
                <w:sz w:val="20"/>
              </w:rPr>
              <w:t xml:space="preserve">                  štát</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156 587</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174 472</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183 288</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197 371</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sz w:val="20"/>
              </w:rPr>
            </w:pPr>
            <w:r w:rsidRPr="001C088C">
              <w:rPr>
                <w:rFonts w:ascii="Arial Narrow" w:hAnsi="Arial Narrow" w:cs="Arial"/>
                <w:sz w:val="20"/>
              </w:rPr>
              <w:t>nedaňové príjmy (úroky a iné príjmy)</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13 877</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13 731</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14 114</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14 521</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sz w:val="20"/>
              </w:rPr>
            </w:pPr>
            <w:r w:rsidRPr="001C088C">
              <w:rPr>
                <w:rFonts w:ascii="Arial Narrow" w:hAnsi="Arial Narrow" w:cs="Arial"/>
                <w:sz w:val="20"/>
              </w:rPr>
              <w:t>transfer zo ŠFA,  resp. zo ŠR</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567 616</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504 548</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711 810</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730 266</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sz w:val="20"/>
              </w:rPr>
            </w:pPr>
            <w:r w:rsidRPr="001C088C">
              <w:rPr>
                <w:rFonts w:ascii="Arial Narrow" w:hAnsi="Arial Narrow" w:cs="Arial"/>
                <w:sz w:val="20"/>
              </w:rPr>
              <w:t xml:space="preserve">zostatok prostriedkov z predch. rokov (FO)         </w:t>
            </w:r>
            <w:r w:rsidRPr="001C088C">
              <w:rPr>
                <w:rFonts w:ascii="Arial Narrow" w:hAnsi="Arial Narrow" w:cs="Arial"/>
                <w:sz w:val="20"/>
              </w:rPr>
              <w:t xml:space="preserve">   </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452 687</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657 970</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854 946</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962 692</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b/>
                <w:bCs/>
                <w:sz w:val="20"/>
              </w:rPr>
            </w:pPr>
            <w:r w:rsidRPr="001C088C">
              <w:rPr>
                <w:rFonts w:ascii="Arial Narrow" w:hAnsi="Arial Narrow" w:cs="Arial"/>
                <w:sz w:val="20"/>
              </w:rPr>
              <w:t xml:space="preserve">úver z garančného poistenia (FO)            </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Cs/>
                <w:sz w:val="20"/>
              </w:rPr>
            </w:pPr>
            <w:r>
              <w:rPr>
                <w:rFonts w:ascii="Arial Narrow" w:hAnsi="Arial Narrow" w:cs="Arial"/>
                <w:bCs/>
                <w:sz w:val="20"/>
              </w:rPr>
              <w:t>13 789</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bCs/>
                <w:sz w:val="20"/>
              </w:rPr>
            </w:pPr>
            <w:r>
              <w:rPr>
                <w:rFonts w:ascii="Arial Narrow" w:hAnsi="Arial Narrow" w:cs="Arial"/>
                <w:bCs/>
                <w:sz w:val="20"/>
              </w:rPr>
              <w:t>11 180</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9 388</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10 301</w:t>
            </w:r>
          </w:p>
        </w:tc>
      </w:tr>
      <w:tr>
        <w:tblPrEx>
          <w:tblW w:w="9148" w:type="dxa"/>
          <w:jc w:val="center"/>
          <w:tblLayout w:type="fixed"/>
          <w:tblCellMar>
            <w:left w:w="70" w:type="dxa"/>
            <w:right w:w="70" w:type="dxa"/>
          </w:tblCellMar>
        </w:tblPrEx>
        <w:trPr>
          <w:trHeight w:val="227"/>
          <w:jc w:val="center"/>
        </w:trPr>
        <w:tc>
          <w:tcPr>
            <w:tcW w:w="9148" w:type="dxa"/>
            <w:gridSpan w:val="5"/>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color w:val="3366FF"/>
                <w:sz w:val="20"/>
              </w:rPr>
            </w:pP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b/>
                <w:bCs/>
                <w:i/>
                <w:sz w:val="20"/>
              </w:rPr>
            </w:pPr>
            <w:r w:rsidRPr="001C088C">
              <w:rPr>
                <w:rFonts w:ascii="Arial Narrow" w:hAnsi="Arial Narrow" w:cs="Arial"/>
                <w:b/>
                <w:bCs/>
                <w:i/>
                <w:sz w:val="20"/>
              </w:rPr>
              <w:t>Výdavky Sociálnej poisťovne spolu</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4 914 057</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5 558 101</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6 042 590</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6 455 354</w:t>
            </w:r>
          </w:p>
        </w:tc>
      </w:tr>
      <w:tr>
        <w:tblPrEx>
          <w:tblW w:w="9148" w:type="dxa"/>
          <w:jc w:val="center"/>
          <w:tblLayout w:type="fixed"/>
          <w:tblCellMar>
            <w:left w:w="70" w:type="dxa"/>
            <w:right w:w="70" w:type="dxa"/>
          </w:tblCellMar>
        </w:tblPrEx>
        <w:trPr>
          <w:trHeight w:val="227"/>
          <w:jc w:val="center"/>
        </w:trPr>
        <w:tc>
          <w:tcPr>
            <w:tcW w:w="9148" w:type="dxa"/>
            <w:gridSpan w:val="5"/>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sz w:val="20"/>
              </w:rPr>
            </w:pPr>
            <w:r w:rsidRPr="001C088C">
              <w:rPr>
                <w:rFonts w:ascii="Arial Narrow" w:hAnsi="Arial Narrow" w:cs="Arial"/>
                <w:b/>
                <w:i/>
                <w:sz w:val="20"/>
              </w:rPr>
              <w:t>z toho:</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sz w:val="20"/>
              </w:rPr>
            </w:pPr>
            <w:r w:rsidRPr="001C088C">
              <w:rPr>
                <w:rFonts w:ascii="Arial Narrow" w:hAnsi="Arial Narrow" w:cs="Arial"/>
                <w:sz w:val="20"/>
              </w:rPr>
              <w:t>výdavky poistenia</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4 726 222</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5 345 145</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5 857 531</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6 254 942</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sz w:val="20"/>
              </w:rPr>
            </w:pPr>
            <w:r w:rsidRPr="001C088C">
              <w:rPr>
                <w:rFonts w:ascii="Arial Narrow" w:hAnsi="Arial Narrow" w:cs="Arial"/>
                <w:sz w:val="20"/>
              </w:rPr>
              <w:t>v</w:t>
            </w:r>
            <w:r w:rsidRPr="001C088C">
              <w:rPr>
                <w:rFonts w:ascii="Arial Narrow" w:hAnsi="Arial Narrow" w:cs="Arial"/>
                <w:sz w:val="20"/>
              </w:rPr>
              <w:t>ýdavky správneho fondu</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155 477</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185 813</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161 503</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175 031</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sz w:val="20"/>
              </w:rPr>
            </w:pPr>
            <w:r w:rsidRPr="001C088C">
              <w:rPr>
                <w:rFonts w:ascii="Arial Narrow" w:hAnsi="Arial Narrow" w:cs="Arial"/>
                <w:sz w:val="20"/>
              </w:rPr>
              <w:t>úver poskytnutý z garančného poistenia (FO)</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32 358</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27 143</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23 556</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25 381</w:t>
            </w:r>
          </w:p>
        </w:tc>
      </w:tr>
      <w:tr>
        <w:tblPrEx>
          <w:tblW w:w="9148" w:type="dxa"/>
          <w:jc w:val="center"/>
          <w:tblLayout w:type="fixed"/>
          <w:tblCellMar>
            <w:left w:w="70" w:type="dxa"/>
            <w:right w:w="70" w:type="dxa"/>
          </w:tblCellMar>
        </w:tblPrEx>
        <w:trPr>
          <w:trHeight w:val="227"/>
          <w:jc w:val="center"/>
        </w:trPr>
        <w:tc>
          <w:tcPr>
            <w:tcW w:w="9148" w:type="dxa"/>
            <w:gridSpan w:val="5"/>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color w:val="3366FF"/>
                <w:sz w:val="20"/>
              </w:rPr>
            </w:pPr>
            <w:r w:rsidRPr="001C088C">
              <w:rPr>
                <w:rFonts w:ascii="Arial Narrow" w:hAnsi="Arial Narrow" w:cs="Arial"/>
                <w:sz w:val="20"/>
              </w:rPr>
              <w:t> </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RPr="001C088C" w:rsidP="00C52DD5">
            <w:pPr>
              <w:rPr>
                <w:rFonts w:ascii="Arial Narrow" w:hAnsi="Arial Narrow" w:cs="Arial"/>
                <w:b/>
                <w:bCs/>
                <w:i/>
                <w:sz w:val="20"/>
              </w:rPr>
            </w:pPr>
            <w:r w:rsidRPr="001C088C">
              <w:rPr>
                <w:rFonts w:ascii="Arial Narrow" w:hAnsi="Arial Narrow" w:cs="Arial"/>
                <w:b/>
                <w:bCs/>
                <w:i/>
                <w:sz w:val="20"/>
              </w:rPr>
              <w:t xml:space="preserve">Celková </w:t>
            </w:r>
            <w:r>
              <w:rPr>
                <w:rFonts w:ascii="Arial Narrow" w:hAnsi="Arial Narrow" w:cs="Arial"/>
                <w:b/>
                <w:bCs/>
                <w:i/>
                <w:sz w:val="20"/>
              </w:rPr>
              <w:t>prebytok</w:t>
            </w:r>
            <w:r w:rsidRPr="001C088C">
              <w:rPr>
                <w:rFonts w:ascii="Arial Narrow" w:hAnsi="Arial Narrow" w:cs="Arial"/>
                <w:b/>
                <w:bCs/>
                <w:i/>
                <w:sz w:val="20"/>
              </w:rPr>
              <w:t xml:space="preserve"> Sociálnej poisťovne</w:t>
            </w:r>
          </w:p>
        </w:tc>
        <w:tc>
          <w:tcPr>
            <w:tcW w:w="1287"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471 005</w:t>
            </w:r>
          </w:p>
        </w:tc>
        <w:tc>
          <w:tcPr>
            <w:tcW w:w="1288"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854 946</w:t>
            </w:r>
          </w:p>
        </w:tc>
        <w:tc>
          <w:tcPr>
            <w:tcW w:w="1287"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962 692</w:t>
            </w:r>
          </w:p>
        </w:tc>
        <w:tc>
          <w:tcPr>
            <w:tcW w:w="128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1 130 714</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b/>
                <w:i/>
                <w:sz w:val="20"/>
              </w:rPr>
            </w:pPr>
            <w:r w:rsidRPr="001C088C">
              <w:rPr>
                <w:rFonts w:ascii="Arial Narrow" w:hAnsi="Arial Narrow" w:cs="Arial"/>
                <w:b/>
                <w:i/>
                <w:sz w:val="20"/>
              </w:rPr>
              <w:t>vylúčenie finančných operácií</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0C774E" w:rsidP="00C52DD5">
            <w:pPr>
              <w:jc w:val="right"/>
              <w:rPr>
                <w:rFonts w:ascii="Arial Narrow" w:hAnsi="Arial Narrow" w:cs="Arial"/>
                <w:b/>
                <w:i/>
                <w:sz w:val="20"/>
              </w:rPr>
            </w:pPr>
            <w:r w:rsidRPr="000C774E">
              <w:rPr>
                <w:rFonts w:ascii="Arial Narrow" w:hAnsi="Arial Narrow" w:cs="Arial"/>
                <w:b/>
                <w:i/>
                <w:sz w:val="20"/>
              </w:rPr>
              <w:t>-</w:t>
            </w:r>
            <w:r>
              <w:rPr>
                <w:rFonts w:ascii="Arial Narrow" w:hAnsi="Arial Narrow" w:cs="Arial"/>
                <w:b/>
                <w:i/>
                <w:sz w:val="20"/>
              </w:rPr>
              <w:t>434 118</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0C774E" w:rsidP="00C52DD5">
            <w:pPr>
              <w:jc w:val="right"/>
              <w:rPr>
                <w:rFonts w:ascii="Arial Narrow" w:hAnsi="Arial Narrow" w:cs="Arial"/>
                <w:b/>
                <w:i/>
                <w:sz w:val="20"/>
              </w:rPr>
            </w:pPr>
            <w:r w:rsidRPr="000C774E">
              <w:rPr>
                <w:rFonts w:ascii="Arial Narrow" w:hAnsi="Arial Narrow" w:cs="Arial"/>
                <w:b/>
                <w:i/>
                <w:sz w:val="20"/>
              </w:rPr>
              <w:t>-6</w:t>
            </w:r>
            <w:r>
              <w:rPr>
                <w:rFonts w:ascii="Arial Narrow" w:hAnsi="Arial Narrow" w:cs="Arial"/>
                <w:b/>
                <w:i/>
                <w:sz w:val="20"/>
              </w:rPr>
              <w:t>42 007</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0C774E" w:rsidP="00C52DD5">
            <w:pPr>
              <w:jc w:val="right"/>
              <w:rPr>
                <w:rFonts w:ascii="Arial Narrow" w:hAnsi="Arial Narrow" w:cs="Arial"/>
                <w:b/>
                <w:i/>
                <w:sz w:val="20"/>
              </w:rPr>
            </w:pPr>
            <w:r w:rsidRPr="000C774E">
              <w:rPr>
                <w:rFonts w:ascii="Arial Narrow" w:hAnsi="Arial Narrow" w:cs="Arial"/>
                <w:b/>
                <w:i/>
                <w:sz w:val="20"/>
              </w:rPr>
              <w:t>-</w:t>
            </w:r>
            <w:r>
              <w:rPr>
                <w:rFonts w:ascii="Arial Narrow" w:hAnsi="Arial Narrow" w:cs="Arial"/>
                <w:b/>
                <w:i/>
                <w:sz w:val="20"/>
              </w:rPr>
              <w:t>840</w:t>
            </w:r>
            <w:r>
              <w:rPr>
                <w:rFonts w:ascii="Arial Narrow" w:hAnsi="Arial Narrow" w:cs="Arial"/>
                <w:b/>
                <w:i/>
                <w:sz w:val="20"/>
              </w:rPr>
              <w:t xml:space="preserve"> 778</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0C774E" w:rsidP="00C52DD5">
            <w:pPr>
              <w:jc w:val="right"/>
              <w:rPr>
                <w:rFonts w:ascii="Arial Narrow" w:hAnsi="Arial Narrow" w:cs="Arial"/>
                <w:b/>
                <w:i/>
                <w:sz w:val="20"/>
              </w:rPr>
            </w:pPr>
            <w:r w:rsidRPr="000C774E">
              <w:rPr>
                <w:rFonts w:ascii="Arial Narrow" w:hAnsi="Arial Narrow" w:cs="Arial"/>
                <w:b/>
                <w:i/>
                <w:sz w:val="20"/>
              </w:rPr>
              <w:t>-</w:t>
            </w:r>
            <w:r>
              <w:rPr>
                <w:rFonts w:ascii="Arial Narrow" w:hAnsi="Arial Narrow" w:cs="Arial"/>
                <w:b/>
                <w:i/>
                <w:sz w:val="20"/>
              </w:rPr>
              <w:t>947 612</w:t>
            </w:r>
          </w:p>
        </w:tc>
      </w:tr>
      <w:tr>
        <w:tblPrEx>
          <w:tblW w:w="9148" w:type="dxa"/>
          <w:jc w:val="center"/>
          <w:tblLayout w:type="fixed"/>
          <w:tblCellMar>
            <w:left w:w="70" w:type="dxa"/>
            <w:right w:w="70" w:type="dxa"/>
          </w:tblCellMar>
        </w:tblPrEx>
        <w:trPr>
          <w:trHeight w:val="227"/>
          <w:jc w:val="center"/>
        </w:trPr>
        <w:tc>
          <w:tcPr>
            <w:tcW w:w="9148" w:type="dxa"/>
            <w:gridSpan w:val="5"/>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sz w:val="20"/>
              </w:rPr>
            </w:pPr>
            <w:r w:rsidRPr="001C088C">
              <w:rPr>
                <w:rFonts w:ascii="Arial Narrow" w:hAnsi="Arial Narrow" w:cs="Arial"/>
                <w:b/>
                <w:i/>
                <w:sz w:val="20"/>
              </w:rPr>
              <w:t>z toho:</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sz w:val="20"/>
              </w:rPr>
            </w:pPr>
            <w:r w:rsidRPr="001C088C">
              <w:rPr>
                <w:rFonts w:ascii="Arial Narrow" w:hAnsi="Arial Narrow" w:cs="Arial"/>
                <w:sz w:val="20"/>
              </w:rPr>
              <w:t>vylúčenie príjmových FO</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-466 476</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-669 150</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-864 334</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-972 993</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numPr>
                <w:ilvl w:val="0"/>
                <w:numId w:val="192"/>
              </w:numPr>
              <w:tabs>
                <w:tab w:val="left" w:pos="360"/>
              </w:tabs>
              <w:rPr>
                <w:rFonts w:ascii="Arial Narrow" w:hAnsi="Arial Narrow" w:cs="Arial"/>
                <w:sz w:val="20"/>
              </w:rPr>
            </w:pPr>
            <w:r w:rsidRPr="001C088C">
              <w:rPr>
                <w:rFonts w:ascii="Arial Narrow" w:hAnsi="Arial Narrow" w:cs="Arial"/>
                <w:sz w:val="20"/>
              </w:rPr>
              <w:t>vylúčenie výdavkových FO</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32 358</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27 143</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23 556</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sz w:val="20"/>
              </w:rPr>
            </w:pPr>
            <w:r>
              <w:rPr>
                <w:rFonts w:ascii="Arial Narrow" w:hAnsi="Arial Narrow" w:cs="Arial"/>
                <w:sz w:val="20"/>
              </w:rPr>
              <w:t>25 381</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b/>
                <w:i/>
                <w:sz w:val="20"/>
              </w:rPr>
            </w:pPr>
            <w:r w:rsidRPr="001C088C">
              <w:rPr>
                <w:rFonts w:ascii="Arial Narrow" w:hAnsi="Arial Narrow" w:cs="Arial"/>
                <w:b/>
                <w:i/>
                <w:sz w:val="20"/>
              </w:rPr>
              <w:t xml:space="preserve">zahrnutie časového rozlíšenia </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i/>
                <w:sz w:val="20"/>
              </w:rPr>
            </w:pPr>
            <w:r>
              <w:rPr>
                <w:rFonts w:ascii="Arial Narrow" w:hAnsi="Arial Narrow" w:cs="Arial"/>
                <w:b/>
                <w:i/>
                <w:sz w:val="20"/>
              </w:rPr>
              <w:t>4 183</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b/>
                <w:i/>
                <w:sz w:val="20"/>
              </w:rPr>
            </w:pPr>
            <w:r>
              <w:rPr>
                <w:rFonts w:ascii="Arial Narrow" w:hAnsi="Arial Narrow" w:cs="Arial"/>
                <w:b/>
                <w:i/>
                <w:sz w:val="20"/>
              </w:rPr>
              <w:t>16 863</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i/>
                <w:sz w:val="20"/>
              </w:rPr>
            </w:pPr>
            <w:r>
              <w:rPr>
                <w:rFonts w:ascii="Arial Narrow" w:hAnsi="Arial Narrow" w:cs="Arial"/>
                <w:b/>
                <w:i/>
                <w:sz w:val="20"/>
              </w:rPr>
              <w:t>18 124</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i/>
                <w:sz w:val="20"/>
              </w:rPr>
            </w:pPr>
            <w:r>
              <w:rPr>
                <w:rFonts w:ascii="Arial Narrow" w:hAnsi="Arial Narrow" w:cs="Arial"/>
                <w:b/>
                <w:i/>
                <w:sz w:val="20"/>
              </w:rPr>
              <w:t>21 742</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b/>
                <w:i/>
                <w:sz w:val="20"/>
              </w:rPr>
            </w:pPr>
            <w:r w:rsidRPr="001C088C">
              <w:rPr>
                <w:rFonts w:ascii="Arial Narrow" w:hAnsi="Arial Narrow" w:cs="Arial"/>
                <w:b/>
                <w:i/>
                <w:sz w:val="20"/>
              </w:rPr>
              <w:t>zahrnutie časového rozlíšenia</w:t>
            </w:r>
            <w:r>
              <w:rPr>
                <w:rFonts w:ascii="Arial Narrow" w:hAnsi="Arial Narrow" w:cs="Arial"/>
                <w:b/>
                <w:i/>
                <w:sz w:val="20"/>
              </w:rPr>
              <w:t xml:space="preserve"> výplaty zálohy  na dôchodkov</w:t>
            </w:r>
            <w:r>
              <w:rPr>
                <w:rFonts w:ascii="Arial Narrow" w:hAnsi="Arial Narrow" w:cs="Arial"/>
                <w:b/>
                <w:i/>
                <w:sz w:val="20"/>
              </w:rPr>
              <w:t>é dávky</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P="00C52DD5">
            <w:pPr>
              <w:jc w:val="right"/>
              <w:rPr>
                <w:rFonts w:ascii="Arial Narrow" w:hAnsi="Arial Narrow" w:cs="Arial"/>
                <w:b/>
                <w:i/>
                <w:sz w:val="20"/>
              </w:rPr>
            </w:pPr>
            <w:r>
              <w:rPr>
                <w:rFonts w:ascii="Arial Narrow" w:hAnsi="Arial Narrow" w:cs="Arial"/>
                <w:b/>
                <w:i/>
                <w:sz w:val="20"/>
              </w:rPr>
              <w:t>0</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P="00C52DD5">
            <w:pPr>
              <w:jc w:val="right"/>
              <w:rPr>
                <w:rFonts w:ascii="Arial Narrow" w:hAnsi="Arial Narrow" w:cs="Arial"/>
                <w:b/>
                <w:i/>
                <w:sz w:val="20"/>
              </w:rPr>
            </w:pPr>
            <w:r>
              <w:rPr>
                <w:rFonts w:ascii="Arial Narrow" w:hAnsi="Arial Narrow" w:cs="Arial"/>
                <w:b/>
                <w:i/>
                <w:sz w:val="20"/>
              </w:rPr>
              <w:t>-47 633</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P="00C52DD5">
            <w:pPr>
              <w:jc w:val="right"/>
              <w:rPr>
                <w:rFonts w:ascii="Arial Narrow" w:hAnsi="Arial Narrow" w:cs="Arial"/>
                <w:b/>
                <w:i/>
                <w:sz w:val="20"/>
              </w:rPr>
            </w:pPr>
            <w:r>
              <w:rPr>
                <w:rFonts w:ascii="Arial Narrow" w:hAnsi="Arial Narrow" w:cs="Arial"/>
                <w:b/>
                <w:i/>
                <w:sz w:val="20"/>
              </w:rPr>
              <w:t>0</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P="00C52DD5">
            <w:pPr>
              <w:jc w:val="right"/>
              <w:rPr>
                <w:rFonts w:ascii="Arial Narrow" w:hAnsi="Arial Narrow" w:cs="Arial"/>
                <w:b/>
                <w:i/>
                <w:sz w:val="20"/>
              </w:rPr>
            </w:pPr>
            <w:r>
              <w:rPr>
                <w:rFonts w:ascii="Arial Narrow" w:hAnsi="Arial Narrow" w:cs="Arial"/>
                <w:b/>
                <w:i/>
                <w:sz w:val="20"/>
              </w:rPr>
              <w:t>0</w:t>
            </w: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rPr>
                <w:rFonts w:ascii="Arial Narrow" w:hAnsi="Arial Narrow" w:cs="Arial"/>
                <w:b/>
                <w:i/>
                <w:sz w:val="20"/>
              </w:rPr>
            </w:pPr>
            <w:r w:rsidRPr="001C088C">
              <w:rPr>
                <w:rFonts w:ascii="Arial Narrow" w:hAnsi="Arial Narrow" w:cs="Arial"/>
                <w:b/>
                <w:i/>
                <w:sz w:val="20"/>
              </w:rPr>
              <w:t>kapitálové transfery z dôvodu predpokladanej nevymožiteľnosti pohľadávok garančn.  poist.</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i/>
                <w:sz w:val="20"/>
              </w:rPr>
            </w:pPr>
            <w:r>
              <w:rPr>
                <w:rFonts w:ascii="Arial Narrow" w:hAnsi="Arial Narrow" w:cs="Arial"/>
                <w:b/>
                <w:i/>
                <w:sz w:val="20"/>
              </w:rPr>
              <w:t>-18 569</w:t>
            </w:r>
          </w:p>
        </w:tc>
        <w:tc>
          <w:tcPr>
            <w:tcW w:w="1288"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C52DD5" w:rsidRPr="001C088C" w:rsidP="00C52DD5">
            <w:pPr>
              <w:jc w:val="right"/>
              <w:rPr>
                <w:rFonts w:ascii="Arial Narrow" w:hAnsi="Arial Narrow" w:cs="Arial"/>
                <w:b/>
                <w:i/>
                <w:sz w:val="20"/>
              </w:rPr>
            </w:pPr>
            <w:r>
              <w:rPr>
                <w:rFonts w:ascii="Arial Narrow" w:hAnsi="Arial Narrow" w:cs="Arial"/>
                <w:b/>
                <w:i/>
                <w:sz w:val="20"/>
              </w:rPr>
              <w:t>-15 963</w:t>
            </w:r>
          </w:p>
        </w:tc>
        <w:tc>
          <w:tcPr>
            <w:tcW w:w="1287"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i/>
                <w:sz w:val="20"/>
              </w:rPr>
            </w:pPr>
            <w:r>
              <w:rPr>
                <w:rFonts w:ascii="Arial Narrow" w:hAnsi="Arial Narrow" w:cs="Arial"/>
                <w:b/>
                <w:i/>
                <w:sz w:val="20"/>
              </w:rPr>
              <w:t>-14 168</w:t>
            </w:r>
          </w:p>
        </w:tc>
        <w:tc>
          <w:tcPr>
            <w:tcW w:w="1288"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b/>
                <w:i/>
                <w:sz w:val="20"/>
              </w:rPr>
            </w:pPr>
            <w:r>
              <w:rPr>
                <w:rFonts w:ascii="Arial Narrow" w:hAnsi="Arial Narrow" w:cs="Arial"/>
                <w:b/>
                <w:i/>
                <w:sz w:val="20"/>
              </w:rPr>
              <w:t>-15 080</w:t>
            </w:r>
          </w:p>
        </w:tc>
      </w:tr>
      <w:tr>
        <w:tblPrEx>
          <w:tblW w:w="9148" w:type="dxa"/>
          <w:jc w:val="center"/>
          <w:tblLayout w:type="fixed"/>
          <w:tblCellMar>
            <w:left w:w="70" w:type="dxa"/>
            <w:right w:w="70" w:type="dxa"/>
          </w:tblCellMar>
        </w:tblPrEx>
        <w:trPr>
          <w:trHeight w:val="227"/>
          <w:jc w:val="center"/>
        </w:trPr>
        <w:tc>
          <w:tcPr>
            <w:tcW w:w="9148" w:type="dxa"/>
            <w:gridSpan w:val="5"/>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RPr="001C088C" w:rsidP="00C52DD5">
            <w:pPr>
              <w:jc w:val="right"/>
              <w:rPr>
                <w:rFonts w:ascii="Arial Narrow" w:hAnsi="Arial Narrow" w:cs="Arial"/>
                <w:i/>
                <w:sz w:val="20"/>
              </w:rPr>
            </w:pPr>
          </w:p>
        </w:tc>
      </w:tr>
      <w:tr>
        <w:tblPrEx>
          <w:tblW w:w="9148" w:type="dxa"/>
          <w:jc w:val="center"/>
          <w:tblLayout w:type="fixed"/>
          <w:tblCellMar>
            <w:left w:w="70" w:type="dxa"/>
            <w:right w:w="70" w:type="dxa"/>
          </w:tblCellMar>
        </w:tblPrEx>
        <w:trPr>
          <w:trHeight w:val="227"/>
          <w:jc w:val="center"/>
        </w:trPr>
        <w:tc>
          <w:tcPr>
            <w:tcW w:w="399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RPr="001C088C" w:rsidP="00C52DD5">
            <w:pPr>
              <w:rPr>
                <w:rFonts w:ascii="Arial Narrow" w:hAnsi="Arial Narrow" w:cs="Arial"/>
                <w:b/>
                <w:bCs/>
                <w:i/>
                <w:sz w:val="20"/>
              </w:rPr>
            </w:pPr>
            <w:r>
              <w:rPr>
                <w:rFonts w:ascii="Arial Narrow" w:hAnsi="Arial Narrow" w:cs="Arial"/>
                <w:b/>
                <w:bCs/>
                <w:i/>
                <w:sz w:val="20"/>
              </w:rPr>
              <w:t xml:space="preserve">Prebytok  / schodok </w:t>
            </w:r>
            <w:r w:rsidRPr="001C088C">
              <w:rPr>
                <w:rFonts w:ascii="Arial Narrow" w:hAnsi="Arial Narrow" w:cs="Arial"/>
                <w:b/>
                <w:bCs/>
                <w:i/>
                <w:sz w:val="20"/>
              </w:rPr>
              <w:t>S</w:t>
            </w:r>
            <w:r>
              <w:rPr>
                <w:rFonts w:ascii="Arial Narrow" w:hAnsi="Arial Narrow" w:cs="Arial"/>
                <w:b/>
                <w:bCs/>
                <w:i/>
                <w:sz w:val="20"/>
              </w:rPr>
              <w:t>ociálnej poisťovne</w:t>
            </w:r>
            <w:r w:rsidRPr="001C088C">
              <w:rPr>
                <w:rFonts w:ascii="Arial Narrow" w:hAnsi="Arial Narrow" w:cs="Arial"/>
                <w:b/>
                <w:bCs/>
                <w:i/>
                <w:sz w:val="20"/>
              </w:rPr>
              <w:t>(ESA 95)</w:t>
            </w:r>
          </w:p>
        </w:tc>
        <w:tc>
          <w:tcPr>
            <w:tcW w:w="1287"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RPr="005A28BC" w:rsidP="00C52DD5">
            <w:pPr>
              <w:jc w:val="right"/>
              <w:rPr>
                <w:rFonts w:ascii="Arial Narrow" w:hAnsi="Arial Narrow" w:cs="Arial"/>
                <w:b/>
                <w:bCs/>
                <w:i/>
                <w:sz w:val="20"/>
              </w:rPr>
            </w:pPr>
            <w:r w:rsidRPr="005A28BC">
              <w:rPr>
                <w:rFonts w:ascii="Arial Narrow" w:hAnsi="Arial Narrow" w:cs="Arial"/>
                <w:b/>
                <w:bCs/>
                <w:i/>
                <w:sz w:val="20"/>
              </w:rPr>
              <w:t>22 501</w:t>
            </w:r>
          </w:p>
        </w:tc>
        <w:tc>
          <w:tcPr>
            <w:tcW w:w="1288"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bottom"/>
          </w:tcPr>
          <w:p w:rsidR="00C52DD5" w:rsidRPr="005A28BC" w:rsidP="00C52DD5">
            <w:pPr>
              <w:jc w:val="right"/>
              <w:rPr>
                <w:rFonts w:ascii="Arial Narrow" w:hAnsi="Arial Narrow" w:cs="Arial"/>
                <w:b/>
                <w:bCs/>
                <w:i/>
                <w:sz w:val="20"/>
              </w:rPr>
            </w:pPr>
            <w:r>
              <w:rPr>
                <w:rFonts w:ascii="Arial Narrow" w:hAnsi="Arial Narrow" w:cs="Arial"/>
                <w:b/>
                <w:bCs/>
                <w:i/>
                <w:sz w:val="20"/>
              </w:rPr>
              <w:t>166 206</w:t>
            </w:r>
          </w:p>
        </w:tc>
        <w:tc>
          <w:tcPr>
            <w:tcW w:w="1287"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125 870</w:t>
            </w:r>
          </w:p>
        </w:tc>
        <w:tc>
          <w:tcPr>
            <w:tcW w:w="128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RPr="001C088C" w:rsidP="00C52DD5">
            <w:pPr>
              <w:jc w:val="right"/>
              <w:rPr>
                <w:rFonts w:ascii="Arial Narrow" w:hAnsi="Arial Narrow" w:cs="Arial"/>
                <w:b/>
                <w:bCs/>
                <w:i/>
                <w:sz w:val="20"/>
              </w:rPr>
            </w:pPr>
            <w:r>
              <w:rPr>
                <w:rFonts w:ascii="Arial Narrow" w:hAnsi="Arial Narrow" w:cs="Arial"/>
                <w:b/>
                <w:bCs/>
                <w:i/>
                <w:sz w:val="20"/>
              </w:rPr>
              <w:t>189 764</w:t>
            </w:r>
          </w:p>
        </w:tc>
      </w:tr>
    </w:tbl>
    <w:p w:rsidR="00C52DD5" w:rsidRPr="00DD6BEB" w:rsidP="00C52DD5">
      <w:pPr>
        <w:jc w:val="both"/>
        <w:rPr>
          <w:rFonts w:ascii="Arial Narrow" w:hAnsi="Arial Narrow" w:cs="Times New Roman"/>
          <w:sz w:val="16"/>
          <w:szCs w:val="16"/>
        </w:rPr>
      </w:pPr>
      <w:r w:rsidRPr="001C088C">
        <w:rPr>
          <w:rFonts w:ascii="Arial Narrow" w:hAnsi="Arial Narrow" w:cs="Times New Roman"/>
          <w:sz w:val="22"/>
          <w:szCs w:val="22"/>
        </w:rPr>
        <w:t xml:space="preserve">  </w:t>
      </w:r>
    </w:p>
    <w:p w:rsidR="005C1768" w:rsidP="00C52DD5">
      <w:pPr>
        <w:ind w:firstLine="708"/>
        <w:jc w:val="both"/>
        <w:rPr>
          <w:rFonts w:ascii="Arial Narrow" w:hAnsi="Arial Narrow" w:cs="Arial"/>
          <w:sz w:val="22"/>
          <w:szCs w:val="22"/>
        </w:rPr>
      </w:pPr>
    </w:p>
    <w:p w:rsidR="00C52DD5" w:rsidRPr="004D5393" w:rsidP="00C52DD5">
      <w:pPr>
        <w:ind w:firstLine="708"/>
        <w:jc w:val="both"/>
        <w:rPr>
          <w:rFonts w:ascii="Arial Narrow" w:hAnsi="Arial Narrow" w:cs="Arial"/>
          <w:sz w:val="22"/>
          <w:szCs w:val="22"/>
        </w:rPr>
      </w:pPr>
      <w:r w:rsidRPr="004D5393">
        <w:rPr>
          <w:rFonts w:ascii="Arial Narrow" w:hAnsi="Arial Narrow" w:cs="Arial"/>
          <w:sz w:val="22"/>
          <w:szCs w:val="22"/>
        </w:rPr>
        <w:t>V roku 2009 sa v celkový</w:t>
      </w:r>
      <w:r w:rsidRPr="004D5393">
        <w:rPr>
          <w:rFonts w:ascii="Arial Narrow" w:hAnsi="Arial Narrow" w:cs="Arial"/>
          <w:sz w:val="22"/>
          <w:szCs w:val="22"/>
        </w:rPr>
        <w:t xml:space="preserve">ch príjmoch v sume </w:t>
      </w:r>
      <w:r w:rsidRPr="004D5393">
        <w:rPr>
          <w:rFonts w:ascii="Arial Narrow" w:hAnsi="Arial Narrow" w:cs="Arial"/>
          <w:bCs/>
          <w:sz w:val="22"/>
          <w:szCs w:val="22"/>
        </w:rPr>
        <w:t>6,4 mld. eur</w:t>
      </w:r>
      <w:r w:rsidRPr="004D5393">
        <w:rPr>
          <w:rFonts w:ascii="Arial Narrow" w:hAnsi="Arial Narrow" w:cs="Arial"/>
          <w:sz w:val="22"/>
          <w:szCs w:val="22"/>
        </w:rPr>
        <w:t xml:space="preserve"> premieta očakávaný prevod finančných prostriedkov z roku 2008 vo výške 658 mil. eur. Objemovo najväčšiu položku  predstavujú daňové príjmy, ktorých podiel na celkových príjmoch v sledovanom období predstavuje cca 81,5 %. Tieto príjmy zahŕňajú príjmy z poistného od ekonomicky aktívnych osôb, prevod prostriedkov za výstup sporiteľov z II. piliera, ako i poistné platené štátom na starobné poistenie, invalidné poistenie a poistné do rezervného fondu solidarity za zákonom definova</w:t>
      </w:r>
      <w:r w:rsidRPr="004D5393">
        <w:rPr>
          <w:rFonts w:ascii="Arial Narrow" w:hAnsi="Arial Narrow" w:cs="Arial"/>
          <w:sz w:val="22"/>
          <w:szCs w:val="22"/>
        </w:rPr>
        <w:t>nú skupinu poistencov.</w:t>
      </w:r>
    </w:p>
    <w:p w:rsidR="00C52DD5" w:rsidRPr="004D5393" w:rsidP="00C52DD5">
      <w:pPr>
        <w:ind w:firstLine="708"/>
        <w:jc w:val="both"/>
        <w:rPr>
          <w:rFonts w:ascii="Arial Narrow" w:hAnsi="Arial Narrow" w:cs="Arial"/>
          <w:sz w:val="22"/>
          <w:szCs w:val="22"/>
        </w:rPr>
      </w:pPr>
    </w:p>
    <w:p w:rsidR="00C52DD5" w:rsidP="00C52DD5">
      <w:pPr>
        <w:ind w:firstLine="708"/>
        <w:jc w:val="both"/>
        <w:rPr>
          <w:rFonts w:ascii="Arial Narrow" w:hAnsi="Arial Narrow" w:cs="Arial"/>
          <w:sz w:val="22"/>
          <w:szCs w:val="22"/>
        </w:rPr>
      </w:pPr>
      <w:r w:rsidRPr="004D5393">
        <w:rPr>
          <w:rFonts w:ascii="Arial Narrow" w:hAnsi="Arial Narrow" w:cs="Arial"/>
          <w:sz w:val="22"/>
          <w:szCs w:val="22"/>
        </w:rPr>
        <w:t>Po zohľadnení demografického vývoja obyvateľstva a</w:t>
      </w:r>
      <w:r>
        <w:rPr>
          <w:rFonts w:ascii="Arial Narrow" w:hAnsi="Arial Narrow" w:cs="Arial"/>
          <w:sz w:val="22"/>
          <w:szCs w:val="22"/>
        </w:rPr>
        <w:t> </w:t>
      </w:r>
      <w:r w:rsidRPr="004D5393">
        <w:rPr>
          <w:rFonts w:ascii="Arial Narrow" w:hAnsi="Arial Narrow" w:cs="Arial"/>
          <w:sz w:val="22"/>
          <w:szCs w:val="22"/>
        </w:rPr>
        <w:t>platných</w:t>
      </w:r>
      <w:r>
        <w:rPr>
          <w:rFonts w:ascii="Arial Narrow" w:hAnsi="Arial Narrow" w:cs="Arial"/>
          <w:sz w:val="22"/>
          <w:szCs w:val="22"/>
        </w:rPr>
        <w:t>,</w:t>
      </w:r>
      <w:r w:rsidRPr="004D5393">
        <w:rPr>
          <w:rFonts w:ascii="Arial Narrow" w:hAnsi="Arial Narrow" w:cs="Arial"/>
          <w:sz w:val="22"/>
          <w:szCs w:val="22"/>
        </w:rPr>
        <w:t xml:space="preserve"> ako i pripravovaných legislatívnych zmien, ktorými sa rozširuje okruh poistencov štátu o asistentov vykonávajúcich osobnú asistenciu fyzickej osoby s ťažkým zdravotným postihnutím a predlžuje sa obdobie platenia poistného za vybraný okruh poistencov štátu (poberateľky materského),  sa predpokladá výška poistného plateného štátom v roku 2009 v sume 231 mil. eur, vrátane príspevkov dôchodkovým správcovským spoločnostiam. </w:t>
      </w:r>
    </w:p>
    <w:p w:rsidR="00C52DD5" w:rsidRPr="004D5393" w:rsidP="00C52DD5">
      <w:pPr>
        <w:ind w:firstLine="708"/>
        <w:jc w:val="both"/>
        <w:rPr>
          <w:rFonts w:ascii="Arial Narrow" w:hAnsi="Arial Narrow" w:cs="Arial"/>
          <w:sz w:val="22"/>
          <w:szCs w:val="22"/>
        </w:rPr>
      </w:pPr>
    </w:p>
    <w:p w:rsidR="00C52DD5" w:rsidP="00C52DD5">
      <w:pPr>
        <w:ind w:firstLine="708"/>
        <w:jc w:val="both"/>
        <w:rPr>
          <w:rFonts w:ascii="Arial Narrow" w:hAnsi="Arial Narrow" w:cs="Arial"/>
          <w:sz w:val="22"/>
          <w:szCs w:val="22"/>
        </w:rPr>
      </w:pPr>
      <w:r w:rsidRPr="004D5393">
        <w:rPr>
          <w:rFonts w:ascii="Arial Narrow" w:hAnsi="Arial Narrow" w:cs="Arial"/>
          <w:sz w:val="22"/>
          <w:szCs w:val="22"/>
        </w:rPr>
        <w:t>Kvantifikácia príjmov z výberu poistného zohľadňuje návrat cca 106 tis. sporiteľov z II. piliera počas jeho otvorenia v 1. polroku 2008, nové legislatívne podmienky v tejto oblasti (znovuotvorenie II. piliera) a zároveň i postupné zvyšovanie úspešnosti výber</w:t>
      </w:r>
      <w:r w:rsidRPr="004D5393">
        <w:rPr>
          <w:rFonts w:ascii="Arial Narrow" w:hAnsi="Arial Narrow" w:cs="Arial"/>
          <w:sz w:val="22"/>
          <w:szCs w:val="22"/>
        </w:rPr>
        <w:t>u poistného nad 97,0 %.</w:t>
      </w:r>
    </w:p>
    <w:p w:rsidR="00C52DD5" w:rsidRPr="004D5393" w:rsidP="00C52DD5">
      <w:pPr>
        <w:ind w:firstLine="708"/>
        <w:jc w:val="both"/>
        <w:rPr>
          <w:rFonts w:ascii="Arial Narrow" w:hAnsi="Arial Narrow" w:cs="Arial"/>
          <w:sz w:val="22"/>
          <w:szCs w:val="22"/>
        </w:rPr>
      </w:pPr>
    </w:p>
    <w:p w:rsidR="00C52DD5" w:rsidRPr="004D5393" w:rsidP="00C52DD5">
      <w:pPr>
        <w:ind w:firstLine="708"/>
        <w:jc w:val="both"/>
        <w:rPr>
          <w:rFonts w:ascii="Arial Narrow" w:hAnsi="Arial Narrow" w:cs="Arial"/>
          <w:sz w:val="22"/>
          <w:szCs w:val="22"/>
        </w:rPr>
      </w:pPr>
      <w:r w:rsidRPr="004D5393">
        <w:rPr>
          <w:rFonts w:ascii="Arial Narrow" w:hAnsi="Arial Narrow" w:cs="Arial"/>
          <w:sz w:val="22"/>
          <w:szCs w:val="22"/>
        </w:rPr>
        <w:t xml:space="preserve"> Na krytie deficitov vzniknutých v dôsledku zavedenia II. piliera sa do základného fondu starobného poistenia predpokladá poskytnutie prostriedkov zo štátnych finančných aktív, resp. zo štátneho rozpočtu v sume 505 mil. eur v roku 2009, v roku 2010 v sume 712 mil. eur, z toho zo štátneho rozpočtu 266 mil. eur a v roku 2011 v sume 730 mil. eur, už v plnej výške zo štátneho rozpočtu.</w:t>
      </w:r>
    </w:p>
    <w:p w:rsidR="00C52DD5" w:rsidRPr="004D5393" w:rsidP="00C52DD5">
      <w:pPr>
        <w:ind w:firstLine="708"/>
        <w:jc w:val="both"/>
        <w:rPr>
          <w:rFonts w:ascii="Arial Narrow" w:hAnsi="Arial Narrow" w:cs="Arial"/>
          <w:sz w:val="22"/>
          <w:szCs w:val="22"/>
        </w:rPr>
      </w:pPr>
    </w:p>
    <w:p w:rsidR="00C52DD5" w:rsidRPr="004D5393" w:rsidP="00C52DD5">
      <w:pPr>
        <w:ind w:firstLine="708"/>
        <w:jc w:val="both"/>
        <w:rPr>
          <w:rFonts w:ascii="Arial Narrow" w:hAnsi="Arial Narrow" w:cs="Times New Roman"/>
          <w:sz w:val="22"/>
          <w:szCs w:val="22"/>
        </w:rPr>
      </w:pPr>
      <w:r w:rsidRPr="004D5393">
        <w:rPr>
          <w:rFonts w:ascii="Arial Narrow" w:hAnsi="Arial Narrow" w:cs="Arial"/>
          <w:sz w:val="22"/>
          <w:szCs w:val="22"/>
        </w:rPr>
        <w:t>V celkových výdavkoch v roku 2009 sa premieta najmä valorizácia dôchodkov o 6,95 %, v roku 2010 sa predpokladá  valorizácia o 6,60 % a v roku 2011 o 5,90 % s tým, že dôchodkové dávky budú s cieľom rýchlejšej reakcie na rast spotrebiteľských cien zvyšované vždy k 1. januáru kalendárneho roka. Výška valorizácie dôchodkov bola stanovená už podľa nového schváleného mechanizmu, keď sa miera inflácie a priemerná mesačná mzda zohľadňuje na polročnej báze.</w:t>
      </w:r>
    </w:p>
    <w:p w:rsidR="00C52DD5" w:rsidRPr="004D5393" w:rsidP="00C52DD5">
      <w:pPr>
        <w:jc w:val="both"/>
        <w:rPr>
          <w:rFonts w:ascii="Arial Narrow" w:hAnsi="Arial Narrow" w:cs="Arial"/>
          <w:sz w:val="22"/>
          <w:szCs w:val="22"/>
        </w:rPr>
      </w:pPr>
    </w:p>
    <w:p w:rsidR="00C52DD5" w:rsidP="00C52DD5">
      <w:pPr>
        <w:jc w:val="both"/>
        <w:rPr>
          <w:rFonts w:ascii="Arial Narrow" w:hAnsi="Arial Narrow" w:cs="Times New Roman"/>
          <w:sz w:val="22"/>
          <w:szCs w:val="22"/>
        </w:rPr>
      </w:pPr>
      <w:r w:rsidRPr="004D5393">
        <w:rPr>
          <w:rFonts w:ascii="Arial Narrow" w:hAnsi="Arial Narrow" w:cs="Times New Roman"/>
          <w:sz w:val="22"/>
          <w:szCs w:val="22"/>
        </w:rPr>
        <w:tab/>
        <w:t>Pri návrhu rozpočtu správneho fondu sa vychádzalo zo zákonom stanovenej tvorby, t. j. najviac vo výške 3,5 % v roku 2009 a ďalších rokoch vo výške 2,9 % z poistného, 0,5 % z príspevkov na starobné dôchodkové sporenie a ďalších zákonom ustanovených príjmov. V správnom fonde sú vytvorené podmienky aj na zabezpečenie úloh súvisiacich so zavedením eura.</w:t>
      </w:r>
    </w:p>
    <w:p w:rsidR="00C52DD5" w:rsidRPr="00D41768" w:rsidP="00C52DD5">
      <w:pPr>
        <w:rPr>
          <w:rFonts w:ascii="Arial Narrow" w:hAnsi="Arial Narrow" w:cs="Times New Roman"/>
          <w:sz w:val="22"/>
          <w:szCs w:val="22"/>
          <w:highlight w:val="yellow"/>
        </w:rPr>
      </w:pPr>
    </w:p>
    <w:p w:rsidR="00C52DD5" w:rsidRPr="00804143" w:rsidP="00C52DD5">
      <w:pPr>
        <w:jc w:val="both"/>
        <w:rPr>
          <w:rFonts w:ascii="Arial Narrow" w:hAnsi="Arial Narrow" w:cs="Times New Roman"/>
          <w:b/>
        </w:rPr>
      </w:pPr>
      <w:r w:rsidRPr="00804143">
        <w:rPr>
          <w:rFonts w:ascii="Arial Narrow" w:hAnsi="Arial Narrow" w:cs="Times New Roman"/>
          <w:b/>
        </w:rPr>
        <w:t>3. Zdravotné poisťovne</w:t>
      </w:r>
    </w:p>
    <w:p w:rsidR="00C52DD5" w:rsidP="00C52DD5">
      <w:pPr>
        <w:pStyle w:val="BodyText"/>
        <w:spacing w:after="0"/>
        <w:jc w:val="both"/>
        <w:rPr>
          <w:rFonts w:ascii="Arial Narrow" w:hAnsi="Arial Narrow" w:cs="Times New Roman"/>
          <w:sz w:val="22"/>
          <w:szCs w:val="22"/>
          <w:highlight w:val="yellow"/>
        </w:rPr>
      </w:pPr>
    </w:p>
    <w:p w:rsidR="00C52DD5" w:rsidP="00C52DD5">
      <w:pPr>
        <w:pStyle w:val="BodyText"/>
        <w:spacing w:after="0"/>
        <w:ind w:firstLine="708"/>
        <w:jc w:val="both"/>
        <w:rPr>
          <w:rFonts w:ascii="Arial Narrow" w:hAnsi="Arial Narrow" w:cs="Arial"/>
          <w:sz w:val="22"/>
          <w:szCs w:val="22"/>
        </w:rPr>
      </w:pPr>
      <w:r>
        <w:rPr>
          <w:rFonts w:ascii="Arial Narrow" w:hAnsi="Arial Narrow" w:cs="Times New Roman"/>
          <w:sz w:val="22"/>
          <w:szCs w:val="22"/>
        </w:rPr>
        <w:t xml:space="preserve">Návrh súhrnného rozpočtu zdravotných poisťovní na roky 2009 až 2011 je zostavený na základe platnej a pripravovanej legislatívy a zohľadňuje skutočný vývoj v hospodárení zdravotných poisťovní v roku 2007 a predpokladaný vývoj v roku 2008. </w:t>
      </w:r>
      <w:r>
        <w:rPr>
          <w:rFonts w:ascii="Arial Narrow" w:hAnsi="Arial Narrow" w:cs="Arial"/>
          <w:sz w:val="22"/>
          <w:szCs w:val="22"/>
        </w:rPr>
        <w:t>V n</w:t>
      </w:r>
      <w:r>
        <w:rPr>
          <w:rFonts w:ascii="Arial Narrow" w:hAnsi="Arial Narrow" w:cs="Times New Roman"/>
          <w:sz w:val="22"/>
          <w:szCs w:val="22"/>
        </w:rPr>
        <w:t>ávrhu súhrnného rozpočtu zdravotných poisťovní</w:t>
      </w:r>
      <w:r>
        <w:rPr>
          <w:rFonts w:ascii="Arial Narrow" w:hAnsi="Arial Narrow" w:cs="Arial"/>
          <w:sz w:val="22"/>
          <w:szCs w:val="22"/>
        </w:rPr>
        <w:t xml:space="preserve"> na roky 2009 až 2011 sa uvažuje len s vykonávaním verejného zdravotného poistenia.</w:t>
      </w:r>
    </w:p>
    <w:p w:rsidR="00C52DD5" w:rsidRPr="00186C4E" w:rsidP="00C52DD5">
      <w:pPr>
        <w:pStyle w:val="BodyText"/>
        <w:spacing w:after="0"/>
        <w:ind w:firstLine="708"/>
        <w:jc w:val="both"/>
        <w:rPr>
          <w:rFonts w:ascii="Arial Narrow" w:hAnsi="Arial Narrow" w:cs="Arial"/>
          <w:sz w:val="22"/>
          <w:szCs w:val="22"/>
        </w:rPr>
      </w:pPr>
    </w:p>
    <w:p w:rsidR="00C52DD5" w:rsidP="00C52DD5">
      <w:pPr>
        <w:pStyle w:val="BodyText"/>
        <w:spacing w:after="0"/>
        <w:ind w:firstLine="708"/>
        <w:jc w:val="both"/>
        <w:rPr>
          <w:rFonts w:ascii="Arial Narrow" w:hAnsi="Arial Narrow" w:cs="Times New Roman"/>
          <w:sz w:val="22"/>
          <w:szCs w:val="22"/>
        </w:rPr>
      </w:pPr>
      <w:r>
        <w:rPr>
          <w:rFonts w:ascii="Arial Narrow" w:hAnsi="Arial Narrow" w:cs="Times New Roman"/>
          <w:sz w:val="22"/>
          <w:szCs w:val="22"/>
        </w:rPr>
        <w:t>Celkové príjmy v systéme verejného zdravotného poistenia, vrátane zostatku prostriedkov z predchádzajúceho roka, sa pre rok 2009 predpokladajú vo výške 4 014,7 mil. eur, čo predstavuje 14,5 % nárast oproti predchádzajúcemu roku. Nárast príjmov zdravotných poisťovní oproti roku 2006 predstavuje 61,6 %. Pre rok 2010 sa celkové príjmy predpokladajú v objeme 4 235,2 mil. eur s 5,5 % nárastom a pre rok 2011 v objeme 4 582,6 mil. eur, čo predstavuje 8,2 % nárast oproti predchádzajúcemu roku.</w:t>
      </w:r>
    </w:p>
    <w:p w:rsidR="00C52DD5" w:rsidP="00C52DD5">
      <w:pPr>
        <w:pStyle w:val="BodyText"/>
        <w:spacing w:after="0"/>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sidRPr="005D53B0">
        <w:rPr>
          <w:rFonts w:ascii="Arial Narrow" w:hAnsi="Arial Narrow" w:cs="Times New Roman"/>
          <w:sz w:val="22"/>
          <w:szCs w:val="22"/>
        </w:rPr>
        <w:t>Poistné platené štátom je určené pre zákonom vymedzené kategórie</w:t>
      </w:r>
      <w:r>
        <w:rPr>
          <w:rFonts w:ascii="Arial Narrow" w:hAnsi="Arial Narrow" w:cs="Times New Roman"/>
          <w:sz w:val="22"/>
          <w:szCs w:val="22"/>
        </w:rPr>
        <w:t xml:space="preserve"> obyvateľov.</w:t>
      </w:r>
      <w:r w:rsidRPr="005D53B0">
        <w:rPr>
          <w:rFonts w:ascii="Arial Narrow" w:hAnsi="Arial Narrow" w:cs="Times New Roman"/>
          <w:sz w:val="22"/>
          <w:szCs w:val="22"/>
        </w:rPr>
        <w:t xml:space="preserve"> Pri kvantifikácii poistného</w:t>
      </w:r>
      <w:r>
        <w:rPr>
          <w:rFonts w:ascii="Arial Narrow" w:hAnsi="Arial Narrow" w:cs="Times New Roman"/>
          <w:sz w:val="22"/>
          <w:szCs w:val="22"/>
        </w:rPr>
        <w:t xml:space="preserve"> plateného štátom na rok 2009</w:t>
      </w:r>
      <w:r w:rsidRPr="005D53B0">
        <w:rPr>
          <w:rFonts w:ascii="Arial Narrow" w:hAnsi="Arial Narrow" w:cs="Times New Roman"/>
          <w:sz w:val="22"/>
          <w:szCs w:val="22"/>
        </w:rPr>
        <w:t xml:space="preserve"> sa vychádzalo </w:t>
      </w:r>
      <w:r>
        <w:rPr>
          <w:rFonts w:ascii="Arial Narrow" w:hAnsi="Arial Narrow" w:cs="Times New Roman"/>
          <w:sz w:val="22"/>
          <w:szCs w:val="22"/>
        </w:rPr>
        <w:t>zo skutočného vývoja počtu poistencov v roku 200</w:t>
      </w:r>
      <w:r>
        <w:rPr>
          <w:rFonts w:ascii="Arial Narrow" w:hAnsi="Arial Narrow" w:cs="Times New Roman"/>
          <w:sz w:val="22"/>
          <w:szCs w:val="22"/>
        </w:rPr>
        <w:t>8 a</w:t>
      </w:r>
      <w:r w:rsidRPr="005D53B0">
        <w:rPr>
          <w:rFonts w:ascii="Arial Narrow" w:hAnsi="Arial Narrow" w:cs="Times New Roman"/>
          <w:sz w:val="22"/>
          <w:szCs w:val="22"/>
        </w:rPr>
        <w:t xml:space="preserve"> zo sadzby pre výpočet poistné</w:t>
      </w:r>
      <w:r>
        <w:rPr>
          <w:rFonts w:ascii="Arial Narrow" w:hAnsi="Arial Narrow" w:cs="Times New Roman"/>
          <w:sz w:val="22"/>
          <w:szCs w:val="22"/>
        </w:rPr>
        <w:t xml:space="preserve">ho vo výške 5 </w:t>
      </w:r>
      <w:r w:rsidRPr="005D53B0">
        <w:rPr>
          <w:rFonts w:ascii="Arial Narrow" w:hAnsi="Arial Narrow" w:cs="Times New Roman"/>
          <w:sz w:val="22"/>
          <w:szCs w:val="22"/>
        </w:rPr>
        <w:t>% z vymeriavacieho základu.</w:t>
      </w:r>
      <w:r>
        <w:rPr>
          <w:rFonts w:ascii="Arial Narrow" w:hAnsi="Arial Narrow" w:cs="Times New Roman"/>
          <w:sz w:val="22"/>
          <w:szCs w:val="22"/>
        </w:rPr>
        <w:t xml:space="preserve"> Objem poistného na úrovni 1 184,7 mil. eur pre rok 2009 vzrástol o 16,9 % oproti roku 2008 a predstavuje nárast  oproti roku 2006 až o 52,5 %. </w:t>
      </w:r>
    </w:p>
    <w:p w:rsidR="00C52DD5" w:rsidP="00C52DD5">
      <w:pPr>
        <w:ind w:firstLine="720"/>
        <w:jc w:val="both"/>
        <w:rPr>
          <w:rFonts w:ascii="Arial Narrow" w:hAnsi="Arial Narrow" w:cs="Times New Roman"/>
          <w:sz w:val="22"/>
          <w:szCs w:val="22"/>
        </w:rPr>
      </w:pPr>
    </w:p>
    <w:p w:rsidR="00C52DD5" w:rsidP="00C52DD5">
      <w:pPr>
        <w:pStyle w:val="BodyText2"/>
        <w:spacing w:after="0" w:line="240" w:lineRule="auto"/>
        <w:ind w:firstLine="708"/>
        <w:jc w:val="both"/>
        <w:rPr>
          <w:rFonts w:ascii="Arial Narrow" w:hAnsi="Arial Narrow" w:cs="Times New Roman"/>
          <w:sz w:val="22"/>
          <w:szCs w:val="22"/>
        </w:rPr>
      </w:pPr>
      <w:r>
        <w:rPr>
          <w:rFonts w:ascii="Arial Narrow" w:hAnsi="Arial Narrow" w:cs="Times New Roman"/>
          <w:sz w:val="22"/>
          <w:szCs w:val="22"/>
        </w:rPr>
        <w:t xml:space="preserve">Návrh rozpočtu príjmov z poistného od ekonomicky aktívnych osôb predpokladá, že v roku 2009 dosiahne predmetné poistné úroveň  2 471,1 mil. eur, čo predstavuje nárast o 14,4 % oproti rozpočtovanej úrovni v roku 2008. Nárast predmetných príjmov oproti roku 2006 predstavuje až 44,7 %. V roku 2010 sa výška príjmov z poistného od ekonomicky aktívnych osôb predpokladá na úrovni 2 708,7 mil. eur s medziročným nárastom o 9,6 % a v roku 2011 na úrovni 2 966,5 mil. eur s medziročným nárastom 9,5 %. Pre rozpočet príjmov poistného v zdravotných poisťovniach sa zároveň na základe skutočnosti roku 2006 a 2007 uvažuje aj s príjmami z ročného zúčtovania poistného od ekonomicky aktívnych obyvateľov. </w:t>
      </w:r>
    </w:p>
    <w:p w:rsidR="00C52DD5" w:rsidP="00C52DD5">
      <w:pPr>
        <w:pStyle w:val="BodyText2"/>
        <w:spacing w:after="0" w:line="240" w:lineRule="auto"/>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Do súhrnu daňových príjmov zdravotných poisťovní sa započítavajú aj sankcie súvisiace so zdravotným poistením, ktoré v sledovanom období, na základe predpokladov zdravotných poisťovní, majú klesajúci charakter zo 7,5 mil. eur v roku 2009 na 4,8 mil. eur v roku 2011. Ostatné príjmy v systéme verejného zdravotného poistenia sa na základe predpokladov zdravotných poisťovní rozpočtujú ročne v objeme od 16,5 mil. eur do 17,0 mil. eur. </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 súlade s legislatívnou úpravou zdravotného poistenia je vo výdavkoch zdravotných poisťovní zapracovaný príspevok na činnosť Úradu pre dohľad nad zdravotnou starostlivosťou a príspevok na činnosť operačných st</w:t>
      </w:r>
      <w:r w:rsidRPr="00C37E7B">
        <w:rPr>
          <w:rFonts w:ascii="Arial Narrow" w:hAnsi="Arial Narrow" w:cs="Times New Roman"/>
          <w:sz w:val="22"/>
          <w:szCs w:val="22"/>
        </w:rPr>
        <w:t>redísk tiesňového volania záchrannej zdravotnej služby</w:t>
      </w:r>
      <w:r>
        <w:rPr>
          <w:rFonts w:ascii="Arial Narrow" w:hAnsi="Arial Narrow" w:cs="Times New Roman"/>
          <w:sz w:val="22"/>
          <w:szCs w:val="22"/>
        </w:rPr>
        <w:t>. Výška príspevkov pre rok 2009 vychádza z predpokladaného výberu poistného zdravotnými poisťovňami v roku 2008. Nárast objemu prostriedkov pre príspevok na činnosť operačných stredísk záchrannej zdravotnej služby, ako aj pre príspevok na činnosť Úradu pre dohľad nad zdravotnou starostlivosťou, na rok 2009 oproti roku 2008 predstavuje 11,9 %. Nárast objemu príspevkov v roku 2009 oproti roku 2006 predstavuje 38,8 %.</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Výdavky na prevádzkové činnosti a ostatné výdavky zahŕňajú predpoklad bežných aj kapitálových výdavkov na prevádzkové činnosti zdravotných poisťovní, ako aj ostatné výdavky podľa § 6a ods. 3 zákona </w:t>
        <w:br/>
        <w:t xml:space="preserve">č. 581/2007 Z. z. </w:t>
      </w:r>
      <w:r w:rsidRPr="003753AC">
        <w:rPr>
          <w:rFonts w:ascii="Arial Narrow" w:hAnsi="Arial Narrow" w:cs="Times New Roman"/>
          <w:sz w:val="22"/>
          <w:szCs w:val="22"/>
        </w:rPr>
        <w:t>o zdravotných poisťovniach, dohľade nad zdravotnou starostlivosťou</w:t>
      </w:r>
      <w:r>
        <w:rPr>
          <w:rFonts w:ascii="Arial Narrow" w:hAnsi="Arial Narrow" w:cs="Times New Roman"/>
          <w:sz w:val="22"/>
          <w:szCs w:val="22"/>
        </w:rPr>
        <w:t xml:space="preserve"> a </w:t>
      </w:r>
      <w:r w:rsidRPr="00C903F0">
        <w:rPr>
          <w:rFonts w:ascii="Arial Narrow" w:hAnsi="Arial Narrow" w:cs="Times New Roman"/>
          <w:sz w:val="22"/>
          <w:szCs w:val="22"/>
        </w:rPr>
        <w:t>o zmene a doplnení niektorých zákonov</w:t>
      </w:r>
      <w:r>
        <w:rPr>
          <w:rFonts w:ascii="Arial Narrow" w:hAnsi="Arial Narrow" w:cs="Times New Roman"/>
          <w:sz w:val="22"/>
          <w:szCs w:val="22"/>
        </w:rPr>
        <w:t xml:space="preserve">. </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Celkový prebytok zdravotných poisťovní sa v roku 2009 predpokladá vo výške 298,7 mil. eur a v roku 2010 a 2011 vo výške  302,1 mil. eur.  </w:t>
      </w:r>
    </w:p>
    <w:p w:rsidR="00C52DD5" w:rsidP="00C52DD5">
      <w:pPr>
        <w:ind w:firstLine="708"/>
        <w:jc w:val="both"/>
        <w:rPr>
          <w:rFonts w:ascii="Arial Narrow" w:hAnsi="Arial Narrow" w:cs="Times New Roman"/>
          <w:sz w:val="22"/>
          <w:szCs w:val="22"/>
        </w:rPr>
      </w:pPr>
    </w:p>
    <w:p w:rsidR="00C52DD5" w:rsidP="00C52DD5">
      <w:pPr>
        <w:jc w:val="both"/>
        <w:rPr>
          <w:rFonts w:ascii="Arial Narrow" w:hAnsi="Arial Narrow" w:cs="Times New Roman"/>
          <w:sz w:val="22"/>
          <w:szCs w:val="22"/>
        </w:rPr>
      </w:pPr>
      <w:r>
        <w:rPr>
          <w:rFonts w:ascii="Arial Narrow" w:hAnsi="Arial Narrow" w:cs="Times New Roman"/>
          <w:sz w:val="22"/>
          <w:szCs w:val="22"/>
        </w:rPr>
        <w:tab/>
        <w:t>Vývoj príjmovej a výdavkovej časti rozpočtu zdravotných poisťovní na roky 2009 až 2011 je nasledovný:</w:t>
      </w:r>
    </w:p>
    <w:p w:rsidR="00C52DD5" w:rsidRPr="00E2247A" w:rsidP="00C52DD5">
      <w:pPr>
        <w:jc w:val="both"/>
        <w:rPr>
          <w:rFonts w:ascii="Arial Narrow" w:hAnsi="Arial Narrow" w:cs="Times New Roman"/>
          <w:sz w:val="18"/>
          <w:szCs w:val="18"/>
        </w:rPr>
      </w:pPr>
    </w:p>
    <w:tbl>
      <w:tblPr>
        <w:tblW w:w="9063" w:type="dxa"/>
        <w:tblInd w:w="70" w:type="dxa"/>
        <w:tblLayout w:type="fixed"/>
        <w:tblCellMar>
          <w:left w:w="70" w:type="dxa"/>
          <w:right w:w="70" w:type="dxa"/>
        </w:tblCellMar>
      </w:tblPr>
      <w:tblGrid>
        <w:gridCol w:w="3990"/>
        <w:gridCol w:w="1268"/>
        <w:gridCol w:w="1268"/>
        <w:gridCol w:w="1268"/>
        <w:gridCol w:w="1269"/>
      </w:tblGrid>
      <w:tr>
        <w:tblPrEx>
          <w:tblW w:w="9063" w:type="dxa"/>
          <w:tblInd w:w="70" w:type="dxa"/>
          <w:tblLayout w:type="fixed"/>
          <w:tblCellMar>
            <w:left w:w="70" w:type="dxa"/>
            <w:right w:w="70" w:type="dxa"/>
          </w:tblCellMar>
        </w:tblPrEx>
        <w:trPr>
          <w:trHeight w:val="227"/>
        </w:trPr>
        <w:tc>
          <w:tcPr>
            <w:tcW w:w="3990" w:type="dxa"/>
            <w:tcBorders>
              <w:top w:val="single" w:sz="8" w:space="0" w:color="auto"/>
              <w:left w:val="single" w:sz="8" w:space="0" w:color="auto"/>
              <w:bottom w:val="single" w:sz="4" w:space="0" w:color="auto"/>
              <w:right w:val="single" w:sz="8" w:space="0" w:color="auto"/>
              <w:tl2br w:val="nil"/>
              <w:tr2bl w:val="nil"/>
            </w:tcBorders>
            <w:shd w:val="clear" w:color="auto" w:fill="000000"/>
            <w:textDirection w:val="lrTb"/>
            <w:vAlign w:val="bottom"/>
          </w:tcPr>
          <w:p w:rsidR="00C52DD5" w:rsidRPr="007F78EE" w:rsidP="00C52DD5">
            <w:pPr>
              <w:jc w:val="both"/>
              <w:rPr>
                <w:rFonts w:ascii="Arial Narrow" w:hAnsi="Arial Narrow" w:cs="Arial"/>
                <w:b/>
                <w:color w:val="FFFFFF"/>
                <w:sz w:val="20"/>
              </w:rPr>
            </w:pPr>
            <w:r w:rsidRPr="007F78EE">
              <w:rPr>
                <w:rFonts w:ascii="Arial Narrow" w:hAnsi="Arial Narrow" w:cs="Arial"/>
                <w:b/>
                <w:color w:val="FFFFFF"/>
                <w:sz w:val="20"/>
              </w:rPr>
              <w:t>( v tis. eur)</w:t>
            </w:r>
          </w:p>
        </w:tc>
        <w:tc>
          <w:tcPr>
            <w:tcW w:w="1268" w:type="dxa"/>
            <w:tcBorders>
              <w:top w:val="single" w:sz="8" w:space="0" w:color="auto"/>
              <w:left w:val="nil"/>
              <w:bottom w:val="single" w:sz="4" w:space="0" w:color="auto"/>
              <w:right w:val="single" w:sz="8" w:space="0" w:color="auto"/>
              <w:tl2br w:val="nil"/>
              <w:tr2bl w:val="nil"/>
            </w:tcBorders>
            <w:shd w:val="clear" w:color="auto" w:fill="000000"/>
            <w:textDirection w:val="lrTb"/>
            <w:vAlign w:val="bottom"/>
          </w:tcPr>
          <w:p w:rsidR="00C52DD5" w:rsidRPr="00E2247A" w:rsidP="00C52DD5">
            <w:pPr>
              <w:jc w:val="center"/>
              <w:rPr>
                <w:rFonts w:ascii="Arial Narrow" w:hAnsi="Arial Narrow" w:cs="Arial"/>
                <w:b/>
                <w:bCs/>
                <w:color w:val="FFFFFF"/>
                <w:sz w:val="20"/>
              </w:rPr>
            </w:pPr>
            <w:r w:rsidRPr="00E2247A">
              <w:rPr>
                <w:rFonts w:ascii="Arial Narrow" w:hAnsi="Arial Narrow" w:cs="Arial"/>
                <w:b/>
                <w:bCs/>
                <w:color w:val="FFFFFF"/>
                <w:sz w:val="20"/>
              </w:rPr>
              <w:t>200</w:t>
            </w:r>
            <w:r>
              <w:rPr>
                <w:rFonts w:ascii="Arial Narrow" w:hAnsi="Arial Narrow" w:cs="Arial"/>
                <w:b/>
                <w:bCs/>
                <w:color w:val="FFFFFF"/>
                <w:sz w:val="20"/>
              </w:rPr>
              <w:t>8</w:t>
            </w:r>
          </w:p>
        </w:tc>
        <w:tc>
          <w:tcPr>
            <w:tcW w:w="1268"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C52DD5" w:rsidRPr="00E2247A" w:rsidP="00C52DD5">
            <w:pPr>
              <w:jc w:val="center"/>
              <w:rPr>
                <w:rFonts w:ascii="Arial Narrow" w:hAnsi="Arial Narrow" w:cs="Arial"/>
                <w:b/>
                <w:bCs/>
                <w:color w:val="FFFFFF"/>
                <w:sz w:val="20"/>
              </w:rPr>
            </w:pPr>
            <w:r w:rsidRPr="00E2247A">
              <w:rPr>
                <w:rFonts w:ascii="Arial Narrow" w:hAnsi="Arial Narrow" w:cs="Arial"/>
                <w:b/>
                <w:bCs/>
                <w:color w:val="FFFFFF"/>
                <w:sz w:val="20"/>
              </w:rPr>
              <w:t>200</w:t>
            </w:r>
            <w:r>
              <w:rPr>
                <w:rFonts w:ascii="Arial Narrow" w:hAnsi="Arial Narrow" w:cs="Arial"/>
                <w:b/>
                <w:bCs/>
                <w:color w:val="FFFFFF"/>
                <w:sz w:val="20"/>
              </w:rPr>
              <w:t>9</w:t>
            </w:r>
          </w:p>
        </w:tc>
        <w:tc>
          <w:tcPr>
            <w:tcW w:w="1268" w:type="dxa"/>
            <w:tcBorders>
              <w:top w:val="single" w:sz="8" w:space="0" w:color="auto"/>
              <w:left w:val="nil"/>
              <w:bottom w:val="single" w:sz="4" w:space="0" w:color="auto"/>
              <w:right w:val="nil"/>
              <w:tl2br w:val="nil"/>
              <w:tr2bl w:val="nil"/>
            </w:tcBorders>
            <w:shd w:val="clear" w:color="auto" w:fill="000000"/>
            <w:textDirection w:val="lrTb"/>
            <w:vAlign w:val="bottom"/>
          </w:tcPr>
          <w:p w:rsidR="00C52DD5" w:rsidRPr="00E2247A" w:rsidP="00C52DD5">
            <w:pPr>
              <w:jc w:val="center"/>
              <w:rPr>
                <w:rFonts w:ascii="Arial Narrow" w:hAnsi="Arial Narrow" w:cs="Arial"/>
                <w:b/>
                <w:bCs/>
                <w:color w:val="FFFFFF"/>
                <w:sz w:val="20"/>
              </w:rPr>
            </w:pPr>
            <w:r w:rsidRPr="00E2247A">
              <w:rPr>
                <w:rFonts w:ascii="Arial Narrow" w:hAnsi="Arial Narrow" w:cs="Arial"/>
                <w:b/>
                <w:bCs/>
                <w:color w:val="FFFFFF"/>
                <w:sz w:val="20"/>
              </w:rPr>
              <w:t>20</w:t>
            </w:r>
            <w:r>
              <w:rPr>
                <w:rFonts w:ascii="Arial Narrow" w:hAnsi="Arial Narrow" w:cs="Arial"/>
                <w:b/>
                <w:bCs/>
                <w:color w:val="FFFFFF"/>
                <w:sz w:val="20"/>
              </w:rPr>
              <w:t>10</w:t>
            </w:r>
          </w:p>
        </w:tc>
        <w:tc>
          <w:tcPr>
            <w:tcW w:w="1269" w:type="dxa"/>
            <w:tcBorders>
              <w:top w:val="single" w:sz="8" w:space="0" w:color="auto"/>
              <w:left w:val="single" w:sz="4" w:space="0" w:color="auto"/>
              <w:bottom w:val="single" w:sz="4" w:space="0" w:color="auto"/>
              <w:right w:val="single" w:sz="8" w:space="0" w:color="auto"/>
              <w:tl2br w:val="nil"/>
              <w:tr2bl w:val="nil"/>
            </w:tcBorders>
            <w:shd w:val="clear" w:color="auto" w:fill="000000"/>
            <w:textDirection w:val="lrTb"/>
            <w:vAlign w:val="bottom"/>
          </w:tcPr>
          <w:p w:rsidR="00C52DD5" w:rsidRPr="00E2247A" w:rsidP="00C52DD5">
            <w:pPr>
              <w:jc w:val="center"/>
              <w:rPr>
                <w:rFonts w:ascii="Arial Narrow" w:hAnsi="Arial Narrow" w:cs="Arial"/>
                <w:b/>
                <w:bCs/>
                <w:color w:val="FFFFFF"/>
                <w:sz w:val="20"/>
              </w:rPr>
            </w:pPr>
            <w:r w:rsidRPr="00E2247A">
              <w:rPr>
                <w:rFonts w:ascii="Arial Narrow" w:hAnsi="Arial Narrow" w:cs="Arial"/>
                <w:b/>
                <w:bCs/>
                <w:color w:val="FFFFFF"/>
                <w:sz w:val="20"/>
              </w:rPr>
              <w:t>201</w:t>
            </w:r>
            <w:r>
              <w:rPr>
                <w:rFonts w:ascii="Arial Narrow" w:hAnsi="Arial Narrow" w:cs="Arial"/>
                <w:b/>
                <w:bCs/>
                <w:color w:val="FFFFFF"/>
                <w:sz w:val="20"/>
              </w:rPr>
              <w:t>1</w:t>
            </w:r>
          </w:p>
        </w:tc>
      </w:tr>
      <w:tr>
        <w:tblPrEx>
          <w:tblW w:w="9063" w:type="dxa"/>
          <w:tblInd w:w="70" w:type="dxa"/>
          <w:tblLayout w:type="fixed"/>
          <w:tblCellMar>
            <w:left w:w="70" w:type="dxa"/>
            <w:right w:w="70" w:type="dxa"/>
          </w:tblCellMar>
        </w:tblPrEx>
        <w:trPr>
          <w:trHeight w:val="227"/>
        </w:trPr>
        <w:tc>
          <w:tcPr>
            <w:tcW w:w="3990" w:type="dxa"/>
            <w:tcBorders>
              <w:top w:val="single" w:sz="4" w:space="0" w:color="auto"/>
              <w:left w:val="single" w:sz="8" w:space="0" w:color="auto"/>
              <w:bottom w:val="single" w:sz="4" w:space="0" w:color="auto"/>
              <w:right w:val="single" w:sz="4" w:space="0" w:color="auto"/>
              <w:tl2br w:val="nil"/>
              <w:tr2bl w:val="nil"/>
            </w:tcBorders>
            <w:textDirection w:val="lrTb"/>
            <w:vAlign w:val="bottom"/>
          </w:tcPr>
          <w:p w:rsidR="00C52DD5" w:rsidRPr="00E2247A" w:rsidP="00C52DD5">
            <w:pPr>
              <w:jc w:val="both"/>
              <w:rPr>
                <w:rFonts w:ascii="Arial Narrow" w:hAnsi="Arial Narrow" w:cs="Arial"/>
                <w:b/>
                <w:bCs/>
                <w:i/>
                <w:iCs/>
                <w:sz w:val="20"/>
              </w:rPr>
            </w:pPr>
            <w:r w:rsidRPr="00E2247A">
              <w:rPr>
                <w:rFonts w:ascii="Arial Narrow" w:hAnsi="Arial Narrow" w:cs="Arial"/>
                <w:b/>
                <w:bCs/>
                <w:i/>
                <w:iCs/>
                <w:sz w:val="20"/>
              </w:rPr>
              <w:t>Príjmy zdravotných poisťovní spolu:</w:t>
            </w:r>
          </w:p>
        </w:tc>
        <w:tc>
          <w:tcPr>
            <w:tcW w:w="1268" w:type="dxa"/>
            <w:tcBorders>
              <w:top w:val="single" w:sz="4" w:space="0" w:color="auto"/>
              <w:left w:val="nil"/>
              <w:bottom w:val="single" w:sz="4" w:space="0" w:color="auto"/>
              <w:right w:val="single" w:sz="4" w:space="0" w:color="auto"/>
              <w:tl2br w:val="nil"/>
              <w:tr2bl w:val="nil"/>
            </w:tcBorders>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3 505 112</w:t>
            </w:r>
          </w:p>
        </w:tc>
        <w:tc>
          <w:tcPr>
            <w:tcW w:w="1268" w:type="dxa"/>
            <w:tcBorders>
              <w:top w:val="single" w:sz="4" w:space="0" w:color="auto"/>
              <w:left w:val="nil"/>
              <w:bottom w:val="single" w:sz="4" w:space="0" w:color="auto"/>
              <w:right w:val="single" w:sz="4" w:space="0" w:color="auto"/>
              <w:tl2br w:val="nil"/>
              <w:tr2bl w:val="nil"/>
            </w:tcBorders>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4 104 692</w:t>
            </w:r>
          </w:p>
        </w:tc>
        <w:tc>
          <w:tcPr>
            <w:tcW w:w="1268" w:type="dxa"/>
            <w:tcBorders>
              <w:top w:val="single" w:sz="4" w:space="0" w:color="auto"/>
              <w:left w:val="nil"/>
              <w:bottom w:val="single" w:sz="4" w:space="0" w:color="auto"/>
              <w:right w:val="single" w:sz="4" w:space="0" w:color="auto"/>
              <w:tl2br w:val="nil"/>
              <w:tr2bl w:val="nil"/>
            </w:tcBorders>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4 235 231</w:t>
            </w:r>
          </w:p>
        </w:tc>
        <w:tc>
          <w:tcPr>
            <w:tcW w:w="1269" w:type="dxa"/>
            <w:tcBorders>
              <w:top w:val="single" w:sz="4" w:space="0" w:color="auto"/>
              <w:left w:val="nil"/>
              <w:bottom w:val="single" w:sz="4" w:space="0" w:color="auto"/>
              <w:right w:val="single" w:sz="8" w:space="0" w:color="auto"/>
              <w:tl2br w:val="nil"/>
              <w:tr2bl w:val="nil"/>
            </w:tcBorders>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4 582 596</w:t>
            </w:r>
          </w:p>
        </w:tc>
      </w:tr>
      <w:tr>
        <w:tblPrEx>
          <w:tblW w:w="9063" w:type="dxa"/>
          <w:tblInd w:w="70" w:type="dxa"/>
          <w:tblLayout w:type="fixed"/>
          <w:tblCellMar>
            <w:left w:w="70" w:type="dxa"/>
            <w:right w:w="70" w:type="dxa"/>
          </w:tblCellMar>
        </w:tblPrEx>
        <w:trPr>
          <w:trHeight w:val="227"/>
        </w:trPr>
        <w:tc>
          <w:tcPr>
            <w:tcW w:w="9063" w:type="dxa"/>
            <w:gridSpan w:val="5"/>
            <w:tcBorders>
              <w:top w:val="nil"/>
              <w:left w:val="single" w:sz="8" w:space="0" w:color="auto"/>
              <w:bottom w:val="single" w:sz="4" w:space="0" w:color="auto"/>
              <w:right w:val="single" w:sz="8" w:space="0" w:color="auto"/>
              <w:tl2br w:val="nil"/>
              <w:tr2bl w:val="nil"/>
            </w:tcBorders>
            <w:textDirection w:val="lrTb"/>
            <w:vAlign w:val="bottom"/>
          </w:tcPr>
          <w:p w:rsidR="00C52DD5" w:rsidRPr="00E2247A" w:rsidP="00C52DD5">
            <w:pPr>
              <w:rPr>
                <w:rFonts w:ascii="Arial Narrow" w:hAnsi="Arial Narrow" w:cs="Arial"/>
                <w:sz w:val="20"/>
              </w:rPr>
            </w:pPr>
            <w:r w:rsidRPr="00E2247A">
              <w:rPr>
                <w:rFonts w:ascii="Arial Narrow" w:hAnsi="Arial Narrow" w:cs="Arial"/>
                <w:b/>
                <w:i/>
                <w:sz w:val="20"/>
              </w:rPr>
              <w:t>z toho:</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numPr>
                <w:ilvl w:val="0"/>
                <w:numId w:val="194"/>
              </w:numPr>
              <w:tabs>
                <w:tab w:val="left" w:pos="360"/>
              </w:tabs>
              <w:rPr>
                <w:rFonts w:ascii="Arial Narrow" w:hAnsi="Arial Narrow" w:cs="Arial"/>
                <w:sz w:val="20"/>
              </w:rPr>
            </w:pPr>
            <w:r w:rsidRPr="00E2247A">
              <w:rPr>
                <w:rFonts w:ascii="Arial Narrow" w:hAnsi="Arial Narrow" w:cs="Arial"/>
                <w:sz w:val="20"/>
              </w:rPr>
              <w:t>daňové príjmy (príjmy z poistného), z toho:</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3 213 652</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3 702 522</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3 919 537</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4 263 339</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rPr>
                <w:rFonts w:ascii="Arial Narrow" w:hAnsi="Arial Narrow" w:cs="Arial"/>
                <w:sz w:val="20"/>
              </w:rPr>
            </w:pPr>
            <w:r w:rsidRPr="00E2247A">
              <w:rPr>
                <w:rFonts w:ascii="Arial Narrow" w:hAnsi="Arial Narrow" w:cs="Arial"/>
                <w:sz w:val="20"/>
              </w:rPr>
              <w:t xml:space="preserve">    </w:t>
            </w:r>
            <w:r w:rsidRPr="00E2247A">
              <w:rPr>
                <w:rFonts w:ascii="Arial Narrow" w:hAnsi="Arial Narrow" w:cs="Arial"/>
                <w:sz w:val="20"/>
              </w:rPr>
              <w:t xml:space="preserve">              ekonomicky aktívne osoby</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2 159 762</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2 471 123</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2 708 689</w:t>
            </w:r>
          </w:p>
        </w:tc>
        <w:tc>
          <w:tcPr>
            <w:tcW w:w="1269" w:type="dxa"/>
            <w:tcBorders>
              <w:top w:val="nil"/>
              <w:left w:val="nil"/>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2 966 472</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noWrap/>
            <w:textDirection w:val="lrTb"/>
            <w:vAlign w:val="bottom"/>
          </w:tcPr>
          <w:p w:rsidR="00C52DD5" w:rsidRPr="00E2247A" w:rsidP="00C52DD5">
            <w:pPr>
              <w:rPr>
                <w:rFonts w:ascii="Arial Narrow" w:hAnsi="Arial Narrow" w:cs="Arial"/>
                <w:sz w:val="20"/>
              </w:rPr>
            </w:pPr>
            <w:r w:rsidRPr="00E2247A">
              <w:rPr>
                <w:rFonts w:ascii="Arial Narrow" w:hAnsi="Arial Narrow" w:cs="Arial"/>
                <w:sz w:val="20"/>
              </w:rPr>
              <w:t xml:space="preserve">                 </w:t>
            </w:r>
            <w:r>
              <w:rPr>
                <w:rFonts w:ascii="Arial Narrow" w:hAnsi="Arial Narrow" w:cs="Arial"/>
                <w:sz w:val="20"/>
              </w:rPr>
              <w:t xml:space="preserve"> platba</w:t>
            </w:r>
            <w:r w:rsidRPr="00E2247A">
              <w:rPr>
                <w:rFonts w:ascii="Arial Narrow" w:hAnsi="Arial Narrow" w:cs="Arial"/>
                <w:sz w:val="20"/>
              </w:rPr>
              <w:t xml:space="preserve"> štát</w:t>
            </w:r>
            <w:r>
              <w:rPr>
                <w:rFonts w:ascii="Arial Narrow" w:hAnsi="Arial Narrow" w:cs="Arial"/>
                <w:sz w:val="20"/>
              </w:rPr>
              <w:t>u</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1 013 758</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1 184 724</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1 162 064</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1 244 981</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xml:space="preserve">                  </w:t>
            </w:r>
            <w:r>
              <w:rPr>
                <w:rFonts w:ascii="Arial Narrow" w:hAnsi="Arial Narrow" w:cs="Arial"/>
                <w:sz w:val="20"/>
              </w:rPr>
              <w:t>ročné zúčtovanie</w:t>
            </w:r>
            <w:r w:rsidRPr="00E2247A">
              <w:rPr>
                <w:rFonts w:ascii="Arial Narrow" w:hAnsi="Arial Narrow" w:cs="Arial"/>
                <w:sz w:val="20"/>
              </w:rPr>
              <w:t xml:space="preserve"> poistn</w:t>
            </w:r>
            <w:r>
              <w:rPr>
                <w:rFonts w:ascii="Arial Narrow" w:hAnsi="Arial Narrow" w:cs="Arial"/>
                <w:sz w:val="20"/>
              </w:rPr>
              <w:t>ého</w:t>
            </w:r>
            <w:r w:rsidRPr="00E2247A">
              <w:rPr>
                <w:rFonts w:ascii="Arial Narrow" w:hAnsi="Arial Narrow" w:cs="Arial"/>
                <w:sz w:val="20"/>
              </w:rPr>
              <w:t xml:space="preserve"> </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33 227</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39 200</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42 954</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47 038</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xml:space="preserve">                  </w:t>
            </w:r>
            <w:r>
              <w:rPr>
                <w:rFonts w:ascii="Arial Narrow" w:hAnsi="Arial Narrow" w:cs="Arial"/>
                <w:sz w:val="20"/>
              </w:rPr>
              <w:t>sankcie súv</w:t>
            </w:r>
            <w:r>
              <w:rPr>
                <w:rFonts w:ascii="Arial Narrow" w:hAnsi="Arial Narrow" w:cs="Arial"/>
                <w:sz w:val="20"/>
              </w:rPr>
              <w:t>isiace s poistným</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6 905</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7 475</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5 830</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4 848</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numPr>
                <w:ilvl w:val="0"/>
                <w:numId w:val="194"/>
              </w:numPr>
              <w:tabs>
                <w:tab w:val="left" w:pos="360"/>
              </w:tabs>
              <w:rPr>
                <w:rFonts w:ascii="Arial Narrow" w:hAnsi="Arial Narrow" w:cs="Arial"/>
                <w:sz w:val="20"/>
              </w:rPr>
            </w:pPr>
            <w:r w:rsidRPr="00E2247A">
              <w:rPr>
                <w:rFonts w:ascii="Arial Narrow" w:hAnsi="Arial Narrow" w:cs="Arial"/>
                <w:sz w:val="20"/>
              </w:rPr>
              <w:t xml:space="preserve">nedaňové príjmy </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12 432</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16 545</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16 750</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16 993</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numPr>
                <w:ilvl w:val="0"/>
                <w:numId w:val="194"/>
              </w:numPr>
              <w:tabs>
                <w:tab w:val="left" w:pos="360"/>
              </w:tabs>
              <w:rPr>
                <w:rFonts w:ascii="Arial Narrow" w:hAnsi="Arial Narrow" w:cs="Arial"/>
                <w:sz w:val="20"/>
              </w:rPr>
            </w:pPr>
            <w:r w:rsidRPr="00E2247A">
              <w:rPr>
                <w:rFonts w:ascii="Arial Narrow" w:hAnsi="Arial Narrow" w:cs="Arial"/>
                <w:sz w:val="20"/>
              </w:rPr>
              <w:t>transfery v rámci VS</w:t>
            </w:r>
          </w:p>
        </w:tc>
        <w:tc>
          <w:tcPr>
            <w:tcW w:w="1268" w:type="dxa"/>
            <w:tcBorders>
              <w:top w:val="nil"/>
              <w:left w:val="nil"/>
              <w:bottom w:val="single" w:sz="4" w:space="0" w:color="auto"/>
              <w:right w:val="single" w:sz="4" w:space="0" w:color="auto"/>
              <w:tl2br w:val="nil"/>
              <w:tr2bl w:val="nil"/>
            </w:tcBorders>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199</w:t>
            </w:r>
          </w:p>
        </w:tc>
        <w:tc>
          <w:tcPr>
            <w:tcW w:w="1268" w:type="dxa"/>
            <w:tcBorders>
              <w:top w:val="nil"/>
              <w:left w:val="nil"/>
              <w:bottom w:val="single" w:sz="4" w:space="0" w:color="auto"/>
              <w:right w:val="single" w:sz="4" w:space="0" w:color="auto"/>
              <w:tl2br w:val="nil"/>
              <w:tr2bl w:val="nil"/>
            </w:tcBorders>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199</w:t>
            </w:r>
          </w:p>
        </w:tc>
        <w:tc>
          <w:tcPr>
            <w:tcW w:w="1268" w:type="dxa"/>
            <w:tcBorders>
              <w:top w:val="nil"/>
              <w:left w:val="nil"/>
              <w:bottom w:val="single" w:sz="4" w:space="0" w:color="auto"/>
              <w:right w:val="nil"/>
              <w:tl2br w:val="nil"/>
              <w:tr2bl w:val="nil"/>
            </w:tcBorders>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199</w:t>
            </w:r>
          </w:p>
        </w:tc>
        <w:tc>
          <w:tcPr>
            <w:tcW w:w="1269" w:type="dxa"/>
            <w:tcBorders>
              <w:top w:val="nil"/>
              <w:left w:val="single" w:sz="4" w:space="0" w:color="auto"/>
              <w:bottom w:val="single" w:sz="4" w:space="0" w:color="auto"/>
              <w:right w:val="single" w:sz="8" w:space="0" w:color="auto"/>
              <w:tl2br w:val="nil"/>
              <w:tr2bl w:val="nil"/>
            </w:tcBorders>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199</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numPr>
                <w:ilvl w:val="0"/>
                <w:numId w:val="194"/>
              </w:numPr>
              <w:tabs>
                <w:tab w:val="left" w:pos="360"/>
              </w:tabs>
              <w:rPr>
                <w:rFonts w:ascii="Arial Narrow" w:hAnsi="Arial Narrow" w:cs="Arial"/>
                <w:sz w:val="20"/>
              </w:rPr>
            </w:pPr>
            <w:r w:rsidRPr="00E2247A">
              <w:rPr>
                <w:rFonts w:ascii="Arial Narrow" w:hAnsi="Arial Narrow" w:cs="Arial"/>
                <w:sz w:val="20"/>
              </w:rPr>
              <w:t xml:space="preserve">zostatok prostriedkov z predch. rokov (FO)            </w:t>
            </w:r>
          </w:p>
        </w:tc>
        <w:tc>
          <w:tcPr>
            <w:tcW w:w="1268" w:type="dxa"/>
            <w:tcBorders>
              <w:top w:val="nil"/>
              <w:left w:val="nil"/>
              <w:bottom w:val="single" w:sz="4" w:space="0" w:color="auto"/>
              <w:right w:val="single" w:sz="4" w:space="0" w:color="auto"/>
              <w:tl2br w:val="nil"/>
              <w:tr2bl w:val="nil"/>
            </w:tcBorders>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278 829</w:t>
            </w:r>
          </w:p>
        </w:tc>
        <w:tc>
          <w:tcPr>
            <w:tcW w:w="1268" w:type="dxa"/>
            <w:tcBorders>
              <w:top w:val="nil"/>
              <w:left w:val="nil"/>
              <w:bottom w:val="single" w:sz="4" w:space="0" w:color="auto"/>
              <w:right w:val="single" w:sz="4" w:space="0" w:color="auto"/>
              <w:tl2br w:val="nil"/>
              <w:tr2bl w:val="nil"/>
            </w:tcBorders>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295 426</w:t>
            </w:r>
          </w:p>
        </w:tc>
        <w:tc>
          <w:tcPr>
            <w:tcW w:w="1268" w:type="dxa"/>
            <w:tcBorders>
              <w:top w:val="nil"/>
              <w:left w:val="nil"/>
              <w:bottom w:val="single" w:sz="4" w:space="0" w:color="auto"/>
              <w:right w:val="nil"/>
              <w:tl2br w:val="nil"/>
              <w:tr2bl w:val="nil"/>
            </w:tcBorders>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298 745</w:t>
            </w:r>
          </w:p>
        </w:tc>
        <w:tc>
          <w:tcPr>
            <w:tcW w:w="1269" w:type="dxa"/>
            <w:tcBorders>
              <w:top w:val="nil"/>
              <w:left w:val="single" w:sz="4" w:space="0" w:color="auto"/>
              <w:bottom w:val="single" w:sz="4" w:space="0" w:color="auto"/>
              <w:right w:val="single" w:sz="8" w:space="0" w:color="auto"/>
              <w:tl2br w:val="nil"/>
              <w:tr2bl w:val="nil"/>
            </w:tcBorders>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302 065</w:t>
            </w:r>
          </w:p>
        </w:tc>
      </w:tr>
      <w:tr>
        <w:tblPrEx>
          <w:tblW w:w="9063" w:type="dxa"/>
          <w:tblInd w:w="70" w:type="dxa"/>
          <w:tblLayout w:type="fixed"/>
          <w:tblCellMar>
            <w:left w:w="70" w:type="dxa"/>
            <w:right w:w="70" w:type="dxa"/>
          </w:tblCellMar>
        </w:tblPrEx>
        <w:trPr>
          <w:trHeight w:val="227"/>
        </w:trPr>
        <w:tc>
          <w:tcPr>
            <w:tcW w:w="3990" w:type="dxa"/>
            <w:tcBorders>
              <w:top w:val="single" w:sz="4" w:space="0" w:color="auto"/>
              <w:left w:val="single" w:sz="8" w:space="0" w:color="auto"/>
              <w:bottom w:val="single" w:sz="4" w:space="0" w:color="auto"/>
              <w:right w:val="nil"/>
              <w:tl2br w:val="nil"/>
              <w:tr2bl w:val="nil"/>
            </w:tcBorders>
            <w:textDirection w:val="lrTb"/>
            <w:vAlign w:val="bottom"/>
          </w:tcPr>
          <w:p w:rsidR="00C52DD5" w:rsidRPr="00E2247A" w:rsidP="00C52DD5">
            <w:pPr>
              <w:jc w:val="both"/>
              <w:rPr>
                <w:rFonts w:ascii="Arial Narrow" w:hAnsi="Arial Narrow" w:cs="Arial"/>
                <w:b/>
                <w:bCs/>
                <w:i/>
                <w:iCs/>
                <w:sz w:val="20"/>
              </w:rPr>
            </w:pPr>
            <w:r w:rsidRPr="00E2247A">
              <w:rPr>
                <w:rFonts w:ascii="Arial Narrow" w:hAnsi="Arial Narrow" w:cs="Arial"/>
                <w:b/>
                <w:bCs/>
                <w:i/>
                <w:iCs/>
                <w:sz w:val="20"/>
              </w:rPr>
              <w:t> </w:t>
            </w:r>
          </w:p>
        </w:tc>
        <w:tc>
          <w:tcPr>
            <w:tcW w:w="1268" w:type="dxa"/>
            <w:tcBorders>
              <w:top w:val="single" w:sz="4" w:space="0" w:color="auto"/>
              <w:left w:val="nil"/>
              <w:bottom w:val="single" w:sz="4" w:space="0" w:color="auto"/>
              <w:right w:val="nil"/>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w:t>
            </w:r>
          </w:p>
        </w:tc>
        <w:tc>
          <w:tcPr>
            <w:tcW w:w="1269" w:type="dxa"/>
            <w:tcBorders>
              <w:top w:val="single" w:sz="4" w:space="0" w:color="auto"/>
              <w:left w:val="nil"/>
              <w:bottom w:val="single" w:sz="4" w:space="0" w:color="auto"/>
              <w:right w:val="single" w:sz="8" w:space="0" w:color="auto"/>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jc w:val="both"/>
              <w:rPr>
                <w:rFonts w:ascii="Arial Narrow" w:hAnsi="Arial Narrow" w:cs="Arial"/>
                <w:b/>
                <w:bCs/>
                <w:i/>
                <w:iCs/>
                <w:sz w:val="20"/>
              </w:rPr>
            </w:pPr>
            <w:r w:rsidRPr="00E2247A">
              <w:rPr>
                <w:rFonts w:ascii="Arial Narrow" w:hAnsi="Arial Narrow" w:cs="Arial"/>
                <w:b/>
                <w:bCs/>
                <w:i/>
                <w:iCs/>
                <w:sz w:val="20"/>
              </w:rPr>
              <w:t xml:space="preserve">Výdavky zdravotných poisťovní </w:t>
            </w:r>
            <w:r w:rsidRPr="00E2247A">
              <w:rPr>
                <w:rFonts w:ascii="Arial Narrow" w:hAnsi="Arial Narrow" w:cs="Arial"/>
                <w:b/>
                <w:bCs/>
                <w:i/>
                <w:iCs/>
                <w:sz w:val="20"/>
              </w:rPr>
              <w:t>spolu:</w:t>
            </w:r>
          </w:p>
        </w:tc>
        <w:tc>
          <w:tcPr>
            <w:tcW w:w="1268" w:type="dxa"/>
            <w:tcBorders>
              <w:top w:val="nil"/>
              <w:left w:val="nil"/>
              <w:bottom w:val="single" w:sz="4" w:space="0" w:color="auto"/>
              <w:right w:val="single" w:sz="4" w:space="0" w:color="auto"/>
              <w:tl2br w:val="nil"/>
              <w:tr2bl w:val="nil"/>
            </w:tcBorders>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3 193 089</w:t>
            </w:r>
          </w:p>
        </w:tc>
        <w:tc>
          <w:tcPr>
            <w:tcW w:w="1268" w:type="dxa"/>
            <w:tcBorders>
              <w:top w:val="nil"/>
              <w:left w:val="nil"/>
              <w:bottom w:val="single" w:sz="4" w:space="0" w:color="auto"/>
              <w:right w:val="single" w:sz="4" w:space="0" w:color="auto"/>
              <w:tl2br w:val="nil"/>
              <w:tr2bl w:val="nil"/>
            </w:tcBorders>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3 715 947</w:t>
            </w:r>
          </w:p>
        </w:tc>
        <w:tc>
          <w:tcPr>
            <w:tcW w:w="1268" w:type="dxa"/>
            <w:tcBorders>
              <w:top w:val="nil"/>
              <w:left w:val="nil"/>
              <w:bottom w:val="single" w:sz="4" w:space="0" w:color="auto"/>
              <w:right w:val="nil"/>
              <w:tl2br w:val="nil"/>
              <w:tr2bl w:val="nil"/>
            </w:tcBorders>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3 933 166</w:t>
            </w:r>
          </w:p>
        </w:tc>
        <w:tc>
          <w:tcPr>
            <w:tcW w:w="1269" w:type="dxa"/>
            <w:tcBorders>
              <w:top w:val="nil"/>
              <w:left w:val="single" w:sz="4" w:space="0" w:color="auto"/>
              <w:bottom w:val="single" w:sz="4" w:space="0" w:color="auto"/>
              <w:right w:val="single" w:sz="8" w:space="0" w:color="auto"/>
              <w:tl2br w:val="nil"/>
              <w:tr2bl w:val="nil"/>
            </w:tcBorders>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4 280 531</w:t>
            </w:r>
          </w:p>
        </w:tc>
      </w:tr>
      <w:tr>
        <w:tblPrEx>
          <w:tblW w:w="9063" w:type="dxa"/>
          <w:tblInd w:w="70" w:type="dxa"/>
          <w:tblLayout w:type="fixed"/>
          <w:tblCellMar>
            <w:left w:w="70" w:type="dxa"/>
            <w:right w:w="70" w:type="dxa"/>
          </w:tblCellMar>
        </w:tblPrEx>
        <w:trPr>
          <w:trHeight w:val="227"/>
        </w:trPr>
        <w:tc>
          <w:tcPr>
            <w:tcW w:w="9063" w:type="dxa"/>
            <w:gridSpan w:val="5"/>
            <w:tcBorders>
              <w:top w:val="nil"/>
              <w:left w:val="single" w:sz="8" w:space="0" w:color="auto"/>
              <w:bottom w:val="single" w:sz="4" w:space="0" w:color="auto"/>
              <w:right w:val="single" w:sz="8" w:space="0" w:color="auto"/>
              <w:tl2br w:val="nil"/>
              <w:tr2bl w:val="nil"/>
            </w:tcBorders>
            <w:textDirection w:val="lrTb"/>
            <w:vAlign w:val="bottom"/>
          </w:tcPr>
          <w:p w:rsidR="00C52DD5" w:rsidRPr="00E2247A" w:rsidP="00C52DD5">
            <w:pPr>
              <w:rPr>
                <w:rFonts w:ascii="Arial Narrow" w:hAnsi="Arial Narrow" w:cs="Arial"/>
                <w:sz w:val="20"/>
              </w:rPr>
            </w:pPr>
            <w:r w:rsidRPr="00E2247A">
              <w:rPr>
                <w:rFonts w:ascii="Arial Narrow" w:hAnsi="Arial Narrow" w:cs="Arial"/>
                <w:b/>
                <w:i/>
                <w:sz w:val="20"/>
              </w:rPr>
              <w:t>z toho:</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numPr>
                <w:ilvl w:val="0"/>
                <w:numId w:val="194"/>
              </w:numPr>
              <w:tabs>
                <w:tab w:val="left" w:pos="360"/>
              </w:tabs>
              <w:rPr>
                <w:rFonts w:ascii="Arial Narrow" w:hAnsi="Arial Narrow" w:cs="Arial"/>
                <w:sz w:val="20"/>
              </w:rPr>
            </w:pPr>
            <w:r w:rsidRPr="00E2247A">
              <w:rPr>
                <w:rFonts w:ascii="Arial Narrow" w:hAnsi="Arial Narrow" w:cs="Arial"/>
                <w:sz w:val="20"/>
              </w:rPr>
              <w:t xml:space="preserve">výdavky poistenia </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3 038 422</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3 559 006</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3 765 119</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4 098 602</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numPr>
                <w:ilvl w:val="0"/>
                <w:numId w:val="194"/>
              </w:numPr>
              <w:tabs>
                <w:tab w:val="left" w:pos="360"/>
              </w:tabs>
              <w:rPr>
                <w:rFonts w:ascii="Arial Narrow" w:hAnsi="Arial Narrow" w:cs="Arial"/>
                <w:sz w:val="20"/>
              </w:rPr>
            </w:pPr>
            <w:r w:rsidRPr="00E2247A">
              <w:rPr>
                <w:rFonts w:ascii="Arial Narrow" w:hAnsi="Arial Narrow" w:cs="Arial"/>
                <w:sz w:val="20"/>
              </w:rPr>
              <w:t>výdavky na prevádzkové čin. poisťovne, z toho:</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131 244</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130 723</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138 487</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150 619</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rPr>
                <w:rFonts w:ascii="Arial Narrow" w:hAnsi="Arial Narrow" w:cs="Arial"/>
                <w:sz w:val="20"/>
              </w:rPr>
            </w:pPr>
            <w:r w:rsidRPr="00E2247A">
              <w:rPr>
                <w:rFonts w:ascii="Arial Narrow" w:hAnsi="Arial Narrow" w:cs="Arial"/>
                <w:sz w:val="20"/>
              </w:rPr>
              <w:t xml:space="preserve">                  kapitálové výdavky</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9 958</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7 100</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5 272</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5 63</w:t>
            </w:r>
            <w:r>
              <w:rPr>
                <w:rFonts w:ascii="Arial Narrow" w:hAnsi="Arial Narrow" w:cs="Arial"/>
                <w:sz w:val="20"/>
              </w:rPr>
              <w:t>8</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numPr>
                <w:ilvl w:val="0"/>
                <w:numId w:val="194"/>
              </w:numPr>
              <w:tabs>
                <w:tab w:val="left" w:pos="360"/>
              </w:tabs>
              <w:rPr>
                <w:rFonts w:ascii="Arial Narrow" w:hAnsi="Arial Narrow" w:cs="Arial"/>
                <w:sz w:val="20"/>
              </w:rPr>
            </w:pPr>
            <w:r w:rsidRPr="00E2247A">
              <w:rPr>
                <w:rFonts w:ascii="Arial Narrow" w:hAnsi="Arial Narrow" w:cs="Arial"/>
                <w:sz w:val="20"/>
              </w:rPr>
              <w:t>bežné transfery v rámci VS, z toho:</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23 423</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26 218</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29 560</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31 310</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xml:space="preserve">                  príspevok na činnosť OS ZZS</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8 784</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9 832</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11 085</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11 741</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xml:space="preserve">                  príspevok ÚDZS</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14 640</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16 386</w:t>
            </w:r>
          </w:p>
        </w:tc>
        <w:tc>
          <w:tcPr>
            <w:tcW w:w="1268" w:type="dxa"/>
            <w:tcBorders>
              <w:top w:val="nil"/>
              <w:left w:val="nil"/>
              <w:bottom w:val="single" w:sz="4" w:space="0" w:color="auto"/>
              <w:right w:val="nil"/>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18 475</w:t>
            </w:r>
          </w:p>
        </w:tc>
        <w:tc>
          <w:tcPr>
            <w:tcW w:w="1269" w:type="dxa"/>
            <w:tcBorders>
              <w:top w:val="nil"/>
              <w:left w:val="single" w:sz="4" w:space="0" w:color="auto"/>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19 569</w:t>
            </w:r>
          </w:p>
        </w:tc>
      </w:tr>
      <w:tr>
        <w:tblPrEx>
          <w:tblW w:w="9063" w:type="dxa"/>
          <w:tblInd w:w="70" w:type="dxa"/>
          <w:tblLayout w:type="fixed"/>
          <w:tblCellMar>
            <w:left w:w="70" w:type="dxa"/>
            <w:right w:w="70" w:type="dxa"/>
          </w:tblCellMar>
        </w:tblPrEx>
        <w:trPr>
          <w:trHeight w:val="227"/>
        </w:trPr>
        <w:tc>
          <w:tcPr>
            <w:tcW w:w="3990" w:type="dxa"/>
            <w:tcBorders>
              <w:top w:val="single" w:sz="4" w:space="0" w:color="auto"/>
              <w:left w:val="single" w:sz="8" w:space="0" w:color="auto"/>
              <w:bottom w:val="single" w:sz="4" w:space="0" w:color="auto"/>
              <w:right w:val="nil"/>
              <w:tl2br w:val="nil"/>
              <w:tr2bl w:val="nil"/>
            </w:tcBorders>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w:t>
            </w:r>
          </w:p>
        </w:tc>
        <w:tc>
          <w:tcPr>
            <w:tcW w:w="1269" w:type="dxa"/>
            <w:tcBorders>
              <w:top w:val="single" w:sz="4" w:space="0" w:color="auto"/>
              <w:left w:val="nil"/>
              <w:bottom w:val="single" w:sz="4" w:space="0" w:color="auto"/>
              <w:right w:val="single" w:sz="8" w:space="0" w:color="auto"/>
              <w:tl2br w:val="nil"/>
              <w:tr2bl w:val="nil"/>
            </w:tcBorders>
            <w:noWrap/>
            <w:textDirection w:val="lrTb"/>
            <w:vAlign w:val="bottom"/>
          </w:tcPr>
          <w:p w:rsidR="00C52DD5" w:rsidRPr="00E2247A" w:rsidP="00C52DD5">
            <w:pPr>
              <w:jc w:val="both"/>
              <w:rPr>
                <w:rFonts w:ascii="Arial Narrow" w:hAnsi="Arial Narrow" w:cs="Arial"/>
                <w:sz w:val="20"/>
              </w:rPr>
            </w:pPr>
            <w:r w:rsidRPr="00E2247A">
              <w:rPr>
                <w:rFonts w:ascii="Arial Narrow" w:hAnsi="Arial Narrow" w:cs="Arial"/>
                <w:sz w:val="20"/>
              </w:rPr>
              <w:t> </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shd w:val="clear" w:color="auto" w:fill="C0C0C0"/>
            <w:textDirection w:val="lrTb"/>
            <w:vAlign w:val="bottom"/>
          </w:tcPr>
          <w:p w:rsidR="00C52DD5" w:rsidRPr="00E2247A" w:rsidP="00C52DD5">
            <w:pPr>
              <w:jc w:val="both"/>
              <w:rPr>
                <w:rFonts w:ascii="Arial Narrow" w:hAnsi="Arial Narrow" w:cs="Arial"/>
                <w:b/>
                <w:bCs/>
                <w:i/>
                <w:iCs/>
                <w:sz w:val="20"/>
              </w:rPr>
            </w:pPr>
            <w:r w:rsidRPr="00E2247A">
              <w:rPr>
                <w:rFonts w:ascii="Arial Narrow" w:hAnsi="Arial Narrow" w:cs="Arial"/>
                <w:b/>
                <w:bCs/>
                <w:i/>
                <w:iCs/>
                <w:sz w:val="20"/>
              </w:rPr>
              <w:t>Celkový prebytok zdravotných poisťovní</w:t>
            </w:r>
          </w:p>
        </w:tc>
        <w:tc>
          <w:tcPr>
            <w:tcW w:w="1268" w:type="dxa"/>
            <w:tcBorders>
              <w:top w:val="nil"/>
              <w:left w:val="nil"/>
              <w:bottom w:val="single" w:sz="4" w:space="0" w:color="auto"/>
              <w:right w:val="single" w:sz="4" w:space="0" w:color="auto"/>
              <w:tl2br w:val="nil"/>
              <w:tr2bl w:val="nil"/>
            </w:tcBorders>
            <w:shd w:val="clear" w:color="auto" w:fill="C0C0C0"/>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312</w:t>
            </w:r>
            <w:r>
              <w:rPr>
                <w:rFonts w:ascii="Arial Narrow" w:hAnsi="Arial Narrow" w:cs="Arial"/>
                <w:b/>
                <w:bCs/>
                <w:i/>
                <w:iCs/>
                <w:sz w:val="20"/>
              </w:rPr>
              <w:t xml:space="preserve"> 023</w:t>
            </w:r>
          </w:p>
        </w:tc>
        <w:tc>
          <w:tcPr>
            <w:tcW w:w="1268" w:type="dxa"/>
            <w:tcBorders>
              <w:top w:val="nil"/>
              <w:left w:val="nil"/>
              <w:bottom w:val="single" w:sz="4" w:space="0" w:color="auto"/>
              <w:right w:val="single" w:sz="4" w:space="0" w:color="auto"/>
              <w:tl2br w:val="nil"/>
              <w:tr2bl w:val="nil"/>
            </w:tcBorders>
            <w:shd w:val="clear" w:color="auto" w:fill="C0C0C0"/>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298 745</w:t>
            </w:r>
          </w:p>
        </w:tc>
        <w:tc>
          <w:tcPr>
            <w:tcW w:w="1268" w:type="dxa"/>
            <w:tcBorders>
              <w:top w:val="nil"/>
              <w:left w:val="nil"/>
              <w:bottom w:val="single" w:sz="4" w:space="0" w:color="auto"/>
              <w:right w:val="nil"/>
              <w:tl2br w:val="nil"/>
              <w:tr2bl w:val="nil"/>
            </w:tcBorders>
            <w:shd w:val="clear" w:color="auto" w:fill="C0C0C0"/>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302 065</w:t>
            </w:r>
          </w:p>
        </w:tc>
        <w:tc>
          <w:tcPr>
            <w:tcW w:w="1269" w:type="dxa"/>
            <w:tcBorders>
              <w:top w:val="nil"/>
              <w:left w:val="single" w:sz="4" w:space="0" w:color="auto"/>
              <w:bottom w:val="single" w:sz="4" w:space="0" w:color="auto"/>
              <w:right w:val="single" w:sz="8" w:space="0" w:color="auto"/>
              <w:tl2br w:val="nil"/>
              <w:tr2bl w:val="nil"/>
            </w:tcBorders>
            <w:shd w:val="clear" w:color="auto" w:fill="C0C0C0"/>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302 065</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noWrap/>
            <w:textDirection w:val="lrTb"/>
            <w:vAlign w:val="bottom"/>
          </w:tcPr>
          <w:p w:rsidR="00C52DD5" w:rsidRPr="00E2247A" w:rsidP="00C52DD5">
            <w:pPr>
              <w:jc w:val="both"/>
              <w:rPr>
                <w:rFonts w:ascii="Arial Narrow" w:hAnsi="Arial Narrow" w:cs="Arial"/>
                <w:b/>
                <w:bCs/>
                <w:i/>
                <w:iCs/>
                <w:sz w:val="20"/>
              </w:rPr>
            </w:pPr>
            <w:r>
              <w:rPr>
                <w:rFonts w:ascii="Arial Narrow" w:hAnsi="Arial Narrow" w:cs="Arial"/>
                <w:b/>
                <w:bCs/>
                <w:i/>
                <w:iCs/>
                <w:sz w:val="20"/>
              </w:rPr>
              <w:t xml:space="preserve"> </w:t>
            </w:r>
            <w:r w:rsidRPr="00E2247A">
              <w:rPr>
                <w:rFonts w:ascii="Arial Narrow" w:hAnsi="Arial Narrow" w:cs="Arial"/>
                <w:b/>
                <w:bCs/>
                <w:i/>
                <w:iCs/>
                <w:sz w:val="20"/>
              </w:rPr>
              <w:t>vylúčenie finančných operácií</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-278 829</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-295 426</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-298 745</w:t>
            </w:r>
          </w:p>
        </w:tc>
        <w:tc>
          <w:tcPr>
            <w:tcW w:w="1269" w:type="dxa"/>
            <w:tcBorders>
              <w:top w:val="nil"/>
              <w:left w:val="nil"/>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-302 065</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nil"/>
              <w:right w:val="nil"/>
              <w:tl2br w:val="nil"/>
              <w:tr2bl w:val="nil"/>
            </w:tcBorders>
            <w:noWrap/>
            <w:textDirection w:val="lrTb"/>
            <w:vAlign w:val="bottom"/>
          </w:tcPr>
          <w:p w:rsidR="00C52DD5" w:rsidRPr="00E2247A" w:rsidP="00C52DD5">
            <w:pPr>
              <w:jc w:val="both"/>
              <w:rPr>
                <w:rFonts w:ascii="Arial Narrow" w:hAnsi="Arial Narrow" w:cs="Arial"/>
                <w:b/>
                <w:bCs/>
                <w:i/>
                <w:iCs/>
                <w:sz w:val="20"/>
              </w:rPr>
            </w:pPr>
            <w:r w:rsidRPr="00E2247A">
              <w:rPr>
                <w:rFonts w:ascii="Arial Narrow" w:hAnsi="Arial Narrow" w:cs="Arial"/>
                <w:b/>
                <w:bCs/>
                <w:i/>
                <w:iCs/>
                <w:sz w:val="20"/>
              </w:rPr>
              <w:t> </w:t>
            </w:r>
            <w:r w:rsidRPr="00E2247A">
              <w:rPr>
                <w:rFonts w:ascii="Arial Narrow" w:hAnsi="Arial Narrow" w:cs="Arial"/>
                <w:b/>
                <w:i/>
                <w:sz w:val="20"/>
              </w:rPr>
              <w:t>z toho:</w:t>
            </w:r>
          </w:p>
        </w:tc>
        <w:tc>
          <w:tcPr>
            <w:tcW w:w="1268" w:type="dxa"/>
            <w:tcBorders>
              <w:top w:val="nil"/>
              <w:left w:val="nil"/>
              <w:bottom w:val="nil"/>
              <w:right w:val="nil"/>
              <w:tl2br w:val="nil"/>
              <w:tr2bl w:val="nil"/>
            </w:tcBorders>
            <w:noWrap/>
            <w:textDirection w:val="lrTb"/>
            <w:vAlign w:val="bottom"/>
          </w:tcPr>
          <w:p w:rsidR="00C52DD5" w:rsidRPr="00E2247A" w:rsidP="00C52DD5">
            <w:pPr>
              <w:jc w:val="both"/>
              <w:rPr>
                <w:rFonts w:ascii="Arial Narrow" w:hAnsi="Arial Narrow" w:cs="Arial"/>
                <w:sz w:val="20"/>
              </w:rPr>
            </w:pPr>
          </w:p>
        </w:tc>
        <w:tc>
          <w:tcPr>
            <w:tcW w:w="1268" w:type="dxa"/>
            <w:tcBorders>
              <w:top w:val="nil"/>
              <w:left w:val="nil"/>
              <w:bottom w:val="nil"/>
              <w:right w:val="nil"/>
              <w:tl2br w:val="nil"/>
              <w:tr2bl w:val="nil"/>
            </w:tcBorders>
            <w:noWrap/>
            <w:textDirection w:val="lrTb"/>
            <w:vAlign w:val="bottom"/>
          </w:tcPr>
          <w:p w:rsidR="00C52DD5" w:rsidRPr="00E2247A" w:rsidP="00C52DD5">
            <w:pPr>
              <w:jc w:val="both"/>
              <w:rPr>
                <w:rFonts w:ascii="Arial Narrow" w:hAnsi="Arial Narrow" w:cs="Arial"/>
                <w:sz w:val="20"/>
              </w:rPr>
            </w:pPr>
          </w:p>
        </w:tc>
        <w:tc>
          <w:tcPr>
            <w:tcW w:w="1268" w:type="dxa"/>
            <w:tcBorders>
              <w:top w:val="nil"/>
              <w:left w:val="nil"/>
              <w:bottom w:val="nil"/>
              <w:right w:val="nil"/>
              <w:tl2br w:val="nil"/>
              <w:tr2bl w:val="nil"/>
            </w:tcBorders>
            <w:noWrap/>
            <w:textDirection w:val="lrTb"/>
            <w:vAlign w:val="bottom"/>
          </w:tcPr>
          <w:p w:rsidR="00C52DD5" w:rsidRPr="00E2247A" w:rsidP="00C52DD5">
            <w:pPr>
              <w:jc w:val="both"/>
              <w:rPr>
                <w:rFonts w:ascii="Arial Narrow" w:hAnsi="Arial Narrow" w:cs="Arial"/>
                <w:sz w:val="20"/>
              </w:rPr>
            </w:pPr>
          </w:p>
        </w:tc>
        <w:tc>
          <w:tcPr>
            <w:tcW w:w="1269" w:type="dxa"/>
            <w:tcBorders>
              <w:top w:val="nil"/>
              <w:left w:val="nil"/>
              <w:bottom w:val="nil"/>
              <w:right w:val="single" w:sz="8" w:space="0" w:color="auto"/>
              <w:tl2br w:val="nil"/>
              <w:tr2bl w:val="nil"/>
            </w:tcBorders>
            <w:noWrap/>
            <w:textDirection w:val="lrTb"/>
            <w:vAlign w:val="bottom"/>
          </w:tcPr>
          <w:p w:rsidR="00C52DD5" w:rsidRPr="00E2247A" w:rsidP="00C52DD5">
            <w:pPr>
              <w:jc w:val="both"/>
              <w:rPr>
                <w:rFonts w:ascii="Arial Narrow" w:hAnsi="Arial Narrow" w:cs="Arial"/>
                <w:sz w:val="20"/>
              </w:rPr>
            </w:pPr>
          </w:p>
        </w:tc>
      </w:tr>
      <w:tr>
        <w:tblPrEx>
          <w:tblW w:w="9063" w:type="dxa"/>
          <w:tblInd w:w="70" w:type="dxa"/>
          <w:tblLayout w:type="fixed"/>
          <w:tblCellMar>
            <w:left w:w="70" w:type="dxa"/>
            <w:right w:w="70" w:type="dxa"/>
          </w:tblCellMar>
        </w:tblPrEx>
        <w:trPr>
          <w:trHeight w:val="227"/>
        </w:trPr>
        <w:tc>
          <w:tcPr>
            <w:tcW w:w="3990" w:type="dxa"/>
            <w:tcBorders>
              <w:top w:val="single" w:sz="4" w:space="0" w:color="auto"/>
              <w:left w:val="single" w:sz="8" w:space="0" w:color="auto"/>
              <w:bottom w:val="single" w:sz="4" w:space="0" w:color="auto"/>
              <w:right w:val="single" w:sz="4" w:space="0" w:color="auto"/>
              <w:tl2br w:val="nil"/>
              <w:tr2bl w:val="nil"/>
            </w:tcBorders>
            <w:noWrap/>
            <w:textDirection w:val="lrTb"/>
            <w:vAlign w:val="bottom"/>
          </w:tcPr>
          <w:p w:rsidR="00C52DD5" w:rsidRPr="00E2247A" w:rsidP="00C52DD5">
            <w:pPr>
              <w:numPr>
                <w:ilvl w:val="0"/>
                <w:numId w:val="194"/>
              </w:numPr>
              <w:tabs>
                <w:tab w:val="left" w:pos="360"/>
              </w:tabs>
              <w:jc w:val="both"/>
              <w:rPr>
                <w:rFonts w:ascii="Arial Narrow" w:hAnsi="Arial Narrow" w:cs="Arial"/>
                <w:sz w:val="20"/>
              </w:rPr>
            </w:pPr>
            <w:r w:rsidRPr="00E2247A">
              <w:rPr>
                <w:rFonts w:ascii="Arial Narrow" w:hAnsi="Arial Narrow" w:cs="Arial"/>
                <w:sz w:val="20"/>
              </w:rPr>
              <w:t xml:space="preserve">vylúčenie príjmových FO </w:t>
            </w:r>
          </w:p>
        </w:tc>
        <w:tc>
          <w:tcPr>
            <w:tcW w:w="1268" w:type="dxa"/>
            <w:tcBorders>
              <w:top w:val="single" w:sz="4" w:space="0" w:color="auto"/>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-278 829</w:t>
            </w:r>
          </w:p>
        </w:tc>
        <w:tc>
          <w:tcPr>
            <w:tcW w:w="1268" w:type="dxa"/>
            <w:tcBorders>
              <w:top w:val="single" w:sz="4" w:space="0" w:color="auto"/>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-295 426</w:t>
            </w:r>
          </w:p>
        </w:tc>
        <w:tc>
          <w:tcPr>
            <w:tcW w:w="1268" w:type="dxa"/>
            <w:tcBorders>
              <w:top w:val="single" w:sz="4" w:space="0" w:color="auto"/>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-298 745</w:t>
            </w:r>
          </w:p>
        </w:tc>
        <w:tc>
          <w:tcPr>
            <w:tcW w:w="1269" w:type="dxa"/>
            <w:tcBorders>
              <w:top w:val="single" w:sz="4" w:space="0" w:color="auto"/>
              <w:left w:val="nil"/>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sz w:val="20"/>
              </w:rPr>
            </w:pPr>
            <w:r>
              <w:rPr>
                <w:rFonts w:ascii="Arial Narrow" w:hAnsi="Arial Narrow" w:cs="Arial"/>
                <w:sz w:val="20"/>
              </w:rPr>
              <w:t>-302 065</w:t>
            </w: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nil"/>
              <w:tl2br w:val="nil"/>
              <w:tr2bl w:val="nil"/>
            </w:tcBorders>
            <w:textDirection w:val="lrTb"/>
            <w:vAlign w:val="bottom"/>
          </w:tcPr>
          <w:p w:rsidR="00C52DD5" w:rsidRPr="00E2247A" w:rsidP="00C52DD5">
            <w:pPr>
              <w:rPr>
                <w:rFonts w:ascii="Arial Narrow" w:hAnsi="Arial Narrow" w:cs="Arial"/>
                <w:b/>
                <w:bCs/>
                <w:i/>
                <w:iCs/>
                <w:sz w:val="20"/>
              </w:rPr>
            </w:pPr>
            <w:r w:rsidRPr="00E2247A">
              <w:rPr>
                <w:rFonts w:ascii="Arial Narrow" w:hAnsi="Arial Narrow" w:cs="Arial"/>
                <w:b/>
                <w:bCs/>
                <w:i/>
                <w:iCs/>
                <w:sz w:val="20"/>
              </w:rPr>
              <w:t> </w:t>
            </w:r>
          </w:p>
        </w:tc>
        <w:tc>
          <w:tcPr>
            <w:tcW w:w="1268" w:type="dxa"/>
            <w:tcBorders>
              <w:top w:val="nil"/>
              <w:left w:val="nil"/>
              <w:bottom w:val="single" w:sz="4" w:space="0" w:color="auto"/>
              <w:right w:val="nil"/>
              <w:tl2br w:val="nil"/>
              <w:tr2bl w:val="nil"/>
            </w:tcBorders>
            <w:textDirection w:val="lrTb"/>
            <w:vAlign w:val="bottom"/>
          </w:tcPr>
          <w:p w:rsidR="00C52DD5" w:rsidRPr="00E2247A" w:rsidP="00C52DD5">
            <w:pPr>
              <w:rPr>
                <w:rFonts w:ascii="Arial Narrow" w:hAnsi="Arial Narrow" w:cs="Arial"/>
                <w:b/>
                <w:bCs/>
                <w:i/>
                <w:iCs/>
                <w:sz w:val="20"/>
              </w:rPr>
            </w:pPr>
          </w:p>
        </w:tc>
        <w:tc>
          <w:tcPr>
            <w:tcW w:w="1268" w:type="dxa"/>
            <w:tcBorders>
              <w:top w:val="nil"/>
              <w:left w:val="nil"/>
              <w:bottom w:val="single" w:sz="4" w:space="0" w:color="auto"/>
              <w:right w:val="nil"/>
              <w:tl2br w:val="nil"/>
              <w:tr2bl w:val="nil"/>
            </w:tcBorders>
            <w:textDirection w:val="lrTb"/>
            <w:vAlign w:val="bottom"/>
          </w:tcPr>
          <w:p w:rsidR="00C52DD5" w:rsidRPr="00E2247A" w:rsidP="00C52DD5">
            <w:pPr>
              <w:rPr>
                <w:rFonts w:ascii="Arial Narrow" w:hAnsi="Arial Narrow" w:cs="Arial"/>
                <w:b/>
                <w:bCs/>
                <w:i/>
                <w:iCs/>
                <w:sz w:val="20"/>
              </w:rPr>
            </w:pPr>
          </w:p>
        </w:tc>
        <w:tc>
          <w:tcPr>
            <w:tcW w:w="1268" w:type="dxa"/>
            <w:tcBorders>
              <w:top w:val="nil"/>
              <w:left w:val="nil"/>
              <w:bottom w:val="nil"/>
              <w:right w:val="nil"/>
              <w:tl2br w:val="nil"/>
              <w:tr2bl w:val="nil"/>
            </w:tcBorders>
            <w:textDirection w:val="lrTb"/>
            <w:vAlign w:val="bottom"/>
          </w:tcPr>
          <w:p w:rsidR="00C52DD5" w:rsidRPr="00E2247A" w:rsidP="00C52DD5">
            <w:pPr>
              <w:rPr>
                <w:rFonts w:ascii="Arial Narrow" w:hAnsi="Arial Narrow" w:cs="Arial"/>
                <w:b/>
                <w:bCs/>
                <w:i/>
                <w:iCs/>
                <w:sz w:val="20"/>
              </w:rPr>
            </w:pPr>
          </w:p>
        </w:tc>
        <w:tc>
          <w:tcPr>
            <w:tcW w:w="1269" w:type="dxa"/>
            <w:tcBorders>
              <w:top w:val="nil"/>
              <w:left w:val="nil"/>
              <w:bottom w:val="single" w:sz="4" w:space="0" w:color="auto"/>
              <w:right w:val="single" w:sz="8" w:space="0" w:color="auto"/>
              <w:tl2br w:val="nil"/>
              <w:tr2bl w:val="nil"/>
            </w:tcBorders>
            <w:textDirection w:val="lrTb"/>
            <w:vAlign w:val="bottom"/>
          </w:tcPr>
          <w:p w:rsidR="00C52DD5" w:rsidRPr="00E2247A" w:rsidP="00C52DD5">
            <w:pPr>
              <w:rPr>
                <w:rFonts w:ascii="Arial Narrow" w:hAnsi="Arial Narrow" w:cs="Arial"/>
                <w:b/>
                <w:bCs/>
                <w:i/>
                <w:iCs/>
                <w:sz w:val="20"/>
              </w:rPr>
            </w:pP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4" w:space="0" w:color="auto"/>
              <w:right w:val="single" w:sz="4" w:space="0" w:color="auto"/>
              <w:tl2br w:val="nil"/>
              <w:tr2bl w:val="nil"/>
            </w:tcBorders>
            <w:textDirection w:val="lrTb"/>
            <w:vAlign w:val="bottom"/>
          </w:tcPr>
          <w:p w:rsidR="00C52DD5" w:rsidRPr="00E2247A" w:rsidP="00C52DD5">
            <w:pPr>
              <w:jc w:val="both"/>
              <w:rPr>
                <w:rFonts w:ascii="Arial Narrow" w:hAnsi="Arial Narrow" w:cs="Arial"/>
                <w:b/>
                <w:bCs/>
                <w:i/>
                <w:iCs/>
                <w:sz w:val="20"/>
              </w:rPr>
            </w:pPr>
            <w:r w:rsidRPr="00E2247A">
              <w:rPr>
                <w:rFonts w:ascii="Arial Narrow" w:hAnsi="Arial Narrow" w:cs="Arial"/>
                <w:b/>
                <w:bCs/>
                <w:i/>
                <w:iCs/>
                <w:sz w:val="20"/>
              </w:rPr>
              <w:t>zahrnutie časového rozlíšenia</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12 614</w:t>
            </w:r>
          </w:p>
        </w:tc>
        <w:tc>
          <w:tcPr>
            <w:tcW w:w="1268" w:type="dxa"/>
            <w:tcBorders>
              <w:top w:val="nil"/>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18 987</w:t>
            </w:r>
          </w:p>
        </w:tc>
        <w:tc>
          <w:tcPr>
            <w:tcW w:w="1268" w:type="dxa"/>
            <w:tcBorders>
              <w:top w:val="single" w:sz="4" w:space="0" w:color="auto"/>
              <w:left w:val="nil"/>
              <w:bottom w:val="single" w:sz="4" w:space="0" w:color="auto"/>
              <w:right w:val="single" w:sz="4" w:space="0" w:color="auto"/>
              <w:tl2br w:val="nil"/>
              <w:tr2bl w:val="nil"/>
            </w:tcBorders>
            <w:noWrap/>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19 883</w:t>
            </w:r>
          </w:p>
        </w:tc>
        <w:tc>
          <w:tcPr>
            <w:tcW w:w="1269" w:type="dxa"/>
            <w:tcBorders>
              <w:top w:val="nil"/>
              <w:left w:val="nil"/>
              <w:bottom w:val="single" w:sz="4" w:space="0" w:color="auto"/>
              <w:right w:val="single" w:sz="8" w:space="0" w:color="auto"/>
              <w:tl2br w:val="nil"/>
              <w:tr2bl w:val="nil"/>
            </w:tcBorders>
            <w:noWrap/>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21 543</w:t>
            </w:r>
          </w:p>
        </w:tc>
      </w:tr>
      <w:tr>
        <w:tblPrEx>
          <w:tblW w:w="9063" w:type="dxa"/>
          <w:tblInd w:w="70" w:type="dxa"/>
          <w:tblLayout w:type="fixed"/>
          <w:tblCellMar>
            <w:left w:w="70" w:type="dxa"/>
            <w:right w:w="70" w:type="dxa"/>
          </w:tblCellMar>
        </w:tblPrEx>
        <w:trPr>
          <w:trHeight w:val="227"/>
        </w:trPr>
        <w:tc>
          <w:tcPr>
            <w:tcW w:w="3990" w:type="dxa"/>
            <w:tcBorders>
              <w:top w:val="single" w:sz="4" w:space="0" w:color="auto"/>
              <w:left w:val="single" w:sz="8" w:space="0" w:color="auto"/>
              <w:bottom w:val="single" w:sz="4" w:space="0" w:color="auto"/>
              <w:right w:val="nil"/>
              <w:tl2br w:val="nil"/>
              <w:tr2bl w:val="nil"/>
            </w:tcBorders>
            <w:textDirection w:val="lrTb"/>
            <w:vAlign w:val="bottom"/>
          </w:tcPr>
          <w:p w:rsidR="00C52DD5" w:rsidRPr="00E2247A" w:rsidP="00C52DD5">
            <w:pPr>
              <w:rPr>
                <w:rFonts w:ascii="Arial Narrow" w:hAnsi="Arial Narrow" w:cs="Arial"/>
                <w:b/>
                <w:bCs/>
                <w:i/>
                <w:iCs/>
                <w:sz w:val="20"/>
              </w:rPr>
            </w:pPr>
            <w:r w:rsidRPr="00E2247A">
              <w:rPr>
                <w:rFonts w:ascii="Arial Narrow" w:hAnsi="Arial Narrow" w:cs="Arial"/>
                <w:b/>
                <w:bCs/>
                <w:i/>
                <w:iCs/>
                <w:sz w:val="20"/>
              </w:rPr>
              <w:t> </w:t>
            </w:r>
          </w:p>
        </w:tc>
        <w:tc>
          <w:tcPr>
            <w:tcW w:w="1268" w:type="dxa"/>
            <w:tcBorders>
              <w:top w:val="single" w:sz="4" w:space="0" w:color="auto"/>
              <w:left w:val="nil"/>
              <w:bottom w:val="single" w:sz="4" w:space="0" w:color="auto"/>
              <w:right w:val="nil"/>
              <w:tl2br w:val="nil"/>
              <w:tr2bl w:val="nil"/>
            </w:tcBorders>
            <w:textDirection w:val="lrTb"/>
            <w:vAlign w:val="bottom"/>
          </w:tcPr>
          <w:p w:rsidR="00C52DD5" w:rsidRPr="00E2247A" w:rsidP="00C52DD5">
            <w:pPr>
              <w:rPr>
                <w:rFonts w:ascii="Arial Narrow" w:hAnsi="Arial Narrow" w:cs="Arial"/>
                <w:b/>
                <w:bCs/>
                <w:i/>
                <w:iCs/>
                <w:sz w:val="20"/>
              </w:rPr>
            </w:pPr>
          </w:p>
        </w:tc>
        <w:tc>
          <w:tcPr>
            <w:tcW w:w="1268" w:type="dxa"/>
            <w:tcBorders>
              <w:top w:val="single" w:sz="4" w:space="0" w:color="auto"/>
              <w:left w:val="nil"/>
              <w:bottom w:val="single" w:sz="4" w:space="0" w:color="auto"/>
              <w:right w:val="nil"/>
              <w:tl2br w:val="nil"/>
              <w:tr2bl w:val="nil"/>
            </w:tcBorders>
            <w:textDirection w:val="lrTb"/>
            <w:vAlign w:val="bottom"/>
          </w:tcPr>
          <w:p w:rsidR="00C52DD5" w:rsidRPr="00E2247A" w:rsidP="00C52DD5">
            <w:pPr>
              <w:rPr>
                <w:rFonts w:ascii="Arial Narrow" w:hAnsi="Arial Narrow" w:cs="Arial"/>
                <w:b/>
                <w:bCs/>
                <w:i/>
                <w:iCs/>
                <w:sz w:val="20"/>
              </w:rPr>
            </w:pPr>
          </w:p>
        </w:tc>
        <w:tc>
          <w:tcPr>
            <w:tcW w:w="1268" w:type="dxa"/>
            <w:tcBorders>
              <w:top w:val="single" w:sz="4" w:space="0" w:color="auto"/>
              <w:left w:val="nil"/>
              <w:bottom w:val="single" w:sz="4" w:space="0" w:color="auto"/>
              <w:right w:val="nil"/>
              <w:tl2br w:val="nil"/>
              <w:tr2bl w:val="nil"/>
            </w:tcBorders>
            <w:textDirection w:val="lrTb"/>
            <w:vAlign w:val="bottom"/>
          </w:tcPr>
          <w:p w:rsidR="00C52DD5" w:rsidRPr="00E2247A" w:rsidP="00C52DD5">
            <w:pPr>
              <w:rPr>
                <w:rFonts w:ascii="Arial Narrow" w:hAnsi="Arial Narrow" w:cs="Arial"/>
                <w:b/>
                <w:bCs/>
                <w:i/>
                <w:iCs/>
                <w:sz w:val="20"/>
              </w:rPr>
            </w:pPr>
          </w:p>
        </w:tc>
        <w:tc>
          <w:tcPr>
            <w:tcW w:w="1269" w:type="dxa"/>
            <w:tcBorders>
              <w:top w:val="single" w:sz="4" w:space="0" w:color="auto"/>
              <w:left w:val="nil"/>
              <w:bottom w:val="single" w:sz="4" w:space="0" w:color="auto"/>
              <w:right w:val="single" w:sz="8" w:space="0" w:color="auto"/>
              <w:tl2br w:val="nil"/>
              <w:tr2bl w:val="nil"/>
            </w:tcBorders>
            <w:textDirection w:val="lrTb"/>
            <w:vAlign w:val="bottom"/>
          </w:tcPr>
          <w:p w:rsidR="00C52DD5" w:rsidRPr="00E2247A" w:rsidP="00C52DD5">
            <w:pPr>
              <w:rPr>
                <w:rFonts w:ascii="Arial Narrow" w:hAnsi="Arial Narrow" w:cs="Arial"/>
                <w:b/>
                <w:bCs/>
                <w:i/>
                <w:iCs/>
                <w:sz w:val="20"/>
              </w:rPr>
            </w:pPr>
          </w:p>
        </w:tc>
      </w:tr>
      <w:tr>
        <w:tblPrEx>
          <w:tblW w:w="9063" w:type="dxa"/>
          <w:tblInd w:w="70" w:type="dxa"/>
          <w:tblLayout w:type="fixed"/>
          <w:tblCellMar>
            <w:left w:w="70" w:type="dxa"/>
            <w:right w:w="70" w:type="dxa"/>
          </w:tblCellMar>
        </w:tblPrEx>
        <w:trPr>
          <w:trHeight w:val="227"/>
        </w:trPr>
        <w:tc>
          <w:tcPr>
            <w:tcW w:w="3990" w:type="dxa"/>
            <w:tcBorders>
              <w:top w:val="nil"/>
              <w:left w:val="single" w:sz="8" w:space="0" w:color="auto"/>
              <w:bottom w:val="single" w:sz="8" w:space="0" w:color="auto"/>
              <w:right w:val="single" w:sz="4" w:space="0" w:color="auto"/>
              <w:tl2br w:val="nil"/>
              <w:tr2bl w:val="nil"/>
            </w:tcBorders>
            <w:shd w:val="clear" w:color="auto" w:fill="C0C0C0"/>
            <w:textDirection w:val="lrTb"/>
            <w:vAlign w:val="bottom"/>
          </w:tcPr>
          <w:p w:rsidR="00C52DD5" w:rsidRPr="00E2247A" w:rsidP="00C52DD5">
            <w:pPr>
              <w:jc w:val="both"/>
              <w:rPr>
                <w:rFonts w:ascii="Arial Narrow" w:hAnsi="Arial Narrow" w:cs="Arial"/>
                <w:b/>
                <w:bCs/>
                <w:i/>
                <w:iCs/>
                <w:sz w:val="20"/>
              </w:rPr>
            </w:pPr>
            <w:r>
              <w:rPr>
                <w:rFonts w:ascii="Arial Narrow" w:hAnsi="Arial Narrow" w:cs="Arial"/>
                <w:b/>
                <w:bCs/>
                <w:i/>
                <w:iCs/>
                <w:sz w:val="20"/>
              </w:rPr>
              <w:t xml:space="preserve">Prebytok </w:t>
            </w:r>
            <w:r>
              <w:rPr>
                <w:rFonts w:ascii="Arial Narrow" w:hAnsi="Arial Narrow" w:cs="Arial"/>
                <w:b/>
                <w:bCs/>
                <w:i/>
                <w:iCs/>
                <w:sz w:val="20"/>
              </w:rPr>
              <w:t xml:space="preserve"> ZP </w:t>
            </w:r>
            <w:r w:rsidRPr="00E2247A">
              <w:rPr>
                <w:rFonts w:ascii="Arial Narrow" w:hAnsi="Arial Narrow" w:cs="Arial"/>
                <w:b/>
                <w:bCs/>
                <w:i/>
                <w:iCs/>
                <w:sz w:val="20"/>
              </w:rPr>
              <w:t xml:space="preserve"> (ESA 95)</w:t>
            </w:r>
          </w:p>
        </w:tc>
        <w:tc>
          <w:tcPr>
            <w:tcW w:w="1268" w:type="dxa"/>
            <w:tcBorders>
              <w:top w:val="nil"/>
              <w:left w:val="nil"/>
              <w:bottom w:val="single" w:sz="8" w:space="0" w:color="auto"/>
              <w:right w:val="single" w:sz="4" w:space="0" w:color="auto"/>
              <w:tl2br w:val="nil"/>
              <w:tr2bl w:val="nil"/>
            </w:tcBorders>
            <w:shd w:val="clear" w:color="auto" w:fill="C0C0C0"/>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45 808</w:t>
            </w:r>
          </w:p>
        </w:tc>
        <w:tc>
          <w:tcPr>
            <w:tcW w:w="1268" w:type="dxa"/>
            <w:tcBorders>
              <w:top w:val="nil"/>
              <w:left w:val="nil"/>
              <w:bottom w:val="single" w:sz="8" w:space="0" w:color="auto"/>
              <w:right w:val="single" w:sz="4" w:space="0" w:color="auto"/>
              <w:tl2br w:val="nil"/>
              <w:tr2bl w:val="nil"/>
            </w:tcBorders>
            <w:shd w:val="clear" w:color="auto" w:fill="C0C0C0"/>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22 306</w:t>
            </w:r>
          </w:p>
        </w:tc>
        <w:tc>
          <w:tcPr>
            <w:tcW w:w="1268" w:type="dxa"/>
            <w:tcBorders>
              <w:top w:val="nil"/>
              <w:left w:val="nil"/>
              <w:bottom w:val="single" w:sz="8" w:space="0" w:color="auto"/>
              <w:right w:val="nil"/>
              <w:tl2br w:val="nil"/>
              <w:tr2bl w:val="nil"/>
            </w:tcBorders>
            <w:shd w:val="clear" w:color="auto" w:fill="C0C0C0"/>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23 203</w:t>
            </w:r>
          </w:p>
        </w:tc>
        <w:tc>
          <w:tcPr>
            <w:tcW w:w="1269" w:type="dxa"/>
            <w:tcBorders>
              <w:top w:val="nil"/>
              <w:left w:val="single" w:sz="4" w:space="0" w:color="auto"/>
              <w:bottom w:val="single" w:sz="8" w:space="0" w:color="auto"/>
              <w:right w:val="single" w:sz="8" w:space="0" w:color="auto"/>
              <w:tl2br w:val="nil"/>
              <w:tr2bl w:val="nil"/>
            </w:tcBorders>
            <w:shd w:val="clear" w:color="auto" w:fill="C0C0C0"/>
            <w:textDirection w:val="lrTb"/>
            <w:vAlign w:val="bottom"/>
          </w:tcPr>
          <w:p w:rsidR="00C52DD5" w:rsidRPr="00E2247A" w:rsidP="00C52DD5">
            <w:pPr>
              <w:jc w:val="right"/>
              <w:rPr>
                <w:rFonts w:ascii="Arial Narrow" w:hAnsi="Arial Narrow" w:cs="Arial"/>
                <w:b/>
                <w:bCs/>
                <w:i/>
                <w:iCs/>
                <w:sz w:val="20"/>
              </w:rPr>
            </w:pPr>
            <w:r>
              <w:rPr>
                <w:rFonts w:ascii="Arial Narrow" w:hAnsi="Arial Narrow" w:cs="Arial"/>
                <w:b/>
                <w:bCs/>
                <w:i/>
                <w:iCs/>
                <w:sz w:val="20"/>
              </w:rPr>
              <w:t>21 543</w:t>
            </w:r>
          </w:p>
        </w:tc>
      </w:tr>
    </w:tbl>
    <w:p w:rsidR="00C52DD5" w:rsidP="00C52DD5">
      <w:pPr>
        <w:rPr>
          <w:rFonts w:ascii="Arial Narrow" w:hAnsi="Arial Narrow" w:cs="Times New Roman"/>
          <w:b/>
          <w:bCs/>
          <w:sz w:val="28"/>
          <w:szCs w:val="28"/>
          <w:highlight w:val="yellow"/>
        </w:rPr>
      </w:pPr>
    </w:p>
    <w:p w:rsidR="00C52DD5" w:rsidRPr="001A548B" w:rsidP="00C52DD5">
      <w:pPr>
        <w:pStyle w:val="Heading1"/>
        <w:rPr>
          <w:rFonts w:ascii="Arial Narrow" w:hAnsi="Arial Narrow"/>
          <w:sz w:val="24"/>
          <w:szCs w:val="24"/>
        </w:rPr>
      </w:pPr>
      <w:r w:rsidRPr="001A548B">
        <w:rPr>
          <w:rFonts w:ascii="Arial Narrow" w:hAnsi="Arial Narrow"/>
          <w:sz w:val="24"/>
          <w:szCs w:val="24"/>
        </w:rPr>
        <w:t>4. Štátne fondy</w:t>
      </w:r>
    </w:p>
    <w:p w:rsidR="00C52DD5" w:rsidRPr="00EB6D9D" w:rsidP="00C52DD5">
      <w:pPr>
        <w:rPr>
          <w:rFonts w:ascii="Arial Narrow" w:hAnsi="Arial Narrow" w:cs="Times New Roman"/>
          <w:b/>
          <w:sz w:val="28"/>
          <w:szCs w:val="28"/>
        </w:rPr>
      </w:pPr>
    </w:p>
    <w:p w:rsidR="00C52DD5" w:rsidRPr="00EB6D9D" w:rsidP="00C52DD5">
      <w:pPr>
        <w:jc w:val="both"/>
        <w:rPr>
          <w:rFonts w:ascii="Arial Narrow" w:hAnsi="Arial Narrow" w:cs="Times New Roman"/>
          <w:sz w:val="22"/>
          <w:szCs w:val="22"/>
        </w:rPr>
      </w:pPr>
      <w:r w:rsidRPr="00EB6D9D">
        <w:rPr>
          <w:rFonts w:ascii="Arial Narrow" w:hAnsi="Arial Narrow" w:cs="Times New Roman"/>
          <w:b/>
          <w:sz w:val="28"/>
          <w:szCs w:val="28"/>
        </w:rPr>
        <w:tab/>
      </w:r>
      <w:r w:rsidRPr="00EB6D9D">
        <w:rPr>
          <w:rFonts w:ascii="Arial Narrow" w:hAnsi="Arial Narrow" w:cs="Times New Roman"/>
          <w:sz w:val="22"/>
          <w:szCs w:val="22"/>
        </w:rPr>
        <w:t xml:space="preserve">V Štátnom fonde rozvoja bývania, v Národnom jadrovom fonde a v Environmentálnom fonde sa vo všetkých rozpočtových rokoch predpokladá prebytkové hospodárenie. </w:t>
      </w:r>
    </w:p>
    <w:p w:rsidR="00C52DD5" w:rsidRPr="005E3AC2" w:rsidP="00C52DD5">
      <w:pPr>
        <w:rPr>
          <w:rFonts w:ascii="Arial Narrow" w:hAnsi="Arial Narrow" w:cs="Times New Roman"/>
          <w:b/>
          <w:sz w:val="28"/>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C52DD5" w:rsidRPr="001A548B" w:rsidP="00C52DD5">
      <w:pPr>
        <w:rPr>
          <w:rFonts w:ascii="Arial Narrow" w:hAnsi="Arial Narrow" w:cs="Times New Roman"/>
          <w:b/>
          <w:sz w:val="22"/>
          <w:szCs w:val="22"/>
        </w:rPr>
      </w:pPr>
      <w:r w:rsidRPr="001A548B">
        <w:rPr>
          <w:rFonts w:ascii="Arial Narrow" w:hAnsi="Arial Narrow" w:cs="Times New Roman"/>
          <w:b/>
          <w:sz w:val="22"/>
          <w:szCs w:val="22"/>
        </w:rPr>
        <w:t>4.1. Štátny fond rozvoja bývan</w:t>
      </w:r>
      <w:r w:rsidRPr="001A548B">
        <w:rPr>
          <w:rFonts w:ascii="Arial Narrow" w:hAnsi="Arial Narrow" w:cs="Times New Roman"/>
          <w:b/>
          <w:sz w:val="22"/>
          <w:szCs w:val="22"/>
        </w:rPr>
        <w:t>ia</w:t>
      </w:r>
    </w:p>
    <w:p w:rsidR="00C52DD5" w:rsidP="00C52DD5">
      <w:pPr>
        <w:rPr>
          <w:rFonts w:ascii="Arial Narrow" w:hAnsi="Arial Narrow" w:cs="Times New Roman"/>
          <w:b/>
          <w:sz w:val="28"/>
          <w:szCs w:val="28"/>
          <w:highlight w:val="yellow"/>
        </w:rPr>
      </w:pPr>
    </w:p>
    <w:p w:rsidR="00C52DD5" w:rsidP="00C52DD5">
      <w:pPr>
        <w:jc w:val="both"/>
        <w:rPr>
          <w:rFonts w:ascii="Arial Narrow" w:hAnsi="Arial Narrow" w:cs="Times New Roman"/>
          <w:sz w:val="22"/>
          <w:szCs w:val="22"/>
        </w:rPr>
      </w:pPr>
      <w:r>
        <w:rPr>
          <w:rFonts w:ascii="Arial Narrow" w:hAnsi="Arial Narrow" w:cs="Times New Roman"/>
          <w:sz w:val="22"/>
          <w:szCs w:val="22"/>
        </w:rPr>
        <w:tab/>
      </w:r>
      <w:r w:rsidRPr="00195BA1">
        <w:rPr>
          <w:rFonts w:ascii="Arial Narrow" w:hAnsi="Arial Narrow" w:cs="Times New Roman"/>
          <w:sz w:val="22"/>
          <w:szCs w:val="22"/>
        </w:rPr>
        <w:t xml:space="preserve">V roku 2009 zdroje Štátneho fondu rozvoja bývania (ďalej len „ŠFRB“) predstavujú celkovú výšku  </w:t>
      </w:r>
      <w:r>
        <w:rPr>
          <w:rFonts w:ascii="Arial Narrow" w:hAnsi="Arial Narrow" w:cs="Times New Roman"/>
          <w:sz w:val="22"/>
          <w:szCs w:val="22"/>
        </w:rPr>
        <w:t>136,5 mil. eur</w:t>
      </w:r>
      <w:r w:rsidRPr="00195BA1">
        <w:rPr>
          <w:rFonts w:ascii="Arial Narrow" w:hAnsi="Arial Narrow" w:cs="Times New Roman"/>
          <w:sz w:val="22"/>
          <w:szCs w:val="22"/>
        </w:rPr>
        <w:t xml:space="preserve">, pričom transfer zo štátneho rozpočtu je vo výške </w:t>
      </w:r>
      <w:r>
        <w:rPr>
          <w:rFonts w:ascii="Arial Narrow" w:hAnsi="Arial Narrow" w:cs="Times New Roman"/>
          <w:sz w:val="22"/>
          <w:szCs w:val="22"/>
        </w:rPr>
        <w:t>66,9 mil. eur</w:t>
      </w:r>
      <w:r w:rsidRPr="00195BA1">
        <w:rPr>
          <w:rFonts w:ascii="Arial Narrow" w:hAnsi="Arial Narrow" w:cs="Times New Roman"/>
          <w:sz w:val="22"/>
          <w:szCs w:val="22"/>
        </w:rPr>
        <w:t xml:space="preserve"> a vlastné zdroje fondu v sume </w:t>
      </w:r>
      <w:r>
        <w:rPr>
          <w:rFonts w:ascii="Arial Narrow" w:hAnsi="Arial Narrow" w:cs="Times New Roman"/>
          <w:sz w:val="22"/>
          <w:szCs w:val="22"/>
        </w:rPr>
        <w:t>69,6 </w:t>
      </w:r>
      <w:r w:rsidRPr="00195BA1">
        <w:rPr>
          <w:rFonts w:ascii="Arial Narrow" w:hAnsi="Arial Narrow" w:cs="Times New Roman"/>
          <w:sz w:val="22"/>
          <w:szCs w:val="22"/>
        </w:rPr>
        <w:t xml:space="preserve">mil. </w:t>
      </w:r>
      <w:r>
        <w:rPr>
          <w:rFonts w:ascii="Arial Narrow" w:hAnsi="Arial Narrow" w:cs="Times New Roman"/>
          <w:sz w:val="22"/>
          <w:szCs w:val="22"/>
        </w:rPr>
        <w:t>eur</w:t>
      </w:r>
      <w:r w:rsidRPr="00195BA1">
        <w:rPr>
          <w:rFonts w:ascii="Arial Narrow" w:hAnsi="Arial Narrow" w:cs="Times New Roman"/>
          <w:sz w:val="22"/>
          <w:szCs w:val="22"/>
        </w:rPr>
        <w:t xml:space="preserve">, z ktorých </w:t>
      </w:r>
      <w:r>
        <w:rPr>
          <w:rFonts w:ascii="Arial Narrow" w:hAnsi="Arial Narrow" w:cs="Times New Roman"/>
          <w:sz w:val="22"/>
          <w:szCs w:val="22"/>
        </w:rPr>
        <w:t>27</w:t>
      </w:r>
      <w:r w:rsidRPr="00195BA1">
        <w:rPr>
          <w:rFonts w:ascii="Arial Narrow" w:hAnsi="Arial Narrow" w:cs="Times New Roman"/>
          <w:sz w:val="22"/>
          <w:szCs w:val="22"/>
        </w:rPr>
        <w:t>,</w:t>
      </w:r>
      <w:r>
        <w:rPr>
          <w:rFonts w:ascii="Arial Narrow" w:hAnsi="Arial Narrow" w:cs="Times New Roman"/>
          <w:sz w:val="22"/>
          <w:szCs w:val="22"/>
        </w:rPr>
        <w:t>3</w:t>
      </w:r>
      <w:r w:rsidRPr="00195BA1">
        <w:rPr>
          <w:rFonts w:ascii="Arial Narrow" w:hAnsi="Arial Narrow" w:cs="Times New Roman"/>
          <w:sz w:val="22"/>
          <w:szCs w:val="22"/>
        </w:rPr>
        <w:t xml:space="preserve"> mil. </w:t>
      </w:r>
      <w:r>
        <w:rPr>
          <w:rFonts w:ascii="Arial Narrow" w:hAnsi="Arial Narrow" w:cs="Times New Roman"/>
          <w:sz w:val="22"/>
          <w:szCs w:val="22"/>
        </w:rPr>
        <w:t>eur</w:t>
      </w:r>
      <w:r w:rsidRPr="00195BA1">
        <w:rPr>
          <w:rFonts w:ascii="Arial Narrow" w:hAnsi="Arial Narrow" w:cs="Times New Roman"/>
          <w:sz w:val="22"/>
          <w:szCs w:val="22"/>
        </w:rPr>
        <w:t xml:space="preserve"> je z úr</w:t>
      </w:r>
      <w:r w:rsidRPr="00195BA1">
        <w:rPr>
          <w:rFonts w:ascii="Arial Narrow" w:hAnsi="Arial Narrow" w:cs="Times New Roman"/>
          <w:sz w:val="22"/>
          <w:szCs w:val="22"/>
        </w:rPr>
        <w:t>okov z poskytnutých úverov a </w:t>
      </w:r>
      <w:r>
        <w:rPr>
          <w:rFonts w:ascii="Arial Narrow" w:hAnsi="Arial Narrow" w:cs="Times New Roman"/>
          <w:sz w:val="22"/>
          <w:szCs w:val="22"/>
        </w:rPr>
        <w:t>41</w:t>
      </w:r>
      <w:r w:rsidRPr="00195BA1">
        <w:rPr>
          <w:rFonts w:ascii="Arial Narrow" w:hAnsi="Arial Narrow" w:cs="Times New Roman"/>
          <w:sz w:val="22"/>
          <w:szCs w:val="22"/>
        </w:rPr>
        <w:t>,</w:t>
      </w:r>
      <w:r>
        <w:rPr>
          <w:rFonts w:ascii="Arial Narrow" w:hAnsi="Arial Narrow" w:cs="Times New Roman"/>
          <w:sz w:val="22"/>
          <w:szCs w:val="22"/>
        </w:rPr>
        <w:t>6</w:t>
      </w:r>
      <w:r w:rsidRPr="00195BA1">
        <w:rPr>
          <w:rFonts w:ascii="Arial Narrow" w:hAnsi="Arial Narrow" w:cs="Times New Roman"/>
          <w:sz w:val="22"/>
          <w:szCs w:val="22"/>
        </w:rPr>
        <w:t xml:space="preserve"> </w:t>
      </w:r>
      <w:r>
        <w:rPr>
          <w:rFonts w:ascii="Arial Narrow" w:hAnsi="Arial Narrow" w:cs="Times New Roman"/>
          <w:sz w:val="22"/>
          <w:szCs w:val="22"/>
        </w:rPr>
        <w:t>mil. eur</w:t>
      </w:r>
      <w:r w:rsidRPr="00195BA1">
        <w:rPr>
          <w:rFonts w:ascii="Arial Narrow" w:hAnsi="Arial Narrow" w:cs="Times New Roman"/>
          <w:sz w:val="22"/>
          <w:szCs w:val="22"/>
        </w:rPr>
        <w:t xml:space="preserve"> zo splátok istiny.  </w:t>
        <w:tab/>
      </w:r>
    </w:p>
    <w:p w:rsidR="00C52DD5" w:rsidRPr="00195BA1" w:rsidP="00C52DD5">
      <w:pPr>
        <w:jc w:val="both"/>
        <w:rPr>
          <w:rFonts w:ascii="Arial Narrow" w:hAnsi="Arial Narrow" w:cs="Times New Roman"/>
          <w:sz w:val="22"/>
          <w:szCs w:val="22"/>
        </w:rPr>
      </w:pPr>
    </w:p>
    <w:p w:rsidR="00C52DD5" w:rsidP="00C52DD5">
      <w:pPr>
        <w:pStyle w:val="BodyTextIndent3"/>
        <w:rPr>
          <w:rFonts w:cs="Times New Roman"/>
        </w:rPr>
      </w:pPr>
      <w:r w:rsidRPr="00195BA1">
        <w:rPr>
          <w:rFonts w:cs="Times New Roman"/>
        </w:rPr>
        <w:t xml:space="preserve">Z rozpočtovaných výdavkov roku 2009 v celkovej výške </w:t>
      </w:r>
      <w:r>
        <w:rPr>
          <w:rFonts w:cs="Times New Roman"/>
        </w:rPr>
        <w:t>136,2</w:t>
      </w:r>
      <w:r w:rsidRPr="00195BA1">
        <w:rPr>
          <w:rFonts w:cs="Times New Roman"/>
        </w:rPr>
        <w:t xml:space="preserve"> mil. </w:t>
      </w:r>
      <w:r>
        <w:rPr>
          <w:rFonts w:cs="Times New Roman"/>
        </w:rPr>
        <w:t xml:space="preserve">eur </w:t>
      </w:r>
      <w:r w:rsidRPr="00195BA1">
        <w:rPr>
          <w:rFonts w:cs="Times New Roman"/>
        </w:rPr>
        <w:t xml:space="preserve">budú rozhodujúcu  čiastku použitia zdrojov ŠFRB predstavovať výdavky na poskytovanie úverov na podporu rozvoja bývania, ktoré sú rozpočtované vo </w:t>
      </w:r>
      <w:r w:rsidRPr="00195BA1">
        <w:rPr>
          <w:rFonts w:cs="Times New Roman"/>
          <w:color w:val="000000"/>
        </w:rPr>
        <w:t xml:space="preserve">výške  </w:t>
      </w:r>
      <w:r>
        <w:rPr>
          <w:rFonts w:cs="Times New Roman"/>
          <w:color w:val="000000"/>
        </w:rPr>
        <w:t>132,3</w:t>
      </w:r>
      <w:r w:rsidRPr="00195BA1">
        <w:rPr>
          <w:rFonts w:cs="Times New Roman"/>
          <w:color w:val="FFFF99"/>
        </w:rPr>
        <w:t xml:space="preserve"> </w:t>
      </w:r>
      <w:r w:rsidRPr="00195BA1">
        <w:rPr>
          <w:rFonts w:cs="Times New Roman"/>
          <w:color w:val="000000"/>
        </w:rPr>
        <w:t>mi</w:t>
      </w:r>
      <w:r w:rsidRPr="00195BA1">
        <w:rPr>
          <w:rFonts w:cs="Times New Roman"/>
        </w:rPr>
        <w:t xml:space="preserve">l. </w:t>
      </w:r>
      <w:r>
        <w:rPr>
          <w:rFonts w:cs="Times New Roman"/>
        </w:rPr>
        <w:t>eur,</w:t>
      </w:r>
      <w:r w:rsidRPr="00195BA1">
        <w:rPr>
          <w:rFonts w:cs="Times New Roman"/>
        </w:rPr>
        <w:t xml:space="preserve"> pričom pre zabezpečenie nových bytových jednotiek fyzickými osobami je vyčlenených </w:t>
      </w:r>
      <w:r>
        <w:rPr>
          <w:rFonts w:cs="Times New Roman"/>
        </w:rPr>
        <w:t>33,9</w:t>
      </w:r>
      <w:r w:rsidRPr="00195BA1">
        <w:rPr>
          <w:rFonts w:cs="Times New Roman"/>
        </w:rPr>
        <w:t xml:space="preserve"> mil. </w:t>
      </w:r>
      <w:r>
        <w:rPr>
          <w:rFonts w:cs="Times New Roman"/>
        </w:rPr>
        <w:t>eur</w:t>
      </w:r>
      <w:r w:rsidRPr="00195BA1">
        <w:rPr>
          <w:rFonts w:cs="Times New Roman"/>
        </w:rPr>
        <w:t xml:space="preserve">, na výstavbu nájomných bytov a zariadení sociálnych služieb realizovaných obcami a právnickými osobami cca </w:t>
      </w:r>
      <w:r>
        <w:rPr>
          <w:rFonts w:cs="Times New Roman"/>
        </w:rPr>
        <w:t>71,3</w:t>
      </w:r>
      <w:r w:rsidRPr="00195BA1">
        <w:rPr>
          <w:rFonts w:cs="Times New Roman"/>
        </w:rPr>
        <w:t xml:space="preserve"> m</w:t>
      </w:r>
      <w:r w:rsidRPr="00195BA1">
        <w:rPr>
          <w:rFonts w:cs="Times New Roman"/>
        </w:rPr>
        <w:t xml:space="preserve">il. </w:t>
      </w:r>
      <w:r>
        <w:rPr>
          <w:rFonts w:cs="Times New Roman"/>
        </w:rPr>
        <w:t>eur</w:t>
      </w:r>
      <w:r w:rsidRPr="00195BA1">
        <w:rPr>
          <w:rFonts w:cs="Times New Roman"/>
        </w:rPr>
        <w:t xml:space="preserve"> na obnovu bytového fondu </w:t>
      </w:r>
      <w:r>
        <w:rPr>
          <w:rFonts w:cs="Times New Roman"/>
        </w:rPr>
        <w:t>27,1</w:t>
      </w:r>
      <w:r w:rsidRPr="00195BA1">
        <w:rPr>
          <w:rFonts w:cs="Times New Roman"/>
        </w:rPr>
        <w:t xml:space="preserve"> mil. </w:t>
      </w:r>
      <w:r>
        <w:rPr>
          <w:rFonts w:cs="Times New Roman"/>
        </w:rPr>
        <w:t>eur</w:t>
      </w:r>
      <w:r w:rsidRPr="00195BA1">
        <w:rPr>
          <w:rFonts w:cs="Times New Roman"/>
        </w:rPr>
        <w:t xml:space="preserve">. Na poskytovanie podpôr vo forme nenávratného príspevku pri obstarávaní bývania pre občanov s ťažkým zdravotným postihnutím sa v roku 2009 uvažuje so sumou </w:t>
      </w:r>
      <w:r>
        <w:rPr>
          <w:rFonts w:cs="Times New Roman"/>
        </w:rPr>
        <w:t>432 tis.</w:t>
      </w:r>
      <w:r w:rsidRPr="00195BA1">
        <w:rPr>
          <w:rFonts w:cs="Times New Roman"/>
        </w:rPr>
        <w:t xml:space="preserve"> </w:t>
      </w:r>
      <w:r>
        <w:rPr>
          <w:rFonts w:cs="Times New Roman"/>
        </w:rPr>
        <w:t>eur</w:t>
      </w:r>
      <w:r w:rsidRPr="00195BA1">
        <w:rPr>
          <w:rFonts w:cs="Times New Roman"/>
        </w:rPr>
        <w:t>. Ostatné výdavky ŠFRB v roku 2009 budú predstavovať výdavky súvisiace   so zabezpečením bankových služieb a správy fondu.</w:t>
      </w:r>
    </w:p>
    <w:p w:rsidR="00C52DD5" w:rsidRPr="00195BA1" w:rsidP="00C52DD5">
      <w:pPr>
        <w:pStyle w:val="BodyTextIndent3"/>
        <w:rPr>
          <w:rFonts w:cs="Times New Roman"/>
        </w:rPr>
      </w:pPr>
    </w:p>
    <w:p w:rsidR="00C52DD5" w:rsidP="00C52DD5">
      <w:pPr>
        <w:pStyle w:val="BodyTextIndent3"/>
        <w:rPr>
          <w:rFonts w:cs="Times New Roman"/>
        </w:rPr>
      </w:pPr>
      <w:r w:rsidRPr="00195BA1">
        <w:rPr>
          <w:rFonts w:cs="Times New Roman"/>
        </w:rPr>
        <w:t xml:space="preserve">Výdavky ŠFRB na roky 2009 až 2011 sú rozpočtované na jednotlivé účely podpory podľa zákona NR SR č. 607/2003 Z. z. o Štátnom fonde rozvoja bývania v znení neskorších predpisov a vychádza zo zámerov vlády SR podporiť daný druh výstavby, alebo obnovy a bude mať väzbu na podporu realizovanú v rámci ostatných systémov financovania rozvoja bývania.  </w:t>
      </w:r>
    </w:p>
    <w:p w:rsidR="00C52DD5" w:rsidRPr="00282F4F" w:rsidP="00C52DD5">
      <w:pPr>
        <w:pStyle w:val="BodyTextIndent3"/>
        <w:spacing w:before="120"/>
        <w:ind w:firstLine="709"/>
        <w:rPr>
          <w:rFonts w:cs="Times New Roman"/>
        </w:rPr>
      </w:pPr>
      <w:r w:rsidRPr="00195BA1">
        <w:rPr>
          <w:rFonts w:cs="Times New Roman"/>
        </w:rPr>
        <w:t>Vývoj príjmovej a výdavkovej časti rozpočtu ŠFRB na roky 2009 až 2011 je nasledov</w:t>
      </w:r>
      <w:r w:rsidRPr="00195BA1">
        <w:rPr>
          <w:rFonts w:cs="Times New Roman"/>
        </w:rPr>
        <w:t>ný</w:t>
      </w:r>
      <w:r>
        <w:rPr>
          <w:rFonts w:cs="Times New Roman"/>
        </w:rPr>
        <w:t>:</w:t>
      </w:r>
    </w:p>
    <w:p w:rsidR="00C52DD5" w:rsidRPr="005E3AC2" w:rsidP="00C52DD5">
      <w:pPr>
        <w:ind w:left="7788"/>
        <w:rPr>
          <w:rFonts w:ascii="Arial Narrow" w:hAnsi="Arial Narrow" w:cs="Times New Roman"/>
          <w:sz w:val="18"/>
          <w:szCs w:val="18"/>
        </w:rPr>
      </w:pPr>
      <w:r w:rsidRPr="005E3AC2">
        <w:rPr>
          <w:rFonts w:ascii="Arial Narrow" w:hAnsi="Arial Narrow" w:cs="Times New Roman"/>
          <w:sz w:val="18"/>
          <w:szCs w:val="18"/>
        </w:rPr>
        <w:t xml:space="preserv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708"/>
        <w:gridCol w:w="1440"/>
        <w:gridCol w:w="1440"/>
        <w:gridCol w:w="1260"/>
        <w:gridCol w:w="1260"/>
      </w:tblGrid>
      <w:tr>
        <w:tblPrEx>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E3AC2" w:rsidP="00C52DD5">
            <w:pPr>
              <w:rPr>
                <w:rFonts w:ascii="Arial Narrow" w:hAnsi="Arial Narrow" w:cs="Times New Roman"/>
                <w:b/>
                <w:iCs/>
                <w:color w:val="FFFFFF"/>
                <w:sz w:val="20"/>
              </w:rPr>
            </w:pPr>
            <w:r w:rsidRPr="005E3AC2">
              <w:rPr>
                <w:rFonts w:ascii="Arial Narrow" w:hAnsi="Arial Narrow" w:cs="Times New Roman"/>
                <w:b/>
                <w:iCs/>
                <w:color w:val="FFFFFF"/>
                <w:sz w:val="20"/>
              </w:rPr>
              <w:t>(v tis. eur)</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E3AC2" w:rsidP="00C52DD5">
            <w:pPr>
              <w:jc w:val="center"/>
              <w:rPr>
                <w:rFonts w:ascii="Arial Narrow" w:hAnsi="Arial Narrow" w:cs="Times New Roman"/>
                <w:b/>
                <w:bCs/>
                <w:iCs/>
                <w:color w:val="FFFFFF"/>
                <w:sz w:val="20"/>
              </w:rPr>
            </w:pPr>
            <w:r w:rsidRPr="005E3AC2">
              <w:rPr>
                <w:rFonts w:ascii="Arial Narrow" w:hAnsi="Arial Narrow" w:cs="Times New Roman"/>
                <w:b/>
                <w:bCs/>
                <w:iCs/>
                <w:color w:val="FFFFFF"/>
                <w:sz w:val="20"/>
              </w:rPr>
              <w:t>200</w:t>
            </w:r>
            <w:r>
              <w:rPr>
                <w:rFonts w:ascii="Arial Narrow" w:hAnsi="Arial Narrow" w:cs="Times New Roman"/>
                <w:b/>
                <w:bCs/>
                <w:iCs/>
                <w:color w:val="FFFFFF"/>
                <w:sz w:val="20"/>
              </w:rPr>
              <w:t>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E3AC2" w:rsidP="00C52DD5">
            <w:pPr>
              <w:jc w:val="center"/>
              <w:rPr>
                <w:rFonts w:ascii="Arial Narrow" w:hAnsi="Arial Narrow" w:cs="Times New Roman"/>
                <w:b/>
                <w:bCs/>
                <w:iCs/>
                <w:color w:val="FFFFFF"/>
                <w:sz w:val="20"/>
              </w:rPr>
            </w:pPr>
            <w:r w:rsidRPr="005E3AC2">
              <w:rPr>
                <w:rFonts w:ascii="Arial Narrow" w:hAnsi="Arial Narrow" w:cs="Times New Roman"/>
                <w:b/>
                <w:bCs/>
                <w:iCs/>
                <w:color w:val="FFFFFF"/>
                <w:sz w:val="20"/>
              </w:rPr>
              <w:t xml:space="preserve"> 200</w:t>
            </w:r>
            <w:r>
              <w:rPr>
                <w:rFonts w:ascii="Arial Narrow" w:hAnsi="Arial Narrow" w:cs="Times New Roman"/>
                <w:b/>
                <w:bCs/>
                <w:iCs/>
                <w:color w:val="FFFFFF"/>
                <w:sz w:val="20"/>
              </w:rPr>
              <w:t>9</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E3AC2" w:rsidP="00C52DD5">
            <w:pPr>
              <w:jc w:val="center"/>
              <w:rPr>
                <w:rFonts w:ascii="Arial Narrow" w:hAnsi="Arial Narrow" w:cs="Times New Roman"/>
                <w:b/>
                <w:bCs/>
                <w:iCs/>
                <w:color w:val="FFFFFF"/>
                <w:sz w:val="20"/>
              </w:rPr>
            </w:pPr>
            <w:r w:rsidRPr="005E3AC2">
              <w:rPr>
                <w:rFonts w:ascii="Arial Narrow" w:hAnsi="Arial Narrow" w:cs="Times New Roman"/>
                <w:b/>
                <w:bCs/>
                <w:iCs/>
                <w:color w:val="FFFFFF"/>
                <w:sz w:val="20"/>
              </w:rPr>
              <w:t xml:space="preserve"> 20</w:t>
            </w:r>
            <w:r>
              <w:rPr>
                <w:rFonts w:ascii="Arial Narrow" w:hAnsi="Arial Narrow" w:cs="Times New Roman"/>
                <w:b/>
                <w:bCs/>
                <w:iCs/>
                <w:color w:val="FFFFFF"/>
                <w:sz w:val="20"/>
              </w:rPr>
              <w:t>10</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E3AC2" w:rsidP="00C52DD5">
            <w:pPr>
              <w:jc w:val="center"/>
              <w:rPr>
                <w:rFonts w:ascii="Arial Narrow" w:hAnsi="Arial Narrow" w:cs="Times New Roman"/>
                <w:b/>
                <w:bCs/>
                <w:iCs/>
                <w:color w:val="FFFFFF"/>
                <w:sz w:val="20"/>
              </w:rPr>
            </w:pPr>
            <w:r w:rsidRPr="005E3AC2">
              <w:rPr>
                <w:rFonts w:ascii="Arial Narrow" w:hAnsi="Arial Narrow" w:cs="Times New Roman"/>
                <w:b/>
                <w:bCs/>
                <w:iCs/>
                <w:color w:val="FFFFFF"/>
                <w:sz w:val="20"/>
              </w:rPr>
              <w:t xml:space="preserve"> 201</w:t>
            </w:r>
            <w:r>
              <w:rPr>
                <w:rFonts w:ascii="Arial Narrow" w:hAnsi="Arial Narrow" w:cs="Times New Roman"/>
                <w:b/>
                <w:bCs/>
                <w:iCs/>
                <w:color w:val="FFFFFF"/>
                <w:sz w:val="20"/>
              </w:rPr>
              <w:t>1</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rPr>
                <w:rFonts w:ascii="Arial Narrow" w:hAnsi="Arial Narrow" w:cs="Times New Roman"/>
                <w:b/>
                <w:i/>
                <w:sz w:val="20"/>
              </w:rPr>
            </w:pPr>
            <w:r w:rsidRPr="005E3AC2">
              <w:rPr>
                <w:rFonts w:ascii="Arial Narrow" w:hAnsi="Arial Narrow" w:cs="Times New Roman"/>
                <w:b/>
                <w:i/>
                <w:sz w:val="20"/>
              </w:rPr>
              <w:t>Príjmy  ŠFRB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136 151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136 528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132 282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141 122</w:t>
            </w:r>
          </w:p>
        </w:tc>
      </w:tr>
      <w:tr>
        <w:tblPrEx>
          <w:tblW w:w="9108" w:type="dxa"/>
        </w:tblPrEx>
        <w:trPr>
          <w:trHeight w:val="227"/>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both"/>
              <w:rPr>
                <w:rFonts w:ascii="Arial Narrow" w:hAnsi="Arial Narrow" w:cs="Times New Roman"/>
                <w:sz w:val="20"/>
              </w:rPr>
            </w:pPr>
            <w:r w:rsidRPr="005E3AC2">
              <w:rPr>
                <w:rFonts w:ascii="Arial Narrow" w:hAnsi="Arial Narrow" w:cs="Times New Roman"/>
                <w:b/>
                <w:i/>
                <w:sz w:val="20"/>
              </w:rPr>
              <w:t>z  toho:</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numPr>
                <w:ilvl w:val="0"/>
                <w:numId w:val="37"/>
              </w:numPr>
              <w:tabs>
                <w:tab w:val="left" w:pos="360"/>
              </w:tabs>
              <w:rPr>
                <w:rFonts w:ascii="Arial Narrow" w:hAnsi="Arial Narrow" w:cs="Times New Roman"/>
                <w:sz w:val="20"/>
              </w:rPr>
            </w:pPr>
            <w:r w:rsidRPr="005E3AC2">
              <w:rPr>
                <w:rFonts w:ascii="Arial Narrow" w:hAnsi="Arial Narrow" w:cs="Times New Roman"/>
                <w:sz w:val="20"/>
              </w:rPr>
              <w:t>nedaňové príjmy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27 806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27 611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29 177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30 837</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numPr>
                <w:ilvl w:val="0"/>
                <w:numId w:val="37"/>
              </w:numPr>
              <w:tabs>
                <w:tab w:val="left" w:pos="360"/>
              </w:tabs>
              <w:rPr>
                <w:rFonts w:ascii="Arial Narrow" w:hAnsi="Arial Narrow" w:cs="Times New Roman"/>
                <w:sz w:val="20"/>
              </w:rPr>
            </w:pPr>
            <w:r w:rsidRPr="005E3AC2">
              <w:rPr>
                <w:rFonts w:ascii="Arial Narrow" w:hAnsi="Arial Narrow" w:cs="Times New Roman"/>
                <w:sz w:val="20"/>
              </w:rPr>
              <w:t>transfery v rámci verejnej správy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71 500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66 960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54 904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54 904</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numPr>
                <w:ilvl w:val="0"/>
                <w:numId w:val="37"/>
              </w:numPr>
              <w:tabs>
                <w:tab w:val="left" w:pos="360"/>
              </w:tabs>
              <w:rPr>
                <w:rFonts w:ascii="Arial Narrow" w:hAnsi="Arial Narrow" w:cs="Times New Roman"/>
                <w:sz w:val="20"/>
              </w:rPr>
            </w:pPr>
            <w:r w:rsidRPr="005E3AC2">
              <w:rPr>
                <w:rFonts w:ascii="Arial Narrow" w:hAnsi="Arial Narrow" w:cs="Times New Roman"/>
                <w:sz w:val="20"/>
              </w:rPr>
              <w:t>zo splácania úver. a pôž.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36 513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41 625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47 869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55 049</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numPr>
                <w:ilvl w:val="0"/>
                <w:numId w:val="26"/>
              </w:numPr>
              <w:tabs>
                <w:tab w:val="left" w:pos="360"/>
              </w:tabs>
              <w:rPr>
                <w:rFonts w:ascii="Arial Narrow" w:hAnsi="Arial Narrow" w:cs="Times New Roman"/>
                <w:sz w:val="20"/>
              </w:rPr>
            </w:pPr>
            <w:r w:rsidRPr="005E3AC2">
              <w:rPr>
                <w:rFonts w:ascii="Arial Narrow" w:hAnsi="Arial Narrow" w:cs="Times New Roman"/>
                <w:sz w:val="20"/>
              </w:rPr>
              <w:t>zostatok prostriedkov z predch. rokov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332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332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332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332</w:t>
            </w:r>
          </w:p>
        </w:tc>
      </w:tr>
      <w:tr>
        <w:tblPrEx>
          <w:tblW w:w="9108" w:type="dxa"/>
        </w:tblPrEx>
        <w:trPr>
          <w:trHeight w:val="227"/>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both"/>
              <w:rPr>
                <w:rFonts w:ascii="Arial Narrow" w:hAnsi="Arial Narrow" w:cs="Times New Roman"/>
                <w:sz w:val="20"/>
              </w:rPr>
            </w:pP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rPr>
                <w:rFonts w:ascii="Arial Narrow" w:hAnsi="Arial Narrow" w:cs="Times New Roman"/>
                <w:b/>
                <w:i/>
                <w:sz w:val="20"/>
              </w:rPr>
            </w:pPr>
            <w:r w:rsidRPr="005E3AC2">
              <w:rPr>
                <w:rFonts w:ascii="Arial Narrow" w:hAnsi="Arial Narrow" w:cs="Times New Roman"/>
                <w:b/>
                <w:i/>
                <w:sz w:val="20"/>
              </w:rPr>
              <w:t>Výdavky  ŠFRB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135 820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136 196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131 950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140 790</w:t>
            </w:r>
          </w:p>
        </w:tc>
      </w:tr>
      <w:tr>
        <w:tblPrEx>
          <w:tblW w:w="9108" w:type="dxa"/>
        </w:tblPrEx>
        <w:trPr>
          <w:trHeight w:val="227"/>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rPr>
                <w:rFonts w:ascii="Arial Narrow" w:hAnsi="Arial Narrow" w:cs="Times New Roman"/>
                <w:b/>
                <w:i/>
                <w:sz w:val="20"/>
              </w:rPr>
            </w:pPr>
            <w:r w:rsidRPr="005E3AC2">
              <w:rPr>
                <w:rFonts w:ascii="Arial Narrow" w:hAnsi="Arial Narrow" w:cs="Times New Roman"/>
                <w:b/>
                <w:i/>
                <w:sz w:val="20"/>
              </w:rPr>
              <w:t>z  toho:</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numPr>
                <w:ilvl w:val="0"/>
                <w:numId w:val="24"/>
              </w:numPr>
              <w:tabs>
                <w:tab w:val="left" w:pos="360"/>
              </w:tabs>
              <w:rPr>
                <w:rFonts w:ascii="Arial Narrow" w:hAnsi="Arial Narrow" w:cs="Times New Roman"/>
                <w:sz w:val="20"/>
              </w:rPr>
            </w:pPr>
            <w:r w:rsidRPr="005E3AC2">
              <w:rPr>
                <w:rFonts w:ascii="Arial Narrow" w:hAnsi="Arial Narrow" w:cs="Times New Roman"/>
                <w:sz w:val="20"/>
              </w:rPr>
              <w:t>bežné výdavky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1 682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3 256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3 423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3 528</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numPr>
                <w:ilvl w:val="0"/>
                <w:numId w:val="24"/>
              </w:numPr>
              <w:tabs>
                <w:tab w:val="left" w:pos="360"/>
              </w:tabs>
              <w:rPr>
                <w:rFonts w:ascii="Arial Narrow" w:hAnsi="Arial Narrow" w:cs="Times New Roman"/>
                <w:sz w:val="20"/>
              </w:rPr>
            </w:pPr>
            <w:r w:rsidRPr="005E3AC2">
              <w:rPr>
                <w:rFonts w:ascii="Arial Narrow" w:hAnsi="Arial Narrow" w:cs="Times New Roman"/>
                <w:sz w:val="20"/>
              </w:rPr>
              <w:t>kapitálové výdavky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846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691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690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690</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numPr>
                <w:ilvl w:val="0"/>
                <w:numId w:val="24"/>
              </w:numPr>
              <w:tabs>
                <w:tab w:val="left" w:pos="360"/>
              </w:tabs>
              <w:rPr>
                <w:rFonts w:ascii="Arial Narrow" w:hAnsi="Arial Narrow" w:cs="Times New Roman"/>
                <w:sz w:val="20"/>
              </w:rPr>
            </w:pPr>
            <w:r w:rsidRPr="005E3AC2">
              <w:rPr>
                <w:rFonts w:ascii="Arial Narrow" w:hAnsi="Arial Narrow" w:cs="Times New Roman"/>
                <w:sz w:val="20"/>
              </w:rPr>
              <w:t>poskytnuté úvery a splácan</w:t>
            </w:r>
            <w:r w:rsidRPr="005E3AC2">
              <w:rPr>
                <w:rFonts w:ascii="Arial Narrow" w:hAnsi="Arial Narrow" w:cs="Times New Roman"/>
                <w:sz w:val="20"/>
              </w:rPr>
              <w:t>ie istín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133 292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132 249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127 837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136 572</w:t>
            </w:r>
          </w:p>
        </w:tc>
      </w:tr>
      <w:tr>
        <w:tblPrEx>
          <w:tblW w:w="9108" w:type="dxa"/>
        </w:tblPrEx>
        <w:trPr>
          <w:trHeight w:val="227"/>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both"/>
              <w:rPr>
                <w:rFonts w:ascii="Arial Narrow" w:hAnsi="Arial Narrow" w:cs="Times New Roman"/>
                <w:sz w:val="20"/>
              </w:rPr>
            </w:pP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rPr>
                <w:rFonts w:ascii="Arial Narrow" w:hAnsi="Arial Narrow" w:cs="Times New Roman"/>
                <w:b/>
                <w:i/>
                <w:sz w:val="20"/>
              </w:rPr>
            </w:pPr>
            <w:r w:rsidRPr="005E3AC2">
              <w:rPr>
                <w:rFonts w:ascii="Arial Narrow" w:hAnsi="Arial Narrow" w:cs="Times New Roman"/>
                <w:b/>
                <w:i/>
                <w:sz w:val="20"/>
              </w:rPr>
              <w:t>Celkový prebytok ŠFRB</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331</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332</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332</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332</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rPr>
                <w:rFonts w:ascii="Arial Narrow" w:hAnsi="Arial Narrow" w:cs="Times New Roman"/>
                <w:b/>
                <w:i/>
                <w:sz w:val="20"/>
              </w:rPr>
            </w:pPr>
            <w:r w:rsidRPr="005E3AC2">
              <w:rPr>
                <w:rFonts w:ascii="Arial Narrow" w:hAnsi="Arial Narrow" w:cs="Times New Roman"/>
                <w:b/>
                <w:i/>
                <w:sz w:val="20"/>
              </w:rPr>
              <w:t xml:space="preserve"> vylúčenie finančných operácií</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96 447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90 292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79 636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81 191</w:t>
            </w:r>
          </w:p>
        </w:tc>
      </w:tr>
      <w:tr>
        <w:tblPrEx>
          <w:tblW w:w="9108" w:type="dxa"/>
        </w:tblPrEx>
        <w:trPr>
          <w:trHeight w:val="227"/>
        </w:trPr>
        <w:tc>
          <w:tcPr>
            <w:tcW w:w="3708" w:type="dxa"/>
            <w:tcBorders>
              <w:top w:val="single" w:sz="4" w:space="0" w:color="auto"/>
              <w:left w:val="single" w:sz="4" w:space="0" w:color="auto"/>
              <w:bottom w:val="single" w:sz="4" w:space="0" w:color="auto"/>
              <w:right w:val="nil"/>
              <w:tl2br w:val="nil"/>
              <w:tr2bl w:val="nil"/>
            </w:tcBorders>
            <w:textDirection w:val="lrTb"/>
            <w:vAlign w:val="top"/>
          </w:tcPr>
          <w:p w:rsidR="00C52DD5" w:rsidRPr="005E3AC2" w:rsidP="00C52DD5">
            <w:pPr>
              <w:rPr>
                <w:rFonts w:ascii="Arial Narrow" w:hAnsi="Arial Narrow" w:cs="Times New Roman"/>
                <w:b/>
                <w:i/>
                <w:sz w:val="20"/>
              </w:rPr>
            </w:pPr>
            <w:r w:rsidRPr="005E3AC2">
              <w:rPr>
                <w:rFonts w:ascii="Arial Narrow" w:hAnsi="Arial Narrow" w:cs="Times New Roman"/>
                <w:b/>
                <w:i/>
                <w:sz w:val="20"/>
              </w:rPr>
              <w:t xml:space="preserve"> z toho:</w:t>
            </w:r>
          </w:p>
        </w:tc>
        <w:tc>
          <w:tcPr>
            <w:tcW w:w="1440" w:type="dxa"/>
            <w:tcBorders>
              <w:top w:val="single" w:sz="4" w:space="0" w:color="auto"/>
              <w:left w:val="nil"/>
              <w:bottom w:val="single" w:sz="4" w:space="0" w:color="auto"/>
              <w:right w:val="nil"/>
              <w:tl2br w:val="nil"/>
              <w:tr2bl w:val="nil"/>
            </w:tcBorders>
            <w:textDirection w:val="lrTb"/>
            <w:vAlign w:val="top"/>
          </w:tcPr>
          <w:p w:rsidR="00C52DD5" w:rsidRPr="005E3AC2" w:rsidP="00C52DD5">
            <w:pPr>
              <w:jc w:val="right"/>
              <w:rPr>
                <w:rFonts w:ascii="Arial Narrow" w:hAnsi="Arial Narrow" w:cs="Times New Roman"/>
                <w:b/>
                <w:i/>
                <w:sz w:val="20"/>
              </w:rPr>
            </w:pPr>
          </w:p>
        </w:tc>
        <w:tc>
          <w:tcPr>
            <w:tcW w:w="1440" w:type="dxa"/>
            <w:tcBorders>
              <w:top w:val="single" w:sz="4" w:space="0" w:color="auto"/>
              <w:left w:val="nil"/>
              <w:bottom w:val="single" w:sz="4" w:space="0" w:color="auto"/>
              <w:right w:val="nil"/>
              <w:tl2br w:val="nil"/>
              <w:tr2bl w:val="nil"/>
            </w:tcBorders>
            <w:textDirection w:val="lrTb"/>
            <w:vAlign w:val="top"/>
          </w:tcPr>
          <w:p w:rsidR="00C52DD5" w:rsidRPr="005E3AC2" w:rsidP="00C52DD5">
            <w:pPr>
              <w:jc w:val="right"/>
              <w:rPr>
                <w:rFonts w:ascii="Arial Narrow" w:hAnsi="Arial Narrow" w:cs="Times New Roman"/>
                <w:b/>
                <w:i/>
                <w:sz w:val="20"/>
              </w:rPr>
            </w:pPr>
          </w:p>
        </w:tc>
        <w:tc>
          <w:tcPr>
            <w:tcW w:w="1260" w:type="dxa"/>
            <w:tcBorders>
              <w:top w:val="single" w:sz="4" w:space="0" w:color="auto"/>
              <w:left w:val="nil"/>
              <w:bottom w:val="single" w:sz="4" w:space="0" w:color="auto"/>
              <w:right w:val="nil"/>
              <w:tl2br w:val="nil"/>
              <w:tr2bl w:val="nil"/>
            </w:tcBorders>
            <w:textDirection w:val="lrTb"/>
            <w:vAlign w:val="top"/>
          </w:tcPr>
          <w:p w:rsidR="00C52DD5" w:rsidRPr="005E3AC2" w:rsidP="00C52DD5">
            <w:pPr>
              <w:jc w:val="right"/>
              <w:rPr>
                <w:rFonts w:ascii="Arial Narrow" w:hAnsi="Arial Narrow" w:cs="Times New Roman"/>
                <w:b/>
                <w:i/>
                <w:sz w:val="20"/>
              </w:rPr>
            </w:pP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b/>
                <w:i/>
                <w:sz w:val="20"/>
              </w:rPr>
            </w:pP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numPr>
                <w:ilvl w:val="0"/>
                <w:numId w:val="25"/>
              </w:numPr>
              <w:tabs>
                <w:tab w:val="left" w:pos="360"/>
              </w:tabs>
              <w:rPr>
                <w:rFonts w:ascii="Arial Narrow" w:hAnsi="Arial Narrow" w:cs="Times New Roman"/>
                <w:b/>
                <w:sz w:val="20"/>
              </w:rPr>
            </w:pPr>
            <w:r w:rsidRPr="005E3AC2">
              <w:rPr>
                <w:rFonts w:ascii="Arial Narrow" w:hAnsi="Arial Narrow" w:cs="Times New Roman"/>
                <w:sz w:val="20"/>
              </w:rPr>
              <w:t>vylúčenie príjmových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-36 845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-41 957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-48 201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-55 381</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numPr>
                <w:ilvl w:val="0"/>
                <w:numId w:val="25"/>
              </w:numPr>
              <w:tabs>
                <w:tab w:val="left" w:pos="360"/>
              </w:tabs>
              <w:rPr>
                <w:rFonts w:ascii="Arial Narrow" w:hAnsi="Arial Narrow" w:cs="Times New Roman"/>
                <w:sz w:val="20"/>
              </w:rPr>
            </w:pPr>
            <w:r w:rsidRPr="005E3AC2">
              <w:rPr>
                <w:rFonts w:ascii="Arial Narrow" w:hAnsi="Arial Narrow" w:cs="Times New Roman"/>
                <w:sz w:val="20"/>
              </w:rPr>
              <w:t>vylúčenie výdavkových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133 292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132</w:t>
            </w:r>
            <w:r>
              <w:rPr>
                <w:rFonts w:ascii="Arial Narrow" w:hAnsi="Arial Narrow" w:cs="Times New Roman"/>
                <w:sz w:val="20"/>
              </w:rPr>
              <w:t xml:space="preserve"> 249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127 837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right"/>
              <w:rPr>
                <w:rFonts w:ascii="Arial Narrow" w:hAnsi="Arial Narrow" w:cs="Times New Roman"/>
                <w:sz w:val="20"/>
              </w:rPr>
            </w:pPr>
            <w:r>
              <w:rPr>
                <w:rFonts w:ascii="Arial Narrow" w:hAnsi="Arial Narrow" w:cs="Times New Roman"/>
                <w:sz w:val="20"/>
              </w:rPr>
              <w:t>136 572</w:t>
            </w:r>
          </w:p>
        </w:tc>
      </w:tr>
      <w:tr>
        <w:tblPrEx>
          <w:tblW w:w="9108" w:type="dxa"/>
        </w:tblPrEx>
        <w:trPr>
          <w:trHeight w:val="227"/>
        </w:trPr>
        <w:tc>
          <w:tcPr>
            <w:tcW w:w="910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3AC2" w:rsidP="00C52DD5">
            <w:pPr>
              <w:jc w:val="both"/>
              <w:rPr>
                <w:rFonts w:ascii="Arial Narrow" w:hAnsi="Arial Narrow" w:cs="Times New Roman"/>
                <w:sz w:val="20"/>
              </w:rPr>
            </w:pPr>
            <w:r w:rsidRPr="005E3AC2">
              <w:rPr>
                <w:rFonts w:ascii="Arial Narrow" w:hAnsi="Arial Narrow" w:cs="Times New Roman"/>
                <w:sz w:val="20"/>
              </w:rPr>
              <w:t xml:space="preserve">                                                                          </w:t>
            </w:r>
          </w:p>
        </w:tc>
      </w:tr>
      <w:tr>
        <w:tblPrEx>
          <w:tblW w:w="9108" w:type="dxa"/>
        </w:tblPrEx>
        <w:trPr>
          <w:trHeight w:val="227"/>
        </w:trPr>
        <w:tc>
          <w:tcPr>
            <w:tcW w:w="370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rPr>
                <w:rFonts w:ascii="Arial Narrow" w:hAnsi="Arial Narrow" w:cs="Times New Roman"/>
                <w:b/>
                <w:i/>
                <w:sz w:val="20"/>
              </w:rPr>
            </w:pPr>
            <w:r w:rsidRPr="005E3AC2">
              <w:rPr>
                <w:rFonts w:ascii="Arial Narrow" w:hAnsi="Arial Narrow" w:cs="Times New Roman"/>
                <w:b/>
                <w:i/>
                <w:sz w:val="20"/>
              </w:rPr>
              <w:t>Prebytok  ŠFRB  (ESA 95)</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ind w:left="50"/>
              <w:jc w:val="right"/>
              <w:rPr>
                <w:rFonts w:ascii="Arial Narrow" w:hAnsi="Arial Narrow" w:cs="Times New Roman"/>
                <w:b/>
                <w:i/>
                <w:sz w:val="20"/>
              </w:rPr>
            </w:pPr>
            <w:r>
              <w:rPr>
                <w:rFonts w:ascii="Arial Narrow" w:hAnsi="Arial Narrow" w:cs="Times New Roman"/>
                <w:b/>
                <w:i/>
                <w:sz w:val="20"/>
              </w:rPr>
              <w:t>96 778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90 624</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79 968</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E3AC2" w:rsidP="00C52DD5">
            <w:pPr>
              <w:jc w:val="right"/>
              <w:rPr>
                <w:rFonts w:ascii="Arial Narrow" w:hAnsi="Arial Narrow" w:cs="Times New Roman"/>
                <w:b/>
                <w:i/>
                <w:sz w:val="20"/>
              </w:rPr>
            </w:pPr>
            <w:r>
              <w:rPr>
                <w:rFonts w:ascii="Arial Narrow" w:hAnsi="Arial Narrow" w:cs="Times New Roman"/>
                <w:b/>
                <w:i/>
                <w:sz w:val="20"/>
              </w:rPr>
              <w:t>81 523</w:t>
            </w:r>
          </w:p>
        </w:tc>
      </w:tr>
    </w:tbl>
    <w:p w:rsidR="00C52DD5" w:rsidRPr="00AB421E" w:rsidP="00C52DD5">
      <w:pPr>
        <w:rPr>
          <w:rFonts w:cs="Times New Roman"/>
          <w:highlight w:val="yellow"/>
        </w:rPr>
      </w:pPr>
    </w:p>
    <w:p w:rsidR="00C52DD5" w:rsidRPr="001A548B" w:rsidP="00C52DD5">
      <w:pPr>
        <w:ind w:left="720" w:hanging="720"/>
        <w:jc w:val="both"/>
        <w:rPr>
          <w:rFonts w:ascii="Arial Narrow" w:hAnsi="Arial Narrow" w:cs="Times New Roman"/>
          <w:b/>
          <w:sz w:val="22"/>
          <w:szCs w:val="22"/>
        </w:rPr>
      </w:pPr>
      <w:r w:rsidRPr="001A548B">
        <w:rPr>
          <w:rFonts w:ascii="Arial Narrow" w:hAnsi="Arial Narrow" w:cs="Times New Roman"/>
          <w:b/>
          <w:sz w:val="22"/>
          <w:szCs w:val="22"/>
        </w:rPr>
        <w:t xml:space="preserve">4.2. Národný jadrový fond </w:t>
      </w:r>
    </w:p>
    <w:p w:rsidR="00C52DD5" w:rsidP="00C52DD5">
      <w:pPr>
        <w:ind w:firstLine="708"/>
        <w:jc w:val="both"/>
        <w:rPr>
          <w:rFonts w:ascii="Arial Narrow" w:hAnsi="Arial Narrow" w:cs="Times New Roman"/>
          <w:sz w:val="22"/>
          <w:szCs w:val="22"/>
          <w:highlight w:val="yellow"/>
        </w:rPr>
      </w:pPr>
    </w:p>
    <w:p w:rsidR="00C52DD5" w:rsidP="00C52DD5">
      <w:pPr>
        <w:ind w:firstLine="708"/>
        <w:jc w:val="both"/>
        <w:rPr>
          <w:rFonts w:ascii="Arial Narrow" w:hAnsi="Arial Narrow" w:cs="Arial"/>
          <w:sz w:val="22"/>
          <w:szCs w:val="22"/>
        </w:rPr>
      </w:pPr>
      <w:r w:rsidRPr="002B51F5">
        <w:rPr>
          <w:rFonts w:ascii="Arial Narrow" w:hAnsi="Arial Narrow" w:cs="Times New Roman"/>
          <w:sz w:val="22"/>
          <w:szCs w:val="22"/>
        </w:rPr>
        <w:t>Príjmy Národného jadrového fondu na vyraďovanie jadrových zariadení a na na</w:t>
      </w:r>
      <w:r w:rsidRPr="002B51F5">
        <w:rPr>
          <w:rFonts w:ascii="Arial Narrow" w:hAnsi="Arial Narrow" w:cs="Times New Roman"/>
          <w:sz w:val="22"/>
          <w:szCs w:val="22"/>
        </w:rPr>
        <w:t>kladanie s jadrovým palivom a rádioaktívnymi</w:t>
      </w:r>
      <w:r>
        <w:rPr>
          <w:rFonts w:ascii="Arial Narrow" w:hAnsi="Arial Narrow" w:cs="Times New Roman"/>
          <w:sz w:val="22"/>
          <w:szCs w:val="22"/>
        </w:rPr>
        <w:t xml:space="preserve"> odpadmi (ďalej len „NJF“) na rok 2009</w:t>
      </w:r>
      <w:r w:rsidRPr="002B51F5">
        <w:rPr>
          <w:rFonts w:ascii="Arial Narrow" w:hAnsi="Arial Narrow" w:cs="Times New Roman"/>
          <w:sz w:val="22"/>
          <w:szCs w:val="22"/>
        </w:rPr>
        <w:t xml:space="preserve">  sú tvorené príspevkami od držiteľov povolenia na prevádzku jadrových zariade</w:t>
      </w:r>
      <w:r>
        <w:rPr>
          <w:rFonts w:ascii="Arial Narrow" w:hAnsi="Arial Narrow" w:cs="Times New Roman"/>
          <w:sz w:val="22"/>
          <w:szCs w:val="22"/>
        </w:rPr>
        <w:t>ní v sume 65,1</w:t>
      </w:r>
      <w:r w:rsidRPr="002B51F5">
        <w:rPr>
          <w:rFonts w:ascii="Arial Narrow" w:hAnsi="Arial Narrow" w:cs="Times New Roman"/>
          <w:sz w:val="22"/>
          <w:szCs w:val="22"/>
        </w:rPr>
        <w:t xml:space="preserve"> </w:t>
      </w:r>
      <w:r>
        <w:rPr>
          <w:rFonts w:ascii="Arial Narrow" w:hAnsi="Arial Narrow" w:cs="Times New Roman"/>
          <w:sz w:val="22"/>
          <w:szCs w:val="22"/>
        </w:rPr>
        <w:t>mil. eur</w:t>
      </w:r>
      <w:r w:rsidRPr="002B51F5">
        <w:rPr>
          <w:rFonts w:ascii="Arial Narrow" w:hAnsi="Arial Narrow" w:cs="Times New Roman"/>
          <w:sz w:val="22"/>
          <w:szCs w:val="22"/>
        </w:rPr>
        <w:t>,  odvodmi vyberaným prevádzkovateľmi prenosovej a d</w:t>
      </w:r>
      <w:r>
        <w:rPr>
          <w:rFonts w:ascii="Arial Narrow" w:hAnsi="Arial Narrow" w:cs="Times New Roman"/>
          <w:sz w:val="22"/>
          <w:szCs w:val="22"/>
        </w:rPr>
        <w:t>istribučnej sústavy v</w:t>
      </w:r>
      <w:r>
        <w:rPr>
          <w:rFonts w:ascii="Arial Narrow" w:hAnsi="Arial Narrow" w:cs="Times New Roman"/>
          <w:sz w:val="22"/>
          <w:szCs w:val="22"/>
        </w:rPr>
        <w:t> sume 70,2</w:t>
      </w:r>
      <w:r w:rsidRPr="002B51F5">
        <w:rPr>
          <w:rFonts w:ascii="Arial Narrow" w:hAnsi="Arial Narrow" w:cs="Times New Roman"/>
          <w:sz w:val="22"/>
          <w:szCs w:val="22"/>
        </w:rPr>
        <w:t xml:space="preserve"> </w:t>
      </w:r>
      <w:r>
        <w:rPr>
          <w:rFonts w:ascii="Arial Narrow" w:hAnsi="Arial Narrow" w:cs="Times New Roman"/>
          <w:sz w:val="22"/>
          <w:szCs w:val="22"/>
        </w:rPr>
        <w:t>mil. eur, úrokmi z vkladov v sume 19,1</w:t>
      </w:r>
      <w:r w:rsidRPr="002B51F5">
        <w:rPr>
          <w:rFonts w:ascii="Arial Narrow" w:hAnsi="Arial Narrow" w:cs="Times New Roman"/>
          <w:sz w:val="22"/>
          <w:szCs w:val="22"/>
        </w:rPr>
        <w:t xml:space="preserve"> </w:t>
      </w:r>
      <w:r>
        <w:rPr>
          <w:rFonts w:ascii="Arial Narrow" w:hAnsi="Arial Narrow" w:cs="Times New Roman"/>
          <w:sz w:val="22"/>
          <w:szCs w:val="22"/>
        </w:rPr>
        <w:t>mil. eur</w:t>
      </w:r>
      <w:r w:rsidRPr="002B51F5">
        <w:rPr>
          <w:rFonts w:ascii="Arial Narrow" w:hAnsi="Arial Narrow" w:cs="Times New Roman"/>
          <w:sz w:val="22"/>
          <w:szCs w:val="22"/>
        </w:rPr>
        <w:t xml:space="preserve"> a dotáci</w:t>
      </w:r>
      <w:r>
        <w:rPr>
          <w:rFonts w:ascii="Arial Narrow" w:hAnsi="Arial Narrow" w:cs="Times New Roman"/>
          <w:sz w:val="22"/>
          <w:szCs w:val="22"/>
        </w:rPr>
        <w:t>ou zo štátneho rozpočtu v sume 193 tis. eur.</w:t>
      </w:r>
      <w:r>
        <w:rPr>
          <w:rFonts w:ascii="Arial Narrow" w:hAnsi="Arial Narrow" w:cs="Arial"/>
          <w:sz w:val="22"/>
          <w:szCs w:val="22"/>
        </w:rPr>
        <w:t xml:space="preserve"> </w:t>
      </w:r>
    </w:p>
    <w:p w:rsidR="00C52DD5" w:rsidRPr="0034337F" w:rsidP="00C52DD5">
      <w:pPr>
        <w:ind w:firstLine="708"/>
        <w:jc w:val="both"/>
        <w:rPr>
          <w:rFonts w:ascii="Arial Narrow" w:hAnsi="Arial Narrow" w:cs="Times New Roman"/>
          <w:sz w:val="22"/>
          <w:szCs w:val="22"/>
        </w:rPr>
      </w:pPr>
    </w:p>
    <w:p w:rsidR="00C52DD5" w:rsidRPr="002B51F5" w:rsidP="00C52DD5">
      <w:pPr>
        <w:ind w:firstLine="708"/>
        <w:jc w:val="both"/>
        <w:rPr>
          <w:rFonts w:ascii="Arial Narrow" w:hAnsi="Arial Narrow" w:cs="Times New Roman"/>
          <w:sz w:val="22"/>
          <w:szCs w:val="22"/>
        </w:rPr>
      </w:pPr>
      <w:r w:rsidRPr="002B51F5">
        <w:rPr>
          <w:rFonts w:ascii="Arial Narrow" w:hAnsi="Arial Narrow" w:cs="Times New Roman"/>
          <w:sz w:val="22"/>
          <w:szCs w:val="22"/>
        </w:rPr>
        <w:t xml:space="preserve">Výdavky sú smerované na </w:t>
      </w:r>
      <w:r>
        <w:rPr>
          <w:rFonts w:ascii="Arial Narrow" w:hAnsi="Arial Narrow" w:cs="Times New Roman"/>
          <w:sz w:val="22"/>
          <w:szCs w:val="22"/>
        </w:rPr>
        <w:t>projekty záverečnej časti jadrovej energetiky týkajúce sa vyraďovania</w:t>
      </w:r>
      <w:r w:rsidRPr="002B51F5">
        <w:rPr>
          <w:rFonts w:ascii="Arial Narrow" w:hAnsi="Arial Narrow" w:cs="Times New Roman"/>
          <w:sz w:val="22"/>
          <w:szCs w:val="22"/>
        </w:rPr>
        <w:t xml:space="preserve"> jadrových zariadení</w:t>
      </w:r>
      <w:r w:rsidRPr="006D7F80">
        <w:rPr>
          <w:rFonts w:ascii="Arial Narrow" w:hAnsi="Arial Narrow" w:cs="Times New Roman"/>
          <w:sz w:val="22"/>
          <w:szCs w:val="22"/>
        </w:rPr>
        <w:t xml:space="preserve"> </w:t>
      </w:r>
      <w:r>
        <w:rPr>
          <w:rFonts w:ascii="Arial Narrow" w:hAnsi="Arial Narrow" w:cs="Times New Roman"/>
          <w:sz w:val="22"/>
          <w:szCs w:val="22"/>
        </w:rPr>
        <w:t>vrátane nakladania s rádioaktívnymi odpadmi z tohto vyraďovania v lokalite Jaslovské Bohunice</w:t>
      </w:r>
      <w:r w:rsidRPr="002B51F5">
        <w:rPr>
          <w:rFonts w:ascii="Arial Narrow" w:hAnsi="Arial Narrow" w:cs="Times New Roman"/>
          <w:sz w:val="22"/>
          <w:szCs w:val="22"/>
        </w:rPr>
        <w:t xml:space="preserve">, </w:t>
      </w:r>
      <w:r>
        <w:rPr>
          <w:rFonts w:ascii="Arial Narrow" w:hAnsi="Arial Narrow" w:cs="Times New Roman"/>
          <w:sz w:val="22"/>
          <w:szCs w:val="22"/>
        </w:rPr>
        <w:t xml:space="preserve">na </w:t>
      </w:r>
      <w:r w:rsidRPr="002B51F5">
        <w:rPr>
          <w:rFonts w:ascii="Arial Narrow" w:hAnsi="Arial Narrow" w:cs="Times New Roman"/>
          <w:sz w:val="22"/>
          <w:szCs w:val="22"/>
        </w:rPr>
        <w:t xml:space="preserve">nakladanie s jadrovými materiálmi a rádioaktívnymi odpadmi, ktorých pôvodca nie je známy, </w:t>
      </w:r>
      <w:r>
        <w:rPr>
          <w:rFonts w:ascii="Arial Narrow" w:hAnsi="Arial Narrow" w:cs="Times New Roman"/>
          <w:sz w:val="22"/>
          <w:szCs w:val="22"/>
        </w:rPr>
        <w:br/>
        <w:t xml:space="preserve">na </w:t>
      </w:r>
      <w:r w:rsidRPr="002B51F5">
        <w:rPr>
          <w:rFonts w:ascii="Arial Narrow" w:hAnsi="Arial Narrow" w:cs="Times New Roman"/>
          <w:sz w:val="22"/>
          <w:szCs w:val="22"/>
        </w:rPr>
        <w:t xml:space="preserve">prevádzku regionálneho </w:t>
      </w:r>
      <w:r>
        <w:rPr>
          <w:rFonts w:ascii="Arial Narrow" w:hAnsi="Arial Narrow" w:cs="Times New Roman"/>
          <w:sz w:val="22"/>
          <w:szCs w:val="22"/>
        </w:rPr>
        <w:t>úložiska rádioaktívneho odpadu,</w:t>
      </w:r>
      <w:r w:rsidRPr="002B51F5">
        <w:rPr>
          <w:rFonts w:ascii="Arial Narrow" w:hAnsi="Arial Narrow" w:cs="Times New Roman"/>
          <w:sz w:val="22"/>
          <w:szCs w:val="22"/>
        </w:rPr>
        <w:t> vývoj hlbinného úložiska a  na správu</w:t>
      </w:r>
      <w:r w:rsidRPr="002B51F5">
        <w:rPr>
          <w:rFonts w:ascii="Arial Narrow" w:hAnsi="Arial Narrow" w:cs="Times New Roman"/>
          <w:sz w:val="22"/>
          <w:szCs w:val="22"/>
        </w:rPr>
        <w:t xml:space="preserve"> fondu.</w:t>
      </w:r>
    </w:p>
    <w:p w:rsidR="00C52DD5" w:rsidRPr="00186C4E" w:rsidP="00C52DD5">
      <w:pPr>
        <w:pStyle w:val="BodyTextIndent3"/>
        <w:rPr>
          <w:rFonts w:cs="Times New Roman"/>
        </w:rPr>
      </w:pPr>
      <w:r w:rsidRPr="00195BA1">
        <w:rPr>
          <w:rFonts w:cs="Times New Roman"/>
        </w:rPr>
        <w:t xml:space="preserve">Vývoj príjmovej a výdavkovej časti rozpočtu </w:t>
      </w:r>
      <w:r>
        <w:rPr>
          <w:rFonts w:cs="Times New Roman"/>
        </w:rPr>
        <w:t>NJF</w:t>
      </w:r>
      <w:r w:rsidRPr="00195BA1">
        <w:rPr>
          <w:rFonts w:cs="Times New Roman"/>
        </w:rPr>
        <w:t xml:space="preserve"> na roky 2009 až 2011 je nasledovný</w:t>
      </w:r>
      <w:r>
        <w:rPr>
          <w:rFonts w:cs="Times New Roman"/>
        </w:rPr>
        <w:t>:</w:t>
      </w:r>
    </w:p>
    <w:p w:rsidR="00C52DD5" w:rsidRPr="00AB421E" w:rsidP="00C52DD5">
      <w:pPr>
        <w:ind w:left="7788"/>
        <w:rPr>
          <w:rFonts w:ascii="Arial Narrow" w:hAnsi="Arial Narrow" w:cs="Times New Roman"/>
          <w:sz w:val="18"/>
          <w:szCs w:val="18"/>
          <w:highlight w:val="yellow"/>
        </w:rPr>
      </w:pPr>
      <w:r w:rsidRPr="00AB421E">
        <w:rPr>
          <w:rFonts w:cs="Times New Roman"/>
          <w:sz w:val="18"/>
          <w:szCs w:val="18"/>
          <w:highlight w:val="yellow"/>
        </w:rPr>
        <w:t xml:space="preserve">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1080"/>
        <w:gridCol w:w="1440"/>
        <w:gridCol w:w="1337"/>
        <w:gridCol w:w="1363"/>
      </w:tblGrid>
      <w:tr>
        <w:tblPrEx>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712A24" w:rsidP="00C52DD5">
            <w:pPr>
              <w:rPr>
                <w:rFonts w:ascii="Arial Narrow" w:hAnsi="Arial Narrow" w:cs="Times New Roman"/>
                <w:b/>
                <w:iCs/>
                <w:color w:val="FFFFFF"/>
                <w:sz w:val="20"/>
              </w:rPr>
            </w:pPr>
            <w:r w:rsidRPr="00712A24">
              <w:rPr>
                <w:rFonts w:ascii="Arial Narrow" w:hAnsi="Arial Narrow" w:cs="Times New Roman"/>
                <w:b/>
                <w:iCs/>
                <w:color w:val="FFFFFF"/>
                <w:sz w:val="20"/>
              </w:rPr>
              <w:t>(v tis. eur)</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712A24" w:rsidP="00C52DD5">
            <w:pPr>
              <w:jc w:val="center"/>
              <w:rPr>
                <w:rFonts w:ascii="Arial Narrow" w:hAnsi="Arial Narrow" w:cs="Times New Roman"/>
                <w:b/>
                <w:bCs/>
                <w:iCs/>
                <w:color w:val="FFFFFF"/>
                <w:sz w:val="20"/>
              </w:rPr>
            </w:pPr>
            <w:r w:rsidRPr="00712A24">
              <w:rPr>
                <w:rFonts w:ascii="Arial Narrow" w:hAnsi="Arial Narrow" w:cs="Times New Roman"/>
                <w:b/>
                <w:bCs/>
                <w:iCs/>
                <w:color w:val="FFFFFF"/>
                <w:sz w:val="20"/>
              </w:rPr>
              <w:t>200</w:t>
            </w:r>
            <w:r>
              <w:rPr>
                <w:rFonts w:ascii="Arial Narrow" w:hAnsi="Arial Narrow" w:cs="Times New Roman"/>
                <w:b/>
                <w:bCs/>
                <w:iCs/>
                <w:color w:val="FFFFFF"/>
                <w:sz w:val="20"/>
              </w:rPr>
              <w:t>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712A24" w:rsidP="00C52DD5">
            <w:pPr>
              <w:jc w:val="center"/>
              <w:rPr>
                <w:rFonts w:ascii="Arial Narrow" w:hAnsi="Arial Narrow" w:cs="Times New Roman"/>
                <w:b/>
                <w:bCs/>
                <w:iCs/>
                <w:color w:val="FFFFFF"/>
                <w:sz w:val="20"/>
              </w:rPr>
            </w:pPr>
            <w:r w:rsidRPr="00712A24">
              <w:rPr>
                <w:rFonts w:ascii="Arial Narrow" w:hAnsi="Arial Narrow" w:cs="Times New Roman"/>
                <w:b/>
                <w:bCs/>
                <w:iCs/>
                <w:color w:val="FFFFFF"/>
                <w:sz w:val="20"/>
              </w:rPr>
              <w:t xml:space="preserve"> 200</w:t>
            </w:r>
            <w:r>
              <w:rPr>
                <w:rFonts w:ascii="Arial Narrow" w:hAnsi="Arial Narrow" w:cs="Times New Roman"/>
                <w:b/>
                <w:bCs/>
                <w:iCs/>
                <w:color w:val="FFFFFF"/>
                <w:sz w:val="20"/>
              </w:rPr>
              <w:t>9</w:t>
            </w:r>
          </w:p>
        </w:tc>
        <w:tc>
          <w:tcPr>
            <w:tcW w:w="1337"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712A24" w:rsidP="00C52DD5">
            <w:pPr>
              <w:jc w:val="center"/>
              <w:rPr>
                <w:rFonts w:ascii="Arial Narrow" w:hAnsi="Arial Narrow" w:cs="Times New Roman"/>
                <w:b/>
                <w:bCs/>
                <w:iCs/>
                <w:color w:val="FFFFFF"/>
                <w:sz w:val="20"/>
              </w:rPr>
            </w:pPr>
            <w:r w:rsidRPr="00712A24">
              <w:rPr>
                <w:rFonts w:ascii="Arial Narrow" w:hAnsi="Arial Narrow" w:cs="Times New Roman"/>
                <w:b/>
                <w:bCs/>
                <w:iCs/>
                <w:color w:val="FFFFFF"/>
                <w:sz w:val="20"/>
              </w:rPr>
              <w:t xml:space="preserve"> 20</w:t>
            </w:r>
            <w:r>
              <w:rPr>
                <w:rFonts w:ascii="Arial Narrow" w:hAnsi="Arial Narrow" w:cs="Times New Roman"/>
                <w:b/>
                <w:bCs/>
                <w:iCs/>
                <w:color w:val="FFFFFF"/>
                <w:sz w:val="20"/>
              </w:rPr>
              <w:t>10</w:t>
            </w:r>
          </w:p>
        </w:tc>
        <w:tc>
          <w:tcPr>
            <w:tcW w:w="1363"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712A24" w:rsidP="00C52DD5">
            <w:pPr>
              <w:jc w:val="center"/>
              <w:rPr>
                <w:rFonts w:ascii="Arial Narrow" w:hAnsi="Arial Narrow" w:cs="Times New Roman"/>
                <w:b/>
                <w:bCs/>
                <w:iCs/>
                <w:color w:val="FFFFFF"/>
                <w:sz w:val="20"/>
              </w:rPr>
            </w:pPr>
            <w:r w:rsidRPr="00712A24">
              <w:rPr>
                <w:rFonts w:ascii="Arial Narrow" w:hAnsi="Arial Narrow" w:cs="Times New Roman"/>
                <w:b/>
                <w:bCs/>
                <w:iCs/>
                <w:color w:val="FFFFFF"/>
                <w:sz w:val="20"/>
              </w:rPr>
              <w:t xml:space="preserve"> 201</w:t>
            </w:r>
            <w:r>
              <w:rPr>
                <w:rFonts w:ascii="Arial Narrow" w:hAnsi="Arial Narrow" w:cs="Times New Roman"/>
                <w:b/>
                <w:bCs/>
                <w:iCs/>
                <w:color w:val="FFFFFF"/>
                <w:sz w:val="20"/>
              </w:rPr>
              <w:t>1</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rPr>
                <w:rFonts w:ascii="Arial Narrow" w:hAnsi="Arial Narrow" w:cs="Times New Roman"/>
                <w:b/>
                <w:i/>
                <w:sz w:val="20"/>
              </w:rPr>
            </w:pPr>
            <w:r w:rsidRPr="00712A24">
              <w:rPr>
                <w:rFonts w:ascii="Arial Narrow" w:hAnsi="Arial Narrow" w:cs="Times New Roman"/>
                <w:b/>
                <w:i/>
                <w:sz w:val="20"/>
              </w:rPr>
              <w:t>Príjmy NJF  spolu</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731 570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839 550</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909 897</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982 160</w:t>
            </w:r>
          </w:p>
        </w:tc>
      </w:tr>
      <w:tr>
        <w:tblPrEx>
          <w:tblW w:w="9180" w:type="dxa"/>
          <w:tblInd w:w="108" w:type="dxa"/>
        </w:tblPrEx>
        <w:trPr>
          <w:trHeight w:val="227"/>
        </w:trPr>
        <w:tc>
          <w:tcPr>
            <w:tcW w:w="918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rPr>
                <w:rFonts w:ascii="Arial Narrow" w:hAnsi="Arial Narrow" w:cs="Times New Roman"/>
                <w:sz w:val="20"/>
              </w:rPr>
            </w:pPr>
            <w:r w:rsidRPr="00712A24">
              <w:rPr>
                <w:rFonts w:ascii="Arial Narrow" w:hAnsi="Arial Narrow" w:cs="Times New Roman"/>
                <w:b/>
                <w:i/>
                <w:sz w:val="20"/>
              </w:rPr>
              <w:t>z toho:</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numPr>
                <w:ilvl w:val="0"/>
                <w:numId w:val="37"/>
              </w:numPr>
              <w:tabs>
                <w:tab w:val="left" w:pos="360"/>
              </w:tabs>
              <w:rPr>
                <w:rFonts w:ascii="Arial Narrow" w:hAnsi="Arial Narrow" w:cs="Times New Roman"/>
                <w:sz w:val="20"/>
              </w:rPr>
            </w:pPr>
            <w:r w:rsidRPr="00712A24">
              <w:rPr>
                <w:rFonts w:ascii="Arial Narrow" w:hAnsi="Arial Narrow" w:cs="Times New Roman"/>
                <w:sz w:val="20"/>
              </w:rPr>
              <w:t xml:space="preserve">úroky z domácich pôžičiek a vklad. </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16 365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19 087</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21 244</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23 368</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numPr>
                <w:ilvl w:val="0"/>
                <w:numId w:val="37"/>
              </w:numPr>
              <w:tabs>
                <w:tab w:val="left" w:pos="360"/>
              </w:tabs>
              <w:rPr>
                <w:rFonts w:ascii="Arial Narrow" w:hAnsi="Arial Narrow" w:cs="Times New Roman"/>
                <w:sz w:val="20"/>
              </w:rPr>
            </w:pPr>
            <w:r w:rsidRPr="00712A24">
              <w:rPr>
                <w:rFonts w:ascii="Arial Narrow" w:hAnsi="Arial Narrow" w:cs="Times New Roman"/>
                <w:sz w:val="20"/>
              </w:rPr>
              <w:t xml:space="preserve">z prijatých odvodov od vlastníkov JEZ, z toho: </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131 016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135 331</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133 307</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134 967</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rPr>
                <w:rFonts w:ascii="Arial Narrow" w:hAnsi="Arial Narrow" w:cs="Times New Roman"/>
                <w:sz w:val="20"/>
              </w:rPr>
            </w:pPr>
            <w:r w:rsidRPr="00712A24">
              <w:rPr>
                <w:rFonts w:ascii="Arial Narrow" w:hAnsi="Arial Narrow" w:cs="Times New Roman"/>
                <w:sz w:val="20"/>
              </w:rPr>
              <w:t xml:space="preserve">           príspevky od prevádzkovateľov JZ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72 927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65 093</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61 409</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61 409</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rPr>
                <w:rFonts w:ascii="Arial Narrow" w:hAnsi="Arial Narrow" w:cs="Times New Roman"/>
                <w:sz w:val="20"/>
              </w:rPr>
            </w:pPr>
            <w:r w:rsidRPr="00712A24">
              <w:rPr>
                <w:rFonts w:ascii="Arial Narrow" w:hAnsi="Arial Narrow" w:cs="Times New Roman"/>
                <w:sz w:val="20"/>
              </w:rPr>
              <w:t xml:space="preserve">           odvod od prevádz.  prenos. a distrib. sústav</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58 089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70 238</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71 898</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73 558</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numPr>
                <w:ilvl w:val="0"/>
                <w:numId w:val="37"/>
              </w:numPr>
              <w:tabs>
                <w:tab w:val="left" w:pos="360"/>
              </w:tabs>
              <w:rPr>
                <w:rFonts w:ascii="Arial Narrow" w:hAnsi="Arial Narrow" w:cs="Times New Roman"/>
                <w:sz w:val="20"/>
              </w:rPr>
            </w:pPr>
            <w:r w:rsidRPr="00712A24">
              <w:rPr>
                <w:rFonts w:ascii="Arial Narrow" w:hAnsi="Arial Narrow" w:cs="Times New Roman"/>
                <w:sz w:val="20"/>
              </w:rPr>
              <w:t>transfer v rámc</w:t>
            </w:r>
            <w:r w:rsidRPr="00712A24">
              <w:rPr>
                <w:rFonts w:ascii="Arial Narrow" w:hAnsi="Arial Narrow" w:cs="Times New Roman"/>
                <w:sz w:val="20"/>
              </w:rPr>
              <w:t>i VS</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166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193</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199</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332</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numPr>
                <w:ilvl w:val="0"/>
                <w:numId w:val="26"/>
              </w:numPr>
              <w:tabs>
                <w:tab w:val="left" w:pos="360"/>
              </w:tabs>
              <w:rPr>
                <w:rFonts w:ascii="Arial Narrow" w:hAnsi="Arial Narrow" w:cs="Times New Roman"/>
                <w:sz w:val="20"/>
              </w:rPr>
            </w:pPr>
            <w:r w:rsidRPr="00712A24">
              <w:rPr>
                <w:rFonts w:ascii="Arial Narrow" w:hAnsi="Arial Narrow" w:cs="Times New Roman"/>
                <w:sz w:val="20"/>
              </w:rPr>
              <w:t>zostatok prostr. z predch. rokov (FO)</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584 023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684 939</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755 147</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823 493</w:t>
            </w:r>
          </w:p>
        </w:tc>
      </w:tr>
      <w:tr>
        <w:tblPrEx>
          <w:tblW w:w="9180" w:type="dxa"/>
          <w:tblInd w:w="108" w:type="dxa"/>
        </w:tblPrEx>
        <w:trPr>
          <w:trHeight w:val="227"/>
        </w:trPr>
        <w:tc>
          <w:tcPr>
            <w:tcW w:w="918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rPr>
                <w:rFonts w:ascii="Arial Narrow" w:hAnsi="Arial Narrow" w:cs="Times New Roman"/>
                <w:b/>
                <w:i/>
                <w:sz w:val="20"/>
              </w:rPr>
            </w:pPr>
            <w:r w:rsidRPr="00712A24">
              <w:rPr>
                <w:rFonts w:ascii="Arial Narrow" w:hAnsi="Arial Narrow" w:cs="Times New Roman"/>
                <w:b/>
                <w:i/>
                <w:sz w:val="20"/>
              </w:rPr>
              <w:t>Výdavky NJF  spolu</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71 974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84 403</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86 404</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88 654</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rPr>
                <w:rFonts w:ascii="Arial Narrow" w:hAnsi="Arial Narrow" w:cs="Times New Roman"/>
                <w:b/>
                <w:i/>
                <w:sz w:val="20"/>
              </w:rPr>
            </w:pPr>
            <w:r w:rsidRPr="00712A24">
              <w:rPr>
                <w:rFonts w:ascii="Arial Narrow" w:hAnsi="Arial Narrow" w:cs="Times New Roman"/>
                <w:b/>
                <w:i/>
                <w:sz w:val="20"/>
              </w:rPr>
              <w:t>z toho:</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numPr>
                <w:ilvl w:val="0"/>
                <w:numId w:val="24"/>
              </w:numPr>
              <w:tabs>
                <w:tab w:val="left" w:pos="360"/>
              </w:tabs>
              <w:rPr>
                <w:rFonts w:ascii="Arial Narrow" w:hAnsi="Arial Narrow" w:cs="Times New Roman"/>
                <w:sz w:val="20"/>
              </w:rPr>
            </w:pPr>
            <w:r w:rsidRPr="00712A24">
              <w:rPr>
                <w:rFonts w:ascii="Arial Narrow" w:hAnsi="Arial Narrow" w:cs="Times New Roman"/>
                <w:sz w:val="20"/>
              </w:rPr>
              <w:t>bežné výdavky</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59 742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70 056</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74 052</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75 117</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numPr>
                <w:ilvl w:val="0"/>
                <w:numId w:val="24"/>
              </w:numPr>
              <w:tabs>
                <w:tab w:val="left" w:pos="360"/>
              </w:tabs>
              <w:rPr>
                <w:rFonts w:ascii="Arial Narrow" w:hAnsi="Arial Narrow" w:cs="Times New Roman"/>
                <w:sz w:val="20"/>
              </w:rPr>
            </w:pPr>
            <w:r w:rsidRPr="00712A24">
              <w:rPr>
                <w:rFonts w:ascii="Arial Narrow" w:hAnsi="Arial Narrow" w:cs="Times New Roman"/>
                <w:sz w:val="20"/>
              </w:rPr>
              <w:t>kapitálové výdavky</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12 232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14 347</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12 352</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13 537</w:t>
            </w:r>
          </w:p>
        </w:tc>
      </w:tr>
      <w:tr>
        <w:tblPrEx>
          <w:tblW w:w="9180" w:type="dxa"/>
          <w:tblInd w:w="108" w:type="dxa"/>
        </w:tblPrEx>
        <w:trPr>
          <w:trHeight w:val="227"/>
        </w:trPr>
        <w:tc>
          <w:tcPr>
            <w:tcW w:w="918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rPr>
                <w:rFonts w:ascii="Arial Narrow" w:hAnsi="Arial Narrow" w:cs="Times New Roman"/>
                <w:b/>
                <w:i/>
                <w:sz w:val="20"/>
              </w:rPr>
            </w:pPr>
            <w:r w:rsidRPr="00712A24">
              <w:rPr>
                <w:rFonts w:ascii="Arial Narrow" w:hAnsi="Arial Narrow" w:cs="Times New Roman"/>
                <w:b/>
                <w:i/>
                <w:sz w:val="20"/>
              </w:rPr>
              <w:t>Celkový</w:t>
            </w:r>
            <w:r w:rsidRPr="00712A24">
              <w:rPr>
                <w:rFonts w:ascii="Arial Narrow" w:hAnsi="Arial Narrow" w:cs="Times New Roman"/>
                <w:b/>
                <w:i/>
                <w:sz w:val="20"/>
              </w:rPr>
              <w:t xml:space="preserve"> prebytok NJF</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659 596</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755 147</w:t>
            </w:r>
          </w:p>
        </w:tc>
        <w:tc>
          <w:tcPr>
            <w:tcW w:w="1337"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823 493</w:t>
            </w:r>
          </w:p>
        </w:tc>
        <w:tc>
          <w:tcPr>
            <w:tcW w:w="1363"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893 506</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rPr>
                <w:rFonts w:ascii="Arial Narrow" w:hAnsi="Arial Narrow" w:cs="Times New Roman"/>
                <w:b/>
                <w:i/>
                <w:sz w:val="20"/>
              </w:rPr>
            </w:pPr>
            <w:r>
              <w:rPr>
                <w:rFonts w:ascii="Arial Narrow" w:hAnsi="Arial Narrow" w:cs="Times New Roman"/>
                <w:b/>
                <w:i/>
                <w:sz w:val="20"/>
              </w:rPr>
              <w:t xml:space="preserve"> </w:t>
            </w:r>
            <w:r w:rsidRPr="00712A24">
              <w:rPr>
                <w:rFonts w:ascii="Arial Narrow" w:hAnsi="Arial Narrow" w:cs="Times New Roman"/>
                <w:b/>
                <w:i/>
                <w:sz w:val="20"/>
              </w:rPr>
              <w:t>vylúčenie finančných operácií</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-584 023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-684 939</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-755 147</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-823 493</w:t>
            </w: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rPr>
                <w:rFonts w:ascii="Arial Narrow" w:hAnsi="Arial Narrow" w:cs="Times New Roman"/>
                <w:b/>
                <w:i/>
                <w:sz w:val="20"/>
              </w:rPr>
            </w:pPr>
            <w:r w:rsidRPr="00712A24">
              <w:rPr>
                <w:rFonts w:ascii="Arial Narrow" w:hAnsi="Arial Narrow" w:cs="Times New Roman"/>
                <w:b/>
                <w:i/>
                <w:sz w:val="20"/>
              </w:rPr>
              <w:t xml:space="preserve"> z toho:</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b/>
                <w:i/>
                <w:sz w:val="20"/>
              </w:rPr>
            </w:pP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numPr>
                <w:ilvl w:val="0"/>
                <w:numId w:val="25"/>
              </w:numPr>
              <w:tabs>
                <w:tab w:val="left" w:pos="360"/>
              </w:tabs>
              <w:rPr>
                <w:rFonts w:ascii="Arial Narrow" w:hAnsi="Arial Narrow" w:cs="Times New Roman"/>
                <w:b/>
                <w:sz w:val="20"/>
              </w:rPr>
            </w:pPr>
            <w:r w:rsidRPr="00712A24">
              <w:rPr>
                <w:rFonts w:ascii="Arial Narrow" w:hAnsi="Arial Narrow" w:cs="Times New Roman"/>
                <w:sz w:val="20"/>
              </w:rPr>
              <w:t>vylúčenie príjmových FO</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-584 023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-684 939</w:t>
            </w:r>
          </w:p>
        </w:tc>
        <w:tc>
          <w:tcPr>
            <w:tcW w:w="13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-755 147</w:t>
            </w:r>
          </w:p>
        </w:tc>
        <w:tc>
          <w:tcPr>
            <w:tcW w:w="136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r>
              <w:rPr>
                <w:rFonts w:ascii="Arial Narrow" w:hAnsi="Arial Narrow" w:cs="Times New Roman"/>
                <w:sz w:val="20"/>
              </w:rPr>
              <w:t>-823 493</w:t>
            </w:r>
          </w:p>
        </w:tc>
      </w:tr>
      <w:tr>
        <w:tblPrEx>
          <w:tblW w:w="9180" w:type="dxa"/>
          <w:tblInd w:w="108" w:type="dxa"/>
        </w:tblPrEx>
        <w:trPr>
          <w:trHeight w:val="227"/>
        </w:trPr>
        <w:tc>
          <w:tcPr>
            <w:tcW w:w="918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712A24" w:rsidP="00C52DD5">
            <w:pPr>
              <w:jc w:val="right"/>
              <w:rPr>
                <w:rFonts w:ascii="Arial Narrow" w:hAnsi="Arial Narrow" w:cs="Times New Roman"/>
                <w:sz w:val="20"/>
              </w:rPr>
            </w:pPr>
          </w:p>
        </w:tc>
      </w:tr>
      <w:tr>
        <w:tblPrEx>
          <w:tblW w:w="9180" w:type="dxa"/>
          <w:tblInd w:w="108" w:type="dxa"/>
        </w:tblPrEx>
        <w:trPr>
          <w:trHeight w:val="227"/>
        </w:trPr>
        <w:tc>
          <w:tcPr>
            <w:tcW w:w="39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rPr>
                <w:rFonts w:ascii="Arial Narrow" w:hAnsi="Arial Narrow" w:cs="Times New Roman"/>
                <w:b/>
                <w:i/>
                <w:sz w:val="20"/>
              </w:rPr>
            </w:pPr>
            <w:r w:rsidRPr="00712A24">
              <w:rPr>
                <w:rFonts w:ascii="Arial Narrow" w:hAnsi="Arial Narrow" w:cs="Times New Roman"/>
                <w:b/>
                <w:i/>
                <w:sz w:val="20"/>
              </w:rPr>
              <w:t>Prebytok  NJF  (ESA 95)</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ind w:left="50"/>
              <w:jc w:val="right"/>
              <w:rPr>
                <w:rFonts w:ascii="Arial Narrow" w:hAnsi="Arial Narrow" w:cs="Times New Roman"/>
                <w:b/>
                <w:i/>
                <w:sz w:val="20"/>
              </w:rPr>
            </w:pPr>
            <w:r>
              <w:rPr>
                <w:rFonts w:ascii="Arial Narrow" w:hAnsi="Arial Narrow" w:cs="Times New Roman"/>
                <w:b/>
                <w:i/>
                <w:sz w:val="20"/>
              </w:rPr>
              <w:t>75 573</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jc w:val="right"/>
              <w:rPr>
                <w:rFonts w:ascii="Arial Narrow" w:hAnsi="Arial Narrow" w:cs="Times New Roman"/>
                <w:b/>
                <w:i/>
                <w:sz w:val="20"/>
              </w:rPr>
            </w:pPr>
            <w:r>
              <w:rPr>
                <w:rFonts w:ascii="Arial Narrow" w:hAnsi="Arial Narrow" w:cs="Times New Roman"/>
                <w:b/>
                <w:i/>
                <w:sz w:val="20"/>
              </w:rPr>
              <w:t>70 208</w:t>
            </w:r>
          </w:p>
        </w:tc>
        <w:tc>
          <w:tcPr>
            <w:tcW w:w="1337"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ind w:left="335"/>
              <w:jc w:val="right"/>
              <w:rPr>
                <w:rFonts w:ascii="Arial Narrow" w:hAnsi="Arial Narrow" w:cs="Times New Roman"/>
                <w:b/>
                <w:i/>
                <w:sz w:val="20"/>
              </w:rPr>
            </w:pPr>
            <w:r>
              <w:rPr>
                <w:rFonts w:ascii="Arial Narrow" w:hAnsi="Arial Narrow" w:cs="Times New Roman"/>
                <w:b/>
                <w:i/>
                <w:sz w:val="20"/>
              </w:rPr>
              <w:t>68 346</w:t>
            </w:r>
          </w:p>
        </w:tc>
        <w:tc>
          <w:tcPr>
            <w:tcW w:w="1363"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712A24" w:rsidP="00C52DD5">
            <w:pPr>
              <w:ind w:left="335"/>
              <w:jc w:val="right"/>
              <w:rPr>
                <w:rFonts w:ascii="Arial Narrow" w:hAnsi="Arial Narrow" w:cs="Times New Roman"/>
                <w:b/>
                <w:i/>
                <w:sz w:val="20"/>
              </w:rPr>
            </w:pPr>
            <w:r>
              <w:rPr>
                <w:rFonts w:ascii="Arial Narrow" w:hAnsi="Arial Narrow" w:cs="Times New Roman"/>
                <w:b/>
                <w:i/>
                <w:sz w:val="20"/>
              </w:rPr>
              <w:t>70 013</w:t>
            </w:r>
          </w:p>
        </w:tc>
      </w:tr>
    </w:tbl>
    <w:p w:rsidR="00C52DD5" w:rsidRPr="00AB421E" w:rsidP="00C52DD5">
      <w:pPr>
        <w:rPr>
          <w:rFonts w:cs="Times New Roman"/>
          <w:highlight w:val="yellow"/>
        </w:rPr>
      </w:pPr>
    </w:p>
    <w:p w:rsidR="00C52DD5" w:rsidRPr="001A548B" w:rsidP="00C52DD5">
      <w:pPr>
        <w:rPr>
          <w:rFonts w:ascii="Arial Narrow" w:hAnsi="Arial Narrow" w:cs="Times New Roman"/>
          <w:b/>
          <w:sz w:val="22"/>
          <w:szCs w:val="22"/>
        </w:rPr>
      </w:pPr>
      <w:r w:rsidRPr="001A548B">
        <w:rPr>
          <w:rFonts w:ascii="Arial Narrow" w:hAnsi="Arial Narrow" w:cs="Times New Roman"/>
          <w:b/>
          <w:sz w:val="22"/>
          <w:szCs w:val="22"/>
        </w:rPr>
        <w:t>4.3. Envir</w:t>
      </w:r>
      <w:r w:rsidRPr="001A548B">
        <w:rPr>
          <w:rFonts w:ascii="Arial Narrow" w:hAnsi="Arial Narrow" w:cs="Times New Roman"/>
          <w:b/>
          <w:sz w:val="22"/>
          <w:szCs w:val="22"/>
        </w:rPr>
        <w:t xml:space="preserve">onmentálny fond </w:t>
      </w:r>
    </w:p>
    <w:p w:rsidR="00C52DD5" w:rsidP="00C52DD5">
      <w:pPr>
        <w:jc w:val="both"/>
        <w:rPr>
          <w:rFonts w:ascii="Arial Narrow" w:hAnsi="Arial Narrow" w:cs="Times New Roman"/>
          <w:b/>
          <w:sz w:val="28"/>
          <w:szCs w:val="28"/>
          <w:highlight w:val="yellow"/>
        </w:rPr>
      </w:pPr>
    </w:p>
    <w:p w:rsidR="00C52DD5" w:rsidRPr="003758E7" w:rsidP="00C52DD5">
      <w:pPr>
        <w:ind w:firstLine="708"/>
        <w:jc w:val="both"/>
        <w:rPr>
          <w:rFonts w:ascii="Arial Narrow" w:hAnsi="Arial Narrow" w:cs="Arial"/>
          <w:noProof/>
          <w:sz w:val="22"/>
          <w:szCs w:val="22"/>
        </w:rPr>
      </w:pPr>
      <w:r w:rsidRPr="003758E7">
        <w:rPr>
          <w:rFonts w:ascii="Arial Narrow" w:hAnsi="Arial Narrow" w:cs="Arial"/>
          <w:noProof/>
          <w:sz w:val="22"/>
          <w:szCs w:val="22"/>
        </w:rPr>
        <w:t>Prostriedky Environmentálneho fondu (ďalej len „EF“) by mali v roku 2009 slúžiť na realizáciu projektov zameraných na ochranu a využívanie vôd, odpadové hospodárstvo, ochranu ovzdušia, ochranu prírody a krajiny, na odstraňovanie následkov havárií, na environmentálnu výchovu, vzdelávanie a propagáciu, na prieskum, výskum a vývoj, na financovanie Programu obnovy dediny a na správu fondu. Príjemcami podpory sú prevažne obce.</w:t>
      </w:r>
    </w:p>
    <w:p w:rsidR="00C52DD5" w:rsidRPr="003758E7" w:rsidP="00C52DD5">
      <w:pPr>
        <w:jc w:val="both"/>
        <w:rPr>
          <w:rFonts w:ascii="Arial Narrow" w:hAnsi="Arial Narrow" w:cs="Arial"/>
          <w:noProof/>
          <w:sz w:val="22"/>
          <w:szCs w:val="22"/>
        </w:rPr>
      </w:pPr>
    </w:p>
    <w:p w:rsidR="00C52DD5" w:rsidRPr="003758E7" w:rsidP="00C52DD5">
      <w:pPr>
        <w:ind w:firstLine="708"/>
        <w:jc w:val="both"/>
        <w:rPr>
          <w:rFonts w:ascii="Arial Narrow" w:hAnsi="Arial Narrow" w:cs="Arial"/>
          <w:noProof/>
          <w:color w:val="FF0000"/>
          <w:sz w:val="22"/>
          <w:szCs w:val="22"/>
        </w:rPr>
      </w:pPr>
      <w:r w:rsidRPr="000D5616">
        <w:rPr>
          <w:rFonts w:ascii="Arial Narrow" w:hAnsi="Arial Narrow" w:cs="Arial"/>
          <w:noProof/>
          <w:sz w:val="22"/>
          <w:szCs w:val="22"/>
        </w:rPr>
        <w:t xml:space="preserve">V roku 2009 predpokladá EF plnenie príjmov v celkovej </w:t>
      </w:r>
      <w:r w:rsidRPr="00071A28">
        <w:rPr>
          <w:rFonts w:ascii="Arial Narrow" w:hAnsi="Arial Narrow" w:cs="Arial"/>
          <w:noProof/>
          <w:sz w:val="22"/>
          <w:szCs w:val="22"/>
        </w:rPr>
        <w:t>výške 133,8 m</w:t>
      </w:r>
      <w:r w:rsidRPr="00071A28">
        <w:rPr>
          <w:rFonts w:ascii="Arial Narrow" w:hAnsi="Arial Narrow" w:cs="Arial"/>
          <w:noProof/>
          <w:sz w:val="22"/>
          <w:szCs w:val="22"/>
        </w:rPr>
        <w:t>il. eur.</w:t>
      </w:r>
      <w:r w:rsidRPr="00071A28">
        <w:rPr>
          <w:rFonts w:ascii="Arial Narrow" w:hAnsi="Arial Narrow" w:cs="Arial"/>
          <w:b/>
          <w:bCs/>
          <w:noProof/>
          <w:sz w:val="22"/>
          <w:szCs w:val="22"/>
        </w:rPr>
        <w:t xml:space="preserve"> </w:t>
      </w:r>
      <w:r w:rsidRPr="00071A28">
        <w:rPr>
          <w:rFonts w:ascii="Arial Narrow" w:hAnsi="Arial Narrow" w:cs="Arial"/>
          <w:noProof/>
          <w:sz w:val="22"/>
          <w:szCs w:val="22"/>
        </w:rPr>
        <w:t xml:space="preserve">V oblasti príjmov fond predpokladá dosiahnutie príjmov len z vlastných zdrojov, bez napojenia na štátny rozpočet. </w:t>
      </w:r>
      <w:r w:rsidRPr="00071A28">
        <w:rPr>
          <w:rFonts w:ascii="Arial Narrow" w:hAnsi="Arial Narrow" w:cs="Arial"/>
          <w:sz w:val="22"/>
          <w:szCs w:val="22"/>
        </w:rPr>
        <w:t xml:space="preserve">Najvyšší podiel na dosiahnutých príjmoch budú mať príjmy z predaja kapitálových aktív (príjmy z predaja emisných kvót) a </w:t>
      </w:r>
      <w:r w:rsidRPr="00071A28">
        <w:rPr>
          <w:rFonts w:ascii="Arial Narrow" w:hAnsi="Arial Narrow" w:cs="Arial"/>
          <w:noProof/>
          <w:sz w:val="22"/>
          <w:szCs w:val="22"/>
        </w:rPr>
        <w:t>ďalšie administratívne poplatky (poplatky za vypúšťanie odpadových vôd do povrchových vôd, za odber podzemnej vody a za znečisťovanie ovzdušia), ktoré predstavujú v priemere až 91 %  z celkových príjmov</w:t>
      </w:r>
      <w:r w:rsidRPr="00435E26">
        <w:rPr>
          <w:rFonts w:ascii="Arial Narrow" w:hAnsi="Arial Narrow" w:cs="Arial"/>
          <w:noProof/>
          <w:sz w:val="22"/>
          <w:szCs w:val="22"/>
        </w:rPr>
        <w:t>.</w:t>
      </w:r>
      <w:r w:rsidRPr="003758E7">
        <w:rPr>
          <w:rFonts w:ascii="Arial Narrow" w:hAnsi="Arial Narrow" w:cs="Arial"/>
          <w:noProof/>
          <w:color w:val="FF0000"/>
          <w:sz w:val="22"/>
          <w:szCs w:val="22"/>
        </w:rPr>
        <w:t xml:space="preserve"> </w:t>
      </w:r>
      <w:r w:rsidRPr="003758E7">
        <w:rPr>
          <w:rFonts w:ascii="Arial Narrow" w:hAnsi="Arial Narrow" w:cs="Arial"/>
          <w:noProof/>
          <w:sz w:val="22"/>
          <w:szCs w:val="22"/>
        </w:rPr>
        <w:t>V priebehu roka 2009 a nasledujúcich rokov sa dá očakávať nárast príjmov zo splátok úverov a z úrokov z poskytnutých úverov. Ich výška bude závisieť od úspešnosti EF v poskytovaní svojich prostriedkov návratnou formou. Celkové príjmy však budú mať mierne klesajúcu tendenciu.</w:t>
      </w:r>
    </w:p>
    <w:p w:rsidR="00C52DD5" w:rsidRPr="003758E7" w:rsidP="00C52DD5">
      <w:pPr>
        <w:ind w:firstLine="708"/>
        <w:jc w:val="both"/>
        <w:rPr>
          <w:rFonts w:ascii="Arial Narrow" w:hAnsi="Arial Narrow" w:cs="Arial"/>
          <w:sz w:val="22"/>
          <w:szCs w:val="22"/>
        </w:rPr>
      </w:pPr>
    </w:p>
    <w:p w:rsidR="00C52DD5" w:rsidRPr="00A22D3B" w:rsidP="00C52DD5">
      <w:pPr>
        <w:ind w:firstLine="720"/>
        <w:jc w:val="both"/>
        <w:rPr>
          <w:rFonts w:ascii="Arial Narrow" w:hAnsi="Arial Narrow" w:cs="Arial"/>
          <w:sz w:val="22"/>
          <w:szCs w:val="22"/>
        </w:rPr>
      </w:pPr>
      <w:r w:rsidRPr="003758E7">
        <w:rPr>
          <w:rFonts w:ascii="Arial Narrow" w:hAnsi="Arial Narrow" w:cs="Arial"/>
          <w:noProof/>
          <w:sz w:val="22"/>
          <w:szCs w:val="22"/>
        </w:rPr>
        <w:t xml:space="preserve">V roku 2009 predpokladá EF </w:t>
      </w:r>
      <w:r w:rsidRPr="00346C92">
        <w:rPr>
          <w:rFonts w:ascii="Arial Narrow" w:hAnsi="Arial Narrow" w:cs="Arial"/>
          <w:noProof/>
          <w:sz w:val="22"/>
          <w:szCs w:val="22"/>
        </w:rPr>
        <w:t>čerpanie výdavko</w:t>
      </w:r>
      <w:r w:rsidRPr="00346C92">
        <w:rPr>
          <w:rFonts w:ascii="Arial Narrow" w:hAnsi="Arial Narrow" w:cs="Arial"/>
          <w:noProof/>
          <w:sz w:val="22"/>
          <w:szCs w:val="22"/>
        </w:rPr>
        <w:t>v vo výške</w:t>
      </w:r>
      <w:r w:rsidRPr="00346C92">
        <w:rPr>
          <w:rFonts w:ascii="Arial Narrow" w:hAnsi="Arial Narrow" w:cs="Arial"/>
          <w:sz w:val="22"/>
          <w:szCs w:val="22"/>
        </w:rPr>
        <w:t xml:space="preserve"> </w:t>
      </w:r>
      <w:r>
        <w:rPr>
          <w:rFonts w:ascii="Arial Narrow" w:hAnsi="Arial Narrow" w:cs="Arial"/>
          <w:noProof/>
          <w:sz w:val="22"/>
          <w:szCs w:val="22"/>
        </w:rPr>
        <w:t>49,9</w:t>
      </w:r>
      <w:r w:rsidRPr="00346C92">
        <w:rPr>
          <w:rFonts w:ascii="Arial Narrow" w:hAnsi="Arial Narrow" w:cs="Arial"/>
          <w:noProof/>
          <w:sz w:val="22"/>
          <w:szCs w:val="22"/>
        </w:rPr>
        <w:t xml:space="preserve"> </w:t>
      </w:r>
      <w:r>
        <w:rPr>
          <w:rFonts w:ascii="Arial Narrow" w:hAnsi="Arial Narrow" w:cs="Arial"/>
          <w:noProof/>
          <w:sz w:val="22"/>
          <w:szCs w:val="22"/>
        </w:rPr>
        <w:t>mil</w:t>
      </w:r>
      <w:r w:rsidRPr="00346C92">
        <w:rPr>
          <w:rFonts w:ascii="Arial Narrow" w:hAnsi="Arial Narrow" w:cs="Arial"/>
          <w:noProof/>
          <w:sz w:val="22"/>
          <w:szCs w:val="22"/>
        </w:rPr>
        <w:t>. e</w:t>
      </w:r>
      <w:r>
        <w:rPr>
          <w:rFonts w:ascii="Arial Narrow" w:hAnsi="Arial Narrow" w:cs="Arial"/>
          <w:noProof/>
          <w:sz w:val="22"/>
          <w:szCs w:val="22"/>
        </w:rPr>
        <w:t>u</w:t>
      </w:r>
      <w:r w:rsidRPr="00346C92">
        <w:rPr>
          <w:rFonts w:ascii="Arial Narrow" w:hAnsi="Arial Narrow" w:cs="Arial"/>
          <w:noProof/>
          <w:sz w:val="22"/>
          <w:szCs w:val="22"/>
        </w:rPr>
        <w:t>r.</w:t>
      </w:r>
      <w:r w:rsidRPr="003758E7">
        <w:rPr>
          <w:rFonts w:ascii="Arial Narrow" w:hAnsi="Arial Narrow" w:cs="Arial"/>
          <w:b/>
          <w:bCs/>
          <w:noProof/>
          <w:sz w:val="22"/>
          <w:szCs w:val="22"/>
        </w:rPr>
        <w:t xml:space="preserve"> </w:t>
      </w:r>
      <w:r w:rsidRPr="003758E7">
        <w:rPr>
          <w:rFonts w:ascii="Arial Narrow" w:hAnsi="Arial Narrow" w:cs="Arial"/>
          <w:noProof/>
          <w:sz w:val="22"/>
          <w:szCs w:val="22"/>
        </w:rPr>
        <w:t>N</w:t>
      </w:r>
      <w:r w:rsidRPr="003758E7">
        <w:rPr>
          <w:rFonts w:ascii="Arial Narrow" w:hAnsi="Arial Narrow" w:cs="Arial"/>
          <w:sz w:val="22"/>
          <w:szCs w:val="22"/>
        </w:rPr>
        <w:t>ajväčšia časť výdavkov bude smerovať vo forme kapitálových transferov príjemcom dotácií v </w:t>
      </w:r>
      <w:r w:rsidRPr="00A22D3B">
        <w:rPr>
          <w:rFonts w:ascii="Arial Narrow" w:hAnsi="Arial Narrow" w:cs="Arial"/>
          <w:sz w:val="22"/>
          <w:szCs w:val="22"/>
        </w:rPr>
        <w:t>oblasti životného prostredia, ktoré spolu s poskytnutými úvermi predstavujú v priemere 86 % z celkových výdavkov. Predpokladané výdavky na správu fondu by mali v roku 2009 predstavovať 1,14 mil. e</w:t>
      </w:r>
      <w:r>
        <w:rPr>
          <w:rFonts w:ascii="Arial Narrow" w:hAnsi="Arial Narrow" w:cs="Arial"/>
          <w:sz w:val="22"/>
          <w:szCs w:val="22"/>
        </w:rPr>
        <w:t>u</w:t>
      </w:r>
      <w:r w:rsidRPr="00A22D3B">
        <w:rPr>
          <w:rFonts w:ascii="Arial Narrow" w:hAnsi="Arial Narrow" w:cs="Arial"/>
          <w:sz w:val="22"/>
          <w:szCs w:val="22"/>
        </w:rPr>
        <w:t>r, t. j. 2,12 % z celkových príjmov. Samostatnou položkou, ktorá nie je súčasťou výdavkov na správu fondu, je vrátenie príjmov z minulých rokov. S prihliadnutím na jej výšku v predchádzajúcich rokoch fond uvažuje s finančnou čiastkou 2,66 mil. e</w:t>
      </w:r>
      <w:r>
        <w:rPr>
          <w:rFonts w:ascii="Arial Narrow" w:hAnsi="Arial Narrow" w:cs="Arial"/>
          <w:sz w:val="22"/>
          <w:szCs w:val="22"/>
        </w:rPr>
        <w:t>u</w:t>
      </w:r>
      <w:r w:rsidRPr="00A22D3B">
        <w:rPr>
          <w:rFonts w:ascii="Arial Narrow" w:hAnsi="Arial Narrow" w:cs="Arial"/>
          <w:sz w:val="22"/>
          <w:szCs w:val="22"/>
        </w:rPr>
        <w:t>r ročne.</w:t>
      </w:r>
    </w:p>
    <w:p w:rsidR="00C52DD5" w:rsidRPr="003758E7" w:rsidP="00C52DD5">
      <w:pPr>
        <w:jc w:val="center"/>
        <w:rPr>
          <w:rFonts w:ascii="Arial Narrow" w:hAnsi="Arial Narrow" w:cs="Arial"/>
          <w:sz w:val="22"/>
          <w:szCs w:val="22"/>
          <w:highlight w:val="yellow"/>
        </w:rPr>
      </w:pPr>
    </w:p>
    <w:p w:rsidR="00C52DD5" w:rsidP="00C52DD5">
      <w:pPr>
        <w:pStyle w:val="BodyTextIndent3"/>
        <w:rPr>
          <w:rFonts w:cs="Arial"/>
        </w:rPr>
      </w:pPr>
    </w:p>
    <w:p w:rsidR="00C52DD5" w:rsidP="00C52DD5">
      <w:pPr>
        <w:pStyle w:val="BodyTextIndent3"/>
        <w:rPr>
          <w:rFonts w:cs="Arial"/>
        </w:rPr>
      </w:pPr>
    </w:p>
    <w:p w:rsidR="00C52DD5" w:rsidP="00C52DD5">
      <w:pPr>
        <w:pStyle w:val="BodyTextIndent3"/>
        <w:rPr>
          <w:rFonts w:cs="Arial"/>
        </w:rPr>
      </w:pPr>
    </w:p>
    <w:p w:rsidR="00C52DD5" w:rsidP="00C52DD5">
      <w:pPr>
        <w:pStyle w:val="BodyTextIndent3"/>
        <w:rPr>
          <w:rFonts w:cs="Arial"/>
        </w:rPr>
      </w:pPr>
    </w:p>
    <w:p w:rsidR="00C52DD5" w:rsidP="00C52DD5">
      <w:pPr>
        <w:pStyle w:val="BodyTextIndent3"/>
        <w:rPr>
          <w:rFonts w:cs="Arial"/>
        </w:rPr>
      </w:pPr>
    </w:p>
    <w:p w:rsidR="00C52DD5" w:rsidP="00C52DD5">
      <w:pPr>
        <w:pStyle w:val="BodyTextIndent3"/>
        <w:rPr>
          <w:rFonts w:cs="Arial"/>
        </w:rPr>
      </w:pPr>
    </w:p>
    <w:p w:rsidR="00C52DD5" w:rsidP="00C52DD5">
      <w:pPr>
        <w:pStyle w:val="BodyTextIndent3"/>
        <w:rPr>
          <w:rFonts w:cs="Arial"/>
        </w:rPr>
      </w:pPr>
    </w:p>
    <w:p w:rsidR="00C52DD5" w:rsidP="00C52DD5">
      <w:pPr>
        <w:pStyle w:val="BodyTextIndent3"/>
        <w:rPr>
          <w:rFonts w:cs="Arial"/>
        </w:rPr>
      </w:pPr>
    </w:p>
    <w:p w:rsidR="00C52DD5" w:rsidP="00C52DD5">
      <w:pPr>
        <w:pStyle w:val="BodyTextIndent3"/>
        <w:rPr>
          <w:rFonts w:cs="Arial"/>
        </w:rPr>
      </w:pPr>
      <w:r w:rsidRPr="003758E7">
        <w:rPr>
          <w:rFonts w:cs="Arial"/>
        </w:rPr>
        <w:t>Vývoj príjmovej a výdavkovej časti rozpočtu EF na roky 200</w:t>
      </w:r>
      <w:r>
        <w:rPr>
          <w:rFonts w:cs="Arial"/>
        </w:rPr>
        <w:t>9</w:t>
      </w:r>
      <w:r w:rsidRPr="003758E7">
        <w:rPr>
          <w:rFonts w:cs="Arial"/>
        </w:rPr>
        <w:t xml:space="preserve"> až 2011 je nasledovný:</w:t>
      </w:r>
    </w:p>
    <w:p w:rsidR="00C52DD5" w:rsidRPr="00AB421E" w:rsidP="00C52DD5">
      <w:pPr>
        <w:ind w:firstLine="708"/>
        <w:jc w:val="both"/>
        <w:rPr>
          <w:rFonts w:ascii="Arial Narrow" w:hAnsi="Arial Narrow" w:cs="Times New Roman"/>
          <w:b/>
          <w:sz w:val="22"/>
          <w:szCs w:val="22"/>
          <w:highlight w:val="yellow"/>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068"/>
        <w:gridCol w:w="1260"/>
        <w:gridCol w:w="1260"/>
        <w:gridCol w:w="1260"/>
        <w:gridCol w:w="1260"/>
      </w:tblGrid>
      <w:tr>
        <w:tblPrEx>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8F694D" w:rsidP="00C52DD5">
            <w:pPr>
              <w:rPr>
                <w:rFonts w:ascii="Arial Narrow" w:hAnsi="Arial Narrow" w:cs="Times New Roman"/>
                <w:b/>
                <w:iCs/>
                <w:color w:val="FFFFFF"/>
                <w:sz w:val="20"/>
              </w:rPr>
            </w:pPr>
            <w:r w:rsidRPr="008F694D">
              <w:rPr>
                <w:rFonts w:ascii="Arial Narrow" w:hAnsi="Arial Narrow" w:cs="Times New Roman"/>
                <w:b/>
                <w:iCs/>
                <w:color w:val="FFFFFF"/>
                <w:sz w:val="20"/>
              </w:rPr>
              <w:t>(v tis. eur)</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8F694D" w:rsidP="00C52DD5">
            <w:pPr>
              <w:jc w:val="center"/>
              <w:rPr>
                <w:rFonts w:ascii="Arial Narrow" w:hAnsi="Arial Narrow" w:cs="Times New Roman"/>
                <w:b/>
                <w:bCs/>
                <w:iCs/>
                <w:color w:val="FFFFFF"/>
                <w:sz w:val="20"/>
              </w:rPr>
            </w:pPr>
            <w:r w:rsidRPr="008F694D">
              <w:rPr>
                <w:rFonts w:ascii="Arial Narrow" w:hAnsi="Arial Narrow" w:cs="Times New Roman"/>
                <w:b/>
                <w:bCs/>
                <w:iCs/>
                <w:color w:val="FFFFFF"/>
                <w:sz w:val="20"/>
              </w:rPr>
              <w:t xml:space="preserve"> 200</w:t>
            </w:r>
            <w:r>
              <w:rPr>
                <w:rFonts w:ascii="Arial Narrow" w:hAnsi="Arial Narrow" w:cs="Times New Roman"/>
                <w:b/>
                <w:bCs/>
                <w:iCs/>
                <w:color w:val="FFFFFF"/>
                <w:sz w:val="20"/>
              </w:rPr>
              <w:t>8</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8F694D" w:rsidP="00C52DD5">
            <w:pPr>
              <w:jc w:val="center"/>
              <w:rPr>
                <w:rFonts w:ascii="Arial Narrow" w:hAnsi="Arial Narrow" w:cs="Times New Roman"/>
                <w:b/>
                <w:bCs/>
                <w:iCs/>
                <w:color w:val="FFFFFF"/>
                <w:sz w:val="20"/>
              </w:rPr>
            </w:pPr>
            <w:r w:rsidRPr="008F694D">
              <w:rPr>
                <w:rFonts w:ascii="Arial Narrow" w:hAnsi="Arial Narrow" w:cs="Times New Roman"/>
                <w:b/>
                <w:bCs/>
                <w:iCs/>
                <w:color w:val="FFFFFF"/>
                <w:sz w:val="20"/>
              </w:rPr>
              <w:t xml:space="preserve"> 200</w:t>
            </w:r>
            <w:r>
              <w:rPr>
                <w:rFonts w:ascii="Arial Narrow" w:hAnsi="Arial Narrow" w:cs="Times New Roman"/>
                <w:b/>
                <w:bCs/>
                <w:iCs/>
                <w:color w:val="FFFFFF"/>
                <w:sz w:val="20"/>
              </w:rPr>
              <w:t>9</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8F694D" w:rsidP="00C52DD5">
            <w:pPr>
              <w:jc w:val="center"/>
              <w:rPr>
                <w:rFonts w:ascii="Arial Narrow" w:hAnsi="Arial Narrow" w:cs="Times New Roman"/>
                <w:b/>
                <w:bCs/>
                <w:iCs/>
                <w:color w:val="FFFFFF"/>
                <w:sz w:val="20"/>
              </w:rPr>
            </w:pPr>
            <w:r w:rsidRPr="008F694D">
              <w:rPr>
                <w:rFonts w:ascii="Arial Narrow" w:hAnsi="Arial Narrow" w:cs="Times New Roman"/>
                <w:b/>
                <w:bCs/>
                <w:iCs/>
                <w:color w:val="FFFFFF"/>
                <w:sz w:val="20"/>
              </w:rPr>
              <w:t xml:space="preserve"> 20</w:t>
            </w:r>
            <w:r>
              <w:rPr>
                <w:rFonts w:ascii="Arial Narrow" w:hAnsi="Arial Narrow" w:cs="Times New Roman"/>
                <w:b/>
                <w:bCs/>
                <w:iCs/>
                <w:color w:val="FFFFFF"/>
                <w:sz w:val="20"/>
              </w:rPr>
              <w:t>10</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8F694D" w:rsidP="00C52DD5">
            <w:pPr>
              <w:jc w:val="center"/>
              <w:rPr>
                <w:rFonts w:ascii="Arial Narrow" w:hAnsi="Arial Narrow" w:cs="Times New Roman"/>
                <w:b/>
                <w:bCs/>
                <w:iCs/>
                <w:color w:val="FFFFFF"/>
                <w:sz w:val="20"/>
              </w:rPr>
            </w:pPr>
            <w:r w:rsidRPr="008F694D">
              <w:rPr>
                <w:rFonts w:ascii="Arial Narrow" w:hAnsi="Arial Narrow" w:cs="Times New Roman"/>
                <w:b/>
                <w:bCs/>
                <w:iCs/>
                <w:color w:val="FFFFFF"/>
                <w:sz w:val="20"/>
              </w:rPr>
              <w:t>201</w:t>
            </w:r>
            <w:r>
              <w:rPr>
                <w:rFonts w:ascii="Arial Narrow" w:hAnsi="Arial Narrow" w:cs="Times New Roman"/>
                <w:b/>
                <w:bCs/>
                <w:iCs/>
                <w:color w:val="FFFFFF"/>
                <w:sz w:val="20"/>
              </w:rPr>
              <w:t>1</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rPr>
                <w:rFonts w:ascii="Arial Narrow" w:hAnsi="Arial Narrow" w:cs="Times New Roman"/>
                <w:b/>
                <w:i/>
                <w:sz w:val="20"/>
              </w:rPr>
            </w:pPr>
            <w:r w:rsidRPr="008F694D">
              <w:rPr>
                <w:rFonts w:ascii="Arial Narrow" w:hAnsi="Arial Narrow" w:cs="Times New Roman"/>
                <w:b/>
                <w:i/>
                <w:sz w:val="20"/>
              </w:rPr>
              <w:t>Príjmy EF  spolu</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37 914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133 771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131 647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129 808</w:t>
            </w:r>
          </w:p>
        </w:tc>
      </w:tr>
      <w:tr>
        <w:tblPrEx>
          <w:tblW w:w="9108" w:type="dxa"/>
        </w:tblPrEx>
        <w:trPr>
          <w:trHeight w:val="227"/>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RPr="008F694D" w:rsidP="00C52DD5">
            <w:pPr>
              <w:jc w:val="both"/>
              <w:rPr>
                <w:rFonts w:ascii="Arial Narrow" w:hAnsi="Arial Narrow" w:cs="Times New Roman"/>
                <w:b/>
                <w:i/>
                <w:sz w:val="20"/>
              </w:rPr>
            </w:pPr>
            <w:r w:rsidRPr="008F694D">
              <w:rPr>
                <w:rFonts w:ascii="Arial Narrow" w:hAnsi="Arial Narrow" w:cs="Times New Roman"/>
                <w:b/>
                <w:i/>
                <w:sz w:val="20"/>
              </w:rPr>
              <w:t>z toho:</w:t>
            </w: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RPr="008F694D" w:rsidP="00C52DD5">
            <w:pPr>
              <w:jc w:val="both"/>
              <w:rPr>
                <w:rFonts w:ascii="Arial Narrow" w:hAnsi="Arial Narrow" w:cs="Times New Roman"/>
                <w:b/>
                <w:i/>
                <w:sz w:val="20"/>
              </w:rPr>
            </w:pP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37"/>
              </w:numPr>
              <w:tabs>
                <w:tab w:val="left" w:pos="360"/>
              </w:tabs>
              <w:rPr>
                <w:rFonts w:ascii="Arial Narrow" w:hAnsi="Arial Narrow" w:cs="Times New Roman"/>
                <w:sz w:val="20"/>
              </w:rPr>
            </w:pPr>
            <w:r w:rsidRPr="008F694D">
              <w:rPr>
                <w:rFonts w:ascii="Arial Narrow" w:hAnsi="Arial Narrow" w:cs="Times New Roman"/>
                <w:sz w:val="20"/>
              </w:rPr>
              <w:t>daňové prí</w:t>
            </w:r>
            <w:r w:rsidRPr="008F694D">
              <w:rPr>
                <w:rFonts w:ascii="Arial Narrow" w:hAnsi="Arial Narrow" w:cs="Times New Roman"/>
                <w:sz w:val="20"/>
              </w:rPr>
              <w:t>jmy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830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896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996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996</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37"/>
              </w:numPr>
              <w:tabs>
                <w:tab w:val="left" w:pos="360"/>
              </w:tabs>
              <w:rPr>
                <w:rFonts w:ascii="Arial Narrow" w:hAnsi="Arial Narrow" w:cs="Times New Roman"/>
                <w:sz w:val="20"/>
              </w:rPr>
            </w:pPr>
            <w:r w:rsidRPr="008F694D">
              <w:rPr>
                <w:rFonts w:ascii="Arial Narrow" w:hAnsi="Arial Narrow" w:cs="Times New Roman"/>
                <w:sz w:val="20"/>
              </w:rPr>
              <w:t>z úhrad za vydobyté nerasty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1 660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2 158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2 158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2 158</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37"/>
              </w:numPr>
              <w:tabs>
                <w:tab w:val="left" w:pos="360"/>
              </w:tabs>
              <w:rPr>
                <w:rFonts w:ascii="Arial Narrow" w:hAnsi="Arial Narrow" w:cs="Times New Roman"/>
                <w:sz w:val="20"/>
              </w:rPr>
            </w:pPr>
            <w:r w:rsidRPr="008F694D">
              <w:rPr>
                <w:rFonts w:ascii="Arial Narrow" w:hAnsi="Arial Narrow" w:cs="Times New Roman"/>
                <w:sz w:val="20"/>
              </w:rPr>
              <w:t xml:space="preserve">admin. poplatky a iné popl. a platby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34 292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41 993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41 993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41 230</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37"/>
              </w:numPr>
              <w:tabs>
                <w:tab w:val="left" w:pos="360"/>
              </w:tabs>
              <w:rPr>
                <w:rFonts w:ascii="Arial Narrow" w:hAnsi="Arial Narrow" w:cs="Times New Roman"/>
                <w:sz w:val="20"/>
              </w:rPr>
            </w:pPr>
            <w:r>
              <w:rPr>
                <w:rFonts w:ascii="Arial Narrow" w:hAnsi="Arial Narrow" w:cs="Times New Roman"/>
                <w:sz w:val="20"/>
              </w:rPr>
              <w:t>príjem z predaja kapitálových aktív</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80 000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37"/>
              </w:numPr>
              <w:tabs>
                <w:tab w:val="left" w:pos="360"/>
              </w:tabs>
              <w:rPr>
                <w:rFonts w:ascii="Arial Narrow" w:hAnsi="Arial Narrow" w:cs="Times New Roman"/>
                <w:sz w:val="20"/>
              </w:rPr>
            </w:pPr>
            <w:r w:rsidRPr="008F694D">
              <w:rPr>
                <w:rFonts w:ascii="Arial Narrow" w:hAnsi="Arial Narrow" w:cs="Times New Roman"/>
                <w:sz w:val="20"/>
              </w:rPr>
              <w:t xml:space="preserve">úroky z tuzem. úverov, pôžičiek, vkladov a ážio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136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505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319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349</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37"/>
              </w:numPr>
              <w:tabs>
                <w:tab w:val="left" w:pos="360"/>
              </w:tabs>
              <w:rPr>
                <w:rFonts w:ascii="Arial Narrow" w:hAnsi="Arial Narrow" w:cs="Times New Roman"/>
                <w:sz w:val="20"/>
              </w:rPr>
            </w:pPr>
            <w:r w:rsidRPr="008F694D">
              <w:rPr>
                <w:rFonts w:ascii="Arial Narrow" w:hAnsi="Arial Narrow" w:cs="Times New Roman"/>
                <w:sz w:val="20"/>
              </w:rPr>
              <w:t>zo splátok tuz. úverov a pôž. a NFV  (FO)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996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1 660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2 324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2 987</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26"/>
              </w:numPr>
              <w:tabs>
                <w:tab w:val="left" w:pos="360"/>
              </w:tabs>
              <w:rPr>
                <w:rFonts w:ascii="Arial Narrow" w:hAnsi="Arial Narrow" w:cs="Times New Roman"/>
                <w:sz w:val="20"/>
              </w:rPr>
            </w:pPr>
            <w:r w:rsidRPr="008F694D">
              <w:rPr>
                <w:rFonts w:ascii="Arial Narrow" w:hAnsi="Arial Narrow" w:cs="Times New Roman"/>
                <w:sz w:val="20"/>
              </w:rPr>
              <w:t>zostatok prostr. z predch. rokov (FO)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6 559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83 857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82 088</w:t>
            </w:r>
          </w:p>
        </w:tc>
      </w:tr>
      <w:tr>
        <w:tblPrEx>
          <w:tblW w:w="9108" w:type="dxa"/>
        </w:tblPrEx>
        <w:trPr>
          <w:trHeight w:val="227"/>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RPr="008F694D" w:rsidP="00C52DD5">
            <w:pPr>
              <w:jc w:val="both"/>
              <w:rPr>
                <w:rFonts w:ascii="Arial Narrow" w:hAnsi="Arial Narrow" w:cs="Times New Roman"/>
                <w:sz w:val="20"/>
              </w:rPr>
            </w:pP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RPr="008F694D" w:rsidP="00C52DD5">
            <w:pPr>
              <w:jc w:val="both"/>
              <w:rPr>
                <w:rFonts w:ascii="Arial Narrow" w:hAnsi="Arial Narrow" w:cs="Times New Roman"/>
                <w:sz w:val="20"/>
              </w:rPr>
            </w:pP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rPr>
                <w:rFonts w:ascii="Arial Narrow" w:hAnsi="Arial Narrow" w:cs="Times New Roman"/>
                <w:b/>
                <w:i/>
                <w:sz w:val="20"/>
              </w:rPr>
            </w:pPr>
            <w:r w:rsidRPr="008F694D">
              <w:rPr>
                <w:rFonts w:ascii="Arial Narrow" w:hAnsi="Arial Narrow" w:cs="Times New Roman"/>
                <w:b/>
                <w:i/>
                <w:sz w:val="20"/>
              </w:rPr>
              <w:t>Výdavky EF  spolu</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37 560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49 914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49 559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47 987</w:t>
            </w:r>
          </w:p>
        </w:tc>
      </w:tr>
      <w:tr>
        <w:tblPrEx>
          <w:tblW w:w="9108" w:type="dxa"/>
        </w:tblPrEx>
        <w:trPr>
          <w:trHeight w:val="227"/>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RPr="008F694D" w:rsidP="00C52DD5">
            <w:pPr>
              <w:rPr>
                <w:rFonts w:ascii="Arial Narrow" w:hAnsi="Arial Narrow" w:cs="Times New Roman"/>
                <w:b/>
                <w:i/>
                <w:sz w:val="20"/>
              </w:rPr>
            </w:pPr>
            <w:r w:rsidRPr="008F694D">
              <w:rPr>
                <w:rFonts w:ascii="Arial Narrow" w:hAnsi="Arial Narrow" w:cs="Times New Roman"/>
                <w:b/>
                <w:i/>
                <w:sz w:val="20"/>
              </w:rPr>
              <w:t>z toho:</w:t>
            </w: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RPr="008F694D" w:rsidP="00C52DD5">
            <w:pPr>
              <w:rPr>
                <w:rFonts w:ascii="Arial Narrow" w:hAnsi="Arial Narrow" w:cs="Times New Roman"/>
                <w:b/>
                <w:i/>
                <w:sz w:val="20"/>
              </w:rPr>
            </w:pP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24"/>
              </w:numPr>
              <w:tabs>
                <w:tab w:val="left" w:pos="360"/>
              </w:tabs>
              <w:rPr>
                <w:rFonts w:ascii="Arial Narrow" w:hAnsi="Arial Narrow" w:cs="Times New Roman"/>
                <w:sz w:val="20"/>
              </w:rPr>
            </w:pPr>
            <w:r w:rsidRPr="008F694D">
              <w:rPr>
                <w:rFonts w:ascii="Arial Narrow" w:hAnsi="Arial Narrow" w:cs="Times New Roman"/>
                <w:sz w:val="20"/>
              </w:rPr>
              <w:t>mzdy a odvody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694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735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771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808</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24"/>
              </w:numPr>
              <w:tabs>
                <w:tab w:val="left" w:pos="360"/>
              </w:tabs>
              <w:rPr>
                <w:rFonts w:ascii="Arial Narrow" w:hAnsi="Arial Narrow" w:cs="Times New Roman"/>
                <w:sz w:val="20"/>
              </w:rPr>
            </w:pPr>
            <w:r w:rsidRPr="008F694D">
              <w:rPr>
                <w:rFonts w:ascii="Arial Narrow" w:hAnsi="Arial Narrow" w:cs="Times New Roman"/>
                <w:sz w:val="20"/>
              </w:rPr>
              <w:t>tovary a služby (prev. náklady)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1 053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3 016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3 029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3 035</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24"/>
              </w:numPr>
              <w:tabs>
                <w:tab w:val="left" w:pos="360"/>
              </w:tabs>
              <w:rPr>
                <w:rFonts w:ascii="Arial Narrow" w:hAnsi="Arial Narrow" w:cs="Times New Roman"/>
                <w:sz w:val="20"/>
              </w:rPr>
            </w:pPr>
            <w:r w:rsidRPr="008F694D">
              <w:rPr>
                <w:rFonts w:ascii="Arial Narrow" w:hAnsi="Arial Narrow" w:cs="Times New Roman"/>
                <w:sz w:val="20"/>
              </w:rPr>
              <w:t>bežné transfery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2 923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3 062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2 782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2 782</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24"/>
              </w:numPr>
              <w:tabs>
                <w:tab w:val="left" w:pos="360"/>
              </w:tabs>
              <w:rPr>
                <w:rFonts w:ascii="Arial Narrow" w:hAnsi="Arial Narrow" w:cs="Times New Roman"/>
                <w:sz w:val="20"/>
              </w:rPr>
            </w:pPr>
            <w:r w:rsidRPr="008F694D">
              <w:rPr>
                <w:rFonts w:ascii="Arial Narrow" w:hAnsi="Arial Narrow" w:cs="Times New Roman"/>
                <w:sz w:val="20"/>
              </w:rPr>
              <w:t>obstarávanie kapitál.  aktív</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15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13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14</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24"/>
              </w:numPr>
              <w:tabs>
                <w:tab w:val="left" w:pos="360"/>
              </w:tabs>
              <w:rPr>
                <w:rFonts w:ascii="Arial Narrow" w:hAnsi="Arial Narrow" w:cs="Times New Roman"/>
                <w:sz w:val="20"/>
              </w:rPr>
            </w:pPr>
            <w:r w:rsidRPr="008F694D">
              <w:rPr>
                <w:rFonts w:ascii="Arial Narrow" w:hAnsi="Arial Narrow" w:cs="Times New Roman"/>
                <w:sz w:val="20"/>
              </w:rPr>
              <w:t>kapitálové transfery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29 556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36 431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37 321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38 029</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24"/>
              </w:numPr>
              <w:tabs>
                <w:tab w:val="left" w:pos="360"/>
              </w:tabs>
              <w:rPr>
                <w:rFonts w:ascii="Arial Narrow" w:hAnsi="Arial Narrow" w:cs="Times New Roman"/>
                <w:sz w:val="20"/>
              </w:rPr>
            </w:pPr>
            <w:r w:rsidRPr="008F694D">
              <w:rPr>
                <w:rFonts w:ascii="Arial Narrow" w:hAnsi="Arial Narrow" w:cs="Times New Roman"/>
                <w:sz w:val="20"/>
              </w:rPr>
              <w:t xml:space="preserve">úvery, pôžičky a NFV v rámci VS   (FO)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3 319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6 639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5 643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3 319</w:t>
            </w:r>
          </w:p>
        </w:tc>
      </w:tr>
      <w:tr>
        <w:tblPrEx>
          <w:tblW w:w="9108" w:type="dxa"/>
        </w:tblPrEx>
        <w:trPr>
          <w:trHeight w:val="227"/>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RPr="008F694D" w:rsidP="00C52DD5">
            <w:pPr>
              <w:jc w:val="both"/>
              <w:rPr>
                <w:rFonts w:ascii="Arial Narrow" w:hAnsi="Arial Narrow" w:cs="Times New Roman"/>
                <w:sz w:val="20"/>
              </w:rPr>
            </w:pP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RPr="008F694D" w:rsidP="00C52DD5">
            <w:pPr>
              <w:jc w:val="both"/>
              <w:rPr>
                <w:rFonts w:ascii="Arial Narrow" w:hAnsi="Arial Narrow" w:cs="Times New Roman"/>
                <w:sz w:val="20"/>
              </w:rPr>
            </w:pP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rPr>
                <w:rFonts w:ascii="Arial Narrow" w:hAnsi="Arial Narrow" w:cs="Times New Roman"/>
                <w:b/>
                <w:i/>
                <w:sz w:val="20"/>
              </w:rPr>
            </w:pPr>
            <w:r w:rsidRPr="008F694D">
              <w:rPr>
                <w:rFonts w:ascii="Arial Narrow" w:hAnsi="Arial Narrow" w:cs="Times New Roman"/>
                <w:b/>
                <w:i/>
                <w:sz w:val="20"/>
              </w:rPr>
              <w:t>Celkový prebytok EF</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354</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83 857</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82 0</w:t>
            </w:r>
            <w:r>
              <w:rPr>
                <w:rFonts w:ascii="Arial Narrow" w:hAnsi="Arial Narrow" w:cs="Times New Roman"/>
                <w:b/>
                <w:i/>
                <w:sz w:val="20"/>
              </w:rPr>
              <w:t>88</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81 821</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rPr>
                <w:rFonts w:ascii="Arial Narrow" w:hAnsi="Arial Narrow" w:cs="Times New Roman"/>
                <w:b/>
                <w:i/>
                <w:sz w:val="20"/>
              </w:rPr>
            </w:pPr>
            <w:r>
              <w:rPr>
                <w:rFonts w:ascii="Arial Narrow" w:hAnsi="Arial Narrow" w:cs="Times New Roman"/>
                <w:b/>
                <w:i/>
                <w:sz w:val="20"/>
              </w:rPr>
              <w:t xml:space="preserve"> </w:t>
            </w:r>
            <w:r w:rsidRPr="008F694D">
              <w:rPr>
                <w:rFonts w:ascii="Arial Narrow" w:hAnsi="Arial Narrow" w:cs="Times New Roman"/>
                <w:b/>
                <w:i/>
                <w:sz w:val="20"/>
              </w:rPr>
              <w:t>vylúčenie finančných operácií</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2 323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-1 580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-80 538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-81 756</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rPr>
                <w:rFonts w:ascii="Arial Narrow" w:hAnsi="Arial Narrow" w:cs="Times New Roman"/>
                <w:b/>
                <w:i/>
                <w:sz w:val="20"/>
              </w:rPr>
            </w:pPr>
            <w:r w:rsidRPr="008F694D">
              <w:rPr>
                <w:rFonts w:ascii="Arial Narrow" w:hAnsi="Arial Narrow" w:cs="Times New Roman"/>
                <w:b/>
                <w:i/>
                <w:sz w:val="20"/>
              </w:rPr>
              <w:t>z toho: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b/>
                <w:i/>
                <w:sz w:val="20"/>
              </w:rPr>
            </w:pP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25"/>
              </w:numPr>
              <w:tabs>
                <w:tab w:val="left" w:pos="360"/>
              </w:tabs>
              <w:rPr>
                <w:rFonts w:ascii="Arial Narrow" w:hAnsi="Arial Narrow" w:cs="Times New Roman"/>
                <w:b/>
                <w:sz w:val="20"/>
              </w:rPr>
            </w:pPr>
            <w:r w:rsidRPr="008F694D">
              <w:rPr>
                <w:rFonts w:ascii="Arial Narrow" w:hAnsi="Arial Narrow" w:cs="Times New Roman"/>
                <w:sz w:val="20"/>
              </w:rPr>
              <w:t>vylúčenie príjmových FO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-996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-8 219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-86 181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-85 075</w:t>
            </w: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numPr>
                <w:ilvl w:val="0"/>
                <w:numId w:val="25"/>
              </w:numPr>
              <w:tabs>
                <w:tab w:val="left" w:pos="360"/>
              </w:tabs>
              <w:rPr>
                <w:rFonts w:ascii="Arial Narrow" w:hAnsi="Arial Narrow" w:cs="Times New Roman"/>
                <w:sz w:val="20"/>
              </w:rPr>
            </w:pPr>
            <w:r w:rsidRPr="008F694D">
              <w:rPr>
                <w:rFonts w:ascii="Arial Narrow" w:hAnsi="Arial Narrow" w:cs="Times New Roman"/>
                <w:sz w:val="20"/>
              </w:rPr>
              <w:t>vylúčenie výdavkových FO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3 319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6 639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5 643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8F694D" w:rsidP="00C52DD5">
            <w:pPr>
              <w:jc w:val="right"/>
              <w:rPr>
                <w:rFonts w:ascii="Arial Narrow" w:hAnsi="Arial Narrow" w:cs="Times New Roman"/>
                <w:sz w:val="20"/>
              </w:rPr>
            </w:pPr>
            <w:r>
              <w:rPr>
                <w:rFonts w:ascii="Arial Narrow" w:hAnsi="Arial Narrow" w:cs="Times New Roman"/>
                <w:sz w:val="20"/>
              </w:rPr>
              <w:t>3 319</w:t>
            </w:r>
          </w:p>
        </w:tc>
      </w:tr>
      <w:tr>
        <w:tblPrEx>
          <w:tblW w:w="9108" w:type="dxa"/>
        </w:tblPrEx>
        <w:trPr>
          <w:trHeight w:val="227"/>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RPr="008F694D" w:rsidP="00C52DD5">
            <w:pPr>
              <w:jc w:val="both"/>
              <w:rPr>
                <w:rFonts w:ascii="Arial Narrow" w:hAnsi="Arial Narrow" w:cs="Times New Roman"/>
                <w:sz w:val="20"/>
              </w:rPr>
            </w:pP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RPr="008F694D" w:rsidP="00C52DD5">
            <w:pPr>
              <w:jc w:val="both"/>
              <w:rPr>
                <w:rFonts w:ascii="Arial Narrow" w:hAnsi="Arial Narrow" w:cs="Times New Roman"/>
                <w:sz w:val="20"/>
              </w:rPr>
            </w:pPr>
          </w:p>
        </w:tc>
      </w:tr>
      <w:tr>
        <w:tblPrEx>
          <w:tblW w:w="9108" w:type="dxa"/>
        </w:tblPrEx>
        <w:trPr>
          <w:trHeight w:val="227"/>
        </w:trPr>
        <w:tc>
          <w:tcPr>
            <w:tcW w:w="406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rPr>
                <w:rFonts w:ascii="Arial Narrow" w:hAnsi="Arial Narrow" w:cs="Times New Roman"/>
                <w:b/>
                <w:i/>
                <w:sz w:val="20"/>
              </w:rPr>
            </w:pPr>
            <w:r w:rsidRPr="008F694D">
              <w:rPr>
                <w:rFonts w:ascii="Arial Narrow" w:hAnsi="Arial Narrow" w:cs="Times New Roman"/>
                <w:b/>
                <w:i/>
                <w:sz w:val="20"/>
              </w:rPr>
              <w:t>Prebytok  EF  (ESA 95)</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2 677</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jc w:val="right"/>
              <w:rPr>
                <w:rFonts w:ascii="Arial Narrow" w:hAnsi="Arial Narrow" w:cs="Times New Roman"/>
                <w:b/>
                <w:i/>
                <w:sz w:val="20"/>
              </w:rPr>
            </w:pPr>
            <w:r>
              <w:rPr>
                <w:rFonts w:ascii="Arial Narrow" w:hAnsi="Arial Narrow" w:cs="Times New Roman"/>
                <w:b/>
                <w:i/>
                <w:sz w:val="20"/>
              </w:rPr>
              <w:t>82 277</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ind w:left="335"/>
              <w:jc w:val="right"/>
              <w:rPr>
                <w:rFonts w:ascii="Arial Narrow" w:hAnsi="Arial Narrow" w:cs="Times New Roman"/>
                <w:b/>
                <w:i/>
                <w:sz w:val="20"/>
              </w:rPr>
            </w:pPr>
            <w:r>
              <w:rPr>
                <w:rFonts w:ascii="Arial Narrow" w:hAnsi="Arial Narrow" w:cs="Times New Roman"/>
                <w:b/>
                <w:i/>
                <w:sz w:val="20"/>
              </w:rPr>
              <w:t>1 550</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8F694D" w:rsidP="00C52DD5">
            <w:pPr>
              <w:ind w:left="335"/>
              <w:jc w:val="right"/>
              <w:rPr>
                <w:rFonts w:ascii="Arial Narrow" w:hAnsi="Arial Narrow" w:cs="Times New Roman"/>
                <w:b/>
                <w:i/>
                <w:sz w:val="20"/>
              </w:rPr>
            </w:pPr>
            <w:r>
              <w:rPr>
                <w:rFonts w:ascii="Arial Narrow" w:hAnsi="Arial Narrow" w:cs="Times New Roman"/>
                <w:b/>
                <w:i/>
                <w:sz w:val="20"/>
              </w:rPr>
              <w:t>65</w:t>
            </w:r>
          </w:p>
        </w:tc>
      </w:tr>
    </w:tbl>
    <w:p w:rsidR="00C52DD5" w:rsidP="00C52DD5">
      <w:pPr>
        <w:spacing w:before="360"/>
        <w:rPr>
          <w:rFonts w:ascii="Arial Narrow" w:hAnsi="Arial Narrow" w:cs="Arial Narrow"/>
          <w:b/>
          <w:bCs/>
        </w:rPr>
      </w:pPr>
      <w:r>
        <w:rPr>
          <w:rFonts w:ascii="Arial Narrow" w:hAnsi="Arial Narrow" w:cs="Arial Narrow"/>
          <w:b/>
          <w:bCs/>
        </w:rPr>
        <w:t xml:space="preserve">5. </w:t>
      </w:r>
      <w:r w:rsidRPr="00FC6258">
        <w:rPr>
          <w:rFonts w:ascii="Arial Narrow" w:hAnsi="Arial Narrow" w:cs="Arial Narrow"/>
          <w:b/>
          <w:bCs/>
        </w:rPr>
        <w:t>Slovenský pozemk</w:t>
      </w:r>
      <w:r w:rsidRPr="00FC6258">
        <w:rPr>
          <w:rFonts w:ascii="Arial Narrow" w:hAnsi="Arial Narrow" w:cs="Arial Narrow"/>
          <w:b/>
          <w:bCs/>
        </w:rPr>
        <w:t>ový fond</w:t>
      </w:r>
    </w:p>
    <w:p w:rsidR="00C52DD5" w:rsidP="00C52DD5">
      <w:pPr>
        <w:ind w:firstLine="708"/>
        <w:jc w:val="both"/>
        <w:rPr>
          <w:rFonts w:ascii="Arial Narrow" w:hAnsi="Arial Narrow" w:cs="Arial Narrow"/>
          <w:sz w:val="22"/>
          <w:szCs w:val="22"/>
        </w:rPr>
      </w:pPr>
    </w:p>
    <w:p w:rsidR="00C52DD5" w:rsidP="00C52DD5">
      <w:pPr>
        <w:ind w:firstLine="708"/>
        <w:jc w:val="both"/>
        <w:rPr>
          <w:rFonts w:ascii="Arial Narrow" w:hAnsi="Arial Narrow" w:cs="Arial Narrow"/>
          <w:sz w:val="22"/>
          <w:szCs w:val="22"/>
        </w:rPr>
      </w:pPr>
      <w:r w:rsidRPr="002D189A">
        <w:rPr>
          <w:rFonts w:ascii="Arial Narrow" w:hAnsi="Arial Narrow" w:cs="Arial Narrow"/>
          <w:sz w:val="22"/>
          <w:szCs w:val="22"/>
        </w:rPr>
        <w:t xml:space="preserve">Celkové príjmy </w:t>
      </w:r>
      <w:r>
        <w:rPr>
          <w:rFonts w:ascii="Arial Narrow" w:hAnsi="Arial Narrow" w:cs="Arial Narrow"/>
          <w:sz w:val="22"/>
          <w:szCs w:val="22"/>
        </w:rPr>
        <w:t xml:space="preserve">Slovenského pozemkového fondu </w:t>
      </w:r>
      <w:r>
        <w:rPr>
          <w:rFonts w:ascii="Arial Narrow" w:hAnsi="Arial Narrow" w:cs="Times New Roman"/>
          <w:sz w:val="22"/>
          <w:szCs w:val="22"/>
        </w:rPr>
        <w:t>(ďalej len „S</w:t>
      </w:r>
      <w:r w:rsidRPr="002D189A">
        <w:rPr>
          <w:rFonts w:ascii="Arial Narrow" w:hAnsi="Arial Narrow" w:cs="Arial Narrow"/>
          <w:sz w:val="22"/>
          <w:szCs w:val="22"/>
        </w:rPr>
        <w:t>PF</w:t>
      </w:r>
      <w:r>
        <w:rPr>
          <w:rFonts w:ascii="Arial Narrow" w:hAnsi="Arial Narrow" w:cs="Arial Narrow"/>
          <w:sz w:val="22"/>
          <w:szCs w:val="22"/>
        </w:rPr>
        <w:t>“)</w:t>
      </w:r>
      <w:r w:rsidRPr="002D189A">
        <w:rPr>
          <w:rFonts w:ascii="Arial Narrow" w:hAnsi="Arial Narrow" w:cs="Arial Narrow"/>
          <w:sz w:val="22"/>
          <w:szCs w:val="22"/>
        </w:rPr>
        <w:t xml:space="preserve"> v jednotlivých rozpočtových rokoch ovplyvňuje vývoj príjmov z podnikania a vlastníctva majetku, ako aj vývoj kapitálových príjmov. Ide o príjmy z nájomného za prenajaté pozemky v správe SPF a príjmy z predaja majetku. Dominantné postavenie v príjmovej časti navrhovaného rozpočtu SPF </w:t>
      </w:r>
      <w:r>
        <w:rPr>
          <w:rFonts w:ascii="Arial Narrow" w:hAnsi="Arial Narrow" w:cs="Arial Narrow"/>
          <w:sz w:val="22"/>
          <w:szCs w:val="22"/>
        </w:rPr>
        <w:t>majú</w:t>
      </w:r>
      <w:r w:rsidRPr="002D189A">
        <w:rPr>
          <w:rFonts w:ascii="Arial Narrow" w:hAnsi="Arial Narrow" w:cs="Arial Narrow"/>
          <w:sz w:val="22"/>
          <w:szCs w:val="22"/>
        </w:rPr>
        <w:t xml:space="preserve"> rozpočtované príjmy z výnosov pri správe majetku štátu podľa zákonov č. 229 a 330/1991 Zb. v znení neskorších predpisov. V rámci </w:t>
      </w:r>
      <w:r>
        <w:rPr>
          <w:rFonts w:ascii="Arial Narrow" w:hAnsi="Arial Narrow" w:cs="Arial Narrow"/>
          <w:sz w:val="22"/>
          <w:szCs w:val="22"/>
        </w:rPr>
        <w:t xml:space="preserve">týchto </w:t>
      </w:r>
      <w:r w:rsidRPr="002D189A">
        <w:rPr>
          <w:rFonts w:ascii="Arial Narrow" w:hAnsi="Arial Narrow" w:cs="Arial Narrow"/>
          <w:sz w:val="22"/>
          <w:szCs w:val="22"/>
        </w:rPr>
        <w:t xml:space="preserve">rozpočtovaných príjmov sa rozhodujúcou mierou podieľajú predovšetkým príjmy za nájomné zo spravovaných pozemkov. Druhú rozhodujúcu položku v príjmovej časti rozpočtu predstavujú predpokladané príjmy z predaja </w:t>
      </w:r>
      <w:r>
        <w:rPr>
          <w:rFonts w:ascii="Arial Narrow" w:hAnsi="Arial Narrow" w:cs="Arial Narrow"/>
          <w:sz w:val="22"/>
          <w:szCs w:val="22"/>
        </w:rPr>
        <w:t xml:space="preserve">SPF </w:t>
      </w:r>
      <w:r w:rsidRPr="002D189A">
        <w:rPr>
          <w:rFonts w:ascii="Arial Narrow" w:hAnsi="Arial Narrow" w:cs="Arial Narrow"/>
          <w:sz w:val="22"/>
          <w:szCs w:val="22"/>
        </w:rPr>
        <w:t xml:space="preserve">spravovaných pozemkov </w:t>
      </w:r>
      <w:r>
        <w:rPr>
          <w:rFonts w:ascii="Arial Narrow" w:hAnsi="Arial Narrow" w:cs="Arial Narrow"/>
          <w:sz w:val="22"/>
          <w:szCs w:val="22"/>
        </w:rPr>
        <w:t xml:space="preserve">                  </w:t>
      </w:r>
      <w:r w:rsidRPr="002D189A">
        <w:rPr>
          <w:rFonts w:ascii="Arial Narrow" w:hAnsi="Arial Narrow" w:cs="Arial Narrow"/>
          <w:sz w:val="22"/>
          <w:szCs w:val="22"/>
        </w:rPr>
        <w:t>(v rozhodujúcej m</w:t>
      </w:r>
      <w:r w:rsidRPr="002D189A">
        <w:rPr>
          <w:rFonts w:ascii="Arial Narrow" w:hAnsi="Arial Narrow" w:cs="Arial Narrow"/>
          <w:sz w:val="22"/>
          <w:szCs w:val="22"/>
        </w:rPr>
        <w:t>iere ide len o pozemky vo vlastníctve štátu).</w:t>
      </w:r>
      <w:r w:rsidRPr="00A223FF">
        <w:rPr>
          <w:rFonts w:ascii="Arial Narrow" w:hAnsi="Arial Narrow" w:cs="Times New Roman"/>
          <w:sz w:val="22"/>
          <w:szCs w:val="22"/>
        </w:rPr>
        <w:t xml:space="preserve"> </w:t>
      </w:r>
    </w:p>
    <w:p w:rsidR="00C52DD5" w:rsidP="00C52DD5">
      <w:pPr>
        <w:ind w:firstLine="708"/>
        <w:jc w:val="both"/>
        <w:rPr>
          <w:rFonts w:ascii="Arial Narrow" w:hAnsi="Arial Narrow" w:cs="Times New Roman"/>
          <w:sz w:val="22"/>
          <w:szCs w:val="22"/>
          <w:lang w:val="cs-CZ"/>
        </w:rPr>
      </w:pPr>
    </w:p>
    <w:p w:rsidR="00C52DD5" w:rsidRPr="00487FE4" w:rsidP="00C52DD5">
      <w:pPr>
        <w:ind w:firstLine="708"/>
        <w:jc w:val="both"/>
        <w:rPr>
          <w:rFonts w:ascii="Arial Narrow" w:hAnsi="Arial Narrow" w:cs="Times New Roman"/>
          <w:sz w:val="22"/>
          <w:szCs w:val="22"/>
        </w:rPr>
      </w:pPr>
      <w:r w:rsidRPr="002D189A">
        <w:rPr>
          <w:rFonts w:ascii="Arial Narrow" w:hAnsi="Arial Narrow" w:cs="Times New Roman"/>
          <w:sz w:val="22"/>
          <w:szCs w:val="22"/>
          <w:lang w:val="cs-CZ"/>
        </w:rPr>
        <w:t>V</w:t>
      </w:r>
      <w:r w:rsidRPr="002D189A">
        <w:rPr>
          <w:rFonts w:ascii="Arial Narrow" w:hAnsi="Arial Narrow" w:cs="Times New Roman"/>
          <w:sz w:val="22"/>
          <w:szCs w:val="22"/>
        </w:rPr>
        <w:t>ýdavkov</w:t>
      </w:r>
      <w:r>
        <w:rPr>
          <w:rFonts w:ascii="Arial Narrow" w:hAnsi="Arial Narrow" w:cs="Times New Roman"/>
          <w:sz w:val="22"/>
          <w:szCs w:val="22"/>
        </w:rPr>
        <w:t>á</w:t>
      </w:r>
      <w:r w:rsidRPr="002D189A">
        <w:rPr>
          <w:rFonts w:ascii="Arial Narrow" w:hAnsi="Arial Narrow" w:cs="Times New Roman"/>
          <w:sz w:val="22"/>
          <w:szCs w:val="22"/>
        </w:rPr>
        <w:t xml:space="preserve"> čas</w:t>
      </w:r>
      <w:r>
        <w:rPr>
          <w:rFonts w:ascii="Arial Narrow" w:hAnsi="Arial Narrow" w:cs="Times New Roman"/>
          <w:sz w:val="22"/>
          <w:szCs w:val="22"/>
        </w:rPr>
        <w:t>ť</w:t>
      </w:r>
      <w:r w:rsidRPr="002D189A">
        <w:rPr>
          <w:rFonts w:ascii="Arial Narrow" w:hAnsi="Arial Narrow" w:cs="Times New Roman"/>
          <w:sz w:val="22"/>
          <w:szCs w:val="22"/>
        </w:rPr>
        <w:t xml:space="preserve"> navrhovaného rozpočtu </w:t>
      </w:r>
      <w:r>
        <w:rPr>
          <w:rFonts w:ascii="Arial Narrow" w:hAnsi="Arial Narrow" w:cs="Times New Roman"/>
          <w:sz w:val="22"/>
          <w:szCs w:val="22"/>
        </w:rPr>
        <w:t xml:space="preserve">primerane odzrkadľuje jeho </w:t>
      </w:r>
      <w:r w:rsidRPr="002D189A">
        <w:rPr>
          <w:rFonts w:ascii="Arial Narrow" w:hAnsi="Arial Narrow" w:cs="Times New Roman"/>
          <w:sz w:val="22"/>
          <w:szCs w:val="22"/>
        </w:rPr>
        <w:t>príjmov</w:t>
      </w:r>
      <w:r>
        <w:rPr>
          <w:rFonts w:ascii="Arial Narrow" w:hAnsi="Arial Narrow" w:cs="Times New Roman"/>
          <w:sz w:val="22"/>
          <w:szCs w:val="22"/>
        </w:rPr>
        <w:t>ú</w:t>
      </w:r>
      <w:r w:rsidRPr="002D189A">
        <w:rPr>
          <w:rFonts w:ascii="Arial Narrow" w:hAnsi="Arial Narrow" w:cs="Times New Roman"/>
          <w:sz w:val="22"/>
          <w:szCs w:val="22"/>
        </w:rPr>
        <w:t xml:space="preserve"> čas</w:t>
      </w:r>
      <w:r>
        <w:rPr>
          <w:rFonts w:ascii="Arial Narrow" w:hAnsi="Arial Narrow" w:cs="Times New Roman"/>
          <w:sz w:val="22"/>
          <w:szCs w:val="22"/>
        </w:rPr>
        <w:t xml:space="preserve">ť so zámerom zachovať vyrovnané hotovostné hospodárenie SPF. </w:t>
      </w:r>
      <w:r w:rsidRPr="002D189A">
        <w:rPr>
          <w:rFonts w:ascii="Arial Narrow" w:hAnsi="Arial Narrow" w:cs="Times New Roman"/>
          <w:sz w:val="22"/>
          <w:szCs w:val="22"/>
        </w:rPr>
        <w:t xml:space="preserve">Dominujú </w:t>
      </w:r>
      <w:r>
        <w:rPr>
          <w:rFonts w:ascii="Arial Narrow" w:hAnsi="Arial Narrow" w:cs="Times New Roman"/>
          <w:sz w:val="22"/>
          <w:szCs w:val="22"/>
        </w:rPr>
        <w:t xml:space="preserve">v nej </w:t>
      </w:r>
      <w:r w:rsidRPr="002D189A">
        <w:rPr>
          <w:rFonts w:ascii="Arial Narrow" w:hAnsi="Arial Narrow" w:cs="Times New Roman"/>
          <w:sz w:val="22"/>
          <w:szCs w:val="22"/>
        </w:rPr>
        <w:t xml:space="preserve">hlavne výdavkové tituly, ktorých financovanie pre SPF vyplýva z príslušných právnych predpisov, upravujúcich jeho postavenie a činnosti. Ide hlavne o plnenie reštitučných nárokov oprávnených osôb a usporiadanie vlastníctva k pozemkom. </w:t>
      </w:r>
      <w:r>
        <w:rPr>
          <w:rFonts w:ascii="Arial Narrow" w:hAnsi="Arial Narrow" w:cs="Times New Roman"/>
          <w:sz w:val="22"/>
          <w:szCs w:val="22"/>
        </w:rPr>
        <w:t xml:space="preserve">V návrhu rozpočtu </w:t>
      </w:r>
      <w:r w:rsidRPr="00631A0A">
        <w:rPr>
          <w:rFonts w:ascii="Arial Narrow" w:hAnsi="Arial Narrow" w:cs="Times New Roman"/>
          <w:sz w:val="22"/>
          <w:szCs w:val="22"/>
        </w:rPr>
        <w:t>na roky 2009 a</w:t>
      </w:r>
      <w:r>
        <w:rPr>
          <w:rFonts w:ascii="Arial Narrow" w:hAnsi="Arial Narrow" w:cs="Times New Roman"/>
          <w:sz w:val="22"/>
          <w:szCs w:val="22"/>
        </w:rPr>
        <w:t> </w:t>
      </w:r>
      <w:r w:rsidRPr="00631A0A">
        <w:rPr>
          <w:rFonts w:ascii="Arial Narrow" w:hAnsi="Arial Narrow" w:cs="Times New Roman"/>
          <w:sz w:val="22"/>
          <w:szCs w:val="22"/>
        </w:rPr>
        <w:t>2010</w:t>
      </w:r>
      <w:r>
        <w:rPr>
          <w:rFonts w:ascii="Arial Narrow" w:hAnsi="Arial Narrow" w:cs="Times New Roman"/>
          <w:sz w:val="22"/>
          <w:szCs w:val="22"/>
        </w:rPr>
        <w:t xml:space="preserve">, </w:t>
      </w:r>
      <w:r w:rsidRPr="002D189A">
        <w:rPr>
          <w:rFonts w:ascii="Arial Narrow" w:hAnsi="Arial Narrow" w:cs="Times New Roman"/>
          <w:sz w:val="22"/>
          <w:szCs w:val="22"/>
        </w:rPr>
        <w:t>v zmysle uznesen</w:t>
      </w:r>
      <w:r>
        <w:rPr>
          <w:rFonts w:ascii="Arial Narrow" w:hAnsi="Arial Narrow" w:cs="Times New Roman"/>
          <w:sz w:val="22"/>
          <w:szCs w:val="22"/>
        </w:rPr>
        <w:t>í</w:t>
      </w:r>
      <w:r w:rsidRPr="002D189A">
        <w:rPr>
          <w:rFonts w:ascii="Arial Narrow" w:hAnsi="Arial Narrow" w:cs="Times New Roman"/>
          <w:sz w:val="22"/>
          <w:szCs w:val="22"/>
        </w:rPr>
        <w:t xml:space="preserve"> vlády SR č</w:t>
      </w:r>
      <w:r>
        <w:rPr>
          <w:rFonts w:ascii="Arial Narrow" w:hAnsi="Arial Narrow" w:cs="Times New Roman"/>
          <w:sz w:val="22"/>
          <w:szCs w:val="22"/>
        </w:rPr>
        <w:t>.</w:t>
      </w:r>
      <w:r w:rsidRPr="002D189A">
        <w:rPr>
          <w:rFonts w:ascii="Arial Narrow" w:hAnsi="Arial Narrow" w:cs="Times New Roman"/>
          <w:sz w:val="22"/>
          <w:szCs w:val="22"/>
        </w:rPr>
        <w:t xml:space="preserve"> 807/2005</w:t>
      </w:r>
      <w:r>
        <w:rPr>
          <w:rFonts w:ascii="Arial Narrow" w:hAnsi="Arial Narrow" w:cs="Times New Roman"/>
          <w:sz w:val="22"/>
          <w:szCs w:val="22"/>
        </w:rPr>
        <w:t xml:space="preserve"> a 970/2005, </w:t>
      </w:r>
      <w:r w:rsidRPr="002D189A">
        <w:rPr>
          <w:rFonts w:ascii="Arial Narrow" w:hAnsi="Arial Narrow" w:cs="Times New Roman"/>
          <w:sz w:val="22"/>
          <w:szCs w:val="22"/>
        </w:rPr>
        <w:t>je</w:t>
      </w:r>
      <w:r>
        <w:rPr>
          <w:rFonts w:ascii="Arial Narrow" w:hAnsi="Arial Narrow" w:cs="Times New Roman"/>
          <w:sz w:val="22"/>
          <w:szCs w:val="22"/>
        </w:rPr>
        <w:t xml:space="preserve"> zapracovaný </w:t>
      </w:r>
      <w:r w:rsidRPr="00631A0A">
        <w:rPr>
          <w:rFonts w:ascii="Arial Narrow" w:hAnsi="Arial Narrow" w:cs="Times New Roman"/>
          <w:sz w:val="22"/>
          <w:szCs w:val="22"/>
        </w:rPr>
        <w:t>transfer Ministerstvu pôdohospodárstva SR v</w:t>
      </w:r>
      <w:r>
        <w:rPr>
          <w:rFonts w:ascii="Arial Narrow" w:hAnsi="Arial Narrow" w:cs="Times New Roman"/>
          <w:sz w:val="22"/>
          <w:szCs w:val="22"/>
        </w:rPr>
        <w:t xml:space="preserve"> o</w:t>
      </w:r>
      <w:r w:rsidRPr="00631A0A">
        <w:rPr>
          <w:rFonts w:ascii="Arial Narrow" w:hAnsi="Arial Narrow" w:cs="Times New Roman"/>
          <w:sz w:val="22"/>
          <w:szCs w:val="22"/>
        </w:rPr>
        <w:t xml:space="preserve">bjeme 4 979 tis. </w:t>
      </w:r>
      <w:r>
        <w:rPr>
          <w:rFonts w:ascii="Arial Narrow" w:hAnsi="Arial Narrow" w:cs="Times New Roman"/>
          <w:sz w:val="22"/>
          <w:szCs w:val="22"/>
        </w:rPr>
        <w:t>e</w:t>
      </w:r>
      <w:r w:rsidRPr="00631A0A">
        <w:rPr>
          <w:rFonts w:ascii="Arial Narrow" w:hAnsi="Arial Narrow" w:cs="Times New Roman"/>
          <w:sz w:val="22"/>
          <w:szCs w:val="22"/>
        </w:rPr>
        <w:t>ur</w:t>
      </w:r>
      <w:r>
        <w:rPr>
          <w:rFonts w:ascii="Arial Narrow" w:hAnsi="Arial Narrow" w:cs="Times New Roman"/>
          <w:sz w:val="22"/>
          <w:szCs w:val="22"/>
        </w:rPr>
        <w:t>, účelovo</w:t>
      </w:r>
      <w:r w:rsidRPr="00631A0A">
        <w:rPr>
          <w:rFonts w:ascii="Arial Narrow" w:hAnsi="Arial Narrow" w:cs="Times New Roman"/>
          <w:sz w:val="22"/>
          <w:szCs w:val="22"/>
        </w:rPr>
        <w:t xml:space="preserve"> </w:t>
      </w:r>
      <w:r>
        <w:rPr>
          <w:rFonts w:ascii="Arial Narrow" w:hAnsi="Arial Narrow" w:cs="Times New Roman"/>
          <w:sz w:val="22"/>
          <w:szCs w:val="22"/>
        </w:rPr>
        <w:t xml:space="preserve">určený </w:t>
      </w:r>
      <w:r w:rsidRPr="002D189A">
        <w:rPr>
          <w:rFonts w:ascii="Arial Narrow" w:hAnsi="Arial Narrow" w:cs="Times New Roman"/>
          <w:sz w:val="22"/>
          <w:szCs w:val="22"/>
        </w:rPr>
        <w:t>na financovan</w:t>
      </w:r>
      <w:r>
        <w:rPr>
          <w:rFonts w:ascii="Arial Narrow" w:hAnsi="Arial Narrow" w:cs="Times New Roman"/>
          <w:sz w:val="22"/>
          <w:szCs w:val="22"/>
        </w:rPr>
        <w:t>ie</w:t>
      </w:r>
      <w:r w:rsidRPr="002D189A">
        <w:rPr>
          <w:rFonts w:ascii="Arial Narrow" w:hAnsi="Arial Narrow" w:cs="Times New Roman"/>
          <w:sz w:val="22"/>
          <w:szCs w:val="22"/>
        </w:rPr>
        <w:t xml:space="preserve"> nákladov súvisiacich s „Registrom obnove</w:t>
      </w:r>
      <w:r>
        <w:rPr>
          <w:rFonts w:ascii="Arial Narrow" w:hAnsi="Arial Narrow" w:cs="Times New Roman"/>
          <w:sz w:val="22"/>
          <w:szCs w:val="22"/>
        </w:rPr>
        <w:t xml:space="preserve">nej evidencie </w:t>
      </w:r>
      <w:r w:rsidRPr="002D189A">
        <w:rPr>
          <w:rFonts w:ascii="Arial Narrow" w:hAnsi="Arial Narrow" w:cs="Times New Roman"/>
          <w:sz w:val="22"/>
          <w:szCs w:val="22"/>
        </w:rPr>
        <w:t>pozemkov“ (ROEP)</w:t>
      </w:r>
      <w:r>
        <w:rPr>
          <w:rFonts w:ascii="Arial Narrow" w:hAnsi="Arial Narrow" w:cs="Times New Roman"/>
          <w:sz w:val="22"/>
          <w:szCs w:val="22"/>
        </w:rPr>
        <w:t>, ako aj zmiernenie škôd v pôdohospodárstve spôsobených žive</w:t>
      </w:r>
      <w:r>
        <w:rPr>
          <w:rFonts w:ascii="Arial Narrow" w:hAnsi="Arial Narrow" w:cs="Times New Roman"/>
          <w:sz w:val="22"/>
          <w:szCs w:val="22"/>
        </w:rPr>
        <w:t xml:space="preserve">lnými pohromami. </w:t>
      </w:r>
    </w:p>
    <w:p w:rsidR="00C52DD5" w:rsidRPr="002D189A" w:rsidP="00C52DD5">
      <w:pPr>
        <w:jc w:val="both"/>
        <w:rPr>
          <w:rFonts w:ascii="Arial Narrow" w:hAnsi="Arial Narrow" w:cs="Arial Narrow"/>
          <w:sz w:val="22"/>
          <w:szCs w:val="22"/>
        </w:rPr>
      </w:pPr>
      <w:r>
        <w:rPr>
          <w:rFonts w:ascii="Arial Narrow" w:hAnsi="Arial Narrow" w:cs="Times New Roman"/>
          <w:sz w:val="22"/>
          <w:szCs w:val="22"/>
          <w:lang w:val="cs-CZ"/>
        </w:rPr>
        <w:tab/>
      </w:r>
    </w:p>
    <w:p w:rsidR="00C52DD5" w:rsidP="00C52DD5">
      <w:pPr>
        <w:ind w:firstLine="708"/>
        <w:jc w:val="both"/>
        <w:rPr>
          <w:rFonts w:ascii="Arial Narrow" w:hAnsi="Arial Narrow" w:cs="Arial Narrow"/>
          <w:sz w:val="22"/>
          <w:szCs w:val="22"/>
        </w:rPr>
      </w:pPr>
    </w:p>
    <w:p w:rsidR="00C52DD5" w:rsidP="00C52DD5">
      <w:pPr>
        <w:ind w:firstLine="708"/>
        <w:jc w:val="both"/>
        <w:rPr>
          <w:rFonts w:ascii="Arial Narrow" w:hAnsi="Arial Narrow" w:cs="Arial Narrow"/>
          <w:sz w:val="22"/>
          <w:szCs w:val="22"/>
        </w:rPr>
      </w:pPr>
    </w:p>
    <w:p w:rsidR="00C52DD5" w:rsidP="00C52DD5">
      <w:pPr>
        <w:ind w:firstLine="708"/>
        <w:jc w:val="both"/>
        <w:rPr>
          <w:rFonts w:ascii="Arial Narrow" w:hAnsi="Arial Narrow" w:cs="Arial Narrow"/>
          <w:sz w:val="22"/>
          <w:szCs w:val="22"/>
        </w:rPr>
      </w:pPr>
    </w:p>
    <w:p w:rsidR="00C52DD5" w:rsidP="00C52DD5">
      <w:pPr>
        <w:ind w:firstLine="708"/>
        <w:jc w:val="both"/>
        <w:rPr>
          <w:rFonts w:ascii="Arial Narrow" w:hAnsi="Arial Narrow" w:cs="Arial Narrow"/>
          <w:sz w:val="22"/>
          <w:szCs w:val="22"/>
        </w:rPr>
      </w:pPr>
    </w:p>
    <w:p w:rsidR="00C52DD5" w:rsidP="00C52DD5">
      <w:pPr>
        <w:ind w:firstLine="708"/>
        <w:jc w:val="both"/>
        <w:rPr>
          <w:rFonts w:ascii="Arial Narrow" w:hAnsi="Arial Narrow" w:cs="Arial Narrow"/>
          <w:sz w:val="22"/>
          <w:szCs w:val="22"/>
        </w:rPr>
      </w:pPr>
    </w:p>
    <w:p w:rsidR="00C52DD5" w:rsidP="00C52DD5">
      <w:pPr>
        <w:ind w:firstLine="708"/>
        <w:jc w:val="both"/>
        <w:rPr>
          <w:rFonts w:ascii="Arial Narrow" w:hAnsi="Arial Narrow" w:cs="Arial Narrow"/>
          <w:sz w:val="22"/>
          <w:szCs w:val="22"/>
        </w:rPr>
      </w:pPr>
    </w:p>
    <w:p w:rsidR="00C52DD5" w:rsidP="00C52DD5">
      <w:pPr>
        <w:ind w:firstLine="708"/>
        <w:jc w:val="both"/>
        <w:rPr>
          <w:rFonts w:ascii="Arial Narrow" w:hAnsi="Arial Narrow" w:cs="Arial Narrow"/>
          <w:sz w:val="22"/>
          <w:szCs w:val="22"/>
        </w:rPr>
      </w:pPr>
      <w:r w:rsidRPr="002D189A">
        <w:rPr>
          <w:rFonts w:ascii="Arial Narrow" w:hAnsi="Arial Narrow" w:cs="Arial Narrow"/>
          <w:sz w:val="22"/>
          <w:szCs w:val="22"/>
        </w:rPr>
        <w:t>Vývoj príjmovej a výdavkovej časti rozpočtu SPF na roky 200</w:t>
      </w:r>
      <w:r>
        <w:rPr>
          <w:rFonts w:ascii="Arial Narrow" w:hAnsi="Arial Narrow" w:cs="Arial Narrow"/>
          <w:sz w:val="22"/>
          <w:szCs w:val="22"/>
        </w:rPr>
        <w:t>9</w:t>
      </w:r>
      <w:r w:rsidRPr="002D189A">
        <w:rPr>
          <w:rFonts w:ascii="Arial Narrow" w:hAnsi="Arial Narrow" w:cs="Arial Narrow"/>
          <w:sz w:val="22"/>
          <w:szCs w:val="22"/>
        </w:rPr>
        <w:t xml:space="preserve"> až 201</w:t>
      </w:r>
      <w:r>
        <w:rPr>
          <w:rFonts w:ascii="Arial Narrow" w:hAnsi="Arial Narrow" w:cs="Arial Narrow"/>
          <w:sz w:val="22"/>
          <w:szCs w:val="22"/>
        </w:rPr>
        <w:t>1</w:t>
      </w:r>
      <w:r w:rsidRPr="002D189A">
        <w:rPr>
          <w:rFonts w:ascii="Arial Narrow" w:hAnsi="Arial Narrow" w:cs="Arial Narrow"/>
          <w:sz w:val="22"/>
          <w:szCs w:val="22"/>
        </w:rPr>
        <w:t xml:space="preserve">  je nasledovný:</w:t>
      </w:r>
    </w:p>
    <w:p w:rsidR="00C52DD5" w:rsidRPr="002D189A" w:rsidP="00C52DD5">
      <w:pPr>
        <w:ind w:left="4956" w:firstLine="708"/>
        <w:rPr>
          <w:rFonts w:ascii="Arial Narrow" w:hAnsi="Arial Narrow" w:cs="Arial Narrow"/>
          <w:sz w:val="22"/>
          <w:szCs w:val="22"/>
        </w:rPr>
      </w:pPr>
      <w:r w:rsidRPr="002D189A">
        <w:rPr>
          <w:rFonts w:ascii="Arial Narrow" w:hAnsi="Arial Narrow" w:cs="Arial Narrow"/>
          <w:sz w:val="22"/>
          <w:szCs w:val="22"/>
        </w:rPr>
        <w:t xml:space="preserve"> </w:t>
        <w:tab/>
        <w:tab/>
        <w:tab/>
      </w:r>
    </w:p>
    <w:tbl>
      <w:tblPr>
        <w:tblW w:w="928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Grid>
        <w:gridCol w:w="3528"/>
        <w:gridCol w:w="1440"/>
        <w:gridCol w:w="1440"/>
        <w:gridCol w:w="1440"/>
        <w:gridCol w:w="1440"/>
      </w:tblGrid>
      <w:tr>
        <w:tblPrEx>
          <w:tblW w:w="928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7F78EE" w:rsidP="00C52DD5">
            <w:pPr>
              <w:rPr>
                <w:rFonts w:ascii="Arial Narrow" w:hAnsi="Arial Narrow" w:cs="Arial Narrow"/>
                <w:b/>
                <w:color w:val="FFFFFF"/>
                <w:sz w:val="20"/>
              </w:rPr>
            </w:pPr>
            <w:r w:rsidRPr="007F78EE">
              <w:rPr>
                <w:rFonts w:ascii="Arial Narrow" w:hAnsi="Arial Narrow" w:cs="Arial Narrow"/>
                <w:b/>
                <w:color w:val="FFFFFF"/>
                <w:sz w:val="20"/>
              </w:rPr>
              <w:t>(v tis. eur)</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2D189A" w:rsidP="00C52DD5">
            <w:pPr>
              <w:jc w:val="center"/>
              <w:rPr>
                <w:rFonts w:ascii="Arial Narrow" w:hAnsi="Arial Narrow" w:cs="Arial Narrow"/>
                <w:b/>
                <w:bCs/>
                <w:color w:val="FFFFFF"/>
                <w:sz w:val="20"/>
              </w:rPr>
            </w:pPr>
            <w:r w:rsidRPr="002D189A">
              <w:rPr>
                <w:rFonts w:ascii="Arial Narrow" w:hAnsi="Arial Narrow" w:cs="Arial Narrow"/>
                <w:b/>
                <w:bCs/>
                <w:color w:val="FFFFFF"/>
                <w:sz w:val="20"/>
              </w:rPr>
              <w:t>200</w:t>
            </w:r>
            <w:r>
              <w:rPr>
                <w:rFonts w:ascii="Arial Narrow" w:hAnsi="Arial Narrow" w:cs="Arial Narrow"/>
                <w:b/>
                <w:bCs/>
                <w:color w:val="FFFFFF"/>
                <w:sz w:val="20"/>
              </w:rPr>
              <w:t>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2D189A" w:rsidP="00C52DD5">
            <w:pPr>
              <w:jc w:val="center"/>
              <w:rPr>
                <w:rFonts w:ascii="Arial Narrow" w:hAnsi="Arial Narrow" w:cs="Arial Narrow"/>
                <w:b/>
                <w:bCs/>
                <w:color w:val="FFFFFF"/>
                <w:sz w:val="20"/>
              </w:rPr>
            </w:pPr>
            <w:r w:rsidRPr="002D189A">
              <w:rPr>
                <w:rFonts w:ascii="Arial Narrow" w:hAnsi="Arial Narrow" w:cs="Arial Narrow"/>
                <w:b/>
                <w:bCs/>
                <w:color w:val="FFFFFF"/>
                <w:sz w:val="20"/>
              </w:rPr>
              <w:t>200</w:t>
            </w:r>
            <w:r>
              <w:rPr>
                <w:rFonts w:ascii="Arial Narrow" w:hAnsi="Arial Narrow" w:cs="Arial Narrow"/>
                <w:b/>
                <w:bCs/>
                <w:color w:val="FFFFFF"/>
                <w:sz w:val="20"/>
              </w:rPr>
              <w:t>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2D189A" w:rsidP="00C52DD5">
            <w:pPr>
              <w:jc w:val="center"/>
              <w:rPr>
                <w:rFonts w:ascii="Arial Narrow" w:hAnsi="Arial Narrow" w:cs="Arial Narrow"/>
                <w:b/>
                <w:bCs/>
                <w:color w:val="FFFFFF"/>
                <w:sz w:val="20"/>
              </w:rPr>
            </w:pPr>
            <w:r w:rsidRPr="002D189A">
              <w:rPr>
                <w:rFonts w:ascii="Arial Narrow" w:hAnsi="Arial Narrow" w:cs="Arial Narrow"/>
                <w:b/>
                <w:bCs/>
                <w:color w:val="FFFFFF"/>
                <w:sz w:val="20"/>
              </w:rPr>
              <w:t>20</w:t>
            </w:r>
            <w:r>
              <w:rPr>
                <w:rFonts w:ascii="Arial Narrow" w:hAnsi="Arial Narrow" w:cs="Arial Narrow"/>
                <w:b/>
                <w:bCs/>
                <w:color w:val="FFFFFF"/>
                <w:sz w:val="20"/>
              </w:rPr>
              <w:t>10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2D189A" w:rsidP="00C52DD5">
            <w:pPr>
              <w:jc w:val="center"/>
              <w:rPr>
                <w:rFonts w:ascii="Arial Narrow" w:hAnsi="Arial Narrow" w:cs="Arial Narrow"/>
                <w:b/>
                <w:bCs/>
                <w:color w:val="FFFFFF"/>
                <w:sz w:val="20"/>
              </w:rPr>
            </w:pPr>
            <w:r w:rsidRPr="002D189A">
              <w:rPr>
                <w:rFonts w:ascii="Arial Narrow" w:hAnsi="Arial Narrow" w:cs="Arial Narrow"/>
                <w:b/>
                <w:bCs/>
                <w:color w:val="FFFFFF"/>
                <w:sz w:val="20"/>
              </w:rPr>
              <w:t>201</w:t>
            </w:r>
            <w:r>
              <w:rPr>
                <w:rFonts w:ascii="Arial Narrow" w:hAnsi="Arial Narrow" w:cs="Arial Narrow"/>
                <w:b/>
                <w:bCs/>
                <w:color w:val="FFFFFF"/>
                <w:sz w:val="20"/>
              </w:rPr>
              <w:t>1</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Príjmy SPF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19 588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19 330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18 715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15 982</w:t>
            </w:r>
          </w:p>
        </w:tc>
      </w:tr>
      <w:tr>
        <w:tblPrEx>
          <w:tblW w:w="9288" w:type="dxa"/>
        </w:tblPrEx>
        <w:trPr>
          <w:trHeight w:hRule="exact" w:val="227"/>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367951" w:rsidP="00C52DD5">
            <w:pPr>
              <w:rPr>
                <w:rFonts w:ascii="Arial Narrow" w:hAnsi="Arial Narrow" w:cs="Arial Narrow"/>
                <w:b/>
                <w:i/>
                <w:sz w:val="20"/>
              </w:rPr>
            </w:pPr>
            <w:r w:rsidRPr="00367951">
              <w:rPr>
                <w:rFonts w:ascii="Arial Narrow" w:hAnsi="Arial Narrow" w:cs="Arial Narrow"/>
                <w:b/>
                <w:i/>
                <w:sz w:val="20"/>
              </w:rPr>
              <w:t>z toho:</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5"/>
              </w:numPr>
              <w:tabs>
                <w:tab w:val="left" w:pos="360"/>
              </w:tabs>
              <w:jc w:val="both"/>
              <w:rPr>
                <w:rFonts w:ascii="Arial Narrow" w:hAnsi="Arial Narrow" w:cs="Arial Narrow"/>
                <w:sz w:val="20"/>
              </w:rPr>
            </w:pPr>
            <w:r w:rsidRPr="002D189A">
              <w:rPr>
                <w:rFonts w:ascii="Arial Narrow" w:hAnsi="Arial Narrow" w:cs="Arial Narrow"/>
                <w:sz w:val="20"/>
              </w:rPr>
              <w:t>príjmy z podnikania a z vlast. majetku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9 689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9 966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9 900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9 693</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5"/>
              </w:numPr>
              <w:tabs>
                <w:tab w:val="left" w:pos="360"/>
              </w:tabs>
              <w:jc w:val="both"/>
              <w:rPr>
                <w:rFonts w:ascii="Arial Narrow" w:hAnsi="Arial Narrow" w:cs="Arial Narrow"/>
                <w:sz w:val="20"/>
              </w:rPr>
            </w:pPr>
            <w:r w:rsidRPr="002D189A">
              <w:rPr>
                <w:rFonts w:ascii="Arial Narrow" w:hAnsi="Arial Narrow" w:cs="Arial Narrow"/>
                <w:sz w:val="20"/>
              </w:rPr>
              <w:t>kapitálové príjmy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7 953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6 758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6 757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5 012</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6"/>
              </w:numPr>
              <w:tabs>
                <w:tab w:val="left" w:pos="360"/>
              </w:tabs>
              <w:jc w:val="both"/>
              <w:rPr>
                <w:rFonts w:ascii="Arial Narrow" w:hAnsi="Arial Narrow" w:cs="Arial Narrow"/>
                <w:sz w:val="20"/>
              </w:rPr>
            </w:pPr>
            <w:r w:rsidRPr="002D189A">
              <w:rPr>
                <w:rFonts w:ascii="Arial Narrow" w:hAnsi="Arial Narrow" w:cs="Arial Narrow"/>
                <w:sz w:val="20"/>
              </w:rPr>
              <w:t>úroky z tuzem. úverov, pôžičiek, NFV</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1 245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1 510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1 427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846</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6"/>
              </w:numPr>
              <w:tabs>
                <w:tab w:val="left" w:pos="360"/>
              </w:tabs>
              <w:jc w:val="both"/>
              <w:rPr>
                <w:rFonts w:ascii="Arial Narrow" w:hAnsi="Arial Narrow" w:cs="Arial Narrow"/>
                <w:sz w:val="20"/>
              </w:rPr>
            </w:pPr>
            <w:r w:rsidRPr="002D189A">
              <w:rPr>
                <w:rFonts w:ascii="Arial Narrow" w:hAnsi="Arial Narrow" w:cs="Arial Narrow"/>
                <w:sz w:val="20"/>
              </w:rPr>
              <w:t>ostatné nedaňové príjmy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203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664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233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66</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6"/>
              </w:numPr>
              <w:tabs>
                <w:tab w:val="left" w:pos="360"/>
              </w:tabs>
              <w:jc w:val="both"/>
              <w:rPr>
                <w:rFonts w:ascii="Arial Narrow" w:hAnsi="Arial Narrow" w:cs="Arial Narrow"/>
                <w:sz w:val="20"/>
              </w:rPr>
            </w:pPr>
            <w:r w:rsidRPr="002D189A">
              <w:rPr>
                <w:rFonts w:ascii="Arial Narrow" w:hAnsi="Arial Narrow" w:cs="Arial Narrow"/>
                <w:sz w:val="20"/>
              </w:rPr>
              <w:t>príjmy z privatizácie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432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365</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6"/>
              </w:numPr>
              <w:tabs>
                <w:tab w:val="left" w:pos="360"/>
              </w:tabs>
              <w:jc w:val="both"/>
              <w:rPr>
                <w:rFonts w:ascii="Arial Narrow" w:hAnsi="Arial Narrow" w:cs="Arial Narrow"/>
                <w:sz w:val="20"/>
              </w:rPr>
            </w:pPr>
            <w:r w:rsidRPr="002D189A">
              <w:rPr>
                <w:rFonts w:ascii="Arial Narrow" w:hAnsi="Arial Narrow" w:cs="Arial Narrow"/>
                <w:sz w:val="20"/>
              </w:rPr>
              <w:t xml:space="preserve">zostatok prostr. z predch. rokov (FO)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r>
      <w:tr>
        <w:tblPrEx>
          <w:tblW w:w="9288" w:type="dxa"/>
        </w:tblPrEx>
        <w:trPr>
          <w:trHeight w:hRule="exact" w:val="227"/>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Výdav</w:t>
            </w:r>
            <w:r w:rsidRPr="002D189A">
              <w:rPr>
                <w:rFonts w:ascii="Arial Narrow" w:hAnsi="Arial Narrow" w:cs="Arial Narrow"/>
                <w:b/>
                <w:bCs/>
                <w:i/>
                <w:iCs/>
                <w:sz w:val="20"/>
              </w:rPr>
              <w:t>ky SPF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19 588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19 330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18 715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15 982</w:t>
            </w:r>
          </w:p>
        </w:tc>
      </w:tr>
      <w:tr>
        <w:tblPrEx>
          <w:tblW w:w="9288" w:type="dxa"/>
        </w:tblPrEx>
        <w:trPr>
          <w:trHeight w:hRule="exact" w:val="227"/>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367951" w:rsidP="00C52DD5">
            <w:pPr>
              <w:rPr>
                <w:rFonts w:ascii="Arial Narrow" w:hAnsi="Arial Narrow" w:cs="Arial Narrow"/>
                <w:b/>
                <w:bCs/>
                <w:i/>
                <w:iCs/>
                <w:sz w:val="20"/>
              </w:rPr>
            </w:pPr>
            <w:r w:rsidRPr="00367951">
              <w:rPr>
                <w:rFonts w:ascii="Arial Narrow" w:hAnsi="Arial Narrow" w:cs="Arial Narrow"/>
                <w:b/>
                <w:bCs/>
                <w:i/>
                <w:iCs/>
                <w:sz w:val="20"/>
              </w:rPr>
              <w:t>z toho:</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mzdy a odvody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4 917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5 117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5 419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5 570</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 xml:space="preserve">tovary a služby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5 802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6 307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6 018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6 846</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bežné transfery (reštitúcie a fin.náhr.)</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 xml:space="preserve">7 923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6 562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6 324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1 342</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sz w:val="20"/>
              </w:rPr>
            </w:pPr>
            <w:r w:rsidRPr="002D189A">
              <w:rPr>
                <w:rFonts w:ascii="Arial Narrow" w:hAnsi="Arial Narrow" w:cs="Arial Narrow"/>
                <w:sz w:val="20"/>
              </w:rPr>
              <w:t xml:space="preserve">        z</w:t>
            </w:r>
            <w:r>
              <w:rPr>
                <w:rFonts w:ascii="Arial Narrow" w:hAnsi="Arial Narrow" w:cs="Arial Narrow"/>
                <w:sz w:val="20"/>
              </w:rPr>
              <w:t> </w:t>
            </w:r>
            <w:r w:rsidRPr="002D189A">
              <w:rPr>
                <w:rFonts w:ascii="Arial Narrow" w:hAnsi="Arial Narrow" w:cs="Arial Narrow"/>
                <w:sz w:val="20"/>
              </w:rPr>
              <w:t>toho</w:t>
            </w:r>
            <w:r>
              <w:rPr>
                <w:rFonts w:ascii="Arial Narrow" w:hAnsi="Arial Narrow" w:cs="Arial Narrow"/>
                <w:sz w:val="20"/>
              </w:rPr>
              <w:t>:  transfery v rámci VS</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6 639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4 979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4 979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kapitálové výdavky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946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1 344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954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2 224</w:t>
            </w:r>
          </w:p>
        </w:tc>
      </w:tr>
      <w:tr>
        <w:tblPrEx>
          <w:tblW w:w="9288" w:type="dxa"/>
        </w:tblPrEx>
        <w:trPr>
          <w:trHeight w:hRule="exact" w:val="227"/>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sz w:val="20"/>
              </w:rPr>
            </w:pP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Celkov</w:t>
            </w:r>
            <w:r>
              <w:rPr>
                <w:rFonts w:ascii="Arial Narrow" w:hAnsi="Arial Narrow" w:cs="Arial Narrow"/>
                <w:b/>
                <w:bCs/>
                <w:i/>
                <w:iCs/>
                <w:sz w:val="20"/>
              </w:rPr>
              <w:t>á</w:t>
            </w:r>
            <w:r w:rsidRPr="002D189A">
              <w:rPr>
                <w:rFonts w:ascii="Arial Narrow" w:hAnsi="Arial Narrow" w:cs="Arial Narrow"/>
                <w:b/>
                <w:bCs/>
                <w:i/>
                <w:iCs/>
                <w:sz w:val="20"/>
              </w:rPr>
              <w:t xml:space="preserve"> bilancia SPF</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0</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vylúčenie finančných operácií</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-498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-432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-398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-365</w:t>
            </w:r>
          </w:p>
        </w:tc>
      </w:tr>
      <w:tr>
        <w:tblPrEx>
          <w:tblW w:w="9288" w:type="dxa"/>
        </w:tblPrEx>
        <w:trPr>
          <w:trHeight w:hRule="exact" w:val="227"/>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r w:rsidRPr="00367951">
              <w:rPr>
                <w:rFonts w:ascii="Arial Narrow" w:hAnsi="Arial Narrow" w:cs="Arial Narrow"/>
                <w:b/>
                <w:bCs/>
                <w:i/>
                <w:iCs/>
                <w:sz w:val="20"/>
              </w:rPr>
              <w:t>z toho:</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8"/>
              </w:numPr>
              <w:tabs>
                <w:tab w:val="left" w:pos="360"/>
              </w:tabs>
              <w:jc w:val="both"/>
              <w:rPr>
                <w:rFonts w:ascii="Arial Narrow" w:hAnsi="Arial Narrow" w:cs="Arial Narrow"/>
                <w:b/>
                <w:bCs/>
                <w:sz w:val="20"/>
              </w:rPr>
            </w:pPr>
            <w:r w:rsidRPr="002D189A">
              <w:rPr>
                <w:rFonts w:ascii="Arial Narrow" w:hAnsi="Arial Narrow" w:cs="Arial Narrow"/>
                <w:sz w:val="20"/>
              </w:rPr>
              <w:t>vylúčenie príjmových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17FAD" w:rsidP="00C52DD5">
            <w:pPr>
              <w:jc w:val="right"/>
              <w:rPr>
                <w:rFonts w:ascii="Arial Narrow" w:hAnsi="Arial Narrow" w:cs="Arial Narrow"/>
                <w:bCs/>
                <w:i/>
                <w:iCs/>
                <w:sz w:val="20"/>
              </w:rPr>
            </w:pPr>
            <w:r w:rsidRPr="00217FAD">
              <w:rPr>
                <w:rFonts w:ascii="Arial Narrow" w:hAnsi="Arial Narrow" w:cs="Arial Narrow"/>
                <w:bCs/>
                <w:i/>
                <w:iCs/>
                <w:sz w:val="20"/>
              </w:rPr>
              <w:t>-432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17FAD" w:rsidP="00C52DD5">
            <w:pPr>
              <w:jc w:val="right"/>
              <w:rPr>
                <w:rFonts w:ascii="Arial Narrow" w:hAnsi="Arial Narrow" w:cs="Arial Narrow"/>
                <w:bCs/>
                <w:i/>
                <w:iCs/>
                <w:sz w:val="20"/>
              </w:rPr>
            </w:pPr>
            <w:r w:rsidRPr="00217FAD">
              <w:rPr>
                <w:rFonts w:ascii="Arial Narrow" w:hAnsi="Arial Narrow" w:cs="Arial Narrow"/>
                <w:bCs/>
                <w:i/>
                <w:iCs/>
                <w:sz w:val="20"/>
              </w:rPr>
              <w:t>-398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17FAD" w:rsidP="00C52DD5">
            <w:pPr>
              <w:jc w:val="right"/>
              <w:rPr>
                <w:rFonts w:ascii="Arial Narrow" w:hAnsi="Arial Narrow" w:cs="Arial Narrow"/>
                <w:bCs/>
                <w:i/>
                <w:iCs/>
                <w:sz w:val="20"/>
              </w:rPr>
            </w:pPr>
            <w:r w:rsidRPr="00217FAD">
              <w:rPr>
                <w:rFonts w:ascii="Arial Narrow" w:hAnsi="Arial Narrow" w:cs="Arial Narrow"/>
                <w:bCs/>
                <w:i/>
                <w:iCs/>
                <w:sz w:val="20"/>
              </w:rPr>
              <w:t>-365</w:t>
            </w: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ind w:left="360"/>
              <w:rPr>
                <w:rFonts w:ascii="Arial Narrow" w:hAnsi="Arial Narrow" w:cs="Arial Narrow"/>
                <w:sz w:val="20"/>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sz w:val="20"/>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sz w:val="20"/>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sz w:val="20"/>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sz w:val="20"/>
              </w:rPr>
            </w:pPr>
          </w:p>
        </w:tc>
      </w:tr>
      <w:tr>
        <w:tblPrEx>
          <w:tblW w:w="9288" w:type="dxa"/>
        </w:tblPrEx>
        <w:trPr>
          <w:trHeight w:hRule="exact" w:val="227"/>
        </w:trPr>
        <w:tc>
          <w:tcPr>
            <w:tcW w:w="352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Schodok SPF  (ESA 95)</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-498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17FAD" w:rsidP="00C52DD5">
            <w:pPr>
              <w:jc w:val="right"/>
              <w:rPr>
                <w:rFonts w:ascii="Arial Narrow" w:hAnsi="Arial Narrow" w:cs="Arial Narrow"/>
                <w:b/>
                <w:bCs/>
                <w:i/>
                <w:iCs/>
                <w:sz w:val="20"/>
              </w:rPr>
            </w:pPr>
            <w:r w:rsidRPr="00217FAD">
              <w:rPr>
                <w:rFonts w:ascii="Arial Narrow" w:hAnsi="Arial Narrow" w:cs="Arial Narrow"/>
                <w:b/>
                <w:bCs/>
                <w:i/>
                <w:iCs/>
                <w:sz w:val="20"/>
              </w:rPr>
              <w:t>-432</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17FAD" w:rsidP="00C52DD5">
            <w:pPr>
              <w:jc w:val="right"/>
              <w:rPr>
                <w:rFonts w:ascii="Arial Narrow" w:hAnsi="Arial Narrow" w:cs="Arial Narrow"/>
                <w:b/>
                <w:bCs/>
                <w:i/>
                <w:iCs/>
                <w:sz w:val="20"/>
              </w:rPr>
            </w:pPr>
            <w:r w:rsidRPr="00217FAD">
              <w:rPr>
                <w:rFonts w:ascii="Arial Narrow" w:hAnsi="Arial Narrow" w:cs="Arial Narrow"/>
                <w:b/>
                <w:bCs/>
                <w:i/>
                <w:iCs/>
                <w:sz w:val="20"/>
              </w:rPr>
              <w:t>-398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17FAD" w:rsidP="00C52DD5">
            <w:pPr>
              <w:jc w:val="right"/>
              <w:rPr>
                <w:rFonts w:ascii="Arial Narrow" w:hAnsi="Arial Narrow" w:cs="Arial Narrow"/>
                <w:b/>
                <w:bCs/>
                <w:i/>
                <w:iCs/>
                <w:sz w:val="20"/>
              </w:rPr>
            </w:pPr>
            <w:r w:rsidRPr="00217FAD">
              <w:rPr>
                <w:rFonts w:ascii="Arial Narrow" w:hAnsi="Arial Narrow" w:cs="Arial Narrow"/>
                <w:b/>
                <w:bCs/>
                <w:i/>
                <w:iCs/>
                <w:sz w:val="20"/>
              </w:rPr>
              <w:t>-365</w:t>
            </w:r>
          </w:p>
        </w:tc>
      </w:tr>
    </w:tbl>
    <w:p w:rsidR="00C52DD5" w:rsidRPr="002D189A" w:rsidP="00C52DD5">
      <w:pPr>
        <w:rPr>
          <w:rFonts w:ascii="Arial Narrow" w:hAnsi="Arial Narrow" w:cs="Times New Roman"/>
          <w:b/>
        </w:rPr>
      </w:pPr>
    </w:p>
    <w:p w:rsidR="00C52DD5" w:rsidRPr="004938EB" w:rsidP="00C52DD5">
      <w:pPr>
        <w:pStyle w:val="Heading1"/>
        <w:rPr>
          <w:rFonts w:ascii="Arial Narrow" w:hAnsi="Arial Narrow"/>
          <w:sz w:val="24"/>
          <w:szCs w:val="24"/>
        </w:rPr>
      </w:pPr>
      <w:r w:rsidRPr="004938EB">
        <w:rPr>
          <w:rFonts w:ascii="Arial Narrow" w:hAnsi="Arial Narrow"/>
          <w:sz w:val="24"/>
          <w:szCs w:val="24"/>
        </w:rPr>
        <w:t xml:space="preserve">6. Fond národného majetku </w:t>
      </w:r>
      <w:r w:rsidRPr="004938EB">
        <w:rPr>
          <w:rFonts w:ascii="Arial Narrow" w:hAnsi="Arial Narrow"/>
          <w:sz w:val="24"/>
          <w:szCs w:val="24"/>
        </w:rPr>
        <w:t>Slovenskej republiky</w:t>
      </w:r>
    </w:p>
    <w:p w:rsidR="00C52DD5" w:rsidRPr="00806A9F" w:rsidP="00C52DD5">
      <w:pPr>
        <w:rPr>
          <w:rFonts w:cs="Times New Roman"/>
        </w:rPr>
      </w:pPr>
    </w:p>
    <w:p w:rsidR="00C52DD5" w:rsidP="00C52DD5">
      <w:pPr>
        <w:jc w:val="both"/>
        <w:rPr>
          <w:rFonts w:ascii="Arial Narrow" w:hAnsi="Arial Narrow" w:cs="Times New Roman"/>
          <w:sz w:val="22"/>
          <w:szCs w:val="22"/>
        </w:rPr>
      </w:pPr>
      <w:r w:rsidRPr="002D189A">
        <w:rPr>
          <w:rFonts w:ascii="Arial Narrow" w:hAnsi="Arial Narrow" w:cs="Times New Roman"/>
        </w:rPr>
        <w:tab/>
      </w:r>
      <w:r>
        <w:rPr>
          <w:rFonts w:ascii="Arial Narrow" w:hAnsi="Arial Narrow" w:cs="Times New Roman"/>
          <w:sz w:val="22"/>
          <w:szCs w:val="22"/>
        </w:rPr>
        <w:t>V náv</w:t>
      </w:r>
      <w:r w:rsidRPr="0028653E">
        <w:rPr>
          <w:rFonts w:ascii="Arial Narrow" w:hAnsi="Arial Narrow" w:cs="Times New Roman"/>
          <w:sz w:val="22"/>
          <w:szCs w:val="22"/>
        </w:rPr>
        <w:t>rhu rozpočtu Fondu národného majetku Slovenskej republiky (ďalej len „FNM SR“) na roky 2009 až 2011</w:t>
      </w:r>
      <w:r>
        <w:rPr>
          <w:rFonts w:ascii="Arial Narrow" w:hAnsi="Arial Narrow" w:cs="Times New Roman"/>
          <w:sz w:val="22"/>
          <w:szCs w:val="22"/>
        </w:rPr>
        <w:t xml:space="preserve"> sa nepočíta s príjmami z ďalšej privatizácie. </w:t>
      </w:r>
      <w:r w:rsidRPr="002D189A">
        <w:rPr>
          <w:rFonts w:ascii="Arial Narrow" w:hAnsi="Arial Narrow" w:cs="Times New Roman"/>
          <w:sz w:val="22"/>
          <w:szCs w:val="22"/>
        </w:rPr>
        <w:t>FNM SR očakáva príjmy iba z už uzavretých zmlúv, ktoré výraznejšie neovplyvnia bil</w:t>
      </w:r>
      <w:r w:rsidRPr="002D189A">
        <w:rPr>
          <w:rFonts w:ascii="Arial Narrow" w:hAnsi="Arial Narrow" w:cs="Times New Roman"/>
          <w:sz w:val="22"/>
          <w:szCs w:val="22"/>
        </w:rPr>
        <w:t xml:space="preserve">anciu jeho príjmov a výdavkov. </w:t>
      </w:r>
    </w:p>
    <w:p w:rsidR="00C52DD5" w:rsidRPr="002D189A" w:rsidP="00C52DD5">
      <w:pPr>
        <w:jc w:val="both"/>
        <w:rPr>
          <w:rFonts w:ascii="Arial Narrow" w:hAnsi="Arial Narrow" w:cs="Times New Roman"/>
          <w:sz w:val="22"/>
          <w:szCs w:val="22"/>
        </w:rPr>
      </w:pPr>
    </w:p>
    <w:p w:rsidR="00C52DD5" w:rsidP="00C52DD5">
      <w:pPr>
        <w:ind w:firstLine="720"/>
        <w:jc w:val="both"/>
        <w:rPr>
          <w:rFonts w:ascii="Arial Narrow" w:hAnsi="Arial Narrow" w:cs="Times New Roman"/>
          <w:sz w:val="22"/>
          <w:szCs w:val="22"/>
        </w:rPr>
      </w:pPr>
      <w:r w:rsidRPr="002D189A">
        <w:rPr>
          <w:rFonts w:ascii="Arial Narrow" w:hAnsi="Arial Narrow" w:cs="Times New Roman"/>
          <w:sz w:val="22"/>
          <w:szCs w:val="22"/>
        </w:rPr>
        <w:t>Najvýznamnejšou príjmov</w:t>
      </w:r>
      <w:r>
        <w:rPr>
          <w:rFonts w:ascii="Arial Narrow" w:hAnsi="Arial Narrow" w:cs="Times New Roman"/>
          <w:sz w:val="22"/>
          <w:szCs w:val="22"/>
        </w:rPr>
        <w:t xml:space="preserve">ou položkou sú </w:t>
      </w:r>
      <w:r w:rsidRPr="002D189A">
        <w:rPr>
          <w:rFonts w:ascii="Arial Narrow" w:hAnsi="Arial Narrow" w:cs="Times New Roman"/>
          <w:sz w:val="22"/>
          <w:szCs w:val="22"/>
        </w:rPr>
        <w:t xml:space="preserve">príjmy z dividend, ktorých výška závisí od vývoja hospodárskeho výsledku najmä prirodzených monopolov a od spôsobu rozdelenia zisku v týchto spoločnostiach. </w:t>
      </w:r>
      <w:r>
        <w:rPr>
          <w:rFonts w:ascii="Arial Narrow" w:hAnsi="Arial Narrow" w:cs="Times New Roman"/>
          <w:sz w:val="22"/>
          <w:szCs w:val="22"/>
        </w:rPr>
        <w:t xml:space="preserve"> Predpokladá sa, že všetky príjmy z dividend budú v rokoch 2009 až 2011 transferované prostredníctvom štátnych finančných aktív do príjmov štátneho rozpočtu.  </w:t>
      </w:r>
    </w:p>
    <w:p w:rsidR="00C52DD5" w:rsidRPr="00234BF1" w:rsidP="00C52DD5">
      <w:pPr>
        <w:pStyle w:val="BodyText"/>
        <w:tabs>
          <w:tab w:val="left" w:pos="0"/>
        </w:tabs>
        <w:spacing w:after="0"/>
        <w:jc w:val="both"/>
        <w:rPr>
          <w:rFonts w:ascii="Arial Narrow" w:hAnsi="Arial Narrow" w:cs="Arial Narrow"/>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Cieľom navrhovaného rozpočtového hospodárenia FNM SR v rokoch 2009 až 2011 je zabezpečiť dostatok zdrojov na realizáciu úhr</w:t>
      </w:r>
      <w:r>
        <w:rPr>
          <w:rFonts w:ascii="Arial Narrow" w:hAnsi="Arial Narrow" w:cs="Times New Roman"/>
          <w:sz w:val="22"/>
          <w:szCs w:val="22"/>
        </w:rPr>
        <w:t>ad splátok verejného dlhu.</w:t>
      </w:r>
      <w:r>
        <w:rPr>
          <w:rFonts w:ascii="Arial Narrow" w:hAnsi="Arial Narrow" w:cs="Times New Roman"/>
          <w:b/>
          <w:bCs/>
          <w:sz w:val="22"/>
          <w:szCs w:val="22"/>
        </w:rPr>
        <w:t xml:space="preserve"> </w:t>
      </w:r>
      <w:r>
        <w:rPr>
          <w:rFonts w:ascii="Arial Narrow" w:hAnsi="Arial Narrow" w:cs="Times New Roman"/>
          <w:sz w:val="22"/>
          <w:szCs w:val="22"/>
        </w:rPr>
        <w:t>Úhrady verejného dlhu budú pozostávať zo splátok dlhopisov FNM SR, z úhrad výdavkov spojených s reštitučnými nárokmi a z úhrad vyplývajúcich zo zákonného ručenia FNM SR podľa § 15 a zmluvného ručenia FNM SR podľa § 30 zákona č. 9</w:t>
      </w:r>
      <w:r>
        <w:rPr>
          <w:rFonts w:ascii="Arial Narrow" w:hAnsi="Arial Narrow" w:cs="Times New Roman"/>
          <w:sz w:val="22"/>
          <w:szCs w:val="22"/>
        </w:rPr>
        <w:t>2/1991 Zb., ktoré vyplývajú zo zmlúv o privatizácii majetku, uzavretých v minulých rokoch.</w:t>
      </w:r>
    </w:p>
    <w:p w:rsidR="00C52DD5" w:rsidP="00C52DD5">
      <w:pPr>
        <w:ind w:firstLine="708"/>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 Ostatné výdavky FNM SR tvoria výdavky spojené s jeho činnosťou a výdavky FNM SR, ktoré mu vyplývajú zo zákona č. 92/1991 Zb. (napr. úhrada nákladov v dôsledku odst</w:t>
      </w:r>
      <w:r>
        <w:rPr>
          <w:rFonts w:ascii="Arial Narrow" w:hAnsi="Arial Narrow" w:cs="Times New Roman"/>
          <w:sz w:val="22"/>
          <w:szCs w:val="22"/>
        </w:rPr>
        <w:t>úpenia od zmluvy, zvýšenie základného imania a pod.).</w:t>
      </w:r>
    </w:p>
    <w:p w:rsidR="00C52DD5" w:rsidP="00C52DD5">
      <w:pPr>
        <w:ind w:firstLine="720"/>
        <w:jc w:val="both"/>
        <w:rPr>
          <w:rFonts w:ascii="Arial Narrow" w:hAnsi="Arial Narrow" w:cs="Arial Narrow"/>
          <w:sz w:val="22"/>
          <w:szCs w:val="22"/>
        </w:rPr>
      </w:pPr>
    </w:p>
    <w:p w:rsidR="00C52DD5" w:rsidP="00C52DD5">
      <w:pPr>
        <w:ind w:firstLine="720"/>
        <w:jc w:val="both"/>
        <w:rPr>
          <w:rFonts w:ascii="Arial Narrow" w:hAnsi="Arial Narrow" w:cs="Arial Narrow"/>
          <w:sz w:val="22"/>
          <w:szCs w:val="22"/>
        </w:rPr>
      </w:pPr>
    </w:p>
    <w:p w:rsidR="00C52DD5" w:rsidP="00C52DD5">
      <w:pPr>
        <w:ind w:firstLine="720"/>
        <w:jc w:val="both"/>
        <w:rPr>
          <w:rFonts w:ascii="Arial Narrow" w:hAnsi="Arial Narrow" w:cs="Arial Narrow"/>
          <w:sz w:val="22"/>
          <w:szCs w:val="22"/>
        </w:rPr>
      </w:pPr>
    </w:p>
    <w:p w:rsidR="00C52DD5" w:rsidP="00C52DD5">
      <w:pPr>
        <w:ind w:firstLine="720"/>
        <w:jc w:val="both"/>
        <w:rPr>
          <w:rFonts w:ascii="Arial Narrow" w:hAnsi="Arial Narrow" w:cs="Arial Narrow"/>
          <w:sz w:val="22"/>
          <w:szCs w:val="22"/>
        </w:rPr>
      </w:pPr>
    </w:p>
    <w:p w:rsidR="00C52DD5" w:rsidP="00C52DD5">
      <w:pPr>
        <w:ind w:firstLine="720"/>
        <w:jc w:val="both"/>
        <w:rPr>
          <w:rFonts w:ascii="Arial Narrow" w:hAnsi="Arial Narrow" w:cs="Arial Narrow"/>
          <w:sz w:val="22"/>
          <w:szCs w:val="22"/>
        </w:rPr>
      </w:pPr>
    </w:p>
    <w:p w:rsidR="00C52DD5" w:rsidP="00C52DD5">
      <w:pPr>
        <w:ind w:firstLine="720"/>
        <w:jc w:val="both"/>
        <w:rPr>
          <w:rFonts w:ascii="Arial Narrow" w:hAnsi="Arial Narrow" w:cs="Arial Narrow"/>
          <w:sz w:val="22"/>
          <w:szCs w:val="22"/>
        </w:rPr>
      </w:pPr>
    </w:p>
    <w:p w:rsidR="00C52DD5" w:rsidP="00C52DD5">
      <w:pPr>
        <w:ind w:firstLine="720"/>
        <w:jc w:val="both"/>
        <w:rPr>
          <w:rFonts w:ascii="Arial Narrow" w:hAnsi="Arial Narrow" w:cs="Arial Narrow"/>
          <w:sz w:val="22"/>
          <w:szCs w:val="22"/>
        </w:rPr>
      </w:pPr>
    </w:p>
    <w:p w:rsidR="00C52DD5" w:rsidP="00C52DD5">
      <w:pPr>
        <w:ind w:firstLine="720"/>
        <w:jc w:val="both"/>
        <w:rPr>
          <w:rFonts w:ascii="Arial Narrow" w:hAnsi="Arial Narrow" w:cs="Arial Narrow"/>
          <w:sz w:val="22"/>
          <w:szCs w:val="22"/>
        </w:rPr>
      </w:pPr>
    </w:p>
    <w:p w:rsidR="00C52DD5" w:rsidP="00C52DD5">
      <w:pPr>
        <w:ind w:firstLine="720"/>
        <w:jc w:val="both"/>
        <w:rPr>
          <w:rFonts w:ascii="Arial Narrow" w:hAnsi="Arial Narrow" w:cs="Arial Narrow"/>
          <w:sz w:val="22"/>
          <w:szCs w:val="22"/>
        </w:rPr>
      </w:pPr>
    </w:p>
    <w:p w:rsidR="00C52DD5" w:rsidP="00C52DD5">
      <w:pPr>
        <w:ind w:firstLine="720"/>
        <w:jc w:val="both"/>
        <w:rPr>
          <w:rFonts w:ascii="Arial Narrow" w:hAnsi="Arial Narrow" w:cs="Arial Narrow"/>
          <w:sz w:val="22"/>
          <w:szCs w:val="22"/>
        </w:rPr>
      </w:pPr>
      <w:r w:rsidRPr="002D189A">
        <w:rPr>
          <w:rFonts w:ascii="Arial Narrow" w:hAnsi="Arial Narrow" w:cs="Arial Narrow"/>
          <w:sz w:val="22"/>
          <w:szCs w:val="22"/>
        </w:rPr>
        <w:t>Vývoj príjmovej a výdavkovej časti rozpočtu FNM SR na roky 200</w:t>
      </w:r>
      <w:r>
        <w:rPr>
          <w:rFonts w:ascii="Arial Narrow" w:hAnsi="Arial Narrow" w:cs="Arial Narrow"/>
          <w:sz w:val="22"/>
          <w:szCs w:val="22"/>
        </w:rPr>
        <w:t>9</w:t>
      </w:r>
      <w:r w:rsidRPr="002D189A">
        <w:rPr>
          <w:rFonts w:ascii="Arial Narrow" w:hAnsi="Arial Narrow" w:cs="Arial Narrow"/>
          <w:sz w:val="22"/>
          <w:szCs w:val="22"/>
        </w:rPr>
        <w:t xml:space="preserve"> až 201</w:t>
      </w:r>
      <w:r>
        <w:rPr>
          <w:rFonts w:ascii="Arial Narrow" w:hAnsi="Arial Narrow" w:cs="Arial Narrow"/>
          <w:sz w:val="22"/>
          <w:szCs w:val="22"/>
        </w:rPr>
        <w:t>1</w:t>
      </w:r>
      <w:r w:rsidRPr="002D189A">
        <w:rPr>
          <w:rFonts w:ascii="Arial Narrow" w:hAnsi="Arial Narrow" w:cs="Arial Narrow"/>
          <w:sz w:val="22"/>
          <w:szCs w:val="22"/>
        </w:rPr>
        <w:t xml:space="preserve">  je nasledovný:</w:t>
      </w:r>
    </w:p>
    <w:p w:rsidR="00C52DD5" w:rsidRPr="002D189A" w:rsidP="00C52DD5">
      <w:pPr>
        <w:ind w:firstLine="720"/>
        <w:rPr>
          <w:rFonts w:ascii="Arial Narrow" w:hAnsi="Arial Narrow" w:cs="Times New Roman"/>
          <w:sz w:val="22"/>
          <w:szCs w:val="22"/>
        </w:rPr>
      </w:pPr>
    </w:p>
    <w:tbl>
      <w:tblPr>
        <w:tblW w:w="9000" w:type="dxa"/>
        <w:tblInd w:w="28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Grid>
        <w:gridCol w:w="3240"/>
        <w:gridCol w:w="1440"/>
        <w:gridCol w:w="1440"/>
        <w:gridCol w:w="1442"/>
        <w:gridCol w:w="1438"/>
      </w:tblGrid>
      <w:tr>
        <w:tblPrEx>
          <w:tblW w:w="9000" w:type="dxa"/>
          <w:tblInd w:w="28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7F78EE" w:rsidP="00C52DD5">
            <w:pPr>
              <w:rPr>
                <w:rFonts w:ascii="Arial Narrow" w:hAnsi="Arial Narrow" w:cs="Arial Narrow"/>
                <w:b/>
                <w:color w:val="FFFFFF"/>
                <w:sz w:val="20"/>
              </w:rPr>
            </w:pPr>
            <w:r w:rsidRPr="007F78EE">
              <w:rPr>
                <w:rFonts w:ascii="Arial Narrow" w:hAnsi="Arial Narrow" w:cs="Arial Narrow"/>
                <w:b/>
                <w:color w:val="FFFFFF"/>
                <w:sz w:val="20"/>
              </w:rPr>
              <w:t>(v tis. eur)</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2D189A" w:rsidP="00C52DD5">
            <w:pPr>
              <w:jc w:val="center"/>
              <w:rPr>
                <w:rFonts w:ascii="Arial Narrow" w:hAnsi="Arial Narrow" w:cs="Arial Narrow"/>
                <w:b/>
                <w:bCs/>
                <w:color w:val="FFFFFF"/>
                <w:sz w:val="20"/>
              </w:rPr>
            </w:pPr>
            <w:r w:rsidRPr="002D189A">
              <w:rPr>
                <w:rFonts w:ascii="Arial Narrow" w:hAnsi="Arial Narrow" w:cs="Arial Narrow"/>
                <w:b/>
                <w:bCs/>
                <w:color w:val="FFFFFF"/>
                <w:sz w:val="20"/>
              </w:rPr>
              <w:t>200</w:t>
            </w:r>
            <w:r>
              <w:rPr>
                <w:rFonts w:ascii="Arial Narrow" w:hAnsi="Arial Narrow" w:cs="Arial Narrow"/>
                <w:b/>
                <w:bCs/>
                <w:color w:val="FFFFFF"/>
                <w:sz w:val="20"/>
              </w:rPr>
              <w:t>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2D189A" w:rsidP="00C52DD5">
            <w:pPr>
              <w:jc w:val="center"/>
              <w:rPr>
                <w:rFonts w:ascii="Arial Narrow" w:hAnsi="Arial Narrow" w:cs="Arial Narrow"/>
                <w:b/>
                <w:bCs/>
                <w:color w:val="FFFFFF"/>
                <w:sz w:val="20"/>
              </w:rPr>
            </w:pPr>
            <w:r w:rsidRPr="002D189A">
              <w:rPr>
                <w:rFonts w:ascii="Arial Narrow" w:hAnsi="Arial Narrow" w:cs="Arial Narrow"/>
                <w:b/>
                <w:bCs/>
                <w:color w:val="FFFFFF"/>
                <w:sz w:val="20"/>
              </w:rPr>
              <w:t>200</w:t>
            </w:r>
            <w:r>
              <w:rPr>
                <w:rFonts w:ascii="Arial Narrow" w:hAnsi="Arial Narrow" w:cs="Arial Narrow"/>
                <w:b/>
                <w:bCs/>
                <w:color w:val="FFFFFF"/>
                <w:sz w:val="20"/>
              </w:rPr>
              <w:t>9</w:t>
            </w:r>
          </w:p>
        </w:tc>
        <w:tc>
          <w:tcPr>
            <w:tcW w:w="1442"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2D189A" w:rsidP="00C52DD5">
            <w:pPr>
              <w:jc w:val="center"/>
              <w:rPr>
                <w:rFonts w:ascii="Arial Narrow" w:hAnsi="Arial Narrow" w:cs="Arial Narrow"/>
                <w:b/>
                <w:bCs/>
                <w:color w:val="FFFFFF"/>
                <w:sz w:val="20"/>
              </w:rPr>
            </w:pPr>
            <w:r w:rsidRPr="002D189A">
              <w:rPr>
                <w:rFonts w:ascii="Arial Narrow" w:hAnsi="Arial Narrow" w:cs="Arial Narrow"/>
                <w:b/>
                <w:bCs/>
                <w:color w:val="FFFFFF"/>
                <w:sz w:val="20"/>
              </w:rPr>
              <w:t>20</w:t>
            </w:r>
            <w:r>
              <w:rPr>
                <w:rFonts w:ascii="Arial Narrow" w:hAnsi="Arial Narrow" w:cs="Arial Narrow"/>
                <w:b/>
                <w:bCs/>
                <w:color w:val="FFFFFF"/>
                <w:sz w:val="20"/>
              </w:rPr>
              <w:t>10</w:t>
            </w:r>
          </w:p>
        </w:tc>
        <w:tc>
          <w:tcPr>
            <w:tcW w:w="1438"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2D189A" w:rsidP="00C52DD5">
            <w:pPr>
              <w:jc w:val="center"/>
              <w:rPr>
                <w:rFonts w:ascii="Arial Narrow" w:hAnsi="Arial Narrow" w:cs="Arial Narrow"/>
                <w:b/>
                <w:bCs/>
                <w:color w:val="FFFFFF"/>
                <w:sz w:val="20"/>
              </w:rPr>
            </w:pPr>
            <w:r w:rsidRPr="002D189A">
              <w:rPr>
                <w:rFonts w:ascii="Arial Narrow" w:hAnsi="Arial Narrow" w:cs="Arial Narrow"/>
                <w:b/>
                <w:bCs/>
                <w:color w:val="FFFFFF"/>
                <w:sz w:val="20"/>
              </w:rPr>
              <w:t>201</w:t>
            </w:r>
            <w:r>
              <w:rPr>
                <w:rFonts w:ascii="Arial Narrow" w:hAnsi="Arial Narrow" w:cs="Arial Narrow"/>
                <w:b/>
                <w:bCs/>
                <w:color w:val="FFFFFF"/>
                <w:sz w:val="20"/>
              </w:rPr>
              <w:t>1</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Príjmy  FNM SR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ind w:left="80"/>
              <w:jc w:val="right"/>
              <w:rPr>
                <w:rFonts w:ascii="Arial Narrow" w:hAnsi="Arial Narrow" w:cs="Arial Narrow"/>
                <w:b/>
                <w:bCs/>
                <w:i/>
                <w:iCs/>
                <w:sz w:val="20"/>
              </w:rPr>
            </w:pPr>
            <w:r>
              <w:rPr>
                <w:rFonts w:ascii="Arial Narrow" w:hAnsi="Arial Narrow" w:cs="Arial Narrow"/>
                <w:b/>
                <w:bCs/>
                <w:i/>
                <w:iCs/>
                <w:sz w:val="20"/>
              </w:rPr>
              <w:t>708 358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ind w:left="80"/>
              <w:jc w:val="right"/>
              <w:rPr>
                <w:rFonts w:ascii="Arial Narrow" w:hAnsi="Arial Narrow" w:cs="Arial Narrow"/>
                <w:b/>
                <w:bCs/>
                <w:i/>
                <w:iCs/>
                <w:sz w:val="20"/>
              </w:rPr>
            </w:pPr>
            <w:r>
              <w:rPr>
                <w:rFonts w:ascii="Arial Narrow" w:hAnsi="Arial Narrow" w:cs="Arial Narrow"/>
                <w:b/>
                <w:bCs/>
                <w:i/>
                <w:iCs/>
                <w:sz w:val="20"/>
              </w:rPr>
              <w:t>528 547</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485 760</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427 288</w:t>
            </w:r>
          </w:p>
        </w:tc>
      </w:tr>
      <w:tr>
        <w:tblPrEx>
          <w:tblW w:w="9000" w:type="dxa"/>
          <w:tblInd w:w="288" w:type="dxa"/>
        </w:tblPrEx>
        <w:trPr>
          <w:trHeight w:hRule="exact" w:val="227"/>
        </w:trPr>
        <w:tc>
          <w:tcPr>
            <w:tcW w:w="900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2DF7" w:rsidP="00C52DD5">
            <w:pPr>
              <w:rPr>
                <w:rFonts w:ascii="Arial Narrow" w:hAnsi="Arial Narrow" w:cs="Arial Narrow"/>
                <w:b/>
                <w:i/>
                <w:sz w:val="20"/>
              </w:rPr>
            </w:pPr>
            <w:r w:rsidRPr="005E2DF7">
              <w:rPr>
                <w:rFonts w:ascii="Arial Narrow" w:hAnsi="Arial Narrow" w:cs="Arial Narrow"/>
                <w:b/>
                <w:i/>
                <w:sz w:val="20"/>
              </w:rPr>
              <w:t>z toho:</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5"/>
              </w:numPr>
              <w:tabs>
                <w:tab w:val="left" w:pos="360"/>
              </w:tabs>
              <w:jc w:val="both"/>
              <w:rPr>
                <w:rFonts w:ascii="Arial Narrow" w:hAnsi="Arial Narrow" w:cs="Arial Narrow"/>
                <w:sz w:val="20"/>
              </w:rPr>
            </w:pPr>
            <w:r w:rsidRPr="002D189A">
              <w:rPr>
                <w:rFonts w:ascii="Arial Narrow" w:hAnsi="Arial Narrow" w:cs="Arial Narrow"/>
                <w:sz w:val="20"/>
              </w:rPr>
              <w:t>príjm</w:t>
            </w:r>
            <w:r w:rsidRPr="002D189A">
              <w:rPr>
                <w:rFonts w:ascii="Arial Narrow" w:hAnsi="Arial Narrow" w:cs="Arial Narrow"/>
                <w:sz w:val="20"/>
              </w:rPr>
              <w:t>y z dividend</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620 726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443 471</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411 605</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414 924</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5"/>
              </w:numPr>
              <w:tabs>
                <w:tab w:val="left" w:pos="360"/>
              </w:tabs>
              <w:jc w:val="both"/>
              <w:rPr>
                <w:rFonts w:ascii="Arial Narrow" w:hAnsi="Arial Narrow" w:cs="Arial Narrow"/>
                <w:sz w:val="20"/>
              </w:rPr>
            </w:pPr>
            <w:r w:rsidRPr="002D189A">
              <w:rPr>
                <w:rFonts w:ascii="Arial Narrow" w:hAnsi="Arial Narrow" w:cs="Arial Narrow"/>
                <w:sz w:val="20"/>
              </w:rPr>
              <w:t>ost.nedaň.príjmy (úroky a iné príj.)</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4 172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6 128</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4 802</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3 475</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5"/>
              </w:numPr>
              <w:tabs>
                <w:tab w:val="left" w:pos="360"/>
              </w:tabs>
              <w:jc w:val="both"/>
              <w:rPr>
                <w:rFonts w:ascii="Arial Narrow" w:hAnsi="Arial Narrow" w:cs="Arial Narrow"/>
                <w:sz w:val="20"/>
              </w:rPr>
            </w:pPr>
            <w:r w:rsidRPr="002D189A">
              <w:rPr>
                <w:rFonts w:ascii="Arial Narrow" w:hAnsi="Arial Narrow" w:cs="Arial Narrow"/>
                <w:sz w:val="20"/>
              </w:rPr>
              <w:t>príjmy z privatizácie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133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76</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76</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76</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5"/>
              </w:numPr>
              <w:tabs>
                <w:tab w:val="left" w:pos="360"/>
              </w:tabs>
              <w:jc w:val="both"/>
              <w:rPr>
                <w:rFonts w:ascii="Arial Narrow" w:hAnsi="Arial Narrow" w:cs="Arial Narrow"/>
                <w:sz w:val="20"/>
              </w:rPr>
            </w:pPr>
            <w:r w:rsidRPr="002D189A">
              <w:rPr>
                <w:rFonts w:ascii="Arial Narrow" w:hAnsi="Arial Narrow" w:cs="Arial Narrow"/>
                <w:sz w:val="20"/>
              </w:rPr>
              <w:t>z ostatných finančných operácií</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103</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100</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100</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6"/>
              </w:numPr>
              <w:tabs>
                <w:tab w:val="left" w:pos="360"/>
              </w:tabs>
              <w:jc w:val="both"/>
              <w:rPr>
                <w:rFonts w:ascii="Arial Narrow" w:hAnsi="Arial Narrow" w:cs="Arial Narrow"/>
                <w:sz w:val="20"/>
              </w:rPr>
            </w:pPr>
            <w:r w:rsidRPr="002D189A">
              <w:rPr>
                <w:rFonts w:ascii="Arial Narrow" w:hAnsi="Arial Narrow" w:cs="Arial Narrow"/>
                <w:sz w:val="20"/>
              </w:rPr>
              <w:t>zostatok prostr.z pred.rokov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83 290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78 769</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69 177</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8 71</w:t>
            </w:r>
            <w:r>
              <w:rPr>
                <w:rFonts w:ascii="Arial Narrow" w:hAnsi="Arial Narrow" w:cs="Arial Narrow"/>
                <w:sz w:val="20"/>
              </w:rPr>
              <w:t>3</w:t>
            </w:r>
          </w:p>
        </w:tc>
      </w:tr>
      <w:tr>
        <w:tblPrEx>
          <w:tblW w:w="9000" w:type="dxa"/>
          <w:tblInd w:w="288" w:type="dxa"/>
        </w:tblPrEx>
        <w:trPr>
          <w:trHeight w:hRule="exact" w:val="227"/>
        </w:trPr>
        <w:tc>
          <w:tcPr>
            <w:tcW w:w="900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Výdavky  FNM SR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672 509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459 370</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477 047</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426 475</w:t>
            </w:r>
          </w:p>
        </w:tc>
      </w:tr>
      <w:tr>
        <w:tblPrEx>
          <w:tblW w:w="9000" w:type="dxa"/>
          <w:tblInd w:w="288" w:type="dxa"/>
        </w:tblPrEx>
        <w:trPr>
          <w:trHeight w:hRule="exact" w:val="227"/>
        </w:trPr>
        <w:tc>
          <w:tcPr>
            <w:tcW w:w="900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E2DF7" w:rsidP="00C52DD5">
            <w:pPr>
              <w:rPr>
                <w:rFonts w:ascii="Arial Narrow" w:hAnsi="Arial Narrow" w:cs="Arial Narrow"/>
                <w:b/>
                <w:bCs/>
                <w:i/>
                <w:iCs/>
                <w:sz w:val="20"/>
              </w:rPr>
            </w:pPr>
            <w:r w:rsidRPr="005E2DF7">
              <w:rPr>
                <w:rFonts w:ascii="Arial Narrow" w:hAnsi="Arial Narrow" w:cs="Arial Narrow"/>
                <w:b/>
                <w:bCs/>
                <w:i/>
                <w:iCs/>
                <w:sz w:val="20"/>
              </w:rPr>
              <w:t>z toho:</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 xml:space="preserve">transfer do ŠFA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620 726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443 471</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411 605</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414 924</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výdavky spoj. s činnosťou FNM SR</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5 902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5 311</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5 384</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5 516</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úhrada nákladov spoj. s privatiz.</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5 135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4 860</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2 997</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2 410</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výdavky spoj. s reštituč. nárokmi</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1 434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1 046</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873</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 xml:space="preserve"> 873</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úhrada nákl. v dôsl.odst.od zmluvy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1 162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432</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432</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332</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výdavky FNM SR (§ 15)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3 319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 xml:space="preserve">2 490 </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1 660</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1 660</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výdavky FNM SR (§ 30)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33 194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53 110</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splátka dlhopisov FNM SR</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1 122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1 122</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641</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395</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ind w:left="360"/>
              <w:rPr>
                <w:rFonts w:ascii="Arial Narrow" w:hAnsi="Arial Narrow" w:cs="Arial Narrow"/>
                <w:sz w:val="20"/>
              </w:rPr>
            </w:pPr>
            <w:r w:rsidRPr="002D189A">
              <w:rPr>
                <w:rFonts w:ascii="Arial Narrow" w:hAnsi="Arial Narrow" w:cs="Arial Narrow"/>
                <w:sz w:val="20"/>
              </w:rPr>
              <w:t xml:space="preserve">        - z toho: úrok</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249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246</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126</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60</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ind w:left="360"/>
              <w:rPr>
                <w:rFonts w:ascii="Arial Narrow" w:hAnsi="Arial Narrow" w:cs="Arial Narrow"/>
                <w:sz w:val="20"/>
              </w:rPr>
            </w:pPr>
            <w:r w:rsidRPr="002D189A">
              <w:rPr>
                <w:rFonts w:ascii="Arial Narrow" w:hAnsi="Arial Narrow" w:cs="Arial Narrow"/>
                <w:sz w:val="20"/>
              </w:rPr>
              <w:t xml:space="preserve">                      istina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664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664</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332</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166</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ind w:left="360"/>
              <w:rPr>
                <w:rFonts w:ascii="Arial Narrow" w:hAnsi="Arial Narrow" w:cs="Arial Narrow"/>
                <w:sz w:val="20"/>
              </w:rPr>
            </w:pPr>
            <w:r w:rsidRPr="002D189A">
              <w:rPr>
                <w:rFonts w:ascii="Arial Narrow" w:hAnsi="Arial Narrow" w:cs="Arial Narrow"/>
                <w:sz w:val="20"/>
              </w:rPr>
              <w:t xml:space="preserve">                      daň</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56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56</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27</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13</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ind w:left="360"/>
              <w:rPr>
                <w:rFonts w:ascii="Arial Narrow" w:hAnsi="Arial Narrow" w:cs="Arial Narrow"/>
                <w:sz w:val="20"/>
              </w:rPr>
            </w:pPr>
            <w:r w:rsidRPr="002D189A">
              <w:rPr>
                <w:rFonts w:ascii="Arial Narrow" w:hAnsi="Arial Narrow" w:cs="Arial Narrow"/>
                <w:sz w:val="20"/>
              </w:rPr>
              <w:t xml:space="preserve">                      poplatok</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153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156</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156</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AD7CB1" w:rsidP="00C52DD5">
            <w:pPr>
              <w:jc w:val="right"/>
              <w:rPr>
                <w:rFonts w:ascii="Arial Narrow" w:hAnsi="Arial Narrow" w:cs="Arial Narrow"/>
                <w:i/>
                <w:sz w:val="20"/>
              </w:rPr>
            </w:pPr>
            <w:r w:rsidRPr="00AD7CB1">
              <w:rPr>
                <w:rFonts w:ascii="Arial Narrow" w:hAnsi="Arial Narrow" w:cs="Arial Narrow"/>
                <w:i/>
                <w:sz w:val="20"/>
              </w:rPr>
              <w:t>156</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Pr>
                <w:rFonts w:ascii="Arial Narrow" w:hAnsi="Arial Narrow" w:cs="Arial Narrow"/>
                <w:sz w:val="20"/>
              </w:rPr>
              <w:t>účasť na majetku a iné fin.op.</w:t>
            </w:r>
            <w:r w:rsidRPr="002D189A">
              <w:rPr>
                <w:rFonts w:ascii="Arial Narrow" w:hAnsi="Arial Narrow" w:cs="Arial Narrow"/>
                <w:sz w:val="20"/>
              </w:rPr>
              <w:t xml:space="preserve">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332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621</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345</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342</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7"/>
              </w:numPr>
              <w:tabs>
                <w:tab w:val="left" w:pos="360"/>
              </w:tabs>
              <w:jc w:val="both"/>
              <w:rPr>
                <w:rFonts w:ascii="Arial Narrow" w:hAnsi="Arial Narrow" w:cs="Arial Narrow"/>
                <w:sz w:val="20"/>
              </w:rPr>
            </w:pPr>
            <w:r w:rsidRPr="002D189A">
              <w:rPr>
                <w:rFonts w:ascii="Arial Narrow" w:hAnsi="Arial Narrow" w:cs="Arial Narrow"/>
                <w:sz w:val="20"/>
              </w:rPr>
              <w:t>ostatné</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183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17</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23</w:t>
            </w:r>
          </w:p>
        </w:tc>
      </w:tr>
      <w:tr>
        <w:tblPrEx>
          <w:tblW w:w="9000" w:type="dxa"/>
          <w:tblInd w:w="288" w:type="dxa"/>
        </w:tblPrEx>
        <w:trPr>
          <w:trHeight w:hRule="exact" w:val="227"/>
        </w:trPr>
        <w:tc>
          <w:tcPr>
            <w:tcW w:w="900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sz w:val="20"/>
              </w:rPr>
            </w:pP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Celkov</w:t>
            </w:r>
            <w:r>
              <w:rPr>
                <w:rFonts w:ascii="Arial Narrow" w:hAnsi="Arial Narrow" w:cs="Arial Narrow"/>
                <w:b/>
                <w:bCs/>
                <w:i/>
                <w:iCs/>
                <w:sz w:val="20"/>
              </w:rPr>
              <w:t>ý</w:t>
            </w:r>
            <w:r w:rsidRPr="002D189A">
              <w:rPr>
                <w:rFonts w:ascii="Arial Narrow" w:hAnsi="Arial Narrow" w:cs="Arial Narrow"/>
                <w:b/>
                <w:bCs/>
                <w:i/>
                <w:iCs/>
                <w:sz w:val="20"/>
              </w:rPr>
              <w:t xml:space="preserve"> </w:t>
            </w:r>
            <w:r>
              <w:rPr>
                <w:rFonts w:ascii="Arial Narrow" w:hAnsi="Arial Narrow" w:cs="Arial Narrow"/>
                <w:b/>
                <w:bCs/>
                <w:i/>
                <w:iCs/>
                <w:sz w:val="20"/>
              </w:rPr>
              <w:t>prebytok</w:t>
            </w:r>
            <w:r w:rsidRPr="002D189A">
              <w:rPr>
                <w:rFonts w:ascii="Arial Narrow" w:hAnsi="Arial Narrow" w:cs="Arial Narrow"/>
                <w:b/>
                <w:bCs/>
                <w:i/>
                <w:iCs/>
                <w:sz w:val="20"/>
              </w:rPr>
              <w:t xml:space="preserve"> FNM SR</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35 849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69</w:t>
            </w:r>
            <w:r>
              <w:rPr>
                <w:rFonts w:ascii="Arial Narrow" w:hAnsi="Arial Narrow" w:cs="Arial Narrow"/>
                <w:b/>
                <w:bCs/>
                <w:i/>
                <w:iCs/>
                <w:sz w:val="20"/>
              </w:rPr>
              <w:t xml:space="preserve"> 177</w:t>
            </w:r>
          </w:p>
        </w:tc>
        <w:tc>
          <w:tcPr>
            <w:tcW w:w="1442"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8 713</w:t>
            </w:r>
          </w:p>
        </w:tc>
        <w:tc>
          <w:tcPr>
            <w:tcW w:w="143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813</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vylúčenie finančných operácií</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ind w:left="65"/>
              <w:jc w:val="right"/>
              <w:rPr>
                <w:rFonts w:ascii="Arial Narrow" w:hAnsi="Arial Narrow" w:cs="Arial Narrow"/>
                <w:b/>
                <w:bCs/>
                <w:i/>
                <w:iCs/>
                <w:sz w:val="20"/>
              </w:rPr>
            </w:pPr>
            <w:r>
              <w:rPr>
                <w:rFonts w:ascii="Arial Narrow" w:hAnsi="Arial Narrow" w:cs="Arial Narrow"/>
                <w:b/>
                <w:bCs/>
                <w:i/>
                <w:iCs/>
                <w:sz w:val="20"/>
              </w:rPr>
              <w:t>-82 464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ind w:left="65"/>
              <w:jc w:val="right"/>
              <w:rPr>
                <w:rFonts w:ascii="Arial Narrow" w:hAnsi="Arial Narrow" w:cs="Arial Narrow"/>
                <w:b/>
                <w:bCs/>
                <w:i/>
                <w:iCs/>
                <w:sz w:val="20"/>
              </w:rPr>
            </w:pPr>
            <w:r>
              <w:rPr>
                <w:rFonts w:ascii="Arial Narrow" w:hAnsi="Arial Narrow" w:cs="Arial Narrow"/>
                <w:b/>
                <w:bCs/>
                <w:i/>
                <w:iCs/>
                <w:sz w:val="20"/>
              </w:rPr>
              <w:t>-77 663</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-68 676</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-8 381</w:t>
            </w:r>
          </w:p>
        </w:tc>
      </w:tr>
      <w:tr>
        <w:tblPrEx>
          <w:tblW w:w="9000" w:type="dxa"/>
          <w:tblInd w:w="288" w:type="dxa"/>
        </w:tblPrEx>
        <w:trPr>
          <w:trHeight w:hRule="exact" w:val="227"/>
        </w:trPr>
        <w:tc>
          <w:tcPr>
            <w:tcW w:w="900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94AB8" w:rsidP="00C52DD5">
            <w:pPr>
              <w:rPr>
                <w:rFonts w:ascii="Arial Narrow" w:hAnsi="Arial Narrow" w:cs="Arial Narrow"/>
                <w:b/>
                <w:bCs/>
                <w:i/>
                <w:iCs/>
                <w:sz w:val="20"/>
              </w:rPr>
            </w:pPr>
            <w:r w:rsidRPr="00194AB8">
              <w:rPr>
                <w:rFonts w:ascii="Arial Narrow" w:hAnsi="Arial Narrow" w:cs="Arial Narrow"/>
                <w:b/>
                <w:bCs/>
                <w:i/>
                <w:iCs/>
                <w:sz w:val="20"/>
              </w:rPr>
              <w:t>z toho:</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8"/>
              </w:numPr>
              <w:tabs>
                <w:tab w:val="left" w:pos="360"/>
              </w:tabs>
              <w:jc w:val="both"/>
              <w:rPr>
                <w:rFonts w:ascii="Arial Narrow" w:hAnsi="Arial Narrow" w:cs="Arial Narrow"/>
                <w:b/>
                <w:bCs/>
                <w:sz w:val="20"/>
              </w:rPr>
            </w:pPr>
            <w:r w:rsidRPr="002D189A">
              <w:rPr>
                <w:rFonts w:ascii="Arial Narrow" w:hAnsi="Arial Narrow" w:cs="Arial Narrow"/>
                <w:sz w:val="20"/>
              </w:rPr>
              <w:t>vylúčenie príjmových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-83 460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-78 948</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-69 353</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-8 889</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8"/>
              </w:numPr>
              <w:tabs>
                <w:tab w:val="left" w:pos="360"/>
              </w:tabs>
              <w:jc w:val="both"/>
              <w:rPr>
                <w:rFonts w:ascii="Arial Narrow" w:hAnsi="Arial Narrow" w:cs="Arial Narrow"/>
                <w:sz w:val="20"/>
              </w:rPr>
            </w:pPr>
            <w:r w:rsidRPr="002D189A">
              <w:rPr>
                <w:rFonts w:ascii="Arial Narrow" w:hAnsi="Arial Narrow" w:cs="Arial Narrow"/>
                <w:sz w:val="20"/>
              </w:rPr>
              <w:t>vylúčenie výdavkových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996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1 285</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677</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508</w:t>
            </w:r>
          </w:p>
        </w:tc>
      </w:tr>
      <w:tr>
        <w:tblPrEx>
          <w:tblW w:w="9000" w:type="dxa"/>
          <w:tblInd w:w="288" w:type="dxa"/>
        </w:tblPrEx>
        <w:trPr>
          <w:trHeight w:hRule="exact" w:val="227"/>
        </w:trPr>
        <w:tc>
          <w:tcPr>
            <w:tcW w:w="900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zahrnutie čas</w:t>
            </w:r>
            <w:r>
              <w:rPr>
                <w:rFonts w:ascii="Arial Narrow" w:hAnsi="Arial Narrow" w:cs="Arial Narrow"/>
                <w:b/>
                <w:bCs/>
                <w:i/>
                <w:iCs/>
                <w:sz w:val="20"/>
              </w:rPr>
              <w:t>ového</w:t>
            </w:r>
            <w:r w:rsidRPr="002D189A">
              <w:rPr>
                <w:rFonts w:ascii="Arial Narrow" w:hAnsi="Arial Narrow" w:cs="Arial Narrow"/>
                <w:b/>
                <w:bCs/>
                <w:i/>
                <w:iCs/>
                <w:sz w:val="20"/>
              </w:rPr>
              <w:t xml:space="preserve"> rozlíšenia</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36 513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2 490</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54 770</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1 660</w:t>
            </w:r>
          </w:p>
        </w:tc>
      </w:tr>
      <w:tr>
        <w:tblPrEx>
          <w:tblW w:w="9000" w:type="dxa"/>
          <w:tblInd w:w="288" w:type="dxa"/>
        </w:tblPrEx>
        <w:trPr>
          <w:trHeight w:hRule="exact" w:val="227"/>
        </w:trPr>
        <w:tc>
          <w:tcPr>
            <w:tcW w:w="900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b/>
                <w:bCs/>
                <w:i/>
                <w:iCs/>
                <w:sz w:val="20"/>
              </w:rPr>
            </w:pP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8"/>
              </w:numPr>
              <w:tabs>
                <w:tab w:val="left" w:pos="360"/>
              </w:tabs>
              <w:jc w:val="both"/>
              <w:rPr>
                <w:rFonts w:ascii="Arial Narrow" w:hAnsi="Arial Narrow" w:cs="Arial Narrow"/>
                <w:sz w:val="20"/>
              </w:rPr>
            </w:pPr>
            <w:r w:rsidRPr="002D189A">
              <w:rPr>
                <w:rFonts w:ascii="Arial Narrow" w:hAnsi="Arial Narrow" w:cs="Arial Narrow"/>
                <w:sz w:val="20"/>
              </w:rPr>
              <w:t>časové r</w:t>
            </w:r>
            <w:r w:rsidRPr="002D189A">
              <w:rPr>
                <w:rFonts w:ascii="Arial Narrow" w:hAnsi="Arial Narrow" w:cs="Arial Narrow"/>
                <w:sz w:val="20"/>
              </w:rPr>
              <w:t>ozlíšenie výdavkov (§ 15)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3 319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2 490</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1 660</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1 660</w:t>
            </w: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numPr>
                <w:ilvl w:val="0"/>
                <w:numId w:val="188"/>
              </w:numPr>
              <w:tabs>
                <w:tab w:val="left" w:pos="360"/>
              </w:tabs>
              <w:jc w:val="both"/>
              <w:rPr>
                <w:rFonts w:ascii="Arial Narrow" w:hAnsi="Arial Narrow" w:cs="Arial Narrow"/>
                <w:sz w:val="20"/>
              </w:rPr>
            </w:pPr>
            <w:r w:rsidRPr="002D189A">
              <w:rPr>
                <w:rFonts w:ascii="Arial Narrow" w:hAnsi="Arial Narrow" w:cs="Arial Narrow"/>
                <w:sz w:val="20"/>
              </w:rPr>
              <w:t>časové rozlíšenie výdavkov (§ 30)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33 194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c>
          <w:tcPr>
            <w:tcW w:w="14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53 110</w:t>
            </w:r>
          </w:p>
        </w:tc>
        <w:tc>
          <w:tcPr>
            <w:tcW w:w="14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jc w:val="right"/>
              <w:rPr>
                <w:rFonts w:ascii="Arial Narrow" w:hAnsi="Arial Narrow" w:cs="Arial Narrow"/>
                <w:sz w:val="20"/>
              </w:rPr>
            </w:pPr>
            <w:r>
              <w:rPr>
                <w:rFonts w:ascii="Arial Narrow" w:hAnsi="Arial Narrow" w:cs="Arial Narrow"/>
                <w:sz w:val="20"/>
              </w:rPr>
              <w:t>0</w:t>
            </w:r>
          </w:p>
        </w:tc>
      </w:tr>
      <w:tr>
        <w:tblPrEx>
          <w:tblW w:w="9000" w:type="dxa"/>
          <w:tblInd w:w="288" w:type="dxa"/>
        </w:tblPrEx>
        <w:trPr>
          <w:trHeight w:hRule="exact" w:val="227"/>
        </w:trPr>
        <w:tc>
          <w:tcPr>
            <w:tcW w:w="900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2D189A" w:rsidP="00C52DD5">
            <w:pPr>
              <w:rPr>
                <w:rFonts w:ascii="Arial Narrow" w:hAnsi="Arial Narrow" w:cs="Arial Narrow"/>
                <w:sz w:val="20"/>
              </w:rPr>
            </w:pPr>
          </w:p>
        </w:tc>
      </w:tr>
      <w:tr>
        <w:tblPrEx>
          <w:tblW w:w="9000" w:type="dxa"/>
          <w:tblInd w:w="288" w:type="dxa"/>
        </w:tblPrEx>
        <w:trPr>
          <w:trHeight w:hRule="exact" w:val="227"/>
        </w:trPr>
        <w:tc>
          <w:tcPr>
            <w:tcW w:w="32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rPr>
                <w:rFonts w:ascii="Arial Narrow" w:hAnsi="Arial Narrow" w:cs="Arial Narrow"/>
                <w:b/>
                <w:bCs/>
                <w:i/>
                <w:iCs/>
                <w:sz w:val="20"/>
              </w:rPr>
            </w:pPr>
            <w:r w:rsidRPr="002D189A">
              <w:rPr>
                <w:rFonts w:ascii="Arial Narrow" w:hAnsi="Arial Narrow" w:cs="Arial Narrow"/>
                <w:b/>
                <w:bCs/>
                <w:i/>
                <w:iCs/>
                <w:sz w:val="20"/>
              </w:rPr>
              <w:t>Schodok  FNM SR  (ESA 95)</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ind w:left="50"/>
              <w:jc w:val="right"/>
              <w:rPr>
                <w:rFonts w:ascii="Arial Narrow" w:hAnsi="Arial Narrow" w:cs="Arial Narrow"/>
                <w:b/>
                <w:bCs/>
                <w:i/>
                <w:iCs/>
                <w:sz w:val="20"/>
              </w:rPr>
            </w:pPr>
            <w:r>
              <w:rPr>
                <w:rFonts w:ascii="Arial Narrow" w:hAnsi="Arial Narrow" w:cs="Arial Narrow"/>
                <w:b/>
                <w:bCs/>
                <w:i/>
                <w:iCs/>
                <w:sz w:val="20"/>
              </w:rPr>
              <w:t>-10 102</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ind w:left="50"/>
              <w:jc w:val="right"/>
              <w:rPr>
                <w:rFonts w:ascii="Arial Narrow" w:hAnsi="Arial Narrow" w:cs="Arial Narrow"/>
                <w:b/>
                <w:bCs/>
                <w:i/>
                <w:iCs/>
                <w:sz w:val="20"/>
              </w:rPr>
            </w:pPr>
            <w:r>
              <w:rPr>
                <w:rFonts w:ascii="Arial Narrow" w:hAnsi="Arial Narrow" w:cs="Arial Narrow"/>
                <w:b/>
                <w:bCs/>
                <w:i/>
                <w:iCs/>
                <w:sz w:val="20"/>
              </w:rPr>
              <w:t>-5 996</w:t>
            </w:r>
          </w:p>
        </w:tc>
        <w:tc>
          <w:tcPr>
            <w:tcW w:w="1442"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-5 193</w:t>
            </w:r>
          </w:p>
        </w:tc>
        <w:tc>
          <w:tcPr>
            <w:tcW w:w="143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2D189A" w:rsidP="00C52DD5">
            <w:pPr>
              <w:jc w:val="right"/>
              <w:rPr>
                <w:rFonts w:ascii="Arial Narrow" w:hAnsi="Arial Narrow" w:cs="Arial Narrow"/>
                <w:b/>
                <w:bCs/>
                <w:i/>
                <w:iCs/>
                <w:sz w:val="20"/>
              </w:rPr>
            </w:pPr>
            <w:r>
              <w:rPr>
                <w:rFonts w:ascii="Arial Narrow" w:hAnsi="Arial Narrow" w:cs="Arial Narrow"/>
                <w:b/>
                <w:bCs/>
                <w:i/>
                <w:iCs/>
                <w:sz w:val="20"/>
              </w:rPr>
              <w:t>-5 908</w:t>
            </w:r>
          </w:p>
        </w:tc>
      </w:tr>
    </w:tbl>
    <w:p w:rsidR="00C52DD5" w:rsidP="00C52DD5">
      <w:pPr>
        <w:rPr>
          <w:rFonts w:ascii="Arial Narrow" w:hAnsi="Arial Narrow" w:cs="Times New Roman"/>
          <w:b/>
        </w:rPr>
      </w:pPr>
    </w:p>
    <w:p w:rsidR="00C52DD5" w:rsidP="00C52DD5">
      <w:pPr>
        <w:rPr>
          <w:rFonts w:ascii="Arial Narrow" w:hAnsi="Arial Narrow" w:cs="Times New Roman"/>
          <w:b/>
        </w:rPr>
      </w:pPr>
      <w:r w:rsidRPr="00AB421E">
        <w:rPr>
          <w:rFonts w:ascii="Arial Narrow" w:hAnsi="Arial Narrow" w:cs="Times New Roman"/>
          <w:b/>
        </w:rPr>
        <w:t>7. Slovenská konsolidačná, a. s.</w:t>
      </w:r>
    </w:p>
    <w:p w:rsidR="00C52DD5" w:rsidRPr="00AB421E" w:rsidP="00C52DD5">
      <w:pPr>
        <w:rPr>
          <w:rFonts w:ascii="Arial Narrow" w:hAnsi="Arial Narrow" w:cs="Times New Roman"/>
          <w:b/>
        </w:rPr>
      </w:pPr>
    </w:p>
    <w:p w:rsidR="00C52DD5" w:rsidP="00C52DD5">
      <w:pPr>
        <w:rPr>
          <w:rFonts w:ascii="Arial Narrow" w:hAnsi="Arial Narrow" w:cs="Times New Roman"/>
          <w:sz w:val="22"/>
          <w:szCs w:val="22"/>
        </w:rPr>
      </w:pPr>
      <w:r>
        <w:rPr>
          <w:rFonts w:ascii="Arial Narrow" w:hAnsi="Arial Narrow" w:cs="Times New Roman"/>
          <w:sz w:val="22"/>
          <w:szCs w:val="22"/>
        </w:rPr>
        <w:tab/>
      </w:r>
      <w:r w:rsidRPr="00AE280E">
        <w:rPr>
          <w:rFonts w:ascii="Arial Narrow" w:hAnsi="Arial Narrow" w:cs="Times New Roman"/>
          <w:sz w:val="22"/>
          <w:szCs w:val="22"/>
        </w:rPr>
        <w:t xml:space="preserve">Rozpočet Slovenskej konsolidačnej, a. s. </w:t>
      </w:r>
      <w:r>
        <w:rPr>
          <w:rFonts w:ascii="Arial Narrow" w:hAnsi="Arial Narrow" w:cs="Times New Roman"/>
          <w:sz w:val="22"/>
          <w:szCs w:val="22"/>
        </w:rPr>
        <w:t xml:space="preserve"> (ďalej len „SK, a. s.“) predpokladá na roky 2009 až 2011 podľa metodiky ESA 95 mierne prebytkové hospodárenie.</w:t>
      </w:r>
    </w:p>
    <w:p w:rsidR="00C52DD5" w:rsidRPr="00AE280E" w:rsidP="00C52DD5">
      <w:pPr>
        <w:rPr>
          <w:rFonts w:ascii="Arial Narrow" w:hAnsi="Arial Narrow" w:cs="Times New Roman"/>
          <w:sz w:val="22"/>
          <w:szCs w:val="22"/>
        </w:rPr>
      </w:pPr>
    </w:p>
    <w:p w:rsidR="00C52DD5" w:rsidP="00C52DD5">
      <w:pPr>
        <w:jc w:val="both"/>
        <w:rPr>
          <w:rFonts w:ascii="Arial Narrow" w:hAnsi="Arial Narrow" w:cs="Times New Roman"/>
          <w:sz w:val="22"/>
          <w:szCs w:val="22"/>
        </w:rPr>
      </w:pPr>
      <w:r w:rsidRPr="007A34E1">
        <w:rPr>
          <w:rFonts w:ascii="Arial Narrow" w:hAnsi="Arial Narrow" w:cs="Times New Roman"/>
          <w:b/>
          <w:sz w:val="22"/>
          <w:szCs w:val="22"/>
        </w:rPr>
        <w:tab/>
      </w:r>
      <w:r>
        <w:rPr>
          <w:rFonts w:ascii="Arial Narrow" w:hAnsi="Arial Narrow" w:cs="Times New Roman"/>
          <w:sz w:val="22"/>
          <w:szCs w:val="22"/>
        </w:rPr>
        <w:t xml:space="preserve">Príjmy z prevzatých </w:t>
      </w:r>
      <w:r w:rsidRPr="007A34E1">
        <w:rPr>
          <w:rFonts w:ascii="Arial Narrow" w:hAnsi="Arial Narrow" w:cs="Times New Roman"/>
          <w:sz w:val="22"/>
          <w:szCs w:val="22"/>
        </w:rPr>
        <w:t>k</w:t>
      </w:r>
      <w:r>
        <w:rPr>
          <w:rFonts w:ascii="Arial Narrow" w:hAnsi="Arial Narrow" w:cs="Times New Roman"/>
          <w:sz w:val="22"/>
          <w:szCs w:val="22"/>
        </w:rPr>
        <w:t xml:space="preserve">lasifikovaných bankových, daňových, </w:t>
      </w:r>
      <w:r w:rsidRPr="007A34E1">
        <w:rPr>
          <w:rFonts w:ascii="Arial Narrow" w:hAnsi="Arial Narrow" w:cs="Times New Roman"/>
          <w:sz w:val="22"/>
          <w:szCs w:val="22"/>
        </w:rPr>
        <w:t>colných pohľadávok</w:t>
      </w:r>
      <w:r>
        <w:rPr>
          <w:rFonts w:ascii="Arial Narrow" w:hAnsi="Arial Narrow" w:cs="Times New Roman"/>
          <w:sz w:val="22"/>
          <w:szCs w:val="22"/>
        </w:rPr>
        <w:t xml:space="preserve">, </w:t>
      </w:r>
      <w:r w:rsidRPr="007A34E1">
        <w:rPr>
          <w:rFonts w:ascii="Arial Narrow" w:hAnsi="Arial Narrow" w:cs="Times New Roman"/>
          <w:sz w:val="22"/>
          <w:szCs w:val="22"/>
        </w:rPr>
        <w:t>ako aj                pohľadávok prevzatých od Veriteľa, a. s., t.</w:t>
      </w:r>
      <w:r>
        <w:rPr>
          <w:rFonts w:ascii="Arial Narrow" w:hAnsi="Arial Narrow" w:cs="Times New Roman"/>
          <w:sz w:val="22"/>
          <w:szCs w:val="22"/>
        </w:rPr>
        <w:t xml:space="preserve"> </w:t>
      </w:r>
      <w:r w:rsidRPr="007A34E1">
        <w:rPr>
          <w:rFonts w:ascii="Arial Narrow" w:hAnsi="Arial Narrow" w:cs="Times New Roman"/>
          <w:sz w:val="22"/>
          <w:szCs w:val="22"/>
        </w:rPr>
        <w:t>j. zo splácania</w:t>
      </w:r>
      <w:r w:rsidRPr="007A34E1">
        <w:rPr>
          <w:rFonts w:ascii="Arial Narrow" w:hAnsi="Arial Narrow" w:cs="Times New Roman"/>
          <w:sz w:val="22"/>
          <w:szCs w:val="22"/>
        </w:rPr>
        <w:t xml:space="preserve"> úrokov, nedoplatkov úrokov a</w:t>
      </w:r>
      <w:r>
        <w:rPr>
          <w:rFonts w:ascii="Arial Narrow" w:hAnsi="Arial Narrow" w:cs="Times New Roman"/>
          <w:sz w:val="22"/>
          <w:szCs w:val="22"/>
        </w:rPr>
        <w:t> </w:t>
      </w:r>
      <w:r w:rsidRPr="007A34E1">
        <w:rPr>
          <w:rFonts w:ascii="Arial Narrow" w:hAnsi="Arial Narrow" w:cs="Times New Roman"/>
          <w:sz w:val="22"/>
          <w:szCs w:val="22"/>
        </w:rPr>
        <w:t>istiny</w:t>
      </w:r>
      <w:r>
        <w:rPr>
          <w:rFonts w:ascii="Arial Narrow" w:hAnsi="Arial Narrow" w:cs="Times New Roman"/>
          <w:sz w:val="22"/>
          <w:szCs w:val="22"/>
        </w:rPr>
        <w:t xml:space="preserve"> sú  </w:t>
      </w:r>
      <w:r w:rsidRPr="007A34E1">
        <w:rPr>
          <w:rFonts w:ascii="Arial Narrow" w:hAnsi="Arial Narrow" w:cs="Times New Roman"/>
          <w:sz w:val="22"/>
          <w:szCs w:val="22"/>
        </w:rPr>
        <w:t>rozpočtované zo súčasného stavu spravovaných pohľadávok v portfóliu SK, a. s., zníženého o ich odhadovanú každoročnú realizáciu, resp. odpis. Tieto prijaté finančné prostriedky sú obsiahnuté v príjmoch ako úroky a nedoplatky úrokov z pohľadávok a v príjmových operáciách ako príjmy zo splácania istín pohľadávok. V rokoch 200</w:t>
      </w:r>
      <w:r>
        <w:rPr>
          <w:rFonts w:ascii="Arial Narrow" w:hAnsi="Arial Narrow" w:cs="Times New Roman"/>
          <w:sz w:val="22"/>
          <w:szCs w:val="22"/>
        </w:rPr>
        <w:t>9</w:t>
      </w:r>
      <w:r w:rsidRPr="007A34E1">
        <w:rPr>
          <w:rFonts w:ascii="Arial Narrow" w:hAnsi="Arial Narrow" w:cs="Times New Roman"/>
          <w:sz w:val="22"/>
          <w:szCs w:val="22"/>
        </w:rPr>
        <w:t xml:space="preserve"> až 201</w:t>
      </w:r>
      <w:r>
        <w:rPr>
          <w:rFonts w:ascii="Arial Narrow" w:hAnsi="Arial Narrow" w:cs="Times New Roman"/>
          <w:sz w:val="22"/>
          <w:szCs w:val="22"/>
        </w:rPr>
        <w:t>1</w:t>
      </w:r>
      <w:r w:rsidRPr="007A34E1">
        <w:rPr>
          <w:rFonts w:ascii="Arial Narrow" w:hAnsi="Arial Narrow" w:cs="Times New Roman"/>
          <w:sz w:val="22"/>
          <w:szCs w:val="22"/>
        </w:rPr>
        <w:t xml:space="preserve"> sa uvažuje so znižovaním príjmov z pohľadávok </w:t>
      </w:r>
      <w:r>
        <w:rPr>
          <w:rFonts w:ascii="Arial Narrow" w:hAnsi="Arial Narrow" w:cs="Times New Roman"/>
          <w:sz w:val="22"/>
          <w:szCs w:val="22"/>
        </w:rPr>
        <w:t xml:space="preserve">prevzatých z reštrukturalizovaných bánk za predpokladu znižovania stavu tohto portfólia </w:t>
      </w:r>
      <w:r w:rsidRPr="007A34E1">
        <w:rPr>
          <w:rFonts w:ascii="Arial Narrow" w:hAnsi="Arial Narrow" w:cs="Times New Roman"/>
          <w:sz w:val="22"/>
          <w:szCs w:val="22"/>
        </w:rPr>
        <w:t>vplyvom odpisov a vyradenia z evidencie. Z daňových a colných pohľadávok</w:t>
      </w:r>
      <w:r>
        <w:rPr>
          <w:rFonts w:ascii="Arial Narrow" w:hAnsi="Arial Narrow" w:cs="Times New Roman"/>
          <w:sz w:val="22"/>
          <w:szCs w:val="22"/>
        </w:rPr>
        <w:t>,</w:t>
      </w:r>
      <w:r w:rsidRPr="007A34E1">
        <w:rPr>
          <w:rFonts w:ascii="Arial Narrow" w:hAnsi="Arial Narrow" w:cs="Times New Roman"/>
          <w:sz w:val="22"/>
          <w:szCs w:val="22"/>
        </w:rPr>
        <w:t xml:space="preserve"> ako aj z pohľadávok prevzatých od Veriteľa, a. s.</w:t>
      </w:r>
      <w:r>
        <w:rPr>
          <w:rFonts w:ascii="Arial Narrow" w:hAnsi="Arial Narrow" w:cs="Times New Roman"/>
          <w:sz w:val="22"/>
          <w:szCs w:val="22"/>
        </w:rPr>
        <w:t>,</w:t>
      </w:r>
      <w:r w:rsidRPr="007A34E1">
        <w:rPr>
          <w:rFonts w:ascii="Arial Narrow" w:hAnsi="Arial Narrow" w:cs="Times New Roman"/>
          <w:sz w:val="22"/>
          <w:szCs w:val="22"/>
        </w:rPr>
        <w:t xml:space="preserve"> sa predikujú rovnomerné príjmy s predpokladom ukončenia konkurzov do piatich rokov. </w:t>
      </w:r>
    </w:p>
    <w:p w:rsidR="00C52DD5" w:rsidRPr="007A34E1"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r w:rsidRPr="007A34E1">
        <w:rPr>
          <w:rFonts w:ascii="Arial Narrow" w:hAnsi="Arial Narrow" w:cs="Times New Roman"/>
          <w:sz w:val="22"/>
          <w:szCs w:val="22"/>
        </w:rPr>
        <w:tab/>
        <w:t>V </w:t>
      </w:r>
      <w:r>
        <w:rPr>
          <w:rFonts w:ascii="Arial Narrow" w:hAnsi="Arial Narrow" w:cs="Times New Roman"/>
          <w:sz w:val="22"/>
          <w:szCs w:val="22"/>
        </w:rPr>
        <w:t>rozpočte</w:t>
      </w:r>
      <w:r w:rsidRPr="007A34E1">
        <w:rPr>
          <w:rFonts w:ascii="Arial Narrow" w:hAnsi="Arial Narrow" w:cs="Times New Roman"/>
          <w:sz w:val="22"/>
          <w:szCs w:val="22"/>
        </w:rPr>
        <w:t xml:space="preserve"> sa neuvažuje s postupovaním pohľadá</w:t>
      </w:r>
      <w:r w:rsidRPr="007A34E1">
        <w:rPr>
          <w:rFonts w:ascii="Arial Narrow" w:hAnsi="Arial Narrow" w:cs="Times New Roman"/>
          <w:sz w:val="22"/>
          <w:szCs w:val="22"/>
        </w:rPr>
        <w:t>vok na tretie osoby</w:t>
      </w:r>
      <w:r>
        <w:rPr>
          <w:rFonts w:ascii="Arial Narrow" w:hAnsi="Arial Narrow" w:cs="Times New Roman"/>
          <w:sz w:val="22"/>
          <w:szCs w:val="22"/>
        </w:rPr>
        <w:t xml:space="preserve"> a rovnako sa neočakávajú žiadne príjmy z majetkových účastí. V</w:t>
      </w:r>
      <w:r w:rsidRPr="007A34E1">
        <w:rPr>
          <w:rFonts w:ascii="Arial Narrow" w:hAnsi="Arial Narrow" w:cs="Times New Roman"/>
          <w:sz w:val="22"/>
          <w:szCs w:val="22"/>
        </w:rPr>
        <w:t>ýdavky na mzdy, platy, príspevky do poisťovní</w:t>
      </w:r>
      <w:r>
        <w:rPr>
          <w:rFonts w:ascii="Arial Narrow" w:hAnsi="Arial Narrow" w:cs="Times New Roman"/>
          <w:sz w:val="22"/>
          <w:szCs w:val="22"/>
        </w:rPr>
        <w:t xml:space="preserve"> a</w:t>
      </w:r>
      <w:r w:rsidRPr="007A34E1">
        <w:rPr>
          <w:rFonts w:ascii="Arial Narrow" w:hAnsi="Arial Narrow" w:cs="Times New Roman"/>
          <w:sz w:val="22"/>
          <w:szCs w:val="22"/>
        </w:rPr>
        <w:t xml:space="preserve"> nakupované tovary a služby sú</w:t>
      </w:r>
      <w:r>
        <w:rPr>
          <w:rFonts w:ascii="Arial Narrow" w:hAnsi="Arial Narrow" w:cs="Times New Roman"/>
          <w:sz w:val="22"/>
          <w:szCs w:val="22"/>
        </w:rPr>
        <w:t xml:space="preserve"> </w:t>
      </w:r>
      <w:r w:rsidRPr="007A34E1">
        <w:rPr>
          <w:rFonts w:ascii="Arial Narrow" w:hAnsi="Arial Narrow" w:cs="Times New Roman"/>
          <w:sz w:val="22"/>
          <w:szCs w:val="22"/>
        </w:rPr>
        <w:t>v rokoch 200</w:t>
      </w:r>
      <w:r>
        <w:rPr>
          <w:rFonts w:ascii="Arial Narrow" w:hAnsi="Arial Narrow" w:cs="Times New Roman"/>
          <w:sz w:val="22"/>
          <w:szCs w:val="22"/>
        </w:rPr>
        <w:t>9</w:t>
      </w:r>
      <w:r w:rsidRPr="007A34E1">
        <w:rPr>
          <w:rFonts w:ascii="Arial Narrow" w:hAnsi="Arial Narrow" w:cs="Times New Roman"/>
          <w:sz w:val="22"/>
          <w:szCs w:val="22"/>
        </w:rPr>
        <w:t xml:space="preserve"> až 20</w:t>
      </w:r>
      <w:r>
        <w:rPr>
          <w:rFonts w:ascii="Arial Narrow" w:hAnsi="Arial Narrow" w:cs="Times New Roman"/>
          <w:sz w:val="22"/>
          <w:szCs w:val="22"/>
        </w:rPr>
        <w:t>11</w:t>
      </w:r>
      <w:r w:rsidRPr="007A34E1">
        <w:rPr>
          <w:rFonts w:ascii="Arial Narrow" w:hAnsi="Arial Narrow" w:cs="Times New Roman"/>
          <w:sz w:val="22"/>
          <w:szCs w:val="22"/>
        </w:rPr>
        <w:t xml:space="preserve"> </w:t>
      </w:r>
      <w:r>
        <w:rPr>
          <w:rFonts w:ascii="Arial Narrow" w:hAnsi="Arial Narrow" w:cs="Times New Roman"/>
          <w:sz w:val="22"/>
          <w:szCs w:val="22"/>
        </w:rPr>
        <w:t>rozpočtované</w:t>
      </w:r>
      <w:r w:rsidRPr="007A34E1">
        <w:rPr>
          <w:rFonts w:ascii="Arial Narrow" w:hAnsi="Arial Narrow" w:cs="Times New Roman"/>
          <w:sz w:val="22"/>
          <w:szCs w:val="22"/>
        </w:rPr>
        <w:t xml:space="preserve"> na úrovni </w:t>
      </w:r>
      <w:r>
        <w:rPr>
          <w:rFonts w:ascii="Arial Narrow" w:hAnsi="Arial Narrow" w:cs="Times New Roman"/>
          <w:sz w:val="22"/>
          <w:szCs w:val="22"/>
        </w:rPr>
        <w:t xml:space="preserve">rozpočtu výdavkov na rok 2008 so zohľadnením </w:t>
      </w:r>
      <w:r w:rsidRPr="007A34E1">
        <w:rPr>
          <w:rFonts w:ascii="Arial Narrow" w:hAnsi="Arial Narrow" w:cs="Times New Roman"/>
          <w:sz w:val="22"/>
          <w:szCs w:val="22"/>
        </w:rPr>
        <w:t>predpo</w:t>
      </w:r>
      <w:r w:rsidRPr="007A34E1">
        <w:rPr>
          <w:rFonts w:ascii="Arial Narrow" w:hAnsi="Arial Narrow" w:cs="Times New Roman"/>
          <w:sz w:val="22"/>
          <w:szCs w:val="22"/>
        </w:rPr>
        <w:t xml:space="preserve">kladanej </w:t>
      </w:r>
      <w:r>
        <w:rPr>
          <w:rFonts w:ascii="Arial Narrow" w:hAnsi="Arial Narrow" w:cs="Times New Roman"/>
          <w:sz w:val="22"/>
          <w:szCs w:val="22"/>
        </w:rPr>
        <w:t xml:space="preserve">miery </w:t>
      </w:r>
      <w:r w:rsidRPr="007A34E1">
        <w:rPr>
          <w:rFonts w:ascii="Arial Narrow" w:hAnsi="Arial Narrow" w:cs="Times New Roman"/>
          <w:sz w:val="22"/>
          <w:szCs w:val="22"/>
        </w:rPr>
        <w:t>inflácie.</w:t>
      </w:r>
      <w:r>
        <w:rPr>
          <w:rFonts w:ascii="Arial Narrow" w:hAnsi="Arial Narrow" w:cs="Times New Roman"/>
          <w:sz w:val="22"/>
          <w:szCs w:val="22"/>
        </w:rPr>
        <w:t xml:space="preserve"> SK, a. s. neuvažuje v rokoch 2009 až 2011 so žiadnou odplatou za postúpené pohľadávky.</w:t>
      </w:r>
    </w:p>
    <w:p w:rsidR="00C52DD5" w:rsidRPr="007A34E1" w:rsidP="00C52DD5">
      <w:pPr>
        <w:jc w:val="both"/>
        <w:rPr>
          <w:rFonts w:ascii="Arial Narrow" w:hAnsi="Arial Narrow" w:cs="Times New Roman"/>
          <w:b/>
          <w:sz w:val="22"/>
          <w:szCs w:val="22"/>
        </w:rPr>
      </w:pPr>
      <w:r w:rsidRPr="007A34E1">
        <w:rPr>
          <w:rFonts w:ascii="Arial Narrow" w:hAnsi="Arial Narrow" w:cs="Times New Roman"/>
          <w:sz w:val="22"/>
          <w:szCs w:val="22"/>
        </w:rPr>
        <w:t xml:space="preserve"> </w:t>
      </w:r>
    </w:p>
    <w:p w:rsidR="00C52DD5" w:rsidRPr="007A34E1" w:rsidP="00C52DD5">
      <w:pPr>
        <w:pStyle w:val="BodyTextIndent3"/>
        <w:rPr>
          <w:rFonts w:cs="Times New Roman"/>
        </w:rPr>
      </w:pPr>
      <w:r w:rsidRPr="007A34E1">
        <w:rPr>
          <w:rFonts w:cs="Times New Roman"/>
        </w:rPr>
        <w:t>Vývoj príjmovej a výdavkovej časti rozpočtu SK, a. s. na roky 200</w:t>
      </w:r>
      <w:r>
        <w:rPr>
          <w:rFonts w:cs="Times New Roman"/>
        </w:rPr>
        <w:t>9</w:t>
      </w:r>
      <w:r w:rsidRPr="007A34E1">
        <w:rPr>
          <w:rFonts w:cs="Times New Roman"/>
        </w:rPr>
        <w:t xml:space="preserve"> až 201</w:t>
      </w:r>
      <w:r>
        <w:rPr>
          <w:rFonts w:cs="Times New Roman"/>
        </w:rPr>
        <w:t>1</w:t>
      </w:r>
      <w:r w:rsidRPr="007A34E1">
        <w:rPr>
          <w:rFonts w:cs="Times New Roman"/>
        </w:rPr>
        <w:t xml:space="preserve"> je nasledovný:</w:t>
        <w:tab/>
      </w:r>
    </w:p>
    <w:p w:rsidR="00C52DD5" w:rsidRPr="00A96506" w:rsidP="00C52DD5">
      <w:pPr>
        <w:ind w:firstLine="708"/>
        <w:jc w:val="both"/>
        <w:rPr>
          <w:rFonts w:ascii="Arial Narrow" w:hAnsi="Arial Narrow" w:cs="Times New Roman"/>
          <w:sz w:val="22"/>
          <w:szCs w:val="22"/>
        </w:rPr>
      </w:pPr>
      <w:r>
        <w:rPr>
          <w:rFonts w:ascii="Arial Narrow" w:hAnsi="Arial Narrow" w:cs="Times New Roman"/>
          <w:b/>
          <w:sz w:val="22"/>
          <w:szCs w:val="22"/>
        </w:rPr>
        <w:t xml:space="preserve">                                                   </w:t>
      </w:r>
      <w:r>
        <w:rPr>
          <w:rFonts w:ascii="Arial Narrow" w:hAnsi="Arial Narrow" w:cs="Times New Roman"/>
          <w:b/>
          <w:sz w:val="22"/>
          <w:szCs w:val="22"/>
        </w:rPr>
        <w:t xml:space="preserv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068"/>
        <w:gridCol w:w="1260"/>
        <w:gridCol w:w="1260"/>
        <w:gridCol w:w="1260"/>
        <w:gridCol w:w="1260"/>
      </w:tblGrid>
      <w:tr>
        <w:tblPrEx>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7F78EE" w:rsidP="00C52DD5">
            <w:pPr>
              <w:rPr>
                <w:rFonts w:ascii="Arial Narrow" w:hAnsi="Arial Narrow" w:cs="Times New Roman"/>
                <w:b/>
                <w:iCs/>
                <w:color w:val="FFFFFF"/>
                <w:sz w:val="20"/>
              </w:rPr>
            </w:pPr>
            <w:r w:rsidRPr="007F78EE">
              <w:rPr>
                <w:rFonts w:ascii="Arial Narrow" w:hAnsi="Arial Narrow" w:cs="Times New Roman"/>
                <w:b/>
                <w:iCs/>
                <w:color w:val="FFFFFF"/>
                <w:sz w:val="20"/>
              </w:rPr>
              <w:t>(v tis. eur)</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P="00C52DD5">
            <w:pPr>
              <w:jc w:val="center"/>
              <w:rPr>
                <w:rFonts w:ascii="Arial Narrow" w:hAnsi="Arial Narrow" w:cs="Times New Roman"/>
                <w:b/>
                <w:bCs/>
                <w:iCs/>
                <w:color w:val="FFFFFF"/>
                <w:sz w:val="20"/>
              </w:rPr>
            </w:pPr>
            <w:r>
              <w:rPr>
                <w:rFonts w:ascii="Arial Narrow" w:hAnsi="Arial Narrow" w:cs="Times New Roman"/>
                <w:b/>
                <w:bCs/>
                <w:iCs/>
                <w:color w:val="FFFFFF"/>
                <w:sz w:val="20"/>
              </w:rPr>
              <w:t xml:space="preserve"> 2008</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P="00C52DD5">
            <w:pPr>
              <w:jc w:val="center"/>
              <w:rPr>
                <w:rFonts w:ascii="Arial Narrow" w:hAnsi="Arial Narrow" w:cs="Times New Roman"/>
                <w:b/>
                <w:bCs/>
                <w:iCs/>
                <w:color w:val="FFFFFF"/>
                <w:sz w:val="20"/>
              </w:rPr>
            </w:pPr>
            <w:r>
              <w:rPr>
                <w:rFonts w:ascii="Arial Narrow" w:hAnsi="Arial Narrow" w:cs="Times New Roman"/>
                <w:b/>
                <w:bCs/>
                <w:iCs/>
                <w:color w:val="FFFFFF"/>
                <w:sz w:val="20"/>
              </w:rPr>
              <w:t xml:space="preserve"> 2009</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P="00C52DD5">
            <w:pPr>
              <w:jc w:val="center"/>
              <w:rPr>
                <w:rFonts w:ascii="Arial Narrow" w:hAnsi="Arial Narrow" w:cs="Times New Roman"/>
                <w:b/>
                <w:bCs/>
                <w:iCs/>
                <w:color w:val="FFFFFF"/>
                <w:sz w:val="20"/>
              </w:rPr>
            </w:pPr>
            <w:r>
              <w:rPr>
                <w:rFonts w:ascii="Arial Narrow" w:hAnsi="Arial Narrow" w:cs="Times New Roman"/>
                <w:b/>
                <w:bCs/>
                <w:iCs/>
                <w:color w:val="FFFFFF"/>
                <w:sz w:val="20"/>
              </w:rPr>
              <w:t xml:space="preserve"> 2010</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P="00C52DD5">
            <w:pPr>
              <w:jc w:val="center"/>
              <w:rPr>
                <w:rFonts w:ascii="Arial Narrow" w:hAnsi="Arial Narrow" w:cs="Times New Roman"/>
                <w:b/>
                <w:bCs/>
                <w:iCs/>
                <w:color w:val="FFFFFF"/>
                <w:sz w:val="20"/>
              </w:rPr>
            </w:pPr>
            <w:r>
              <w:rPr>
                <w:rFonts w:ascii="Arial Narrow" w:hAnsi="Arial Narrow" w:cs="Times New Roman"/>
                <w:b/>
                <w:bCs/>
                <w:iCs/>
                <w:color w:val="FFFFFF"/>
                <w:sz w:val="20"/>
              </w:rPr>
              <w:t>2011</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rPr>
                <w:rFonts w:ascii="Arial Narrow" w:hAnsi="Arial Narrow" w:cs="Times New Roman"/>
                <w:b/>
                <w:i/>
                <w:sz w:val="20"/>
              </w:rPr>
            </w:pPr>
            <w:r>
              <w:rPr>
                <w:rFonts w:ascii="Arial Narrow" w:hAnsi="Arial Narrow" w:cs="Times New Roman"/>
                <w:b/>
                <w:i/>
                <w:sz w:val="20"/>
              </w:rPr>
              <w:t>Príjmy SK, a. s.  spolu</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 xml:space="preserve">82 796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 xml:space="preserve">74 683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78 673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82 432</w:t>
            </w:r>
          </w:p>
        </w:tc>
      </w:tr>
      <w:tr>
        <w:tblPrEx>
          <w:tblW w:w="9108" w:type="dxa"/>
        </w:tblPrEx>
        <w:trPr>
          <w:trHeight w:hRule="auto" w:val="0"/>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P="00C52DD5">
            <w:pPr>
              <w:jc w:val="both"/>
              <w:rPr>
                <w:rFonts w:ascii="Arial Narrow" w:hAnsi="Arial Narrow" w:cs="Times New Roman"/>
                <w:b/>
                <w:i/>
                <w:sz w:val="20"/>
              </w:rPr>
            </w:pPr>
            <w:r>
              <w:rPr>
                <w:rFonts w:ascii="Arial Narrow" w:hAnsi="Arial Narrow" w:cs="Times New Roman"/>
                <w:b/>
                <w:i/>
                <w:sz w:val="20"/>
              </w:rPr>
              <w:t>z toho:</w:t>
            </w: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rPr>
            </w:pP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37"/>
              </w:numPr>
              <w:tabs>
                <w:tab w:val="left" w:pos="360"/>
              </w:tabs>
              <w:rPr>
                <w:rFonts w:ascii="Arial Narrow" w:hAnsi="Arial Narrow" w:cs="Times New Roman"/>
                <w:sz w:val="20"/>
              </w:rPr>
            </w:pPr>
            <w:r>
              <w:rPr>
                <w:rFonts w:ascii="Arial Narrow" w:hAnsi="Arial Narrow" w:cs="Times New Roman"/>
                <w:sz w:val="20"/>
              </w:rPr>
              <w:t>z podnikania a z vlastníctva majetku</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83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63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63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63</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37"/>
              </w:numPr>
              <w:tabs>
                <w:tab w:val="left" w:pos="360"/>
              </w:tabs>
              <w:rPr>
                <w:rFonts w:ascii="Arial Narrow" w:hAnsi="Arial Narrow" w:cs="Times New Roman"/>
                <w:sz w:val="20"/>
              </w:rPr>
            </w:pPr>
            <w:r>
              <w:rPr>
                <w:rFonts w:ascii="Arial Narrow" w:hAnsi="Arial Narrow" w:cs="Times New Roman"/>
                <w:sz w:val="20"/>
              </w:rPr>
              <w:t xml:space="preserve">úroky z tuzem. úverov, pôžičiek, vkladov a ážio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8 667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8 061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8 008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8 008</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37"/>
              </w:numPr>
              <w:tabs>
                <w:tab w:val="left" w:pos="360"/>
              </w:tabs>
              <w:rPr>
                <w:rFonts w:ascii="Arial Narrow" w:hAnsi="Arial Narrow" w:cs="Times New Roman"/>
                <w:sz w:val="20"/>
              </w:rPr>
            </w:pPr>
            <w:r>
              <w:rPr>
                <w:rFonts w:ascii="Arial Narrow" w:hAnsi="Arial Narrow" w:cs="Times New Roman"/>
                <w:sz w:val="20"/>
              </w:rPr>
              <w:t>ostatné príjmy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242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531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457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485</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37"/>
              </w:numPr>
              <w:tabs>
                <w:tab w:val="left" w:pos="360"/>
              </w:tabs>
              <w:rPr>
                <w:rFonts w:ascii="Arial Narrow" w:hAnsi="Arial Narrow" w:cs="Times New Roman"/>
                <w:sz w:val="20"/>
              </w:rPr>
            </w:pPr>
            <w:r>
              <w:rPr>
                <w:rFonts w:ascii="Arial Narrow" w:hAnsi="Arial Narrow" w:cs="Times New Roman"/>
                <w:sz w:val="20"/>
              </w:rPr>
              <w:t>zo splátok tuz. úverov a pôž. a NFV - istín  (FO)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4 800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3 768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3 635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3 502</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26"/>
              </w:numPr>
              <w:tabs>
                <w:tab w:val="left" w:pos="360"/>
              </w:tabs>
              <w:rPr>
                <w:rFonts w:ascii="Arial Narrow" w:hAnsi="Arial Narrow" w:cs="Times New Roman"/>
                <w:sz w:val="20"/>
              </w:rPr>
            </w:pPr>
            <w:r>
              <w:rPr>
                <w:rFonts w:ascii="Arial Narrow" w:hAnsi="Arial Narrow" w:cs="Times New Roman"/>
                <w:sz w:val="20"/>
              </w:rPr>
              <w:t>z predaja majetkových účastín (FO)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26"/>
              </w:numPr>
              <w:tabs>
                <w:tab w:val="left" w:pos="360"/>
              </w:tabs>
              <w:rPr>
                <w:rFonts w:ascii="Arial Narrow" w:hAnsi="Arial Narrow" w:cs="Times New Roman"/>
                <w:sz w:val="20"/>
              </w:rPr>
            </w:pPr>
            <w:r>
              <w:rPr>
                <w:rFonts w:ascii="Arial Narrow" w:hAnsi="Arial Narrow" w:cs="Times New Roman"/>
                <w:sz w:val="20"/>
              </w:rPr>
              <w:t>zostatok prostr. z predch. roko</w:t>
            </w:r>
            <w:r>
              <w:rPr>
                <w:rFonts w:ascii="Arial Narrow" w:hAnsi="Arial Narrow" w:cs="Times New Roman"/>
                <w:sz w:val="20"/>
              </w:rPr>
              <w:t>v (FO)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69 004</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62 260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66 510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70 374</w:t>
            </w:r>
          </w:p>
        </w:tc>
      </w:tr>
      <w:tr>
        <w:tblPrEx>
          <w:tblW w:w="9108" w:type="dxa"/>
        </w:tblPrEx>
        <w:trPr>
          <w:trHeight w:hRule="auto" w:val="0"/>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P="00C52DD5">
            <w:pPr>
              <w:jc w:val="both"/>
              <w:rPr>
                <w:rFonts w:ascii="Arial Narrow" w:hAnsi="Arial Narrow" w:cs="Times New Roman"/>
                <w:sz w:val="20"/>
              </w:rPr>
            </w:pP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rPr>
            </w:pP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rPr>
                <w:rFonts w:ascii="Arial Narrow" w:hAnsi="Arial Narrow" w:cs="Times New Roman"/>
                <w:b/>
                <w:i/>
                <w:sz w:val="20"/>
              </w:rPr>
            </w:pPr>
            <w:r>
              <w:rPr>
                <w:rFonts w:ascii="Arial Narrow" w:hAnsi="Arial Narrow" w:cs="Times New Roman"/>
                <w:b/>
                <w:i/>
                <w:sz w:val="20"/>
              </w:rPr>
              <w:t>Výdavky SK, a. s.  spolu</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 xml:space="preserve">10 071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 xml:space="preserve">8 173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 8 299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8 485</w:t>
            </w:r>
          </w:p>
        </w:tc>
      </w:tr>
      <w:tr>
        <w:tblPrEx>
          <w:tblW w:w="9108" w:type="dxa"/>
        </w:tblPrEx>
        <w:trPr>
          <w:trHeight w:hRule="auto" w:val="0"/>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P="00C52DD5">
            <w:pPr>
              <w:rPr>
                <w:rFonts w:ascii="Arial Narrow" w:hAnsi="Arial Narrow" w:cs="Times New Roman"/>
                <w:b/>
                <w:i/>
                <w:sz w:val="20"/>
              </w:rPr>
            </w:pPr>
            <w:r>
              <w:rPr>
                <w:rFonts w:ascii="Arial Narrow" w:hAnsi="Arial Narrow" w:cs="Times New Roman"/>
                <w:b/>
                <w:i/>
                <w:sz w:val="20"/>
              </w:rPr>
              <w:t>z toho:</w:t>
            </w: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P="00C52DD5">
            <w:pPr>
              <w:rPr>
                <w:rFonts w:ascii="Arial Narrow" w:hAnsi="Arial Narrow" w:cs="Times New Roman"/>
                <w:b/>
                <w:i/>
                <w:sz w:val="20"/>
              </w:rPr>
            </w:pP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24"/>
              </w:numPr>
              <w:tabs>
                <w:tab w:val="left" w:pos="360"/>
              </w:tabs>
              <w:rPr>
                <w:rFonts w:ascii="Arial Narrow" w:hAnsi="Arial Narrow" w:cs="Times New Roman"/>
                <w:sz w:val="20"/>
              </w:rPr>
            </w:pPr>
            <w:r>
              <w:rPr>
                <w:rFonts w:ascii="Arial Narrow" w:hAnsi="Arial Narrow" w:cs="Times New Roman"/>
                <w:sz w:val="20"/>
              </w:rPr>
              <w:t>mzdy a odvody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5 009</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5 168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5 220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5 272</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24"/>
              </w:numPr>
              <w:tabs>
                <w:tab w:val="left" w:pos="360"/>
              </w:tabs>
              <w:rPr>
                <w:rFonts w:ascii="Arial Narrow" w:hAnsi="Arial Narrow" w:cs="Times New Roman"/>
                <w:sz w:val="20"/>
              </w:rPr>
            </w:pPr>
            <w:r>
              <w:rPr>
                <w:rFonts w:ascii="Arial Narrow" w:hAnsi="Arial Narrow" w:cs="Times New Roman"/>
                <w:sz w:val="20"/>
              </w:rPr>
              <w:t xml:space="preserve">tovary a služby </w:t>
            </w:r>
            <w:r>
              <w:rPr>
                <w:rFonts w:ascii="Arial Narrow" w:hAnsi="Arial Narrow" w:cs="Times New Roman"/>
                <w:sz w:val="20"/>
              </w:rPr>
              <w:t>(prev. náklady)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2 506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2 733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2 806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2 874</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24"/>
              </w:numPr>
              <w:tabs>
                <w:tab w:val="left" w:pos="360"/>
              </w:tabs>
              <w:rPr>
                <w:rFonts w:ascii="Arial Narrow" w:hAnsi="Arial Narrow" w:cs="Times New Roman"/>
                <w:sz w:val="20"/>
              </w:rPr>
            </w:pPr>
            <w:r>
              <w:rPr>
                <w:rFonts w:ascii="Arial Narrow" w:hAnsi="Arial Narrow" w:cs="Times New Roman"/>
                <w:sz w:val="20"/>
              </w:rPr>
              <w:t>bežné transfery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173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7</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7</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24"/>
              </w:numPr>
              <w:tabs>
                <w:tab w:val="left" w:pos="360"/>
              </w:tabs>
              <w:rPr>
                <w:rFonts w:ascii="Arial Narrow" w:hAnsi="Arial Narrow" w:cs="Times New Roman"/>
                <w:sz w:val="20"/>
              </w:rPr>
            </w:pPr>
            <w:r>
              <w:rPr>
                <w:rFonts w:ascii="Arial Narrow" w:hAnsi="Arial Narrow" w:cs="Times New Roman"/>
                <w:sz w:val="20"/>
              </w:rPr>
              <w:t>obstarávanie kapitálových aktív</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266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265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266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332</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24"/>
              </w:numPr>
              <w:tabs>
                <w:tab w:val="left" w:pos="360"/>
              </w:tabs>
              <w:rPr>
                <w:rFonts w:ascii="Arial Narrow" w:hAnsi="Arial Narrow" w:cs="Times New Roman"/>
                <w:sz w:val="20"/>
              </w:rPr>
            </w:pPr>
            <w:r>
              <w:rPr>
                <w:rFonts w:ascii="Arial Narrow" w:hAnsi="Arial Narrow" w:cs="Times New Roman"/>
                <w:sz w:val="20"/>
              </w:rPr>
              <w:t xml:space="preserve">odplata za postúpenú pohľadávku (FO)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2 118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r>
      <w:tr>
        <w:tblPrEx>
          <w:tblW w:w="9108" w:type="dxa"/>
        </w:tblPrEx>
        <w:trPr>
          <w:trHeight w:hRule="auto" w:val="0"/>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P="00C52DD5">
            <w:pPr>
              <w:jc w:val="both"/>
              <w:rPr>
                <w:rFonts w:ascii="Arial Narrow" w:hAnsi="Arial Narrow" w:cs="Times New Roman"/>
                <w:sz w:val="20"/>
              </w:rPr>
            </w:pP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rPr>
            </w:pP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rPr>
                <w:rFonts w:ascii="Arial Narrow" w:hAnsi="Arial Narrow" w:cs="Times New Roman"/>
                <w:b/>
                <w:i/>
                <w:sz w:val="20"/>
              </w:rPr>
            </w:pPr>
            <w:r>
              <w:rPr>
                <w:rFonts w:ascii="Arial Narrow" w:hAnsi="Arial Narrow" w:cs="Times New Roman"/>
                <w:b/>
                <w:i/>
                <w:sz w:val="20"/>
              </w:rPr>
              <w:t xml:space="preserve">Celkový prebytok SK, a. s. </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72 725</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66 510</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70 374</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73 947</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rPr>
                <w:rFonts w:ascii="Arial Narrow" w:hAnsi="Arial Narrow" w:cs="Times New Roman"/>
                <w:b/>
                <w:i/>
                <w:sz w:val="20"/>
              </w:rPr>
            </w:pPr>
            <w:r>
              <w:rPr>
                <w:rFonts w:ascii="Arial Narrow" w:hAnsi="Arial Narrow" w:cs="Times New Roman"/>
                <w:b/>
                <w:i/>
                <w:sz w:val="20"/>
              </w:rPr>
              <w:t xml:space="preserve"> vylúčenie finančných operá</w:t>
            </w:r>
            <w:r>
              <w:rPr>
                <w:rFonts w:ascii="Arial Narrow" w:hAnsi="Arial Narrow" w:cs="Times New Roman"/>
                <w:b/>
                <w:i/>
                <w:sz w:val="20"/>
              </w:rPr>
              <w:t>cií</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-71 686</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-66 028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-70 145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-73 876</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rPr>
                <w:rFonts w:ascii="Arial Narrow" w:hAnsi="Arial Narrow" w:cs="Times New Roman"/>
                <w:b/>
                <w:i/>
                <w:sz w:val="20"/>
              </w:rPr>
            </w:pPr>
            <w:r>
              <w:rPr>
                <w:rFonts w:ascii="Arial Narrow" w:hAnsi="Arial Narrow" w:cs="Times New Roman"/>
                <w:b/>
                <w:i/>
                <w:sz w:val="20"/>
              </w:rPr>
              <w:t xml:space="preserve"> z toho: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rPr>
            </w:pP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25"/>
              </w:numPr>
              <w:tabs>
                <w:tab w:val="left" w:pos="360"/>
              </w:tabs>
              <w:rPr>
                <w:rFonts w:ascii="Arial Narrow" w:hAnsi="Arial Narrow" w:cs="Times New Roman"/>
                <w:b/>
                <w:sz w:val="20"/>
              </w:rPr>
            </w:pPr>
            <w:r>
              <w:rPr>
                <w:rFonts w:ascii="Arial Narrow" w:hAnsi="Arial Narrow" w:cs="Times New Roman"/>
                <w:sz w:val="20"/>
              </w:rPr>
              <w:t>vylúčenie príjmových FO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-73 803</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-66 028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-70 145</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-73 876</w:t>
            </w: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25"/>
              </w:numPr>
              <w:tabs>
                <w:tab w:val="left" w:pos="360"/>
              </w:tabs>
              <w:rPr>
                <w:rFonts w:ascii="Arial Narrow" w:hAnsi="Arial Narrow" w:cs="Times New Roman"/>
                <w:sz w:val="20"/>
              </w:rPr>
            </w:pPr>
            <w:r>
              <w:rPr>
                <w:rFonts w:ascii="Arial Narrow" w:hAnsi="Arial Narrow" w:cs="Times New Roman"/>
                <w:sz w:val="20"/>
              </w:rPr>
              <w:t>vylúčenie výdavkových FO</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2 118</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 xml:space="preserve">           0      </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rPr>
            </w:pPr>
            <w:r>
              <w:rPr>
                <w:rFonts w:ascii="Arial Narrow" w:hAnsi="Arial Narrow" w:cs="Times New Roman"/>
                <w:sz w:val="20"/>
              </w:rPr>
              <w:t>0</w:t>
            </w:r>
          </w:p>
        </w:tc>
      </w:tr>
      <w:tr>
        <w:tblPrEx>
          <w:tblW w:w="9108" w:type="dxa"/>
        </w:tblPrEx>
        <w:trPr>
          <w:trHeight w:hRule="auto" w:val="0"/>
        </w:trPr>
        <w:tc>
          <w:tcPr>
            <w:tcW w:w="7848" w:type="dxa"/>
            <w:gridSpan w:val="4"/>
            <w:tcBorders>
              <w:top w:val="single" w:sz="4" w:space="0" w:color="auto"/>
              <w:left w:val="single" w:sz="4" w:space="0" w:color="auto"/>
              <w:bottom w:val="single" w:sz="4" w:space="0" w:color="auto"/>
              <w:right w:val="nil"/>
              <w:tl2br w:val="nil"/>
              <w:tr2bl w:val="nil"/>
            </w:tcBorders>
            <w:textDirection w:val="lrTb"/>
            <w:vAlign w:val="top"/>
          </w:tcPr>
          <w:p w:rsidR="00C52DD5" w:rsidP="00C52DD5">
            <w:pPr>
              <w:jc w:val="both"/>
              <w:rPr>
                <w:rFonts w:ascii="Arial Narrow" w:hAnsi="Arial Narrow" w:cs="Times New Roman"/>
                <w:sz w:val="20"/>
              </w:rPr>
            </w:pPr>
          </w:p>
        </w:tc>
        <w:tc>
          <w:tcPr>
            <w:tcW w:w="1260" w:type="dxa"/>
            <w:tcBorders>
              <w:top w:val="single" w:sz="4" w:space="0" w:color="auto"/>
              <w:left w:val="nil"/>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rPr>
            </w:pPr>
          </w:p>
        </w:tc>
      </w:tr>
      <w:tr>
        <w:tblPrEx>
          <w:tblW w:w="9108" w:type="dxa"/>
        </w:tblPrEx>
        <w:trPr>
          <w:trHeight w:hRule="auto" w:val="0"/>
        </w:trPr>
        <w:tc>
          <w:tcPr>
            <w:tcW w:w="406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rPr>
                <w:rFonts w:ascii="Arial Narrow" w:hAnsi="Arial Narrow" w:cs="Times New Roman"/>
                <w:b/>
                <w:i/>
                <w:sz w:val="20"/>
              </w:rPr>
            </w:pPr>
            <w:r>
              <w:rPr>
                <w:rFonts w:ascii="Arial Narrow" w:hAnsi="Arial Narrow" w:cs="Times New Roman"/>
                <w:b/>
                <w:i/>
                <w:sz w:val="20"/>
              </w:rPr>
              <w:t>Prebytok  SK, a. s.  (ESA 95)</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50"/>
              <w:jc w:val="right"/>
              <w:rPr>
                <w:rFonts w:ascii="Arial Narrow" w:hAnsi="Arial Narrow" w:cs="Times New Roman"/>
                <w:b/>
                <w:i/>
                <w:sz w:val="20"/>
              </w:rPr>
            </w:pPr>
            <w:r>
              <w:rPr>
                <w:rFonts w:ascii="Arial Narrow" w:hAnsi="Arial Narrow" w:cs="Times New Roman"/>
                <w:b/>
                <w:i/>
                <w:sz w:val="20"/>
              </w:rPr>
              <w:t>1 039</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482</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335"/>
              <w:jc w:val="right"/>
              <w:rPr>
                <w:rFonts w:ascii="Arial Narrow" w:hAnsi="Arial Narrow" w:cs="Times New Roman"/>
                <w:b/>
                <w:i/>
                <w:sz w:val="20"/>
              </w:rPr>
            </w:pPr>
            <w:r>
              <w:rPr>
                <w:rFonts w:ascii="Arial Narrow" w:hAnsi="Arial Narrow" w:cs="Times New Roman"/>
                <w:b/>
                <w:i/>
                <w:sz w:val="20"/>
              </w:rPr>
              <w:t>229</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rPr>
            </w:pPr>
            <w:r>
              <w:rPr>
                <w:rFonts w:ascii="Arial Narrow" w:hAnsi="Arial Narrow" w:cs="Times New Roman"/>
                <w:b/>
                <w:i/>
                <w:sz w:val="20"/>
              </w:rPr>
              <w:t xml:space="preserve">71            </w:t>
            </w:r>
          </w:p>
        </w:tc>
      </w:tr>
    </w:tbl>
    <w:p w:rsidR="00C52DD5" w:rsidRPr="00AB421E" w:rsidP="00C52DD5">
      <w:pPr>
        <w:rPr>
          <w:rFonts w:cs="Times New Roman"/>
          <w:highlight w:val="yellow"/>
        </w:rPr>
      </w:pPr>
    </w:p>
    <w:p w:rsidR="00C52DD5" w:rsidRPr="00804143" w:rsidP="00C52DD5">
      <w:pPr>
        <w:jc w:val="both"/>
        <w:rPr>
          <w:rFonts w:ascii="Arial Narrow" w:hAnsi="Arial Narrow" w:cs="Times New Roman"/>
          <w:b/>
          <w:bCs/>
        </w:rPr>
      </w:pPr>
      <w:r w:rsidRPr="00804143">
        <w:rPr>
          <w:rFonts w:ascii="Arial Narrow" w:hAnsi="Arial Narrow" w:cs="Times New Roman"/>
          <w:b/>
          <w:bCs/>
        </w:rPr>
        <w:t>8. Úrad pre dohľad nad zdravotnou starostlivosťou</w:t>
      </w:r>
    </w:p>
    <w:p w:rsidR="00C52DD5" w:rsidP="00C52DD5">
      <w:pPr>
        <w:jc w:val="both"/>
        <w:rPr>
          <w:rFonts w:ascii="Arial Narrow" w:hAnsi="Arial Narrow" w:cs="Times New Roman"/>
          <w:sz w:val="22"/>
          <w:szCs w:val="22"/>
          <w:highlight w:val="yellow"/>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Úrad pre dohľad nad zdravotnou starostlivosťou (ďalej len „úrad“) bol zriadený zákonom </w:t>
        <w:br/>
        <w:t>č. 581/2004 Z. z. o zdravotných poisťovniach, dohľade nad zdravotnou starostlivosťou a o zmene a doplnení niektorých zákonov  k 1. novembru 2004. Návrh rozpočtu na roky 2009 až 2011 je zostavený na základe platnej a pripravovanej legislatívy.</w:t>
      </w:r>
    </w:p>
    <w:p w:rsidR="00C52DD5" w:rsidRPr="00200D2F"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sidRPr="00200D2F">
        <w:rPr>
          <w:rFonts w:ascii="Arial Narrow" w:hAnsi="Arial Narrow" w:cs="Times New Roman"/>
          <w:sz w:val="22"/>
          <w:szCs w:val="22"/>
        </w:rPr>
        <w:t>Celkové príjmy úradu sú v roku 200</w:t>
      </w:r>
      <w:r>
        <w:rPr>
          <w:rFonts w:ascii="Arial Narrow" w:hAnsi="Arial Narrow" w:cs="Times New Roman"/>
          <w:sz w:val="22"/>
          <w:szCs w:val="22"/>
        </w:rPr>
        <w:t>9 plánované vo výške 33,1 mil. eur</w:t>
      </w:r>
      <w:r w:rsidRPr="00200D2F">
        <w:rPr>
          <w:rFonts w:ascii="Arial Narrow" w:hAnsi="Arial Narrow" w:cs="Times New Roman"/>
          <w:sz w:val="22"/>
          <w:szCs w:val="22"/>
        </w:rPr>
        <w:t>. Rozhodujúcim príjmom úradu sú príspevky od zdravotných poisťovní podľa §</w:t>
      </w:r>
      <w:r>
        <w:rPr>
          <w:rFonts w:ascii="Arial Narrow" w:hAnsi="Arial Narrow" w:cs="Times New Roman"/>
          <w:sz w:val="22"/>
          <w:szCs w:val="22"/>
        </w:rPr>
        <w:t xml:space="preserve"> </w:t>
      </w:r>
      <w:r w:rsidRPr="00200D2F">
        <w:rPr>
          <w:rFonts w:ascii="Arial Narrow" w:hAnsi="Arial Narrow" w:cs="Times New Roman"/>
          <w:sz w:val="22"/>
          <w:szCs w:val="22"/>
        </w:rPr>
        <w:t xml:space="preserve">30 zákona č. 581/2004 Z. z., ktorých výška závisí od sumy vybraného poistného, na ktorú majú poisťovne právo po prerozdelení poistného za kalendárny rok predchádzajúci kalendárnemu roku, v ktorom je príspevok splatný. Príspevok sa poukazuje na účet úradu </w:t>
      </w:r>
      <w:r>
        <w:rPr>
          <w:rFonts w:ascii="Arial Narrow" w:hAnsi="Arial Narrow" w:cs="Times New Roman"/>
          <w:sz w:val="22"/>
          <w:szCs w:val="22"/>
        </w:rPr>
        <w:br/>
      </w:r>
      <w:r w:rsidRPr="00200D2F">
        <w:rPr>
          <w:rFonts w:ascii="Arial Narrow" w:hAnsi="Arial Narrow" w:cs="Times New Roman"/>
          <w:sz w:val="22"/>
          <w:szCs w:val="22"/>
        </w:rPr>
        <w:t>do 20. decembra</w:t>
      </w:r>
      <w:r w:rsidRPr="00200D2F">
        <w:rPr>
          <w:rFonts w:ascii="Arial Narrow" w:hAnsi="Arial Narrow" w:cs="Times New Roman"/>
          <w:sz w:val="22"/>
          <w:szCs w:val="22"/>
        </w:rPr>
        <w:t xml:space="preserve"> kalendárneho roku na nasledujúci kalendárny rok. Úrad presúva uvedené prostriedky </w:t>
      </w:r>
      <w:r>
        <w:rPr>
          <w:rFonts w:ascii="Arial Narrow" w:hAnsi="Arial Narrow" w:cs="Times New Roman"/>
          <w:sz w:val="22"/>
          <w:szCs w:val="22"/>
        </w:rPr>
        <w:br/>
      </w:r>
      <w:r w:rsidRPr="00200D2F">
        <w:rPr>
          <w:rFonts w:ascii="Arial Narrow" w:hAnsi="Arial Narrow" w:cs="Times New Roman"/>
          <w:sz w:val="22"/>
          <w:szCs w:val="22"/>
        </w:rPr>
        <w:t>do nasledujúceho roku ako zostatok finančných prostriedk</w:t>
      </w:r>
      <w:r>
        <w:rPr>
          <w:rFonts w:ascii="Arial Narrow" w:hAnsi="Arial Narrow" w:cs="Times New Roman"/>
          <w:sz w:val="22"/>
          <w:szCs w:val="22"/>
        </w:rPr>
        <w:t>ov z predchádzajúcich rokov. V</w:t>
      </w:r>
      <w:r w:rsidRPr="00200D2F">
        <w:rPr>
          <w:rFonts w:ascii="Arial Narrow" w:hAnsi="Arial Narrow" w:cs="Times New Roman"/>
          <w:sz w:val="22"/>
          <w:szCs w:val="22"/>
        </w:rPr>
        <w:t xml:space="preserve"> rok</w:t>
      </w:r>
      <w:r>
        <w:rPr>
          <w:rFonts w:ascii="Arial Narrow" w:hAnsi="Arial Narrow" w:cs="Times New Roman"/>
          <w:sz w:val="22"/>
          <w:szCs w:val="22"/>
        </w:rPr>
        <w:t>u 2009</w:t>
      </w:r>
      <w:r w:rsidRPr="00200D2F">
        <w:rPr>
          <w:rFonts w:ascii="Arial Narrow" w:hAnsi="Arial Narrow" w:cs="Times New Roman"/>
          <w:sz w:val="22"/>
          <w:szCs w:val="22"/>
        </w:rPr>
        <w:t xml:space="preserve"> je príspevok od zdravotn</w:t>
      </w:r>
      <w:r>
        <w:rPr>
          <w:rFonts w:ascii="Arial Narrow" w:hAnsi="Arial Narrow" w:cs="Times New Roman"/>
          <w:sz w:val="22"/>
          <w:szCs w:val="22"/>
        </w:rPr>
        <w:t>ých poisťovní určený vo výške 16,4</w:t>
      </w:r>
      <w:r w:rsidRPr="00200D2F">
        <w:rPr>
          <w:rFonts w:ascii="Arial Narrow" w:hAnsi="Arial Narrow" w:cs="Times New Roman"/>
          <w:sz w:val="22"/>
          <w:szCs w:val="22"/>
        </w:rPr>
        <w:t xml:space="preserve"> mil. </w:t>
      </w:r>
      <w:r>
        <w:rPr>
          <w:rFonts w:ascii="Arial Narrow" w:hAnsi="Arial Narrow" w:cs="Times New Roman"/>
          <w:sz w:val="22"/>
          <w:szCs w:val="22"/>
        </w:rPr>
        <w:t>eur</w:t>
      </w:r>
      <w:r w:rsidRPr="00200D2F">
        <w:rPr>
          <w:rFonts w:ascii="Arial Narrow" w:hAnsi="Arial Narrow" w:cs="Times New Roman"/>
          <w:sz w:val="22"/>
          <w:szCs w:val="22"/>
        </w:rPr>
        <w:t xml:space="preserve">, ktorý </w:t>
      </w:r>
      <w:r w:rsidRPr="00200D2F">
        <w:rPr>
          <w:rFonts w:ascii="Arial Narrow" w:hAnsi="Arial Narrow" w:cs="Times New Roman"/>
          <w:sz w:val="22"/>
          <w:szCs w:val="22"/>
        </w:rPr>
        <w:t>vychádza z</w:t>
      </w:r>
      <w:r>
        <w:rPr>
          <w:rFonts w:ascii="Arial Narrow" w:hAnsi="Arial Narrow" w:cs="Times New Roman"/>
          <w:sz w:val="22"/>
          <w:szCs w:val="22"/>
        </w:rPr>
        <w:t xml:space="preserve"> predpokladaného </w:t>
      </w:r>
      <w:r w:rsidRPr="00200D2F">
        <w:rPr>
          <w:rFonts w:ascii="Arial Narrow" w:hAnsi="Arial Narrow" w:cs="Times New Roman"/>
          <w:sz w:val="22"/>
          <w:szCs w:val="22"/>
        </w:rPr>
        <w:t>výberu poistného zdravotnými poisťovňami za rok 200</w:t>
      </w:r>
      <w:r>
        <w:rPr>
          <w:rFonts w:ascii="Arial Narrow" w:hAnsi="Arial Narrow" w:cs="Times New Roman"/>
          <w:sz w:val="22"/>
          <w:szCs w:val="22"/>
        </w:rPr>
        <w:t>8. Predmetný príspevok pre rok 2009 zaznamenal nárast 11,9 % oproti príspevku rozpočtovanému v roku 2008 a oproti príspevku prijatému v roku 2006 predstavuje nárast 38,8 %. Príspevok na činnosť prijatý v roku 2010 sa očakáva na úrovni 18,5 mil. eur s nárastom 12,7 % a v roku 2011 vo výške 19,6 mil. eur s nárastom o 5,9 % oproti predchádzajúcemu roku</w:t>
      </w:r>
      <w:r w:rsidRPr="00200D2F">
        <w:rPr>
          <w:rFonts w:ascii="Arial Narrow" w:hAnsi="Arial Narrow" w:cs="Times New Roman"/>
          <w:sz w:val="22"/>
          <w:szCs w:val="22"/>
        </w:rPr>
        <w:t>.</w:t>
      </w:r>
      <w:r>
        <w:rPr>
          <w:rFonts w:ascii="Arial Narrow" w:hAnsi="Arial Narrow" w:cs="Times New Roman"/>
          <w:sz w:val="22"/>
          <w:szCs w:val="22"/>
        </w:rPr>
        <w:t xml:space="preserve"> </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 zostatku prostriedkov z predchádzajúcich rokov na rok 2009 vo výške 15,7 mil. eur je zahrnutý, okrem predpokladaného prevodu príspevku od zdravotných poisťovní vo výške 14,6 mil. Sk, aj zostatok prostriedkov vo výške 1,1 mil. eur, ktorý vznikol postupným personálnym a materiálovým budovaním jednotlivých útvarov úradu a v roku 2009 bude využitý na zabezpečenie kapitálových výdavkov.</w:t>
      </w:r>
    </w:p>
    <w:p w:rsidR="00C52DD5" w:rsidP="00C52DD5">
      <w:pPr>
        <w:pStyle w:val="BodyTextIndent2"/>
        <w:tabs>
          <w:tab w:val="left" w:pos="-540"/>
        </w:tabs>
        <w:spacing w:after="0" w:line="240" w:lineRule="auto"/>
        <w:ind w:left="0"/>
        <w:jc w:val="both"/>
        <w:rPr>
          <w:rFonts w:ascii="Arial Narrow" w:hAnsi="Arial Narrow" w:cs="Times New Roman"/>
          <w:sz w:val="22"/>
          <w:szCs w:val="22"/>
        </w:rPr>
      </w:pPr>
    </w:p>
    <w:p w:rsidR="00C52DD5" w:rsidP="00C52DD5">
      <w:pPr>
        <w:pStyle w:val="BodyTextIndent2"/>
        <w:tabs>
          <w:tab w:val="left" w:pos="-540"/>
        </w:tabs>
        <w:spacing w:after="0" w:line="240" w:lineRule="auto"/>
        <w:ind w:left="0"/>
        <w:jc w:val="both"/>
        <w:rPr>
          <w:rFonts w:ascii="Arial Narrow" w:hAnsi="Arial Narrow" w:cs="Times New Roman"/>
          <w:sz w:val="22"/>
          <w:szCs w:val="22"/>
        </w:rPr>
      </w:pPr>
      <w:r>
        <w:rPr>
          <w:rFonts w:ascii="Arial Narrow" w:hAnsi="Arial Narrow" w:cs="Times New Roman"/>
          <w:sz w:val="22"/>
          <w:szCs w:val="22"/>
        </w:rPr>
        <w:tab/>
        <w:t xml:space="preserve">Ďalšie príjmy súvisiace s činnosťou úradu sú rozpočtované pre rok 2009 vo výške 1 036 tis. eur. Výška uvedených príjmov je vyššia oproti schválenému rozpočtu na rok 2008 o 97,7 %, nakoľko nadväzuje na skutočnosť roku 2007, v ktorom sa predmetné príjmy stabilizovali ako aj na skutočnosť roku 2008. Z tejto sumy predstavuje 551 tis. eur príjem z činnosti </w:t>
      </w:r>
      <w:r w:rsidRPr="002A517A">
        <w:rPr>
          <w:rFonts w:ascii="Arial Narrow" w:hAnsi="Arial Narrow" w:cs="Times New Roman"/>
          <w:sz w:val="22"/>
          <w:szCs w:val="22"/>
        </w:rPr>
        <w:t>súdnolekárskych a patologickoanatomických pracovísk</w:t>
      </w:r>
      <w:r>
        <w:rPr>
          <w:rFonts w:ascii="Arial Narrow" w:hAnsi="Arial Narrow" w:cs="Times New Roman"/>
          <w:sz w:val="22"/>
          <w:szCs w:val="22"/>
        </w:rPr>
        <w:t xml:space="preserve"> (SLaPA pracoviská), 458 tis. eur príjmy z úhrad za vydané rozhodnutia v správnom konaní a 27 tis. eur príjmy z úrokov na účtoch.</w:t>
      </w:r>
    </w:p>
    <w:p w:rsidR="00C52DD5" w:rsidP="00C52DD5">
      <w:pPr>
        <w:pStyle w:val="BodyTextIndent2"/>
        <w:tabs>
          <w:tab w:val="left" w:pos="0"/>
        </w:tabs>
        <w:spacing w:after="0" w:line="240" w:lineRule="auto"/>
        <w:ind w:left="0"/>
        <w:jc w:val="both"/>
        <w:rPr>
          <w:rFonts w:ascii="Arial Narrow" w:hAnsi="Arial Narrow" w:cs="Times New Roman"/>
          <w:sz w:val="22"/>
          <w:szCs w:val="22"/>
        </w:rPr>
      </w:pPr>
      <w:r>
        <w:rPr>
          <w:rFonts w:ascii="Arial Narrow" w:hAnsi="Arial Narrow" w:cs="Times New Roman"/>
          <w:sz w:val="22"/>
          <w:szCs w:val="22"/>
        </w:rPr>
        <w:tab/>
      </w:r>
    </w:p>
    <w:p w:rsidR="00C52DD5" w:rsidP="00C52DD5">
      <w:pPr>
        <w:pStyle w:val="BodyTextIndent2"/>
        <w:tabs>
          <w:tab w:val="left" w:pos="0"/>
        </w:tabs>
        <w:spacing w:after="0" w:line="240" w:lineRule="auto"/>
        <w:ind w:left="0"/>
        <w:jc w:val="both"/>
        <w:rPr>
          <w:rFonts w:ascii="Arial Narrow" w:hAnsi="Arial Narrow" w:cs="Times New Roman"/>
          <w:sz w:val="22"/>
          <w:szCs w:val="22"/>
        </w:rPr>
      </w:pPr>
      <w:r>
        <w:rPr>
          <w:rFonts w:ascii="Arial Narrow" w:hAnsi="Arial Narrow" w:cs="Times New Roman"/>
          <w:sz w:val="22"/>
          <w:szCs w:val="22"/>
        </w:rPr>
        <w:tab/>
        <w:t xml:space="preserve">Celkové výdavky úradu na rok 2009 sa predpokladajú vo výške 16,7 mil. eur. Bežné výdavky úradu najviac ovplyvňujú mzdy, a to sumou 6,7 mil. eur. Kapitálové výdavky v sume 1,8 mil. eur sú vyčlenené na rozvoj informačného systému a predpokladanú rekonštrukciu, modernizáciu a vybavenie SLaPA pracovísk novou technikou. </w:t>
      </w:r>
    </w:p>
    <w:p w:rsidR="00C52DD5" w:rsidP="00C52DD5">
      <w:pPr>
        <w:pStyle w:val="BodyTextIndent2"/>
        <w:tabs>
          <w:tab w:val="left" w:pos="0"/>
        </w:tabs>
        <w:spacing w:after="0" w:line="240" w:lineRule="auto"/>
        <w:ind w:left="0"/>
        <w:jc w:val="both"/>
        <w:rPr>
          <w:rFonts w:ascii="Arial Narrow" w:hAnsi="Arial Narrow" w:cs="Times New Roman"/>
          <w:sz w:val="22"/>
          <w:szCs w:val="22"/>
        </w:rPr>
      </w:pPr>
    </w:p>
    <w:p w:rsidR="00C52DD5" w:rsidP="00C52DD5">
      <w:pPr>
        <w:pStyle w:val="BodyTextIndent2"/>
        <w:tabs>
          <w:tab w:val="left" w:pos="0"/>
        </w:tabs>
        <w:spacing w:after="0" w:line="240" w:lineRule="auto"/>
        <w:ind w:left="0"/>
        <w:jc w:val="both"/>
        <w:rPr>
          <w:rFonts w:ascii="Arial Narrow" w:hAnsi="Arial Narrow" w:cs="Times New Roman"/>
          <w:sz w:val="22"/>
          <w:szCs w:val="22"/>
        </w:rPr>
      </w:pPr>
      <w:r>
        <w:rPr>
          <w:rFonts w:ascii="Arial Narrow" w:hAnsi="Arial Narrow" w:cs="Times New Roman"/>
          <w:sz w:val="22"/>
          <w:szCs w:val="22"/>
        </w:rPr>
        <w:tab/>
        <w:t>Zostatok prostriedkov k 31. 12. 2009 predstavuje príspevok zdravotných poisťovní na činnosť úradu na rok 2010 pr</w:t>
      </w:r>
      <w:r>
        <w:rPr>
          <w:rFonts w:ascii="Arial Narrow" w:hAnsi="Arial Narrow" w:cs="Times New Roman"/>
          <w:sz w:val="22"/>
          <w:szCs w:val="22"/>
        </w:rPr>
        <w:t xml:space="preserve">ijatého v roku 2009. </w:t>
      </w:r>
    </w:p>
    <w:p w:rsidR="00C52DD5" w:rsidP="00C52DD5">
      <w:pPr>
        <w:jc w:val="both"/>
        <w:outlineLvl w:val="0"/>
        <w:rPr>
          <w:rFonts w:ascii="Arial Narrow" w:hAnsi="Arial Narrow" w:cs="Times New Roman"/>
          <w:sz w:val="22"/>
          <w:szCs w:val="22"/>
        </w:rPr>
      </w:pPr>
    </w:p>
    <w:p w:rsidR="00C52DD5" w:rsidRPr="00AC5B52" w:rsidP="00C52DD5">
      <w:pPr>
        <w:ind w:firstLine="708"/>
        <w:jc w:val="both"/>
        <w:outlineLvl w:val="0"/>
        <w:rPr>
          <w:rFonts w:ascii="Arial Narrow" w:hAnsi="Arial Narrow" w:cs="Times New Roman"/>
          <w:sz w:val="22"/>
          <w:szCs w:val="22"/>
        </w:rPr>
      </w:pPr>
      <w:r w:rsidRPr="00AC5B52">
        <w:rPr>
          <w:rFonts w:ascii="Arial Narrow" w:hAnsi="Arial Narrow" w:cs="Times New Roman"/>
          <w:sz w:val="22"/>
          <w:szCs w:val="22"/>
        </w:rPr>
        <w:t>Vývoj príjmovej a výdavkovej časti rozpočtu úradu na roky 2009 až 2011 je nasledovný:</w:t>
      </w:r>
    </w:p>
    <w:p w:rsidR="00C52DD5" w:rsidRPr="00AC5B52" w:rsidP="00C52DD5">
      <w:pPr>
        <w:jc w:val="both"/>
        <w:rPr>
          <w:rFonts w:ascii="Arial Narrow" w:hAnsi="Arial Narrow" w:cs="Times New Roman"/>
          <w:sz w:val="22"/>
          <w:szCs w:val="22"/>
        </w:rPr>
      </w:pPr>
    </w:p>
    <w:tbl>
      <w:tblPr>
        <w:tblW w:w="9133" w:type="dxa"/>
        <w:tblLayout w:type="fixed"/>
        <w:tblCellMar>
          <w:left w:w="70" w:type="dxa"/>
          <w:right w:w="70" w:type="dxa"/>
        </w:tblCellMar>
      </w:tblPr>
      <w:tblGrid>
        <w:gridCol w:w="4060"/>
        <w:gridCol w:w="1268"/>
        <w:gridCol w:w="1268"/>
        <w:gridCol w:w="1268"/>
        <w:gridCol w:w="1269"/>
      </w:tblGrid>
      <w:tr>
        <w:tblPrEx>
          <w:tblW w:w="9133" w:type="dxa"/>
          <w:tblLayout w:type="fixed"/>
          <w:tblCellMar>
            <w:left w:w="70" w:type="dxa"/>
            <w:right w:w="70" w:type="dxa"/>
          </w:tblCellMar>
        </w:tblPrEx>
        <w:trPr>
          <w:trHeight w:val="227"/>
        </w:trPr>
        <w:tc>
          <w:tcPr>
            <w:tcW w:w="4060" w:type="dxa"/>
            <w:tcBorders>
              <w:top w:val="single" w:sz="8" w:space="0" w:color="auto"/>
              <w:left w:val="single" w:sz="8" w:space="0" w:color="auto"/>
              <w:bottom w:val="single" w:sz="4" w:space="0" w:color="auto"/>
              <w:right w:val="single" w:sz="8" w:space="0" w:color="auto"/>
              <w:tl2br w:val="nil"/>
              <w:tr2bl w:val="nil"/>
            </w:tcBorders>
            <w:shd w:val="clear" w:color="auto" w:fill="000000"/>
            <w:textDirection w:val="lrTb"/>
            <w:vAlign w:val="bottom"/>
          </w:tcPr>
          <w:p w:rsidR="00C52DD5" w:rsidRPr="00AC5B52" w:rsidP="00C52DD5">
            <w:pPr>
              <w:jc w:val="both"/>
              <w:rPr>
                <w:rFonts w:ascii="Arial Narrow" w:hAnsi="Arial Narrow" w:cs="Arial"/>
                <w:b/>
                <w:color w:val="FFFFFF"/>
                <w:sz w:val="20"/>
              </w:rPr>
            </w:pPr>
            <w:r w:rsidRPr="00AC5B52">
              <w:rPr>
                <w:rFonts w:ascii="Arial Narrow" w:hAnsi="Arial Narrow" w:cs="Arial"/>
                <w:b/>
                <w:color w:val="FFFFFF"/>
                <w:sz w:val="20"/>
              </w:rPr>
              <w:t xml:space="preserve"> </w:t>
            </w:r>
            <w:r>
              <w:rPr>
                <w:rFonts w:ascii="Arial Narrow" w:hAnsi="Arial Narrow" w:cs="Arial"/>
                <w:b/>
                <w:color w:val="FFFFFF"/>
                <w:sz w:val="20"/>
              </w:rPr>
              <w:t>(</w:t>
            </w:r>
            <w:r w:rsidRPr="00AC5B52">
              <w:rPr>
                <w:rFonts w:ascii="Arial Narrow" w:hAnsi="Arial Narrow" w:cs="Arial"/>
                <w:b/>
                <w:color w:val="FFFFFF"/>
                <w:sz w:val="20"/>
              </w:rPr>
              <w:t xml:space="preserve">v </w:t>
            </w:r>
            <w:r>
              <w:rPr>
                <w:rFonts w:ascii="Arial Narrow" w:hAnsi="Arial Narrow" w:cs="Arial"/>
                <w:b/>
                <w:color w:val="FFFFFF"/>
                <w:sz w:val="20"/>
              </w:rPr>
              <w:t>tis. eur</w:t>
            </w:r>
            <w:r w:rsidRPr="00AC5B52">
              <w:rPr>
                <w:rFonts w:ascii="Arial Narrow" w:hAnsi="Arial Narrow" w:cs="Arial"/>
                <w:b/>
                <w:color w:val="FFFFFF"/>
                <w:sz w:val="20"/>
              </w:rPr>
              <w:t>)</w:t>
            </w:r>
          </w:p>
        </w:tc>
        <w:tc>
          <w:tcPr>
            <w:tcW w:w="1268" w:type="dxa"/>
            <w:tcBorders>
              <w:top w:val="single" w:sz="8"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200</w:t>
            </w:r>
            <w:r>
              <w:rPr>
                <w:rFonts w:ascii="Arial Narrow" w:hAnsi="Arial Narrow" w:cs="Arial"/>
                <w:b/>
                <w:bCs/>
                <w:color w:val="FFFFFF"/>
                <w:sz w:val="20"/>
              </w:rPr>
              <w:t>8</w:t>
            </w:r>
          </w:p>
        </w:tc>
        <w:tc>
          <w:tcPr>
            <w:tcW w:w="1268"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200</w:t>
            </w:r>
            <w:r>
              <w:rPr>
                <w:rFonts w:ascii="Arial Narrow" w:hAnsi="Arial Narrow" w:cs="Arial"/>
                <w:b/>
                <w:bCs/>
                <w:color w:val="FFFFFF"/>
                <w:sz w:val="20"/>
              </w:rPr>
              <w:t>9</w:t>
            </w:r>
          </w:p>
        </w:tc>
        <w:tc>
          <w:tcPr>
            <w:tcW w:w="1268"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w:t>
            </w:r>
            <w:r>
              <w:rPr>
                <w:rFonts w:ascii="Arial Narrow" w:hAnsi="Arial Narrow" w:cs="Arial"/>
                <w:b/>
                <w:bCs/>
                <w:color w:val="FFFFFF"/>
                <w:sz w:val="20"/>
              </w:rPr>
              <w:t>10</w:t>
            </w:r>
          </w:p>
        </w:tc>
        <w:tc>
          <w:tcPr>
            <w:tcW w:w="1269" w:type="dxa"/>
            <w:tcBorders>
              <w:top w:val="single" w:sz="8" w:space="0" w:color="auto"/>
              <w:left w:val="nil"/>
              <w:bottom w:val="single" w:sz="4" w:space="0" w:color="auto"/>
              <w:right w:val="single" w:sz="8" w:space="0" w:color="auto"/>
              <w:tl2br w:val="nil"/>
              <w:tr2bl w:val="nil"/>
            </w:tcBorders>
            <w:shd w:val="clear" w:color="auto" w:fill="000000"/>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201</w:t>
            </w:r>
            <w:r>
              <w:rPr>
                <w:rFonts w:ascii="Arial Narrow" w:hAnsi="Arial Narrow" w:cs="Arial"/>
                <w:b/>
                <w:bCs/>
                <w:color w:val="FFFFFF"/>
                <w:sz w:val="20"/>
              </w:rPr>
              <w:t>1</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Príjmy úradu spolu</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31 041</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33 127</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35 964</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39 241</w:t>
            </w:r>
          </w:p>
        </w:tc>
      </w:tr>
      <w:tr>
        <w:tblPrEx>
          <w:tblW w:w="9133" w:type="dxa"/>
          <w:tblLayout w:type="fixed"/>
          <w:tblCellMar>
            <w:left w:w="70" w:type="dxa"/>
            <w:right w:w="70" w:type="dxa"/>
          </w:tblCellMar>
        </w:tblPrEx>
        <w:trPr>
          <w:trHeight w:val="227"/>
        </w:trPr>
        <w:tc>
          <w:tcPr>
            <w:tcW w:w="9133" w:type="dxa"/>
            <w:gridSpan w:val="5"/>
            <w:tcBorders>
              <w:top w:val="nil"/>
              <w:left w:val="single" w:sz="8" w:space="0" w:color="auto"/>
              <w:bottom w:val="single" w:sz="4" w:space="0" w:color="auto"/>
              <w:right w:val="single" w:sz="8" w:space="0" w:color="auto"/>
              <w:tl2br w:val="nil"/>
              <w:tr2bl w:val="nil"/>
            </w:tcBorders>
            <w:textDirection w:val="lrTb"/>
            <w:vAlign w:val="bottom"/>
          </w:tcPr>
          <w:p w:rsidR="00C52DD5" w:rsidRPr="00AC5B52" w:rsidP="00C52DD5">
            <w:pPr>
              <w:rPr>
                <w:rFonts w:ascii="Arial Narrow" w:hAnsi="Arial Narrow" w:cs="Arial"/>
                <w:sz w:val="20"/>
              </w:rPr>
            </w:pPr>
            <w:r w:rsidRPr="00AC5B52">
              <w:rPr>
                <w:rFonts w:ascii="Arial Narrow" w:hAnsi="Arial Narrow" w:cs="Arial"/>
                <w:b/>
                <w:i/>
                <w:sz w:val="20"/>
              </w:rPr>
              <w:t>z toho:</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bottom"/>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 xml:space="preserve">nedaňové príjmy </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524</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1 036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1 103</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1 197</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transfery v rá</w:t>
            </w:r>
            <w:r w:rsidRPr="00AC5B52">
              <w:rPr>
                <w:rFonts w:ascii="Arial Narrow" w:hAnsi="Arial Narrow" w:cs="Arial"/>
                <w:sz w:val="20"/>
              </w:rPr>
              <w:t>mci VS, z toho: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14 640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16 386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18 475</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19 569</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ind w:firstLine="400"/>
              <w:rPr>
                <w:rFonts w:ascii="Arial Narrow" w:hAnsi="Arial Narrow" w:cs="Arial"/>
                <w:sz w:val="20"/>
              </w:rPr>
            </w:pPr>
            <w:r w:rsidRPr="00AC5B52">
              <w:rPr>
                <w:rFonts w:ascii="Arial Narrow" w:hAnsi="Arial Narrow" w:cs="Arial"/>
                <w:sz w:val="20"/>
              </w:rPr>
              <w:t xml:space="preserve">             zo zdravotných poisťovní</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14 640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16 386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18 475</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19 569</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zostatok prostriedkov z predch. rokov (FO)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15 877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15 705</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16 386</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18 475</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nil"/>
              <w:tl2br w:val="nil"/>
              <w:tr2bl w:val="nil"/>
            </w:tcBorders>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Výdavky úradu spolu</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16 136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16 741</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17 489</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19 672</w:t>
            </w:r>
          </w:p>
        </w:tc>
      </w:tr>
      <w:tr>
        <w:tblPrEx>
          <w:tblW w:w="9133" w:type="dxa"/>
          <w:tblLayout w:type="fixed"/>
          <w:tblCellMar>
            <w:left w:w="70" w:type="dxa"/>
            <w:right w:w="70" w:type="dxa"/>
          </w:tblCellMar>
        </w:tblPrEx>
        <w:trPr>
          <w:trHeight w:val="227"/>
        </w:trPr>
        <w:tc>
          <w:tcPr>
            <w:tcW w:w="9133" w:type="dxa"/>
            <w:gridSpan w:val="5"/>
            <w:tcBorders>
              <w:top w:val="nil"/>
              <w:left w:val="single" w:sz="8" w:space="0" w:color="auto"/>
              <w:bottom w:val="single" w:sz="4" w:space="0" w:color="auto"/>
              <w:right w:val="single" w:sz="8" w:space="0" w:color="auto"/>
              <w:tl2br w:val="nil"/>
              <w:tr2bl w:val="nil"/>
            </w:tcBorders>
            <w:textDirection w:val="lrTb"/>
            <w:vAlign w:val="center"/>
          </w:tcPr>
          <w:p w:rsidR="00C52DD5" w:rsidRPr="00AC5B52" w:rsidP="00C52DD5">
            <w:pPr>
              <w:rPr>
                <w:rFonts w:ascii="Arial Narrow" w:hAnsi="Arial Narrow" w:cs="Arial"/>
                <w:sz w:val="20"/>
              </w:rPr>
            </w:pPr>
            <w:r w:rsidRPr="00AC5B52">
              <w:rPr>
                <w:rFonts w:ascii="Arial Narrow" w:hAnsi="Arial Narrow" w:cs="Arial"/>
                <w:b/>
                <w:i/>
                <w:sz w:val="20"/>
              </w:rPr>
              <w:t>z toho:</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bežné výdavky na správne činnosti úradu</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13 290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14 974</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16 207</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17 676</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kapitálové výdavky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2 846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1 767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1 282</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1 996</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Celkový prebytok</w:t>
            </w:r>
            <w:r>
              <w:rPr>
                <w:rFonts w:ascii="Arial Narrow" w:hAnsi="Arial Narrow" w:cs="Arial"/>
                <w:b/>
                <w:bCs/>
                <w:i/>
                <w:iCs/>
                <w:sz w:val="20"/>
              </w:rPr>
              <w:t xml:space="preserve"> </w:t>
            </w:r>
            <w:r w:rsidRPr="00AC5B52">
              <w:rPr>
                <w:rFonts w:ascii="Arial Narrow" w:hAnsi="Arial Narrow" w:cs="Arial"/>
                <w:b/>
                <w:bCs/>
                <w:i/>
                <w:iCs/>
                <w:sz w:val="20"/>
              </w:rPr>
              <w:t xml:space="preserve"> úradu</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14 905</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16 386</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18 475</w:t>
            </w:r>
          </w:p>
        </w:tc>
        <w:tc>
          <w:tcPr>
            <w:tcW w:w="1269"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19 569</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xml:space="preserve"> vylúčenie finančných operácií</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-15 877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-15 705</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-16 386</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-18 475</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w:t>
            </w:r>
            <w:r w:rsidRPr="00AC5B52">
              <w:rPr>
                <w:rFonts w:ascii="Arial Narrow" w:hAnsi="Arial Narrow" w:cs="Times New Roman"/>
                <w:b/>
                <w:i/>
                <w:sz w:val="20"/>
              </w:rPr>
              <w:t>z toho: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sz w:val="20"/>
              </w:rPr>
            </w:pP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vylúčenie príjmových FO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-15 877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-15 705</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-16 386</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-18 475</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nil"/>
              <w:tl2br w:val="nil"/>
              <w:tr2bl w:val="nil"/>
            </w:tcBorders>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8" w:space="0" w:color="auto"/>
              <w:right w:val="single" w:sz="4" w:space="0" w:color="auto"/>
              <w:tl2br w:val="nil"/>
              <w:tr2bl w:val="nil"/>
            </w:tcBorders>
            <w:shd w:val="clear" w:color="auto" w:fill="C0C0C0"/>
            <w:noWrap/>
            <w:textDirection w:val="lrTb"/>
            <w:vAlign w:val="center"/>
          </w:tcPr>
          <w:p w:rsidR="00C52DD5" w:rsidRPr="00AC5B52" w:rsidP="00C52DD5">
            <w:pPr>
              <w:rPr>
                <w:rFonts w:ascii="Arial Narrow" w:hAnsi="Arial Narrow" w:cs="Arial"/>
                <w:b/>
                <w:bCs/>
                <w:i/>
                <w:iCs/>
                <w:sz w:val="20"/>
              </w:rPr>
            </w:pPr>
            <w:r>
              <w:rPr>
                <w:rFonts w:ascii="Arial Narrow" w:hAnsi="Arial Narrow" w:cs="Arial"/>
                <w:b/>
                <w:bCs/>
                <w:i/>
                <w:iCs/>
                <w:sz w:val="20"/>
              </w:rPr>
              <w:t xml:space="preserve">Prebytok / </w:t>
            </w:r>
            <w:r w:rsidRPr="00AC5B52">
              <w:rPr>
                <w:rFonts w:ascii="Arial Narrow" w:hAnsi="Arial Narrow" w:cs="Arial"/>
                <w:b/>
                <w:bCs/>
                <w:i/>
                <w:iCs/>
                <w:sz w:val="20"/>
              </w:rPr>
              <w:t>schodok úradu   (ESA 95)</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-972</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681</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2 089</w:t>
            </w:r>
          </w:p>
        </w:tc>
        <w:tc>
          <w:tcPr>
            <w:tcW w:w="1269"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1 094</w:t>
            </w:r>
          </w:p>
        </w:tc>
      </w:tr>
    </w:tbl>
    <w:p w:rsidR="00C52DD5" w:rsidRPr="00AC5B52"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5C1768" w:rsidP="00C52DD5">
      <w:pPr>
        <w:rPr>
          <w:rFonts w:ascii="Arial Narrow" w:hAnsi="Arial Narrow" w:cs="Times New Roman"/>
          <w:b/>
          <w:szCs w:val="28"/>
        </w:rPr>
      </w:pPr>
    </w:p>
    <w:p w:rsidR="00C52DD5" w:rsidRPr="008B39DA" w:rsidP="00C52DD5">
      <w:pPr>
        <w:rPr>
          <w:rFonts w:ascii="Arial Narrow" w:hAnsi="Arial Narrow" w:cs="Times New Roman"/>
          <w:b/>
          <w:szCs w:val="28"/>
        </w:rPr>
      </w:pPr>
      <w:r>
        <w:rPr>
          <w:rFonts w:ascii="Arial Narrow" w:hAnsi="Arial Narrow" w:cs="Times New Roman"/>
          <w:b/>
          <w:szCs w:val="28"/>
        </w:rPr>
        <w:t>9</w:t>
      </w:r>
      <w:r w:rsidRPr="008B39DA">
        <w:rPr>
          <w:rFonts w:ascii="Arial Narrow" w:hAnsi="Arial Narrow" w:cs="Times New Roman"/>
          <w:b/>
          <w:szCs w:val="28"/>
        </w:rPr>
        <w:t>. Verejné vysoké školy</w:t>
      </w:r>
    </w:p>
    <w:p w:rsidR="00C52DD5" w:rsidP="00C52DD5">
      <w:pPr>
        <w:rPr>
          <w:rFonts w:ascii="Arial Narrow" w:hAnsi="Arial Narrow" w:cs="Times New Roman"/>
          <w:b/>
          <w:sz w:val="28"/>
          <w:szCs w:val="28"/>
          <w:highlight w:val="yellow"/>
        </w:rPr>
      </w:pPr>
    </w:p>
    <w:p w:rsidR="00C52DD5" w:rsidP="005C1768">
      <w:pPr>
        <w:ind w:firstLine="708"/>
        <w:jc w:val="both"/>
        <w:outlineLvl w:val="0"/>
        <w:rPr>
          <w:rFonts w:ascii="Arial Narrow" w:hAnsi="Arial Narrow" w:cs="Times New Roman"/>
          <w:sz w:val="22"/>
          <w:szCs w:val="22"/>
        </w:rPr>
      </w:pPr>
      <w:r w:rsidRPr="00342DC2">
        <w:rPr>
          <w:rFonts w:ascii="Arial Narrow" w:hAnsi="Arial Narrow" w:cs="Times New Roman"/>
          <w:sz w:val="22"/>
          <w:szCs w:val="22"/>
        </w:rPr>
        <w:t>Vývoj príjmovej a výdavkovej č</w:t>
      </w:r>
      <w:r>
        <w:rPr>
          <w:rFonts w:ascii="Arial Narrow" w:hAnsi="Arial Narrow" w:cs="Times New Roman"/>
          <w:sz w:val="22"/>
          <w:szCs w:val="22"/>
        </w:rPr>
        <w:t>asti rozpočtu verejných vysokých škôl (ďalej len „VVŠ“) na roky 2</w:t>
      </w:r>
      <w:r>
        <w:rPr>
          <w:rFonts w:ascii="Arial Narrow" w:hAnsi="Arial Narrow" w:cs="Times New Roman"/>
          <w:sz w:val="22"/>
          <w:szCs w:val="22"/>
        </w:rPr>
        <w:t>009</w:t>
      </w:r>
      <w:r w:rsidRPr="00342DC2">
        <w:rPr>
          <w:rFonts w:ascii="Arial Narrow" w:hAnsi="Arial Narrow" w:cs="Times New Roman"/>
          <w:sz w:val="22"/>
          <w:szCs w:val="22"/>
        </w:rPr>
        <w:t xml:space="preserve"> až 201</w:t>
      </w:r>
      <w:r>
        <w:rPr>
          <w:rFonts w:ascii="Arial Narrow" w:hAnsi="Arial Narrow" w:cs="Times New Roman"/>
          <w:sz w:val="22"/>
          <w:szCs w:val="22"/>
        </w:rPr>
        <w:t>1</w:t>
      </w:r>
      <w:r w:rsidRPr="00342DC2">
        <w:rPr>
          <w:rFonts w:ascii="Arial Narrow" w:hAnsi="Arial Narrow" w:cs="Times New Roman"/>
          <w:sz w:val="22"/>
          <w:szCs w:val="22"/>
        </w:rPr>
        <w:t xml:space="preserve"> je nasledovný:</w:t>
      </w:r>
    </w:p>
    <w:p w:rsidR="00C52DD5" w:rsidRPr="00526748" w:rsidP="00C52DD5">
      <w:pPr>
        <w:ind w:left="7788"/>
        <w:rPr>
          <w:rFonts w:ascii="Arial Narrow" w:hAnsi="Arial Narrow" w:cs="Times New Roman"/>
          <w:sz w:val="18"/>
          <w:szCs w:val="18"/>
        </w:rPr>
      </w:pPr>
      <w:r w:rsidRPr="00526748">
        <w:rPr>
          <w:rFonts w:ascii="Arial Narrow" w:hAnsi="Arial Narrow" w:cs="Times New Roman"/>
          <w:sz w:val="22"/>
          <w:szCs w:val="22"/>
        </w:rPr>
        <w:t xml:space="preserve">      </w:t>
      </w:r>
      <w:r w:rsidRPr="00526748">
        <w:rPr>
          <w:rFonts w:ascii="Arial Narrow" w:hAnsi="Arial Narrow" w:cs="Times New Roman"/>
          <w:sz w:val="18"/>
          <w:szCs w:val="18"/>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528"/>
        <w:gridCol w:w="1440"/>
        <w:gridCol w:w="1440"/>
        <w:gridCol w:w="1440"/>
        <w:gridCol w:w="1440"/>
      </w:tblGrid>
      <w:tr>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26748" w:rsidP="00C52DD5">
            <w:pPr>
              <w:rPr>
                <w:rFonts w:ascii="Arial Narrow" w:hAnsi="Arial Narrow" w:cs="Times New Roman"/>
                <w:b/>
                <w:color w:val="FFFFFF"/>
                <w:sz w:val="20"/>
              </w:rPr>
            </w:pPr>
            <w:r w:rsidRPr="00526748">
              <w:rPr>
                <w:rFonts w:ascii="Arial Narrow" w:hAnsi="Arial Narrow" w:cs="Times New Roman"/>
                <w:b/>
                <w:color w:val="FFFFFF"/>
                <w:sz w:val="20"/>
              </w:rPr>
              <w:t xml:space="preserve">(v </w:t>
            </w:r>
            <w:r>
              <w:rPr>
                <w:rFonts w:ascii="Arial Narrow" w:hAnsi="Arial Narrow" w:cs="Times New Roman"/>
                <w:b/>
                <w:color w:val="FFFFFF"/>
                <w:sz w:val="20"/>
              </w:rPr>
              <w:t>tis. eur</w:t>
            </w:r>
            <w:r w:rsidRPr="00526748">
              <w:rPr>
                <w:rFonts w:ascii="Arial Narrow" w:hAnsi="Arial Narrow" w:cs="Times New Roman"/>
                <w:b/>
                <w:color w:val="FFFFFF"/>
                <w:sz w:val="20"/>
              </w:rPr>
              <w:t>)</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26748" w:rsidP="00C52DD5">
            <w:pPr>
              <w:jc w:val="center"/>
              <w:rPr>
                <w:rFonts w:ascii="Arial Narrow" w:hAnsi="Arial Narrow" w:cs="Times New Roman"/>
                <w:b/>
                <w:color w:val="FFFFFF"/>
                <w:sz w:val="20"/>
              </w:rPr>
            </w:pPr>
            <w:r w:rsidRPr="00526748">
              <w:rPr>
                <w:rFonts w:ascii="Arial Narrow" w:hAnsi="Arial Narrow" w:cs="Times New Roman"/>
                <w:b/>
                <w:color w:val="FFFFFF"/>
                <w:sz w:val="20"/>
              </w:rPr>
              <w:t>200</w:t>
            </w:r>
            <w:r>
              <w:rPr>
                <w:rFonts w:ascii="Arial Narrow" w:hAnsi="Arial Narrow" w:cs="Times New Roman"/>
                <w:b/>
                <w:color w:val="FFFFFF"/>
                <w:sz w:val="20"/>
              </w:rPr>
              <w:t>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26748" w:rsidP="00C52DD5">
            <w:pPr>
              <w:jc w:val="center"/>
              <w:rPr>
                <w:rFonts w:ascii="Arial Narrow" w:hAnsi="Arial Narrow" w:cs="Times New Roman"/>
                <w:b/>
                <w:color w:val="FFFFFF"/>
                <w:sz w:val="20"/>
              </w:rPr>
            </w:pPr>
            <w:r w:rsidRPr="00526748">
              <w:rPr>
                <w:rFonts w:ascii="Arial Narrow" w:hAnsi="Arial Narrow" w:cs="Times New Roman"/>
                <w:b/>
                <w:color w:val="FFFFFF"/>
                <w:sz w:val="20"/>
              </w:rPr>
              <w:t>200</w:t>
            </w:r>
            <w:r>
              <w:rPr>
                <w:rFonts w:ascii="Arial Narrow" w:hAnsi="Arial Narrow" w:cs="Times New Roman"/>
                <w:b/>
                <w:color w:val="FFFFFF"/>
                <w:sz w:val="20"/>
              </w:rPr>
              <w:t>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26748" w:rsidP="00C52DD5">
            <w:pPr>
              <w:jc w:val="center"/>
              <w:rPr>
                <w:rFonts w:ascii="Arial Narrow" w:hAnsi="Arial Narrow" w:cs="Times New Roman"/>
                <w:b/>
                <w:color w:val="FFFFFF"/>
                <w:sz w:val="20"/>
              </w:rPr>
            </w:pPr>
            <w:r w:rsidRPr="00526748">
              <w:rPr>
                <w:rFonts w:ascii="Arial Narrow" w:hAnsi="Arial Narrow" w:cs="Times New Roman"/>
                <w:b/>
                <w:color w:val="FFFFFF"/>
                <w:sz w:val="20"/>
              </w:rPr>
              <w:t xml:space="preserve"> 20</w:t>
            </w:r>
            <w:r>
              <w:rPr>
                <w:rFonts w:ascii="Arial Narrow" w:hAnsi="Arial Narrow" w:cs="Times New Roman"/>
                <w:b/>
                <w:color w:val="FFFFFF"/>
                <w:sz w:val="20"/>
              </w:rPr>
              <w:t>10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526748" w:rsidP="00C52DD5">
            <w:pPr>
              <w:jc w:val="center"/>
              <w:rPr>
                <w:rFonts w:ascii="Arial Narrow" w:hAnsi="Arial Narrow" w:cs="Times New Roman"/>
                <w:b/>
                <w:color w:val="FFFFFF"/>
                <w:sz w:val="20"/>
              </w:rPr>
            </w:pPr>
            <w:r w:rsidRPr="00526748">
              <w:rPr>
                <w:rFonts w:ascii="Arial Narrow" w:hAnsi="Arial Narrow" w:cs="Times New Roman"/>
                <w:b/>
                <w:color w:val="FFFFFF"/>
                <w:sz w:val="20"/>
              </w:rPr>
              <w:t xml:space="preserve"> 201</w:t>
            </w:r>
            <w:r>
              <w:rPr>
                <w:rFonts w:ascii="Arial Narrow" w:hAnsi="Arial Narrow" w:cs="Times New Roman"/>
                <w:b/>
                <w:color w:val="FFFFFF"/>
                <w:sz w:val="20"/>
              </w:rPr>
              <w:t>1</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rPr>
                <w:rFonts w:ascii="Arial Narrow" w:hAnsi="Arial Narrow" w:cs="Times New Roman"/>
                <w:b/>
                <w:i/>
                <w:sz w:val="20"/>
              </w:rPr>
            </w:pPr>
            <w:r w:rsidRPr="00526748">
              <w:rPr>
                <w:rFonts w:ascii="Arial Narrow" w:hAnsi="Arial Narrow" w:cs="Times New Roman"/>
                <w:b/>
                <w:i/>
                <w:sz w:val="20"/>
              </w:rPr>
              <w:t>Príjmy  VVŠ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612 720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798 736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913 206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967 005</w:t>
            </w:r>
          </w:p>
        </w:tc>
      </w:tr>
      <w:tr>
        <w:tblPrEx>
          <w:tblW w:w="9288" w:type="dxa"/>
        </w:tblPrEx>
        <w:trPr>
          <w:trHeight w:hRule="auto" w:val="0"/>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both"/>
              <w:rPr>
                <w:rFonts w:ascii="Arial Narrow" w:hAnsi="Arial Narrow" w:cs="Times New Roman"/>
                <w:sz w:val="20"/>
              </w:rPr>
            </w:pPr>
            <w:r w:rsidRPr="00526748">
              <w:rPr>
                <w:rFonts w:ascii="Arial Narrow" w:hAnsi="Arial Narrow" w:cs="Times New Roman"/>
                <w:b/>
                <w:i/>
                <w:sz w:val="20"/>
              </w:rPr>
              <w:t>z  toho:</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37"/>
              </w:numPr>
              <w:tabs>
                <w:tab w:val="left" w:pos="360"/>
              </w:tabs>
              <w:rPr>
                <w:rFonts w:ascii="Arial Narrow" w:hAnsi="Arial Narrow" w:cs="Times New Roman"/>
                <w:sz w:val="20"/>
              </w:rPr>
            </w:pPr>
            <w:r w:rsidRPr="00526748">
              <w:rPr>
                <w:rFonts w:ascii="Arial Narrow" w:hAnsi="Arial Narrow" w:cs="Times New Roman"/>
                <w:sz w:val="20"/>
              </w:rPr>
              <w:t>príjmy z podnikania a vlast. majetku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561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732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2 326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2 342</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37"/>
              </w:numPr>
              <w:tabs>
                <w:tab w:val="left" w:pos="360"/>
              </w:tabs>
              <w:rPr>
                <w:rFonts w:ascii="Arial Narrow" w:hAnsi="Arial Narrow" w:cs="Times New Roman"/>
                <w:sz w:val="20"/>
              </w:rPr>
            </w:pPr>
            <w:r w:rsidRPr="00526748">
              <w:rPr>
                <w:rFonts w:ascii="Arial Narrow" w:hAnsi="Arial Narrow" w:cs="Times New Roman"/>
                <w:sz w:val="20"/>
              </w:rPr>
              <w:t>admin. poplatky a iné popl. a platby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42 460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61 105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66 176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69 559</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37"/>
              </w:numPr>
              <w:tabs>
                <w:tab w:val="left" w:pos="360"/>
              </w:tabs>
              <w:rPr>
                <w:rFonts w:ascii="Arial Narrow" w:hAnsi="Arial Narrow" w:cs="Times New Roman"/>
                <w:sz w:val="20"/>
              </w:rPr>
            </w:pPr>
            <w:r w:rsidRPr="00526748">
              <w:rPr>
                <w:rFonts w:ascii="Arial Narrow" w:hAnsi="Arial Narrow" w:cs="Times New Roman"/>
                <w:sz w:val="20"/>
              </w:rPr>
              <w:t>kapitálové príjmy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100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54</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6"/>
              </w:numPr>
              <w:tabs>
                <w:tab w:val="left" w:pos="360"/>
              </w:tabs>
              <w:rPr>
                <w:rFonts w:ascii="Arial Narrow" w:hAnsi="Arial Narrow" w:cs="Times New Roman"/>
                <w:sz w:val="20"/>
              </w:rPr>
            </w:pPr>
            <w:r w:rsidRPr="00526748">
              <w:rPr>
                <w:rFonts w:ascii="Arial Narrow" w:hAnsi="Arial Narrow" w:cs="Times New Roman"/>
                <w:sz w:val="20"/>
              </w:rPr>
              <w:t>úroky z tuz. úverov, pôžičiek, NFV</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153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 xml:space="preserve">188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188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188</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6"/>
              </w:numPr>
              <w:tabs>
                <w:tab w:val="left" w:pos="360"/>
              </w:tabs>
              <w:rPr>
                <w:rFonts w:ascii="Arial Narrow" w:hAnsi="Arial Narrow" w:cs="Times New Roman"/>
                <w:sz w:val="20"/>
              </w:rPr>
            </w:pPr>
            <w:r w:rsidRPr="00526748">
              <w:rPr>
                <w:rFonts w:ascii="Arial Narrow" w:hAnsi="Arial Narrow" w:cs="Times New Roman"/>
                <w:sz w:val="20"/>
              </w:rPr>
              <w:t>iné nedaňové príjmy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515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561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561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561</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6"/>
              </w:numPr>
              <w:tabs>
                <w:tab w:val="left" w:pos="360"/>
              </w:tabs>
              <w:rPr>
                <w:rFonts w:ascii="Arial Narrow" w:hAnsi="Arial Narrow" w:cs="Times New Roman"/>
                <w:sz w:val="20"/>
              </w:rPr>
            </w:pPr>
            <w:r w:rsidRPr="00526748">
              <w:rPr>
                <w:rFonts w:ascii="Arial Narrow" w:hAnsi="Arial Narrow" w:cs="Times New Roman"/>
                <w:sz w:val="20"/>
              </w:rPr>
              <w:t>transfery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470 401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644 580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748 693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797 753</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6"/>
              </w:numPr>
              <w:tabs>
                <w:tab w:val="left" w:pos="360"/>
              </w:tabs>
              <w:rPr>
                <w:rFonts w:ascii="Arial Narrow" w:hAnsi="Arial Narrow" w:cs="Times New Roman"/>
                <w:sz w:val="20"/>
              </w:rPr>
            </w:pPr>
            <w:r w:rsidRPr="00526748">
              <w:rPr>
                <w:rFonts w:ascii="Arial Narrow" w:hAnsi="Arial Narrow" w:cs="Times New Roman"/>
                <w:sz w:val="20"/>
              </w:rPr>
              <w:t xml:space="preserve">z ostat. fin. operácií  (FO)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98 530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91 516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95 208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96 548</w:t>
            </w:r>
          </w:p>
        </w:tc>
      </w:tr>
      <w:tr>
        <w:tblPrEx>
          <w:tblW w:w="9288" w:type="dxa"/>
        </w:tblPrEx>
        <w:trPr>
          <w:trHeight w:hRule="auto" w:val="0"/>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both"/>
              <w:rPr>
                <w:rFonts w:ascii="Arial Narrow" w:hAnsi="Arial Narrow" w:cs="Times New Roman"/>
                <w:sz w:val="20"/>
              </w:rPr>
            </w:pPr>
            <w:r w:rsidRPr="00526748">
              <w:rPr>
                <w:rFonts w:ascii="Arial Narrow" w:hAnsi="Arial Narrow" w:cs="Times New Roman"/>
                <w:sz w:val="20"/>
              </w:rPr>
              <w:t xml:space="preserve"> </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rPr>
                <w:rFonts w:ascii="Arial Narrow" w:hAnsi="Arial Narrow" w:cs="Times New Roman"/>
                <w:b/>
                <w:i/>
                <w:sz w:val="20"/>
              </w:rPr>
            </w:pPr>
            <w:r w:rsidRPr="00526748">
              <w:rPr>
                <w:rFonts w:ascii="Arial Narrow" w:hAnsi="Arial Narrow" w:cs="Times New Roman"/>
                <w:b/>
                <w:i/>
                <w:sz w:val="20"/>
              </w:rPr>
              <w:t>Výdavky  VVŠ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512 415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703 528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816 658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859 726</w:t>
            </w:r>
          </w:p>
        </w:tc>
      </w:tr>
      <w:tr>
        <w:tblPrEx>
          <w:tblW w:w="9288" w:type="dxa"/>
        </w:tblPrEx>
        <w:trPr>
          <w:trHeight w:hRule="auto" w:val="0"/>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rPr>
                <w:rFonts w:ascii="Arial Narrow" w:hAnsi="Arial Narrow" w:cs="Times New Roman"/>
                <w:b/>
                <w:i/>
                <w:sz w:val="20"/>
              </w:rPr>
            </w:pPr>
            <w:r w:rsidRPr="00526748">
              <w:rPr>
                <w:rFonts w:ascii="Arial Narrow" w:hAnsi="Arial Narrow" w:cs="Times New Roman"/>
                <w:b/>
                <w:i/>
                <w:sz w:val="20"/>
              </w:rPr>
              <w:t>z  toho:</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4"/>
              </w:numPr>
              <w:tabs>
                <w:tab w:val="left" w:pos="360"/>
              </w:tabs>
              <w:rPr>
                <w:rFonts w:ascii="Arial Narrow" w:hAnsi="Arial Narrow" w:cs="Times New Roman"/>
                <w:sz w:val="20"/>
              </w:rPr>
            </w:pPr>
            <w:r w:rsidRPr="00526748">
              <w:rPr>
                <w:rFonts w:ascii="Arial Narrow" w:hAnsi="Arial Narrow" w:cs="Times New Roman"/>
                <w:sz w:val="20"/>
              </w:rPr>
              <w:t>mzdy a odvody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247 700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269 727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269 928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286 233</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4"/>
              </w:numPr>
              <w:tabs>
                <w:tab w:val="left" w:pos="360"/>
              </w:tabs>
              <w:rPr>
                <w:rFonts w:ascii="Arial Narrow" w:hAnsi="Arial Narrow" w:cs="Times New Roman"/>
                <w:sz w:val="20"/>
              </w:rPr>
            </w:pPr>
            <w:r w:rsidRPr="00526748">
              <w:rPr>
                <w:rFonts w:ascii="Arial Narrow" w:hAnsi="Arial Narrow" w:cs="Times New Roman"/>
                <w:sz w:val="20"/>
              </w:rPr>
              <w:t xml:space="preserve">tovary a služby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165 823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220 168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279 687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289 958</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4"/>
              </w:numPr>
              <w:tabs>
                <w:tab w:val="left" w:pos="360"/>
              </w:tabs>
              <w:rPr>
                <w:rFonts w:ascii="Arial Narrow" w:hAnsi="Arial Narrow" w:cs="Times New Roman"/>
                <w:sz w:val="20"/>
              </w:rPr>
            </w:pPr>
            <w:r w:rsidRPr="00526748">
              <w:rPr>
                <w:rFonts w:ascii="Arial Narrow" w:hAnsi="Arial Narrow" w:cs="Times New Roman"/>
                <w:sz w:val="20"/>
              </w:rPr>
              <w:t>bežné transfery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57 741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69 984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68 831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69 562</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4"/>
              </w:numPr>
              <w:tabs>
                <w:tab w:val="left" w:pos="360"/>
              </w:tabs>
              <w:rPr>
                <w:rFonts w:ascii="Arial Narrow" w:hAnsi="Arial Narrow" w:cs="Times New Roman"/>
                <w:sz w:val="20"/>
              </w:rPr>
            </w:pPr>
            <w:r w:rsidRPr="00526748">
              <w:rPr>
                <w:rFonts w:ascii="Arial Narrow" w:hAnsi="Arial Narrow" w:cs="Times New Roman"/>
                <w:sz w:val="20"/>
              </w:rPr>
              <w:t>obstarávanie kapitálových aktív</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41 084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143 592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198 155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213 916</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4"/>
              </w:numPr>
              <w:tabs>
                <w:tab w:val="left" w:pos="360"/>
              </w:tabs>
              <w:rPr>
                <w:rFonts w:ascii="Arial Narrow" w:hAnsi="Arial Narrow" w:cs="Times New Roman"/>
                <w:sz w:val="20"/>
              </w:rPr>
            </w:pPr>
            <w:r w:rsidRPr="00526748">
              <w:rPr>
                <w:rFonts w:ascii="Arial Narrow" w:hAnsi="Arial Narrow" w:cs="Times New Roman"/>
                <w:sz w:val="20"/>
              </w:rPr>
              <w:t>splácanie istí</w:t>
            </w:r>
            <w:r w:rsidRPr="00526748">
              <w:rPr>
                <w:rFonts w:ascii="Arial Narrow" w:hAnsi="Arial Narrow" w:cs="Times New Roman"/>
                <w:sz w:val="20"/>
              </w:rPr>
              <w:t>n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67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57</w:t>
            </w:r>
          </w:p>
        </w:tc>
      </w:tr>
      <w:tr>
        <w:tblPrEx>
          <w:tblW w:w="9288" w:type="dxa"/>
        </w:tblPrEx>
        <w:trPr>
          <w:trHeight w:hRule="auto" w:val="0"/>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both"/>
              <w:rPr>
                <w:rFonts w:ascii="Arial Narrow" w:hAnsi="Arial Narrow" w:cs="Times New Roman"/>
                <w:sz w:val="20"/>
              </w:rPr>
            </w:pP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rPr>
                <w:rFonts w:ascii="Arial Narrow" w:hAnsi="Arial Narrow" w:cs="Times New Roman"/>
                <w:b/>
                <w:i/>
                <w:sz w:val="20"/>
              </w:rPr>
            </w:pPr>
            <w:r w:rsidRPr="00526748">
              <w:rPr>
                <w:rFonts w:ascii="Arial Narrow" w:hAnsi="Arial Narrow" w:cs="Times New Roman"/>
                <w:b/>
                <w:i/>
                <w:sz w:val="20"/>
              </w:rPr>
              <w:t>Celkový prebytok VVŠ</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100 305</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95 208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96 548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107 279</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rPr>
                <w:rFonts w:ascii="Arial Narrow" w:hAnsi="Arial Narrow" w:cs="Times New Roman"/>
                <w:b/>
                <w:i/>
                <w:sz w:val="20"/>
              </w:rPr>
            </w:pPr>
            <w:r w:rsidRPr="00526748">
              <w:rPr>
                <w:rFonts w:ascii="Arial Narrow" w:hAnsi="Arial Narrow" w:cs="Times New Roman"/>
                <w:b/>
                <w:i/>
                <w:sz w:val="20"/>
              </w:rPr>
              <w:t xml:space="preserve"> vylúčenie finančných operácií</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-98 463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-91 459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-95 151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-96 491</w:t>
            </w:r>
          </w:p>
        </w:tc>
      </w:tr>
      <w:tr>
        <w:tblPrEx>
          <w:tblW w:w="9288" w:type="dxa"/>
        </w:tblPrEx>
        <w:trPr>
          <w:trHeight w:hRule="auto" w:val="0"/>
        </w:trPr>
        <w:tc>
          <w:tcPr>
            <w:tcW w:w="3528" w:type="dxa"/>
            <w:tcBorders>
              <w:top w:val="single" w:sz="4" w:space="0" w:color="auto"/>
              <w:left w:val="single" w:sz="4" w:space="0" w:color="auto"/>
              <w:bottom w:val="single" w:sz="4" w:space="0" w:color="auto"/>
              <w:right w:val="nil"/>
              <w:tl2br w:val="nil"/>
              <w:tr2bl w:val="nil"/>
            </w:tcBorders>
            <w:textDirection w:val="lrTb"/>
            <w:vAlign w:val="top"/>
          </w:tcPr>
          <w:p w:rsidR="00C52DD5" w:rsidRPr="00526748" w:rsidP="00C52DD5">
            <w:pPr>
              <w:rPr>
                <w:rFonts w:ascii="Arial Narrow" w:hAnsi="Arial Narrow" w:cs="Times New Roman"/>
                <w:b/>
                <w:i/>
                <w:sz w:val="20"/>
              </w:rPr>
            </w:pPr>
            <w:r w:rsidRPr="00526748">
              <w:rPr>
                <w:rFonts w:ascii="Arial Narrow" w:hAnsi="Arial Narrow" w:cs="Times New Roman"/>
                <w:b/>
                <w:i/>
                <w:sz w:val="20"/>
              </w:rPr>
              <w:t xml:space="preserve"> z toho:</w:t>
            </w:r>
          </w:p>
        </w:tc>
        <w:tc>
          <w:tcPr>
            <w:tcW w:w="1440" w:type="dxa"/>
            <w:tcBorders>
              <w:top w:val="single" w:sz="4" w:space="0" w:color="auto"/>
              <w:left w:val="nil"/>
              <w:bottom w:val="single" w:sz="4" w:space="0" w:color="auto"/>
              <w:right w:val="nil"/>
              <w:tl2br w:val="nil"/>
              <w:tr2bl w:val="nil"/>
            </w:tcBorders>
            <w:textDirection w:val="lrTb"/>
            <w:vAlign w:val="top"/>
          </w:tcPr>
          <w:p w:rsidR="00C52DD5" w:rsidRPr="00526748" w:rsidP="00C52DD5">
            <w:pPr>
              <w:jc w:val="right"/>
              <w:rPr>
                <w:rFonts w:ascii="Arial Narrow" w:hAnsi="Arial Narrow" w:cs="Times New Roman"/>
                <w:b/>
                <w:i/>
                <w:sz w:val="20"/>
              </w:rPr>
            </w:pPr>
          </w:p>
        </w:tc>
        <w:tc>
          <w:tcPr>
            <w:tcW w:w="1440" w:type="dxa"/>
            <w:tcBorders>
              <w:top w:val="single" w:sz="4" w:space="0" w:color="auto"/>
              <w:left w:val="nil"/>
              <w:bottom w:val="single" w:sz="4" w:space="0" w:color="auto"/>
              <w:right w:val="nil"/>
              <w:tl2br w:val="nil"/>
              <w:tr2bl w:val="nil"/>
            </w:tcBorders>
            <w:textDirection w:val="lrTb"/>
            <w:vAlign w:val="top"/>
          </w:tcPr>
          <w:p w:rsidR="00C52DD5" w:rsidRPr="00526748" w:rsidP="00C52DD5">
            <w:pPr>
              <w:jc w:val="right"/>
              <w:rPr>
                <w:rFonts w:ascii="Arial Narrow" w:hAnsi="Arial Narrow" w:cs="Times New Roman"/>
                <w:b/>
                <w:i/>
                <w:sz w:val="20"/>
              </w:rPr>
            </w:pPr>
          </w:p>
        </w:tc>
        <w:tc>
          <w:tcPr>
            <w:tcW w:w="1440" w:type="dxa"/>
            <w:tcBorders>
              <w:top w:val="single" w:sz="4" w:space="0" w:color="auto"/>
              <w:left w:val="nil"/>
              <w:bottom w:val="single" w:sz="4" w:space="0" w:color="auto"/>
              <w:right w:val="nil"/>
              <w:tl2br w:val="nil"/>
              <w:tr2bl w:val="nil"/>
            </w:tcBorders>
            <w:textDirection w:val="lrTb"/>
            <w:vAlign w:val="top"/>
          </w:tcPr>
          <w:p w:rsidR="00C52DD5" w:rsidRPr="00526748" w:rsidP="00C52DD5">
            <w:pPr>
              <w:jc w:val="right"/>
              <w:rPr>
                <w:rFonts w:ascii="Arial Narrow" w:hAnsi="Arial Narrow" w:cs="Times New Roman"/>
                <w:b/>
                <w:i/>
                <w:sz w:val="20"/>
              </w:rPr>
            </w:pPr>
          </w:p>
        </w:tc>
        <w:tc>
          <w:tcPr>
            <w:tcW w:w="1440" w:type="dxa"/>
            <w:tcBorders>
              <w:top w:val="single" w:sz="4" w:space="0" w:color="auto"/>
              <w:left w:val="nil"/>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b/>
                <w:i/>
                <w:sz w:val="20"/>
              </w:rPr>
            </w:pP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5"/>
              </w:numPr>
              <w:tabs>
                <w:tab w:val="left" w:pos="360"/>
              </w:tabs>
              <w:rPr>
                <w:rFonts w:ascii="Arial Narrow" w:hAnsi="Arial Narrow" w:cs="Times New Roman"/>
                <w:b/>
                <w:sz w:val="20"/>
              </w:rPr>
            </w:pPr>
            <w:r w:rsidRPr="00526748">
              <w:rPr>
                <w:rFonts w:ascii="Arial Narrow" w:hAnsi="Arial Narrow" w:cs="Times New Roman"/>
                <w:sz w:val="20"/>
              </w:rPr>
              <w:t>vylúčenie príjmových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-98 530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-91 516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-95 208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-96 548</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numPr>
                <w:ilvl w:val="0"/>
                <w:numId w:val="25"/>
              </w:numPr>
              <w:tabs>
                <w:tab w:val="left" w:pos="360"/>
              </w:tabs>
              <w:rPr>
                <w:rFonts w:ascii="Arial Narrow" w:hAnsi="Arial Narrow" w:cs="Times New Roman"/>
                <w:sz w:val="20"/>
              </w:rPr>
            </w:pPr>
            <w:r w:rsidRPr="00526748">
              <w:rPr>
                <w:rFonts w:ascii="Arial Narrow" w:hAnsi="Arial Narrow" w:cs="Times New Roman"/>
                <w:sz w:val="20"/>
              </w:rPr>
              <w:t>vylúčenie výdavkových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67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right"/>
              <w:rPr>
                <w:rFonts w:ascii="Arial Narrow" w:hAnsi="Arial Narrow" w:cs="Times New Roman"/>
                <w:sz w:val="20"/>
              </w:rPr>
            </w:pPr>
            <w:r>
              <w:rPr>
                <w:rFonts w:ascii="Arial Narrow" w:hAnsi="Arial Narrow" w:cs="Times New Roman"/>
                <w:sz w:val="20"/>
              </w:rPr>
              <w:t>57</w:t>
            </w:r>
          </w:p>
        </w:tc>
      </w:tr>
      <w:tr>
        <w:tblPrEx>
          <w:tblW w:w="9288" w:type="dxa"/>
        </w:tblPrEx>
        <w:trPr>
          <w:trHeight w:hRule="auto" w:val="0"/>
        </w:trPr>
        <w:tc>
          <w:tcPr>
            <w:tcW w:w="9288"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526748" w:rsidP="00C52DD5">
            <w:pPr>
              <w:jc w:val="both"/>
              <w:rPr>
                <w:rFonts w:ascii="Arial Narrow" w:hAnsi="Arial Narrow" w:cs="Times New Roman"/>
                <w:sz w:val="20"/>
              </w:rPr>
            </w:pPr>
            <w:r w:rsidRPr="00526748">
              <w:rPr>
                <w:rFonts w:ascii="Arial Narrow" w:hAnsi="Arial Narrow" w:cs="Times New Roman"/>
                <w:sz w:val="20"/>
              </w:rPr>
              <w:t xml:space="preserve">         </w:t>
            </w:r>
            <w:r w:rsidRPr="00526748">
              <w:rPr>
                <w:rFonts w:ascii="Arial Narrow" w:hAnsi="Arial Narrow" w:cs="Times New Roman"/>
                <w:sz w:val="20"/>
              </w:rPr>
              <w:t xml:space="preserve">                                                                 </w:t>
            </w:r>
          </w:p>
        </w:tc>
      </w:tr>
      <w:tr>
        <w:tblPrEx>
          <w:tblW w:w="9288" w:type="dxa"/>
        </w:tblPrEx>
        <w:trPr>
          <w:trHeight w:hRule="auto" w:val="0"/>
        </w:trPr>
        <w:tc>
          <w:tcPr>
            <w:tcW w:w="3528"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rPr>
                <w:rFonts w:ascii="Arial Narrow" w:hAnsi="Arial Narrow" w:cs="Times New Roman"/>
                <w:b/>
                <w:i/>
                <w:sz w:val="20"/>
              </w:rPr>
            </w:pPr>
            <w:r w:rsidRPr="00526748">
              <w:rPr>
                <w:rFonts w:ascii="Arial Narrow" w:hAnsi="Arial Narrow" w:cs="Times New Roman"/>
                <w:b/>
                <w:i/>
                <w:sz w:val="20"/>
              </w:rPr>
              <w:t>Prebytok  VVŠ  (ESA 95)</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ind w:left="50"/>
              <w:jc w:val="right"/>
              <w:rPr>
                <w:rFonts w:ascii="Arial Narrow" w:hAnsi="Arial Narrow" w:cs="Times New Roman"/>
                <w:b/>
                <w:i/>
                <w:sz w:val="20"/>
              </w:rPr>
            </w:pPr>
            <w:r>
              <w:rPr>
                <w:rFonts w:ascii="Arial Narrow" w:hAnsi="Arial Narrow" w:cs="Times New Roman"/>
                <w:b/>
                <w:i/>
                <w:sz w:val="20"/>
              </w:rPr>
              <w:t>1 842</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jc w:val="right"/>
              <w:rPr>
                <w:rFonts w:ascii="Arial Narrow" w:hAnsi="Arial Narrow" w:cs="Times New Roman"/>
                <w:b/>
                <w:i/>
                <w:sz w:val="20"/>
              </w:rPr>
            </w:pPr>
            <w:r>
              <w:rPr>
                <w:rFonts w:ascii="Arial Narrow" w:hAnsi="Arial Narrow" w:cs="Times New Roman"/>
                <w:b/>
                <w:i/>
                <w:sz w:val="20"/>
              </w:rPr>
              <w:t>3 749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ind w:left="335"/>
              <w:jc w:val="right"/>
              <w:rPr>
                <w:rFonts w:ascii="Arial Narrow" w:hAnsi="Arial Narrow" w:cs="Times New Roman"/>
                <w:b/>
                <w:i/>
                <w:sz w:val="20"/>
              </w:rPr>
            </w:pPr>
            <w:r>
              <w:rPr>
                <w:rFonts w:ascii="Arial Narrow" w:hAnsi="Arial Narrow" w:cs="Times New Roman"/>
                <w:b/>
                <w:i/>
                <w:sz w:val="20"/>
              </w:rPr>
              <w:t>1 397</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RPr="00526748" w:rsidP="00C52DD5">
            <w:pPr>
              <w:ind w:left="335"/>
              <w:jc w:val="right"/>
              <w:rPr>
                <w:rFonts w:ascii="Arial Narrow" w:hAnsi="Arial Narrow" w:cs="Times New Roman"/>
                <w:b/>
                <w:i/>
                <w:sz w:val="20"/>
              </w:rPr>
            </w:pPr>
            <w:r>
              <w:rPr>
                <w:rFonts w:ascii="Arial Narrow" w:hAnsi="Arial Narrow" w:cs="Times New Roman"/>
                <w:b/>
                <w:i/>
                <w:sz w:val="20"/>
              </w:rPr>
              <w:t>10 788</w:t>
            </w:r>
          </w:p>
        </w:tc>
      </w:tr>
    </w:tbl>
    <w:p w:rsidR="00C52DD5" w:rsidRPr="00AB421E" w:rsidP="00C52DD5">
      <w:pPr>
        <w:ind w:firstLine="709"/>
        <w:jc w:val="both"/>
        <w:rPr>
          <w:rFonts w:ascii="Arial Narrow" w:hAnsi="Arial Narrow" w:cs="Times New Roman"/>
          <w:sz w:val="22"/>
          <w:szCs w:val="22"/>
          <w:highlight w:val="yellow"/>
        </w:rPr>
      </w:pPr>
    </w:p>
    <w:p w:rsidR="00C52DD5" w:rsidP="00C52DD5">
      <w:pPr>
        <w:ind w:firstLine="708"/>
        <w:jc w:val="both"/>
        <w:rPr>
          <w:rFonts w:ascii="Arial Narrow" w:hAnsi="Arial Narrow" w:cs="Times New Roman"/>
          <w:sz w:val="22"/>
          <w:szCs w:val="22"/>
        </w:rPr>
      </w:pPr>
      <w:r w:rsidRPr="00FD6B28">
        <w:rPr>
          <w:rFonts w:ascii="Arial Narrow" w:hAnsi="Arial Narrow" w:cs="Times New Roman"/>
          <w:sz w:val="22"/>
          <w:szCs w:val="22"/>
        </w:rPr>
        <w:t>Návrh rozdelenia výdavkov VVŠ z dotácií zo štátneho rozpočtu sa odvíjal z metodiky rozpisu rozpočtu dotácie VVŠ. Z prostriedkov štátneho rozpočtu budú financované študijné programy a prevádzka VVŠ, vysokoškolská veda a technika, rozvoj vysokých škôl, ich transformácia, sociálne</w:t>
      </w:r>
      <w:r>
        <w:rPr>
          <w:rFonts w:ascii="Arial Narrow" w:hAnsi="Arial Narrow" w:cs="Times New Roman"/>
          <w:sz w:val="22"/>
          <w:szCs w:val="22"/>
        </w:rPr>
        <w:t xml:space="preserve"> a prospechové</w:t>
      </w:r>
      <w:r w:rsidRPr="00FD6B28">
        <w:rPr>
          <w:rFonts w:ascii="Arial Narrow" w:hAnsi="Arial Narrow" w:cs="Times New Roman"/>
          <w:sz w:val="22"/>
          <w:szCs w:val="22"/>
        </w:rPr>
        <w:t xml:space="preserve"> štipendiá</w:t>
      </w:r>
      <w:r>
        <w:rPr>
          <w:rFonts w:ascii="Arial Narrow" w:hAnsi="Arial Narrow" w:cs="Times New Roman"/>
          <w:sz w:val="22"/>
          <w:szCs w:val="22"/>
        </w:rPr>
        <w:t>,</w:t>
      </w:r>
      <w:r w:rsidRPr="00FD6B28">
        <w:rPr>
          <w:rFonts w:ascii="Arial Narrow" w:hAnsi="Arial Narrow" w:cs="Times New Roman"/>
          <w:sz w:val="22"/>
          <w:szCs w:val="22"/>
        </w:rPr>
        <w:t xml:space="preserve"> študentské pôžičky, podpora stravovania, ubytovania, športových a kultúrnych aktivít študentov a pastoračných centier. V celkovom objeme finančných prostriedkov na roky 200</w:t>
      </w:r>
      <w:r>
        <w:rPr>
          <w:rFonts w:ascii="Arial Narrow" w:hAnsi="Arial Narrow" w:cs="Times New Roman"/>
          <w:sz w:val="22"/>
          <w:szCs w:val="22"/>
        </w:rPr>
        <w:t>9</w:t>
      </w:r>
      <w:r w:rsidRPr="00FD6B28">
        <w:rPr>
          <w:rFonts w:ascii="Arial Narrow" w:hAnsi="Arial Narrow" w:cs="Times New Roman"/>
          <w:sz w:val="22"/>
          <w:szCs w:val="22"/>
        </w:rPr>
        <w:t xml:space="preserve"> až 20</w:t>
      </w:r>
      <w:r>
        <w:rPr>
          <w:rFonts w:ascii="Arial Narrow" w:hAnsi="Arial Narrow" w:cs="Times New Roman"/>
          <w:sz w:val="22"/>
          <w:szCs w:val="22"/>
        </w:rPr>
        <w:t>11</w:t>
      </w:r>
      <w:r w:rsidRPr="00FD6B28">
        <w:rPr>
          <w:rFonts w:ascii="Arial Narrow" w:hAnsi="Arial Narrow" w:cs="Times New Roman"/>
          <w:sz w:val="22"/>
          <w:szCs w:val="22"/>
        </w:rPr>
        <w:t xml:space="preserve"> sú zohľadnené výdavky, ktoré pozostávajú z vlastných výdavkov VVŠ</w:t>
      </w:r>
      <w:r>
        <w:rPr>
          <w:rFonts w:ascii="Arial Narrow" w:hAnsi="Arial Narrow" w:cs="Times New Roman"/>
          <w:sz w:val="22"/>
          <w:szCs w:val="22"/>
        </w:rPr>
        <w:t xml:space="preserve">, výdavkov zo štrukturálnych fondov </w:t>
      </w:r>
      <w:r w:rsidRPr="00FD6B28">
        <w:rPr>
          <w:rFonts w:ascii="Arial Narrow" w:hAnsi="Arial Narrow" w:cs="Times New Roman"/>
          <w:sz w:val="22"/>
          <w:szCs w:val="22"/>
        </w:rPr>
        <w:t xml:space="preserve"> </w:t>
      </w:r>
      <w:r>
        <w:rPr>
          <w:rFonts w:ascii="Arial Narrow" w:hAnsi="Arial Narrow" w:cs="Times New Roman"/>
          <w:sz w:val="22"/>
          <w:szCs w:val="22"/>
        </w:rPr>
        <w:t xml:space="preserve">EÚ vrátane spolufinancovania </w:t>
      </w:r>
      <w:r w:rsidRPr="00FD6B28">
        <w:rPr>
          <w:rFonts w:ascii="Arial Narrow" w:hAnsi="Arial Narrow" w:cs="Times New Roman"/>
          <w:sz w:val="22"/>
          <w:szCs w:val="22"/>
        </w:rPr>
        <w:t xml:space="preserve">a výdavkov štátneho rozpočtu. </w:t>
      </w:r>
    </w:p>
    <w:p w:rsidR="00C52DD5" w:rsidRPr="00FD6B28" w:rsidP="00C52DD5">
      <w:pPr>
        <w:ind w:firstLine="709"/>
        <w:jc w:val="both"/>
        <w:rPr>
          <w:rFonts w:ascii="Arial Narrow" w:hAnsi="Arial Narrow" w:cs="Times New Roman"/>
          <w:sz w:val="22"/>
          <w:szCs w:val="22"/>
        </w:rPr>
      </w:pPr>
    </w:p>
    <w:p w:rsidR="00C52DD5" w:rsidRPr="00FD6B28" w:rsidP="00C52DD5">
      <w:pPr>
        <w:ind w:firstLine="708"/>
        <w:jc w:val="both"/>
        <w:rPr>
          <w:rFonts w:ascii="Arial Narrow" w:hAnsi="Arial Narrow" w:cs="Times New Roman"/>
          <w:sz w:val="22"/>
          <w:szCs w:val="22"/>
        </w:rPr>
      </w:pPr>
      <w:r>
        <w:rPr>
          <w:rFonts w:ascii="Arial Narrow" w:hAnsi="Arial Narrow" w:cs="Times New Roman"/>
          <w:sz w:val="22"/>
          <w:szCs w:val="22"/>
        </w:rPr>
        <w:t>N</w:t>
      </w:r>
      <w:r w:rsidRPr="00FD6B28">
        <w:rPr>
          <w:rFonts w:ascii="Arial Narrow" w:hAnsi="Arial Narrow" w:cs="Times New Roman"/>
          <w:sz w:val="22"/>
          <w:szCs w:val="22"/>
        </w:rPr>
        <w:t xml:space="preserve">ávrh rozdelenia výdavkov do jednotlivých kategórií je len orientačný, nakoľko v zmysle § 89 zákona č. 131/2002 Z. z. o vysokých školách v znení neskorších predpisov je použitie dotácie zo štátneho rozpočtu priamo v kompetencii vysokej školy. </w:t>
      </w:r>
    </w:p>
    <w:p w:rsidR="00C52DD5" w:rsidRPr="00FD6B28" w:rsidP="00C52DD5">
      <w:pPr>
        <w:ind w:firstLine="709"/>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sidRPr="00FD6B28">
        <w:rPr>
          <w:rFonts w:ascii="Arial Narrow" w:hAnsi="Arial Narrow" w:cs="Times New Roman"/>
          <w:sz w:val="22"/>
          <w:szCs w:val="22"/>
        </w:rPr>
        <w:t>Vlastné výnosy VVŠ, pozostávajúce napr. z výnosov zo školného od zahraničných študentov, z</w:t>
      </w:r>
      <w:r>
        <w:rPr>
          <w:rFonts w:ascii="Arial Narrow" w:hAnsi="Arial Narrow" w:cs="Times New Roman"/>
          <w:sz w:val="22"/>
          <w:szCs w:val="22"/>
        </w:rPr>
        <w:t> poplatkov spojených so štúdiom,</w:t>
      </w:r>
      <w:r w:rsidRPr="00FD6B28">
        <w:rPr>
          <w:rFonts w:ascii="Arial Narrow" w:hAnsi="Arial Narrow" w:cs="Times New Roman"/>
          <w:sz w:val="22"/>
          <w:szCs w:val="22"/>
        </w:rPr>
        <w:t xml:space="preserve"> </w:t>
      </w:r>
      <w:r>
        <w:rPr>
          <w:rFonts w:ascii="Arial Narrow" w:hAnsi="Arial Narrow" w:cs="Times New Roman"/>
          <w:sz w:val="22"/>
          <w:szCs w:val="22"/>
        </w:rPr>
        <w:t>z </w:t>
      </w:r>
      <w:r w:rsidRPr="00FD6B28">
        <w:rPr>
          <w:rFonts w:ascii="Arial Narrow" w:hAnsi="Arial Narrow" w:cs="Times New Roman"/>
          <w:sz w:val="22"/>
          <w:szCs w:val="22"/>
        </w:rPr>
        <w:t>kontraktačn</w:t>
      </w:r>
      <w:r>
        <w:rPr>
          <w:rFonts w:ascii="Arial Narrow" w:hAnsi="Arial Narrow" w:cs="Times New Roman"/>
          <w:sz w:val="22"/>
          <w:szCs w:val="22"/>
        </w:rPr>
        <w:t xml:space="preserve">ého </w:t>
      </w:r>
      <w:r w:rsidRPr="00FD6B28">
        <w:rPr>
          <w:rFonts w:ascii="Arial Narrow" w:hAnsi="Arial Narrow" w:cs="Times New Roman"/>
          <w:sz w:val="22"/>
          <w:szCs w:val="22"/>
        </w:rPr>
        <w:t>výskum</w:t>
      </w:r>
      <w:r>
        <w:rPr>
          <w:rFonts w:ascii="Arial Narrow" w:hAnsi="Arial Narrow" w:cs="Times New Roman"/>
          <w:sz w:val="22"/>
          <w:szCs w:val="22"/>
        </w:rPr>
        <w:t>u</w:t>
      </w:r>
      <w:r w:rsidRPr="00FD6B28">
        <w:rPr>
          <w:rFonts w:ascii="Arial Narrow" w:hAnsi="Arial Narrow" w:cs="Times New Roman"/>
          <w:sz w:val="22"/>
          <w:szCs w:val="22"/>
        </w:rPr>
        <w:t xml:space="preserve">, </w:t>
      </w:r>
      <w:r>
        <w:rPr>
          <w:rFonts w:ascii="Arial Narrow" w:hAnsi="Arial Narrow" w:cs="Times New Roman"/>
          <w:sz w:val="22"/>
          <w:szCs w:val="22"/>
        </w:rPr>
        <w:t xml:space="preserve">z </w:t>
      </w:r>
      <w:r w:rsidRPr="00FD6B28">
        <w:rPr>
          <w:rFonts w:ascii="Arial Narrow" w:hAnsi="Arial Narrow" w:cs="Times New Roman"/>
          <w:sz w:val="22"/>
          <w:szCs w:val="22"/>
        </w:rPr>
        <w:t>ďalšie</w:t>
      </w:r>
      <w:r>
        <w:rPr>
          <w:rFonts w:ascii="Arial Narrow" w:hAnsi="Arial Narrow" w:cs="Times New Roman"/>
          <w:sz w:val="22"/>
          <w:szCs w:val="22"/>
        </w:rPr>
        <w:t>ho</w:t>
      </w:r>
      <w:r w:rsidRPr="00FD6B28">
        <w:rPr>
          <w:rFonts w:ascii="Arial Narrow" w:hAnsi="Arial Narrow" w:cs="Times New Roman"/>
          <w:sz w:val="22"/>
          <w:szCs w:val="22"/>
        </w:rPr>
        <w:t xml:space="preserve"> vzdelávani</w:t>
      </w:r>
      <w:r>
        <w:rPr>
          <w:rFonts w:ascii="Arial Narrow" w:hAnsi="Arial Narrow" w:cs="Times New Roman"/>
          <w:sz w:val="22"/>
          <w:szCs w:val="22"/>
        </w:rPr>
        <w:t xml:space="preserve">a a zo zabezpečenia </w:t>
      </w:r>
      <w:r w:rsidRPr="00FD6B28">
        <w:rPr>
          <w:rFonts w:ascii="Arial Narrow" w:hAnsi="Arial Narrow" w:cs="Times New Roman"/>
          <w:sz w:val="22"/>
          <w:szCs w:val="22"/>
        </w:rPr>
        <w:t xml:space="preserve">ubytovania a stravovania, sa predpokladajú dosiahnuť v objeme </w:t>
      </w:r>
      <w:r>
        <w:rPr>
          <w:rFonts w:ascii="Arial Narrow" w:hAnsi="Arial Narrow" w:cs="Times New Roman"/>
          <w:sz w:val="22"/>
          <w:szCs w:val="22"/>
        </w:rPr>
        <w:t>62,6 mil. eur  až  72,7 mil. eur v rokoch 2009 až 2011</w:t>
      </w:r>
      <w:r w:rsidRPr="00FD6B28">
        <w:rPr>
          <w:rFonts w:ascii="Arial Narrow" w:hAnsi="Arial Narrow" w:cs="Times New Roman"/>
          <w:sz w:val="22"/>
          <w:szCs w:val="22"/>
        </w:rPr>
        <w:t xml:space="preserve">. </w:t>
      </w:r>
      <w:r>
        <w:rPr>
          <w:rFonts w:ascii="Arial Narrow" w:hAnsi="Arial Narrow" w:cs="Times New Roman"/>
          <w:sz w:val="22"/>
          <w:szCs w:val="22"/>
        </w:rPr>
        <w:t>Vlastné príjmy majú každoročný trend nárastu.</w:t>
      </w:r>
      <w:r w:rsidRPr="00FD6B28">
        <w:rPr>
          <w:rFonts w:ascii="Arial Narrow" w:hAnsi="Arial Narrow" w:cs="Times New Roman"/>
          <w:sz w:val="22"/>
          <w:szCs w:val="22"/>
        </w:rPr>
        <w:t xml:space="preserve"> </w:t>
      </w:r>
    </w:p>
    <w:p w:rsidR="00C52DD5" w:rsidP="00C52DD5">
      <w:pPr>
        <w:ind w:firstLine="708"/>
        <w:jc w:val="both"/>
        <w:rPr>
          <w:rFonts w:ascii="Arial Narrow" w:hAnsi="Arial Narrow" w:cs="Times New Roman"/>
          <w:sz w:val="22"/>
          <w:szCs w:val="22"/>
        </w:rPr>
      </w:pPr>
    </w:p>
    <w:p w:rsidR="00C52DD5" w:rsidRPr="00FD6B28" w:rsidP="00C52DD5">
      <w:pPr>
        <w:ind w:firstLine="708"/>
        <w:jc w:val="both"/>
        <w:rPr>
          <w:rFonts w:ascii="Arial Narrow" w:hAnsi="Arial Narrow" w:cs="Times New Roman"/>
          <w:sz w:val="22"/>
          <w:szCs w:val="22"/>
        </w:rPr>
      </w:pPr>
      <w:r>
        <w:rPr>
          <w:rFonts w:ascii="Arial Narrow" w:hAnsi="Arial Narrow" w:cs="Times New Roman"/>
          <w:sz w:val="22"/>
          <w:szCs w:val="22"/>
        </w:rPr>
        <w:t xml:space="preserve">V rokoch 2009 až 2011 sa predpokladá, že VVŠ získajú granty zo zahraničia každoročne po 1 374 tis. eur,  ako aj prostriedky z EHP a NFM  vrátane spolufinancovania na financovanie výskumných projektov v rokoch 2009 až 2010 v objeme 802 tis. Eur. V roku 2011 granty z EHP a NFM vrátane spolufinancovnia predstavujú objem 399 tis. eur. </w:t>
      </w:r>
    </w:p>
    <w:p w:rsidR="00C52DD5" w:rsidRPr="00FD6B28" w:rsidP="00C52DD5">
      <w:pPr>
        <w:ind w:firstLine="709"/>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sidRPr="00FD6B28">
        <w:rPr>
          <w:rFonts w:ascii="Arial Narrow" w:hAnsi="Arial Narrow" w:cs="Times New Roman"/>
          <w:sz w:val="22"/>
          <w:szCs w:val="22"/>
        </w:rPr>
        <w:t xml:space="preserve">Predkladaný rozpočet VVŠ nezohľadňuje možnosti čerpania </w:t>
      </w:r>
      <w:r>
        <w:rPr>
          <w:rFonts w:ascii="Arial Narrow" w:hAnsi="Arial Narrow" w:cs="Times New Roman"/>
          <w:sz w:val="22"/>
          <w:szCs w:val="22"/>
        </w:rPr>
        <w:t>úverov, ktoré umožňuje novela zákona      č. 131/2002 Z. z. o vysokých školách v znení neskorších predpisov</w:t>
      </w:r>
      <w:r w:rsidRPr="00FD6B28">
        <w:rPr>
          <w:rFonts w:ascii="Arial Narrow" w:hAnsi="Arial Narrow" w:cs="Times New Roman"/>
          <w:sz w:val="22"/>
          <w:szCs w:val="22"/>
        </w:rPr>
        <w:t xml:space="preserve">. </w:t>
      </w:r>
    </w:p>
    <w:p w:rsidR="00C52DD5" w:rsidRPr="00804143" w:rsidP="00C52DD5">
      <w:pPr>
        <w:pStyle w:val="Heading3"/>
        <w:spacing w:before="360" w:after="0"/>
        <w:jc w:val="both"/>
        <w:rPr>
          <w:rFonts w:ascii="Arial Narrow" w:hAnsi="Arial Narrow"/>
          <w:sz w:val="24"/>
          <w:szCs w:val="24"/>
        </w:rPr>
      </w:pPr>
      <w:r w:rsidRPr="00804143">
        <w:rPr>
          <w:rFonts w:ascii="Arial Narrow" w:hAnsi="Arial Narrow"/>
          <w:sz w:val="24"/>
          <w:szCs w:val="24"/>
        </w:rPr>
        <w:t xml:space="preserve">10.  Príspevkové organizácie v pôsobnosti štátu, obcí a VÚC </w:t>
      </w:r>
    </w:p>
    <w:p w:rsidR="00C52DD5" w:rsidP="00C52DD5">
      <w:pPr>
        <w:ind w:firstLine="708"/>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Súčasťou návrhu rozpočtu verejnej správy na roky 2009 až 2011 sú aj návrhy rozpočtov príspevkových organizácií, ktoré sú v súlade s jednotnou metodikou, platnou pre Európsku úniu, zaradené do sektora verejnej správy. Ide o tie príspevkové organizácie založené štátom, obcami alebo VÚC, u ktorých menej ako 50 % výrobných nákladov je pokrytých tržbami. Zaraďovanie subjektov verejnej správy do príslušných sektorov ekonomiky, ako aj plnenie podmienok pre zaraďovanie subjektov do sektora verejnej správy, je v pôsobnosti Štatistického úradu SR v súlade so zákonom č. 540/2001 Z. z. o štátnej štatistike. </w:t>
      </w:r>
    </w:p>
    <w:p w:rsidR="00C52DD5" w:rsidP="00C52DD5">
      <w:pPr>
        <w:ind w:firstLine="708"/>
        <w:jc w:val="both"/>
        <w:rPr>
          <w:rFonts w:ascii="Arial Narrow" w:hAnsi="Arial Narrow" w:cs="Times New Roman"/>
          <w:sz w:val="22"/>
          <w:szCs w:val="22"/>
        </w:rPr>
      </w:pPr>
    </w:p>
    <w:p w:rsidR="00C52DD5" w:rsidP="00C52DD5">
      <w:pPr>
        <w:jc w:val="both"/>
        <w:rPr>
          <w:rFonts w:ascii="Arial Narrow" w:hAnsi="Arial Narrow" w:cs="Times New Roman"/>
          <w:sz w:val="22"/>
          <w:szCs w:val="22"/>
        </w:rPr>
      </w:pPr>
      <w:r>
        <w:rPr>
          <w:rFonts w:ascii="Arial Narrow" w:hAnsi="Arial Narrow" w:cs="Times New Roman"/>
          <w:sz w:val="22"/>
          <w:szCs w:val="22"/>
        </w:rPr>
        <w:tab/>
        <w:t>Návrh rozpočtu príspevk</w:t>
      </w:r>
      <w:r>
        <w:rPr>
          <w:rFonts w:ascii="Arial Narrow" w:hAnsi="Arial Narrow" w:cs="Times New Roman"/>
          <w:sz w:val="22"/>
          <w:szCs w:val="22"/>
        </w:rPr>
        <w:t xml:space="preserve">ových organizácií v pôsobnosti štátu, obcí a VÚC je spracovaný za tie príspevkové organizácie, ktoré sú zapísané v aktualizovanom štatistickom registri organizácií, vedenom Štatistickým úradom SR a zaradené do sektora verejnej správy v súlade s metodikou ESA 95. </w:t>
      </w:r>
    </w:p>
    <w:p w:rsidR="00C52DD5" w:rsidP="00C52DD5">
      <w:pPr>
        <w:ind w:firstLine="708"/>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Do sektora verejnej správy je zaradených 85 príspevkových organizácií v pôsobnosti štátu a </w:t>
      </w:r>
      <w:r w:rsidRPr="00D32CF1">
        <w:rPr>
          <w:rFonts w:ascii="Arial Narrow" w:hAnsi="Arial Narrow" w:cs="Times New Roman"/>
          <w:sz w:val="22"/>
          <w:szCs w:val="22"/>
        </w:rPr>
        <w:t>641</w:t>
      </w:r>
      <w:r>
        <w:rPr>
          <w:rFonts w:ascii="Arial Narrow" w:hAnsi="Arial Narrow" w:cs="Times New Roman"/>
          <w:sz w:val="22"/>
          <w:szCs w:val="22"/>
        </w:rPr>
        <w:t xml:space="preserve"> príspevkových organizácií v pôsobnosti obcí a VÚC.  </w:t>
      </w:r>
    </w:p>
    <w:p w:rsidR="00C52DD5" w:rsidP="00C52DD5">
      <w:pPr>
        <w:ind w:firstLine="708"/>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Príspevkové organizácie v pôsobnosti štátu zabezpečujú činnosti najmä v oblasti kultúry, školstva, životného prostredia, pôdohospodárstva, výskumu, služieb a informatiky. Najviac príspevkových organizácií je v pôsobnosti ministerstva kultúry (25), v pôsobn</w:t>
      </w:r>
      <w:r>
        <w:rPr>
          <w:rFonts w:ascii="Arial Narrow" w:hAnsi="Arial Narrow" w:cs="Times New Roman"/>
          <w:sz w:val="22"/>
          <w:szCs w:val="22"/>
        </w:rPr>
        <w:t xml:space="preserve">osti SAV (20) a v pôsobnosti ministerstva školstva je (10) príspevkových organizácií. </w:t>
      </w:r>
    </w:p>
    <w:p w:rsidR="00C52DD5" w:rsidP="00C52DD5">
      <w:pPr>
        <w:ind w:firstLine="708"/>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Príspevkové organizácie v pôsobnosti obcí zabezpečujú najmä činnosti na úseku verejnoprospešných prác (technické služby), kultúry (miestne osvetové strediská, miestne kultúrne strediská, knižnice, galérie), sociálnych vecí, športu (plavárne, správy športových zariadení) a v ďalších oblastiach. Príspevkové organizácie zriadené VÚC zabezpečujú hlavne činnosti na úseku dopravy (organizácie zabezpečujúce správu a údržbu ciest II. a III. triedy), kultúry (divadlá, múzeá, galérie, knižnice, hvezdárne a pod.) a na úseku školstva (školy v prírode, stredné odborné učilištia, stredné odborné školy a pod.).</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Vývoj  príjmovej  a  výdavkovej   časti  rozpočtu  príspevkových  organizácií  sektora verejnej správy na roky 2009 až 2011 je nasledovný:        </w:t>
      </w:r>
    </w:p>
    <w:p w:rsidR="00C52DD5" w:rsidP="00C52DD5">
      <w:pPr>
        <w:ind w:left="7788"/>
        <w:jc w:val="both"/>
        <w:rPr>
          <w:rFonts w:ascii="Arial Narrow" w:hAnsi="Arial Narrow" w:cs="Times New Roman"/>
          <w:sz w:val="22"/>
          <w:szCs w:val="22"/>
        </w:rPr>
      </w:pPr>
      <w:r>
        <w:rPr>
          <w:rFonts w:ascii="Arial Narrow" w:hAnsi="Arial Narrow" w:cs="Times New Roman"/>
          <w:sz w:val="22"/>
          <w:szCs w:val="22"/>
        </w:rPr>
        <w:t xml:space="preserve">             </w:t>
      </w:r>
    </w:p>
    <w:tbl>
      <w:tblPr>
        <w:tblW w:w="9180"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Grid>
        <w:gridCol w:w="3420"/>
        <w:gridCol w:w="1440"/>
        <w:gridCol w:w="1440"/>
        <w:gridCol w:w="1440"/>
        <w:gridCol w:w="1440"/>
      </w:tblGrid>
      <w:tr>
        <w:tblPrEx>
          <w:tblW w:w="9180"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RPr="006B5E7D" w:rsidP="00C52DD5">
            <w:pPr>
              <w:jc w:val="both"/>
              <w:rPr>
                <w:rFonts w:ascii="Arial Narrow" w:hAnsi="Arial Narrow" w:cs="Times New Roman"/>
                <w:b/>
                <w:iCs/>
                <w:color w:val="FFFFFF"/>
                <w:sz w:val="20"/>
                <w:szCs w:val="22"/>
              </w:rPr>
            </w:pPr>
            <w:r w:rsidRPr="006B5E7D">
              <w:rPr>
                <w:rFonts w:ascii="Arial Narrow" w:hAnsi="Arial Narrow" w:cs="Times New Roman"/>
                <w:b/>
                <w:iCs/>
                <w:color w:val="FFFFFF"/>
                <w:sz w:val="20"/>
                <w:szCs w:val="22"/>
              </w:rPr>
              <w:t>(v tis. eur)</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2008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2009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2010</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4C4C4C"/>
            <w:textDirection w:val="lrTb"/>
            <w:vAlign w:val="top"/>
          </w:tcPr>
          <w:p w:rsidR="00C52DD5" w:rsidP="00C52DD5">
            <w:pPr>
              <w:jc w:val="center"/>
              <w:rPr>
                <w:rFonts w:ascii="Arial Narrow" w:hAnsi="Arial Narrow" w:cs="Times New Roman"/>
                <w:b/>
                <w:color w:val="FFFFFF"/>
                <w:sz w:val="20"/>
                <w:szCs w:val="22"/>
              </w:rPr>
            </w:pPr>
            <w:r>
              <w:rPr>
                <w:rFonts w:ascii="Arial Narrow" w:hAnsi="Arial Narrow" w:cs="Times New Roman"/>
                <w:b/>
                <w:color w:val="FFFFFF"/>
                <w:sz w:val="20"/>
                <w:szCs w:val="22"/>
              </w:rPr>
              <w:t>2011</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Príjmy PO sektora VS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80"/>
              <w:jc w:val="right"/>
              <w:rPr>
                <w:rFonts w:ascii="Arial Narrow" w:hAnsi="Arial Narrow" w:cs="Times New Roman"/>
                <w:b/>
                <w:i/>
                <w:sz w:val="20"/>
                <w:szCs w:val="22"/>
              </w:rPr>
            </w:pPr>
            <w:r>
              <w:rPr>
                <w:rFonts w:ascii="Arial Narrow" w:hAnsi="Arial Narrow" w:cs="Times New Roman"/>
                <w:b/>
                <w:i/>
                <w:sz w:val="20"/>
                <w:szCs w:val="22"/>
              </w:rPr>
              <w:t>629 738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80"/>
              <w:jc w:val="right"/>
              <w:rPr>
                <w:rFonts w:ascii="Arial Narrow" w:hAnsi="Arial Narrow" w:cs="Times New Roman"/>
                <w:b/>
                <w:i/>
                <w:sz w:val="20"/>
                <w:szCs w:val="22"/>
              </w:rPr>
            </w:pPr>
            <w:r>
              <w:rPr>
                <w:rFonts w:ascii="Arial Narrow" w:hAnsi="Arial Narrow" w:cs="Times New Roman"/>
                <w:b/>
                <w:i/>
                <w:sz w:val="20"/>
                <w:szCs w:val="22"/>
              </w:rPr>
              <w:t>677 769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664 937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683 428</w:t>
            </w:r>
          </w:p>
        </w:tc>
      </w:tr>
      <w:tr>
        <w:tblPrEx>
          <w:tblW w:w="9180" w:type="dxa"/>
          <w:tblInd w:w="108" w:type="dxa"/>
        </w:tblPrEx>
        <w:trPr>
          <w:trHeight w:hRule="auto" w:val="0"/>
        </w:trPr>
        <w:tc>
          <w:tcPr>
            <w:tcW w:w="918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z toho:</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85"/>
              </w:numPr>
              <w:tabs>
                <w:tab w:val="left" w:pos="360"/>
              </w:tabs>
              <w:jc w:val="both"/>
              <w:rPr>
                <w:rFonts w:ascii="Arial Narrow" w:hAnsi="Arial Narrow" w:cs="Times New Roman"/>
                <w:sz w:val="20"/>
                <w:szCs w:val="22"/>
              </w:rPr>
            </w:pPr>
            <w:r>
              <w:rPr>
                <w:rFonts w:ascii="Arial Narrow" w:hAnsi="Arial Narrow" w:cs="Times New Roman"/>
                <w:sz w:val="20"/>
                <w:szCs w:val="22"/>
              </w:rPr>
              <w:t>nedaňové príjmy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140 427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161 704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162 644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165 846</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85"/>
              </w:numPr>
              <w:tabs>
                <w:tab w:val="left" w:pos="360"/>
              </w:tabs>
              <w:jc w:val="both"/>
              <w:rPr>
                <w:rFonts w:ascii="Arial Narrow" w:hAnsi="Arial Narrow" w:cs="Times New Roman"/>
                <w:sz w:val="20"/>
                <w:szCs w:val="22"/>
              </w:rPr>
            </w:pPr>
            <w:r>
              <w:rPr>
                <w:rFonts w:ascii="Arial Narrow" w:hAnsi="Arial Narrow" w:cs="Times New Roman"/>
                <w:sz w:val="20"/>
                <w:szCs w:val="22"/>
              </w:rPr>
              <w:t>transfery v rámci</w:t>
            </w:r>
            <w:r>
              <w:rPr>
                <w:rFonts w:ascii="Arial Narrow" w:hAnsi="Arial Narrow" w:cs="Times New Roman"/>
                <w:sz w:val="20"/>
                <w:szCs w:val="22"/>
              </w:rPr>
              <w:t xml:space="preserve"> sektora VS</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489 212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514  704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500 700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514 728</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85"/>
              </w:numPr>
              <w:tabs>
                <w:tab w:val="left" w:pos="360"/>
              </w:tabs>
              <w:jc w:val="both"/>
              <w:rPr>
                <w:rFonts w:ascii="Arial Narrow" w:hAnsi="Arial Narrow" w:cs="Times New Roman"/>
                <w:sz w:val="20"/>
                <w:szCs w:val="22"/>
              </w:rPr>
            </w:pPr>
            <w:r>
              <w:rPr>
                <w:rFonts w:ascii="Arial Narrow" w:hAnsi="Arial Narrow" w:cs="Times New Roman"/>
                <w:sz w:val="20"/>
                <w:szCs w:val="22"/>
              </w:rPr>
              <w:t>zo splátok úverov a pôž.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85"/>
              </w:numPr>
              <w:tabs>
                <w:tab w:val="left" w:pos="360"/>
              </w:tabs>
              <w:jc w:val="both"/>
              <w:rPr>
                <w:rFonts w:ascii="Arial Narrow" w:hAnsi="Arial Narrow" w:cs="Times New Roman"/>
                <w:sz w:val="20"/>
                <w:szCs w:val="22"/>
              </w:rPr>
            </w:pPr>
            <w:r>
              <w:rPr>
                <w:rFonts w:ascii="Arial Narrow" w:hAnsi="Arial Narrow" w:cs="Times New Roman"/>
                <w:sz w:val="20"/>
                <w:szCs w:val="22"/>
              </w:rPr>
              <w:t>zostat. prostr. z predch. rokov a prevod prostr. z peňaž. fondov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1 361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1 593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2 854</w:t>
            </w:r>
          </w:p>
        </w:tc>
      </w:tr>
      <w:tr>
        <w:tblPrEx>
          <w:tblW w:w="9180" w:type="dxa"/>
          <w:tblInd w:w="108" w:type="dxa"/>
        </w:tblPrEx>
        <w:trPr>
          <w:trHeight w:hRule="auto" w:val="0"/>
        </w:trPr>
        <w:tc>
          <w:tcPr>
            <w:tcW w:w="918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Výdavky PO sektora VS  spolu</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620 466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668 261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658 138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675 950</w:t>
            </w:r>
          </w:p>
        </w:tc>
      </w:tr>
      <w:tr>
        <w:tblPrEx>
          <w:tblW w:w="9180" w:type="dxa"/>
          <w:tblInd w:w="108" w:type="dxa"/>
        </w:tblPrEx>
        <w:trPr>
          <w:trHeight w:hRule="auto" w:val="0"/>
        </w:trPr>
        <w:tc>
          <w:tcPr>
            <w:tcW w:w="7740"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z toho: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87"/>
              </w:numPr>
              <w:tabs>
                <w:tab w:val="left" w:pos="360"/>
              </w:tabs>
              <w:jc w:val="both"/>
              <w:rPr>
                <w:rFonts w:ascii="Arial Narrow" w:hAnsi="Arial Narrow" w:cs="Times New Roman"/>
                <w:sz w:val="20"/>
                <w:szCs w:val="22"/>
              </w:rPr>
            </w:pPr>
            <w:r>
              <w:rPr>
                <w:rFonts w:ascii="Arial Narrow" w:hAnsi="Arial Narrow" w:cs="Times New Roman"/>
                <w:sz w:val="20"/>
                <w:szCs w:val="22"/>
              </w:rPr>
              <w:t>bežné</w:t>
            </w:r>
            <w:r>
              <w:rPr>
                <w:rFonts w:ascii="Arial Narrow" w:hAnsi="Arial Narrow" w:cs="Times New Roman"/>
                <w:sz w:val="20"/>
                <w:szCs w:val="22"/>
              </w:rPr>
              <w:t xml:space="preserve"> výdavky</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571 008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633 450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632 978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3C14FB" w:rsidP="00C52DD5">
            <w:pPr>
              <w:jc w:val="right"/>
              <w:rPr>
                <w:rFonts w:ascii="Arial Narrow" w:hAnsi="Arial Narrow" w:cs="Times New Roman"/>
                <w:sz w:val="20"/>
                <w:szCs w:val="22"/>
              </w:rPr>
            </w:pPr>
            <w:r>
              <w:rPr>
                <w:rFonts w:ascii="Arial Narrow" w:hAnsi="Arial Narrow" w:cs="Times New Roman"/>
                <w:sz w:val="20"/>
                <w:szCs w:val="22"/>
              </w:rPr>
              <w:t>649 172</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87"/>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kapitálové výdavky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49 425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34 775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25 157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26 778</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87"/>
              </w:numPr>
              <w:tabs>
                <w:tab w:val="left" w:pos="360"/>
              </w:tabs>
              <w:jc w:val="both"/>
              <w:rPr>
                <w:rFonts w:ascii="Arial Narrow" w:hAnsi="Arial Narrow" w:cs="Times New Roman"/>
                <w:sz w:val="20"/>
                <w:szCs w:val="22"/>
              </w:rPr>
            </w:pPr>
            <w:r>
              <w:rPr>
                <w:rFonts w:ascii="Arial Narrow" w:hAnsi="Arial Narrow" w:cs="Times New Roman"/>
                <w:sz w:val="20"/>
                <w:szCs w:val="22"/>
              </w:rPr>
              <w:t xml:space="preserve">poskytovanie úverov a pôžičiek a splácanie istín (FO)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0</w:t>
            </w:r>
          </w:p>
        </w:tc>
      </w:tr>
      <w:tr>
        <w:tblPrEx>
          <w:tblW w:w="9180" w:type="dxa"/>
          <w:tblInd w:w="108" w:type="dxa"/>
        </w:tblPrEx>
        <w:trPr>
          <w:trHeight w:hRule="auto" w:val="0"/>
        </w:trPr>
        <w:tc>
          <w:tcPr>
            <w:tcW w:w="918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Celkový prebytok PO sektora VS</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9 272</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9 508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6 799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7 478</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vylúčenie finančných operácií</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65"/>
              <w:jc w:val="right"/>
              <w:rPr>
                <w:rFonts w:ascii="Arial Narrow" w:hAnsi="Arial Narrow" w:cs="Times New Roman"/>
                <w:b/>
                <w:i/>
                <w:sz w:val="20"/>
                <w:szCs w:val="22"/>
              </w:rPr>
            </w:pPr>
            <w:r>
              <w:rPr>
                <w:rFonts w:ascii="Arial Narrow" w:hAnsi="Arial Narrow" w:cs="Times New Roman"/>
                <w:b/>
                <w:i/>
                <w:sz w:val="20"/>
                <w:szCs w:val="22"/>
              </w:rPr>
              <w:t>-66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65"/>
              <w:jc w:val="right"/>
              <w:rPr>
                <w:rFonts w:ascii="Arial Narrow" w:hAnsi="Arial Narrow" w:cs="Times New Roman"/>
                <w:b/>
                <w:i/>
                <w:sz w:val="20"/>
                <w:szCs w:val="22"/>
              </w:rPr>
            </w:pPr>
            <w:r>
              <w:rPr>
                <w:rFonts w:ascii="Arial Narrow" w:hAnsi="Arial Narrow" w:cs="Times New Roman"/>
                <w:b/>
                <w:i/>
                <w:sz w:val="20"/>
                <w:szCs w:val="22"/>
              </w:rPr>
              <w:t>-1 325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-1 590</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-2 854</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z toho: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b/>
                <w:i/>
                <w:sz w:val="20"/>
                <w:szCs w:val="22"/>
              </w:rPr>
            </w:pP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88"/>
              </w:numPr>
              <w:tabs>
                <w:tab w:val="left" w:pos="360"/>
              </w:tabs>
              <w:jc w:val="both"/>
              <w:rPr>
                <w:rFonts w:ascii="Arial Narrow" w:hAnsi="Arial Narrow" w:cs="Times New Roman"/>
                <w:b/>
                <w:sz w:val="20"/>
                <w:szCs w:val="22"/>
              </w:rPr>
            </w:pPr>
            <w:r>
              <w:rPr>
                <w:rFonts w:ascii="Arial Narrow" w:hAnsi="Arial Narrow" w:cs="Times New Roman"/>
                <w:sz w:val="20"/>
                <w:szCs w:val="22"/>
              </w:rPr>
              <w:t>vylúčenie príjmových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-99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-1 361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-1 593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-2 854</w:t>
            </w: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numPr>
                <w:ilvl w:val="0"/>
                <w:numId w:val="188"/>
              </w:numPr>
              <w:tabs>
                <w:tab w:val="left" w:pos="360"/>
              </w:tabs>
              <w:jc w:val="both"/>
              <w:rPr>
                <w:rFonts w:ascii="Arial Narrow" w:hAnsi="Arial Narrow" w:cs="Times New Roman"/>
                <w:sz w:val="20"/>
                <w:szCs w:val="22"/>
              </w:rPr>
            </w:pPr>
            <w:r>
              <w:rPr>
                <w:rFonts w:ascii="Arial Narrow" w:hAnsi="Arial Narrow" w:cs="Times New Roman"/>
                <w:sz w:val="20"/>
                <w:szCs w:val="22"/>
              </w:rPr>
              <w:t>vylúčenie výdavkových FO</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0"/>
                <w:szCs w:val="22"/>
              </w:rPr>
            </w:pPr>
            <w:r>
              <w:rPr>
                <w:rFonts w:ascii="Arial Narrow" w:hAnsi="Arial Narrow" w:cs="Times New Roman"/>
                <w:sz w:val="20"/>
                <w:szCs w:val="22"/>
              </w:rPr>
              <w:t xml:space="preserve"> 0</w:t>
            </w:r>
          </w:p>
        </w:tc>
      </w:tr>
      <w:tr>
        <w:tblPrEx>
          <w:tblW w:w="9180" w:type="dxa"/>
          <w:tblInd w:w="108" w:type="dxa"/>
        </w:tblPrEx>
        <w:trPr>
          <w:trHeight w:hRule="auto" w:val="0"/>
        </w:trPr>
        <w:tc>
          <w:tcPr>
            <w:tcW w:w="9180"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0"/>
                <w:szCs w:val="22"/>
              </w:rPr>
            </w:pPr>
          </w:p>
        </w:tc>
      </w:tr>
      <w:tr>
        <w:tblPrEx>
          <w:tblW w:w="9180" w:type="dxa"/>
          <w:tblInd w:w="108" w:type="dxa"/>
        </w:tblPrEx>
        <w:trPr>
          <w:trHeight w:hRule="auto" w:val="0"/>
        </w:trPr>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both"/>
              <w:rPr>
                <w:rFonts w:ascii="Arial Narrow" w:hAnsi="Arial Narrow" w:cs="Times New Roman"/>
                <w:b/>
                <w:i/>
                <w:sz w:val="20"/>
                <w:szCs w:val="22"/>
              </w:rPr>
            </w:pPr>
            <w:r>
              <w:rPr>
                <w:rFonts w:ascii="Arial Narrow" w:hAnsi="Arial Narrow" w:cs="Times New Roman"/>
                <w:b/>
                <w:i/>
                <w:sz w:val="20"/>
                <w:szCs w:val="22"/>
              </w:rPr>
              <w:t>Prebytok  PO sektora VS (ESA 95)</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50"/>
              <w:jc w:val="right"/>
              <w:rPr>
                <w:rFonts w:ascii="Arial Narrow" w:hAnsi="Arial Narrow" w:cs="Times New Roman"/>
                <w:b/>
                <w:i/>
                <w:sz w:val="20"/>
                <w:szCs w:val="22"/>
              </w:rPr>
            </w:pPr>
            <w:r>
              <w:rPr>
                <w:rFonts w:ascii="Arial Narrow" w:hAnsi="Arial Narrow" w:cs="Times New Roman"/>
                <w:b/>
                <w:i/>
                <w:sz w:val="20"/>
                <w:szCs w:val="22"/>
              </w:rPr>
              <w:t>9 206</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50"/>
              <w:jc w:val="right"/>
              <w:rPr>
                <w:rFonts w:ascii="Arial Narrow" w:hAnsi="Arial Narrow" w:cs="Times New Roman"/>
                <w:b/>
                <w:i/>
                <w:sz w:val="20"/>
                <w:szCs w:val="22"/>
              </w:rPr>
            </w:pPr>
            <w:r>
              <w:rPr>
                <w:rFonts w:ascii="Arial Narrow" w:hAnsi="Arial Narrow" w:cs="Times New Roman"/>
                <w:b/>
                <w:i/>
                <w:sz w:val="20"/>
                <w:szCs w:val="22"/>
              </w:rPr>
              <w:t>8 183</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jc w:val="right"/>
              <w:rPr>
                <w:rFonts w:ascii="Arial Narrow" w:hAnsi="Arial Narrow" w:cs="Times New Roman"/>
                <w:b/>
                <w:i/>
                <w:sz w:val="20"/>
                <w:szCs w:val="22"/>
              </w:rPr>
            </w:pPr>
            <w:r>
              <w:rPr>
                <w:rFonts w:ascii="Arial Narrow" w:hAnsi="Arial Narrow" w:cs="Times New Roman"/>
                <w:b/>
                <w:i/>
                <w:sz w:val="20"/>
                <w:szCs w:val="22"/>
              </w:rPr>
              <w:t>5 209</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C52DD5" w:rsidP="00C52DD5">
            <w:pPr>
              <w:ind w:left="335"/>
              <w:jc w:val="right"/>
              <w:rPr>
                <w:rFonts w:ascii="Arial Narrow" w:hAnsi="Arial Narrow" w:cs="Times New Roman"/>
                <w:b/>
                <w:i/>
                <w:sz w:val="20"/>
                <w:szCs w:val="22"/>
              </w:rPr>
            </w:pPr>
            <w:r>
              <w:rPr>
                <w:rFonts w:ascii="Arial Narrow" w:hAnsi="Arial Narrow" w:cs="Times New Roman"/>
                <w:b/>
                <w:i/>
                <w:sz w:val="20"/>
                <w:szCs w:val="22"/>
              </w:rPr>
              <w:t>4 624</w:t>
            </w:r>
          </w:p>
        </w:tc>
      </w:tr>
    </w:tbl>
    <w:p w:rsidR="00C52DD5" w:rsidRPr="00AB421E" w:rsidP="00C52DD5">
      <w:pPr>
        <w:jc w:val="both"/>
        <w:rPr>
          <w:rFonts w:cs="Times New Roman"/>
          <w:highlight w:val="yellow"/>
        </w:rPr>
      </w:pPr>
    </w:p>
    <w:p w:rsidR="00C52DD5" w:rsidP="00C52DD5">
      <w:pPr>
        <w:ind w:firstLine="708"/>
        <w:jc w:val="both"/>
        <w:rPr>
          <w:rFonts w:ascii="Arial Narrow" w:hAnsi="Arial Narrow" w:cs="Times New Roman"/>
          <w:sz w:val="22"/>
          <w:szCs w:val="22"/>
          <w:highlight w:val="yellow"/>
        </w:rPr>
      </w:pPr>
    </w:p>
    <w:p w:rsidR="00C52DD5" w:rsidRPr="00804143" w:rsidP="00C52DD5">
      <w:pPr>
        <w:pStyle w:val="Heading3"/>
        <w:spacing w:before="0" w:after="0"/>
        <w:jc w:val="both"/>
        <w:rPr>
          <w:rFonts w:ascii="Arial Narrow" w:hAnsi="Arial Narrow"/>
          <w:sz w:val="24"/>
          <w:szCs w:val="24"/>
        </w:rPr>
      </w:pPr>
      <w:r w:rsidRPr="00804143">
        <w:rPr>
          <w:rFonts w:ascii="Arial Narrow" w:hAnsi="Arial Narrow"/>
          <w:sz w:val="24"/>
          <w:szCs w:val="24"/>
        </w:rPr>
        <w:t>11.  Slovenská televízia</w:t>
      </w:r>
    </w:p>
    <w:p w:rsidR="00C52DD5" w:rsidP="00C52DD5">
      <w:pPr>
        <w:ind w:firstLine="708"/>
        <w:jc w:val="both"/>
        <w:rPr>
          <w:rFonts w:ascii="Arial Narrow" w:hAnsi="Arial Narrow" w:cs="Times New Roman"/>
          <w:sz w:val="22"/>
          <w:szCs w:val="22"/>
        </w:rPr>
      </w:pPr>
    </w:p>
    <w:p w:rsidR="00C52DD5" w:rsidP="00C52DD5">
      <w:pPr>
        <w:autoSpaceDE/>
        <w:autoSpaceDN/>
        <w:ind w:firstLine="708"/>
        <w:jc w:val="both"/>
        <w:rPr>
          <w:rFonts w:ascii="Arial Narrow" w:hAnsi="Arial Narrow" w:cs="Times New Roman"/>
          <w:sz w:val="22"/>
          <w:szCs w:val="22"/>
        </w:rPr>
      </w:pPr>
      <w:r>
        <w:rPr>
          <w:rFonts w:ascii="Arial Narrow" w:hAnsi="Arial Narrow" w:cs="Times New Roman"/>
          <w:sz w:val="22"/>
          <w:szCs w:val="22"/>
        </w:rPr>
        <w:t>Príjmová časť rozpočtu je tvorená daňovými príjmami, a to úhradami za služby verejnosti poskytované  Slovenskou televíziou (ďalej len „STV“) podľa zákona č. 68/2008 Z. z</w:t>
      </w:r>
      <w:r w:rsidRPr="00C52C24">
        <w:rPr>
          <w:rFonts w:ascii="Arial Narrow" w:hAnsi="Arial Narrow" w:cs="Times New Roman"/>
          <w:sz w:val="22"/>
          <w:szCs w:val="22"/>
        </w:rPr>
        <w:t xml:space="preserve">. </w:t>
      </w:r>
      <w:r w:rsidRPr="00C52C24">
        <w:rPr>
          <w:rFonts w:ascii="Arial Narrow" w:hAnsi="Arial Narrow" w:cs="Arial"/>
          <w:bCs/>
          <w:sz w:val="22"/>
          <w:szCs w:val="22"/>
        </w:rPr>
        <w:t>o úhrade za služby verejnosti poskytované Slovenskou televíziou a</w:t>
      </w:r>
      <w:r>
        <w:rPr>
          <w:rFonts w:ascii="Arial Narrow" w:hAnsi="Arial Narrow" w:cs="Arial"/>
          <w:bCs/>
          <w:sz w:val="22"/>
          <w:szCs w:val="22"/>
        </w:rPr>
        <w:t xml:space="preserve"> </w:t>
      </w:r>
      <w:r w:rsidRPr="00C52C24">
        <w:rPr>
          <w:rFonts w:ascii="Arial Narrow" w:hAnsi="Arial Narrow" w:cs="Arial"/>
          <w:bCs/>
          <w:sz w:val="22"/>
          <w:szCs w:val="22"/>
        </w:rPr>
        <w:t>Slovenským rozhlasom a o zmene a doplnení niektorých zákonov</w:t>
      </w:r>
      <w:r>
        <w:rPr>
          <w:rFonts w:ascii="Arial Narrow" w:hAnsi="Arial Narrow" w:cs="Times New Roman"/>
          <w:sz w:val="22"/>
          <w:szCs w:val="22"/>
        </w:rPr>
        <w:t>, ktorých výška  tvorí 70,9 % z celkových príjmov v roku 2009. Ďalej sú to nedaňové príjmy, najmä príjmy z reklamy, ktoré tvoria      27,9 % z celkových príjmov. Medziročný nárast príjmov v roku 2009 je o 6,5 %, spôsobený najmä rastom  v časti daňové príjmy (nárast 17,9 %), čo je dané predpokladaným zlepšením výberu úhrad za služby verejnosti (bývalé koncesionárske poplatky) a následne zvýšením príjmov STV.</w:t>
      </w:r>
    </w:p>
    <w:p w:rsidR="00C52DD5" w:rsidP="00C52DD5">
      <w:pPr>
        <w:autoSpaceDE/>
        <w:autoSpaceDN/>
        <w:jc w:val="both"/>
        <w:rPr>
          <w:rFonts w:ascii="Arial Narrow" w:hAnsi="Arial Narrow" w:cs="Times New Roman"/>
          <w:sz w:val="22"/>
          <w:szCs w:val="22"/>
        </w:rPr>
      </w:pPr>
    </w:p>
    <w:p w:rsidR="00C52DD5" w:rsidP="00C52DD5">
      <w:pPr>
        <w:autoSpaceDE/>
        <w:autoSpaceDN/>
        <w:ind w:firstLine="708"/>
        <w:jc w:val="both"/>
        <w:rPr>
          <w:rFonts w:ascii="Arial Narrow" w:hAnsi="Arial Narrow" w:cs="Times New Roman"/>
          <w:sz w:val="22"/>
          <w:szCs w:val="22"/>
        </w:rPr>
      </w:pPr>
      <w:r>
        <w:rPr>
          <w:rFonts w:ascii="Arial Narrow" w:hAnsi="Arial Narrow" w:cs="Times New Roman"/>
          <w:sz w:val="22"/>
          <w:szCs w:val="22"/>
        </w:rPr>
        <w:t>Výdavková časť rozpočtu na rok 2009 rastie oproti roku 2008 o 7,6 %, čo je dôsledkom</w:t>
      </w:r>
      <w:r w:rsidRPr="0043154E">
        <w:rPr>
          <w:rFonts w:ascii="Arial Narrow" w:hAnsi="Arial Narrow" w:cs="Times New Roman"/>
          <w:sz w:val="22"/>
          <w:szCs w:val="22"/>
        </w:rPr>
        <w:t xml:space="preserve"> najmä zvýšený</w:t>
      </w:r>
      <w:r>
        <w:rPr>
          <w:rFonts w:ascii="Arial Narrow" w:hAnsi="Arial Narrow" w:cs="Times New Roman"/>
          <w:sz w:val="22"/>
          <w:szCs w:val="22"/>
        </w:rPr>
        <w:t>ch</w:t>
      </w:r>
      <w:r w:rsidRPr="0043154E">
        <w:rPr>
          <w:rFonts w:ascii="Arial Narrow" w:hAnsi="Arial Narrow" w:cs="Times New Roman"/>
          <w:sz w:val="22"/>
          <w:szCs w:val="22"/>
        </w:rPr>
        <w:t xml:space="preserve"> investíc</w:t>
      </w:r>
      <w:r>
        <w:rPr>
          <w:rFonts w:ascii="Arial Narrow" w:hAnsi="Arial Narrow" w:cs="Times New Roman"/>
          <w:sz w:val="22"/>
          <w:szCs w:val="22"/>
        </w:rPr>
        <w:t>ií (nárast o 52 %)</w:t>
      </w:r>
      <w:r w:rsidRPr="0043154E">
        <w:rPr>
          <w:rFonts w:ascii="Arial Narrow" w:hAnsi="Arial Narrow" w:cs="Times New Roman"/>
          <w:sz w:val="22"/>
          <w:szCs w:val="22"/>
        </w:rPr>
        <w:t>, ktoré súvisia s potrebou prechodu analógového vysielania na digitálne</w:t>
      </w:r>
      <w:r>
        <w:rPr>
          <w:rFonts w:ascii="Arial Narrow" w:hAnsi="Arial Narrow" w:cs="Times New Roman"/>
          <w:sz w:val="22"/>
          <w:szCs w:val="22"/>
        </w:rPr>
        <w:t xml:space="preserve">. </w:t>
      </w:r>
      <w:r w:rsidRPr="0043154E">
        <w:rPr>
          <w:rFonts w:ascii="Arial Narrow" w:hAnsi="Arial Narrow" w:cs="Times New Roman"/>
          <w:sz w:val="22"/>
          <w:szCs w:val="22"/>
        </w:rPr>
        <w:t xml:space="preserve">STV ukladá zákon ukončiť </w:t>
      </w:r>
      <w:r>
        <w:rPr>
          <w:rFonts w:ascii="Arial Narrow" w:hAnsi="Arial Narrow" w:cs="Times New Roman"/>
          <w:sz w:val="22"/>
          <w:szCs w:val="22"/>
        </w:rPr>
        <w:t xml:space="preserve">digitalizáciu </w:t>
      </w:r>
      <w:r w:rsidRPr="0043154E">
        <w:rPr>
          <w:rFonts w:ascii="Arial Narrow" w:hAnsi="Arial Narrow" w:cs="Times New Roman"/>
          <w:sz w:val="22"/>
          <w:szCs w:val="22"/>
        </w:rPr>
        <w:t>do konca roka 2012</w:t>
      </w:r>
      <w:r>
        <w:rPr>
          <w:rFonts w:ascii="Arial Narrow" w:hAnsi="Arial Narrow" w:cs="Times New Roman"/>
          <w:sz w:val="22"/>
          <w:szCs w:val="22"/>
        </w:rPr>
        <w:t>, pričom f</w:t>
      </w:r>
      <w:r w:rsidRPr="0043154E">
        <w:rPr>
          <w:rFonts w:ascii="Arial Narrow" w:hAnsi="Arial Narrow" w:cs="Times New Roman"/>
          <w:sz w:val="22"/>
          <w:szCs w:val="22"/>
        </w:rPr>
        <w:t xml:space="preserve">inančné prostriedky na digitalizáciu </w:t>
      </w:r>
      <w:r>
        <w:rPr>
          <w:rFonts w:ascii="Arial Narrow" w:hAnsi="Arial Narrow" w:cs="Times New Roman"/>
          <w:sz w:val="22"/>
          <w:szCs w:val="22"/>
        </w:rPr>
        <w:t xml:space="preserve">sú </w:t>
      </w:r>
      <w:r w:rsidRPr="0043154E">
        <w:rPr>
          <w:rFonts w:ascii="Arial Narrow" w:hAnsi="Arial Narrow" w:cs="Times New Roman"/>
          <w:sz w:val="22"/>
          <w:szCs w:val="22"/>
        </w:rPr>
        <w:t>v návrhoch rozpočtu na minimálnej úrovni</w:t>
      </w:r>
      <w:r>
        <w:rPr>
          <w:rFonts w:ascii="Arial Narrow" w:hAnsi="Arial Narrow" w:cs="Times New Roman"/>
          <w:sz w:val="22"/>
          <w:szCs w:val="22"/>
        </w:rPr>
        <w:t xml:space="preserve">. Podľa informácií STV </w:t>
      </w:r>
      <w:r w:rsidRPr="0043154E">
        <w:rPr>
          <w:rFonts w:ascii="Arial Narrow" w:hAnsi="Arial Narrow" w:cs="Times New Roman"/>
          <w:sz w:val="22"/>
          <w:szCs w:val="22"/>
        </w:rPr>
        <w:t xml:space="preserve">v roku 2009 </w:t>
      </w:r>
      <w:r>
        <w:rPr>
          <w:rFonts w:ascii="Arial Narrow" w:hAnsi="Arial Narrow" w:cs="Times New Roman"/>
          <w:sz w:val="22"/>
          <w:szCs w:val="22"/>
        </w:rPr>
        <w:t xml:space="preserve"> sa </w:t>
      </w:r>
      <w:r w:rsidRPr="0043154E">
        <w:rPr>
          <w:rFonts w:ascii="Arial Narrow" w:hAnsi="Arial Narrow" w:cs="Times New Roman"/>
          <w:sz w:val="22"/>
          <w:szCs w:val="22"/>
        </w:rPr>
        <w:t xml:space="preserve">očakáva vyšší nárast </w:t>
      </w:r>
      <w:r>
        <w:rPr>
          <w:rFonts w:ascii="Arial Narrow" w:hAnsi="Arial Narrow" w:cs="Times New Roman"/>
          <w:sz w:val="22"/>
          <w:szCs w:val="22"/>
        </w:rPr>
        <w:t xml:space="preserve">výdavkov </w:t>
      </w:r>
      <w:r w:rsidRPr="0043154E">
        <w:rPr>
          <w:rFonts w:ascii="Arial Narrow" w:hAnsi="Arial Narrow" w:cs="Times New Roman"/>
          <w:sz w:val="22"/>
          <w:szCs w:val="22"/>
        </w:rPr>
        <w:t xml:space="preserve">v dôsledku zavedenia </w:t>
      </w:r>
      <w:r>
        <w:rPr>
          <w:rFonts w:ascii="Arial Narrow" w:hAnsi="Arial Narrow" w:cs="Times New Roman"/>
          <w:sz w:val="22"/>
          <w:szCs w:val="22"/>
        </w:rPr>
        <w:t>e</w:t>
      </w:r>
      <w:r w:rsidRPr="0043154E">
        <w:rPr>
          <w:rFonts w:ascii="Arial Narrow" w:hAnsi="Arial Narrow" w:cs="Times New Roman"/>
          <w:sz w:val="22"/>
          <w:szCs w:val="22"/>
        </w:rPr>
        <w:t xml:space="preserve">ura. </w:t>
      </w:r>
    </w:p>
    <w:p w:rsidR="00C52DD5" w:rsidRPr="00772FBF" w:rsidP="00C52DD5">
      <w:pPr>
        <w:autoSpaceDE/>
        <w:autoSpaceDN/>
        <w:ind w:firstLine="708"/>
        <w:jc w:val="both"/>
        <w:rPr>
          <w:rFonts w:ascii="Arial Narrow" w:hAnsi="Arial Narrow" w:cs="Times New Roman"/>
          <w:sz w:val="22"/>
          <w:szCs w:val="22"/>
        </w:rPr>
      </w:pPr>
      <w:r w:rsidRPr="00772FBF">
        <w:rPr>
          <w:rFonts w:ascii="Arial Narrow" w:hAnsi="Arial Narrow" w:cs="Times New Roman"/>
          <w:sz w:val="22"/>
          <w:szCs w:val="22"/>
        </w:rPr>
        <w:t xml:space="preserve">     </w:t>
      </w:r>
    </w:p>
    <w:p w:rsidR="00C52DD5" w:rsidP="00C52DD5">
      <w:pPr>
        <w:ind w:firstLine="708"/>
        <w:jc w:val="both"/>
        <w:rPr>
          <w:rFonts w:ascii="Arial Narrow" w:hAnsi="Arial Narrow" w:cs="Times New Roman"/>
          <w:sz w:val="22"/>
          <w:szCs w:val="22"/>
        </w:rPr>
      </w:pPr>
      <w:r w:rsidRPr="0043154E">
        <w:rPr>
          <w:rFonts w:ascii="Arial Narrow" w:hAnsi="Arial Narrow" w:cs="Times New Roman"/>
          <w:sz w:val="22"/>
          <w:szCs w:val="22"/>
        </w:rPr>
        <w:t>V návrhoch rozpočtov na roky 2009</w:t>
      </w:r>
      <w:r>
        <w:rPr>
          <w:rFonts w:ascii="Arial Narrow" w:hAnsi="Arial Narrow" w:cs="Times New Roman"/>
          <w:sz w:val="22"/>
          <w:szCs w:val="22"/>
        </w:rPr>
        <w:t xml:space="preserve"> až </w:t>
      </w:r>
      <w:r w:rsidRPr="0043154E">
        <w:rPr>
          <w:rFonts w:ascii="Arial Narrow" w:hAnsi="Arial Narrow" w:cs="Times New Roman"/>
          <w:sz w:val="22"/>
          <w:szCs w:val="22"/>
        </w:rPr>
        <w:t>2011 ST</w:t>
      </w:r>
      <w:r>
        <w:rPr>
          <w:rFonts w:ascii="Arial Narrow" w:hAnsi="Arial Narrow" w:cs="Times New Roman"/>
          <w:sz w:val="22"/>
          <w:szCs w:val="22"/>
        </w:rPr>
        <w:t>V predpokladá kompenzovať stratu</w:t>
      </w:r>
      <w:r w:rsidRPr="0043154E">
        <w:rPr>
          <w:rFonts w:ascii="Arial Narrow" w:hAnsi="Arial Narrow" w:cs="Times New Roman"/>
          <w:sz w:val="22"/>
          <w:szCs w:val="22"/>
        </w:rPr>
        <w:t xml:space="preserve"> z hospodárenia </w:t>
      </w:r>
      <w:r>
        <w:rPr>
          <w:rFonts w:ascii="Arial Narrow" w:hAnsi="Arial Narrow" w:cs="Times New Roman"/>
          <w:sz w:val="22"/>
          <w:szCs w:val="22"/>
        </w:rPr>
        <w:t xml:space="preserve">v roku 2009 </w:t>
      </w:r>
      <w:r w:rsidRPr="0043154E">
        <w:rPr>
          <w:rFonts w:ascii="Arial Narrow" w:hAnsi="Arial Narrow" w:cs="Times New Roman"/>
          <w:sz w:val="22"/>
          <w:szCs w:val="22"/>
        </w:rPr>
        <w:t xml:space="preserve">prostredníctvom </w:t>
      </w:r>
      <w:r>
        <w:rPr>
          <w:rFonts w:ascii="Arial Narrow" w:hAnsi="Arial Narrow" w:cs="Times New Roman"/>
          <w:sz w:val="22"/>
          <w:szCs w:val="22"/>
        </w:rPr>
        <w:t xml:space="preserve">predpokladanej </w:t>
      </w:r>
      <w:r w:rsidRPr="0043154E">
        <w:rPr>
          <w:rFonts w:ascii="Arial Narrow" w:hAnsi="Arial Narrow" w:cs="Times New Roman"/>
          <w:sz w:val="22"/>
          <w:szCs w:val="22"/>
        </w:rPr>
        <w:t xml:space="preserve">Zmluvy so štátom, ktorá by mala </w:t>
      </w:r>
      <w:r>
        <w:rPr>
          <w:rFonts w:ascii="Arial Narrow" w:hAnsi="Arial Narrow" w:cs="Times New Roman"/>
          <w:sz w:val="22"/>
          <w:szCs w:val="22"/>
        </w:rPr>
        <w:t>vstúpiť</w:t>
      </w:r>
      <w:r w:rsidRPr="0043154E">
        <w:rPr>
          <w:rFonts w:ascii="Arial Narrow" w:hAnsi="Arial Narrow" w:cs="Times New Roman"/>
          <w:sz w:val="22"/>
          <w:szCs w:val="22"/>
        </w:rPr>
        <w:t xml:space="preserve"> do platnosti v roku 2009. Prostriedky plynúce z tejto zmluvy budú účelovo použité na vysielanie programov  vo verejnom záujme.</w:t>
      </w:r>
      <w:r>
        <w:rPr>
          <w:rFonts w:ascii="Arial Narrow" w:hAnsi="Arial Narrow" w:cs="Times New Roman"/>
          <w:sz w:val="22"/>
          <w:szCs w:val="22"/>
        </w:rPr>
        <w:t xml:space="preserve"> </w:t>
      </w:r>
    </w:p>
    <w:p w:rsidR="00C52DD5" w:rsidP="00C52DD5">
      <w:pPr>
        <w:ind w:firstLine="708"/>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Vývoj príjmovej a výdavkovej časti rozpočtu STV na roky 2009 až 2011 je nasledovný:</w:t>
      </w:r>
    </w:p>
    <w:p w:rsidR="00C52DD5" w:rsidRPr="00AC5B52" w:rsidP="00C52DD5">
      <w:pPr>
        <w:ind w:firstLine="708"/>
        <w:jc w:val="both"/>
        <w:rPr>
          <w:rFonts w:ascii="Arial Narrow" w:hAnsi="Arial Narrow" w:cs="Times New Roman"/>
          <w:sz w:val="22"/>
          <w:szCs w:val="22"/>
        </w:rPr>
      </w:pPr>
    </w:p>
    <w:tbl>
      <w:tblPr>
        <w:tblW w:w="9133" w:type="dxa"/>
        <w:tblLayout w:type="fixed"/>
        <w:tblCellMar>
          <w:left w:w="70" w:type="dxa"/>
          <w:right w:w="70" w:type="dxa"/>
        </w:tblCellMar>
      </w:tblPr>
      <w:tblGrid>
        <w:gridCol w:w="4060"/>
        <w:gridCol w:w="1268"/>
        <w:gridCol w:w="1268"/>
        <w:gridCol w:w="1268"/>
        <w:gridCol w:w="1269"/>
      </w:tblGrid>
      <w:tr>
        <w:tblPrEx>
          <w:tblW w:w="9133" w:type="dxa"/>
          <w:tblLayout w:type="fixed"/>
          <w:tblCellMar>
            <w:left w:w="70" w:type="dxa"/>
            <w:right w:w="70" w:type="dxa"/>
          </w:tblCellMar>
        </w:tblPrEx>
        <w:trPr>
          <w:trHeight w:val="227"/>
        </w:trPr>
        <w:tc>
          <w:tcPr>
            <w:tcW w:w="4060" w:type="dxa"/>
            <w:tcBorders>
              <w:top w:val="single" w:sz="8" w:space="0" w:color="auto"/>
              <w:left w:val="single" w:sz="8" w:space="0" w:color="auto"/>
              <w:bottom w:val="single" w:sz="4" w:space="0" w:color="auto"/>
              <w:right w:val="single" w:sz="8" w:space="0" w:color="auto"/>
              <w:tl2br w:val="nil"/>
              <w:tr2bl w:val="nil"/>
            </w:tcBorders>
            <w:shd w:val="clear" w:color="auto" w:fill="000000"/>
            <w:textDirection w:val="lrTb"/>
            <w:vAlign w:val="bottom"/>
          </w:tcPr>
          <w:p w:rsidR="00C52DD5" w:rsidRPr="00AC5B52" w:rsidP="00C52DD5">
            <w:pPr>
              <w:jc w:val="both"/>
              <w:rPr>
                <w:rFonts w:ascii="Arial Narrow" w:hAnsi="Arial Narrow" w:cs="Arial"/>
                <w:b/>
                <w:color w:val="FFFFFF"/>
                <w:sz w:val="20"/>
              </w:rPr>
            </w:pPr>
            <w:r w:rsidRPr="00AC5B52">
              <w:rPr>
                <w:rFonts w:ascii="Arial Narrow" w:hAnsi="Arial Narrow" w:cs="Arial"/>
                <w:b/>
                <w:color w:val="FFFFFF"/>
                <w:sz w:val="20"/>
              </w:rPr>
              <w:t xml:space="preserve"> </w:t>
            </w:r>
            <w:r>
              <w:rPr>
                <w:rFonts w:ascii="Arial Narrow" w:hAnsi="Arial Narrow" w:cs="Arial"/>
                <w:b/>
                <w:color w:val="FFFFFF"/>
                <w:sz w:val="20"/>
              </w:rPr>
              <w:t>(</w:t>
            </w:r>
            <w:r w:rsidRPr="00AC5B52">
              <w:rPr>
                <w:rFonts w:ascii="Arial Narrow" w:hAnsi="Arial Narrow" w:cs="Arial"/>
                <w:b/>
                <w:color w:val="FFFFFF"/>
                <w:sz w:val="20"/>
              </w:rPr>
              <w:t xml:space="preserve">v </w:t>
            </w:r>
            <w:r>
              <w:rPr>
                <w:rFonts w:ascii="Arial Narrow" w:hAnsi="Arial Narrow" w:cs="Arial"/>
                <w:b/>
                <w:color w:val="FFFFFF"/>
                <w:sz w:val="20"/>
              </w:rPr>
              <w:t>tis. eur</w:t>
            </w:r>
            <w:r w:rsidRPr="00AC5B52">
              <w:rPr>
                <w:rFonts w:ascii="Arial Narrow" w:hAnsi="Arial Narrow" w:cs="Arial"/>
                <w:b/>
                <w:color w:val="FFFFFF"/>
                <w:sz w:val="20"/>
              </w:rPr>
              <w:t>)</w:t>
            </w:r>
          </w:p>
        </w:tc>
        <w:tc>
          <w:tcPr>
            <w:tcW w:w="1268" w:type="dxa"/>
            <w:tcBorders>
              <w:top w:val="single" w:sz="8"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200</w:t>
            </w:r>
            <w:r>
              <w:rPr>
                <w:rFonts w:ascii="Arial Narrow" w:hAnsi="Arial Narrow" w:cs="Arial"/>
                <w:b/>
                <w:bCs/>
                <w:color w:val="FFFFFF"/>
                <w:sz w:val="20"/>
              </w:rPr>
              <w:t>8</w:t>
            </w:r>
          </w:p>
        </w:tc>
        <w:tc>
          <w:tcPr>
            <w:tcW w:w="1268"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200</w:t>
            </w:r>
            <w:r>
              <w:rPr>
                <w:rFonts w:ascii="Arial Narrow" w:hAnsi="Arial Narrow" w:cs="Arial"/>
                <w:b/>
                <w:bCs/>
                <w:color w:val="FFFFFF"/>
                <w:sz w:val="20"/>
              </w:rPr>
              <w:t>9</w:t>
            </w:r>
          </w:p>
        </w:tc>
        <w:tc>
          <w:tcPr>
            <w:tcW w:w="1268"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w:t>
            </w:r>
            <w:r>
              <w:rPr>
                <w:rFonts w:ascii="Arial Narrow" w:hAnsi="Arial Narrow" w:cs="Arial"/>
                <w:b/>
                <w:bCs/>
                <w:color w:val="FFFFFF"/>
                <w:sz w:val="20"/>
              </w:rPr>
              <w:t>10</w:t>
            </w:r>
          </w:p>
        </w:tc>
        <w:tc>
          <w:tcPr>
            <w:tcW w:w="1269" w:type="dxa"/>
            <w:tcBorders>
              <w:top w:val="single" w:sz="8" w:space="0" w:color="auto"/>
              <w:left w:val="nil"/>
              <w:bottom w:val="single" w:sz="4" w:space="0" w:color="auto"/>
              <w:right w:val="single" w:sz="8" w:space="0" w:color="auto"/>
              <w:tl2br w:val="nil"/>
              <w:tr2bl w:val="nil"/>
            </w:tcBorders>
            <w:shd w:val="clear" w:color="auto" w:fill="000000"/>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201</w:t>
            </w:r>
            <w:r>
              <w:rPr>
                <w:rFonts w:ascii="Arial Narrow" w:hAnsi="Arial Narrow" w:cs="Arial"/>
                <w:b/>
                <w:bCs/>
                <w:color w:val="FFFFFF"/>
                <w:sz w:val="20"/>
              </w:rPr>
              <w:t>1</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xml:space="preserve">Príjmy </w:t>
            </w:r>
            <w:r>
              <w:rPr>
                <w:rFonts w:ascii="Arial Narrow" w:hAnsi="Arial Narrow" w:cs="Arial"/>
                <w:b/>
                <w:bCs/>
                <w:i/>
                <w:iCs/>
                <w:sz w:val="20"/>
              </w:rPr>
              <w:t>STV</w:t>
            </w:r>
            <w:r w:rsidRPr="00AC5B52">
              <w:rPr>
                <w:rFonts w:ascii="Arial Narrow" w:hAnsi="Arial Narrow" w:cs="Arial"/>
                <w:b/>
                <w:bCs/>
                <w:i/>
                <w:iCs/>
                <w:sz w:val="20"/>
              </w:rPr>
              <w:t xml:space="preserve"> spolu</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89 047</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94 826</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98 909</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102 601</w:t>
            </w:r>
          </w:p>
        </w:tc>
      </w:tr>
      <w:tr>
        <w:tblPrEx>
          <w:tblW w:w="9133" w:type="dxa"/>
          <w:tblLayout w:type="fixed"/>
          <w:tblCellMar>
            <w:left w:w="70" w:type="dxa"/>
            <w:right w:w="70" w:type="dxa"/>
          </w:tblCellMar>
        </w:tblPrEx>
        <w:trPr>
          <w:trHeight w:val="227"/>
        </w:trPr>
        <w:tc>
          <w:tcPr>
            <w:tcW w:w="9133" w:type="dxa"/>
            <w:gridSpan w:val="5"/>
            <w:tcBorders>
              <w:top w:val="nil"/>
              <w:left w:val="single" w:sz="8" w:space="0" w:color="auto"/>
              <w:bottom w:val="single" w:sz="4" w:space="0" w:color="auto"/>
              <w:right w:val="single" w:sz="8" w:space="0" w:color="auto"/>
              <w:tl2br w:val="nil"/>
              <w:tr2bl w:val="nil"/>
            </w:tcBorders>
            <w:textDirection w:val="lrTb"/>
            <w:vAlign w:val="bottom"/>
          </w:tcPr>
          <w:p w:rsidR="00C52DD5" w:rsidRPr="00AC5B52" w:rsidP="00C52DD5">
            <w:pPr>
              <w:rPr>
                <w:rFonts w:ascii="Arial Narrow" w:hAnsi="Arial Narrow" w:cs="Arial"/>
                <w:sz w:val="20"/>
              </w:rPr>
            </w:pPr>
            <w:r w:rsidRPr="00AC5B52">
              <w:rPr>
                <w:rFonts w:ascii="Arial Narrow" w:hAnsi="Arial Narrow" w:cs="Arial"/>
                <w:b/>
                <w:i/>
                <w:sz w:val="20"/>
              </w:rPr>
              <w:t>z toho:</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bottom"/>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príjmy z úhrad za služby verejnosti</w:t>
            </w:r>
            <w:r w:rsidRPr="00AC5B52">
              <w:rPr>
                <w:rFonts w:ascii="Arial Narrow" w:hAnsi="Arial Narrow" w:cs="Arial"/>
                <w:sz w:val="20"/>
              </w:rPr>
              <w:t xml:space="preserve"> </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57 027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67 227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69 652</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70 493</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nedaňové príjmy</w:t>
            </w:r>
            <w:r w:rsidRPr="00AC5B52">
              <w:rPr>
                <w:rFonts w:ascii="Arial Narrow" w:hAnsi="Arial Narrow" w:cs="Arial"/>
                <w:sz w:val="20"/>
              </w:rPr>
              <w:t>, z toho: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25 200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26 753</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29 257</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32 108</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ind w:firstLine="400"/>
              <w:rPr>
                <w:rFonts w:ascii="Arial Narrow" w:hAnsi="Arial Narrow" w:cs="Arial"/>
                <w:sz w:val="20"/>
              </w:rPr>
            </w:pPr>
            <w:r w:rsidRPr="00AC5B52">
              <w:rPr>
                <w:rFonts w:ascii="Arial Narrow" w:hAnsi="Arial Narrow" w:cs="Arial"/>
                <w:sz w:val="20"/>
              </w:rPr>
              <w:t xml:space="preserve">             </w:t>
            </w:r>
            <w:r>
              <w:rPr>
                <w:rFonts w:ascii="Arial Narrow" w:hAnsi="Arial Narrow" w:cs="Arial"/>
                <w:sz w:val="20"/>
              </w:rPr>
              <w:t>z reklamy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22 904</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26 470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28 982</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31 823</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ind w:firstLine="400"/>
              <w:rPr>
                <w:rFonts w:ascii="Arial Narrow" w:hAnsi="Arial Narrow" w:cs="Arial"/>
                <w:sz w:val="20"/>
              </w:rPr>
            </w:pPr>
            <w:r>
              <w:rPr>
                <w:rFonts w:ascii="Arial Narrow" w:hAnsi="Arial Narrow" w:cs="Arial"/>
                <w:sz w:val="20"/>
              </w:rPr>
              <w:t xml:space="preserve">             z úrokov z účtov finanč.  hospodárenia</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ind w:firstLine="400"/>
              <w:rPr>
                <w:rFonts w:ascii="Arial Narrow" w:hAnsi="Arial Narrow" w:cs="Arial"/>
                <w:sz w:val="20"/>
              </w:rPr>
            </w:pPr>
            <w:r>
              <w:rPr>
                <w:rFonts w:ascii="Arial Narrow" w:hAnsi="Arial Narrow" w:cs="Arial"/>
                <w:sz w:val="20"/>
              </w:rPr>
              <w:t xml:space="preserve">             ostatné</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2 296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266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275</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285</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zostatok prostriedkov z predch. rokov (FO)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6 820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846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nil"/>
              <w:tl2br w:val="nil"/>
              <w:tr2bl w:val="nil"/>
            </w:tcBorders>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xml:space="preserve">Výdavky </w:t>
            </w:r>
            <w:r>
              <w:rPr>
                <w:rFonts w:ascii="Arial Narrow" w:hAnsi="Arial Narrow" w:cs="Arial"/>
                <w:b/>
                <w:bCs/>
                <w:i/>
                <w:iCs/>
                <w:sz w:val="20"/>
              </w:rPr>
              <w:t>STV</w:t>
            </w:r>
            <w:r w:rsidRPr="00AC5B52">
              <w:rPr>
                <w:rFonts w:ascii="Arial Narrow" w:hAnsi="Arial Narrow" w:cs="Arial"/>
                <w:b/>
                <w:bCs/>
                <w:i/>
                <w:iCs/>
                <w:sz w:val="20"/>
              </w:rPr>
              <w:t xml:space="preserve"> spolu</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88 119</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94 826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98 909</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102 601</w:t>
            </w:r>
          </w:p>
        </w:tc>
      </w:tr>
      <w:tr>
        <w:tblPrEx>
          <w:tblW w:w="9133" w:type="dxa"/>
          <w:tblLayout w:type="fixed"/>
          <w:tblCellMar>
            <w:left w:w="70" w:type="dxa"/>
            <w:right w:w="70" w:type="dxa"/>
          </w:tblCellMar>
        </w:tblPrEx>
        <w:trPr>
          <w:trHeight w:val="227"/>
        </w:trPr>
        <w:tc>
          <w:tcPr>
            <w:tcW w:w="9133" w:type="dxa"/>
            <w:gridSpan w:val="5"/>
            <w:tcBorders>
              <w:top w:val="nil"/>
              <w:left w:val="single" w:sz="8" w:space="0" w:color="auto"/>
              <w:bottom w:val="single" w:sz="4" w:space="0" w:color="auto"/>
              <w:right w:val="single" w:sz="8" w:space="0" w:color="auto"/>
              <w:tl2br w:val="nil"/>
              <w:tr2bl w:val="nil"/>
            </w:tcBorders>
            <w:textDirection w:val="lrTb"/>
            <w:vAlign w:val="center"/>
          </w:tcPr>
          <w:p w:rsidR="00C52DD5" w:rsidRPr="00AC5B52" w:rsidP="00C52DD5">
            <w:pPr>
              <w:rPr>
                <w:rFonts w:ascii="Arial Narrow" w:hAnsi="Arial Narrow" w:cs="Arial"/>
                <w:sz w:val="20"/>
              </w:rPr>
            </w:pPr>
            <w:r w:rsidRPr="00AC5B52">
              <w:rPr>
                <w:rFonts w:ascii="Arial Narrow" w:hAnsi="Arial Narrow" w:cs="Arial"/>
                <w:b/>
                <w:i/>
                <w:sz w:val="20"/>
              </w:rPr>
              <w:t>z toho:</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mzdy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12 055</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12 660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13 293</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13 958</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odvody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4 127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4 333</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4 551</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4 780</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tovary a služby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65 113</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65 771</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67 247</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68 353</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bežné transfery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271</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2 104</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2 200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2 232</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kapitálové výdavky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6 553</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9 958</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11 618</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13 278</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Celkový</w:t>
            </w:r>
            <w:r>
              <w:rPr>
                <w:rFonts w:ascii="Arial Narrow" w:hAnsi="Arial Narrow" w:cs="Arial"/>
                <w:b/>
                <w:bCs/>
                <w:i/>
                <w:iCs/>
                <w:sz w:val="20"/>
              </w:rPr>
              <w:t xml:space="preserve"> bilancia STV</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929</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0</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0</w:t>
            </w:r>
          </w:p>
        </w:tc>
        <w:tc>
          <w:tcPr>
            <w:tcW w:w="1269"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0</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xml:space="preserve"> vylúčenie finančných operácií</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-6 820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-846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0</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w:t>
            </w:r>
            <w:r w:rsidRPr="00AC5B52">
              <w:rPr>
                <w:rFonts w:ascii="Arial Narrow" w:hAnsi="Arial Narrow" w:cs="Times New Roman"/>
                <w:b/>
                <w:i/>
                <w:sz w:val="20"/>
              </w:rPr>
              <w:t>z toho: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sz w:val="20"/>
              </w:rPr>
            </w:pP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vylúčenie príjmových FO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-6 820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-846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nil"/>
              <w:tl2br w:val="nil"/>
              <w:tr2bl w:val="nil"/>
            </w:tcBorders>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8" w:space="0" w:color="auto"/>
              <w:right w:val="single" w:sz="4" w:space="0" w:color="auto"/>
              <w:tl2br w:val="nil"/>
              <w:tr2bl w:val="nil"/>
            </w:tcBorders>
            <w:shd w:val="clear" w:color="auto" w:fill="C0C0C0"/>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xml:space="preserve">Prebytok / schodok </w:t>
            </w:r>
            <w:r>
              <w:rPr>
                <w:rFonts w:ascii="Arial Narrow" w:hAnsi="Arial Narrow" w:cs="Arial"/>
                <w:b/>
                <w:bCs/>
                <w:i/>
                <w:iCs/>
                <w:sz w:val="20"/>
              </w:rPr>
              <w:t xml:space="preserve">STV </w:t>
            </w:r>
            <w:r w:rsidRPr="00AC5B52">
              <w:rPr>
                <w:rFonts w:ascii="Arial Narrow" w:hAnsi="Arial Narrow" w:cs="Arial"/>
                <w:b/>
                <w:bCs/>
                <w:i/>
                <w:iCs/>
                <w:sz w:val="20"/>
              </w:rPr>
              <w:t xml:space="preserve"> (ESA 95)</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-5 892</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-846</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0</w:t>
            </w:r>
          </w:p>
        </w:tc>
        <w:tc>
          <w:tcPr>
            <w:tcW w:w="1269"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0</w:t>
            </w:r>
          </w:p>
        </w:tc>
      </w:tr>
    </w:tbl>
    <w:p w:rsidR="00C52DD5" w:rsidP="00C52DD5">
      <w:pPr>
        <w:ind w:firstLine="708"/>
        <w:jc w:val="both"/>
        <w:rPr>
          <w:rFonts w:cs="Times New Roman"/>
        </w:rPr>
      </w:pPr>
    </w:p>
    <w:p w:rsidR="00C52DD5" w:rsidRPr="00804143" w:rsidP="00C52DD5">
      <w:pPr>
        <w:pStyle w:val="Heading3"/>
        <w:spacing w:before="0" w:after="0"/>
        <w:jc w:val="both"/>
        <w:rPr>
          <w:rFonts w:ascii="Arial Narrow" w:hAnsi="Arial Narrow"/>
          <w:sz w:val="24"/>
          <w:szCs w:val="24"/>
        </w:rPr>
      </w:pPr>
      <w:r w:rsidRPr="00804143">
        <w:rPr>
          <w:rFonts w:ascii="Arial Narrow" w:hAnsi="Arial Narrow"/>
          <w:sz w:val="24"/>
          <w:szCs w:val="24"/>
        </w:rPr>
        <w:t>1</w:t>
      </w:r>
      <w:r>
        <w:rPr>
          <w:rFonts w:ascii="Arial Narrow" w:hAnsi="Arial Narrow"/>
          <w:sz w:val="24"/>
          <w:szCs w:val="24"/>
        </w:rPr>
        <w:t>2</w:t>
      </w:r>
      <w:r w:rsidRPr="00804143">
        <w:rPr>
          <w:rFonts w:ascii="Arial Narrow" w:hAnsi="Arial Narrow"/>
          <w:sz w:val="24"/>
          <w:szCs w:val="24"/>
        </w:rPr>
        <w:t>.  Slovensk</w:t>
      </w:r>
      <w:r>
        <w:rPr>
          <w:rFonts w:ascii="Arial Narrow" w:hAnsi="Arial Narrow"/>
          <w:sz w:val="24"/>
          <w:szCs w:val="24"/>
        </w:rPr>
        <w:t>ý rozhlas</w:t>
      </w:r>
    </w:p>
    <w:p w:rsidR="00C52DD5" w:rsidP="00C52DD5">
      <w:pPr>
        <w:ind w:firstLine="708"/>
        <w:jc w:val="both"/>
        <w:rPr>
          <w:rFonts w:ascii="Arial Narrow" w:hAnsi="Arial Narrow" w:cs="Times New Roman"/>
          <w:sz w:val="22"/>
          <w:szCs w:val="22"/>
        </w:rPr>
      </w:pPr>
    </w:p>
    <w:p w:rsidR="00C52DD5" w:rsidP="00C52DD5">
      <w:pPr>
        <w:autoSpaceDE/>
        <w:autoSpaceDN/>
        <w:ind w:firstLine="708"/>
        <w:jc w:val="both"/>
        <w:rPr>
          <w:rFonts w:ascii="Arial Narrow" w:hAnsi="Arial Narrow" w:cs="Times New Roman"/>
          <w:sz w:val="22"/>
          <w:szCs w:val="22"/>
        </w:rPr>
      </w:pPr>
      <w:r>
        <w:rPr>
          <w:rFonts w:ascii="Arial Narrow" w:hAnsi="Arial Narrow" w:cs="Times New Roman"/>
          <w:sz w:val="22"/>
          <w:szCs w:val="22"/>
        </w:rPr>
        <w:t>Príjmová časť rozpočtu je tvorená daňovými príjmami, a to úhradami za služby verejnosti poskytované  Slovenským rozhlasom (ďalej len „SRo“) podľa zákona č. 68/2008 Z. z</w:t>
      </w:r>
      <w:r w:rsidRPr="00C52C24">
        <w:rPr>
          <w:rFonts w:ascii="Arial Narrow" w:hAnsi="Arial Narrow" w:cs="Times New Roman"/>
          <w:sz w:val="22"/>
          <w:szCs w:val="22"/>
        </w:rPr>
        <w:t xml:space="preserve">. </w:t>
      </w:r>
      <w:r w:rsidRPr="00C52C24">
        <w:rPr>
          <w:rFonts w:ascii="Arial Narrow" w:hAnsi="Arial Narrow" w:cs="Arial"/>
          <w:bCs/>
          <w:sz w:val="22"/>
          <w:szCs w:val="22"/>
        </w:rPr>
        <w:t>o úhrade za služby verejnosti poskytované Slovenskou televíziou a</w:t>
      </w:r>
      <w:r>
        <w:rPr>
          <w:rFonts w:ascii="Arial Narrow" w:hAnsi="Arial Narrow" w:cs="Arial"/>
          <w:bCs/>
          <w:sz w:val="22"/>
          <w:szCs w:val="22"/>
        </w:rPr>
        <w:t xml:space="preserve"> </w:t>
      </w:r>
      <w:r w:rsidRPr="00C52C24">
        <w:rPr>
          <w:rFonts w:ascii="Arial Narrow" w:hAnsi="Arial Narrow" w:cs="Arial"/>
          <w:bCs/>
          <w:sz w:val="22"/>
          <w:szCs w:val="22"/>
        </w:rPr>
        <w:t>Slovenským rozhlasom a o zmene a doplnení niektorých zákonov</w:t>
      </w:r>
      <w:r>
        <w:rPr>
          <w:rFonts w:ascii="Arial Narrow" w:hAnsi="Arial Narrow" w:cs="Times New Roman"/>
          <w:sz w:val="22"/>
          <w:szCs w:val="22"/>
        </w:rPr>
        <w:t xml:space="preserve">, ktorých výška  tvorí 82,8 % z celkových príjmov v roku 2009. Ďalej sú to nedaňové príjmy, najmä príjmy z reklamy, ktoré tvoria 9,2 % z celkových príjmov. V roku 2009 dôjde k medziročnému nárastu </w:t>
      </w:r>
      <w:r w:rsidRPr="00054229">
        <w:rPr>
          <w:rFonts w:ascii="Arial Narrow" w:hAnsi="Arial Narrow" w:cs="Times New Roman"/>
          <w:sz w:val="22"/>
          <w:szCs w:val="22"/>
        </w:rPr>
        <w:t xml:space="preserve">príjmov o 1,5 %, </w:t>
      </w:r>
      <w:r w:rsidRPr="006716DF">
        <w:rPr>
          <w:rFonts w:ascii="Arial Narrow" w:hAnsi="Arial Narrow" w:cs="Times New Roman"/>
          <w:sz w:val="22"/>
          <w:szCs w:val="22"/>
        </w:rPr>
        <w:t>čo je spôsobené najmä nárastom daňových príjmov (n</w:t>
      </w:r>
      <w:r>
        <w:rPr>
          <w:rFonts w:ascii="Arial Narrow" w:hAnsi="Arial Narrow" w:cs="Times New Roman"/>
          <w:sz w:val="22"/>
          <w:szCs w:val="22"/>
        </w:rPr>
        <w:t xml:space="preserve">árast 7,5 </w:t>
      </w:r>
      <w:r w:rsidRPr="006716DF">
        <w:rPr>
          <w:rFonts w:ascii="Arial Narrow" w:hAnsi="Arial Narrow" w:cs="Times New Roman"/>
          <w:sz w:val="22"/>
          <w:szCs w:val="22"/>
        </w:rPr>
        <w:t xml:space="preserve">%). Uvedený rast sa predpokladá z dôvodu </w:t>
      </w:r>
      <w:r>
        <w:rPr>
          <w:rFonts w:ascii="Arial Narrow" w:hAnsi="Arial Narrow" w:cs="Times New Roman"/>
          <w:sz w:val="22"/>
          <w:szCs w:val="22"/>
        </w:rPr>
        <w:t xml:space="preserve">očakávaného </w:t>
      </w:r>
      <w:r w:rsidRPr="006716DF">
        <w:rPr>
          <w:rFonts w:ascii="Arial Narrow" w:hAnsi="Arial Narrow" w:cs="Times New Roman"/>
          <w:sz w:val="22"/>
          <w:szCs w:val="22"/>
        </w:rPr>
        <w:t>zlepšenia spôsobu výberu úhrady za služby verejnosti (bývalé koncesionárske poplatky), ale zároveň aj poklesom navrhovaných</w:t>
      </w:r>
      <w:r>
        <w:rPr>
          <w:rFonts w:ascii="Arial Narrow" w:hAnsi="Arial Narrow" w:cs="Times New Roman"/>
          <w:sz w:val="22"/>
          <w:szCs w:val="22"/>
        </w:rPr>
        <w:t xml:space="preserve"> nedaňových príjmov o 15,8 %.</w:t>
      </w:r>
    </w:p>
    <w:p w:rsidR="00C52DD5" w:rsidP="00C52DD5">
      <w:pPr>
        <w:autoSpaceDE/>
        <w:autoSpaceDN/>
        <w:ind w:firstLine="708"/>
        <w:jc w:val="both"/>
        <w:rPr>
          <w:rFonts w:ascii="Arial Narrow" w:hAnsi="Arial Narrow" w:cs="Times New Roman"/>
          <w:sz w:val="22"/>
          <w:szCs w:val="22"/>
        </w:rPr>
      </w:pPr>
    </w:p>
    <w:p w:rsidR="00C52DD5" w:rsidRPr="0043154E" w:rsidP="00C52DD5">
      <w:pPr>
        <w:autoSpaceDE/>
        <w:autoSpaceDN/>
        <w:ind w:firstLine="708"/>
        <w:jc w:val="both"/>
        <w:rPr>
          <w:rFonts w:ascii="Arial Narrow" w:hAnsi="Arial Narrow" w:cs="Times New Roman"/>
          <w:sz w:val="22"/>
          <w:szCs w:val="22"/>
        </w:rPr>
      </w:pPr>
      <w:r w:rsidRPr="006716DF">
        <w:rPr>
          <w:rFonts w:ascii="Arial Narrow" w:hAnsi="Arial Narrow" w:cs="Times New Roman"/>
          <w:sz w:val="22"/>
          <w:szCs w:val="22"/>
        </w:rPr>
        <w:t>Výdavková časť rozpočtu klesá oproti roku 2008 o 1 %, čo je dôsledkom zníženia výdavkov na  tovary a služby o</w:t>
      </w:r>
      <w:r>
        <w:rPr>
          <w:rFonts w:ascii="Arial Narrow" w:hAnsi="Arial Narrow" w:cs="Times New Roman"/>
          <w:sz w:val="22"/>
          <w:szCs w:val="22"/>
        </w:rPr>
        <w:t> 19,3</w:t>
      </w:r>
      <w:r w:rsidRPr="006716DF">
        <w:rPr>
          <w:rFonts w:ascii="Arial Narrow" w:hAnsi="Arial Narrow" w:cs="Times New Roman"/>
          <w:sz w:val="22"/>
          <w:szCs w:val="22"/>
        </w:rPr>
        <w:t xml:space="preserve"> % a znížením výšky splátky úveru (splácanie úveru končí v roku 2008).</w:t>
      </w:r>
      <w:r>
        <w:rPr>
          <w:rFonts w:ascii="Arial Narrow" w:hAnsi="Arial Narrow" w:cs="Times New Roman"/>
          <w:sz w:val="22"/>
          <w:szCs w:val="22"/>
        </w:rPr>
        <w:t xml:space="preserve">  </w:t>
      </w:r>
    </w:p>
    <w:p w:rsidR="00C52DD5" w:rsidRPr="00772FBF" w:rsidP="00C52DD5">
      <w:pPr>
        <w:jc w:val="both"/>
        <w:rPr>
          <w:rFonts w:ascii="Arial Narrow" w:hAnsi="Arial Narrow" w:cs="Times New Roman"/>
          <w:sz w:val="22"/>
          <w:szCs w:val="22"/>
        </w:rPr>
      </w:pPr>
      <w:r w:rsidRPr="00772FBF">
        <w:rPr>
          <w:rFonts w:ascii="Arial Narrow" w:hAnsi="Arial Narrow" w:cs="Times New Roman"/>
          <w:sz w:val="22"/>
          <w:szCs w:val="22"/>
        </w:rPr>
        <w:t xml:space="preserve">     </w:t>
      </w: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w:t>
      </w:r>
      <w:r w:rsidRPr="006F6BD5">
        <w:rPr>
          <w:rFonts w:ascii="Arial Narrow" w:hAnsi="Arial Narrow" w:cs="Times New Roman"/>
          <w:sz w:val="22"/>
          <w:szCs w:val="22"/>
        </w:rPr>
        <w:t xml:space="preserve"> roku 2009 sa </w:t>
      </w:r>
      <w:r>
        <w:rPr>
          <w:rFonts w:ascii="Arial Narrow" w:hAnsi="Arial Narrow" w:cs="Times New Roman"/>
          <w:sz w:val="22"/>
          <w:szCs w:val="22"/>
        </w:rPr>
        <w:t>rozpočtuje</w:t>
      </w:r>
      <w:r w:rsidRPr="006F6BD5">
        <w:rPr>
          <w:rFonts w:ascii="Arial Narrow" w:hAnsi="Arial Narrow" w:cs="Times New Roman"/>
          <w:sz w:val="22"/>
          <w:szCs w:val="22"/>
        </w:rPr>
        <w:t xml:space="preserve"> prebytko</w:t>
      </w:r>
      <w:r>
        <w:rPr>
          <w:rFonts w:ascii="Arial Narrow" w:hAnsi="Arial Narrow" w:cs="Times New Roman"/>
          <w:sz w:val="22"/>
          <w:szCs w:val="22"/>
        </w:rPr>
        <w:t>vé</w:t>
      </w:r>
      <w:r w:rsidRPr="006F6BD5">
        <w:rPr>
          <w:rFonts w:ascii="Arial Narrow" w:hAnsi="Arial Narrow" w:cs="Times New Roman"/>
          <w:sz w:val="22"/>
          <w:szCs w:val="22"/>
        </w:rPr>
        <w:t xml:space="preserve"> </w:t>
      </w:r>
      <w:r>
        <w:rPr>
          <w:rFonts w:ascii="Arial Narrow" w:hAnsi="Arial Narrow" w:cs="Times New Roman"/>
          <w:sz w:val="22"/>
          <w:szCs w:val="22"/>
        </w:rPr>
        <w:t>h</w:t>
      </w:r>
      <w:r w:rsidRPr="006F6BD5">
        <w:rPr>
          <w:rFonts w:ascii="Arial Narrow" w:hAnsi="Arial Narrow" w:cs="Times New Roman"/>
          <w:sz w:val="22"/>
          <w:szCs w:val="22"/>
        </w:rPr>
        <w:t>ospodárenie SRo</w:t>
      </w:r>
      <w:r>
        <w:rPr>
          <w:rFonts w:ascii="Arial Narrow" w:hAnsi="Arial Narrow" w:cs="Times New Roman"/>
          <w:sz w:val="22"/>
          <w:szCs w:val="22"/>
        </w:rPr>
        <w:t xml:space="preserve"> </w:t>
      </w:r>
      <w:r w:rsidRPr="006F6BD5">
        <w:rPr>
          <w:rFonts w:ascii="Arial Narrow" w:hAnsi="Arial Narrow" w:cs="Times New Roman"/>
          <w:sz w:val="22"/>
          <w:szCs w:val="22"/>
        </w:rPr>
        <w:t>vo výške 186 tis. e</w:t>
      </w:r>
      <w:r>
        <w:rPr>
          <w:rFonts w:ascii="Arial Narrow" w:hAnsi="Arial Narrow" w:cs="Times New Roman"/>
          <w:sz w:val="22"/>
          <w:szCs w:val="22"/>
        </w:rPr>
        <w:t>ur</w:t>
      </w:r>
      <w:r w:rsidRPr="006F6BD5">
        <w:rPr>
          <w:rFonts w:ascii="Arial Narrow" w:hAnsi="Arial Narrow" w:cs="Times New Roman"/>
          <w:sz w:val="22"/>
          <w:szCs w:val="22"/>
        </w:rPr>
        <w:t xml:space="preserve">. </w:t>
      </w:r>
      <w:r>
        <w:rPr>
          <w:rFonts w:ascii="Arial Narrow" w:hAnsi="Arial Narrow" w:cs="Times New Roman"/>
          <w:sz w:val="22"/>
          <w:szCs w:val="22"/>
        </w:rPr>
        <w:t xml:space="preserve"> </w:t>
      </w:r>
      <w:r w:rsidRPr="006F6BD5">
        <w:rPr>
          <w:rFonts w:ascii="Arial Narrow" w:hAnsi="Arial Narrow" w:cs="Times New Roman"/>
          <w:sz w:val="22"/>
          <w:szCs w:val="22"/>
        </w:rPr>
        <w:t xml:space="preserve">V rokoch </w:t>
      </w:r>
      <w:r>
        <w:rPr>
          <w:rFonts w:ascii="Arial Narrow" w:hAnsi="Arial Narrow" w:cs="Times New Roman"/>
          <w:sz w:val="22"/>
          <w:szCs w:val="22"/>
        </w:rPr>
        <w:t xml:space="preserve"> </w:t>
      </w:r>
      <w:r w:rsidRPr="006F6BD5">
        <w:rPr>
          <w:rFonts w:ascii="Arial Narrow" w:hAnsi="Arial Narrow" w:cs="Times New Roman"/>
          <w:sz w:val="22"/>
          <w:szCs w:val="22"/>
        </w:rPr>
        <w:t>2010</w:t>
      </w:r>
      <w:r>
        <w:rPr>
          <w:rFonts w:ascii="Arial Narrow" w:hAnsi="Arial Narrow" w:cs="Times New Roman"/>
          <w:sz w:val="22"/>
          <w:szCs w:val="22"/>
        </w:rPr>
        <w:t xml:space="preserve"> </w:t>
      </w:r>
      <w:r w:rsidRPr="006F6BD5">
        <w:rPr>
          <w:rFonts w:ascii="Arial Narrow" w:hAnsi="Arial Narrow" w:cs="Times New Roman"/>
          <w:sz w:val="22"/>
          <w:szCs w:val="22"/>
        </w:rPr>
        <w:t xml:space="preserve"> a </w:t>
      </w:r>
      <w:r>
        <w:rPr>
          <w:rFonts w:ascii="Arial Narrow" w:hAnsi="Arial Narrow" w:cs="Times New Roman"/>
          <w:sz w:val="22"/>
          <w:szCs w:val="22"/>
        </w:rPr>
        <w:t xml:space="preserve"> </w:t>
      </w:r>
      <w:r w:rsidRPr="006F6BD5">
        <w:rPr>
          <w:rFonts w:ascii="Arial Narrow" w:hAnsi="Arial Narrow" w:cs="Times New Roman"/>
          <w:sz w:val="22"/>
          <w:szCs w:val="22"/>
        </w:rPr>
        <w:t>2011 sa p</w:t>
      </w:r>
      <w:r>
        <w:rPr>
          <w:rFonts w:ascii="Arial Narrow" w:hAnsi="Arial Narrow" w:cs="Times New Roman"/>
          <w:sz w:val="22"/>
          <w:szCs w:val="22"/>
        </w:rPr>
        <w:t>redpokladá</w:t>
      </w:r>
      <w:r w:rsidRPr="006F6BD5">
        <w:rPr>
          <w:rFonts w:ascii="Arial Narrow" w:hAnsi="Arial Narrow" w:cs="Times New Roman"/>
          <w:sz w:val="22"/>
          <w:szCs w:val="22"/>
        </w:rPr>
        <w:t xml:space="preserve"> </w:t>
      </w:r>
      <w:r>
        <w:rPr>
          <w:rFonts w:ascii="Arial Narrow" w:hAnsi="Arial Narrow" w:cs="Times New Roman"/>
          <w:sz w:val="22"/>
          <w:szCs w:val="22"/>
        </w:rPr>
        <w:t xml:space="preserve"> </w:t>
      </w:r>
      <w:r w:rsidRPr="006F6BD5">
        <w:rPr>
          <w:rFonts w:ascii="Arial Narrow" w:hAnsi="Arial Narrow" w:cs="Times New Roman"/>
          <w:sz w:val="22"/>
          <w:szCs w:val="22"/>
        </w:rPr>
        <w:t>schodkové hospodárenie</w:t>
      </w:r>
      <w:r>
        <w:rPr>
          <w:rFonts w:ascii="Arial Narrow" w:hAnsi="Arial Narrow" w:cs="Times New Roman"/>
          <w:sz w:val="22"/>
          <w:szCs w:val="22"/>
        </w:rPr>
        <w:t xml:space="preserve">, a  to </w:t>
      </w:r>
      <w:r w:rsidRPr="006F6BD5">
        <w:rPr>
          <w:rFonts w:ascii="Arial Narrow" w:hAnsi="Arial Narrow" w:cs="Times New Roman"/>
          <w:sz w:val="22"/>
          <w:szCs w:val="22"/>
        </w:rPr>
        <w:t>vo výške 1</w:t>
      </w:r>
      <w:r>
        <w:rPr>
          <w:rFonts w:ascii="Arial Narrow" w:hAnsi="Arial Narrow" w:cs="Times New Roman"/>
          <w:sz w:val="22"/>
          <w:szCs w:val="22"/>
        </w:rPr>
        <w:t xml:space="preserve"> 806 tis. </w:t>
      </w:r>
      <w:r w:rsidRPr="006F6BD5">
        <w:rPr>
          <w:rFonts w:ascii="Arial Narrow" w:hAnsi="Arial Narrow" w:cs="Times New Roman"/>
          <w:sz w:val="22"/>
          <w:szCs w:val="22"/>
        </w:rPr>
        <w:t xml:space="preserve">eur a 1 839 tis. </w:t>
      </w:r>
      <w:r>
        <w:rPr>
          <w:rFonts w:ascii="Arial Narrow" w:hAnsi="Arial Narrow" w:cs="Times New Roman"/>
          <w:sz w:val="22"/>
          <w:szCs w:val="22"/>
        </w:rPr>
        <w:t>e</w:t>
      </w:r>
      <w:r w:rsidRPr="006F6BD5">
        <w:rPr>
          <w:rFonts w:ascii="Arial Narrow" w:hAnsi="Arial Narrow" w:cs="Times New Roman"/>
          <w:sz w:val="22"/>
          <w:szCs w:val="22"/>
        </w:rPr>
        <w:t>ur</w:t>
      </w:r>
      <w:r>
        <w:rPr>
          <w:rFonts w:ascii="Arial Narrow" w:hAnsi="Arial Narrow" w:cs="Times New Roman"/>
          <w:sz w:val="22"/>
          <w:szCs w:val="22"/>
        </w:rPr>
        <w:t>.</w:t>
      </w:r>
      <w:r w:rsidRPr="006F6BD5">
        <w:rPr>
          <w:rFonts w:ascii="Arial Narrow" w:hAnsi="Arial Narrow" w:cs="Times New Roman"/>
          <w:sz w:val="22"/>
          <w:szCs w:val="22"/>
        </w:rPr>
        <w:t xml:space="preserve"> </w:t>
      </w:r>
      <w:r>
        <w:rPr>
          <w:rFonts w:ascii="Arial Narrow" w:hAnsi="Arial Narrow" w:cs="Times New Roman"/>
          <w:sz w:val="22"/>
          <w:szCs w:val="22"/>
        </w:rPr>
        <w:t>S</w:t>
      </w:r>
      <w:r w:rsidRPr="006F6BD5">
        <w:rPr>
          <w:rFonts w:ascii="Arial Narrow" w:hAnsi="Arial Narrow" w:cs="Times New Roman"/>
          <w:sz w:val="22"/>
          <w:szCs w:val="22"/>
        </w:rPr>
        <w:t>chodok vytvorilo poskytnutie nižšej dotáci</w:t>
      </w:r>
      <w:r>
        <w:rPr>
          <w:rFonts w:ascii="Arial Narrow" w:hAnsi="Arial Narrow" w:cs="Times New Roman"/>
          <w:sz w:val="22"/>
          <w:szCs w:val="22"/>
        </w:rPr>
        <w:t>e</w:t>
      </w:r>
      <w:r w:rsidRPr="006F6BD5">
        <w:rPr>
          <w:rFonts w:ascii="Arial Narrow" w:hAnsi="Arial Narrow" w:cs="Times New Roman"/>
          <w:sz w:val="22"/>
          <w:szCs w:val="22"/>
        </w:rPr>
        <w:t xml:space="preserve"> zo štátneho rozpočtu prostredníctvom Ministerstva kultúry SR ako  SRo predpokladal.</w:t>
      </w:r>
      <w:r>
        <w:rPr>
          <w:rFonts w:ascii="Arial Narrow" w:hAnsi="Arial Narrow" w:cs="Times New Roman"/>
          <w:sz w:val="22"/>
          <w:szCs w:val="22"/>
        </w:rPr>
        <w:t xml:space="preserve"> </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Vývoj príjmovej a výdavkovej časti rozpočtu SRo na roky 2009 až 2011 je nasledovný:</w:t>
      </w:r>
    </w:p>
    <w:p w:rsidR="00C52DD5" w:rsidP="00C52DD5">
      <w:pPr>
        <w:ind w:firstLine="708"/>
        <w:jc w:val="both"/>
        <w:rPr>
          <w:rFonts w:ascii="Arial Narrow" w:hAnsi="Arial Narrow" w:cs="Times New Roman"/>
          <w:sz w:val="22"/>
          <w:szCs w:val="22"/>
        </w:rPr>
      </w:pPr>
    </w:p>
    <w:tbl>
      <w:tblPr>
        <w:tblW w:w="9133" w:type="dxa"/>
        <w:tblLayout w:type="fixed"/>
        <w:tblCellMar>
          <w:left w:w="70" w:type="dxa"/>
          <w:right w:w="70" w:type="dxa"/>
        </w:tblCellMar>
      </w:tblPr>
      <w:tblGrid>
        <w:gridCol w:w="4060"/>
        <w:gridCol w:w="1268"/>
        <w:gridCol w:w="1268"/>
        <w:gridCol w:w="1268"/>
        <w:gridCol w:w="1269"/>
      </w:tblGrid>
      <w:tr>
        <w:tblPrEx>
          <w:tblW w:w="9133" w:type="dxa"/>
          <w:tblLayout w:type="fixed"/>
          <w:tblCellMar>
            <w:left w:w="70" w:type="dxa"/>
            <w:right w:w="70" w:type="dxa"/>
          </w:tblCellMar>
        </w:tblPrEx>
        <w:trPr>
          <w:trHeight w:val="227"/>
        </w:trPr>
        <w:tc>
          <w:tcPr>
            <w:tcW w:w="4060" w:type="dxa"/>
            <w:tcBorders>
              <w:top w:val="single" w:sz="8" w:space="0" w:color="auto"/>
              <w:left w:val="single" w:sz="8" w:space="0" w:color="auto"/>
              <w:bottom w:val="single" w:sz="4" w:space="0" w:color="auto"/>
              <w:right w:val="single" w:sz="8" w:space="0" w:color="auto"/>
              <w:tl2br w:val="nil"/>
              <w:tr2bl w:val="nil"/>
            </w:tcBorders>
            <w:shd w:val="clear" w:color="auto" w:fill="000000"/>
            <w:textDirection w:val="lrTb"/>
            <w:vAlign w:val="bottom"/>
          </w:tcPr>
          <w:p w:rsidR="00C52DD5" w:rsidRPr="00AC5B52" w:rsidP="00C52DD5">
            <w:pPr>
              <w:jc w:val="both"/>
              <w:rPr>
                <w:rFonts w:ascii="Arial Narrow" w:hAnsi="Arial Narrow" w:cs="Arial"/>
                <w:b/>
                <w:color w:val="FFFFFF"/>
                <w:sz w:val="20"/>
              </w:rPr>
            </w:pPr>
            <w:r>
              <w:rPr>
                <w:rFonts w:ascii="Arial Narrow" w:hAnsi="Arial Narrow" w:cs="Arial"/>
                <w:b/>
                <w:color w:val="FFFFFF"/>
                <w:sz w:val="20"/>
              </w:rPr>
              <w:t>(</w:t>
            </w:r>
            <w:r w:rsidRPr="00AC5B52">
              <w:rPr>
                <w:rFonts w:ascii="Arial Narrow" w:hAnsi="Arial Narrow" w:cs="Arial"/>
                <w:b/>
                <w:color w:val="FFFFFF"/>
                <w:sz w:val="20"/>
              </w:rPr>
              <w:t xml:space="preserve">v </w:t>
            </w:r>
            <w:r>
              <w:rPr>
                <w:rFonts w:ascii="Arial Narrow" w:hAnsi="Arial Narrow" w:cs="Arial"/>
                <w:b/>
                <w:color w:val="FFFFFF"/>
                <w:sz w:val="20"/>
              </w:rPr>
              <w:t>tis. eur</w:t>
            </w:r>
            <w:r w:rsidRPr="00AC5B52">
              <w:rPr>
                <w:rFonts w:ascii="Arial Narrow" w:hAnsi="Arial Narrow" w:cs="Arial"/>
                <w:b/>
                <w:color w:val="FFFFFF"/>
                <w:sz w:val="20"/>
              </w:rPr>
              <w:t>)</w:t>
            </w:r>
          </w:p>
        </w:tc>
        <w:tc>
          <w:tcPr>
            <w:tcW w:w="1268" w:type="dxa"/>
            <w:tcBorders>
              <w:top w:val="single" w:sz="8"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200</w:t>
            </w:r>
            <w:r>
              <w:rPr>
                <w:rFonts w:ascii="Arial Narrow" w:hAnsi="Arial Narrow" w:cs="Arial"/>
                <w:b/>
                <w:bCs/>
                <w:color w:val="FFFFFF"/>
                <w:sz w:val="20"/>
              </w:rPr>
              <w:t>8</w:t>
            </w:r>
          </w:p>
        </w:tc>
        <w:tc>
          <w:tcPr>
            <w:tcW w:w="1268"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200</w:t>
            </w:r>
            <w:r>
              <w:rPr>
                <w:rFonts w:ascii="Arial Narrow" w:hAnsi="Arial Narrow" w:cs="Arial"/>
                <w:b/>
                <w:bCs/>
                <w:color w:val="FFFFFF"/>
                <w:sz w:val="20"/>
              </w:rPr>
              <w:t>9</w:t>
            </w:r>
          </w:p>
        </w:tc>
        <w:tc>
          <w:tcPr>
            <w:tcW w:w="1268"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w:t>
            </w:r>
            <w:r>
              <w:rPr>
                <w:rFonts w:ascii="Arial Narrow" w:hAnsi="Arial Narrow" w:cs="Arial"/>
                <w:b/>
                <w:bCs/>
                <w:color w:val="FFFFFF"/>
                <w:sz w:val="20"/>
              </w:rPr>
              <w:t>10</w:t>
            </w:r>
          </w:p>
        </w:tc>
        <w:tc>
          <w:tcPr>
            <w:tcW w:w="1269" w:type="dxa"/>
            <w:tcBorders>
              <w:top w:val="single" w:sz="8" w:space="0" w:color="auto"/>
              <w:left w:val="nil"/>
              <w:bottom w:val="single" w:sz="4" w:space="0" w:color="auto"/>
              <w:right w:val="single" w:sz="8" w:space="0" w:color="auto"/>
              <w:tl2br w:val="nil"/>
              <w:tr2bl w:val="nil"/>
            </w:tcBorders>
            <w:shd w:val="clear" w:color="auto" w:fill="000000"/>
            <w:textDirection w:val="lrTb"/>
            <w:vAlign w:val="center"/>
          </w:tcPr>
          <w:p w:rsidR="00C52DD5" w:rsidRPr="00AC5B52" w:rsidP="00C52DD5">
            <w:pPr>
              <w:jc w:val="center"/>
              <w:rPr>
                <w:rFonts w:ascii="Arial Narrow" w:hAnsi="Arial Narrow" w:cs="Arial"/>
                <w:b/>
                <w:bCs/>
                <w:color w:val="FFFFFF"/>
                <w:sz w:val="20"/>
              </w:rPr>
            </w:pPr>
            <w:r w:rsidRPr="00AC5B52">
              <w:rPr>
                <w:rFonts w:ascii="Arial Narrow" w:hAnsi="Arial Narrow" w:cs="Arial"/>
                <w:b/>
                <w:bCs/>
                <w:color w:val="FFFFFF"/>
                <w:sz w:val="20"/>
              </w:rPr>
              <w:t>201</w:t>
            </w:r>
            <w:r>
              <w:rPr>
                <w:rFonts w:ascii="Arial Narrow" w:hAnsi="Arial Narrow" w:cs="Arial"/>
                <w:b/>
                <w:bCs/>
                <w:color w:val="FFFFFF"/>
                <w:sz w:val="20"/>
              </w:rPr>
              <w:t>1</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xml:space="preserve">Príjmy </w:t>
            </w:r>
            <w:r>
              <w:rPr>
                <w:rFonts w:ascii="Arial Narrow" w:hAnsi="Arial Narrow" w:cs="Arial"/>
                <w:b/>
                <w:bCs/>
                <w:i/>
                <w:iCs/>
                <w:sz w:val="20"/>
              </w:rPr>
              <w:t>SRo</w:t>
            </w:r>
            <w:r w:rsidRPr="00AC5B52">
              <w:rPr>
                <w:rFonts w:ascii="Arial Narrow" w:hAnsi="Arial Narrow" w:cs="Arial"/>
                <w:b/>
                <w:bCs/>
                <w:i/>
                <w:iCs/>
                <w:sz w:val="20"/>
              </w:rPr>
              <w:t xml:space="preserve"> spolu</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28 163</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28 580</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28 434</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28 248</w:t>
            </w:r>
          </w:p>
        </w:tc>
      </w:tr>
      <w:tr>
        <w:tblPrEx>
          <w:tblW w:w="9133" w:type="dxa"/>
          <w:tblLayout w:type="fixed"/>
          <w:tblCellMar>
            <w:left w:w="70" w:type="dxa"/>
            <w:right w:w="70" w:type="dxa"/>
          </w:tblCellMar>
        </w:tblPrEx>
        <w:trPr>
          <w:trHeight w:val="227"/>
        </w:trPr>
        <w:tc>
          <w:tcPr>
            <w:tcW w:w="9133" w:type="dxa"/>
            <w:gridSpan w:val="5"/>
            <w:tcBorders>
              <w:top w:val="nil"/>
              <w:left w:val="single" w:sz="8" w:space="0" w:color="auto"/>
              <w:bottom w:val="single" w:sz="4" w:space="0" w:color="auto"/>
              <w:right w:val="single" w:sz="8" w:space="0" w:color="auto"/>
              <w:tl2br w:val="nil"/>
              <w:tr2bl w:val="nil"/>
            </w:tcBorders>
            <w:textDirection w:val="lrTb"/>
            <w:vAlign w:val="bottom"/>
          </w:tcPr>
          <w:p w:rsidR="00C52DD5" w:rsidRPr="00AC5B52" w:rsidP="00C52DD5">
            <w:pPr>
              <w:rPr>
                <w:rFonts w:ascii="Arial Narrow" w:hAnsi="Arial Narrow" w:cs="Arial"/>
                <w:sz w:val="20"/>
              </w:rPr>
            </w:pPr>
            <w:r w:rsidRPr="00AC5B52">
              <w:rPr>
                <w:rFonts w:ascii="Arial Narrow" w:hAnsi="Arial Narrow" w:cs="Arial"/>
                <w:b/>
                <w:i/>
                <w:sz w:val="20"/>
              </w:rPr>
              <w:t>z toho:</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bottom"/>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príjmy z úhrad za služby verejnosti</w:t>
            </w:r>
            <w:r w:rsidRPr="00AC5B52">
              <w:rPr>
                <w:rFonts w:ascii="Arial Narrow" w:hAnsi="Arial Narrow" w:cs="Arial"/>
                <w:sz w:val="20"/>
              </w:rPr>
              <w:t xml:space="preserve"> </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22 008</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23 667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25 327</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25 327</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nedaňové príjmy</w:t>
            </w:r>
            <w:r w:rsidRPr="00AC5B52">
              <w:rPr>
                <w:rFonts w:ascii="Arial Narrow" w:hAnsi="Arial Narrow" w:cs="Arial"/>
                <w:sz w:val="20"/>
              </w:rPr>
              <w:t>, z toho: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3 470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2 921</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2 921</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2 921</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ind w:firstLine="400"/>
              <w:rPr>
                <w:rFonts w:ascii="Arial Narrow" w:hAnsi="Arial Narrow" w:cs="Arial"/>
                <w:sz w:val="20"/>
              </w:rPr>
            </w:pPr>
            <w:r w:rsidRPr="00AC5B52">
              <w:rPr>
                <w:rFonts w:ascii="Arial Narrow" w:hAnsi="Arial Narrow" w:cs="Arial"/>
                <w:sz w:val="20"/>
              </w:rPr>
              <w:t xml:space="preserve">             </w:t>
            </w:r>
            <w:r>
              <w:rPr>
                <w:rFonts w:ascii="Arial Narrow" w:hAnsi="Arial Narrow" w:cs="Arial"/>
                <w:sz w:val="20"/>
              </w:rPr>
              <w:t>z reklamy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2 370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2 622</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2 622</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2 622</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ind w:firstLine="400"/>
              <w:rPr>
                <w:rFonts w:ascii="Arial Narrow" w:hAnsi="Arial Narrow" w:cs="Arial"/>
                <w:sz w:val="20"/>
              </w:rPr>
            </w:pPr>
            <w:r>
              <w:rPr>
                <w:rFonts w:ascii="Arial Narrow" w:hAnsi="Arial Narrow" w:cs="Arial"/>
                <w:sz w:val="20"/>
              </w:rPr>
              <w:t xml:space="preserve">             z úrokov z účtov finanč.  hospodárenia</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ind w:firstLine="400"/>
              <w:rPr>
                <w:rFonts w:ascii="Arial Narrow" w:hAnsi="Arial Narrow" w:cs="Arial"/>
                <w:sz w:val="20"/>
              </w:rPr>
            </w:pPr>
            <w:r>
              <w:rPr>
                <w:rFonts w:ascii="Arial Narrow" w:hAnsi="Arial Narrow" w:cs="Arial"/>
                <w:sz w:val="20"/>
              </w:rPr>
              <w:t xml:space="preserve">             ostatné</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1 097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295</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295</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295</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transfer zo štátneho rozpočtu</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1 839</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1 992</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zostatok prostriedkov z predch. rokov (FO)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846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186</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nil"/>
              <w:tl2br w:val="nil"/>
              <w:tr2bl w:val="nil"/>
            </w:tcBorders>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xml:space="preserve">Výdavky </w:t>
            </w:r>
            <w:r>
              <w:rPr>
                <w:rFonts w:ascii="Arial Narrow" w:hAnsi="Arial Narrow" w:cs="Arial"/>
                <w:b/>
                <w:bCs/>
                <w:i/>
                <w:iCs/>
                <w:sz w:val="20"/>
              </w:rPr>
              <w:t>SRo</w:t>
            </w:r>
            <w:r w:rsidRPr="00AC5B52">
              <w:rPr>
                <w:rFonts w:ascii="Arial Narrow" w:hAnsi="Arial Narrow" w:cs="Arial"/>
                <w:b/>
                <w:bCs/>
                <w:i/>
                <w:iCs/>
                <w:sz w:val="20"/>
              </w:rPr>
              <w:t xml:space="preserve"> spolu</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28 686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28 394</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30 054</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30 087</w:t>
            </w:r>
          </w:p>
        </w:tc>
      </w:tr>
      <w:tr>
        <w:tblPrEx>
          <w:tblW w:w="9133" w:type="dxa"/>
          <w:tblLayout w:type="fixed"/>
          <w:tblCellMar>
            <w:left w:w="70" w:type="dxa"/>
            <w:right w:w="70" w:type="dxa"/>
          </w:tblCellMar>
        </w:tblPrEx>
        <w:trPr>
          <w:trHeight w:val="227"/>
        </w:trPr>
        <w:tc>
          <w:tcPr>
            <w:tcW w:w="9133" w:type="dxa"/>
            <w:gridSpan w:val="5"/>
            <w:tcBorders>
              <w:top w:val="nil"/>
              <w:left w:val="single" w:sz="8" w:space="0" w:color="auto"/>
              <w:bottom w:val="single" w:sz="4" w:space="0" w:color="auto"/>
              <w:right w:val="single" w:sz="8" w:space="0" w:color="auto"/>
              <w:tl2br w:val="nil"/>
              <w:tr2bl w:val="nil"/>
            </w:tcBorders>
            <w:textDirection w:val="lrTb"/>
            <w:vAlign w:val="center"/>
          </w:tcPr>
          <w:p w:rsidR="00C52DD5" w:rsidRPr="00AC5B52" w:rsidP="00C52DD5">
            <w:pPr>
              <w:rPr>
                <w:rFonts w:ascii="Arial Narrow" w:hAnsi="Arial Narrow" w:cs="Arial"/>
                <w:sz w:val="20"/>
              </w:rPr>
            </w:pPr>
            <w:r w:rsidRPr="00AC5B52">
              <w:rPr>
                <w:rFonts w:ascii="Arial Narrow" w:hAnsi="Arial Narrow" w:cs="Arial"/>
                <w:b/>
                <w:i/>
                <w:sz w:val="20"/>
              </w:rPr>
              <w:t>z toho:</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mzdy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6 359</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7 105</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7 958</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7 958</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odvody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2 285</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2 547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2 849</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2 849</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tovary a služby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17 217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13 899</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14 131</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14 147</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bežné transfery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1 177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3 129</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3 244</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3 261</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P="00C52DD5">
            <w:pPr>
              <w:numPr>
                <w:ilvl w:val="0"/>
                <w:numId w:val="194"/>
              </w:numPr>
              <w:tabs>
                <w:tab w:val="left" w:pos="360"/>
              </w:tabs>
              <w:rPr>
                <w:rFonts w:ascii="Arial Narrow" w:hAnsi="Arial Narrow" w:cs="Arial"/>
                <w:sz w:val="20"/>
              </w:rPr>
            </w:pPr>
            <w:r>
              <w:rPr>
                <w:rFonts w:ascii="Arial Narrow" w:hAnsi="Arial Narrow" w:cs="Arial"/>
                <w:sz w:val="20"/>
              </w:rPr>
              <w:t>splácanie úrokov súvisiacich s úvermi</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21</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5</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kapitálové výdavky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1 391</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1 709</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1 872</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1 872</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splácanie istín (FO)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236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Celkový</w:t>
            </w:r>
            <w:r>
              <w:rPr>
                <w:rFonts w:ascii="Arial Narrow" w:hAnsi="Arial Narrow" w:cs="Arial"/>
                <w:b/>
                <w:bCs/>
                <w:i/>
                <w:iCs/>
                <w:sz w:val="20"/>
              </w:rPr>
              <w:t xml:space="preserve"> bilancia SRo</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-523</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186</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-1 620</w:t>
            </w:r>
          </w:p>
        </w:tc>
        <w:tc>
          <w:tcPr>
            <w:tcW w:w="1269"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-1 839</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xml:space="preserve"> vylúčenie finančných operácií</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-610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-186</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0</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w:t>
            </w:r>
            <w:r w:rsidRPr="00AC5B52">
              <w:rPr>
                <w:rFonts w:ascii="Arial Narrow" w:hAnsi="Arial Narrow" w:cs="Times New Roman"/>
                <w:b/>
                <w:i/>
                <w:sz w:val="20"/>
              </w:rPr>
              <w:t>z toho: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rPr>
                <w:rFonts w:ascii="Arial Narrow" w:hAnsi="Arial Narrow" w:cs="Arial"/>
                <w:sz w:val="20"/>
              </w:rPr>
            </w:pP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numPr>
                <w:ilvl w:val="0"/>
                <w:numId w:val="194"/>
              </w:numPr>
              <w:tabs>
                <w:tab w:val="left" w:pos="360"/>
              </w:tabs>
              <w:rPr>
                <w:rFonts w:ascii="Arial Narrow" w:hAnsi="Arial Narrow" w:cs="Arial"/>
                <w:sz w:val="20"/>
              </w:rPr>
            </w:pPr>
            <w:r w:rsidRPr="00AC5B52">
              <w:rPr>
                <w:rFonts w:ascii="Arial Narrow" w:hAnsi="Arial Narrow" w:cs="Arial"/>
                <w:sz w:val="20"/>
              </w:rPr>
              <w:t>vylúčenie príjmových FO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-846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-186</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jc w:val="right"/>
              <w:rPr>
                <w:rFonts w:ascii="Arial Narrow" w:hAnsi="Arial Narrow" w:cs="Arial"/>
                <w:sz w:val="20"/>
              </w:rPr>
            </w:pPr>
            <w:r>
              <w:rPr>
                <w:rFonts w:ascii="Arial Narrow" w:hAnsi="Arial Narrow" w:cs="Arial"/>
                <w:sz w:val="20"/>
              </w:rPr>
              <w:t>0</w:t>
            </w: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numPr>
                <w:ilvl w:val="0"/>
                <w:numId w:val="194"/>
              </w:numPr>
              <w:tabs>
                <w:tab w:val="left" w:pos="360"/>
              </w:tabs>
              <w:rPr>
                <w:rFonts w:ascii="Arial Narrow" w:hAnsi="Arial Narrow" w:cs="Arial"/>
                <w:sz w:val="20"/>
              </w:rPr>
            </w:pPr>
            <w:r>
              <w:rPr>
                <w:rFonts w:ascii="Arial Narrow" w:hAnsi="Arial Narrow" w:cs="Arial"/>
                <w:sz w:val="20"/>
              </w:rPr>
              <w:t>vylúčenie výdavkových FO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P="00C52DD5">
            <w:pPr>
              <w:jc w:val="right"/>
              <w:rPr>
                <w:rFonts w:ascii="Arial Narrow" w:hAnsi="Arial Narrow" w:cs="Arial"/>
                <w:sz w:val="20"/>
              </w:rPr>
            </w:pPr>
            <w:r>
              <w:rPr>
                <w:rFonts w:ascii="Arial Narrow" w:hAnsi="Arial Narrow" w:cs="Arial"/>
                <w:sz w:val="20"/>
              </w:rPr>
              <w:t>236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P="00C52DD5">
            <w:pPr>
              <w:jc w:val="right"/>
              <w:rPr>
                <w:rFonts w:ascii="Arial Narrow" w:hAnsi="Arial Narrow" w:cs="Arial"/>
                <w:sz w:val="20"/>
              </w:rPr>
            </w:pPr>
            <w:r>
              <w:rPr>
                <w:rFonts w:ascii="Arial Narrow" w:hAnsi="Arial Narrow" w:cs="Arial"/>
                <w:sz w:val="20"/>
              </w:rPr>
              <w:t>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P="00C52DD5">
            <w:pPr>
              <w:jc w:val="right"/>
              <w:rPr>
                <w:rFonts w:ascii="Arial Narrow" w:hAnsi="Arial Narrow" w:cs="Arial"/>
                <w:sz w:val="20"/>
              </w:rPr>
            </w:pPr>
            <w:r>
              <w:rPr>
                <w:rFonts w:ascii="Arial Narrow" w:hAnsi="Arial Narrow" w:cs="Arial"/>
                <w:sz w:val="20"/>
              </w:rPr>
              <w:t>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P="00C52DD5">
            <w:pPr>
              <w:jc w:val="right"/>
              <w:rPr>
                <w:rFonts w:ascii="Arial Narrow" w:hAnsi="Arial Narrow" w:cs="Arial"/>
                <w:sz w:val="20"/>
              </w:rPr>
            </w:pPr>
            <w:r>
              <w:rPr>
                <w:rFonts w:ascii="Arial Narrow" w:hAnsi="Arial Narrow" w:cs="Arial"/>
                <w:sz w:val="20"/>
              </w:rPr>
              <w:t>0</w:t>
            </w:r>
          </w:p>
        </w:tc>
      </w:tr>
      <w:tr>
        <w:tblPrEx>
          <w:tblW w:w="9133" w:type="dxa"/>
          <w:tblLayout w:type="fixed"/>
          <w:tblCellMar>
            <w:left w:w="70" w:type="dxa"/>
            <w:right w:w="70" w:type="dxa"/>
          </w:tblCellMar>
        </w:tblPrEx>
        <w:trPr>
          <w:trHeight w:val="227"/>
        </w:trPr>
        <w:tc>
          <w:tcPr>
            <w:tcW w:w="4060" w:type="dxa"/>
            <w:tcBorders>
              <w:top w:val="single" w:sz="4" w:space="0" w:color="auto"/>
              <w:left w:val="single" w:sz="8" w:space="0" w:color="auto"/>
              <w:bottom w:val="single" w:sz="4" w:space="0" w:color="auto"/>
              <w:right w:val="nil"/>
              <w:tl2br w:val="nil"/>
              <w:tr2bl w:val="nil"/>
            </w:tcBorders>
            <w:textDirection w:val="lrTb"/>
            <w:vAlign w:val="center"/>
          </w:tcPr>
          <w:p w:rsidR="00C52DD5" w:rsidRPr="00AC5B52" w:rsidP="00C52DD5">
            <w:pPr>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rPr>
                <w:rFonts w:ascii="Arial Narrow" w:hAnsi="Arial Narrow" w:cs="Arial"/>
                <w:sz w:val="20"/>
              </w:rPr>
            </w:pP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rPr>
                <w:rFonts w:ascii="Arial Narrow" w:hAnsi="Arial Narrow" w:cs="Arial"/>
                <w:sz w:val="20"/>
              </w:rPr>
            </w:pPr>
          </w:p>
        </w:tc>
      </w:tr>
      <w:tr>
        <w:tblPrEx>
          <w:tblW w:w="9133" w:type="dxa"/>
          <w:tblLayout w:type="fixed"/>
          <w:tblCellMar>
            <w:left w:w="70" w:type="dxa"/>
            <w:right w:w="70" w:type="dxa"/>
          </w:tblCellMar>
        </w:tblPrEx>
        <w:trPr>
          <w:trHeight w:val="227"/>
        </w:trPr>
        <w:tc>
          <w:tcPr>
            <w:tcW w:w="4060" w:type="dxa"/>
            <w:tcBorders>
              <w:top w:val="nil"/>
              <w:left w:val="single" w:sz="8" w:space="0" w:color="auto"/>
              <w:bottom w:val="single" w:sz="8" w:space="0" w:color="auto"/>
              <w:right w:val="single" w:sz="4" w:space="0" w:color="auto"/>
              <w:tl2br w:val="nil"/>
              <w:tr2bl w:val="nil"/>
            </w:tcBorders>
            <w:shd w:val="clear" w:color="auto" w:fill="C0C0C0"/>
            <w:noWrap/>
            <w:textDirection w:val="lrTb"/>
            <w:vAlign w:val="center"/>
          </w:tcPr>
          <w:p w:rsidR="00C52DD5" w:rsidRPr="00AC5B52" w:rsidP="00C52DD5">
            <w:pPr>
              <w:rPr>
                <w:rFonts w:ascii="Arial Narrow" w:hAnsi="Arial Narrow" w:cs="Arial"/>
                <w:b/>
                <w:bCs/>
                <w:i/>
                <w:iCs/>
                <w:sz w:val="20"/>
              </w:rPr>
            </w:pPr>
            <w:r w:rsidRPr="00AC5B52">
              <w:rPr>
                <w:rFonts w:ascii="Arial Narrow" w:hAnsi="Arial Narrow" w:cs="Arial"/>
                <w:b/>
                <w:bCs/>
                <w:i/>
                <w:iCs/>
                <w:sz w:val="20"/>
              </w:rPr>
              <w:t xml:space="preserve">Prebytok / schodok </w:t>
            </w:r>
            <w:r>
              <w:rPr>
                <w:rFonts w:ascii="Arial Narrow" w:hAnsi="Arial Narrow" w:cs="Arial"/>
                <w:b/>
                <w:bCs/>
                <w:i/>
                <w:iCs/>
                <w:sz w:val="20"/>
              </w:rPr>
              <w:t xml:space="preserve">SRo </w:t>
            </w:r>
            <w:r w:rsidRPr="00AC5B52">
              <w:rPr>
                <w:rFonts w:ascii="Arial Narrow" w:hAnsi="Arial Narrow" w:cs="Arial"/>
                <w:b/>
                <w:bCs/>
                <w:i/>
                <w:iCs/>
                <w:sz w:val="20"/>
              </w:rPr>
              <w:t xml:space="preserve"> (ESA 95)</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-1 133</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186</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-1 806</w:t>
            </w:r>
          </w:p>
        </w:tc>
        <w:tc>
          <w:tcPr>
            <w:tcW w:w="1269"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C52DD5" w:rsidRPr="00AC5B52" w:rsidP="00C52DD5">
            <w:pPr>
              <w:jc w:val="right"/>
              <w:rPr>
                <w:rFonts w:ascii="Arial Narrow" w:hAnsi="Arial Narrow" w:cs="Arial"/>
                <w:b/>
                <w:bCs/>
                <w:i/>
                <w:iCs/>
                <w:sz w:val="20"/>
              </w:rPr>
            </w:pPr>
            <w:r>
              <w:rPr>
                <w:rFonts w:ascii="Arial Narrow" w:hAnsi="Arial Narrow" w:cs="Arial"/>
                <w:b/>
                <w:bCs/>
                <w:i/>
                <w:iCs/>
                <w:sz w:val="20"/>
              </w:rPr>
              <w:t>-1 839</w:t>
            </w:r>
          </w:p>
        </w:tc>
      </w:tr>
    </w:tbl>
    <w:p w:rsidR="00C52DD5" w:rsidP="00C52DD5">
      <w:pPr>
        <w:ind w:firstLine="708"/>
        <w:jc w:val="both"/>
        <w:rPr>
          <w:rFonts w:cs="Times New Roman"/>
        </w:rPr>
      </w:pPr>
    </w:p>
    <w:p w:rsidR="00C52DD5" w:rsidRPr="00BF0980" w:rsidP="00C52DD5">
      <w:pPr>
        <w:jc w:val="both"/>
        <w:rPr>
          <w:rFonts w:ascii="Arial Narrow" w:hAnsi="Arial Narrow" w:cs="Times New Roman"/>
        </w:rPr>
      </w:pPr>
      <w:r w:rsidRPr="00BF0980">
        <w:rPr>
          <w:rFonts w:ascii="Arial Narrow" w:hAnsi="Arial Narrow" w:cs="Times New Roman"/>
          <w:b/>
        </w:rPr>
        <w:t>13.</w:t>
      </w:r>
      <w:r w:rsidRPr="00804143">
        <w:rPr>
          <w:rFonts w:ascii="Arial Narrow" w:hAnsi="Arial Narrow" w:cs="Times New Roman"/>
        </w:rPr>
        <w:t xml:space="preserve">  </w:t>
      </w:r>
      <w:r w:rsidRPr="00BF0980">
        <w:rPr>
          <w:rFonts w:ascii="Arial Narrow" w:hAnsi="Arial Narrow" w:cs="Times New Roman"/>
          <w:b/>
        </w:rPr>
        <w:t>Rozhlasová a televízna spoločnosť, s.r.o.</w:t>
      </w:r>
    </w:p>
    <w:p w:rsidR="00C52DD5" w:rsidRPr="00804143" w:rsidP="00C52DD5">
      <w:pPr>
        <w:pStyle w:val="Heading3"/>
        <w:spacing w:before="0" w:after="0"/>
        <w:jc w:val="both"/>
        <w:rPr>
          <w:rFonts w:ascii="Arial Narrow" w:hAnsi="Arial Narrow"/>
          <w:sz w:val="24"/>
          <w:szCs w:val="24"/>
        </w:rPr>
      </w:pPr>
    </w:p>
    <w:p w:rsidR="00C52DD5" w:rsidP="00C52DD5">
      <w:pPr>
        <w:autoSpaceDE/>
        <w:autoSpaceDN/>
        <w:ind w:firstLine="708"/>
        <w:jc w:val="both"/>
        <w:rPr>
          <w:rFonts w:ascii="Arial Narrow" w:hAnsi="Arial Narrow" w:cs="Times New Roman"/>
          <w:sz w:val="22"/>
          <w:szCs w:val="22"/>
        </w:rPr>
      </w:pPr>
      <w:r>
        <w:rPr>
          <w:rFonts w:ascii="Arial Narrow" w:hAnsi="Arial Narrow" w:cs="Times New Roman"/>
          <w:sz w:val="22"/>
          <w:szCs w:val="22"/>
        </w:rPr>
        <w:t>Príjmová časť rozpočtu Rozhlasovej a televíznej spoločnosti, s.r.o. (ďalej len „RTVS“) na rok 2009 je tvorená iba transferom od ostatných subjektov verejnej správy, a to transferom od STV vo výške 1 818 tis. eur  a rovnako transferom od SRo vo výške 1 818 tis. eur. Výška transferu je daná zákonom č. 68/2008 Z. z</w:t>
      </w:r>
      <w:r w:rsidRPr="00C52C24">
        <w:rPr>
          <w:rFonts w:ascii="Arial Narrow" w:hAnsi="Arial Narrow" w:cs="Times New Roman"/>
          <w:sz w:val="22"/>
          <w:szCs w:val="22"/>
        </w:rPr>
        <w:t xml:space="preserve">. </w:t>
      </w:r>
      <w:r w:rsidRPr="00C52C24">
        <w:rPr>
          <w:rFonts w:ascii="Arial Narrow" w:hAnsi="Arial Narrow" w:cs="Arial"/>
          <w:bCs/>
          <w:sz w:val="22"/>
          <w:szCs w:val="22"/>
        </w:rPr>
        <w:t>o úhrade za služby verejnosti poskytované Slovenskou televíziou a</w:t>
      </w:r>
      <w:r>
        <w:rPr>
          <w:rFonts w:ascii="Arial Narrow" w:hAnsi="Arial Narrow" w:cs="Arial"/>
          <w:bCs/>
          <w:sz w:val="22"/>
          <w:szCs w:val="22"/>
        </w:rPr>
        <w:t xml:space="preserve"> </w:t>
      </w:r>
      <w:r w:rsidRPr="00C52C24">
        <w:rPr>
          <w:rFonts w:ascii="Arial Narrow" w:hAnsi="Arial Narrow" w:cs="Arial"/>
          <w:bCs/>
          <w:sz w:val="22"/>
          <w:szCs w:val="22"/>
        </w:rPr>
        <w:t>Slovenským rozhlasom a o zmene a doplnení niektorých zákonov</w:t>
      </w:r>
      <w:r>
        <w:rPr>
          <w:rFonts w:ascii="Arial Narrow" w:hAnsi="Arial Narrow" w:cs="Times New Roman"/>
          <w:sz w:val="22"/>
          <w:szCs w:val="22"/>
        </w:rPr>
        <w:t>.</w:t>
      </w:r>
    </w:p>
    <w:p w:rsidR="00C52DD5" w:rsidP="00C52DD5">
      <w:pPr>
        <w:autoSpaceDE/>
        <w:autoSpaceDN/>
        <w:ind w:firstLine="708"/>
        <w:jc w:val="both"/>
        <w:rPr>
          <w:rFonts w:ascii="Arial Narrow" w:hAnsi="Arial Narrow" w:cs="Times New Roman"/>
          <w:sz w:val="22"/>
          <w:szCs w:val="22"/>
        </w:rPr>
      </w:pPr>
    </w:p>
    <w:p w:rsidR="00C52DD5" w:rsidRPr="00772FBF" w:rsidP="00C52DD5">
      <w:pPr>
        <w:autoSpaceDE/>
        <w:autoSpaceDN/>
        <w:ind w:firstLine="708"/>
        <w:jc w:val="both"/>
        <w:rPr>
          <w:rFonts w:ascii="Arial Narrow" w:hAnsi="Arial Narrow" w:cs="Times New Roman"/>
          <w:sz w:val="22"/>
          <w:szCs w:val="22"/>
        </w:rPr>
      </w:pPr>
      <w:r>
        <w:rPr>
          <w:rFonts w:ascii="Arial Narrow" w:hAnsi="Arial Narrow" w:cs="Times New Roman"/>
          <w:sz w:val="22"/>
          <w:szCs w:val="22"/>
        </w:rPr>
        <w:t xml:space="preserve">Výdavková časť rozpočtu je tvorená výdavkami na mzdy, odvody, tovary a služby. Spoločnosť vznikla v apríli 2008 ako vyberateľ úhrady za službu verejnosti poskytované STV a SRo na základe vyššie spomínaného zákona. Náklady vyberateľa úhrady na výber úhrady, kontrolu platenia úhrady a vymáhanie úhrady a pokút podľa tohto zákona uhrádzajú STV a SRo rovným dielom z príjmov z úhrad a pokút, najviac však do sumy 4 % z príjmov z úhrad a pokút. </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V roku 2009, ako aj v nasledujúcich rokoch, sa predpokladá vyrovnané hospodárenie RTVS.  </w:t>
      </w:r>
    </w:p>
    <w:p w:rsidR="00C52DD5" w:rsidP="00C52DD5">
      <w:pPr>
        <w:jc w:val="both"/>
        <w:rPr>
          <w:rFonts w:ascii="Arial Narrow" w:hAnsi="Arial Narrow" w:cs="Times New Roman"/>
          <w:sz w:val="22"/>
          <w:szCs w:val="22"/>
        </w:rPr>
      </w:pPr>
      <w:r>
        <w:rPr>
          <w:rFonts w:ascii="Arial Narrow" w:hAnsi="Arial Narrow" w:cs="Times New Roman"/>
          <w:sz w:val="22"/>
          <w:szCs w:val="22"/>
        </w:rPr>
        <w:tab/>
        <w:t>Vývoj príjmovej a výdavkovej časti rozpočtu RTVS na roky 2009 až 2011 je nasledovný:</w:t>
      </w:r>
    </w:p>
    <w:p w:rsidR="00C52DD5" w:rsidP="00C52DD5">
      <w:pPr>
        <w:ind w:firstLine="708"/>
        <w:jc w:val="both"/>
        <w:rPr>
          <w:rFonts w:ascii="Arial Narrow" w:hAnsi="Arial Narrow" w:cs="Times New Roman"/>
          <w:sz w:val="22"/>
          <w:szCs w:val="22"/>
        </w:rPr>
      </w:pPr>
    </w:p>
    <w:p w:rsidR="00C52DD5" w:rsidRPr="00AC5B52" w:rsidP="00C52DD5">
      <w:pPr>
        <w:ind w:firstLine="708"/>
        <w:jc w:val="both"/>
        <w:rPr>
          <w:rFonts w:ascii="Arial Narrow" w:hAnsi="Arial Narrow" w:cs="Times New Roman"/>
          <w:sz w:val="22"/>
          <w:szCs w:val="22"/>
        </w:rPr>
      </w:pPr>
    </w:p>
    <w:tbl>
      <w:tblPr>
        <w:tblW w:w="7075" w:type="dxa"/>
        <w:tblInd w:w="790" w:type="dxa"/>
        <w:tblLayout w:type="fixed"/>
        <w:tblCellMar>
          <w:left w:w="70" w:type="dxa"/>
          <w:right w:w="70" w:type="dxa"/>
        </w:tblCellMar>
      </w:tblPr>
      <w:tblGrid>
        <w:gridCol w:w="3270"/>
        <w:gridCol w:w="1268"/>
        <w:gridCol w:w="1268"/>
        <w:gridCol w:w="1269"/>
      </w:tblGrid>
      <w:tr>
        <w:tblPrEx>
          <w:tblW w:w="7075" w:type="dxa"/>
          <w:tblInd w:w="790" w:type="dxa"/>
          <w:tblLayout w:type="fixed"/>
          <w:tblCellMar>
            <w:left w:w="70" w:type="dxa"/>
            <w:right w:w="70" w:type="dxa"/>
          </w:tblCellMar>
        </w:tblPrEx>
        <w:trPr>
          <w:trHeight w:val="227"/>
        </w:trPr>
        <w:tc>
          <w:tcPr>
            <w:tcW w:w="3270" w:type="dxa"/>
            <w:tcBorders>
              <w:top w:val="single" w:sz="8" w:space="0" w:color="auto"/>
              <w:left w:val="single" w:sz="8" w:space="0" w:color="auto"/>
              <w:bottom w:val="single" w:sz="4" w:space="0" w:color="auto"/>
              <w:right w:val="single" w:sz="8" w:space="0" w:color="auto"/>
              <w:tl2br w:val="nil"/>
              <w:tr2bl w:val="nil"/>
            </w:tcBorders>
            <w:shd w:val="clear" w:color="auto" w:fill="000000"/>
            <w:textDirection w:val="lrTb"/>
            <w:vAlign w:val="bottom"/>
          </w:tcPr>
          <w:p w:rsidR="00C52DD5" w:rsidRPr="00AC5B52" w:rsidP="00C52DD5">
            <w:pPr>
              <w:ind w:left="540" w:hanging="540"/>
              <w:jc w:val="both"/>
              <w:rPr>
                <w:rFonts w:ascii="Arial Narrow" w:hAnsi="Arial Narrow" w:cs="Arial"/>
                <w:b/>
                <w:color w:val="FFFFFF"/>
                <w:sz w:val="20"/>
              </w:rPr>
            </w:pPr>
            <w:r w:rsidRPr="00AC5B52">
              <w:rPr>
                <w:rFonts w:ascii="Arial Narrow" w:hAnsi="Arial Narrow" w:cs="Arial"/>
                <w:b/>
                <w:color w:val="FFFFFF"/>
                <w:sz w:val="20"/>
              </w:rPr>
              <w:t xml:space="preserve"> </w:t>
            </w:r>
            <w:r>
              <w:rPr>
                <w:rFonts w:ascii="Arial Narrow" w:hAnsi="Arial Narrow" w:cs="Arial"/>
                <w:b/>
                <w:color w:val="FFFFFF"/>
                <w:sz w:val="20"/>
              </w:rPr>
              <w:t>(</w:t>
            </w:r>
            <w:r w:rsidRPr="00AC5B52">
              <w:rPr>
                <w:rFonts w:ascii="Arial Narrow" w:hAnsi="Arial Narrow" w:cs="Arial"/>
                <w:b/>
                <w:color w:val="FFFFFF"/>
                <w:sz w:val="20"/>
              </w:rPr>
              <w:t xml:space="preserve">v </w:t>
            </w:r>
            <w:r>
              <w:rPr>
                <w:rFonts w:ascii="Arial Narrow" w:hAnsi="Arial Narrow" w:cs="Arial"/>
                <w:b/>
                <w:color w:val="FFFFFF"/>
                <w:sz w:val="20"/>
              </w:rPr>
              <w:t>tis. eur</w:t>
            </w:r>
            <w:r w:rsidRPr="00AC5B52">
              <w:rPr>
                <w:rFonts w:ascii="Arial Narrow" w:hAnsi="Arial Narrow" w:cs="Arial"/>
                <w:b/>
                <w:color w:val="FFFFFF"/>
                <w:sz w:val="20"/>
              </w:rPr>
              <w:t>)</w:t>
            </w:r>
          </w:p>
        </w:tc>
        <w:tc>
          <w:tcPr>
            <w:tcW w:w="1268"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center"/>
          </w:tcPr>
          <w:p w:rsidR="00C52DD5" w:rsidRPr="00AC5B52" w:rsidP="00C52DD5">
            <w:pPr>
              <w:ind w:left="540" w:hanging="540"/>
              <w:jc w:val="center"/>
              <w:rPr>
                <w:rFonts w:ascii="Arial Narrow" w:hAnsi="Arial Narrow" w:cs="Arial"/>
                <w:b/>
                <w:bCs/>
                <w:color w:val="FFFFFF"/>
                <w:sz w:val="20"/>
              </w:rPr>
            </w:pPr>
            <w:r w:rsidRPr="00AC5B52">
              <w:rPr>
                <w:rFonts w:ascii="Arial Narrow" w:hAnsi="Arial Narrow" w:cs="Arial"/>
                <w:b/>
                <w:bCs/>
                <w:color w:val="FFFFFF"/>
                <w:sz w:val="20"/>
              </w:rPr>
              <w:t>200</w:t>
            </w:r>
            <w:r>
              <w:rPr>
                <w:rFonts w:ascii="Arial Narrow" w:hAnsi="Arial Narrow" w:cs="Arial"/>
                <w:b/>
                <w:bCs/>
                <w:color w:val="FFFFFF"/>
                <w:sz w:val="20"/>
              </w:rPr>
              <w:t>9</w:t>
            </w:r>
          </w:p>
        </w:tc>
        <w:tc>
          <w:tcPr>
            <w:tcW w:w="1268"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C52DD5" w:rsidRPr="00AC5B52" w:rsidP="00C52DD5">
            <w:pPr>
              <w:ind w:left="540" w:hanging="540"/>
              <w:jc w:val="center"/>
              <w:rPr>
                <w:rFonts w:ascii="Arial Narrow" w:hAnsi="Arial Narrow" w:cs="Arial"/>
                <w:b/>
                <w:bCs/>
                <w:color w:val="FFFFFF"/>
                <w:sz w:val="20"/>
              </w:rPr>
            </w:pPr>
            <w:r w:rsidRPr="00AC5B52">
              <w:rPr>
                <w:rFonts w:ascii="Arial Narrow" w:hAnsi="Arial Narrow" w:cs="Arial"/>
                <w:b/>
                <w:bCs/>
                <w:color w:val="FFFFFF"/>
                <w:sz w:val="20"/>
              </w:rPr>
              <w:t>20</w:t>
            </w:r>
            <w:r>
              <w:rPr>
                <w:rFonts w:ascii="Arial Narrow" w:hAnsi="Arial Narrow" w:cs="Arial"/>
                <w:b/>
                <w:bCs/>
                <w:color w:val="FFFFFF"/>
                <w:sz w:val="20"/>
              </w:rPr>
              <w:t>10</w:t>
            </w:r>
          </w:p>
        </w:tc>
        <w:tc>
          <w:tcPr>
            <w:tcW w:w="1269" w:type="dxa"/>
            <w:tcBorders>
              <w:top w:val="single" w:sz="8" w:space="0" w:color="auto"/>
              <w:left w:val="nil"/>
              <w:bottom w:val="single" w:sz="4" w:space="0" w:color="auto"/>
              <w:right w:val="single" w:sz="8" w:space="0" w:color="auto"/>
              <w:tl2br w:val="nil"/>
              <w:tr2bl w:val="nil"/>
            </w:tcBorders>
            <w:shd w:val="clear" w:color="auto" w:fill="000000"/>
            <w:textDirection w:val="lrTb"/>
            <w:vAlign w:val="center"/>
          </w:tcPr>
          <w:p w:rsidR="00C52DD5" w:rsidRPr="00AC5B52" w:rsidP="00C52DD5">
            <w:pPr>
              <w:ind w:left="540" w:hanging="540"/>
              <w:jc w:val="center"/>
              <w:rPr>
                <w:rFonts w:ascii="Arial Narrow" w:hAnsi="Arial Narrow" w:cs="Arial"/>
                <w:b/>
                <w:bCs/>
                <w:color w:val="FFFFFF"/>
                <w:sz w:val="20"/>
              </w:rPr>
            </w:pPr>
            <w:r w:rsidRPr="00AC5B52">
              <w:rPr>
                <w:rFonts w:ascii="Arial Narrow" w:hAnsi="Arial Narrow" w:cs="Arial"/>
                <w:b/>
                <w:bCs/>
                <w:color w:val="FFFFFF"/>
                <w:sz w:val="20"/>
              </w:rPr>
              <w:t>201</w:t>
            </w:r>
            <w:r>
              <w:rPr>
                <w:rFonts w:ascii="Arial Narrow" w:hAnsi="Arial Narrow" w:cs="Arial"/>
                <w:b/>
                <w:bCs/>
                <w:color w:val="FFFFFF"/>
                <w:sz w:val="20"/>
              </w:rPr>
              <w:t>1</w:t>
            </w:r>
          </w:p>
        </w:tc>
      </w:tr>
      <w:tr>
        <w:tblPrEx>
          <w:tblW w:w="7075" w:type="dxa"/>
          <w:tblInd w:w="790" w:type="dxa"/>
          <w:tblLayout w:type="fixed"/>
          <w:tblCellMar>
            <w:left w:w="70" w:type="dxa"/>
            <w:right w:w="70" w:type="dxa"/>
          </w:tblCellMar>
        </w:tblPrEx>
        <w:trPr>
          <w:trHeight w:val="227"/>
        </w:trPr>
        <w:tc>
          <w:tcPr>
            <w:tcW w:w="3270" w:type="dxa"/>
            <w:tcBorders>
              <w:top w:val="single" w:sz="4" w:space="0" w:color="auto"/>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ind w:left="540" w:hanging="540"/>
              <w:rPr>
                <w:rFonts w:ascii="Arial Narrow" w:hAnsi="Arial Narrow" w:cs="Arial"/>
                <w:b/>
                <w:bCs/>
                <w:i/>
                <w:iCs/>
                <w:sz w:val="20"/>
              </w:rPr>
            </w:pPr>
            <w:r w:rsidRPr="00AC5B52">
              <w:rPr>
                <w:rFonts w:ascii="Arial Narrow" w:hAnsi="Arial Narrow" w:cs="Arial"/>
                <w:b/>
                <w:bCs/>
                <w:i/>
                <w:iCs/>
                <w:sz w:val="20"/>
              </w:rPr>
              <w:t xml:space="preserve">Príjmy </w:t>
            </w:r>
            <w:r>
              <w:rPr>
                <w:rFonts w:ascii="Arial Narrow" w:hAnsi="Arial Narrow" w:cs="Arial"/>
                <w:b/>
                <w:bCs/>
                <w:i/>
                <w:iCs/>
                <w:sz w:val="20"/>
              </w:rPr>
              <w:t>RTVS</w:t>
            </w:r>
            <w:r w:rsidRPr="00AC5B52">
              <w:rPr>
                <w:rFonts w:ascii="Arial Narrow" w:hAnsi="Arial Narrow" w:cs="Arial"/>
                <w:b/>
                <w:bCs/>
                <w:i/>
                <w:iCs/>
                <w:sz w:val="20"/>
              </w:rPr>
              <w:t xml:space="preserve"> spolu</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3 636</w:t>
            </w:r>
          </w:p>
        </w:tc>
        <w:tc>
          <w:tcPr>
            <w:tcW w:w="1268" w:type="dxa"/>
            <w:tcBorders>
              <w:top w:val="single" w:sz="4" w:space="0" w:color="auto"/>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3 799</w:t>
            </w: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3 833</w:t>
            </w:r>
          </w:p>
        </w:tc>
      </w:tr>
      <w:tr>
        <w:tblPrEx>
          <w:tblW w:w="7075" w:type="dxa"/>
          <w:tblInd w:w="790" w:type="dxa"/>
          <w:tblLayout w:type="fixed"/>
          <w:tblCellMar>
            <w:left w:w="70" w:type="dxa"/>
            <w:right w:w="70" w:type="dxa"/>
          </w:tblCellMar>
        </w:tblPrEx>
        <w:trPr>
          <w:trHeight w:val="227"/>
        </w:trPr>
        <w:tc>
          <w:tcPr>
            <w:tcW w:w="7075" w:type="dxa"/>
            <w:gridSpan w:val="4"/>
            <w:tcBorders>
              <w:top w:val="nil"/>
              <w:left w:val="single" w:sz="8" w:space="0" w:color="auto"/>
              <w:bottom w:val="single" w:sz="4" w:space="0" w:color="auto"/>
              <w:right w:val="single" w:sz="8" w:space="0" w:color="auto"/>
              <w:tl2br w:val="nil"/>
              <w:tr2bl w:val="nil"/>
            </w:tcBorders>
            <w:textDirection w:val="lrTb"/>
            <w:vAlign w:val="bottom"/>
          </w:tcPr>
          <w:p w:rsidR="00C52DD5" w:rsidRPr="00AC5B52" w:rsidP="00C52DD5">
            <w:pPr>
              <w:ind w:left="540" w:hanging="540"/>
              <w:rPr>
                <w:rFonts w:ascii="Arial Narrow" w:hAnsi="Arial Narrow" w:cs="Arial"/>
                <w:sz w:val="20"/>
              </w:rPr>
            </w:pPr>
            <w:r w:rsidRPr="00AC5B52">
              <w:rPr>
                <w:rFonts w:ascii="Arial Narrow" w:hAnsi="Arial Narrow" w:cs="Arial"/>
                <w:b/>
                <w:i/>
                <w:sz w:val="20"/>
              </w:rPr>
              <w:t>z toho:</w:t>
            </w:r>
          </w:p>
        </w:tc>
      </w:tr>
      <w:tr>
        <w:tblPrEx>
          <w:tblW w:w="7075" w:type="dxa"/>
          <w:tblInd w:w="790" w:type="dxa"/>
          <w:tblLayout w:type="fixed"/>
          <w:tblCellMar>
            <w:left w:w="70" w:type="dxa"/>
            <w:right w:w="70" w:type="dxa"/>
          </w:tblCellMar>
        </w:tblPrEx>
        <w:trPr>
          <w:trHeight w:val="227"/>
        </w:trPr>
        <w:tc>
          <w:tcPr>
            <w:tcW w:w="327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ind w:left="540" w:hanging="540"/>
              <w:rPr>
                <w:rFonts w:ascii="Arial Narrow" w:hAnsi="Arial Narrow" w:cs="Arial"/>
                <w:sz w:val="20"/>
              </w:rPr>
            </w:pPr>
            <w:r>
              <w:rPr>
                <w:rFonts w:ascii="Arial Narrow" w:hAnsi="Arial Narrow" w:cs="Arial"/>
                <w:sz w:val="20"/>
              </w:rPr>
              <w:t>transfery od STV a SRo</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3 636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3 799</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3 833</w:t>
            </w:r>
          </w:p>
        </w:tc>
      </w:tr>
      <w:tr>
        <w:tblPrEx>
          <w:tblW w:w="7075" w:type="dxa"/>
          <w:tblInd w:w="790" w:type="dxa"/>
          <w:tblLayout w:type="fixed"/>
          <w:tblCellMar>
            <w:left w:w="70" w:type="dxa"/>
            <w:right w:w="70" w:type="dxa"/>
          </w:tblCellMar>
        </w:tblPrEx>
        <w:trPr>
          <w:trHeight w:val="227"/>
        </w:trPr>
        <w:tc>
          <w:tcPr>
            <w:tcW w:w="3270" w:type="dxa"/>
            <w:tcBorders>
              <w:top w:val="single" w:sz="4" w:space="0" w:color="auto"/>
              <w:left w:val="single" w:sz="8" w:space="0" w:color="auto"/>
              <w:bottom w:val="single" w:sz="4" w:space="0" w:color="auto"/>
              <w:right w:val="nil"/>
              <w:tl2br w:val="nil"/>
              <w:tr2bl w:val="nil"/>
            </w:tcBorders>
            <w:textDirection w:val="lrTb"/>
            <w:vAlign w:val="center"/>
          </w:tcPr>
          <w:p w:rsidR="00C52DD5" w:rsidRPr="00AC5B52" w:rsidP="00C52DD5">
            <w:pPr>
              <w:ind w:left="540" w:hanging="540"/>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ind w:left="540" w:hanging="540"/>
              <w:rPr>
                <w:rFonts w:ascii="Arial Narrow" w:hAnsi="Arial Narrow" w:cs="Arial"/>
                <w:sz w:val="20"/>
              </w:rPr>
            </w:pP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ind w:left="540" w:hanging="540"/>
              <w:rPr>
                <w:rFonts w:ascii="Arial Narrow" w:hAnsi="Arial Narrow" w:cs="Arial"/>
                <w:sz w:val="20"/>
              </w:rPr>
            </w:pP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rPr>
                <w:rFonts w:ascii="Arial Narrow" w:hAnsi="Arial Narrow" w:cs="Arial"/>
                <w:sz w:val="20"/>
              </w:rPr>
            </w:pPr>
          </w:p>
        </w:tc>
      </w:tr>
      <w:tr>
        <w:tblPrEx>
          <w:tblW w:w="7075" w:type="dxa"/>
          <w:tblInd w:w="790" w:type="dxa"/>
          <w:tblLayout w:type="fixed"/>
          <w:tblCellMar>
            <w:left w:w="70" w:type="dxa"/>
            <w:right w:w="70" w:type="dxa"/>
          </w:tblCellMar>
        </w:tblPrEx>
        <w:trPr>
          <w:trHeight w:val="227"/>
        </w:trPr>
        <w:tc>
          <w:tcPr>
            <w:tcW w:w="327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ind w:left="540" w:hanging="540"/>
              <w:rPr>
                <w:rFonts w:ascii="Arial Narrow" w:hAnsi="Arial Narrow" w:cs="Arial"/>
                <w:b/>
                <w:bCs/>
                <w:i/>
                <w:iCs/>
                <w:sz w:val="20"/>
              </w:rPr>
            </w:pPr>
            <w:r w:rsidRPr="00AC5B52">
              <w:rPr>
                <w:rFonts w:ascii="Arial Narrow" w:hAnsi="Arial Narrow" w:cs="Arial"/>
                <w:b/>
                <w:bCs/>
                <w:i/>
                <w:iCs/>
                <w:sz w:val="20"/>
              </w:rPr>
              <w:t xml:space="preserve">Výdavky </w:t>
            </w:r>
            <w:r>
              <w:rPr>
                <w:rFonts w:ascii="Arial Narrow" w:hAnsi="Arial Narrow" w:cs="Arial"/>
                <w:b/>
                <w:bCs/>
                <w:i/>
                <w:iCs/>
                <w:sz w:val="20"/>
              </w:rPr>
              <w:t xml:space="preserve">RTVS </w:t>
            </w:r>
            <w:r w:rsidRPr="00AC5B52">
              <w:rPr>
                <w:rFonts w:ascii="Arial Narrow" w:hAnsi="Arial Narrow" w:cs="Arial"/>
                <w:b/>
                <w:bCs/>
                <w:i/>
                <w:iCs/>
                <w:sz w:val="20"/>
              </w:rPr>
              <w:t xml:space="preserve"> spolu</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3 636</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3 799</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3 833</w:t>
            </w:r>
          </w:p>
        </w:tc>
      </w:tr>
      <w:tr>
        <w:tblPrEx>
          <w:tblW w:w="7075" w:type="dxa"/>
          <w:tblInd w:w="790" w:type="dxa"/>
          <w:tblLayout w:type="fixed"/>
          <w:tblCellMar>
            <w:left w:w="70" w:type="dxa"/>
            <w:right w:w="70" w:type="dxa"/>
          </w:tblCellMar>
        </w:tblPrEx>
        <w:trPr>
          <w:trHeight w:val="227"/>
        </w:trPr>
        <w:tc>
          <w:tcPr>
            <w:tcW w:w="7075" w:type="dxa"/>
            <w:gridSpan w:val="4"/>
            <w:tcBorders>
              <w:top w:val="nil"/>
              <w:left w:val="single" w:sz="8" w:space="0" w:color="auto"/>
              <w:bottom w:val="single" w:sz="4" w:space="0" w:color="auto"/>
              <w:right w:val="single" w:sz="8" w:space="0" w:color="auto"/>
              <w:tl2br w:val="nil"/>
              <w:tr2bl w:val="nil"/>
            </w:tcBorders>
            <w:textDirection w:val="lrTb"/>
            <w:vAlign w:val="center"/>
          </w:tcPr>
          <w:p w:rsidR="00C52DD5" w:rsidRPr="00AC5B52" w:rsidP="00C52DD5">
            <w:pPr>
              <w:ind w:left="540" w:hanging="540"/>
              <w:rPr>
                <w:rFonts w:ascii="Arial Narrow" w:hAnsi="Arial Narrow" w:cs="Arial"/>
                <w:sz w:val="20"/>
              </w:rPr>
            </w:pPr>
            <w:r w:rsidRPr="00AC5B52">
              <w:rPr>
                <w:rFonts w:ascii="Arial Narrow" w:hAnsi="Arial Narrow" w:cs="Arial"/>
                <w:b/>
                <w:i/>
                <w:sz w:val="20"/>
              </w:rPr>
              <w:t>z toho:</w:t>
            </w:r>
          </w:p>
        </w:tc>
      </w:tr>
      <w:tr>
        <w:tblPrEx>
          <w:tblW w:w="7075" w:type="dxa"/>
          <w:tblInd w:w="790" w:type="dxa"/>
          <w:tblLayout w:type="fixed"/>
          <w:tblCellMar>
            <w:left w:w="70" w:type="dxa"/>
            <w:right w:w="70" w:type="dxa"/>
          </w:tblCellMar>
        </w:tblPrEx>
        <w:trPr>
          <w:trHeight w:val="227"/>
        </w:trPr>
        <w:tc>
          <w:tcPr>
            <w:tcW w:w="327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ind w:left="540" w:hanging="540"/>
              <w:rPr>
                <w:rFonts w:ascii="Arial Narrow" w:hAnsi="Arial Narrow" w:cs="Arial"/>
                <w:sz w:val="20"/>
              </w:rPr>
            </w:pPr>
            <w:r>
              <w:rPr>
                <w:rFonts w:ascii="Arial Narrow" w:hAnsi="Arial Narrow" w:cs="Arial"/>
                <w:sz w:val="20"/>
              </w:rPr>
              <w:t>mzdy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320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330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339</w:t>
            </w:r>
          </w:p>
        </w:tc>
      </w:tr>
      <w:tr>
        <w:tblPrEx>
          <w:tblW w:w="7075" w:type="dxa"/>
          <w:tblInd w:w="790" w:type="dxa"/>
          <w:tblLayout w:type="fixed"/>
          <w:tblCellMar>
            <w:left w:w="70" w:type="dxa"/>
            <w:right w:w="70" w:type="dxa"/>
          </w:tblCellMar>
        </w:tblPrEx>
        <w:trPr>
          <w:trHeight w:val="227"/>
        </w:trPr>
        <w:tc>
          <w:tcPr>
            <w:tcW w:w="327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ind w:left="540" w:hanging="540"/>
              <w:rPr>
                <w:rFonts w:ascii="Arial Narrow" w:hAnsi="Arial Narrow" w:cs="Arial"/>
                <w:sz w:val="20"/>
              </w:rPr>
            </w:pPr>
            <w:r>
              <w:rPr>
                <w:rFonts w:ascii="Arial Narrow" w:hAnsi="Arial Narrow" w:cs="Arial"/>
                <w:sz w:val="20"/>
              </w:rPr>
              <w:t>odvody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107</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110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114</w:t>
            </w:r>
          </w:p>
        </w:tc>
      </w:tr>
      <w:tr>
        <w:tblPrEx>
          <w:tblW w:w="7075" w:type="dxa"/>
          <w:tblInd w:w="790" w:type="dxa"/>
          <w:tblLayout w:type="fixed"/>
          <w:tblCellMar>
            <w:left w:w="70" w:type="dxa"/>
            <w:right w:w="70" w:type="dxa"/>
          </w:tblCellMar>
        </w:tblPrEx>
        <w:trPr>
          <w:trHeight w:val="227"/>
        </w:trPr>
        <w:tc>
          <w:tcPr>
            <w:tcW w:w="3270" w:type="dxa"/>
            <w:tcBorders>
              <w:top w:val="nil"/>
              <w:left w:val="single" w:sz="8" w:space="0" w:color="auto"/>
              <w:bottom w:val="single" w:sz="4" w:space="0" w:color="auto"/>
              <w:right w:val="single" w:sz="4" w:space="0" w:color="auto"/>
              <w:tl2br w:val="nil"/>
              <w:tr2bl w:val="nil"/>
            </w:tcBorders>
            <w:textDirection w:val="lrTb"/>
            <w:vAlign w:val="center"/>
          </w:tcPr>
          <w:p w:rsidR="00C52DD5" w:rsidRPr="00AC5B52" w:rsidP="00C52DD5">
            <w:pPr>
              <w:numPr>
                <w:ilvl w:val="0"/>
                <w:numId w:val="194"/>
              </w:numPr>
              <w:tabs>
                <w:tab w:val="left" w:pos="360"/>
              </w:tabs>
              <w:ind w:left="540" w:hanging="540"/>
              <w:rPr>
                <w:rFonts w:ascii="Arial Narrow" w:hAnsi="Arial Narrow" w:cs="Arial"/>
                <w:sz w:val="20"/>
              </w:rPr>
            </w:pPr>
            <w:r>
              <w:rPr>
                <w:rFonts w:ascii="Arial Narrow" w:hAnsi="Arial Narrow" w:cs="Arial"/>
                <w:sz w:val="20"/>
              </w:rPr>
              <w:t>tovary a služby</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3 209</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3 359</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jc w:val="right"/>
              <w:rPr>
                <w:rFonts w:ascii="Arial Narrow" w:hAnsi="Arial Narrow" w:cs="Arial"/>
                <w:sz w:val="20"/>
              </w:rPr>
            </w:pPr>
            <w:r>
              <w:rPr>
                <w:rFonts w:ascii="Arial Narrow" w:hAnsi="Arial Narrow" w:cs="Arial"/>
                <w:sz w:val="20"/>
              </w:rPr>
              <w:t>3 380</w:t>
            </w:r>
          </w:p>
        </w:tc>
      </w:tr>
      <w:tr>
        <w:tblPrEx>
          <w:tblW w:w="7075" w:type="dxa"/>
          <w:tblInd w:w="790" w:type="dxa"/>
          <w:tblLayout w:type="fixed"/>
          <w:tblCellMar>
            <w:left w:w="70" w:type="dxa"/>
            <w:right w:w="70" w:type="dxa"/>
          </w:tblCellMar>
        </w:tblPrEx>
        <w:trPr>
          <w:trHeight w:val="227"/>
        </w:trPr>
        <w:tc>
          <w:tcPr>
            <w:tcW w:w="3270" w:type="dxa"/>
            <w:tcBorders>
              <w:top w:val="single" w:sz="4" w:space="0" w:color="auto"/>
              <w:left w:val="single" w:sz="8" w:space="0" w:color="auto"/>
              <w:bottom w:val="single" w:sz="4" w:space="0" w:color="auto"/>
              <w:right w:val="nil"/>
              <w:tl2br w:val="nil"/>
              <w:tr2bl w:val="nil"/>
            </w:tcBorders>
            <w:noWrap/>
            <w:textDirection w:val="lrTb"/>
            <w:vAlign w:val="center"/>
          </w:tcPr>
          <w:p w:rsidR="00C52DD5" w:rsidRPr="00AC5B52" w:rsidP="00C52DD5">
            <w:pPr>
              <w:ind w:left="540" w:hanging="540"/>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ind w:left="540" w:hanging="540"/>
              <w:rPr>
                <w:rFonts w:ascii="Arial Narrow" w:hAnsi="Arial Narrow" w:cs="Arial"/>
                <w:sz w:val="20"/>
              </w:rPr>
            </w:pP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ind w:left="540" w:hanging="540"/>
              <w:rPr>
                <w:rFonts w:ascii="Arial Narrow" w:hAnsi="Arial Narrow" w:cs="Arial"/>
                <w:sz w:val="20"/>
              </w:rPr>
            </w:pP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rPr>
                <w:rFonts w:ascii="Arial Narrow" w:hAnsi="Arial Narrow" w:cs="Arial"/>
                <w:sz w:val="20"/>
              </w:rPr>
            </w:pPr>
          </w:p>
        </w:tc>
      </w:tr>
      <w:tr>
        <w:tblPrEx>
          <w:tblW w:w="7075" w:type="dxa"/>
          <w:tblInd w:w="790" w:type="dxa"/>
          <w:tblLayout w:type="fixed"/>
          <w:tblCellMar>
            <w:left w:w="70" w:type="dxa"/>
            <w:right w:w="70" w:type="dxa"/>
          </w:tblCellMar>
        </w:tblPrEx>
        <w:trPr>
          <w:trHeight w:val="227"/>
        </w:trPr>
        <w:tc>
          <w:tcPr>
            <w:tcW w:w="327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C52DD5" w:rsidRPr="00AC5B52" w:rsidP="00C52DD5">
            <w:pPr>
              <w:ind w:left="540" w:hanging="540"/>
              <w:rPr>
                <w:rFonts w:ascii="Arial Narrow" w:hAnsi="Arial Narrow" w:cs="Arial"/>
                <w:b/>
                <w:bCs/>
                <w:i/>
                <w:iCs/>
                <w:sz w:val="20"/>
              </w:rPr>
            </w:pPr>
            <w:r w:rsidRPr="00AC5B52">
              <w:rPr>
                <w:rFonts w:ascii="Arial Narrow" w:hAnsi="Arial Narrow" w:cs="Arial"/>
                <w:b/>
                <w:bCs/>
                <w:i/>
                <w:iCs/>
                <w:sz w:val="20"/>
              </w:rPr>
              <w:t>Celkov</w:t>
            </w:r>
            <w:r>
              <w:rPr>
                <w:rFonts w:ascii="Arial Narrow" w:hAnsi="Arial Narrow" w:cs="Arial"/>
                <w:b/>
                <w:bCs/>
                <w:i/>
                <w:iCs/>
                <w:sz w:val="20"/>
              </w:rPr>
              <w:t>á bilancia RTVS</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0</w:t>
            </w:r>
          </w:p>
        </w:tc>
        <w:tc>
          <w:tcPr>
            <w:tcW w:w="1268"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0</w:t>
            </w:r>
          </w:p>
        </w:tc>
        <w:tc>
          <w:tcPr>
            <w:tcW w:w="1269"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0</w:t>
            </w:r>
          </w:p>
        </w:tc>
      </w:tr>
      <w:tr>
        <w:tblPrEx>
          <w:tblW w:w="7075" w:type="dxa"/>
          <w:tblInd w:w="790" w:type="dxa"/>
          <w:tblLayout w:type="fixed"/>
          <w:tblCellMar>
            <w:left w:w="70" w:type="dxa"/>
            <w:right w:w="70" w:type="dxa"/>
          </w:tblCellMar>
        </w:tblPrEx>
        <w:trPr>
          <w:trHeight w:val="227"/>
        </w:trPr>
        <w:tc>
          <w:tcPr>
            <w:tcW w:w="3270" w:type="dxa"/>
            <w:tcBorders>
              <w:top w:val="nil"/>
              <w:left w:val="single" w:sz="8" w:space="0" w:color="auto"/>
              <w:bottom w:val="single" w:sz="4" w:space="0" w:color="auto"/>
              <w:right w:val="single" w:sz="4" w:space="0" w:color="auto"/>
              <w:tl2br w:val="nil"/>
              <w:tr2bl w:val="nil"/>
            </w:tcBorders>
            <w:noWrap/>
            <w:textDirection w:val="lrTb"/>
            <w:vAlign w:val="center"/>
          </w:tcPr>
          <w:p w:rsidR="00C52DD5" w:rsidRPr="00AC5B52" w:rsidP="00C52DD5">
            <w:pPr>
              <w:ind w:left="540" w:hanging="540"/>
              <w:rPr>
                <w:rFonts w:ascii="Arial Narrow" w:hAnsi="Arial Narrow" w:cs="Arial"/>
                <w:b/>
                <w:bCs/>
                <w:i/>
                <w:iCs/>
                <w:sz w:val="20"/>
              </w:rPr>
            </w:pPr>
            <w:r w:rsidRPr="00AC5B52">
              <w:rPr>
                <w:rFonts w:ascii="Arial Narrow" w:hAnsi="Arial Narrow" w:cs="Arial"/>
                <w:b/>
                <w:bCs/>
                <w:i/>
                <w:iCs/>
                <w:sz w:val="20"/>
              </w:rPr>
              <w:t xml:space="preserve"> vylúčenie finančných operácií</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0</w:t>
            </w:r>
          </w:p>
        </w:tc>
        <w:tc>
          <w:tcPr>
            <w:tcW w:w="1268" w:type="dxa"/>
            <w:tcBorders>
              <w:top w:val="nil"/>
              <w:left w:val="nil"/>
              <w:bottom w:val="single" w:sz="4" w:space="0" w:color="auto"/>
              <w:right w:val="single" w:sz="4" w:space="0" w:color="auto"/>
              <w:tl2br w:val="nil"/>
              <w:tr2bl w:val="nil"/>
            </w:tcBorders>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0</w:t>
            </w:r>
          </w:p>
        </w:tc>
        <w:tc>
          <w:tcPr>
            <w:tcW w:w="1269" w:type="dxa"/>
            <w:tcBorders>
              <w:top w:val="nil"/>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0</w:t>
            </w:r>
          </w:p>
        </w:tc>
      </w:tr>
      <w:tr>
        <w:tblPrEx>
          <w:tblW w:w="7075" w:type="dxa"/>
          <w:tblInd w:w="790" w:type="dxa"/>
          <w:tblLayout w:type="fixed"/>
          <w:tblCellMar>
            <w:left w:w="70" w:type="dxa"/>
            <w:right w:w="70" w:type="dxa"/>
          </w:tblCellMar>
        </w:tblPrEx>
        <w:trPr>
          <w:trHeight w:val="227"/>
        </w:trPr>
        <w:tc>
          <w:tcPr>
            <w:tcW w:w="3270" w:type="dxa"/>
            <w:tcBorders>
              <w:top w:val="single" w:sz="4" w:space="0" w:color="auto"/>
              <w:left w:val="single" w:sz="8" w:space="0" w:color="auto"/>
              <w:bottom w:val="single" w:sz="4" w:space="0" w:color="auto"/>
              <w:right w:val="nil"/>
              <w:tl2br w:val="nil"/>
              <w:tr2bl w:val="nil"/>
            </w:tcBorders>
            <w:textDirection w:val="lrTb"/>
            <w:vAlign w:val="center"/>
          </w:tcPr>
          <w:p w:rsidR="00C52DD5" w:rsidRPr="00AC5B52" w:rsidP="00C52DD5">
            <w:pPr>
              <w:ind w:left="540" w:hanging="540"/>
              <w:rPr>
                <w:rFonts w:ascii="Arial Narrow" w:hAnsi="Arial Narrow" w:cs="Arial"/>
                <w:sz w:val="20"/>
              </w:rPr>
            </w:pPr>
            <w:r w:rsidRPr="00AC5B52">
              <w:rPr>
                <w:rFonts w:ascii="Arial Narrow" w:hAnsi="Arial Narrow" w:cs="Arial"/>
                <w:sz w:val="20"/>
              </w:rPr>
              <w:t> </w:t>
            </w: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ind w:left="540" w:hanging="540"/>
              <w:rPr>
                <w:rFonts w:ascii="Arial Narrow" w:hAnsi="Arial Narrow" w:cs="Arial"/>
                <w:sz w:val="20"/>
              </w:rPr>
            </w:pPr>
          </w:p>
        </w:tc>
        <w:tc>
          <w:tcPr>
            <w:tcW w:w="1268" w:type="dxa"/>
            <w:tcBorders>
              <w:top w:val="single" w:sz="4" w:space="0" w:color="auto"/>
              <w:left w:val="nil"/>
              <w:bottom w:val="single" w:sz="4" w:space="0" w:color="auto"/>
              <w:right w:val="nil"/>
              <w:tl2br w:val="nil"/>
              <w:tr2bl w:val="nil"/>
            </w:tcBorders>
            <w:noWrap/>
            <w:textDirection w:val="lrTb"/>
            <w:vAlign w:val="center"/>
          </w:tcPr>
          <w:p w:rsidR="00C52DD5" w:rsidRPr="00AC5B52" w:rsidP="00C52DD5">
            <w:pPr>
              <w:ind w:left="540" w:hanging="540"/>
              <w:rPr>
                <w:rFonts w:ascii="Arial Narrow" w:hAnsi="Arial Narrow" w:cs="Arial"/>
                <w:sz w:val="20"/>
              </w:rPr>
            </w:pPr>
          </w:p>
        </w:tc>
        <w:tc>
          <w:tcPr>
            <w:tcW w:w="1269" w:type="dxa"/>
            <w:tcBorders>
              <w:top w:val="single" w:sz="4" w:space="0" w:color="auto"/>
              <w:left w:val="nil"/>
              <w:bottom w:val="single" w:sz="4" w:space="0" w:color="auto"/>
              <w:right w:val="single" w:sz="8" w:space="0" w:color="auto"/>
              <w:tl2br w:val="nil"/>
              <w:tr2bl w:val="nil"/>
            </w:tcBorders>
            <w:noWrap/>
            <w:textDirection w:val="lrTb"/>
            <w:vAlign w:val="center"/>
          </w:tcPr>
          <w:p w:rsidR="00C52DD5" w:rsidRPr="00AC5B52" w:rsidP="00C52DD5">
            <w:pPr>
              <w:ind w:left="540" w:hanging="540"/>
              <w:rPr>
                <w:rFonts w:ascii="Arial Narrow" w:hAnsi="Arial Narrow" w:cs="Arial"/>
                <w:sz w:val="20"/>
              </w:rPr>
            </w:pPr>
          </w:p>
        </w:tc>
      </w:tr>
      <w:tr>
        <w:tblPrEx>
          <w:tblW w:w="7075" w:type="dxa"/>
          <w:tblInd w:w="790" w:type="dxa"/>
          <w:tblLayout w:type="fixed"/>
          <w:tblCellMar>
            <w:left w:w="70" w:type="dxa"/>
            <w:right w:w="70" w:type="dxa"/>
          </w:tblCellMar>
        </w:tblPrEx>
        <w:trPr>
          <w:trHeight w:val="227"/>
        </w:trPr>
        <w:tc>
          <w:tcPr>
            <w:tcW w:w="3270" w:type="dxa"/>
            <w:tcBorders>
              <w:top w:val="nil"/>
              <w:left w:val="single" w:sz="8" w:space="0" w:color="auto"/>
              <w:bottom w:val="single" w:sz="8" w:space="0" w:color="auto"/>
              <w:right w:val="single" w:sz="4" w:space="0" w:color="auto"/>
              <w:tl2br w:val="nil"/>
              <w:tr2bl w:val="nil"/>
            </w:tcBorders>
            <w:shd w:val="clear" w:color="auto" w:fill="C0C0C0"/>
            <w:noWrap/>
            <w:textDirection w:val="lrTb"/>
            <w:vAlign w:val="center"/>
          </w:tcPr>
          <w:p w:rsidR="00C52DD5" w:rsidRPr="00AC5B52" w:rsidP="00C52DD5">
            <w:pPr>
              <w:ind w:left="540" w:hanging="540"/>
              <w:rPr>
                <w:rFonts w:ascii="Arial Narrow" w:hAnsi="Arial Narrow" w:cs="Arial"/>
                <w:b/>
                <w:bCs/>
                <w:i/>
                <w:iCs/>
                <w:sz w:val="20"/>
              </w:rPr>
            </w:pPr>
            <w:r w:rsidRPr="00AC5B52">
              <w:rPr>
                <w:rFonts w:ascii="Arial Narrow" w:hAnsi="Arial Narrow" w:cs="Arial"/>
                <w:b/>
                <w:bCs/>
                <w:i/>
                <w:iCs/>
                <w:sz w:val="20"/>
              </w:rPr>
              <w:t xml:space="preserve">Prebytok / schodok </w:t>
            </w:r>
            <w:r>
              <w:rPr>
                <w:rFonts w:ascii="Arial Narrow" w:hAnsi="Arial Narrow" w:cs="Arial"/>
                <w:b/>
                <w:bCs/>
                <w:i/>
                <w:iCs/>
                <w:sz w:val="20"/>
              </w:rPr>
              <w:t xml:space="preserve">RTVS </w:t>
            </w:r>
            <w:r w:rsidRPr="00AC5B52">
              <w:rPr>
                <w:rFonts w:ascii="Arial Narrow" w:hAnsi="Arial Narrow" w:cs="Arial"/>
                <w:b/>
                <w:bCs/>
                <w:i/>
                <w:iCs/>
                <w:sz w:val="20"/>
              </w:rPr>
              <w:t xml:space="preserve"> (ESA 95)</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0</w:t>
            </w:r>
          </w:p>
        </w:tc>
        <w:tc>
          <w:tcPr>
            <w:tcW w:w="1268"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0</w:t>
            </w:r>
          </w:p>
        </w:tc>
        <w:tc>
          <w:tcPr>
            <w:tcW w:w="1269"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C52DD5" w:rsidRPr="00AC5B52" w:rsidP="00C52DD5">
            <w:pPr>
              <w:ind w:left="540" w:hanging="540"/>
              <w:jc w:val="right"/>
              <w:rPr>
                <w:rFonts w:ascii="Arial Narrow" w:hAnsi="Arial Narrow" w:cs="Arial"/>
                <w:b/>
                <w:bCs/>
                <w:i/>
                <w:iCs/>
                <w:sz w:val="20"/>
              </w:rPr>
            </w:pPr>
            <w:r>
              <w:rPr>
                <w:rFonts w:ascii="Arial Narrow" w:hAnsi="Arial Narrow" w:cs="Arial"/>
                <w:b/>
                <w:bCs/>
                <w:i/>
                <w:iCs/>
                <w:sz w:val="20"/>
              </w:rPr>
              <w:t>0</w:t>
            </w:r>
          </w:p>
        </w:tc>
      </w:tr>
    </w:tbl>
    <w:p w:rsidR="00C52DD5" w:rsidP="00C52DD5">
      <w:pPr>
        <w:jc w:val="both"/>
        <w:rPr>
          <w:rFonts w:ascii="Arial Narrow" w:hAnsi="Arial Narrow" w:cs="Times New Roman"/>
          <w:sz w:val="22"/>
          <w:szCs w:val="22"/>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P="00C52DD5">
      <w:pPr>
        <w:rPr>
          <w:rFonts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P="00C52DD5">
      <w:pPr>
        <w:rPr>
          <w:rFonts w:ascii="Arial Narrow" w:hAnsi="Arial Narrow" w:cs="Times New Roman"/>
        </w:rPr>
      </w:pPr>
    </w:p>
    <w:p w:rsidR="005C1768" w:rsidP="00C52DD5">
      <w:pPr>
        <w:rPr>
          <w:rFonts w:ascii="Arial Narrow" w:hAnsi="Arial Narrow" w:cs="Times New Roman"/>
        </w:rPr>
      </w:pPr>
    </w:p>
    <w:p w:rsidR="005C1768" w:rsidRPr="00231151" w:rsidP="00C52DD5">
      <w:pPr>
        <w:rPr>
          <w:rFonts w:ascii="Arial Narrow" w:hAnsi="Arial Narrow" w:cs="Times New Roman"/>
        </w:rPr>
      </w:pPr>
    </w:p>
    <w:p w:rsidR="00C52DD5" w:rsidRPr="00231151" w:rsidP="00C52DD5">
      <w:pPr>
        <w:rPr>
          <w:rFonts w:ascii="Arial Narrow" w:hAnsi="Arial Narrow" w:cs="Times New Roman"/>
        </w:rPr>
      </w:pPr>
    </w:p>
    <w:p w:rsidR="00C52DD5" w:rsidP="00C52DD5">
      <w:pPr>
        <w:jc w:val="center"/>
        <w:rPr>
          <w:rFonts w:ascii="Arial Narrow" w:hAnsi="Arial Narrow" w:cs="Times New Roman"/>
          <w:b/>
          <w:sz w:val="44"/>
          <w:szCs w:val="44"/>
        </w:rPr>
      </w:pPr>
    </w:p>
    <w:p w:rsidR="00C52DD5" w:rsidP="00C52DD5">
      <w:pPr>
        <w:jc w:val="center"/>
        <w:rPr>
          <w:rFonts w:ascii="Arial Narrow" w:hAnsi="Arial Narrow" w:cs="Times New Roman"/>
          <w:b/>
          <w:sz w:val="44"/>
          <w:szCs w:val="44"/>
        </w:rPr>
      </w:pPr>
    </w:p>
    <w:p w:rsidR="00C52DD5" w:rsidRPr="00231151" w:rsidP="00C52DD5">
      <w:pPr>
        <w:jc w:val="center"/>
        <w:rPr>
          <w:rFonts w:ascii="Arial Narrow" w:hAnsi="Arial Narrow" w:cs="Times New Roman"/>
          <w:b/>
          <w:sz w:val="44"/>
          <w:szCs w:val="44"/>
        </w:rPr>
      </w:pPr>
      <w:r w:rsidRPr="00231151">
        <w:rPr>
          <w:rFonts w:ascii="Arial Narrow" w:hAnsi="Arial Narrow" w:cs="Times New Roman"/>
          <w:b/>
          <w:sz w:val="44"/>
          <w:szCs w:val="44"/>
        </w:rPr>
        <w:t xml:space="preserve">Príloha č. </w:t>
      </w:r>
      <w:r>
        <w:rPr>
          <w:rFonts w:ascii="Arial Narrow" w:hAnsi="Arial Narrow" w:cs="Times New Roman"/>
          <w:b/>
          <w:sz w:val="44"/>
          <w:szCs w:val="44"/>
        </w:rPr>
        <w:t>2</w:t>
      </w:r>
    </w:p>
    <w:p w:rsidR="00C52DD5" w:rsidRPr="00231151" w:rsidP="00C52DD5">
      <w:pPr>
        <w:jc w:val="center"/>
        <w:rPr>
          <w:rFonts w:ascii="Arial Narrow" w:hAnsi="Arial Narrow" w:cs="Times New Roman"/>
          <w:b/>
          <w:sz w:val="44"/>
          <w:szCs w:val="44"/>
        </w:rPr>
      </w:pPr>
    </w:p>
    <w:p w:rsidR="00C52DD5" w:rsidRPr="00E34526" w:rsidP="00C52DD5">
      <w:pPr>
        <w:jc w:val="center"/>
        <w:rPr>
          <w:rFonts w:ascii="Arial Narrow" w:hAnsi="Arial Narrow" w:cs="Times New Roman"/>
          <w:b/>
          <w:sz w:val="44"/>
          <w:szCs w:val="44"/>
        </w:rPr>
      </w:pPr>
      <w:r w:rsidRPr="00E34526">
        <w:rPr>
          <w:rFonts w:ascii="Arial Narrow" w:hAnsi="Arial Narrow" w:cs="Times New Roman"/>
          <w:b/>
          <w:sz w:val="44"/>
          <w:szCs w:val="44"/>
        </w:rPr>
        <w:t>Rozpočtové vzťahy SR a EÚ</w:t>
      </w:r>
    </w:p>
    <w:p w:rsidR="00C52DD5" w:rsidP="00C52DD5">
      <w:pPr>
        <w:rPr>
          <w:rFonts w:ascii="Arial Narrow" w:hAnsi="Arial Narrow" w:cs="Times New Roman"/>
          <w:b/>
          <w:sz w:val="28"/>
          <w:szCs w:val="28"/>
        </w:rPr>
      </w:pPr>
    </w:p>
    <w:p w:rsidR="00C52DD5" w:rsidRPr="00D55E35" w:rsidP="00C52DD5">
      <w:pPr>
        <w:rPr>
          <w:rFonts w:ascii="Arial Narrow" w:hAnsi="Arial Narrow" w:cs="Times New Roman"/>
          <w:b/>
          <w:sz w:val="28"/>
          <w:szCs w:val="28"/>
        </w:rPr>
      </w:pPr>
      <w:r>
        <w:rPr>
          <w:rFonts w:cs="Times New Roman"/>
        </w:rPr>
        <w:br w:type="page"/>
      </w:r>
      <w:r w:rsidRPr="00D55E35">
        <w:rPr>
          <w:rFonts w:ascii="Arial Narrow" w:hAnsi="Arial Narrow" w:cs="Times New Roman"/>
          <w:b/>
          <w:sz w:val="28"/>
          <w:szCs w:val="28"/>
        </w:rPr>
        <w:t>Rozpočtové vzťahy SR a</w:t>
      </w:r>
      <w:r>
        <w:rPr>
          <w:rFonts w:ascii="Arial Narrow" w:hAnsi="Arial Narrow" w:cs="Times New Roman"/>
          <w:b/>
          <w:sz w:val="28"/>
          <w:szCs w:val="28"/>
        </w:rPr>
        <w:t> </w:t>
      </w:r>
      <w:r w:rsidRPr="00D55E35">
        <w:rPr>
          <w:rFonts w:ascii="Arial Narrow" w:hAnsi="Arial Narrow" w:cs="Times New Roman"/>
          <w:b/>
          <w:sz w:val="28"/>
          <w:szCs w:val="28"/>
        </w:rPr>
        <w:t>EÚ</w:t>
      </w:r>
    </w:p>
    <w:p w:rsidR="00C52DD5" w:rsidP="00C52DD5">
      <w:pPr>
        <w:rPr>
          <w:rFonts w:ascii="Arial Narrow" w:hAnsi="Arial Narrow" w:cs="Times New Roman"/>
        </w:rPr>
      </w:pPr>
    </w:p>
    <w:p w:rsidR="00C52DD5" w:rsidRPr="00D55E35" w:rsidP="00C52DD5">
      <w:pPr>
        <w:rPr>
          <w:rFonts w:ascii="Arial Narrow" w:hAnsi="Arial Narrow" w:cs="Times New Roman"/>
        </w:rPr>
      </w:pPr>
    </w:p>
    <w:p w:rsidR="00C52DD5" w:rsidRPr="00D55E35" w:rsidP="00C52DD5">
      <w:pPr>
        <w:jc w:val="both"/>
        <w:rPr>
          <w:rFonts w:ascii="Arial Narrow" w:hAnsi="Arial Narrow" w:cs="Times New Roman"/>
          <w:b/>
        </w:rPr>
      </w:pPr>
      <w:r>
        <w:rPr>
          <w:rFonts w:ascii="Arial Narrow" w:hAnsi="Arial Narrow" w:cs="Times New Roman"/>
          <w:b/>
        </w:rPr>
        <w:t>1. Základné predpoklady tvorby návrhu rozpočtu verejnej správy na roky 2009 až 2011 pre</w:t>
      </w:r>
      <w:r w:rsidRPr="00D55E35">
        <w:rPr>
          <w:rFonts w:ascii="Arial Narrow" w:hAnsi="Arial Narrow" w:cs="Times New Roman"/>
          <w:b/>
        </w:rPr>
        <w:t xml:space="preserve"> odvody</w:t>
      </w:r>
      <w:r>
        <w:rPr>
          <w:rFonts w:ascii="Arial Narrow" w:hAnsi="Arial Narrow" w:cs="Times New Roman"/>
          <w:b/>
        </w:rPr>
        <w:t xml:space="preserve"> a príspevky</w:t>
      </w:r>
      <w:r w:rsidRPr="00D55E35">
        <w:rPr>
          <w:rFonts w:ascii="Arial Narrow" w:hAnsi="Arial Narrow" w:cs="Times New Roman"/>
          <w:b/>
        </w:rPr>
        <w:t xml:space="preserve"> SR do všeobecného rozpočtu EÚ</w:t>
      </w:r>
    </w:p>
    <w:p w:rsidR="00C52DD5" w:rsidRPr="005273D3" w:rsidP="00C52DD5">
      <w:pPr>
        <w:jc w:val="both"/>
        <w:rPr>
          <w:rFonts w:ascii="Arial Narrow" w:hAnsi="Arial Narrow" w:cs="Times New Roman"/>
          <w:sz w:val="22"/>
          <w:szCs w:val="22"/>
        </w:rPr>
      </w:pPr>
    </w:p>
    <w:p w:rsidR="00C52DD5" w:rsidRPr="007D6F9F" w:rsidP="00C52DD5">
      <w:pPr>
        <w:ind w:firstLine="708"/>
        <w:jc w:val="both"/>
        <w:rPr>
          <w:rFonts w:ascii="Arial Narrow" w:hAnsi="Arial Narrow" w:cs="Times New Roman"/>
          <w:sz w:val="22"/>
          <w:szCs w:val="22"/>
        </w:rPr>
      </w:pPr>
      <w:r w:rsidRPr="005273D3">
        <w:rPr>
          <w:rFonts w:ascii="Arial Narrow" w:hAnsi="Arial Narrow" w:cs="Times New Roman"/>
          <w:sz w:val="22"/>
          <w:szCs w:val="22"/>
        </w:rPr>
        <w:t>Základným východiskom pre vypracovanie odhadu odvodov SR d</w:t>
      </w:r>
      <w:r>
        <w:rPr>
          <w:rFonts w:ascii="Arial Narrow" w:hAnsi="Arial Narrow" w:cs="Times New Roman"/>
          <w:sz w:val="22"/>
          <w:szCs w:val="22"/>
        </w:rPr>
        <w:t>o všeobecného rozpočtu EÚ na roky 2009 až 2011</w:t>
      </w:r>
      <w:r w:rsidRPr="005273D3">
        <w:rPr>
          <w:rFonts w:ascii="Arial Narrow" w:hAnsi="Arial Narrow" w:cs="Times New Roman"/>
          <w:sz w:val="22"/>
          <w:szCs w:val="22"/>
        </w:rPr>
        <w:t xml:space="preserve"> boli závery zo zasadania Poradného výboru pre vlastné zdroje (ACOR) z</w:t>
      </w:r>
      <w:r>
        <w:rPr>
          <w:rFonts w:ascii="Arial Narrow" w:hAnsi="Arial Narrow" w:cs="Times New Roman"/>
          <w:sz w:val="22"/>
          <w:szCs w:val="22"/>
        </w:rPr>
        <w:t>o 7.</w:t>
      </w:r>
      <w:r w:rsidRPr="005273D3">
        <w:rPr>
          <w:rFonts w:ascii="Arial Narrow" w:hAnsi="Arial Narrow" w:cs="Times New Roman"/>
          <w:sz w:val="22"/>
          <w:szCs w:val="22"/>
        </w:rPr>
        <w:t xml:space="preserve"> mája </w:t>
      </w:r>
      <w:r>
        <w:rPr>
          <w:rFonts w:ascii="Arial Narrow" w:hAnsi="Arial Narrow" w:cs="Times New Roman"/>
          <w:sz w:val="22"/>
          <w:szCs w:val="22"/>
        </w:rPr>
        <w:t>2008</w:t>
      </w:r>
      <w:r w:rsidRPr="005273D3">
        <w:rPr>
          <w:rFonts w:ascii="Arial Narrow" w:hAnsi="Arial Narrow" w:cs="Times New Roman"/>
          <w:sz w:val="22"/>
          <w:szCs w:val="22"/>
        </w:rPr>
        <w:t xml:space="preserve"> pri súčasnom </w:t>
      </w:r>
      <w:r w:rsidRPr="007D6F9F">
        <w:rPr>
          <w:rFonts w:ascii="Arial Narrow" w:hAnsi="Arial Narrow" w:cs="Times New Roman"/>
          <w:sz w:val="22"/>
          <w:szCs w:val="22"/>
        </w:rPr>
        <w:t>zohľadnení nového finančného rámca EÚ na roky 2007 – 2013.</w:t>
      </w:r>
      <w:r>
        <w:rPr>
          <w:rFonts w:ascii="Arial Narrow" w:hAnsi="Arial Narrow" w:cs="Times New Roman"/>
          <w:sz w:val="22"/>
          <w:szCs w:val="22"/>
        </w:rPr>
        <w:t xml:space="preserve"> O</w:t>
      </w:r>
      <w:r w:rsidRPr="007D6F9F">
        <w:rPr>
          <w:rFonts w:ascii="Arial Narrow" w:hAnsi="Arial Narrow" w:cs="Times New Roman"/>
          <w:sz w:val="22"/>
          <w:szCs w:val="22"/>
        </w:rPr>
        <w:t xml:space="preserve">d roku 2011 </w:t>
      </w:r>
      <w:r>
        <w:rPr>
          <w:rFonts w:ascii="Arial Narrow" w:hAnsi="Arial Narrow" w:cs="Times New Roman"/>
          <w:sz w:val="22"/>
          <w:szCs w:val="22"/>
        </w:rPr>
        <w:t xml:space="preserve">bude Slovenská republika </w:t>
      </w:r>
      <w:r w:rsidRPr="007D6F9F">
        <w:rPr>
          <w:rFonts w:ascii="Arial Narrow" w:hAnsi="Arial Narrow" w:cs="Times New Roman"/>
          <w:sz w:val="22"/>
          <w:szCs w:val="22"/>
        </w:rPr>
        <w:t>prispievať aj do Európskeho rozvojového fondu</w:t>
      </w:r>
      <w:r>
        <w:rPr>
          <w:rStyle w:val="FootnoteReference"/>
          <w:rFonts w:ascii="Arial Narrow" w:hAnsi="Arial Narrow" w:cs="Times New Roman"/>
          <w:sz w:val="22"/>
          <w:szCs w:val="22"/>
          <w:rtl w:val="0"/>
        </w:rPr>
        <w:footnoteReference w:id="1"/>
      </w:r>
      <w:r w:rsidRPr="007D6F9F">
        <w:rPr>
          <w:rFonts w:ascii="Arial Narrow" w:hAnsi="Arial Narrow" w:cs="Times New Roman"/>
          <w:sz w:val="22"/>
          <w:szCs w:val="22"/>
        </w:rPr>
        <w:t>.</w:t>
      </w:r>
    </w:p>
    <w:p w:rsidR="00C52DD5" w:rsidRPr="005273D3" w:rsidP="00C52DD5">
      <w:pPr>
        <w:jc w:val="both"/>
        <w:rPr>
          <w:rFonts w:ascii="Arial Narrow" w:hAnsi="Arial Narrow" w:cs="Times New Roman"/>
          <w:sz w:val="22"/>
          <w:szCs w:val="22"/>
        </w:rPr>
      </w:pPr>
    </w:p>
    <w:p w:rsidR="00C52DD5" w:rsidRPr="005273D3" w:rsidP="00C52DD5">
      <w:pPr>
        <w:ind w:firstLine="708"/>
        <w:jc w:val="both"/>
        <w:rPr>
          <w:rFonts w:ascii="Arial Narrow" w:hAnsi="Arial Narrow" w:cs="Times New Roman"/>
          <w:sz w:val="22"/>
          <w:szCs w:val="22"/>
        </w:rPr>
      </w:pPr>
      <w:r w:rsidRPr="005273D3">
        <w:rPr>
          <w:rFonts w:ascii="Arial Narrow" w:hAnsi="Arial Narrow" w:cs="Times New Roman"/>
          <w:sz w:val="22"/>
          <w:szCs w:val="22"/>
        </w:rPr>
        <w:t>V súvislosti s odvodmi SR do všeobecného rozpočtu EÚ je potrebné upozorniť na to, že</w:t>
      </w:r>
      <w:r>
        <w:rPr>
          <w:rFonts w:ascii="Arial Narrow" w:hAnsi="Arial Narrow" w:cs="Times New Roman"/>
          <w:sz w:val="22"/>
          <w:szCs w:val="22"/>
        </w:rPr>
        <w:t xml:space="preserve"> dňa 7. júna 2007 bolo Radou ministrov pre dopravu, telekomunikácie a energetiku prijaté nové rozhodnutie Rady</w:t>
      </w:r>
      <w:r w:rsidRPr="005273D3">
        <w:rPr>
          <w:rFonts w:ascii="Arial Narrow" w:hAnsi="Arial Narrow" w:cs="Times New Roman"/>
          <w:sz w:val="22"/>
          <w:szCs w:val="22"/>
        </w:rPr>
        <w:t xml:space="preserve"> o systéme vlastných zdrojov </w:t>
      </w:r>
      <w:r>
        <w:rPr>
          <w:rFonts w:ascii="Arial Narrow" w:hAnsi="Arial Narrow" w:cs="Times New Roman"/>
          <w:sz w:val="22"/>
          <w:szCs w:val="22"/>
        </w:rPr>
        <w:t>ES, ktoré sa bude uplatňovať so spätnou účinnosťou od</w:t>
      </w:r>
      <w:r w:rsidRPr="005273D3">
        <w:rPr>
          <w:rFonts w:ascii="Arial Narrow" w:hAnsi="Arial Narrow" w:cs="Times New Roman"/>
          <w:sz w:val="22"/>
          <w:szCs w:val="22"/>
        </w:rPr>
        <w:t xml:space="preserve"> 1. januára 2007. Aby nové rozhodnutie vstúpilo do platnosti, musí byť schválené nielen v Rade EÚ ale následne aj všetkými členskými štátmi</w:t>
      </w:r>
      <w:r>
        <w:rPr>
          <w:rFonts w:ascii="Arial Narrow" w:hAnsi="Arial Narrow" w:cs="Times New Roman"/>
          <w:sz w:val="22"/>
          <w:szCs w:val="22"/>
        </w:rPr>
        <w:t xml:space="preserve"> v súlade s ich ústavnými požiadavk</w:t>
      </w:r>
      <w:r w:rsidRPr="005273D3">
        <w:rPr>
          <w:rFonts w:ascii="Arial Narrow" w:hAnsi="Arial Narrow" w:cs="Times New Roman"/>
          <w:sz w:val="22"/>
          <w:szCs w:val="22"/>
        </w:rPr>
        <w:t>ami.</w:t>
      </w:r>
    </w:p>
    <w:p w:rsidR="00C52DD5" w:rsidRPr="005273D3" w:rsidP="00C52DD5">
      <w:pPr>
        <w:jc w:val="both"/>
        <w:rPr>
          <w:rFonts w:ascii="Arial Narrow" w:hAnsi="Arial Narrow" w:cs="Times New Roman"/>
          <w:sz w:val="22"/>
          <w:szCs w:val="22"/>
        </w:rPr>
      </w:pPr>
    </w:p>
    <w:p w:rsidR="00C52DD5" w:rsidRPr="005273D3" w:rsidP="00C52DD5">
      <w:pPr>
        <w:ind w:firstLine="708"/>
        <w:jc w:val="both"/>
        <w:rPr>
          <w:rFonts w:ascii="Arial Narrow" w:hAnsi="Arial Narrow" w:cs="Times New Roman"/>
          <w:sz w:val="22"/>
          <w:szCs w:val="22"/>
        </w:rPr>
      </w:pPr>
      <w:r w:rsidRPr="005273D3">
        <w:rPr>
          <w:rFonts w:ascii="Arial Narrow" w:hAnsi="Arial Narrow" w:cs="Times New Roman"/>
          <w:sz w:val="22"/>
          <w:szCs w:val="22"/>
        </w:rPr>
        <w:t>Vzhľadom na</w:t>
      </w:r>
      <w:r>
        <w:rPr>
          <w:rFonts w:ascii="Arial Narrow" w:hAnsi="Arial Narrow" w:cs="Times New Roman"/>
          <w:sz w:val="22"/>
          <w:szCs w:val="22"/>
        </w:rPr>
        <w:t xml:space="preserve"> skutočnosť, že </w:t>
      </w:r>
      <w:r w:rsidRPr="005273D3">
        <w:rPr>
          <w:rFonts w:ascii="Arial Narrow" w:hAnsi="Arial Narrow" w:cs="Times New Roman"/>
          <w:sz w:val="22"/>
          <w:szCs w:val="22"/>
        </w:rPr>
        <w:t xml:space="preserve">nové rozhodnutie </w:t>
      </w:r>
      <w:r>
        <w:rPr>
          <w:rFonts w:ascii="Arial Narrow" w:hAnsi="Arial Narrow" w:cs="Times New Roman"/>
          <w:sz w:val="22"/>
          <w:szCs w:val="22"/>
        </w:rPr>
        <w:t>bolo zatiaľ schválené</w:t>
      </w:r>
      <w:r w:rsidRPr="005273D3">
        <w:rPr>
          <w:rFonts w:ascii="Arial Narrow" w:hAnsi="Arial Narrow" w:cs="Times New Roman"/>
          <w:sz w:val="22"/>
          <w:szCs w:val="22"/>
        </w:rPr>
        <w:t xml:space="preserve"> </w:t>
      </w:r>
      <w:r>
        <w:rPr>
          <w:rFonts w:ascii="Arial Narrow" w:hAnsi="Arial Narrow" w:cs="Times New Roman"/>
          <w:sz w:val="22"/>
          <w:szCs w:val="22"/>
        </w:rPr>
        <w:t xml:space="preserve">len </w:t>
      </w:r>
      <w:r w:rsidRPr="005273D3">
        <w:rPr>
          <w:rFonts w:ascii="Arial Narrow" w:hAnsi="Arial Narrow" w:cs="Times New Roman"/>
          <w:sz w:val="22"/>
          <w:szCs w:val="22"/>
        </w:rPr>
        <w:t>v Rade EÚ</w:t>
      </w:r>
      <w:r>
        <w:rPr>
          <w:rFonts w:ascii="Arial Narrow" w:hAnsi="Arial Narrow" w:cs="Times New Roman"/>
          <w:sz w:val="22"/>
          <w:szCs w:val="22"/>
        </w:rPr>
        <w:t xml:space="preserve"> a proces ratifikácie bol ukončený iba v niektorých členských štátoch EÚ (vrátane SR)</w:t>
      </w:r>
      <w:r w:rsidRPr="005273D3">
        <w:rPr>
          <w:rFonts w:ascii="Arial Narrow" w:hAnsi="Arial Narrow" w:cs="Times New Roman"/>
          <w:sz w:val="22"/>
          <w:szCs w:val="22"/>
        </w:rPr>
        <w:t>, sú odhady odvodov SR (vlastných zdrojov ES) do všeo</w:t>
      </w:r>
      <w:r>
        <w:rPr>
          <w:rFonts w:ascii="Arial Narrow" w:hAnsi="Arial Narrow" w:cs="Times New Roman"/>
          <w:sz w:val="22"/>
          <w:szCs w:val="22"/>
        </w:rPr>
        <w:t>becného rozpočtu EÚ na roky 2009 až 2011</w:t>
      </w:r>
      <w:r w:rsidRPr="005273D3">
        <w:rPr>
          <w:rFonts w:ascii="Arial Narrow" w:hAnsi="Arial Narrow" w:cs="Times New Roman"/>
          <w:sz w:val="22"/>
          <w:szCs w:val="22"/>
        </w:rPr>
        <w:t xml:space="preserve"> vypracované pri aplikácii v súčasnosti platného rozhodnutia Rady o systéme vlastných zdrojov ES. Potom, ako nové rozhodnutie vstúpi do platnosti, </w:t>
      </w:r>
      <w:r>
        <w:rPr>
          <w:rFonts w:ascii="Arial Narrow" w:hAnsi="Arial Narrow" w:cs="Times New Roman"/>
          <w:sz w:val="22"/>
          <w:szCs w:val="22"/>
        </w:rPr>
        <w:t xml:space="preserve">uskutoční Európska komisia </w:t>
      </w:r>
      <w:r w:rsidRPr="005273D3">
        <w:rPr>
          <w:rFonts w:ascii="Arial Narrow" w:hAnsi="Arial Narrow" w:cs="Times New Roman"/>
          <w:sz w:val="22"/>
          <w:szCs w:val="22"/>
        </w:rPr>
        <w:t xml:space="preserve">spätný prepočet odvodov jednotlivých členských štátov </w:t>
      </w:r>
      <w:r>
        <w:rPr>
          <w:rFonts w:ascii="Arial Narrow" w:hAnsi="Arial Narrow" w:cs="Times New Roman"/>
          <w:sz w:val="22"/>
          <w:szCs w:val="22"/>
        </w:rPr>
        <w:t xml:space="preserve">do rozpočtu EÚ </w:t>
      </w:r>
      <w:r w:rsidRPr="005273D3">
        <w:rPr>
          <w:rFonts w:ascii="Arial Narrow" w:hAnsi="Arial Narrow" w:cs="Times New Roman"/>
          <w:sz w:val="22"/>
          <w:szCs w:val="22"/>
        </w:rPr>
        <w:t>za obdobie od 1. januára 2007 do nadobudnutia platnosti</w:t>
      </w:r>
      <w:r>
        <w:rPr>
          <w:rFonts w:ascii="Arial Narrow" w:hAnsi="Arial Narrow" w:cs="Times New Roman"/>
          <w:sz w:val="22"/>
          <w:szCs w:val="22"/>
        </w:rPr>
        <w:t xml:space="preserve"> rozhodnutia</w:t>
      </w:r>
      <w:r w:rsidRPr="005273D3">
        <w:rPr>
          <w:rFonts w:ascii="Arial Narrow" w:hAnsi="Arial Narrow" w:cs="Times New Roman"/>
          <w:sz w:val="22"/>
          <w:szCs w:val="22"/>
        </w:rPr>
        <w:t>. Predpokladané rozdiely v odvodoch SR do všeobecného rozpočtu EÚ vyplývajúce z takéhoto postupu sú zohľadnené v rezerve na odvody do všeobecného rozpočtu EÚ.</w:t>
      </w:r>
    </w:p>
    <w:p w:rsidR="00C52DD5" w:rsidRPr="005273D3" w:rsidP="00C52DD5">
      <w:pPr>
        <w:jc w:val="both"/>
        <w:rPr>
          <w:rFonts w:ascii="Arial Narrow" w:hAnsi="Arial Narrow" w:cs="Times New Roman"/>
          <w:sz w:val="22"/>
          <w:szCs w:val="22"/>
        </w:rPr>
      </w:pPr>
    </w:p>
    <w:p w:rsidR="00C52DD5" w:rsidRPr="00ED4B41" w:rsidP="00C52DD5">
      <w:pPr>
        <w:pStyle w:val="BodyText"/>
        <w:rPr>
          <w:rFonts w:ascii="Arial Narrow" w:hAnsi="Arial Narrow" w:cs="Arial Narrow"/>
          <w:b/>
          <w:bCs/>
          <w:szCs w:val="24"/>
        </w:rPr>
      </w:pPr>
      <w:r w:rsidRPr="00ED4B41">
        <w:rPr>
          <w:rFonts w:ascii="Arial Narrow" w:hAnsi="Arial Narrow" w:cs="Arial Narrow"/>
          <w:b/>
          <w:bCs/>
          <w:szCs w:val="24"/>
        </w:rPr>
        <w:t xml:space="preserve">2. Odvody a príspevky SR do všeobecného rozpočtu EÚ  </w:t>
      </w:r>
    </w:p>
    <w:p w:rsidR="00C52DD5"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r w:rsidRPr="005273D3">
        <w:rPr>
          <w:rFonts w:ascii="Arial Narrow" w:hAnsi="Arial Narrow" w:cs="Times New Roman"/>
          <w:sz w:val="22"/>
          <w:szCs w:val="22"/>
          <w:u w:val="single"/>
        </w:rPr>
        <w:t>Tabuľka č. 1:</w:t>
      </w:r>
      <w:r w:rsidRPr="005273D3">
        <w:rPr>
          <w:rFonts w:ascii="Arial Narrow" w:hAnsi="Arial Narrow" w:cs="Times New Roman"/>
          <w:sz w:val="22"/>
          <w:szCs w:val="22"/>
        </w:rPr>
        <w:t xml:space="preserve"> Odhad odvodov SR do všeobecného rozpočtu EÚ v rok</w:t>
      </w:r>
      <w:r>
        <w:rPr>
          <w:rFonts w:ascii="Arial Narrow" w:hAnsi="Arial Narrow" w:cs="Times New Roman"/>
          <w:sz w:val="22"/>
          <w:szCs w:val="22"/>
        </w:rPr>
        <w:t>och 2009 až 2011</w:t>
      </w:r>
      <w:r w:rsidRPr="005273D3">
        <w:rPr>
          <w:rFonts w:ascii="Arial Narrow" w:hAnsi="Arial Narrow" w:cs="Times New Roman"/>
          <w:sz w:val="22"/>
          <w:szCs w:val="22"/>
        </w:rPr>
        <w:t xml:space="preserve"> v</w:t>
      </w:r>
      <w:r>
        <w:rPr>
          <w:rFonts w:ascii="Arial Narrow" w:hAnsi="Arial Narrow" w:cs="Times New Roman"/>
          <w:sz w:val="22"/>
          <w:szCs w:val="22"/>
        </w:rPr>
        <w:t> tis. eur</w:t>
      </w:r>
    </w:p>
    <w:p w:rsidR="00C52DD5" w:rsidP="00C52DD5">
      <w:pPr>
        <w:jc w:val="both"/>
        <w:rPr>
          <w:rFonts w:ascii="Arial Narrow" w:hAnsi="Arial Narrow" w:cs="Times New Roman"/>
          <w:sz w:val="22"/>
          <w:szCs w:val="22"/>
        </w:rPr>
      </w:pPr>
    </w:p>
    <w:tbl>
      <w:tblPr>
        <w:tblW w:w="8920" w:type="dxa"/>
        <w:tblInd w:w="65" w:type="dxa"/>
        <w:tblCellMar>
          <w:left w:w="70" w:type="dxa"/>
          <w:right w:w="70" w:type="dxa"/>
        </w:tblCellMar>
      </w:tblPr>
      <w:tblGrid>
        <w:gridCol w:w="4900"/>
        <w:gridCol w:w="1340"/>
        <w:gridCol w:w="1340"/>
        <w:gridCol w:w="1340"/>
      </w:tblGrid>
      <w:tr>
        <w:tblPrEx>
          <w:tblW w:w="8920" w:type="dxa"/>
          <w:tblInd w:w="65" w:type="dxa"/>
          <w:tblCellMar>
            <w:left w:w="70" w:type="dxa"/>
            <w:right w:w="70" w:type="dxa"/>
          </w:tblCellMar>
        </w:tblPrEx>
        <w:trPr>
          <w:trHeight w:val="255"/>
        </w:trPr>
        <w:tc>
          <w:tcPr>
            <w:tcW w:w="4900" w:type="dxa"/>
            <w:tcBorders>
              <w:top w:val="single" w:sz="4" w:space="0" w:color="auto"/>
              <w:left w:val="single" w:sz="4" w:space="0" w:color="auto"/>
              <w:bottom w:val="single" w:sz="4" w:space="0" w:color="auto"/>
              <w:right w:val="single" w:sz="4" w:space="0" w:color="auto"/>
              <w:tl2br w:val="nil"/>
              <w:tr2bl w:val="nil"/>
            </w:tcBorders>
            <w:shd w:val="clear" w:color="auto" w:fill="333333"/>
            <w:noWrap/>
            <w:textDirection w:val="lrTb"/>
            <w:vAlign w:val="bottom"/>
          </w:tcPr>
          <w:p w:rsidR="00C52DD5" w:rsidP="00C52DD5">
            <w:pPr>
              <w:rPr>
                <w:rFonts w:ascii="Arial Narrow" w:hAnsi="Arial Narrow" w:cs="Arial"/>
                <w:sz w:val="20"/>
              </w:rPr>
            </w:pPr>
            <w:r>
              <w:rPr>
                <w:rFonts w:ascii="Arial Narrow" w:hAnsi="Arial Narrow" w:cs="Arial"/>
                <w:sz w:val="20"/>
              </w:rPr>
              <w:t> </w:t>
            </w:r>
          </w:p>
        </w:tc>
        <w:tc>
          <w:tcPr>
            <w:tcW w:w="1340" w:type="dxa"/>
            <w:tcBorders>
              <w:top w:val="single" w:sz="4" w:space="0" w:color="auto"/>
              <w:left w:val="nil"/>
              <w:bottom w:val="single" w:sz="4" w:space="0" w:color="auto"/>
              <w:right w:val="single" w:sz="4" w:space="0" w:color="auto"/>
              <w:tl2br w:val="nil"/>
              <w:tr2bl w:val="nil"/>
            </w:tcBorders>
            <w:shd w:val="clear" w:color="auto" w:fill="333333"/>
            <w:noWrap/>
            <w:textDirection w:val="lrTb"/>
            <w:vAlign w:val="bottom"/>
          </w:tcPr>
          <w:p w:rsidR="00C52DD5" w:rsidP="00C52DD5">
            <w:pPr>
              <w:jc w:val="center"/>
              <w:rPr>
                <w:rFonts w:ascii="Arial Narrow" w:hAnsi="Arial Narrow" w:cs="Arial"/>
                <w:b/>
                <w:bCs/>
                <w:color w:val="FFFFFF"/>
                <w:sz w:val="20"/>
              </w:rPr>
            </w:pPr>
            <w:r>
              <w:rPr>
                <w:rFonts w:ascii="Arial Narrow" w:hAnsi="Arial Narrow" w:cs="Arial"/>
                <w:b/>
                <w:bCs/>
                <w:color w:val="FFFFFF"/>
                <w:sz w:val="20"/>
              </w:rPr>
              <w:t>2009</w:t>
            </w:r>
          </w:p>
        </w:tc>
        <w:tc>
          <w:tcPr>
            <w:tcW w:w="1340" w:type="dxa"/>
            <w:tcBorders>
              <w:top w:val="single" w:sz="4" w:space="0" w:color="auto"/>
              <w:left w:val="nil"/>
              <w:bottom w:val="single" w:sz="4" w:space="0" w:color="auto"/>
              <w:right w:val="single" w:sz="4" w:space="0" w:color="auto"/>
              <w:tl2br w:val="nil"/>
              <w:tr2bl w:val="nil"/>
            </w:tcBorders>
            <w:shd w:val="clear" w:color="auto" w:fill="333333"/>
            <w:noWrap/>
            <w:textDirection w:val="lrTb"/>
            <w:vAlign w:val="bottom"/>
          </w:tcPr>
          <w:p w:rsidR="00C52DD5" w:rsidP="00C52DD5">
            <w:pPr>
              <w:jc w:val="center"/>
              <w:rPr>
                <w:rFonts w:ascii="Arial Narrow" w:hAnsi="Arial Narrow" w:cs="Arial"/>
                <w:b/>
                <w:bCs/>
                <w:color w:val="FFFFFF"/>
                <w:sz w:val="20"/>
              </w:rPr>
            </w:pPr>
            <w:r>
              <w:rPr>
                <w:rFonts w:ascii="Arial Narrow" w:hAnsi="Arial Narrow" w:cs="Arial"/>
                <w:b/>
                <w:bCs/>
                <w:color w:val="FFFFFF"/>
                <w:sz w:val="20"/>
              </w:rPr>
              <w:t>2010</w:t>
            </w:r>
          </w:p>
        </w:tc>
        <w:tc>
          <w:tcPr>
            <w:tcW w:w="1340" w:type="dxa"/>
            <w:tcBorders>
              <w:top w:val="single" w:sz="4" w:space="0" w:color="auto"/>
              <w:left w:val="nil"/>
              <w:bottom w:val="single" w:sz="4" w:space="0" w:color="auto"/>
              <w:right w:val="single" w:sz="4" w:space="0" w:color="auto"/>
              <w:tl2br w:val="nil"/>
              <w:tr2bl w:val="nil"/>
            </w:tcBorders>
            <w:shd w:val="clear" w:color="auto" w:fill="333333"/>
            <w:noWrap/>
            <w:textDirection w:val="lrTb"/>
            <w:vAlign w:val="bottom"/>
          </w:tcPr>
          <w:p w:rsidR="00C52DD5" w:rsidP="00C52DD5">
            <w:pPr>
              <w:jc w:val="center"/>
              <w:rPr>
                <w:rFonts w:ascii="Arial Narrow" w:hAnsi="Arial Narrow" w:cs="Arial"/>
                <w:b/>
                <w:bCs/>
                <w:color w:val="FFFFFF"/>
                <w:sz w:val="20"/>
              </w:rPr>
            </w:pPr>
            <w:r>
              <w:rPr>
                <w:rFonts w:ascii="Arial Narrow" w:hAnsi="Arial Narrow" w:cs="Arial"/>
                <w:b/>
                <w:bCs/>
                <w:color w:val="FFFFFF"/>
                <w:sz w:val="20"/>
              </w:rPr>
              <w:t>2011</w:t>
            </w:r>
          </w:p>
        </w:tc>
      </w:tr>
      <w:tr>
        <w:tblPrEx>
          <w:tblW w:w="8920" w:type="dxa"/>
          <w:tblInd w:w="65" w:type="dxa"/>
          <w:tblCellMar>
            <w:left w:w="70" w:type="dxa"/>
            <w:right w:w="70" w:type="dxa"/>
          </w:tblCellMar>
        </w:tblPrEx>
        <w:trPr>
          <w:trHeight w:val="255"/>
        </w:trPr>
        <w:tc>
          <w:tcPr>
            <w:tcW w:w="4900" w:type="dxa"/>
            <w:tcBorders>
              <w:top w:val="nil"/>
              <w:left w:val="single" w:sz="4" w:space="0" w:color="auto"/>
              <w:bottom w:val="single" w:sz="4" w:space="0" w:color="auto"/>
              <w:right w:val="single" w:sz="4" w:space="0" w:color="auto"/>
              <w:tl2br w:val="nil"/>
              <w:tr2bl w:val="nil"/>
            </w:tcBorders>
            <w:noWrap/>
            <w:textDirection w:val="lrTb"/>
            <w:vAlign w:val="bottom"/>
          </w:tcPr>
          <w:p w:rsidR="00C52DD5" w:rsidP="00C52DD5">
            <w:pPr>
              <w:rPr>
                <w:rFonts w:ascii="Arial Narrow" w:hAnsi="Arial Narrow" w:cs="Arial"/>
                <w:sz w:val="20"/>
              </w:rPr>
            </w:pPr>
            <w:r>
              <w:rPr>
                <w:rFonts w:ascii="Arial Narrow" w:hAnsi="Arial Narrow" w:cs="Arial"/>
                <w:sz w:val="20"/>
              </w:rPr>
              <w:t>Tradičné vlastné zdroje</w:t>
            </w:r>
          </w:p>
        </w:tc>
        <w:tc>
          <w:tcPr>
            <w:tcW w:w="1340" w:type="dxa"/>
            <w:tcBorders>
              <w:top w:val="single" w:sz="4" w:space="0" w:color="auto"/>
              <w:left w:val="nil"/>
              <w:bottom w:val="single" w:sz="4" w:space="0" w:color="auto"/>
              <w:right w:val="nil"/>
              <w:tl2br w:val="nil"/>
              <w:tr2bl w:val="nil"/>
            </w:tcBorders>
            <w:noWrap/>
            <w:textDirection w:val="lrTb"/>
            <w:vAlign w:val="bottom"/>
          </w:tcPr>
          <w:p w:rsidR="00C52DD5" w:rsidP="00C52DD5">
            <w:pPr>
              <w:jc w:val="right"/>
              <w:rPr>
                <w:rFonts w:ascii="Arial Narrow" w:hAnsi="Arial Narrow" w:cs="Arial"/>
                <w:sz w:val="20"/>
              </w:rPr>
            </w:pPr>
            <w:r>
              <w:rPr>
                <w:rFonts w:ascii="Arial Narrow" w:hAnsi="Arial Narrow" w:cs="Arial"/>
                <w:sz w:val="20"/>
              </w:rPr>
              <w:t xml:space="preserve">118 200 </w:t>
            </w:r>
          </w:p>
        </w:tc>
        <w:tc>
          <w:tcPr>
            <w:tcW w:w="13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C52DD5" w:rsidP="00C52DD5">
            <w:pPr>
              <w:jc w:val="right"/>
              <w:rPr>
                <w:rFonts w:ascii="Arial Narrow" w:hAnsi="Arial Narrow" w:cs="Arial"/>
                <w:sz w:val="20"/>
              </w:rPr>
            </w:pPr>
            <w:r>
              <w:rPr>
                <w:rFonts w:ascii="Arial Narrow" w:hAnsi="Arial Narrow" w:cs="Arial"/>
                <w:sz w:val="20"/>
              </w:rPr>
              <w:t>120 564</w:t>
            </w:r>
          </w:p>
        </w:tc>
        <w:tc>
          <w:tcPr>
            <w:tcW w:w="1340" w:type="dxa"/>
            <w:tcBorders>
              <w:top w:val="single" w:sz="4" w:space="0" w:color="auto"/>
              <w:left w:val="nil"/>
              <w:bottom w:val="single" w:sz="4" w:space="0" w:color="auto"/>
              <w:right w:val="single" w:sz="4" w:space="0" w:color="auto"/>
              <w:tl2br w:val="nil"/>
              <w:tr2bl w:val="nil"/>
            </w:tcBorders>
            <w:noWrap/>
            <w:textDirection w:val="lrTb"/>
            <w:vAlign w:val="bottom"/>
          </w:tcPr>
          <w:p w:rsidR="00C52DD5" w:rsidP="00C52DD5">
            <w:pPr>
              <w:jc w:val="right"/>
              <w:rPr>
                <w:rFonts w:ascii="Arial Narrow" w:hAnsi="Arial Narrow" w:cs="Arial"/>
                <w:sz w:val="20"/>
              </w:rPr>
            </w:pPr>
            <w:r>
              <w:rPr>
                <w:rFonts w:ascii="Arial Narrow" w:hAnsi="Arial Narrow" w:cs="Arial"/>
                <w:sz w:val="20"/>
              </w:rPr>
              <w:t>122 975</w:t>
            </w:r>
          </w:p>
        </w:tc>
      </w:tr>
      <w:tr>
        <w:tblPrEx>
          <w:tblW w:w="8920" w:type="dxa"/>
          <w:tblInd w:w="65" w:type="dxa"/>
          <w:tblCellMar>
            <w:left w:w="70" w:type="dxa"/>
            <w:right w:w="70" w:type="dxa"/>
          </w:tblCellMar>
        </w:tblPrEx>
        <w:trPr>
          <w:trHeight w:val="255"/>
        </w:trPr>
        <w:tc>
          <w:tcPr>
            <w:tcW w:w="4900" w:type="dxa"/>
            <w:tcBorders>
              <w:top w:val="single" w:sz="4" w:space="0" w:color="auto"/>
              <w:left w:val="single" w:sz="4" w:space="0" w:color="auto"/>
              <w:bottom w:val="single" w:sz="4" w:space="0" w:color="auto"/>
              <w:right w:val="single" w:sz="4" w:space="0" w:color="auto"/>
              <w:tl2br w:val="nil"/>
              <w:tr2bl w:val="nil"/>
            </w:tcBorders>
            <w:shd w:val="clear" w:color="auto" w:fill="FFFFFF"/>
            <w:noWrap/>
            <w:textDirection w:val="lrTb"/>
            <w:vAlign w:val="bottom"/>
          </w:tcPr>
          <w:p w:rsidR="00C52DD5" w:rsidP="00C52DD5">
            <w:pPr>
              <w:rPr>
                <w:rFonts w:ascii="Arial Narrow" w:hAnsi="Arial Narrow" w:cs="Arial"/>
                <w:b/>
                <w:bCs/>
                <w:sz w:val="20"/>
              </w:rPr>
            </w:pPr>
            <w:r>
              <w:rPr>
                <w:rFonts w:ascii="Arial Narrow" w:hAnsi="Arial Narrow" w:cs="Arial"/>
                <w:b/>
                <w:bCs/>
                <w:sz w:val="20"/>
              </w:rPr>
              <w:t>Odvod SR do všeobecného rozpočtu EÚ</w:t>
            </w:r>
          </w:p>
        </w:tc>
        <w:tc>
          <w:tcPr>
            <w:tcW w:w="1340" w:type="dxa"/>
            <w:tcBorders>
              <w:top w:val="single" w:sz="4" w:space="0" w:color="auto"/>
              <w:left w:val="nil"/>
              <w:bottom w:val="single" w:sz="4" w:space="0" w:color="auto"/>
              <w:right w:val="nil"/>
              <w:tl2br w:val="nil"/>
              <w:tr2bl w:val="nil"/>
            </w:tcBorders>
            <w:shd w:val="clear" w:color="auto" w:fill="FFFFFF"/>
            <w:noWrap/>
            <w:textDirection w:val="lrTb"/>
            <w:vAlign w:val="bottom"/>
          </w:tcPr>
          <w:p w:rsidR="00C52DD5" w:rsidP="00C52DD5">
            <w:pPr>
              <w:jc w:val="right"/>
              <w:rPr>
                <w:rFonts w:ascii="Arial Narrow" w:hAnsi="Arial Narrow" w:cs="Arial"/>
                <w:b/>
                <w:bCs/>
                <w:sz w:val="20"/>
              </w:rPr>
            </w:pPr>
            <w:r>
              <w:rPr>
                <w:rFonts w:ascii="Arial Narrow" w:hAnsi="Arial Narrow" w:cs="Arial"/>
                <w:b/>
                <w:bCs/>
                <w:sz w:val="20"/>
              </w:rPr>
              <w:t>600 198</w:t>
            </w:r>
          </w:p>
        </w:tc>
        <w:tc>
          <w:tcPr>
            <w:tcW w:w="1340" w:type="dxa"/>
            <w:tcBorders>
              <w:top w:val="single" w:sz="4" w:space="0" w:color="auto"/>
              <w:left w:val="single" w:sz="4" w:space="0" w:color="auto"/>
              <w:bottom w:val="single" w:sz="4" w:space="0" w:color="auto"/>
              <w:right w:val="single" w:sz="4" w:space="0" w:color="auto"/>
              <w:tl2br w:val="nil"/>
              <w:tr2bl w:val="nil"/>
            </w:tcBorders>
            <w:shd w:val="clear" w:color="auto" w:fill="FFFFFF"/>
            <w:noWrap/>
            <w:textDirection w:val="lrTb"/>
            <w:vAlign w:val="bottom"/>
          </w:tcPr>
          <w:p w:rsidR="00C52DD5" w:rsidP="00C52DD5">
            <w:pPr>
              <w:jc w:val="right"/>
              <w:rPr>
                <w:rFonts w:ascii="Arial Narrow" w:hAnsi="Arial Narrow" w:cs="Arial"/>
                <w:b/>
                <w:bCs/>
                <w:sz w:val="20"/>
              </w:rPr>
            </w:pPr>
            <w:r>
              <w:rPr>
                <w:rFonts w:ascii="Arial Narrow" w:hAnsi="Arial Narrow" w:cs="Arial"/>
                <w:b/>
                <w:bCs/>
                <w:sz w:val="20"/>
              </w:rPr>
              <w:t>609 582</w:t>
            </w:r>
          </w:p>
        </w:tc>
        <w:tc>
          <w:tcPr>
            <w:tcW w:w="1340" w:type="dxa"/>
            <w:tcBorders>
              <w:top w:val="single" w:sz="4" w:space="0" w:color="auto"/>
              <w:left w:val="nil"/>
              <w:bottom w:val="single" w:sz="4" w:space="0" w:color="auto"/>
              <w:right w:val="single" w:sz="4" w:space="0" w:color="auto"/>
              <w:tl2br w:val="nil"/>
              <w:tr2bl w:val="nil"/>
            </w:tcBorders>
            <w:shd w:val="clear" w:color="auto" w:fill="FFFFFF"/>
            <w:noWrap/>
            <w:textDirection w:val="lrTb"/>
            <w:vAlign w:val="bottom"/>
          </w:tcPr>
          <w:p w:rsidR="00C52DD5" w:rsidP="00C52DD5">
            <w:pPr>
              <w:jc w:val="right"/>
              <w:rPr>
                <w:rFonts w:ascii="Arial Narrow" w:hAnsi="Arial Narrow" w:cs="Arial"/>
                <w:b/>
                <w:bCs/>
                <w:sz w:val="20"/>
              </w:rPr>
            </w:pPr>
            <w:r>
              <w:rPr>
                <w:rFonts w:ascii="Arial Narrow" w:hAnsi="Arial Narrow" w:cs="Arial"/>
                <w:b/>
                <w:bCs/>
                <w:sz w:val="20"/>
              </w:rPr>
              <w:t>603 804</w:t>
            </w:r>
          </w:p>
        </w:tc>
      </w:tr>
      <w:tr>
        <w:tblPrEx>
          <w:tblW w:w="8920" w:type="dxa"/>
          <w:tblInd w:w="65" w:type="dxa"/>
          <w:tblCellMar>
            <w:left w:w="70" w:type="dxa"/>
            <w:right w:w="70" w:type="dxa"/>
          </w:tblCellMar>
        </w:tblPrEx>
        <w:trPr>
          <w:trHeight w:val="255"/>
        </w:trPr>
        <w:tc>
          <w:tcPr>
            <w:tcW w:w="490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P="00C52DD5">
            <w:pPr>
              <w:rPr>
                <w:rFonts w:ascii="Arial Narrow" w:hAnsi="Arial Narrow" w:cs="Arial"/>
                <w:b/>
                <w:bCs/>
                <w:sz w:val="20"/>
              </w:rPr>
            </w:pPr>
            <w:r>
              <w:rPr>
                <w:rFonts w:ascii="Arial Narrow" w:hAnsi="Arial Narrow" w:cs="Arial"/>
                <w:b/>
                <w:bCs/>
                <w:sz w:val="20"/>
              </w:rPr>
              <w:t>Odvody SR spolu vrátane tradičných vlastných zdrojov</w:t>
            </w:r>
          </w:p>
        </w:tc>
        <w:tc>
          <w:tcPr>
            <w:tcW w:w="1340" w:type="dxa"/>
            <w:tcBorders>
              <w:top w:val="nil"/>
              <w:left w:val="nil"/>
              <w:bottom w:val="single" w:sz="4" w:space="0" w:color="auto"/>
              <w:right w:val="nil"/>
              <w:tl2br w:val="nil"/>
              <w:tr2bl w:val="nil"/>
            </w:tcBorders>
            <w:shd w:val="clear" w:color="auto" w:fill="C0C0C0"/>
            <w:noWrap/>
            <w:textDirection w:val="lrTb"/>
            <w:vAlign w:val="bottom"/>
          </w:tcPr>
          <w:p w:rsidR="00C52DD5" w:rsidP="00C52DD5">
            <w:pPr>
              <w:jc w:val="right"/>
              <w:rPr>
                <w:rFonts w:ascii="Arial Narrow" w:hAnsi="Arial Narrow" w:cs="Arial"/>
                <w:b/>
                <w:bCs/>
                <w:sz w:val="20"/>
              </w:rPr>
            </w:pPr>
            <w:r>
              <w:rPr>
                <w:rFonts w:ascii="Arial Narrow" w:hAnsi="Arial Narrow" w:cs="Arial"/>
                <w:b/>
                <w:bCs/>
                <w:sz w:val="20"/>
              </w:rPr>
              <w:t>718 398</w:t>
            </w:r>
          </w:p>
        </w:tc>
        <w:tc>
          <w:tcPr>
            <w:tcW w:w="134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P="00C52DD5">
            <w:pPr>
              <w:jc w:val="right"/>
              <w:rPr>
                <w:rFonts w:ascii="Arial Narrow" w:hAnsi="Arial Narrow" w:cs="Arial"/>
                <w:b/>
                <w:bCs/>
                <w:sz w:val="20"/>
              </w:rPr>
            </w:pPr>
            <w:r>
              <w:rPr>
                <w:rFonts w:ascii="Arial Narrow" w:hAnsi="Arial Narrow" w:cs="Arial"/>
                <w:b/>
                <w:bCs/>
                <w:sz w:val="20"/>
              </w:rPr>
              <w:t>730 146</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C52DD5" w:rsidP="00C52DD5">
            <w:pPr>
              <w:jc w:val="right"/>
              <w:rPr>
                <w:rFonts w:ascii="Arial Narrow" w:hAnsi="Arial Narrow" w:cs="Arial"/>
                <w:b/>
                <w:bCs/>
                <w:sz w:val="20"/>
              </w:rPr>
            </w:pPr>
            <w:r>
              <w:rPr>
                <w:rFonts w:ascii="Arial Narrow" w:hAnsi="Arial Narrow" w:cs="Arial"/>
                <w:b/>
                <w:bCs/>
                <w:sz w:val="20"/>
              </w:rPr>
              <w:t>726 779</w:t>
            </w:r>
          </w:p>
        </w:tc>
      </w:tr>
      <w:tr>
        <w:tblPrEx>
          <w:tblW w:w="8920" w:type="dxa"/>
          <w:tblInd w:w="65" w:type="dxa"/>
          <w:tblCellMar>
            <w:left w:w="70" w:type="dxa"/>
            <w:right w:w="70" w:type="dxa"/>
          </w:tblCellMar>
        </w:tblPrEx>
        <w:trPr>
          <w:trHeight w:val="255"/>
        </w:trPr>
        <w:tc>
          <w:tcPr>
            <w:tcW w:w="490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P="00C52DD5">
            <w:pPr>
              <w:rPr>
                <w:rFonts w:ascii="Arial Narrow" w:hAnsi="Arial Narrow" w:cs="Arial"/>
                <w:b/>
                <w:bCs/>
                <w:sz w:val="20"/>
              </w:rPr>
            </w:pPr>
            <w:r>
              <w:rPr>
                <w:rFonts w:ascii="Arial Narrow" w:hAnsi="Arial Narrow" w:cs="Arial"/>
                <w:b/>
                <w:bCs/>
                <w:sz w:val="20"/>
              </w:rPr>
              <w:t>Odvody SR spolu bez tradičných vlastných zdrojov</w:t>
            </w:r>
          </w:p>
        </w:tc>
        <w:tc>
          <w:tcPr>
            <w:tcW w:w="1340" w:type="dxa"/>
            <w:tcBorders>
              <w:top w:val="nil"/>
              <w:left w:val="nil"/>
              <w:bottom w:val="single" w:sz="4" w:space="0" w:color="auto"/>
              <w:right w:val="nil"/>
              <w:tl2br w:val="nil"/>
              <w:tr2bl w:val="nil"/>
            </w:tcBorders>
            <w:shd w:val="clear" w:color="auto" w:fill="C0C0C0"/>
            <w:noWrap/>
            <w:textDirection w:val="lrTb"/>
            <w:vAlign w:val="bottom"/>
          </w:tcPr>
          <w:p w:rsidR="00C52DD5" w:rsidP="00C52DD5">
            <w:pPr>
              <w:jc w:val="right"/>
              <w:rPr>
                <w:rFonts w:ascii="Arial Narrow" w:hAnsi="Arial Narrow" w:cs="Arial"/>
                <w:b/>
                <w:bCs/>
                <w:sz w:val="20"/>
              </w:rPr>
            </w:pPr>
            <w:r>
              <w:rPr>
                <w:rFonts w:ascii="Arial Narrow" w:hAnsi="Arial Narrow" w:cs="Arial"/>
                <w:b/>
                <w:bCs/>
                <w:sz w:val="20"/>
              </w:rPr>
              <w:t>600 198</w:t>
            </w:r>
          </w:p>
        </w:tc>
        <w:tc>
          <w:tcPr>
            <w:tcW w:w="134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C52DD5" w:rsidP="00C52DD5">
            <w:pPr>
              <w:jc w:val="right"/>
              <w:rPr>
                <w:rFonts w:ascii="Arial Narrow" w:hAnsi="Arial Narrow" w:cs="Arial"/>
                <w:b/>
                <w:bCs/>
                <w:sz w:val="20"/>
              </w:rPr>
            </w:pPr>
            <w:r>
              <w:rPr>
                <w:rFonts w:ascii="Arial Narrow" w:hAnsi="Arial Narrow" w:cs="Arial"/>
                <w:b/>
                <w:bCs/>
                <w:sz w:val="20"/>
              </w:rPr>
              <w:t>609 582</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C52DD5" w:rsidP="00C52DD5">
            <w:pPr>
              <w:jc w:val="right"/>
              <w:rPr>
                <w:rFonts w:ascii="Arial Narrow" w:hAnsi="Arial Narrow" w:cs="Arial"/>
                <w:b/>
                <w:bCs/>
                <w:sz w:val="20"/>
              </w:rPr>
            </w:pPr>
            <w:r>
              <w:rPr>
                <w:rFonts w:ascii="Arial Narrow" w:hAnsi="Arial Narrow" w:cs="Arial"/>
                <w:b/>
                <w:bCs/>
                <w:sz w:val="20"/>
              </w:rPr>
              <w:t>603 804</w:t>
            </w:r>
          </w:p>
        </w:tc>
      </w:tr>
    </w:tbl>
    <w:p w:rsidR="00C52DD5" w:rsidP="00C52DD5">
      <w:pPr>
        <w:pStyle w:val="BodyText"/>
        <w:rPr>
          <w:rFonts w:ascii="Arial Narrow" w:hAnsi="Arial Narrow" w:cs="Arial Narrow"/>
          <w:sz w:val="22"/>
          <w:szCs w:val="22"/>
        </w:rPr>
      </w:pPr>
    </w:p>
    <w:p w:rsidR="00C52DD5" w:rsidP="00C52DD5">
      <w:pPr>
        <w:pStyle w:val="BodyText"/>
        <w:rPr>
          <w:rFonts w:ascii="Arial Narrow" w:hAnsi="Arial Narrow" w:cs="Arial Narrow"/>
          <w:spacing w:val="-4"/>
          <w:sz w:val="22"/>
          <w:szCs w:val="22"/>
        </w:rPr>
      </w:pPr>
      <w:r w:rsidRPr="005273D3">
        <w:rPr>
          <w:rFonts w:ascii="Arial Narrow" w:hAnsi="Arial Narrow" w:cs="Arial Narrow"/>
          <w:bCs/>
          <w:spacing w:val="-4"/>
          <w:sz w:val="22"/>
          <w:szCs w:val="22"/>
          <w:u w:val="single"/>
        </w:rPr>
        <w:t>Tabuľka č. 2:</w:t>
      </w:r>
      <w:r>
        <w:rPr>
          <w:rFonts w:ascii="Arial Narrow" w:hAnsi="Arial Narrow" w:cs="Arial Narrow"/>
          <w:spacing w:val="-4"/>
          <w:sz w:val="22"/>
          <w:szCs w:val="22"/>
        </w:rPr>
        <w:t xml:space="preserve"> Odhad príspevkov SR do Európskeho rozvojového fondu v rokoch 2009 až 2011 v </w:t>
      </w:r>
      <w:r>
        <w:rPr>
          <w:rFonts w:ascii="Arial Narrow" w:hAnsi="Arial Narrow" w:cs="Times New Roman"/>
          <w:sz w:val="22"/>
          <w:szCs w:val="22"/>
        </w:rPr>
        <w:t>tis. eur</w:t>
      </w:r>
      <w:r>
        <w:rPr>
          <w:rFonts w:ascii="Arial Narrow" w:hAnsi="Arial Narrow" w:cs="Arial Narrow"/>
          <w:spacing w:val="-4"/>
          <w:sz w:val="22"/>
          <w:szCs w:val="22"/>
        </w:rPr>
        <w:t xml:space="preserve"> </w:t>
      </w:r>
    </w:p>
    <w:p w:rsidR="00C52DD5" w:rsidRPr="005273D3" w:rsidP="00C52DD5">
      <w:pPr>
        <w:pStyle w:val="BodyText"/>
        <w:spacing w:after="0"/>
        <w:rPr>
          <w:rFonts w:ascii="Arial Narrow" w:hAnsi="Arial Narrow" w:cs="Arial Narrow"/>
          <w:spacing w:val="-4"/>
          <w:sz w:val="22"/>
          <w:szCs w:val="22"/>
        </w:rPr>
      </w:pPr>
    </w:p>
    <w:tbl>
      <w:tblPr>
        <w:tblW w:w="8920" w:type="dxa"/>
        <w:tblInd w:w="55" w:type="dxa"/>
        <w:tblCellMar>
          <w:left w:w="70" w:type="dxa"/>
          <w:right w:w="70" w:type="dxa"/>
        </w:tblCellMar>
      </w:tblPr>
      <w:tblGrid>
        <w:gridCol w:w="4900"/>
        <w:gridCol w:w="1340"/>
        <w:gridCol w:w="1340"/>
        <w:gridCol w:w="1340"/>
      </w:tblGrid>
      <w:tr>
        <w:tblPrEx>
          <w:tblW w:w="8920" w:type="dxa"/>
          <w:tblInd w:w="55" w:type="dxa"/>
          <w:tblCellMar>
            <w:left w:w="70" w:type="dxa"/>
            <w:right w:w="70" w:type="dxa"/>
          </w:tblCellMar>
        </w:tblPrEx>
        <w:trPr>
          <w:trHeight w:val="255"/>
        </w:trPr>
        <w:tc>
          <w:tcPr>
            <w:tcW w:w="4900" w:type="dxa"/>
            <w:tcBorders>
              <w:top w:val="single" w:sz="4" w:space="0" w:color="auto"/>
              <w:left w:val="single" w:sz="4" w:space="0" w:color="auto"/>
              <w:bottom w:val="single" w:sz="4" w:space="0" w:color="auto"/>
              <w:right w:val="single" w:sz="4" w:space="0" w:color="auto"/>
              <w:tl2br w:val="nil"/>
              <w:tr2bl w:val="nil"/>
            </w:tcBorders>
            <w:shd w:val="clear" w:color="auto" w:fill="333333"/>
            <w:noWrap/>
            <w:textDirection w:val="lrTb"/>
            <w:vAlign w:val="bottom"/>
          </w:tcPr>
          <w:p w:rsidR="00C52DD5" w:rsidP="00C52DD5">
            <w:pPr>
              <w:rPr>
                <w:rFonts w:ascii="Arial Narrow" w:hAnsi="Arial Narrow" w:cs="Arial"/>
                <w:sz w:val="20"/>
              </w:rPr>
            </w:pPr>
            <w:r>
              <w:rPr>
                <w:rFonts w:ascii="Arial Narrow" w:hAnsi="Arial Narrow" w:cs="Arial"/>
                <w:sz w:val="20"/>
              </w:rPr>
              <w:t> </w:t>
            </w:r>
          </w:p>
        </w:tc>
        <w:tc>
          <w:tcPr>
            <w:tcW w:w="1340" w:type="dxa"/>
            <w:tcBorders>
              <w:top w:val="single" w:sz="4" w:space="0" w:color="auto"/>
              <w:left w:val="nil"/>
              <w:bottom w:val="single" w:sz="4" w:space="0" w:color="auto"/>
              <w:right w:val="single" w:sz="4" w:space="0" w:color="auto"/>
              <w:tl2br w:val="nil"/>
              <w:tr2bl w:val="nil"/>
            </w:tcBorders>
            <w:shd w:val="clear" w:color="auto" w:fill="333333"/>
            <w:noWrap/>
            <w:textDirection w:val="lrTb"/>
            <w:vAlign w:val="bottom"/>
          </w:tcPr>
          <w:p w:rsidR="00C52DD5" w:rsidP="00C52DD5">
            <w:pPr>
              <w:jc w:val="center"/>
              <w:rPr>
                <w:rFonts w:ascii="Arial Narrow" w:hAnsi="Arial Narrow" w:cs="Arial"/>
                <w:b/>
                <w:bCs/>
                <w:color w:val="FFFFFF"/>
                <w:sz w:val="20"/>
              </w:rPr>
            </w:pPr>
            <w:r>
              <w:rPr>
                <w:rFonts w:ascii="Arial Narrow" w:hAnsi="Arial Narrow" w:cs="Arial"/>
                <w:b/>
                <w:bCs/>
                <w:color w:val="FFFFFF"/>
                <w:sz w:val="20"/>
              </w:rPr>
              <w:t>2009</w:t>
            </w:r>
          </w:p>
        </w:tc>
        <w:tc>
          <w:tcPr>
            <w:tcW w:w="1340" w:type="dxa"/>
            <w:tcBorders>
              <w:top w:val="single" w:sz="4" w:space="0" w:color="auto"/>
              <w:left w:val="nil"/>
              <w:bottom w:val="single" w:sz="4" w:space="0" w:color="auto"/>
              <w:right w:val="single" w:sz="4" w:space="0" w:color="auto"/>
              <w:tl2br w:val="nil"/>
              <w:tr2bl w:val="nil"/>
            </w:tcBorders>
            <w:shd w:val="clear" w:color="auto" w:fill="333333"/>
            <w:noWrap/>
            <w:textDirection w:val="lrTb"/>
            <w:vAlign w:val="bottom"/>
          </w:tcPr>
          <w:p w:rsidR="00C52DD5" w:rsidP="00C52DD5">
            <w:pPr>
              <w:jc w:val="center"/>
              <w:rPr>
                <w:rFonts w:ascii="Arial Narrow" w:hAnsi="Arial Narrow" w:cs="Arial"/>
                <w:b/>
                <w:bCs/>
                <w:color w:val="FFFFFF"/>
                <w:sz w:val="20"/>
              </w:rPr>
            </w:pPr>
            <w:r>
              <w:rPr>
                <w:rFonts w:ascii="Arial Narrow" w:hAnsi="Arial Narrow" w:cs="Arial"/>
                <w:b/>
                <w:bCs/>
                <w:color w:val="FFFFFF"/>
                <w:sz w:val="20"/>
              </w:rPr>
              <w:t>2010</w:t>
            </w:r>
          </w:p>
        </w:tc>
        <w:tc>
          <w:tcPr>
            <w:tcW w:w="1340" w:type="dxa"/>
            <w:tcBorders>
              <w:top w:val="single" w:sz="4" w:space="0" w:color="auto"/>
              <w:left w:val="nil"/>
              <w:bottom w:val="single" w:sz="4" w:space="0" w:color="auto"/>
              <w:right w:val="single" w:sz="4" w:space="0" w:color="auto"/>
              <w:tl2br w:val="nil"/>
              <w:tr2bl w:val="nil"/>
            </w:tcBorders>
            <w:shd w:val="clear" w:color="auto" w:fill="333333"/>
            <w:noWrap/>
            <w:textDirection w:val="lrTb"/>
            <w:vAlign w:val="bottom"/>
          </w:tcPr>
          <w:p w:rsidR="00C52DD5" w:rsidP="00C52DD5">
            <w:pPr>
              <w:jc w:val="center"/>
              <w:rPr>
                <w:rFonts w:ascii="Arial Narrow" w:hAnsi="Arial Narrow" w:cs="Arial"/>
                <w:b/>
                <w:bCs/>
                <w:color w:val="FFFFFF"/>
                <w:sz w:val="20"/>
              </w:rPr>
            </w:pPr>
            <w:r>
              <w:rPr>
                <w:rFonts w:ascii="Arial Narrow" w:hAnsi="Arial Narrow" w:cs="Arial"/>
                <w:b/>
                <w:bCs/>
                <w:color w:val="FFFFFF"/>
                <w:sz w:val="20"/>
              </w:rPr>
              <w:t>2011</w:t>
            </w:r>
          </w:p>
        </w:tc>
      </w:tr>
      <w:tr>
        <w:tblPrEx>
          <w:tblW w:w="8920" w:type="dxa"/>
          <w:tblInd w:w="55" w:type="dxa"/>
          <w:tblCellMar>
            <w:left w:w="70" w:type="dxa"/>
            <w:right w:w="70" w:type="dxa"/>
          </w:tblCellMar>
        </w:tblPrEx>
        <w:trPr>
          <w:trHeight w:val="255"/>
        </w:trPr>
        <w:tc>
          <w:tcPr>
            <w:tcW w:w="4900" w:type="dxa"/>
            <w:tcBorders>
              <w:top w:val="nil"/>
              <w:left w:val="single" w:sz="4" w:space="0" w:color="auto"/>
              <w:bottom w:val="single" w:sz="4" w:space="0" w:color="auto"/>
              <w:right w:val="single" w:sz="4" w:space="0" w:color="auto"/>
              <w:tl2br w:val="nil"/>
              <w:tr2bl w:val="nil"/>
            </w:tcBorders>
            <w:noWrap/>
            <w:textDirection w:val="lrTb"/>
            <w:vAlign w:val="center"/>
          </w:tcPr>
          <w:p w:rsidR="00C52DD5" w:rsidP="00C52DD5">
            <w:pPr>
              <w:pStyle w:val="BodyText"/>
              <w:rPr>
                <w:rFonts w:ascii="Arial Narrow" w:hAnsi="Arial Narrow" w:cs="Arial Narrow"/>
                <w:color w:val="000000"/>
                <w:sz w:val="20"/>
              </w:rPr>
            </w:pPr>
            <w:r>
              <w:rPr>
                <w:rFonts w:ascii="Arial Narrow" w:hAnsi="Arial Narrow" w:cs="Arial Narrow"/>
                <w:color w:val="000000"/>
                <w:sz w:val="20"/>
              </w:rPr>
              <w:t>Príspevky SR do Európskeho rozvojového fondu</w:t>
            </w:r>
          </w:p>
        </w:tc>
        <w:tc>
          <w:tcPr>
            <w:tcW w:w="1340" w:type="dxa"/>
            <w:tcBorders>
              <w:top w:val="nil"/>
              <w:left w:val="nil"/>
              <w:bottom w:val="single" w:sz="4" w:space="0" w:color="auto"/>
              <w:right w:val="single" w:sz="4" w:space="0" w:color="auto"/>
              <w:tl2br w:val="nil"/>
              <w:tr2bl w:val="nil"/>
            </w:tcBorders>
            <w:noWrap/>
            <w:textDirection w:val="lrTb"/>
            <w:vAlign w:val="center"/>
          </w:tcPr>
          <w:p w:rsidR="00C52DD5" w:rsidRPr="00A46AC8" w:rsidP="00C52DD5">
            <w:pPr>
              <w:jc w:val="right"/>
              <w:rPr>
                <w:rFonts w:ascii="Arial Narrow" w:hAnsi="Arial Narrow" w:cs="Arial Narrow"/>
                <w:sz w:val="20"/>
              </w:rPr>
            </w:pPr>
            <w:r>
              <w:rPr>
                <w:rFonts w:ascii="Arial Narrow" w:hAnsi="Arial Narrow" w:cs="Arial Narrow"/>
                <w:sz w:val="20"/>
              </w:rPr>
              <w:t>0</w:t>
            </w:r>
          </w:p>
        </w:tc>
        <w:tc>
          <w:tcPr>
            <w:tcW w:w="1340" w:type="dxa"/>
            <w:tcBorders>
              <w:top w:val="nil"/>
              <w:left w:val="nil"/>
              <w:bottom w:val="single" w:sz="4" w:space="0" w:color="auto"/>
              <w:right w:val="single" w:sz="4" w:space="0" w:color="auto"/>
              <w:tl2br w:val="nil"/>
              <w:tr2bl w:val="nil"/>
            </w:tcBorders>
            <w:noWrap/>
            <w:textDirection w:val="lrTb"/>
            <w:vAlign w:val="center"/>
          </w:tcPr>
          <w:p w:rsidR="00C52DD5" w:rsidRPr="00A46AC8" w:rsidP="00C52DD5">
            <w:pPr>
              <w:jc w:val="right"/>
              <w:rPr>
                <w:rFonts w:ascii="Arial Narrow" w:hAnsi="Arial Narrow" w:cs="Arial Narrow"/>
                <w:sz w:val="20"/>
              </w:rPr>
            </w:pPr>
            <w:r>
              <w:rPr>
                <w:rFonts w:ascii="Arial Narrow" w:hAnsi="Arial Narrow" w:cs="Arial Narrow"/>
                <w:sz w:val="20"/>
              </w:rPr>
              <w:t>0</w:t>
            </w:r>
          </w:p>
        </w:tc>
        <w:tc>
          <w:tcPr>
            <w:tcW w:w="1340" w:type="dxa"/>
            <w:tcBorders>
              <w:top w:val="nil"/>
              <w:left w:val="nil"/>
              <w:bottom w:val="single" w:sz="4" w:space="0" w:color="auto"/>
              <w:right w:val="single" w:sz="4" w:space="0" w:color="auto"/>
              <w:tl2br w:val="nil"/>
              <w:tr2bl w:val="nil"/>
            </w:tcBorders>
            <w:noWrap/>
            <w:textDirection w:val="lrTb"/>
            <w:vAlign w:val="center"/>
          </w:tcPr>
          <w:p w:rsidR="00C52DD5" w:rsidP="00C52DD5">
            <w:pPr>
              <w:jc w:val="right"/>
              <w:rPr>
                <w:rFonts w:ascii="Arial Narrow" w:hAnsi="Arial Narrow" w:cs="Arial Narrow"/>
                <w:sz w:val="20"/>
              </w:rPr>
            </w:pPr>
            <w:r>
              <w:rPr>
                <w:rFonts w:ascii="Arial Narrow" w:hAnsi="Arial Narrow" w:cs="Arial Narrow"/>
                <w:sz w:val="20"/>
              </w:rPr>
              <w:t>4 880</w:t>
            </w:r>
          </w:p>
        </w:tc>
      </w:tr>
      <w:tr>
        <w:tblPrEx>
          <w:tblW w:w="8920" w:type="dxa"/>
          <w:tblInd w:w="55" w:type="dxa"/>
          <w:tblCellMar>
            <w:left w:w="70" w:type="dxa"/>
            <w:right w:w="70" w:type="dxa"/>
          </w:tblCellMar>
        </w:tblPrEx>
        <w:trPr>
          <w:trHeight w:val="255"/>
        </w:trPr>
        <w:tc>
          <w:tcPr>
            <w:tcW w:w="490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center"/>
          </w:tcPr>
          <w:p w:rsidR="00C52DD5" w:rsidP="00C52DD5">
            <w:pPr>
              <w:pStyle w:val="BodyText"/>
              <w:rPr>
                <w:rFonts w:ascii="Arial Narrow" w:hAnsi="Arial Narrow" w:cs="Arial Narrow"/>
                <w:b/>
                <w:bCs/>
                <w:color w:val="000000"/>
                <w:sz w:val="20"/>
              </w:rPr>
            </w:pPr>
            <w:r>
              <w:rPr>
                <w:rFonts w:ascii="Arial Narrow" w:hAnsi="Arial Narrow" w:cs="Arial Narrow"/>
                <w:b/>
                <w:bCs/>
                <w:color w:val="000000"/>
                <w:sz w:val="20"/>
              </w:rPr>
              <w:t>Príspevky SR do všeobecného rozpočtu EÚ spolu</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EB7C8F" w:rsidP="00C52DD5">
            <w:pPr>
              <w:jc w:val="right"/>
              <w:rPr>
                <w:rFonts w:ascii="Arial Narrow" w:hAnsi="Arial Narrow" w:cs="Arial Narrow"/>
                <w:b/>
                <w:sz w:val="20"/>
              </w:rPr>
            </w:pPr>
            <w:r w:rsidRPr="00EB7C8F">
              <w:rPr>
                <w:rFonts w:ascii="Arial Narrow" w:hAnsi="Arial Narrow" w:cs="Arial Narrow"/>
                <w:b/>
                <w:sz w:val="20"/>
              </w:rPr>
              <w:t>0</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RPr="00EB7C8F" w:rsidP="00C52DD5">
            <w:pPr>
              <w:jc w:val="right"/>
              <w:rPr>
                <w:rFonts w:ascii="Arial Narrow" w:hAnsi="Arial Narrow" w:cs="Arial Narrow"/>
                <w:b/>
                <w:sz w:val="20"/>
              </w:rPr>
            </w:pPr>
            <w:r w:rsidRPr="00EB7C8F">
              <w:rPr>
                <w:rFonts w:ascii="Arial Narrow" w:hAnsi="Arial Narrow" w:cs="Arial Narrow"/>
                <w:b/>
                <w:sz w:val="20"/>
              </w:rPr>
              <w:t>0</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P="00C52DD5">
            <w:pPr>
              <w:jc w:val="right"/>
              <w:rPr>
                <w:rFonts w:ascii="Arial Narrow" w:hAnsi="Arial Narrow" w:cs="Arial Narrow"/>
                <w:b/>
                <w:sz w:val="20"/>
              </w:rPr>
            </w:pPr>
            <w:r>
              <w:rPr>
                <w:rFonts w:ascii="Arial Narrow" w:hAnsi="Arial Narrow" w:cs="Arial Narrow"/>
                <w:b/>
                <w:sz w:val="20"/>
              </w:rPr>
              <w:t>4 880</w:t>
            </w:r>
          </w:p>
        </w:tc>
      </w:tr>
    </w:tbl>
    <w:p w:rsidR="00C52DD5" w:rsidP="00C52DD5">
      <w:pPr>
        <w:pStyle w:val="BodyText"/>
        <w:rPr>
          <w:rFonts w:ascii="Arial Narrow" w:hAnsi="Arial Narrow" w:cs="Arial Narrow"/>
          <w:sz w:val="22"/>
          <w:szCs w:val="22"/>
        </w:rPr>
      </w:pPr>
    </w:p>
    <w:p w:rsidR="00C52DD5" w:rsidP="00C52DD5">
      <w:pPr>
        <w:pStyle w:val="BodyText"/>
        <w:ind w:firstLine="708"/>
        <w:rPr>
          <w:rFonts w:ascii="Arial Narrow" w:hAnsi="Arial Narrow" w:cs="Arial Narrow"/>
          <w:sz w:val="22"/>
          <w:szCs w:val="22"/>
        </w:rPr>
      </w:pPr>
      <w:r>
        <w:rPr>
          <w:rFonts w:ascii="Arial Narrow" w:hAnsi="Arial Narrow" w:cs="Arial Narrow"/>
          <w:sz w:val="22"/>
          <w:szCs w:val="22"/>
        </w:rPr>
        <w:t xml:space="preserve">Celkové odvody a príspevky SR do všeobecného rozpočtu Európskej únie v rokoch </w:t>
      </w:r>
      <w:r>
        <w:rPr>
          <w:rFonts w:ascii="Arial Narrow" w:hAnsi="Arial Narrow" w:cs="Arial"/>
          <w:sz w:val="22"/>
          <w:szCs w:val="22"/>
        </w:rPr>
        <w:t>2009 až 2011</w:t>
      </w:r>
      <w:r>
        <w:rPr>
          <w:rFonts w:ascii="Arial Narrow" w:hAnsi="Arial Narrow" w:cs="Arial Narrow"/>
          <w:sz w:val="22"/>
          <w:szCs w:val="22"/>
        </w:rPr>
        <w:t xml:space="preserve"> vyjadruje nasledovná tabuľka.</w:t>
      </w:r>
    </w:p>
    <w:p w:rsidR="00B86A16" w:rsidP="00C52DD5">
      <w:pPr>
        <w:pStyle w:val="BodyText"/>
        <w:rPr>
          <w:rFonts w:ascii="Arial Narrow" w:hAnsi="Arial Narrow" w:cs="Arial Narrow"/>
          <w:bCs/>
          <w:spacing w:val="-4"/>
          <w:sz w:val="22"/>
          <w:szCs w:val="22"/>
          <w:u w:val="single"/>
        </w:rPr>
      </w:pPr>
    </w:p>
    <w:p w:rsidR="00B86A16" w:rsidP="00C52DD5">
      <w:pPr>
        <w:pStyle w:val="BodyText"/>
        <w:rPr>
          <w:rFonts w:ascii="Arial Narrow" w:hAnsi="Arial Narrow" w:cs="Arial Narrow"/>
          <w:bCs/>
          <w:spacing w:val="-4"/>
          <w:sz w:val="22"/>
          <w:szCs w:val="22"/>
          <w:u w:val="single"/>
        </w:rPr>
      </w:pPr>
    </w:p>
    <w:p w:rsidR="00B86A16" w:rsidP="00C52DD5">
      <w:pPr>
        <w:pStyle w:val="BodyText"/>
        <w:rPr>
          <w:rFonts w:ascii="Arial Narrow" w:hAnsi="Arial Narrow" w:cs="Arial Narrow"/>
          <w:bCs/>
          <w:spacing w:val="-4"/>
          <w:sz w:val="22"/>
          <w:szCs w:val="22"/>
          <w:u w:val="single"/>
        </w:rPr>
      </w:pPr>
    </w:p>
    <w:p w:rsidR="00B86A16"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spacing w:val="-4"/>
          <w:sz w:val="22"/>
          <w:szCs w:val="22"/>
        </w:rPr>
      </w:pPr>
      <w:r w:rsidRPr="00807BD4">
        <w:rPr>
          <w:rFonts w:ascii="Arial Narrow" w:hAnsi="Arial Narrow" w:cs="Arial Narrow"/>
          <w:bCs/>
          <w:spacing w:val="-4"/>
          <w:sz w:val="22"/>
          <w:szCs w:val="22"/>
          <w:u w:val="single"/>
        </w:rPr>
        <w:t xml:space="preserve">Tabuľka č. </w:t>
      </w:r>
      <w:r>
        <w:rPr>
          <w:rFonts w:ascii="Arial Narrow" w:hAnsi="Arial Narrow" w:cs="Arial Narrow"/>
          <w:bCs/>
          <w:spacing w:val="-4"/>
          <w:sz w:val="22"/>
          <w:szCs w:val="22"/>
          <w:u w:val="single"/>
        </w:rPr>
        <w:t>3</w:t>
      </w:r>
      <w:r w:rsidRPr="00807BD4">
        <w:rPr>
          <w:rFonts w:ascii="Arial Narrow" w:hAnsi="Arial Narrow" w:cs="Arial Narrow"/>
          <w:bCs/>
          <w:spacing w:val="-4"/>
          <w:sz w:val="22"/>
          <w:szCs w:val="22"/>
          <w:u w:val="single"/>
        </w:rPr>
        <w:t>:</w:t>
      </w:r>
      <w:r>
        <w:rPr>
          <w:rFonts w:ascii="Arial Narrow" w:hAnsi="Arial Narrow" w:cs="Arial Narrow"/>
          <w:spacing w:val="-4"/>
          <w:sz w:val="22"/>
          <w:szCs w:val="22"/>
        </w:rPr>
        <w:t xml:space="preserve"> Odhad odvodov a príspevkov SR do všeobecného rozpočtu EÚ v rokoch </w:t>
      </w:r>
      <w:r>
        <w:rPr>
          <w:rFonts w:ascii="Arial Narrow" w:hAnsi="Arial Narrow" w:cs="Arial"/>
          <w:sz w:val="22"/>
          <w:szCs w:val="22"/>
        </w:rPr>
        <w:t>2009 až 2011</w:t>
      </w:r>
      <w:r>
        <w:rPr>
          <w:rFonts w:ascii="Arial Narrow" w:hAnsi="Arial Narrow" w:cs="Arial Narrow"/>
          <w:spacing w:val="-4"/>
          <w:sz w:val="22"/>
          <w:szCs w:val="22"/>
        </w:rPr>
        <w:t xml:space="preserve"> v </w:t>
      </w:r>
      <w:r>
        <w:rPr>
          <w:rFonts w:ascii="Arial Narrow" w:hAnsi="Arial Narrow" w:cs="Times New Roman"/>
          <w:sz w:val="22"/>
          <w:szCs w:val="22"/>
        </w:rPr>
        <w:t>tis. eur</w:t>
      </w:r>
      <w:r>
        <w:rPr>
          <w:rFonts w:ascii="Arial Narrow" w:hAnsi="Arial Narrow" w:cs="Arial Narrow"/>
          <w:spacing w:val="-4"/>
          <w:sz w:val="22"/>
          <w:szCs w:val="22"/>
        </w:rPr>
        <w:t xml:space="preserve"> </w:t>
      </w:r>
    </w:p>
    <w:p w:rsidR="00C52DD5" w:rsidP="00C52DD5">
      <w:pPr>
        <w:jc w:val="both"/>
        <w:rPr>
          <w:rFonts w:ascii="Arial Narrow" w:hAnsi="Arial Narrow" w:cs="Times New Roman"/>
          <w:sz w:val="22"/>
          <w:szCs w:val="22"/>
        </w:rPr>
      </w:pPr>
    </w:p>
    <w:tbl>
      <w:tblPr>
        <w:tblW w:w="8920" w:type="dxa"/>
        <w:tblInd w:w="55" w:type="dxa"/>
        <w:tblCellMar>
          <w:left w:w="70" w:type="dxa"/>
          <w:right w:w="70" w:type="dxa"/>
        </w:tblCellMar>
      </w:tblPr>
      <w:tblGrid>
        <w:gridCol w:w="4900"/>
        <w:gridCol w:w="1340"/>
        <w:gridCol w:w="1340"/>
        <w:gridCol w:w="1340"/>
      </w:tblGrid>
      <w:tr>
        <w:tblPrEx>
          <w:tblW w:w="8920" w:type="dxa"/>
          <w:tblInd w:w="55" w:type="dxa"/>
          <w:tblCellMar>
            <w:left w:w="70" w:type="dxa"/>
            <w:right w:w="70" w:type="dxa"/>
          </w:tblCellMar>
        </w:tblPrEx>
        <w:trPr>
          <w:trHeight w:val="255"/>
        </w:trPr>
        <w:tc>
          <w:tcPr>
            <w:tcW w:w="4900" w:type="dxa"/>
            <w:tcBorders>
              <w:top w:val="single" w:sz="4" w:space="0" w:color="auto"/>
              <w:left w:val="single" w:sz="4" w:space="0" w:color="auto"/>
              <w:bottom w:val="single" w:sz="4" w:space="0" w:color="auto"/>
              <w:right w:val="single" w:sz="4" w:space="0" w:color="auto"/>
              <w:tl2br w:val="nil"/>
              <w:tr2bl w:val="nil"/>
            </w:tcBorders>
            <w:shd w:val="clear" w:color="auto" w:fill="333333"/>
            <w:noWrap/>
            <w:textDirection w:val="lrTb"/>
            <w:vAlign w:val="bottom"/>
          </w:tcPr>
          <w:p w:rsidR="00C52DD5" w:rsidP="00C52DD5">
            <w:pPr>
              <w:rPr>
                <w:rFonts w:ascii="Arial Narrow" w:hAnsi="Arial Narrow" w:cs="Arial"/>
                <w:sz w:val="20"/>
              </w:rPr>
            </w:pPr>
            <w:r>
              <w:rPr>
                <w:rFonts w:ascii="Arial Narrow" w:hAnsi="Arial Narrow" w:cs="Arial"/>
                <w:sz w:val="20"/>
              </w:rPr>
              <w:t> </w:t>
            </w:r>
          </w:p>
        </w:tc>
        <w:tc>
          <w:tcPr>
            <w:tcW w:w="1340" w:type="dxa"/>
            <w:tcBorders>
              <w:top w:val="single" w:sz="4" w:space="0" w:color="auto"/>
              <w:left w:val="nil"/>
              <w:bottom w:val="single" w:sz="4" w:space="0" w:color="auto"/>
              <w:right w:val="single" w:sz="4" w:space="0" w:color="auto"/>
              <w:tl2br w:val="nil"/>
              <w:tr2bl w:val="nil"/>
            </w:tcBorders>
            <w:shd w:val="clear" w:color="auto" w:fill="333333"/>
            <w:noWrap/>
            <w:textDirection w:val="lrTb"/>
            <w:vAlign w:val="bottom"/>
          </w:tcPr>
          <w:p w:rsidR="00C52DD5" w:rsidP="00C52DD5">
            <w:pPr>
              <w:jc w:val="center"/>
              <w:rPr>
                <w:rFonts w:ascii="Arial Narrow" w:hAnsi="Arial Narrow" w:cs="Arial"/>
                <w:b/>
                <w:bCs/>
                <w:color w:val="FFFFFF"/>
                <w:sz w:val="20"/>
              </w:rPr>
            </w:pPr>
            <w:r>
              <w:rPr>
                <w:rFonts w:ascii="Arial Narrow" w:hAnsi="Arial Narrow" w:cs="Arial"/>
                <w:b/>
                <w:bCs/>
                <w:color w:val="FFFFFF"/>
                <w:sz w:val="20"/>
              </w:rPr>
              <w:t>2009</w:t>
            </w:r>
          </w:p>
        </w:tc>
        <w:tc>
          <w:tcPr>
            <w:tcW w:w="1340" w:type="dxa"/>
            <w:tcBorders>
              <w:top w:val="single" w:sz="4" w:space="0" w:color="auto"/>
              <w:left w:val="nil"/>
              <w:bottom w:val="single" w:sz="4" w:space="0" w:color="auto"/>
              <w:right w:val="single" w:sz="4" w:space="0" w:color="auto"/>
              <w:tl2br w:val="nil"/>
              <w:tr2bl w:val="nil"/>
            </w:tcBorders>
            <w:shd w:val="clear" w:color="auto" w:fill="333333"/>
            <w:noWrap/>
            <w:textDirection w:val="lrTb"/>
            <w:vAlign w:val="bottom"/>
          </w:tcPr>
          <w:p w:rsidR="00C52DD5" w:rsidP="00C52DD5">
            <w:pPr>
              <w:jc w:val="center"/>
              <w:rPr>
                <w:rFonts w:ascii="Arial Narrow" w:hAnsi="Arial Narrow" w:cs="Arial"/>
                <w:b/>
                <w:bCs/>
                <w:color w:val="FFFFFF"/>
                <w:sz w:val="20"/>
              </w:rPr>
            </w:pPr>
            <w:r>
              <w:rPr>
                <w:rFonts w:ascii="Arial Narrow" w:hAnsi="Arial Narrow" w:cs="Arial"/>
                <w:b/>
                <w:bCs/>
                <w:color w:val="FFFFFF"/>
                <w:sz w:val="20"/>
              </w:rPr>
              <w:t>2010</w:t>
            </w:r>
          </w:p>
        </w:tc>
        <w:tc>
          <w:tcPr>
            <w:tcW w:w="1340" w:type="dxa"/>
            <w:tcBorders>
              <w:top w:val="single" w:sz="4" w:space="0" w:color="auto"/>
              <w:left w:val="nil"/>
              <w:bottom w:val="single" w:sz="4" w:space="0" w:color="auto"/>
              <w:right w:val="single" w:sz="4" w:space="0" w:color="auto"/>
              <w:tl2br w:val="nil"/>
              <w:tr2bl w:val="nil"/>
            </w:tcBorders>
            <w:shd w:val="clear" w:color="auto" w:fill="333333"/>
            <w:noWrap/>
            <w:textDirection w:val="lrTb"/>
            <w:vAlign w:val="bottom"/>
          </w:tcPr>
          <w:p w:rsidR="00C52DD5" w:rsidP="00C52DD5">
            <w:pPr>
              <w:jc w:val="center"/>
              <w:rPr>
                <w:rFonts w:ascii="Arial Narrow" w:hAnsi="Arial Narrow" w:cs="Arial"/>
                <w:b/>
                <w:bCs/>
                <w:color w:val="FFFFFF"/>
                <w:sz w:val="20"/>
              </w:rPr>
            </w:pPr>
            <w:r>
              <w:rPr>
                <w:rFonts w:ascii="Arial Narrow" w:hAnsi="Arial Narrow" w:cs="Arial"/>
                <w:b/>
                <w:bCs/>
                <w:color w:val="FFFFFF"/>
                <w:sz w:val="20"/>
              </w:rPr>
              <w:t>2011</w:t>
            </w:r>
          </w:p>
        </w:tc>
      </w:tr>
      <w:tr>
        <w:tblPrEx>
          <w:tblW w:w="8920" w:type="dxa"/>
          <w:tblInd w:w="55" w:type="dxa"/>
          <w:tblCellMar>
            <w:left w:w="70" w:type="dxa"/>
            <w:right w:w="70" w:type="dxa"/>
          </w:tblCellMar>
        </w:tblPrEx>
        <w:trPr>
          <w:trHeight w:val="255"/>
        </w:trPr>
        <w:tc>
          <w:tcPr>
            <w:tcW w:w="4900" w:type="dxa"/>
            <w:tcBorders>
              <w:top w:val="nil"/>
              <w:left w:val="single" w:sz="4" w:space="0" w:color="auto"/>
              <w:bottom w:val="single" w:sz="4" w:space="0" w:color="auto"/>
              <w:right w:val="single" w:sz="4" w:space="0" w:color="auto"/>
              <w:tl2br w:val="nil"/>
              <w:tr2bl w:val="nil"/>
            </w:tcBorders>
            <w:noWrap/>
            <w:textDirection w:val="lrTb"/>
            <w:vAlign w:val="bottom"/>
          </w:tcPr>
          <w:p w:rsidR="00C52DD5" w:rsidP="00C52DD5">
            <w:pPr>
              <w:rPr>
                <w:rFonts w:ascii="Arial Narrow" w:hAnsi="Arial Narrow" w:cs="Arial"/>
                <w:bCs/>
                <w:sz w:val="20"/>
              </w:rPr>
            </w:pPr>
            <w:r>
              <w:rPr>
                <w:rFonts w:ascii="Arial Narrow" w:hAnsi="Arial Narrow" w:cs="Arial"/>
                <w:bCs/>
                <w:sz w:val="20"/>
              </w:rPr>
              <w:t>Odvody SR spolu vrátane tradičných vlastných zdrojov</w:t>
            </w:r>
          </w:p>
        </w:tc>
        <w:tc>
          <w:tcPr>
            <w:tcW w:w="1340" w:type="dxa"/>
            <w:tcBorders>
              <w:top w:val="nil"/>
              <w:left w:val="nil"/>
              <w:bottom w:val="single" w:sz="4" w:space="0" w:color="auto"/>
              <w:right w:val="single" w:sz="4" w:space="0" w:color="auto"/>
              <w:tl2br w:val="nil"/>
              <w:tr2bl w:val="nil"/>
            </w:tcBorders>
            <w:noWrap/>
            <w:textDirection w:val="lrTb"/>
            <w:vAlign w:val="bottom"/>
          </w:tcPr>
          <w:p w:rsidR="00C52DD5" w:rsidP="00C52DD5">
            <w:pPr>
              <w:jc w:val="right"/>
              <w:rPr>
                <w:rFonts w:ascii="Arial Narrow" w:hAnsi="Arial Narrow" w:cs="Arial"/>
                <w:bCs/>
                <w:sz w:val="20"/>
              </w:rPr>
            </w:pPr>
            <w:r>
              <w:rPr>
                <w:rFonts w:ascii="Arial Narrow" w:hAnsi="Arial Narrow" w:cs="Arial"/>
                <w:bCs/>
                <w:sz w:val="20"/>
              </w:rPr>
              <w:t>718 398</w:t>
            </w:r>
          </w:p>
        </w:tc>
        <w:tc>
          <w:tcPr>
            <w:tcW w:w="1340" w:type="dxa"/>
            <w:tcBorders>
              <w:top w:val="nil"/>
              <w:left w:val="nil"/>
              <w:bottom w:val="single" w:sz="4" w:space="0" w:color="auto"/>
              <w:right w:val="single" w:sz="4" w:space="0" w:color="auto"/>
              <w:tl2br w:val="nil"/>
              <w:tr2bl w:val="nil"/>
            </w:tcBorders>
            <w:noWrap/>
            <w:textDirection w:val="lrTb"/>
            <w:vAlign w:val="bottom"/>
          </w:tcPr>
          <w:p w:rsidR="00C52DD5" w:rsidP="00C52DD5">
            <w:pPr>
              <w:jc w:val="right"/>
              <w:rPr>
                <w:rFonts w:ascii="Arial Narrow" w:hAnsi="Arial Narrow" w:cs="Arial"/>
                <w:bCs/>
                <w:sz w:val="20"/>
              </w:rPr>
            </w:pPr>
            <w:r>
              <w:rPr>
                <w:rFonts w:ascii="Arial Narrow" w:hAnsi="Arial Narrow" w:cs="Arial"/>
                <w:bCs/>
                <w:sz w:val="20"/>
              </w:rPr>
              <w:t>730 146</w:t>
            </w:r>
          </w:p>
        </w:tc>
        <w:tc>
          <w:tcPr>
            <w:tcW w:w="1340" w:type="dxa"/>
            <w:tcBorders>
              <w:top w:val="nil"/>
              <w:left w:val="nil"/>
              <w:bottom w:val="single" w:sz="4" w:space="0" w:color="auto"/>
              <w:right w:val="single" w:sz="4" w:space="0" w:color="auto"/>
              <w:tl2br w:val="nil"/>
              <w:tr2bl w:val="nil"/>
            </w:tcBorders>
            <w:noWrap/>
            <w:textDirection w:val="lrTb"/>
            <w:vAlign w:val="bottom"/>
          </w:tcPr>
          <w:p w:rsidR="00C52DD5" w:rsidP="00C52DD5">
            <w:pPr>
              <w:jc w:val="right"/>
              <w:rPr>
                <w:rFonts w:ascii="Arial Narrow" w:hAnsi="Arial Narrow" w:cs="Arial"/>
                <w:bCs/>
                <w:sz w:val="20"/>
              </w:rPr>
            </w:pPr>
            <w:r>
              <w:rPr>
                <w:rFonts w:ascii="Arial Narrow" w:hAnsi="Arial Narrow" w:cs="Arial"/>
                <w:bCs/>
                <w:sz w:val="20"/>
              </w:rPr>
              <w:t>726 779</w:t>
            </w:r>
          </w:p>
        </w:tc>
      </w:tr>
      <w:tr>
        <w:tblPrEx>
          <w:tblW w:w="8920" w:type="dxa"/>
          <w:tblInd w:w="55" w:type="dxa"/>
          <w:tblCellMar>
            <w:left w:w="70" w:type="dxa"/>
            <w:right w:w="70" w:type="dxa"/>
          </w:tblCellMar>
        </w:tblPrEx>
        <w:trPr>
          <w:trHeight w:val="255"/>
        </w:trPr>
        <w:tc>
          <w:tcPr>
            <w:tcW w:w="4900" w:type="dxa"/>
            <w:tcBorders>
              <w:top w:val="nil"/>
              <w:left w:val="single" w:sz="4" w:space="0" w:color="auto"/>
              <w:bottom w:val="single" w:sz="4" w:space="0" w:color="auto"/>
              <w:right w:val="single" w:sz="4" w:space="0" w:color="auto"/>
              <w:tl2br w:val="nil"/>
              <w:tr2bl w:val="nil"/>
            </w:tcBorders>
            <w:noWrap/>
            <w:textDirection w:val="lrTb"/>
            <w:vAlign w:val="center"/>
          </w:tcPr>
          <w:p w:rsidR="00C52DD5" w:rsidP="00C52DD5">
            <w:pPr>
              <w:pStyle w:val="BodyText"/>
              <w:rPr>
                <w:rFonts w:ascii="Arial Narrow" w:hAnsi="Arial Narrow" w:cs="Arial Narrow"/>
                <w:bCs/>
                <w:color w:val="000000"/>
                <w:sz w:val="20"/>
              </w:rPr>
            </w:pPr>
            <w:r>
              <w:rPr>
                <w:rFonts w:ascii="Arial Narrow" w:hAnsi="Arial Narrow" w:cs="Arial Narrow"/>
                <w:bCs/>
                <w:color w:val="000000"/>
                <w:sz w:val="20"/>
              </w:rPr>
              <w:t>Príspevky SR do všeobecného rozpočtu EÚ spolu</w:t>
            </w:r>
          </w:p>
        </w:tc>
        <w:tc>
          <w:tcPr>
            <w:tcW w:w="1340" w:type="dxa"/>
            <w:tcBorders>
              <w:top w:val="nil"/>
              <w:left w:val="nil"/>
              <w:bottom w:val="single" w:sz="4" w:space="0" w:color="auto"/>
              <w:right w:val="single" w:sz="4" w:space="0" w:color="auto"/>
              <w:tl2br w:val="nil"/>
              <w:tr2bl w:val="nil"/>
            </w:tcBorders>
            <w:noWrap/>
            <w:textDirection w:val="lrTb"/>
            <w:vAlign w:val="center"/>
          </w:tcPr>
          <w:p w:rsidR="00C52DD5" w:rsidP="00C52DD5">
            <w:pPr>
              <w:jc w:val="right"/>
              <w:rPr>
                <w:rFonts w:ascii="Arial Narrow" w:hAnsi="Arial Narrow" w:cs="Arial Narrow"/>
                <w:sz w:val="20"/>
              </w:rPr>
            </w:pPr>
            <w:r>
              <w:rPr>
                <w:rFonts w:ascii="Arial Narrow" w:hAnsi="Arial Narrow" w:cs="Arial Narrow"/>
                <w:sz w:val="20"/>
              </w:rPr>
              <w:t>0</w:t>
            </w:r>
          </w:p>
        </w:tc>
        <w:tc>
          <w:tcPr>
            <w:tcW w:w="1340" w:type="dxa"/>
            <w:tcBorders>
              <w:top w:val="nil"/>
              <w:left w:val="nil"/>
              <w:bottom w:val="single" w:sz="4" w:space="0" w:color="auto"/>
              <w:right w:val="single" w:sz="4" w:space="0" w:color="auto"/>
              <w:tl2br w:val="nil"/>
              <w:tr2bl w:val="nil"/>
            </w:tcBorders>
            <w:noWrap/>
            <w:textDirection w:val="lrTb"/>
            <w:vAlign w:val="center"/>
          </w:tcPr>
          <w:p w:rsidR="00C52DD5" w:rsidP="00C52DD5">
            <w:pPr>
              <w:jc w:val="right"/>
              <w:rPr>
                <w:rFonts w:ascii="Arial Narrow" w:hAnsi="Arial Narrow" w:cs="Arial Narrow"/>
                <w:sz w:val="20"/>
              </w:rPr>
            </w:pPr>
            <w:r>
              <w:rPr>
                <w:rFonts w:ascii="Arial Narrow" w:hAnsi="Arial Narrow" w:cs="Arial Narrow"/>
                <w:sz w:val="20"/>
              </w:rPr>
              <w:t>0</w:t>
            </w:r>
          </w:p>
        </w:tc>
        <w:tc>
          <w:tcPr>
            <w:tcW w:w="1340" w:type="dxa"/>
            <w:tcBorders>
              <w:top w:val="nil"/>
              <w:left w:val="nil"/>
              <w:bottom w:val="single" w:sz="4" w:space="0" w:color="auto"/>
              <w:right w:val="single" w:sz="4" w:space="0" w:color="auto"/>
              <w:tl2br w:val="nil"/>
              <w:tr2bl w:val="nil"/>
            </w:tcBorders>
            <w:noWrap/>
            <w:textDirection w:val="lrTb"/>
            <w:vAlign w:val="center"/>
          </w:tcPr>
          <w:p w:rsidR="00C52DD5" w:rsidP="00C52DD5">
            <w:pPr>
              <w:jc w:val="right"/>
              <w:rPr>
                <w:rFonts w:ascii="Arial Narrow" w:hAnsi="Arial Narrow" w:cs="Arial Narrow"/>
                <w:sz w:val="20"/>
              </w:rPr>
            </w:pPr>
            <w:r>
              <w:rPr>
                <w:rFonts w:ascii="Arial Narrow" w:hAnsi="Arial Narrow" w:cs="Arial Narrow"/>
                <w:sz w:val="20"/>
              </w:rPr>
              <w:t>4 880</w:t>
            </w:r>
          </w:p>
        </w:tc>
      </w:tr>
      <w:tr>
        <w:tblPrEx>
          <w:tblW w:w="8920" w:type="dxa"/>
          <w:tblInd w:w="55" w:type="dxa"/>
          <w:tblCellMar>
            <w:left w:w="70" w:type="dxa"/>
            <w:right w:w="70" w:type="dxa"/>
          </w:tblCellMar>
        </w:tblPrEx>
        <w:trPr>
          <w:trHeight w:val="255"/>
        </w:trPr>
        <w:tc>
          <w:tcPr>
            <w:tcW w:w="490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center"/>
          </w:tcPr>
          <w:p w:rsidR="00C52DD5" w:rsidP="00C52DD5">
            <w:pPr>
              <w:rPr>
                <w:rFonts w:ascii="Arial Narrow" w:hAnsi="Arial Narrow" w:cs="Arial"/>
                <w:b/>
                <w:bCs/>
                <w:sz w:val="20"/>
              </w:rPr>
            </w:pPr>
            <w:r>
              <w:rPr>
                <w:rFonts w:ascii="Arial Narrow" w:hAnsi="Arial Narrow" w:cs="Arial"/>
                <w:b/>
                <w:bCs/>
                <w:sz w:val="20"/>
              </w:rPr>
              <w:t>Odvody a príspevky SR spolu vrátane tradičných vlastných zdrojov</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P="00C52DD5">
            <w:pPr>
              <w:jc w:val="right"/>
              <w:rPr>
                <w:rFonts w:ascii="Arial Narrow" w:hAnsi="Arial Narrow" w:cs="Arial"/>
                <w:b/>
                <w:bCs/>
                <w:sz w:val="20"/>
              </w:rPr>
            </w:pPr>
            <w:r>
              <w:rPr>
                <w:rFonts w:ascii="Arial Narrow" w:hAnsi="Arial Narrow" w:cs="Arial"/>
                <w:b/>
                <w:bCs/>
                <w:sz w:val="20"/>
              </w:rPr>
              <w:t>718 398</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P="00C52DD5">
            <w:pPr>
              <w:jc w:val="right"/>
              <w:rPr>
                <w:rFonts w:ascii="Arial Narrow" w:hAnsi="Arial Narrow" w:cs="Arial"/>
                <w:b/>
                <w:bCs/>
                <w:sz w:val="20"/>
              </w:rPr>
            </w:pPr>
            <w:r>
              <w:rPr>
                <w:rFonts w:ascii="Arial Narrow" w:hAnsi="Arial Narrow" w:cs="Arial"/>
                <w:b/>
                <w:bCs/>
                <w:sz w:val="20"/>
              </w:rPr>
              <w:t>730 146</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P="00C52DD5">
            <w:pPr>
              <w:jc w:val="right"/>
              <w:rPr>
                <w:rFonts w:ascii="Arial Narrow" w:hAnsi="Arial Narrow" w:cs="Arial"/>
                <w:b/>
                <w:bCs/>
                <w:sz w:val="20"/>
              </w:rPr>
            </w:pPr>
            <w:r>
              <w:rPr>
                <w:rFonts w:ascii="Arial Narrow" w:hAnsi="Arial Narrow" w:cs="Arial"/>
                <w:b/>
                <w:bCs/>
                <w:sz w:val="20"/>
              </w:rPr>
              <w:t>731 659</w:t>
            </w:r>
          </w:p>
        </w:tc>
      </w:tr>
      <w:tr>
        <w:tblPrEx>
          <w:tblW w:w="8920" w:type="dxa"/>
          <w:tblInd w:w="55" w:type="dxa"/>
          <w:tblCellMar>
            <w:left w:w="70" w:type="dxa"/>
            <w:right w:w="70" w:type="dxa"/>
          </w:tblCellMar>
        </w:tblPrEx>
        <w:trPr>
          <w:trHeight w:val="255"/>
        </w:trPr>
        <w:tc>
          <w:tcPr>
            <w:tcW w:w="490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center"/>
          </w:tcPr>
          <w:p w:rsidR="00C52DD5" w:rsidP="00C52DD5">
            <w:pPr>
              <w:rPr>
                <w:rFonts w:ascii="Arial Narrow" w:hAnsi="Arial Narrow" w:cs="Arial"/>
                <w:b/>
                <w:bCs/>
                <w:sz w:val="20"/>
              </w:rPr>
            </w:pPr>
            <w:r>
              <w:rPr>
                <w:rFonts w:ascii="Arial Narrow" w:hAnsi="Arial Narrow" w:cs="Arial"/>
                <w:b/>
                <w:bCs/>
                <w:sz w:val="20"/>
              </w:rPr>
              <w:t>Odvody a príspevky SR spolu bez tradičných vlastných zdrojov</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P="00C52DD5">
            <w:pPr>
              <w:jc w:val="right"/>
              <w:rPr>
                <w:rFonts w:ascii="Arial Narrow" w:hAnsi="Arial Narrow" w:cs="Arial"/>
                <w:b/>
                <w:bCs/>
                <w:sz w:val="20"/>
              </w:rPr>
            </w:pPr>
            <w:r>
              <w:rPr>
                <w:rFonts w:ascii="Arial Narrow" w:hAnsi="Arial Narrow" w:cs="Arial"/>
                <w:b/>
                <w:bCs/>
                <w:sz w:val="20"/>
              </w:rPr>
              <w:t>600 198</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P="00C52DD5">
            <w:pPr>
              <w:jc w:val="right"/>
              <w:rPr>
                <w:rFonts w:ascii="Arial Narrow" w:hAnsi="Arial Narrow" w:cs="Arial"/>
                <w:b/>
                <w:bCs/>
                <w:sz w:val="20"/>
              </w:rPr>
            </w:pPr>
            <w:r>
              <w:rPr>
                <w:rFonts w:ascii="Arial Narrow" w:hAnsi="Arial Narrow" w:cs="Arial"/>
                <w:b/>
                <w:bCs/>
                <w:sz w:val="20"/>
              </w:rPr>
              <w:t>609 582</w:t>
            </w:r>
          </w:p>
        </w:tc>
        <w:tc>
          <w:tcPr>
            <w:tcW w:w="134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C52DD5" w:rsidP="00C52DD5">
            <w:pPr>
              <w:jc w:val="right"/>
              <w:rPr>
                <w:rFonts w:ascii="Arial Narrow" w:hAnsi="Arial Narrow" w:cs="Arial"/>
                <w:b/>
                <w:bCs/>
                <w:sz w:val="20"/>
              </w:rPr>
            </w:pPr>
            <w:r>
              <w:rPr>
                <w:rFonts w:ascii="Arial Narrow" w:hAnsi="Arial Narrow" w:cs="Arial"/>
                <w:b/>
                <w:bCs/>
                <w:sz w:val="20"/>
              </w:rPr>
              <w:t>608 684</w:t>
            </w:r>
          </w:p>
        </w:tc>
      </w:tr>
    </w:tbl>
    <w:p w:rsidR="00C52DD5" w:rsidP="00C52DD5">
      <w:pPr>
        <w:jc w:val="both"/>
        <w:rPr>
          <w:rFonts w:ascii="Arial Narrow" w:hAnsi="Arial Narrow" w:cs="Times New Roman"/>
          <w:b/>
          <w:sz w:val="22"/>
          <w:szCs w:val="22"/>
        </w:rPr>
      </w:pPr>
    </w:p>
    <w:p w:rsidR="00C52DD5" w:rsidP="00C52DD5">
      <w:pPr>
        <w:jc w:val="both"/>
        <w:rPr>
          <w:rFonts w:ascii="Arial Narrow" w:hAnsi="Arial Narrow" w:cs="Times New Roman"/>
          <w:b/>
          <w:sz w:val="22"/>
          <w:szCs w:val="22"/>
        </w:rPr>
      </w:pPr>
    </w:p>
    <w:p w:rsidR="00C52DD5" w:rsidRPr="00ED4B41" w:rsidP="00C52DD5">
      <w:pPr>
        <w:jc w:val="both"/>
        <w:rPr>
          <w:rFonts w:ascii="Arial Narrow" w:hAnsi="Arial Narrow" w:cs="Times New Roman"/>
          <w:b/>
          <w:szCs w:val="24"/>
        </w:rPr>
      </w:pPr>
      <w:r w:rsidRPr="00ED4B41">
        <w:rPr>
          <w:rFonts w:ascii="Arial Narrow" w:hAnsi="Arial Narrow" w:cs="Times New Roman"/>
          <w:b/>
          <w:szCs w:val="24"/>
        </w:rPr>
        <w:t>3. Príjmy zo všeobecného rozpočtu EÚ a z poľnohospodárskych fondov</w:t>
      </w:r>
    </w:p>
    <w:p w:rsidR="00C52DD5" w:rsidP="00C52DD5">
      <w:pPr>
        <w:jc w:val="both"/>
        <w:rPr>
          <w:rFonts w:ascii="Arial Narrow" w:hAnsi="Arial Narrow" w:cs="Times New Roman"/>
          <w:b/>
          <w:sz w:val="22"/>
          <w:szCs w:val="22"/>
        </w:rPr>
      </w:pPr>
    </w:p>
    <w:p w:rsidR="00C52DD5" w:rsidP="00C52DD5">
      <w:pPr>
        <w:ind w:firstLine="708"/>
        <w:jc w:val="both"/>
        <w:rPr>
          <w:rFonts w:ascii="Arial Narrow" w:hAnsi="Arial Narrow" w:cs="Times New Roman"/>
          <w:b/>
          <w:sz w:val="22"/>
          <w:szCs w:val="22"/>
        </w:rPr>
      </w:pPr>
      <w:r>
        <w:rPr>
          <w:rFonts w:ascii="Arial Narrow" w:hAnsi="Arial Narrow" w:cs="Times New Roman"/>
          <w:sz w:val="22"/>
          <w:szCs w:val="22"/>
        </w:rPr>
        <w:t>Príjmy zo všeobecného rozpočtu EÚ, uvedené v nasledujúcej tabuľke, rozdeľujeme na príjmy, ktoré sú zaradené do príjmov a výdavkov štátneho rozpočtu v zmysle §§ 7 a 8 zákona 523/2004 Z. z. o rozpočtových pravidlách verejnej správy a o zmene a doplnení niektorých zákonov v znení neskorších predpisov a príjmy, ktoré nie sú zaradené do príjmov a výdavkov štátneho rozpočtu. Do príjmov a výdavkov štátneho rozpočtu sa rovnako nezaraďujú iné prostriedky zo zahraničia, poskytnuté Slovenskej republike na základe medzinárodných zmlúv medzi Slovenskou republikou a inými štátmi.</w:t>
      </w: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bCs/>
          <w:spacing w:val="-4"/>
          <w:sz w:val="22"/>
          <w:szCs w:val="22"/>
          <w:u w:val="single"/>
        </w:rPr>
      </w:pPr>
    </w:p>
    <w:p w:rsidR="00C52DD5" w:rsidP="00C52DD5">
      <w:pPr>
        <w:pStyle w:val="BodyText"/>
        <w:rPr>
          <w:rFonts w:ascii="Arial Narrow" w:hAnsi="Arial Narrow" w:cs="Arial Narrow"/>
          <w:spacing w:val="-4"/>
          <w:sz w:val="22"/>
          <w:szCs w:val="22"/>
        </w:rPr>
      </w:pPr>
      <w:r w:rsidRPr="00807BD4">
        <w:rPr>
          <w:rFonts w:ascii="Arial Narrow" w:hAnsi="Arial Narrow" w:cs="Arial Narrow"/>
          <w:bCs/>
          <w:spacing w:val="-4"/>
          <w:sz w:val="22"/>
          <w:szCs w:val="22"/>
          <w:u w:val="single"/>
        </w:rPr>
        <w:t xml:space="preserve">Tabuľka č. </w:t>
      </w:r>
      <w:r>
        <w:rPr>
          <w:rFonts w:ascii="Arial Narrow" w:hAnsi="Arial Narrow" w:cs="Arial Narrow"/>
          <w:bCs/>
          <w:spacing w:val="-4"/>
          <w:sz w:val="22"/>
          <w:szCs w:val="22"/>
          <w:u w:val="single"/>
        </w:rPr>
        <w:t>4</w:t>
      </w:r>
      <w:r w:rsidRPr="00807BD4">
        <w:rPr>
          <w:rFonts w:ascii="Arial Narrow" w:hAnsi="Arial Narrow" w:cs="Arial Narrow"/>
          <w:bCs/>
          <w:spacing w:val="-4"/>
          <w:sz w:val="22"/>
          <w:szCs w:val="22"/>
          <w:u w:val="single"/>
        </w:rPr>
        <w:t>:</w:t>
      </w:r>
      <w:r>
        <w:rPr>
          <w:rFonts w:ascii="Arial Narrow" w:hAnsi="Arial Narrow" w:cs="Arial Narrow"/>
          <w:spacing w:val="-4"/>
          <w:sz w:val="22"/>
          <w:szCs w:val="22"/>
        </w:rPr>
        <w:t xml:space="preserve"> Príjmy SR zo všeobecného rozpočtu EÚ a príjmy SR na základe medzinárodných zmlúv, ktorými je Slovenská republika viazaná v rokoch 2009 až 2011 v </w:t>
      </w:r>
      <w:r>
        <w:rPr>
          <w:rFonts w:ascii="Arial Narrow" w:hAnsi="Arial Narrow" w:cs="Times New Roman"/>
          <w:sz w:val="22"/>
          <w:szCs w:val="22"/>
        </w:rPr>
        <w:t>tis.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1385"/>
        <w:gridCol w:w="2346"/>
        <w:gridCol w:w="1388"/>
        <w:gridCol w:w="1389"/>
        <w:gridCol w:w="1391"/>
        <w:gridCol w:w="138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166CC7" w:rsidP="00C52DD5">
            <w:pPr>
              <w:pStyle w:val="BodyText"/>
              <w:rPr>
                <w:rFonts w:ascii="Arial Narrow" w:hAnsi="Arial Narrow" w:cs="Arial Narrow"/>
                <w:spacing w:val="-4"/>
                <w:sz w:val="22"/>
                <w:szCs w:val="22"/>
              </w:rPr>
            </w:pPr>
          </w:p>
        </w:tc>
        <w:tc>
          <w:tcPr>
            <w:tcW w:w="126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166CC7" w:rsidP="00C52DD5">
            <w:pPr>
              <w:pStyle w:val="BodyText"/>
              <w:rPr>
                <w:rFonts w:ascii="Arial Narrow" w:hAnsi="Arial Narrow" w:cs="Arial Narrow"/>
                <w:spacing w:val="-4"/>
                <w:sz w:val="22"/>
                <w:szCs w:val="22"/>
              </w:rPr>
            </w:pPr>
          </w:p>
        </w:tc>
        <w:tc>
          <w:tcPr>
            <w:tcW w:w="747"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166CC7" w:rsidP="00C52DD5">
            <w:pPr>
              <w:pStyle w:val="BodyText"/>
              <w:jc w:val="center"/>
              <w:rPr>
                <w:rFonts w:ascii="Arial Narrow" w:hAnsi="Arial Narrow" w:cs="Arial Narrow"/>
                <w:b/>
                <w:spacing w:val="-4"/>
                <w:sz w:val="22"/>
                <w:szCs w:val="22"/>
              </w:rPr>
            </w:pPr>
            <w:r w:rsidRPr="00166CC7">
              <w:rPr>
                <w:rFonts w:ascii="Arial Narrow" w:hAnsi="Arial Narrow" w:cs="Arial Narrow"/>
                <w:b/>
                <w:spacing w:val="-4"/>
                <w:sz w:val="22"/>
                <w:szCs w:val="22"/>
              </w:rPr>
              <w:t>2009</w:t>
            </w:r>
          </w:p>
        </w:tc>
        <w:tc>
          <w:tcPr>
            <w:tcW w:w="748"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166CC7" w:rsidP="00C52DD5">
            <w:pPr>
              <w:pStyle w:val="BodyText"/>
              <w:jc w:val="center"/>
              <w:rPr>
                <w:rFonts w:ascii="Arial Narrow" w:hAnsi="Arial Narrow" w:cs="Arial Narrow"/>
                <w:b/>
                <w:spacing w:val="-4"/>
                <w:sz w:val="22"/>
                <w:szCs w:val="22"/>
              </w:rPr>
            </w:pPr>
            <w:r w:rsidRPr="00166CC7">
              <w:rPr>
                <w:rFonts w:ascii="Arial Narrow" w:hAnsi="Arial Narrow" w:cs="Arial Narrow"/>
                <w:b/>
                <w:spacing w:val="-4"/>
                <w:sz w:val="22"/>
                <w:szCs w:val="22"/>
              </w:rPr>
              <w:t>2010</w:t>
            </w: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166CC7" w:rsidP="00C52DD5">
            <w:pPr>
              <w:pStyle w:val="BodyText"/>
              <w:jc w:val="center"/>
              <w:rPr>
                <w:rFonts w:ascii="Arial Narrow" w:hAnsi="Arial Narrow" w:cs="Arial Narrow"/>
                <w:b/>
                <w:spacing w:val="-4"/>
                <w:sz w:val="22"/>
                <w:szCs w:val="22"/>
              </w:rPr>
            </w:pPr>
            <w:r w:rsidRPr="00166CC7">
              <w:rPr>
                <w:rFonts w:ascii="Arial Narrow" w:hAnsi="Arial Narrow" w:cs="Arial Narrow"/>
                <w:b/>
                <w:spacing w:val="-4"/>
                <w:sz w:val="22"/>
                <w:szCs w:val="22"/>
              </w:rPr>
              <w:t>2011</w:t>
            </w: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166CC7" w:rsidP="00C52DD5">
            <w:pPr>
              <w:pStyle w:val="BodyText"/>
              <w:jc w:val="center"/>
              <w:rPr>
                <w:rFonts w:ascii="Arial Narrow" w:hAnsi="Arial Narrow" w:cs="Arial Narrow"/>
                <w:b/>
                <w:spacing w:val="-4"/>
                <w:sz w:val="22"/>
                <w:szCs w:val="22"/>
              </w:rPr>
            </w:pPr>
            <w:r w:rsidRPr="00166CC7">
              <w:rPr>
                <w:rFonts w:ascii="Arial Narrow" w:hAnsi="Arial Narrow" w:cs="Arial Narrow"/>
                <w:b/>
                <w:spacing w:val="-4"/>
                <w:sz w:val="22"/>
                <w:szCs w:val="22"/>
              </w:rPr>
              <w:t>2009 -  2011</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A1=A11+A12+A13+A14</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Poľnohospodárske fondy v tom:</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533 258</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591 942</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607 677</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1 732 877</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A11</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703CBE">
            <w:pPr>
              <w:pStyle w:val="BodyText"/>
              <w:rPr>
                <w:rFonts w:ascii="Arial Narrow" w:hAnsi="Arial Narrow" w:cs="Arial Narrow"/>
                <w:spacing w:val="-4"/>
                <w:sz w:val="22"/>
                <w:szCs w:val="22"/>
              </w:rPr>
            </w:pPr>
            <w:r w:rsidRPr="00166CC7">
              <w:rPr>
                <w:rFonts w:ascii="Arial Narrow" w:hAnsi="Arial Narrow" w:cs="Arial Narrow"/>
                <w:spacing w:val="-4"/>
                <w:sz w:val="22"/>
                <w:szCs w:val="22"/>
              </w:rPr>
              <w:t>Priame platby</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224 974</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266 887</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307 072</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798 933</w:t>
            </w:r>
          </w:p>
        </w:tc>
      </w:tr>
      <w:tr>
        <w:tblPrEx>
          <w:tblW w:w="5000" w:type="pct"/>
          <w:tblLayout w:type="fixed"/>
        </w:tblPrEx>
        <w:trPr>
          <w:trHeight w:val="565"/>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A12</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703CBE">
            <w:pPr>
              <w:pStyle w:val="BodyText"/>
              <w:rPr>
                <w:rFonts w:ascii="Arial Narrow" w:hAnsi="Arial Narrow" w:cs="Arial Narrow"/>
                <w:spacing w:val="-4"/>
                <w:sz w:val="22"/>
                <w:szCs w:val="22"/>
              </w:rPr>
            </w:pPr>
            <w:r w:rsidRPr="00166CC7">
              <w:rPr>
                <w:rFonts w:ascii="Arial Narrow" w:hAnsi="Arial Narrow" w:cs="Arial Narrow"/>
                <w:spacing w:val="-4"/>
                <w:sz w:val="22"/>
                <w:szCs w:val="22"/>
              </w:rPr>
              <w:t>Trhovo orientované výdavky</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33 910</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31 452</w:t>
            </w:r>
            <w:r w:rsidRPr="00166CC7">
              <w:rPr>
                <w:rFonts w:ascii="Arial Narrow" w:hAnsi="Arial Narrow" w:cs="Arial Narrow"/>
                <w:spacing w:val="-4"/>
                <w:sz w:val="22"/>
                <w:szCs w:val="22"/>
              </w:rPr>
              <w:t xml:space="preserve"> </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26 042</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91 404</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A13</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703CBE">
            <w:pPr>
              <w:pStyle w:val="BodyText"/>
              <w:rPr>
                <w:rFonts w:ascii="Arial Narrow" w:hAnsi="Arial Narrow" w:cs="Arial Narrow"/>
                <w:spacing w:val="-4"/>
                <w:sz w:val="22"/>
                <w:szCs w:val="22"/>
              </w:rPr>
            </w:pPr>
            <w:r w:rsidRPr="00166CC7">
              <w:rPr>
                <w:rFonts w:ascii="Arial Narrow" w:hAnsi="Arial Narrow" w:cs="Arial Narrow"/>
                <w:spacing w:val="-4"/>
                <w:sz w:val="22"/>
                <w:szCs w:val="22"/>
              </w:rPr>
              <w:t>Program rozvoja vidieka</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272 558</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291 235</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271 825</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835 618</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A14</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703CBE">
            <w:pPr>
              <w:pStyle w:val="BodyText"/>
              <w:rPr>
                <w:rFonts w:ascii="Arial Narrow" w:hAnsi="Arial Narrow" w:cs="Arial Narrow"/>
                <w:spacing w:val="-4"/>
                <w:sz w:val="22"/>
                <w:szCs w:val="22"/>
              </w:rPr>
            </w:pPr>
            <w:r w:rsidRPr="00166CC7">
              <w:rPr>
                <w:rFonts w:ascii="Arial Narrow" w:hAnsi="Arial Narrow" w:cs="Arial Narrow"/>
                <w:spacing w:val="-4"/>
                <w:sz w:val="22"/>
                <w:szCs w:val="22"/>
              </w:rPr>
              <w:t>Európsky fond pre rybné hospodárstvo</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1 816</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2 368</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2 738</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6 922</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A2=A21+A22</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703CBE">
            <w:pPr>
              <w:pStyle w:val="BodyText"/>
              <w:rPr>
                <w:rFonts w:ascii="Arial Narrow" w:hAnsi="Arial Narrow" w:cs="Arial Narrow"/>
                <w:spacing w:val="-4"/>
                <w:sz w:val="22"/>
                <w:szCs w:val="22"/>
              </w:rPr>
            </w:pPr>
            <w:r w:rsidRPr="00166CC7">
              <w:rPr>
                <w:rFonts w:ascii="Arial Narrow" w:hAnsi="Arial Narrow" w:cs="Arial Narrow"/>
                <w:spacing w:val="-4"/>
                <w:sz w:val="22"/>
                <w:szCs w:val="22"/>
              </w:rPr>
              <w:t>Štrukturálne operácie</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1 349 438</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1 965 764</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2 161 663</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5 476 865</w:t>
            </w:r>
          </w:p>
        </w:tc>
      </w:tr>
      <w:tr>
        <w:tblPrEx>
          <w:tblW w:w="5000" w:type="pct"/>
          <w:tblLayout w:type="fixed"/>
        </w:tblPrEx>
        <w:trPr>
          <w:trHeight w:val="337"/>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A21</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703CBE">
            <w:pPr>
              <w:pStyle w:val="BodyText"/>
              <w:rPr>
                <w:rFonts w:ascii="Arial Narrow" w:hAnsi="Arial Narrow" w:cs="Arial Narrow"/>
                <w:spacing w:val="-4"/>
                <w:sz w:val="22"/>
                <w:szCs w:val="22"/>
              </w:rPr>
            </w:pPr>
            <w:r w:rsidRPr="00166CC7">
              <w:rPr>
                <w:rFonts w:ascii="Arial Narrow" w:hAnsi="Arial Narrow" w:cs="Arial Narrow"/>
                <w:spacing w:val="-4"/>
                <w:sz w:val="22"/>
                <w:szCs w:val="22"/>
              </w:rPr>
              <w:t>Štrukturálne fondy (bez INTERREG IVC a INTERACTII)</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889 222</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1 262 612</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1 445 382</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3 597 216</w:t>
            </w:r>
          </w:p>
        </w:tc>
      </w:tr>
      <w:tr>
        <w:tblPrEx>
          <w:tblW w:w="5000" w:type="pct"/>
          <w:tblLayout w:type="fixed"/>
        </w:tblPrEx>
        <w:trPr>
          <w:trHeight w:val="405"/>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spacing w:before="240"/>
              <w:rPr>
                <w:rFonts w:ascii="Arial Narrow" w:hAnsi="Arial Narrow" w:cs="Arial Narrow"/>
                <w:spacing w:val="-4"/>
                <w:sz w:val="22"/>
                <w:szCs w:val="22"/>
              </w:rPr>
            </w:pPr>
            <w:r w:rsidRPr="00166CC7">
              <w:rPr>
                <w:rFonts w:ascii="Arial Narrow" w:hAnsi="Arial Narrow" w:cs="Arial Narrow"/>
                <w:spacing w:val="-4"/>
                <w:sz w:val="22"/>
                <w:szCs w:val="22"/>
              </w:rPr>
              <w:t>A22</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703CBE">
            <w:pPr>
              <w:pStyle w:val="BodyText"/>
              <w:spacing w:before="240"/>
              <w:rPr>
                <w:rFonts w:ascii="Arial Narrow" w:hAnsi="Arial Narrow" w:cs="Arial Narrow"/>
                <w:spacing w:val="-4"/>
                <w:sz w:val="22"/>
                <w:szCs w:val="22"/>
              </w:rPr>
            </w:pPr>
            <w:r w:rsidRPr="00166CC7">
              <w:rPr>
                <w:rFonts w:ascii="Arial Narrow" w:hAnsi="Arial Narrow" w:cs="Arial Narrow"/>
                <w:spacing w:val="-4"/>
                <w:sz w:val="22"/>
                <w:szCs w:val="22"/>
              </w:rPr>
              <w:t>Kohézny fond</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spacing w:before="240"/>
              <w:jc w:val="right"/>
              <w:rPr>
                <w:rFonts w:ascii="Arial Narrow" w:hAnsi="Arial Narrow" w:cs="Arial Narrow"/>
                <w:spacing w:val="-4"/>
                <w:sz w:val="22"/>
                <w:szCs w:val="22"/>
              </w:rPr>
            </w:pPr>
            <w:r>
              <w:rPr>
                <w:rFonts w:ascii="Arial Narrow" w:hAnsi="Arial Narrow" w:cs="Arial Narrow"/>
                <w:spacing w:val="-4"/>
                <w:sz w:val="22"/>
                <w:szCs w:val="22"/>
              </w:rPr>
              <w:t>460 216</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spacing w:before="240"/>
              <w:jc w:val="right"/>
              <w:rPr>
                <w:rFonts w:ascii="Arial Narrow" w:hAnsi="Arial Narrow" w:cs="Arial Narrow"/>
                <w:spacing w:val="-4"/>
                <w:sz w:val="22"/>
                <w:szCs w:val="22"/>
              </w:rPr>
            </w:pPr>
            <w:r>
              <w:rPr>
                <w:rFonts w:ascii="Arial Narrow" w:hAnsi="Arial Narrow" w:cs="Arial Narrow"/>
                <w:spacing w:val="-4"/>
                <w:sz w:val="22"/>
                <w:szCs w:val="22"/>
              </w:rPr>
              <w:t>703 152</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spacing w:before="240"/>
              <w:jc w:val="right"/>
              <w:rPr>
                <w:rFonts w:ascii="Arial Narrow" w:hAnsi="Arial Narrow" w:cs="Arial Narrow"/>
                <w:spacing w:val="-4"/>
                <w:sz w:val="22"/>
                <w:szCs w:val="22"/>
              </w:rPr>
            </w:pPr>
            <w:r>
              <w:rPr>
                <w:rFonts w:ascii="Arial Narrow" w:hAnsi="Arial Narrow" w:cs="Arial Narrow"/>
                <w:spacing w:val="-4"/>
                <w:sz w:val="22"/>
                <w:szCs w:val="22"/>
              </w:rPr>
              <w:t>716 281</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spacing w:before="240"/>
              <w:jc w:val="right"/>
              <w:rPr>
                <w:rFonts w:ascii="Arial Narrow" w:hAnsi="Arial Narrow" w:cs="Arial Narrow"/>
                <w:spacing w:val="-4"/>
                <w:sz w:val="22"/>
                <w:szCs w:val="22"/>
              </w:rPr>
            </w:pPr>
            <w:r>
              <w:rPr>
                <w:rFonts w:ascii="Arial Narrow" w:hAnsi="Arial Narrow" w:cs="Arial Narrow"/>
                <w:spacing w:val="-4"/>
                <w:sz w:val="22"/>
                <w:szCs w:val="22"/>
              </w:rPr>
              <w:t>1 879 649</w:t>
            </w:r>
          </w:p>
        </w:tc>
      </w:tr>
      <w:tr>
        <w:tblPrEx>
          <w:tblW w:w="5000" w:type="pct"/>
          <w:tblLayout w:type="fixed"/>
        </w:tblPrEx>
        <w:trPr>
          <w:trHeight w:val="720"/>
        </w:trPr>
        <w:tc>
          <w:tcPr>
            <w:tcW w:w="745"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rPr>
                <w:rFonts w:ascii="Arial Narrow" w:hAnsi="Arial Narrow" w:cs="Arial Narrow"/>
                <w:b/>
                <w:spacing w:val="-4"/>
                <w:sz w:val="22"/>
                <w:szCs w:val="22"/>
              </w:rPr>
            </w:pPr>
            <w:r w:rsidRPr="00166CC7">
              <w:rPr>
                <w:rFonts w:ascii="Arial Narrow" w:hAnsi="Arial Narrow" w:cs="Arial Narrow"/>
                <w:b/>
                <w:spacing w:val="-4"/>
                <w:sz w:val="22"/>
                <w:szCs w:val="22"/>
              </w:rPr>
              <w:t>A=A1+A2</w:t>
            </w:r>
          </w:p>
        </w:tc>
        <w:tc>
          <w:tcPr>
            <w:tcW w:w="1263"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rPr>
                <w:rFonts w:ascii="Arial Narrow" w:hAnsi="Arial Narrow" w:cs="Arial Narrow"/>
                <w:b/>
                <w:spacing w:val="-4"/>
                <w:sz w:val="22"/>
                <w:szCs w:val="22"/>
              </w:rPr>
            </w:pPr>
            <w:r w:rsidRPr="00166CC7">
              <w:rPr>
                <w:rFonts w:ascii="Arial Narrow" w:hAnsi="Arial Narrow" w:cs="Arial Narrow"/>
                <w:b/>
                <w:spacing w:val="-4"/>
                <w:sz w:val="22"/>
                <w:szCs w:val="22"/>
              </w:rPr>
              <w:t>Príjmy z EÚ zaradené do príjmov a výdavkov štátneho rozpočtu spolu</w:t>
            </w:r>
          </w:p>
        </w:tc>
        <w:tc>
          <w:tcPr>
            <w:tcW w:w="747"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1 882 696</w:t>
            </w:r>
          </w:p>
        </w:tc>
        <w:tc>
          <w:tcPr>
            <w:tcW w:w="748"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2 557 706</w:t>
            </w: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2 769 340</w:t>
            </w:r>
          </w:p>
          <w:p w:rsidR="00C52DD5" w:rsidRPr="00166CC7" w:rsidP="00C52DD5">
            <w:pPr>
              <w:pStyle w:val="BodyText"/>
              <w:jc w:val="right"/>
              <w:rPr>
                <w:rFonts w:ascii="Arial Narrow" w:hAnsi="Arial Narrow" w:cs="Arial Narrow"/>
                <w:b/>
                <w:spacing w:val="-4"/>
                <w:sz w:val="22"/>
                <w:szCs w:val="22"/>
              </w:rPr>
            </w:pP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7 209 742</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B1</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INTERREG IVC a INTERACT II</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24 320</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24 472</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24 974</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73 766</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B2</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Predvstupové fondy</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 xml:space="preserve">6 749 </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3 060</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sidRPr="00166CC7">
              <w:rPr>
                <w:rFonts w:ascii="Arial Narrow" w:hAnsi="Arial Narrow" w:cs="Arial Narrow"/>
                <w:spacing w:val="-4"/>
                <w:sz w:val="22"/>
                <w:szCs w:val="22"/>
              </w:rPr>
              <w:t>0</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9 809</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B3</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Vnútorné politiky/vnútorné opatrenia</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120 829</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137 724</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148 829</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407 382</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rPr>
                <w:rFonts w:ascii="Arial Narrow" w:hAnsi="Arial Narrow" w:cs="Arial Narrow"/>
                <w:b/>
                <w:spacing w:val="-4"/>
                <w:sz w:val="22"/>
                <w:szCs w:val="22"/>
              </w:rPr>
            </w:pPr>
            <w:r w:rsidRPr="00166CC7">
              <w:rPr>
                <w:rFonts w:ascii="Arial Narrow" w:hAnsi="Arial Narrow" w:cs="Arial Narrow"/>
                <w:b/>
                <w:spacing w:val="-4"/>
                <w:sz w:val="22"/>
                <w:szCs w:val="22"/>
              </w:rPr>
              <w:t>B=B1+B2+B3</w:t>
            </w:r>
          </w:p>
        </w:tc>
        <w:tc>
          <w:tcPr>
            <w:tcW w:w="1263"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rPr>
                <w:rFonts w:ascii="Arial Narrow" w:hAnsi="Arial Narrow" w:cs="Arial Narrow"/>
                <w:b/>
                <w:spacing w:val="-4"/>
                <w:sz w:val="22"/>
                <w:szCs w:val="22"/>
              </w:rPr>
            </w:pPr>
            <w:r w:rsidRPr="00166CC7">
              <w:rPr>
                <w:rFonts w:ascii="Arial Narrow" w:hAnsi="Arial Narrow" w:cs="Arial Narrow"/>
                <w:b/>
                <w:spacing w:val="-4"/>
                <w:sz w:val="22"/>
                <w:szCs w:val="22"/>
              </w:rPr>
              <w:t>Príjmy z EÚ nezaradené do príjmov a výdavkov štátneho rozpočtu spolu</w:t>
            </w:r>
          </w:p>
        </w:tc>
        <w:tc>
          <w:tcPr>
            <w:tcW w:w="747"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151 898</w:t>
            </w:r>
          </w:p>
        </w:tc>
        <w:tc>
          <w:tcPr>
            <w:tcW w:w="748"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165 256</w:t>
            </w: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173 803</w:t>
            </w: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490 957</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rPr>
                <w:rFonts w:ascii="Arial Narrow" w:hAnsi="Arial Narrow" w:cs="Arial Narrow"/>
                <w:b/>
                <w:spacing w:val="-4"/>
                <w:sz w:val="22"/>
                <w:szCs w:val="22"/>
              </w:rPr>
            </w:pPr>
            <w:r w:rsidRPr="00166CC7">
              <w:rPr>
                <w:rFonts w:ascii="Arial Narrow" w:hAnsi="Arial Narrow" w:cs="Arial Narrow"/>
                <w:b/>
                <w:spacing w:val="-4"/>
                <w:sz w:val="22"/>
                <w:szCs w:val="22"/>
              </w:rPr>
              <w:t>C=A+B</w:t>
            </w:r>
          </w:p>
        </w:tc>
        <w:tc>
          <w:tcPr>
            <w:tcW w:w="1263"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rPr>
                <w:rFonts w:ascii="Arial Narrow" w:hAnsi="Arial Narrow" w:cs="Arial Narrow"/>
                <w:b/>
                <w:spacing w:val="-4"/>
                <w:sz w:val="22"/>
                <w:szCs w:val="22"/>
                <w:u w:val="single"/>
              </w:rPr>
            </w:pPr>
            <w:r w:rsidRPr="00166CC7">
              <w:rPr>
                <w:rFonts w:ascii="Arial Narrow" w:hAnsi="Arial Narrow" w:cs="Arial Narrow"/>
                <w:b/>
                <w:spacing w:val="-4"/>
                <w:sz w:val="22"/>
                <w:szCs w:val="22"/>
              </w:rPr>
              <w:t>Príjmy z EÚ spolu</w:t>
            </w:r>
          </w:p>
        </w:tc>
        <w:tc>
          <w:tcPr>
            <w:tcW w:w="747"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2 034 594</w:t>
            </w:r>
          </w:p>
        </w:tc>
        <w:tc>
          <w:tcPr>
            <w:tcW w:w="748"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2 722 962</w:t>
            </w: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2 943 143</w:t>
            </w: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7 700 699</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D=D1+D2</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Iné prostriedky zo zahraničia na základe medzinárodných zmlúv v tom:</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26 903</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32 343</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14 746</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73 992</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D1</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Pr>
                <w:rFonts w:ascii="Arial Narrow" w:hAnsi="Arial Narrow" w:cs="Arial Narrow"/>
                <w:spacing w:val="-4"/>
                <w:sz w:val="22"/>
                <w:szCs w:val="22"/>
              </w:rPr>
              <w:t>Finančný mechanizmus EHP a Nórsky finančný mechanizmus</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22 000</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26 001</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7 136</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55 137</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sidRPr="00166CC7">
              <w:rPr>
                <w:rFonts w:ascii="Arial Narrow" w:hAnsi="Arial Narrow" w:cs="Arial Narrow"/>
                <w:spacing w:val="-4"/>
                <w:sz w:val="22"/>
                <w:szCs w:val="22"/>
              </w:rPr>
              <w:t>D2</w:t>
            </w:r>
          </w:p>
        </w:tc>
        <w:tc>
          <w:tcPr>
            <w:tcW w:w="126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rPr>
                <w:rFonts w:ascii="Arial Narrow" w:hAnsi="Arial Narrow" w:cs="Arial Narrow"/>
                <w:spacing w:val="-4"/>
                <w:sz w:val="22"/>
                <w:szCs w:val="22"/>
              </w:rPr>
            </w:pPr>
            <w:r>
              <w:rPr>
                <w:rFonts w:ascii="Arial Narrow" w:hAnsi="Arial Narrow" w:cs="Arial Narrow"/>
                <w:spacing w:val="-4"/>
                <w:sz w:val="22"/>
                <w:szCs w:val="22"/>
              </w:rPr>
              <w:t>Švajčiarsky finančný mechanizmus</w:t>
            </w:r>
          </w:p>
        </w:tc>
        <w:tc>
          <w:tcPr>
            <w:tcW w:w="74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4 903</w:t>
            </w:r>
          </w:p>
        </w:tc>
        <w:tc>
          <w:tcPr>
            <w:tcW w:w="74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6 342</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7 610</w:t>
            </w:r>
          </w:p>
        </w:tc>
        <w:tc>
          <w:tcPr>
            <w:tcW w:w="749"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166CC7" w:rsidP="00C52DD5">
            <w:pPr>
              <w:pStyle w:val="BodyText"/>
              <w:jc w:val="right"/>
              <w:rPr>
                <w:rFonts w:ascii="Arial Narrow" w:hAnsi="Arial Narrow" w:cs="Arial Narrow"/>
                <w:spacing w:val="-4"/>
                <w:sz w:val="22"/>
                <w:szCs w:val="22"/>
              </w:rPr>
            </w:pPr>
            <w:r>
              <w:rPr>
                <w:rFonts w:ascii="Arial Narrow" w:hAnsi="Arial Narrow" w:cs="Arial Narrow"/>
                <w:spacing w:val="-4"/>
                <w:sz w:val="22"/>
                <w:szCs w:val="22"/>
              </w:rPr>
              <w:t>18 855</w:t>
            </w:r>
          </w:p>
        </w:tc>
      </w:tr>
      <w:tr>
        <w:tblPrEx>
          <w:tblW w:w="5000" w:type="pct"/>
          <w:tblLayout w:type="fixed"/>
        </w:tblPrEx>
        <w:trPr>
          <w:trHeight w:hRule="auto" w:val="0"/>
        </w:trPr>
        <w:tc>
          <w:tcPr>
            <w:tcW w:w="745"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166CC7" w:rsidP="00C52DD5">
            <w:pPr>
              <w:pStyle w:val="BodyText"/>
              <w:rPr>
                <w:rFonts w:ascii="Arial Narrow" w:hAnsi="Arial Narrow" w:cs="Arial Narrow"/>
                <w:b/>
                <w:spacing w:val="-4"/>
                <w:sz w:val="22"/>
                <w:szCs w:val="22"/>
              </w:rPr>
            </w:pPr>
            <w:r w:rsidRPr="00166CC7">
              <w:rPr>
                <w:rFonts w:ascii="Arial Narrow" w:hAnsi="Arial Narrow" w:cs="Arial Narrow"/>
                <w:b/>
                <w:spacing w:val="-4"/>
                <w:sz w:val="22"/>
                <w:szCs w:val="22"/>
              </w:rPr>
              <w:t>E=C+D</w:t>
            </w:r>
          </w:p>
        </w:tc>
        <w:tc>
          <w:tcPr>
            <w:tcW w:w="1263"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7F6159" w:rsidP="00C52DD5">
            <w:pPr>
              <w:pStyle w:val="BodyText"/>
              <w:rPr>
                <w:rFonts w:ascii="Arial Narrow" w:hAnsi="Arial Narrow" w:cs="Arial Narrow"/>
                <w:b/>
                <w:spacing w:val="-4"/>
                <w:sz w:val="22"/>
                <w:szCs w:val="22"/>
              </w:rPr>
            </w:pPr>
            <w:r w:rsidRPr="007F6159">
              <w:rPr>
                <w:rFonts w:ascii="Arial Narrow" w:hAnsi="Arial Narrow" w:cs="Arial Narrow"/>
                <w:b/>
                <w:spacing w:val="-4"/>
                <w:sz w:val="22"/>
                <w:szCs w:val="22"/>
              </w:rPr>
              <w:t>Príjmy z EÚ a iné prostriedky zo zahraničia na základe medzinárodných zmlúv spolu</w:t>
            </w:r>
          </w:p>
        </w:tc>
        <w:tc>
          <w:tcPr>
            <w:tcW w:w="747"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7625F2"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2 061 497</w:t>
            </w:r>
          </w:p>
        </w:tc>
        <w:tc>
          <w:tcPr>
            <w:tcW w:w="748"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7625F2"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2 755 305</w:t>
            </w: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7625F2"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2 957 889</w:t>
            </w:r>
          </w:p>
        </w:tc>
        <w:tc>
          <w:tcPr>
            <w:tcW w:w="749"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7625F2"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7 774 691</w:t>
            </w:r>
          </w:p>
        </w:tc>
      </w:tr>
    </w:tbl>
    <w:p w:rsidR="00C52DD5" w:rsidP="00C52DD5">
      <w:pPr>
        <w:jc w:val="both"/>
        <w:rPr>
          <w:rFonts w:ascii="Arial Narrow" w:hAnsi="Arial Narrow" w:cs="Arial Narrow"/>
          <w:spacing w:val="-4"/>
          <w:sz w:val="22"/>
          <w:szCs w:val="22"/>
        </w:rPr>
      </w:pPr>
    </w:p>
    <w:p w:rsidR="00C52DD5" w:rsidP="00C52DD5">
      <w:pPr>
        <w:ind w:firstLine="708"/>
        <w:jc w:val="both"/>
        <w:rPr>
          <w:rFonts w:ascii="Arial Narrow" w:hAnsi="Arial Narrow" w:cs="Arial Narrow"/>
          <w:spacing w:val="-4"/>
          <w:sz w:val="22"/>
          <w:szCs w:val="22"/>
        </w:rPr>
      </w:pPr>
      <w:r w:rsidRPr="00371EB9">
        <w:rPr>
          <w:rFonts w:ascii="Arial Narrow" w:hAnsi="Arial Narrow" w:cs="Arial Narrow"/>
          <w:spacing w:val="-4"/>
          <w:sz w:val="22"/>
          <w:szCs w:val="22"/>
        </w:rPr>
        <w:t xml:space="preserve">V rokoch </w:t>
      </w:r>
      <w:r>
        <w:rPr>
          <w:rFonts w:ascii="Arial Narrow" w:hAnsi="Arial Narrow" w:cs="Arial Narrow"/>
          <w:spacing w:val="-4"/>
          <w:sz w:val="22"/>
          <w:szCs w:val="22"/>
        </w:rPr>
        <w:t>2009 až 2011 sa v kapitole Ministerstva pôdohospodárstva SR rozpočtujú príjmy z Európskeho poľnohospodárskeho záručného fondu a Európskeho poľnohospodárskeho fondu pre rozvoj vidieka na priame platby, trhovo orientované výdavky a prostriedky v rámci Plánu rozvoja vidieka. V prípade stanovenia priamych platieb sa vychádzalo z odhadov čerpania zdrojov určených na jednotnú platbu na plochu a osobitnej platby na cukor. Do odhadov sú zahrnuté nové priame platby – osobitná platba a prechodná platba na ovocie a zeleninu, platba na pestovanie energetických plodín a dodatočné priame platby.  Očakávané príjmy z Európskeho poľnohospodárskeho fondu pre rozvoj vidieka a Európskeho fondu pre rybné hospodárstvo sa rozpočtujú vo väzbe na programové dokumenty Program rozvoja vidieka SR 2007 – 2013 a Operačný program Rybné hospodárstvo 2007 – 2013, schválené Európskou komisiou.</w:t>
      </w:r>
    </w:p>
    <w:p w:rsidR="00C52DD5" w:rsidP="00C52DD5">
      <w:pPr>
        <w:jc w:val="both"/>
        <w:rPr>
          <w:rFonts w:ascii="Arial Narrow" w:hAnsi="Arial Narrow" w:cs="Arial Narrow"/>
          <w:spacing w:val="-4"/>
          <w:sz w:val="22"/>
          <w:szCs w:val="22"/>
        </w:rPr>
      </w:pPr>
    </w:p>
    <w:p w:rsidR="00C52DD5" w:rsidP="00C52DD5">
      <w:pPr>
        <w:ind w:firstLine="708"/>
        <w:jc w:val="both"/>
        <w:rPr>
          <w:rFonts w:ascii="Arial Narrow" w:hAnsi="Arial Narrow" w:cs="Arial Narrow"/>
          <w:spacing w:val="-4"/>
          <w:sz w:val="22"/>
          <w:szCs w:val="22"/>
        </w:rPr>
      </w:pPr>
      <w:r>
        <w:rPr>
          <w:rFonts w:ascii="Arial Narrow" w:hAnsi="Arial Narrow" w:cs="Arial Narrow"/>
          <w:spacing w:val="-4"/>
          <w:sz w:val="22"/>
          <w:szCs w:val="22"/>
        </w:rPr>
        <w:t>Odhady očakávaných príjmov v prípade štrukturálnych fondov a Kohézneho fondu vyplývajú z úrovne záväzkov programového obdobia 2007 – 2013 podľa programových dokumentov, schválených Európskou komisiou  v rámci Národného strategického referenčného rámca. V prípade Kohézneho fondu sa v rokoch 2009 až 2011 očakávajú tiež príjmy z projektov skráteného programového obdobia, ktorých implementácia sa začala v roku 2006. Príjmy z prostriedkov EÚ na základe záväzkov prvého programového obdobia sú zahrnuté v rozpočte kapitol, implementujúcich Národný rozvojový plán a na roky 2009 až 2011 sa nerozpočtujú.</w:t>
      </w:r>
    </w:p>
    <w:p w:rsidR="00C52DD5" w:rsidP="00C52DD5">
      <w:pPr>
        <w:jc w:val="both"/>
        <w:rPr>
          <w:rFonts w:ascii="Arial Narrow" w:hAnsi="Arial Narrow" w:cs="Arial Narrow"/>
          <w:spacing w:val="-4"/>
          <w:sz w:val="22"/>
          <w:szCs w:val="22"/>
        </w:rPr>
      </w:pPr>
    </w:p>
    <w:p w:rsidR="00C52DD5" w:rsidP="00C52DD5">
      <w:pPr>
        <w:ind w:firstLine="708"/>
        <w:jc w:val="both"/>
        <w:rPr>
          <w:rFonts w:ascii="Arial Narrow" w:hAnsi="Arial Narrow" w:cs="Arial Narrow"/>
          <w:spacing w:val="-4"/>
          <w:sz w:val="22"/>
          <w:szCs w:val="22"/>
        </w:rPr>
      </w:pPr>
      <w:r>
        <w:rPr>
          <w:rFonts w:ascii="Arial Narrow" w:hAnsi="Arial Narrow" w:cs="Arial Narrow"/>
          <w:spacing w:val="-4"/>
          <w:sz w:val="22"/>
          <w:szCs w:val="22"/>
        </w:rPr>
        <w:t>Z predvstupových fondov sa očakávajú príjmy z fondu ISPA, z  ktorého budú ukončované projekty v nasledujúcich dvoch rokoch.</w:t>
      </w:r>
    </w:p>
    <w:p w:rsidR="00C52DD5" w:rsidP="00C52DD5">
      <w:pPr>
        <w:jc w:val="both"/>
        <w:rPr>
          <w:rFonts w:ascii="Arial Narrow" w:hAnsi="Arial Narrow" w:cs="Arial Narrow"/>
          <w:spacing w:val="-4"/>
          <w:sz w:val="22"/>
          <w:szCs w:val="22"/>
        </w:rPr>
      </w:pPr>
    </w:p>
    <w:p w:rsidR="00C52DD5" w:rsidP="00C52DD5">
      <w:pPr>
        <w:ind w:firstLine="708"/>
        <w:jc w:val="both"/>
        <w:rPr>
          <w:rFonts w:ascii="Arial Narrow" w:hAnsi="Arial Narrow" w:cs="Arial Narrow"/>
          <w:spacing w:val="-4"/>
          <w:sz w:val="22"/>
          <w:szCs w:val="22"/>
        </w:rPr>
      </w:pPr>
      <w:r>
        <w:rPr>
          <w:rFonts w:ascii="Arial Narrow" w:hAnsi="Arial Narrow" w:cs="Arial Narrow"/>
          <w:spacing w:val="-4"/>
          <w:sz w:val="22"/>
          <w:szCs w:val="22"/>
        </w:rPr>
        <w:t>V rámci vnútorných politík sa očakávajú príjmy v rokoch 2009 až 2011 z vnútorných opatrení a vnútorných politík podľa záväzkov finančného rámca na roky 2007 - 2013, z Prechodného fondu a z prostriedkov na odstavenie bloku V1 atómovej elektrárne Jaslovské Bohunice. Odhady čerpania prostriedkov sú zobrazené v nasledovnej tabuľke.</w:t>
      </w:r>
    </w:p>
    <w:p w:rsidR="00C52DD5" w:rsidP="00C52DD5">
      <w:pPr>
        <w:jc w:val="both"/>
        <w:rPr>
          <w:rFonts w:ascii="Arial Narrow" w:hAnsi="Arial Narrow" w:cs="Arial Narrow"/>
          <w:spacing w:val="-4"/>
          <w:sz w:val="22"/>
          <w:szCs w:val="22"/>
        </w:rPr>
      </w:pPr>
    </w:p>
    <w:p w:rsidR="00C52DD5" w:rsidP="00C52DD5">
      <w:pPr>
        <w:jc w:val="both"/>
        <w:rPr>
          <w:rFonts w:ascii="Arial Narrow" w:hAnsi="Arial Narrow" w:cs="Arial Narrow"/>
          <w:spacing w:val="-4"/>
          <w:sz w:val="22"/>
          <w:szCs w:val="22"/>
        </w:rPr>
      </w:pPr>
      <w:r w:rsidRPr="00807BD4">
        <w:rPr>
          <w:rFonts w:ascii="Arial Narrow" w:hAnsi="Arial Narrow" w:cs="Arial Narrow"/>
          <w:bCs/>
          <w:spacing w:val="-4"/>
          <w:sz w:val="22"/>
          <w:szCs w:val="22"/>
          <w:u w:val="single"/>
        </w:rPr>
        <w:t xml:space="preserve">Tabuľka č. </w:t>
      </w:r>
      <w:r>
        <w:rPr>
          <w:rFonts w:ascii="Arial Narrow" w:hAnsi="Arial Narrow" w:cs="Arial Narrow"/>
          <w:bCs/>
          <w:spacing w:val="-4"/>
          <w:sz w:val="22"/>
          <w:szCs w:val="22"/>
          <w:u w:val="single"/>
        </w:rPr>
        <w:t>5</w:t>
      </w:r>
      <w:r w:rsidRPr="00807BD4">
        <w:rPr>
          <w:rFonts w:ascii="Arial Narrow" w:hAnsi="Arial Narrow" w:cs="Arial Narrow"/>
          <w:bCs/>
          <w:spacing w:val="-4"/>
          <w:sz w:val="22"/>
          <w:szCs w:val="22"/>
          <w:u w:val="single"/>
        </w:rPr>
        <w:t>:</w:t>
      </w:r>
      <w:r>
        <w:rPr>
          <w:rFonts w:ascii="Arial Narrow" w:hAnsi="Arial Narrow" w:cs="Arial Narrow"/>
          <w:spacing w:val="-4"/>
          <w:sz w:val="22"/>
          <w:szCs w:val="22"/>
        </w:rPr>
        <w:t xml:space="preserve"> Odhad čerpania prostriedkov z vnútorných politík EÚ v rokoch 2009 až 2011 v </w:t>
      </w:r>
      <w:r>
        <w:rPr>
          <w:rFonts w:ascii="Arial Narrow" w:hAnsi="Arial Narrow" w:cs="Times New Roman"/>
          <w:sz w:val="22"/>
          <w:szCs w:val="22"/>
        </w:rPr>
        <w:t>tis. eur</w:t>
      </w:r>
    </w:p>
    <w:p w:rsidR="00C52DD5" w:rsidP="00C52DD5">
      <w:pPr>
        <w:jc w:val="both"/>
        <w:rPr>
          <w:rFonts w:ascii="Arial Narrow" w:hAnsi="Arial Narrow" w:cs="Arial Narrow"/>
          <w:spacing w:val="-4"/>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322"/>
        <w:gridCol w:w="2322"/>
        <w:gridCol w:w="2322"/>
        <w:gridCol w:w="232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pStyle w:val="BodyText"/>
              <w:rPr>
                <w:rFonts w:ascii="Arial Narrow" w:hAnsi="Arial Narrow" w:cs="Arial Narrow"/>
                <w:spacing w:val="-4"/>
                <w:sz w:val="22"/>
                <w:szCs w:val="22"/>
              </w:rPr>
            </w:pP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center"/>
              <w:rPr>
                <w:rFonts w:ascii="Arial Narrow" w:hAnsi="Arial Narrow" w:cs="Arial Narrow"/>
                <w:b/>
                <w:spacing w:val="-4"/>
                <w:sz w:val="22"/>
                <w:szCs w:val="22"/>
              </w:rPr>
            </w:pPr>
            <w:r w:rsidRPr="000A40C7">
              <w:rPr>
                <w:rFonts w:ascii="Arial Narrow" w:hAnsi="Arial Narrow" w:cs="Arial Narrow"/>
                <w:b/>
                <w:spacing w:val="-4"/>
                <w:sz w:val="22"/>
                <w:szCs w:val="22"/>
              </w:rPr>
              <w:t>2009</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center"/>
              <w:rPr>
                <w:rFonts w:ascii="Arial Narrow" w:hAnsi="Arial Narrow" w:cs="Arial Narrow"/>
                <w:b/>
                <w:spacing w:val="-4"/>
                <w:sz w:val="22"/>
                <w:szCs w:val="22"/>
              </w:rPr>
            </w:pPr>
            <w:r w:rsidRPr="000A40C7">
              <w:rPr>
                <w:rFonts w:ascii="Arial Narrow" w:hAnsi="Arial Narrow" w:cs="Arial Narrow"/>
                <w:b/>
                <w:spacing w:val="-4"/>
                <w:sz w:val="22"/>
                <w:szCs w:val="22"/>
              </w:rPr>
              <w:t>2010</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center"/>
              <w:rPr>
                <w:rFonts w:ascii="Arial Narrow" w:hAnsi="Arial Narrow" w:cs="Arial Narrow"/>
                <w:b/>
                <w:spacing w:val="-4"/>
                <w:sz w:val="22"/>
                <w:szCs w:val="22"/>
              </w:rPr>
            </w:pPr>
            <w:r w:rsidRPr="000A40C7">
              <w:rPr>
                <w:rFonts w:ascii="Arial Narrow" w:hAnsi="Arial Narrow" w:cs="Arial Narrow"/>
                <w:b/>
                <w:spacing w:val="-4"/>
                <w:sz w:val="22"/>
                <w:szCs w:val="22"/>
              </w:rPr>
              <w:t>2011</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Arial Narrow"/>
                <w:spacing w:val="-4"/>
                <w:sz w:val="22"/>
                <w:szCs w:val="22"/>
              </w:rPr>
            </w:pPr>
            <w:r w:rsidRPr="000A40C7">
              <w:rPr>
                <w:rFonts w:ascii="Arial Narrow" w:hAnsi="Arial Narrow" w:cs="Arial Narrow"/>
                <w:spacing w:val="-4"/>
                <w:sz w:val="22"/>
                <w:szCs w:val="22"/>
              </w:rPr>
              <w:t>Vnútorné politiky a vnútorné opatrenia</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Arial Narrow"/>
                <w:spacing w:val="-4"/>
                <w:sz w:val="22"/>
                <w:szCs w:val="22"/>
              </w:rPr>
            </w:pPr>
          </w:p>
          <w:p w:rsidR="00C52DD5" w:rsidRPr="000A40C7" w:rsidP="00C52DD5">
            <w:pPr>
              <w:jc w:val="right"/>
              <w:rPr>
                <w:rFonts w:ascii="Arial Narrow" w:hAnsi="Arial Narrow" w:cs="Arial Narrow"/>
                <w:spacing w:val="-4"/>
                <w:sz w:val="22"/>
                <w:szCs w:val="22"/>
              </w:rPr>
            </w:pPr>
            <w:r>
              <w:rPr>
                <w:rFonts w:ascii="Arial Narrow" w:hAnsi="Arial Narrow" w:cs="Arial Narrow"/>
                <w:spacing w:val="-4"/>
                <w:sz w:val="22"/>
                <w:szCs w:val="22"/>
              </w:rPr>
              <w:t>70 919</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Arial Narrow"/>
                <w:spacing w:val="-4"/>
                <w:sz w:val="22"/>
                <w:szCs w:val="22"/>
              </w:rPr>
            </w:pPr>
          </w:p>
          <w:p w:rsidR="00C52DD5" w:rsidRPr="000A40C7" w:rsidP="00C52DD5">
            <w:pPr>
              <w:jc w:val="right"/>
              <w:rPr>
                <w:rFonts w:ascii="Arial Narrow" w:hAnsi="Arial Narrow" w:cs="Arial Narrow"/>
                <w:spacing w:val="-4"/>
                <w:sz w:val="22"/>
                <w:szCs w:val="22"/>
              </w:rPr>
            </w:pPr>
            <w:r>
              <w:rPr>
                <w:rFonts w:ascii="Arial Narrow" w:hAnsi="Arial Narrow" w:cs="Arial Narrow"/>
                <w:spacing w:val="-4"/>
                <w:sz w:val="22"/>
                <w:szCs w:val="22"/>
              </w:rPr>
              <w:t>85 411</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Arial Narrow"/>
                <w:spacing w:val="-4"/>
                <w:sz w:val="22"/>
                <w:szCs w:val="22"/>
              </w:rPr>
            </w:pPr>
          </w:p>
          <w:p w:rsidR="00C52DD5" w:rsidRPr="000A40C7" w:rsidP="00C52DD5">
            <w:pPr>
              <w:jc w:val="right"/>
              <w:rPr>
                <w:rFonts w:ascii="Arial Narrow" w:hAnsi="Arial Narrow" w:cs="Arial Narrow"/>
                <w:spacing w:val="-4"/>
                <w:sz w:val="22"/>
                <w:szCs w:val="22"/>
              </w:rPr>
            </w:pPr>
            <w:r>
              <w:rPr>
                <w:rFonts w:ascii="Arial Narrow" w:hAnsi="Arial Narrow" w:cs="Arial Narrow"/>
                <w:spacing w:val="-4"/>
                <w:sz w:val="22"/>
                <w:szCs w:val="22"/>
              </w:rPr>
              <w:t>97 447</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Arial Narrow"/>
                <w:spacing w:val="-4"/>
                <w:sz w:val="22"/>
                <w:szCs w:val="22"/>
              </w:rPr>
            </w:pPr>
            <w:r w:rsidRPr="000A40C7">
              <w:rPr>
                <w:rFonts w:ascii="Arial Narrow" w:hAnsi="Arial Narrow" w:cs="Arial Narrow"/>
                <w:spacing w:val="-4"/>
                <w:sz w:val="22"/>
                <w:szCs w:val="22"/>
              </w:rPr>
              <w:t>Prechodný fond</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Arial Narrow"/>
                <w:spacing w:val="-4"/>
                <w:sz w:val="22"/>
                <w:szCs w:val="22"/>
              </w:rPr>
            </w:pPr>
            <w:r>
              <w:rPr>
                <w:rFonts w:ascii="Arial Narrow" w:hAnsi="Arial Narrow" w:cs="Arial Narrow"/>
                <w:spacing w:val="-4"/>
                <w:sz w:val="22"/>
                <w:szCs w:val="22"/>
              </w:rPr>
              <w:t>1 811</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Arial Narrow"/>
                <w:spacing w:val="-4"/>
                <w:sz w:val="22"/>
                <w:szCs w:val="22"/>
              </w:rPr>
            </w:pPr>
            <w:r w:rsidRPr="000A40C7">
              <w:rPr>
                <w:rFonts w:ascii="Arial Narrow" w:hAnsi="Arial Narrow" w:cs="Arial Narrow"/>
                <w:spacing w:val="-4"/>
                <w:sz w:val="22"/>
                <w:szCs w:val="22"/>
              </w:rPr>
              <w:t>0</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Arial Narrow"/>
                <w:spacing w:val="-4"/>
                <w:sz w:val="22"/>
                <w:szCs w:val="22"/>
              </w:rPr>
            </w:pPr>
            <w:r w:rsidRPr="000A40C7">
              <w:rPr>
                <w:rFonts w:ascii="Arial Narrow" w:hAnsi="Arial Narrow" w:cs="Arial Narrow"/>
                <w:spacing w:val="-4"/>
                <w:sz w:val="22"/>
                <w:szCs w:val="22"/>
              </w:rPr>
              <w:t>0</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Arial Narrow"/>
                <w:spacing w:val="-4"/>
                <w:sz w:val="22"/>
                <w:szCs w:val="22"/>
              </w:rPr>
            </w:pPr>
            <w:r w:rsidRPr="000A40C7">
              <w:rPr>
                <w:rFonts w:ascii="Arial Narrow" w:hAnsi="Arial Narrow" w:cs="Arial Narrow"/>
                <w:spacing w:val="-4"/>
                <w:sz w:val="22"/>
                <w:szCs w:val="22"/>
              </w:rPr>
              <w:t>Odstavenie bloku V1 Jaslovských Bohuníc</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Arial Narrow"/>
                <w:spacing w:val="-4"/>
                <w:sz w:val="22"/>
                <w:szCs w:val="22"/>
              </w:rPr>
            </w:pPr>
          </w:p>
          <w:p w:rsidR="00C52DD5" w:rsidRPr="000A40C7" w:rsidP="00C52DD5">
            <w:pPr>
              <w:jc w:val="right"/>
              <w:rPr>
                <w:rFonts w:ascii="Arial Narrow" w:hAnsi="Arial Narrow" w:cs="Arial Narrow"/>
                <w:spacing w:val="-4"/>
                <w:sz w:val="22"/>
                <w:szCs w:val="22"/>
              </w:rPr>
            </w:pPr>
            <w:r>
              <w:rPr>
                <w:rFonts w:ascii="Arial Narrow" w:hAnsi="Arial Narrow" w:cs="Arial Narrow"/>
                <w:spacing w:val="-4"/>
                <w:sz w:val="22"/>
                <w:szCs w:val="22"/>
              </w:rPr>
              <w:t>48 099</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Arial Narrow"/>
                <w:spacing w:val="-4"/>
                <w:sz w:val="22"/>
                <w:szCs w:val="22"/>
              </w:rPr>
            </w:pPr>
          </w:p>
          <w:p w:rsidR="00C52DD5" w:rsidRPr="000A40C7" w:rsidP="00C52DD5">
            <w:pPr>
              <w:jc w:val="right"/>
              <w:rPr>
                <w:rFonts w:ascii="Arial Narrow" w:hAnsi="Arial Narrow" w:cs="Arial Narrow"/>
                <w:spacing w:val="-4"/>
                <w:sz w:val="22"/>
                <w:szCs w:val="22"/>
              </w:rPr>
            </w:pPr>
            <w:r>
              <w:rPr>
                <w:rFonts w:ascii="Arial Narrow" w:hAnsi="Arial Narrow" w:cs="Arial Narrow"/>
                <w:spacing w:val="-4"/>
                <w:sz w:val="22"/>
                <w:szCs w:val="22"/>
              </w:rPr>
              <w:t>52 313</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Arial Narrow"/>
                <w:spacing w:val="-4"/>
                <w:sz w:val="22"/>
                <w:szCs w:val="22"/>
              </w:rPr>
            </w:pPr>
          </w:p>
          <w:p w:rsidR="00C52DD5" w:rsidRPr="000A40C7" w:rsidP="00C52DD5">
            <w:pPr>
              <w:jc w:val="right"/>
              <w:rPr>
                <w:rFonts w:ascii="Arial Narrow" w:hAnsi="Arial Narrow" w:cs="Arial Narrow"/>
                <w:spacing w:val="-4"/>
                <w:sz w:val="22"/>
                <w:szCs w:val="22"/>
              </w:rPr>
            </w:pPr>
            <w:r>
              <w:rPr>
                <w:rFonts w:ascii="Arial Narrow" w:hAnsi="Arial Narrow" w:cs="Arial Narrow"/>
                <w:spacing w:val="-4"/>
                <w:sz w:val="22"/>
                <w:szCs w:val="22"/>
              </w:rPr>
              <w:t>51 382</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0A40C7" w:rsidP="00C52DD5">
            <w:pPr>
              <w:pStyle w:val="BodyText"/>
              <w:rPr>
                <w:rFonts w:ascii="Arial Narrow" w:hAnsi="Arial Narrow" w:cs="Arial Narrow"/>
                <w:b/>
                <w:spacing w:val="-4"/>
                <w:sz w:val="22"/>
                <w:szCs w:val="22"/>
              </w:rPr>
            </w:pPr>
            <w:r w:rsidRPr="000A40C7">
              <w:rPr>
                <w:rFonts w:ascii="Arial Narrow" w:hAnsi="Arial Narrow" w:cs="Arial Narrow"/>
                <w:b/>
                <w:spacing w:val="-4"/>
                <w:sz w:val="22"/>
                <w:szCs w:val="22"/>
              </w:rPr>
              <w:t>Vnútorné politiky EÚ</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0A40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120 829</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0A40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137 724</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0A40C7" w:rsidP="00C52DD5">
            <w:pPr>
              <w:pStyle w:val="BodyText"/>
              <w:jc w:val="right"/>
              <w:rPr>
                <w:rFonts w:ascii="Arial Narrow" w:hAnsi="Arial Narrow" w:cs="Arial Narrow"/>
                <w:b/>
                <w:spacing w:val="-4"/>
                <w:sz w:val="22"/>
                <w:szCs w:val="22"/>
              </w:rPr>
            </w:pPr>
            <w:r>
              <w:rPr>
                <w:rFonts w:ascii="Arial Narrow" w:hAnsi="Arial Narrow" w:cs="Arial Narrow"/>
                <w:b/>
                <w:spacing w:val="-4"/>
                <w:sz w:val="22"/>
                <w:szCs w:val="22"/>
              </w:rPr>
              <w:t>148 829</w:t>
            </w:r>
          </w:p>
        </w:tc>
      </w:tr>
    </w:tbl>
    <w:p w:rsidR="00C52DD5" w:rsidRPr="00371EB9" w:rsidP="00C52DD5">
      <w:pPr>
        <w:jc w:val="both"/>
        <w:rPr>
          <w:rFonts w:ascii="Arial Narrow" w:hAnsi="Arial Narrow" w:cs="Arial Narrow"/>
          <w:spacing w:val="-4"/>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Príjmy z vnútorných politík EÚ, Prechodného fondu, príjmy na odstavenie bloku VI Jaslovských Bohuníc, príjmy z finančného mechanizmu EHP, Nórskeho finančného mechanizmu a Švajčiarskeho finančného mechanizmu majú charakter grantu a nie sú súčasťou príjmov a výdavkov štátneho rozpočtu.</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Program Prechodný fond je na základe článku 34 Aktu o podmienkach pristúpenia realizovaný rovnako ako predvstupový fond PHARE. Ukončenie realizácie posledného finančného memoranda z roku 2006 sa predpokladá v roku 2009.</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 prípade finančného mechanizmu EHP a Nórskeho finančného mechanizmu sa implementácia začala podpisom memoránd o porozumení začiatkom roka 2005. Pre oba mechanizmy je pre Slovenskú republiku na celé obdobie vyplácania alokovaná suma 70 329 000 euro. Príjem prostriedkov je ovplyvnený charakterom procesu podpisovania zmlúv, do ktorého vstupuje aj Úrad pre finančný mechanizmus, ktorý odsúhlasuje návrhy zmlúv.  Počas celého obdobia prijímania prostriedkov budú prostriedky finančného mechanizmu EHP a Nórskeho finančného mechanizmu predplatené z prostriedkov štátneho rozpočtu a následne budú refundované z prostriedkov oboch mechanizmov.</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 xml:space="preserve">Predpokladaný objem príspevku Švajčiarskej konfederácie prostredníctvom Švajčiarskeho finančného mechanizmu pre Slovenskú republiku na obdobie päť rokov počnúc rokom 2006 je 66 866 000 CHF. Podpora z daného mechanizmu bude smerovať najmä do oblasti bezpečnosti, stability, životného prostredia, infraštruktúry, ľudského a sociálneho rozvoja a podpory súkromného sektora. </w:t>
      </w:r>
    </w:p>
    <w:p w:rsidR="00C52DD5" w:rsidRPr="00ED4B41" w:rsidP="00C52DD5">
      <w:pPr>
        <w:jc w:val="both"/>
        <w:rPr>
          <w:rFonts w:ascii="Arial Narrow" w:hAnsi="Arial Narrow" w:cs="Times New Roman"/>
          <w:b/>
          <w:szCs w:val="24"/>
        </w:rPr>
      </w:pPr>
      <w:r w:rsidRPr="00ED4B41">
        <w:rPr>
          <w:rFonts w:ascii="Arial Narrow" w:hAnsi="Arial Narrow" w:cs="Times New Roman"/>
          <w:b/>
          <w:szCs w:val="24"/>
        </w:rPr>
        <w:t>4. Výdavky na financovanie spoločných programov a spolufinancovanie povstupových fondov a výdavky na financovanie poľnohospodárskych fondov</w:t>
      </w:r>
    </w:p>
    <w:p w:rsidR="00C52DD5" w:rsidP="00C52DD5">
      <w:pPr>
        <w:jc w:val="both"/>
        <w:rPr>
          <w:rFonts w:ascii="Arial Narrow" w:hAnsi="Arial Narrow" w:cs="Times New Roman"/>
          <w:b/>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Výdavky na financovanie spoločných programov a  spolufinancovanie povstupových príjmov sú súčasťou výdavkov štátneho rozpočtu v zmysle § 8 zákona č. 523/2004 Z. z. o rozpočtových pravidlách verejnej správy a o zmene a doplnení niektorých zákonov v znení neskorších predpisov. Pri stanovení uvedených výdavkov a spolufinancovania povstupových príjmov zo všeobecného rozpočtu EÚ  sa vychádza zo schválených programových dokumentov na druhé programové obdobie.</w:t>
      </w:r>
    </w:p>
    <w:p w:rsidR="00C52DD5"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r w:rsidRPr="00807BD4">
        <w:rPr>
          <w:rFonts w:ascii="Arial Narrow" w:hAnsi="Arial Narrow" w:cs="Arial Narrow"/>
          <w:bCs/>
          <w:spacing w:val="-4"/>
          <w:sz w:val="22"/>
          <w:szCs w:val="22"/>
          <w:u w:val="single"/>
        </w:rPr>
        <w:t xml:space="preserve">Tabuľka č. </w:t>
      </w:r>
      <w:r>
        <w:rPr>
          <w:rFonts w:ascii="Arial Narrow" w:hAnsi="Arial Narrow" w:cs="Arial Narrow"/>
          <w:bCs/>
          <w:spacing w:val="-4"/>
          <w:sz w:val="22"/>
          <w:szCs w:val="22"/>
          <w:u w:val="single"/>
        </w:rPr>
        <w:t>6</w:t>
      </w:r>
      <w:r w:rsidRPr="00807BD4">
        <w:rPr>
          <w:rFonts w:ascii="Arial Narrow" w:hAnsi="Arial Narrow" w:cs="Arial Narrow"/>
          <w:bCs/>
          <w:spacing w:val="-4"/>
          <w:sz w:val="22"/>
          <w:szCs w:val="22"/>
          <w:u w:val="single"/>
        </w:rPr>
        <w:t>:</w:t>
      </w:r>
      <w:r>
        <w:rPr>
          <w:rFonts w:ascii="Arial Narrow" w:hAnsi="Arial Narrow" w:cs="Arial Narrow"/>
          <w:spacing w:val="-4"/>
          <w:sz w:val="22"/>
          <w:szCs w:val="22"/>
        </w:rPr>
        <w:t xml:space="preserve"> Odhad výdavkov na financovanie spoločných programov a spolufinancovanie povstupových príjmov zo všeobecného rozpočtu EÚ zo štátneho rozpočtu v rokoch 2009 až 2011 v </w:t>
      </w:r>
      <w:r>
        <w:rPr>
          <w:rFonts w:ascii="Arial Narrow" w:hAnsi="Arial Narrow" w:cs="Times New Roman"/>
          <w:sz w:val="22"/>
          <w:szCs w:val="22"/>
        </w:rPr>
        <w:t>tis. eur</w:t>
      </w:r>
    </w:p>
    <w:p w:rsidR="00C52DD5" w:rsidP="00C52DD5">
      <w:pPr>
        <w:jc w:val="both"/>
        <w:rPr>
          <w:rFonts w:ascii="Arial Narrow" w:hAnsi="Arial Narrow" w:cs="Arial Narrow"/>
          <w:spacing w:val="-4"/>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569"/>
        <w:gridCol w:w="2246"/>
        <w:gridCol w:w="1491"/>
        <w:gridCol w:w="1491"/>
        <w:gridCol w:w="149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pStyle w:val="BodyText"/>
              <w:rPr>
                <w:rFonts w:ascii="Arial Narrow" w:hAnsi="Arial Narrow" w:cs="Arial Narrow"/>
                <w:spacing w:val="-4"/>
                <w:sz w:val="22"/>
                <w:szCs w:val="22"/>
              </w:rPr>
            </w:pPr>
          </w:p>
        </w:tc>
        <w:tc>
          <w:tcPr>
            <w:tcW w:w="1407"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pStyle w:val="BodyText"/>
              <w:rPr>
                <w:rFonts w:ascii="Arial Narrow" w:hAnsi="Arial Narrow" w:cs="Arial Narrow"/>
                <w:spacing w:val="-4"/>
                <w:sz w:val="22"/>
                <w:szCs w:val="22"/>
              </w:rPr>
            </w:pP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pStyle w:val="BodyText"/>
              <w:jc w:val="center"/>
              <w:rPr>
                <w:rFonts w:ascii="Arial Narrow" w:hAnsi="Arial Narrow" w:cs="Arial Narrow"/>
                <w:b/>
                <w:spacing w:val="-4"/>
                <w:sz w:val="22"/>
                <w:szCs w:val="22"/>
              </w:rPr>
            </w:pPr>
            <w:r w:rsidRPr="000A40C7">
              <w:rPr>
                <w:rFonts w:ascii="Arial Narrow" w:hAnsi="Arial Narrow" w:cs="Arial Narrow"/>
                <w:b/>
                <w:spacing w:val="-4"/>
                <w:sz w:val="22"/>
                <w:szCs w:val="22"/>
              </w:rPr>
              <w:t>2009</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pStyle w:val="BodyText"/>
              <w:jc w:val="center"/>
              <w:rPr>
                <w:rFonts w:ascii="Arial Narrow" w:hAnsi="Arial Narrow" w:cs="Arial Narrow"/>
                <w:b/>
                <w:spacing w:val="-4"/>
                <w:sz w:val="22"/>
                <w:szCs w:val="22"/>
              </w:rPr>
            </w:pPr>
            <w:r w:rsidRPr="000A40C7">
              <w:rPr>
                <w:rFonts w:ascii="Arial Narrow" w:hAnsi="Arial Narrow" w:cs="Arial Narrow"/>
                <w:b/>
                <w:spacing w:val="-4"/>
                <w:sz w:val="22"/>
                <w:szCs w:val="22"/>
              </w:rPr>
              <w:t>2010</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pStyle w:val="BodyText"/>
              <w:jc w:val="center"/>
              <w:rPr>
                <w:rFonts w:ascii="Arial Narrow" w:hAnsi="Arial Narrow" w:cs="Arial Narrow"/>
                <w:b/>
                <w:spacing w:val="-4"/>
                <w:sz w:val="22"/>
                <w:szCs w:val="22"/>
              </w:rPr>
            </w:pPr>
            <w:r w:rsidRPr="000A40C7">
              <w:rPr>
                <w:rFonts w:ascii="Arial Narrow" w:hAnsi="Arial Narrow" w:cs="Arial Narrow"/>
                <w:b/>
                <w:spacing w:val="-4"/>
                <w:sz w:val="22"/>
                <w:szCs w:val="22"/>
              </w:rPr>
              <w:t>2011</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A1</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Predvstupové fondy</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2 876</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4 219</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sidRPr="000A40C7">
              <w:rPr>
                <w:rFonts w:ascii="Arial Narrow" w:hAnsi="Arial Narrow" w:cs="Times New Roman"/>
                <w:sz w:val="22"/>
                <w:szCs w:val="22"/>
              </w:rPr>
              <w:t>0</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A2</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Prechodný fond</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2 807</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243</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4</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p>
          <w:p w:rsidR="00C52DD5" w:rsidRPr="000A40C7" w:rsidP="00C52DD5">
            <w:pPr>
              <w:jc w:val="both"/>
              <w:rPr>
                <w:rFonts w:ascii="Arial Narrow" w:hAnsi="Arial Narrow" w:cs="Times New Roman"/>
                <w:sz w:val="22"/>
                <w:szCs w:val="22"/>
              </w:rPr>
            </w:pPr>
          </w:p>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A3</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Finančný mechanizmus EHP a Nórsky finančný mechanizmus</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6 975</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5 069</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1 493</w:t>
            </w:r>
          </w:p>
        </w:tc>
      </w:tr>
      <w:tr>
        <w:tblPrEx>
          <w:tblW w:w="5000" w:type="pct"/>
        </w:tblPrEx>
        <w:trPr>
          <w:trHeight w:val="525"/>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p>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A4</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Švajčiarsky finančný mechanizmus</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2 569</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3 373</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1 675</w:t>
            </w:r>
          </w:p>
        </w:tc>
      </w:tr>
      <w:tr>
        <w:tblPrEx>
          <w:tblW w:w="5000" w:type="pct"/>
        </w:tblPrEx>
        <w:trPr>
          <w:trHeight w:val="225"/>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p>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A5</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Vnútorné politiky a vnútorné opatrenia</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3 286</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3 286</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3 286</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both"/>
              <w:rPr>
                <w:rFonts w:ascii="Arial Narrow" w:hAnsi="Arial Narrow" w:cs="Times New Roman"/>
                <w:b/>
                <w:sz w:val="22"/>
                <w:szCs w:val="22"/>
              </w:rPr>
            </w:pPr>
          </w:p>
          <w:p w:rsidR="00C52DD5" w:rsidRPr="000A40C7" w:rsidP="00C52DD5">
            <w:pPr>
              <w:jc w:val="both"/>
              <w:rPr>
                <w:rFonts w:ascii="Arial Narrow" w:hAnsi="Arial Narrow" w:cs="Times New Roman"/>
                <w:b/>
                <w:sz w:val="22"/>
                <w:szCs w:val="22"/>
              </w:rPr>
            </w:pPr>
          </w:p>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A=A1+A2+A3+</w:t>
            </w:r>
          </w:p>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A4+A5</w:t>
            </w:r>
          </w:p>
        </w:tc>
        <w:tc>
          <w:tcPr>
            <w:tcW w:w="1407"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Výdavky na financovanie spoločných programov spolu</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18 513</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16 190</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6 458</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p>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B1=B11+B12+B13+B14+B15</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Poľnohospodárske fondy v tom:</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251 341</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127 411</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r>
              <w:rPr>
                <w:rFonts w:ascii="Arial Narrow" w:hAnsi="Arial Narrow" w:cs="Times New Roman"/>
                <w:sz w:val="22"/>
                <w:szCs w:val="22"/>
              </w:rPr>
              <w:t xml:space="preserve"> </w:t>
            </w: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123 512</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B11</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Rozvoj vidieka</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80 057</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85 349</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81 295</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p>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B12</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Medziročné vyrovnanie úrovní priamych platieb voči EÚ</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41 913</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40 185</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40 201</w:t>
            </w:r>
          </w:p>
        </w:tc>
      </w:tr>
      <w:tr>
        <w:tblPrEx>
          <w:tblW w:w="5000" w:type="pct"/>
        </w:tblPrEx>
        <w:trPr>
          <w:trHeight w:val="30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B13</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Národná vyrovnávacia platba</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127 615</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0</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0</w:t>
            </w:r>
          </w:p>
        </w:tc>
      </w:tr>
      <w:tr>
        <w:tblPrEx>
          <w:tblW w:w="5000" w:type="pct"/>
        </w:tblPrEx>
        <w:trPr>
          <w:trHeight w:val="255"/>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B14</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Trhovo orientované výdavky</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1 048</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990</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1 015</w:t>
            </w:r>
          </w:p>
        </w:tc>
      </w:tr>
      <w:tr>
        <w:tblPrEx>
          <w:tblW w:w="5000" w:type="pct"/>
        </w:tblPrEx>
        <w:trPr>
          <w:trHeight w:val="235"/>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B15</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Spolufinancovanie EFF</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 xml:space="preserve">708 </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887</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1 001</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p>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B2=B21+B22</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Štrukturálne operácie v tom:</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246 550</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377 928</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422 085</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B21</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Štrukturálne fondy</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167 367</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253 043</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295 682</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B22</w:t>
            </w:r>
          </w:p>
        </w:tc>
        <w:tc>
          <w:tcPr>
            <w:tcW w:w="140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Kohézny fond</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79 183</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124 885</w:t>
            </w:r>
          </w:p>
        </w:tc>
        <w:tc>
          <w:tcPr>
            <w:tcW w:w="100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126 403</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both"/>
              <w:rPr>
                <w:rFonts w:ascii="Arial Narrow" w:hAnsi="Arial Narrow" w:cs="Times New Roman"/>
                <w:b/>
                <w:sz w:val="22"/>
                <w:szCs w:val="22"/>
              </w:rPr>
            </w:pPr>
          </w:p>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B=B1+B2</w:t>
            </w:r>
          </w:p>
        </w:tc>
        <w:tc>
          <w:tcPr>
            <w:tcW w:w="1407"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Spolufinancovanie spolu</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497 891</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505 339</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545 597</w:t>
            </w:r>
          </w:p>
        </w:tc>
      </w:tr>
      <w:tr>
        <w:tblPrEx>
          <w:tblW w:w="5000" w:type="pct"/>
        </w:tblPrEx>
        <w:trPr>
          <w:trHeight w:hRule="auto" w:val="0"/>
        </w:trPr>
        <w:tc>
          <w:tcPr>
            <w:tcW w:w="593"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P="00C52DD5">
            <w:pPr>
              <w:jc w:val="both"/>
              <w:rPr>
                <w:rFonts w:ascii="Arial Narrow" w:hAnsi="Arial Narrow" w:cs="Times New Roman"/>
                <w:b/>
                <w:sz w:val="22"/>
                <w:szCs w:val="22"/>
              </w:rPr>
            </w:pPr>
          </w:p>
          <w:p w:rsidR="00C52DD5" w:rsidP="00C52DD5">
            <w:pPr>
              <w:jc w:val="both"/>
              <w:rPr>
                <w:rFonts w:ascii="Arial Narrow" w:hAnsi="Arial Narrow" w:cs="Times New Roman"/>
                <w:b/>
                <w:sz w:val="22"/>
                <w:szCs w:val="22"/>
              </w:rPr>
            </w:pPr>
          </w:p>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C=A+B</w:t>
            </w:r>
          </w:p>
        </w:tc>
        <w:tc>
          <w:tcPr>
            <w:tcW w:w="1407"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Výdavky a spolufinancovanie spolu</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P="00C52DD5">
            <w:pPr>
              <w:jc w:val="right"/>
              <w:rPr>
                <w:rFonts w:ascii="Arial Narrow" w:hAnsi="Arial Narrow" w:cs="Times New Roman"/>
                <w:b/>
                <w:sz w:val="22"/>
                <w:szCs w:val="22"/>
              </w:rPr>
            </w:pPr>
          </w:p>
          <w:p w:rsidR="00C52DD5"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516 404</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P="00C52DD5">
            <w:pPr>
              <w:jc w:val="right"/>
              <w:rPr>
                <w:rFonts w:ascii="Arial Narrow" w:hAnsi="Arial Narrow" w:cs="Times New Roman"/>
                <w:b/>
                <w:sz w:val="22"/>
                <w:szCs w:val="22"/>
              </w:rPr>
            </w:pPr>
          </w:p>
          <w:p w:rsidR="00C52DD5"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521 529</w:t>
            </w:r>
          </w:p>
        </w:tc>
        <w:tc>
          <w:tcPr>
            <w:tcW w:w="100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P="00C52DD5">
            <w:pPr>
              <w:jc w:val="right"/>
              <w:rPr>
                <w:rFonts w:ascii="Arial Narrow" w:hAnsi="Arial Narrow" w:cs="Times New Roman"/>
                <w:b/>
                <w:sz w:val="22"/>
                <w:szCs w:val="22"/>
              </w:rPr>
            </w:pPr>
          </w:p>
          <w:p w:rsidR="00C52DD5"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552 055</w:t>
            </w:r>
          </w:p>
        </w:tc>
      </w:tr>
    </w:tbl>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Výdavky na financovanie spoločných programov, v tom predvstupových fondov, Prechodného fondu, Finančného mechanizmu EHP, Nórskeho finančného mechanizmu a Švajčiarskeho finančného mechanizmu sú zabezpečené v kapitole Všeobecná pokladničná správa. Tieto výdavky zahŕňajú aj prostriedky na financovanie kurzových rozdielov, dane z úrokov, predfinancovanie záverečnej platby, bankové poplatky za vedenie účtov a pod.</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 rámci finančného mechanizmu EHP a Nórskeho finančného mechanizmu sa výdavky na spolufinancovanie zabezpečujú do výšky 15 % z celkovej sumy oprávnených výdavkov. Celková výška vychádza z odhadov očakávaných výdavkov Národného kontaktného bodu, t. j. Úradu vlády SR, ktorý je zodpovedný za implementáciu týchto finančných nástrojov.</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Spolufinancovanie príjmov z poľnohospodárskych fondov sa zabezpečuje z výdavkov kapitoly Ministerstva pôdohospodárstva SR. Pre rozvoj vidieka sa spolufinancovanie rozpočtuje v zmysle schváleného Plánu rozvoja vidieka.</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Prostriedky štátneho rozpočtu na spolufinancovanie projektov, podporovaných zo štrukturálnych fondov a Kohézneho fondu, sú súčasťou programových štruktúr príslušných rozpočtových kapitol, podieľajúcich sa na implementácii programových dokumentov druhého programového obdobia. Miera spolufinancovania je súčasťou Národného strategického referenčného rámca a jednotlivých programových dokumentov.</w:t>
      </w:r>
    </w:p>
    <w:p w:rsidR="00C52DD5"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V prípade projektov Kohézneho fondu prvého programového obdobia spolufinancovanie vychádza zo schválených finančných memoránd a je zabezpečené v kapitole Ministerstva dopravy, pôšt a telekomunikácií SR a Ministerstva životného prostredia SR.</w:t>
      </w:r>
    </w:p>
    <w:p w:rsidR="00C52DD5" w:rsidP="00C52DD5">
      <w:pPr>
        <w:jc w:val="both"/>
        <w:rPr>
          <w:rFonts w:ascii="Arial Narrow" w:hAnsi="Arial Narrow" w:cs="Times New Roman"/>
          <w:b/>
          <w:sz w:val="22"/>
          <w:szCs w:val="22"/>
        </w:rPr>
      </w:pPr>
    </w:p>
    <w:p w:rsidR="00C52DD5" w:rsidRPr="00ED4B41" w:rsidP="00C52DD5">
      <w:pPr>
        <w:jc w:val="both"/>
        <w:rPr>
          <w:rFonts w:ascii="Arial Narrow" w:hAnsi="Arial Narrow" w:cs="Times New Roman"/>
          <w:b/>
          <w:szCs w:val="24"/>
        </w:rPr>
      </w:pPr>
      <w:r w:rsidRPr="00ED4B41">
        <w:rPr>
          <w:rFonts w:ascii="Arial Narrow" w:hAnsi="Arial Narrow" w:cs="Times New Roman"/>
          <w:b/>
          <w:szCs w:val="24"/>
        </w:rPr>
        <w:t>5. Rezerva na prostriedky Európskej únie a odvody Európskej únii</w:t>
      </w:r>
    </w:p>
    <w:p w:rsidR="00C52DD5" w:rsidRPr="005273D3" w:rsidP="00C52DD5">
      <w:pPr>
        <w:jc w:val="both"/>
        <w:rPr>
          <w:rFonts w:ascii="Arial Narrow" w:hAnsi="Arial Narrow" w:cs="Times New Roman"/>
          <w:sz w:val="22"/>
          <w:szCs w:val="22"/>
        </w:rPr>
      </w:pPr>
    </w:p>
    <w:p w:rsidR="00C52DD5" w:rsidP="00C52DD5">
      <w:pPr>
        <w:ind w:firstLine="708"/>
        <w:jc w:val="both"/>
        <w:rPr>
          <w:rFonts w:ascii="Arial Narrow" w:hAnsi="Arial Narrow" w:cs="Times New Roman"/>
          <w:sz w:val="22"/>
          <w:szCs w:val="22"/>
        </w:rPr>
      </w:pPr>
      <w:r>
        <w:rPr>
          <w:rFonts w:ascii="Arial Narrow" w:hAnsi="Arial Narrow" w:cs="Times New Roman"/>
          <w:sz w:val="22"/>
          <w:szCs w:val="22"/>
        </w:rPr>
        <w:t>Rozpočtová rezerva na prostriedky EÚ a odvody EÚ slúži na administrovanie prostriedkov štrukturálnych fondov, Kohézneho fondu, príjmov z poľnohospodárskych fondov, odvodov Európskej únii a na výdavky na zefektívnenie systému finančného riadenia EÚ fondov a iných finančných nástrojov. Rozpočtuje sa v kapitole Všeobecná pokladničná správa. Vytvorenie uvedenej rezervy je nevyhnutné na zabezpečenie plynulého financovania  spoločných programov. Rezerva slúži na krytie rozpočtom nevyhnutých a nepredvídaných výdavkov, ktoré vzniknú v priebehu roka, ako sú napríklad bankové poplatky za vedenie účtov, kurzové rozdiely, daň z úrokov, rýchlejšia realizácia projektov a pod.</w:t>
      </w:r>
    </w:p>
    <w:p w:rsidR="00C52DD5" w:rsidP="00C52DD5">
      <w:pPr>
        <w:jc w:val="both"/>
        <w:rPr>
          <w:rFonts w:ascii="Arial Narrow" w:hAnsi="Arial Narrow" w:cs="Times New Roman"/>
          <w:sz w:val="22"/>
          <w:szCs w:val="22"/>
        </w:rPr>
      </w:pPr>
    </w:p>
    <w:p w:rsidR="00C52DD5" w:rsidRPr="005273D3" w:rsidP="00C52DD5">
      <w:pPr>
        <w:ind w:firstLine="708"/>
        <w:jc w:val="both"/>
        <w:rPr>
          <w:rFonts w:ascii="Arial Narrow" w:hAnsi="Arial Narrow" w:cs="Arial"/>
          <w:sz w:val="22"/>
          <w:szCs w:val="22"/>
        </w:rPr>
      </w:pPr>
      <w:r w:rsidRPr="005273D3">
        <w:rPr>
          <w:rFonts w:ascii="Arial Narrow" w:hAnsi="Arial Narrow" w:cs="Arial"/>
          <w:sz w:val="22"/>
          <w:szCs w:val="22"/>
        </w:rPr>
        <w:t>Vzhľadom na to, že nové rozhodnutie Rady o systéme vl</w:t>
      </w:r>
      <w:r>
        <w:rPr>
          <w:rFonts w:ascii="Arial Narrow" w:hAnsi="Arial Narrow" w:cs="Arial"/>
          <w:sz w:val="22"/>
          <w:szCs w:val="22"/>
        </w:rPr>
        <w:t>astných zdrojov ES sa bude spätne uplatňova</w:t>
      </w:r>
      <w:r w:rsidRPr="005273D3">
        <w:rPr>
          <w:rFonts w:ascii="Arial Narrow" w:hAnsi="Arial Narrow" w:cs="Arial"/>
          <w:sz w:val="22"/>
          <w:szCs w:val="22"/>
        </w:rPr>
        <w:t>ť od</w:t>
      </w:r>
      <w:r>
        <w:rPr>
          <w:rFonts w:ascii="Arial Narrow" w:hAnsi="Arial Narrow" w:cs="Arial"/>
          <w:sz w:val="22"/>
          <w:szCs w:val="22"/>
        </w:rPr>
        <w:t xml:space="preserve"> 1</w:t>
      </w:r>
      <w:r w:rsidRPr="005273D3">
        <w:rPr>
          <w:rFonts w:ascii="Arial Narrow" w:hAnsi="Arial Narrow" w:cs="Arial"/>
          <w:sz w:val="22"/>
          <w:szCs w:val="22"/>
        </w:rPr>
        <w:t>. januára 2007 a skutočnosť, že v súčasnos</w:t>
      </w:r>
      <w:r>
        <w:rPr>
          <w:rFonts w:ascii="Arial Narrow" w:hAnsi="Arial Narrow" w:cs="Arial"/>
          <w:sz w:val="22"/>
          <w:szCs w:val="22"/>
        </w:rPr>
        <w:t>ti nie je možné určiť, kedy bude ukončený ratifikačný proces k prijatiu nového rozhodnutia vo všetkých členských štátoch EÚ</w:t>
      </w:r>
      <w:r w:rsidRPr="005273D3">
        <w:rPr>
          <w:rFonts w:ascii="Arial Narrow" w:hAnsi="Arial Narrow" w:cs="Arial"/>
          <w:sz w:val="22"/>
          <w:szCs w:val="22"/>
        </w:rPr>
        <w:t>, je v rezerve na prost</w:t>
      </w:r>
      <w:r>
        <w:rPr>
          <w:rFonts w:ascii="Arial Narrow" w:hAnsi="Arial Narrow" w:cs="Arial"/>
          <w:sz w:val="22"/>
          <w:szCs w:val="22"/>
        </w:rPr>
        <w:t>riedky Európskej únie a odvody E</w:t>
      </w:r>
      <w:r w:rsidRPr="005273D3">
        <w:rPr>
          <w:rFonts w:ascii="Arial Narrow" w:hAnsi="Arial Narrow" w:cs="Arial"/>
          <w:sz w:val="22"/>
          <w:szCs w:val="22"/>
        </w:rPr>
        <w:t>urópskej únii – rezerva na odvody do všeobecného rozpočtu Európskej únie zohľadnený aj predpokladaný dopad nového rozhodnutia na odvody SR do roz</w:t>
      </w:r>
      <w:r>
        <w:rPr>
          <w:rFonts w:ascii="Arial Narrow" w:hAnsi="Arial Narrow" w:cs="Arial"/>
          <w:sz w:val="22"/>
          <w:szCs w:val="22"/>
        </w:rPr>
        <w:t>počtu EÚ v jednotlivých rokoch.</w:t>
      </w:r>
    </w:p>
    <w:p w:rsidR="00C52DD5" w:rsidRPr="005273D3" w:rsidP="00C52DD5">
      <w:pPr>
        <w:jc w:val="both"/>
        <w:rPr>
          <w:rFonts w:ascii="Arial Narrow" w:hAnsi="Arial Narrow" w:cs="Arial"/>
          <w:sz w:val="22"/>
          <w:szCs w:val="22"/>
        </w:rPr>
      </w:pPr>
    </w:p>
    <w:p w:rsidR="00C52DD5" w:rsidRPr="00957D00" w:rsidP="00C52DD5">
      <w:pPr>
        <w:jc w:val="both"/>
        <w:rPr>
          <w:rFonts w:ascii="Arial Narrow" w:hAnsi="Arial Narrow" w:cs="Arial Narrow"/>
          <w:spacing w:val="-4"/>
          <w:sz w:val="22"/>
          <w:szCs w:val="22"/>
        </w:rPr>
      </w:pPr>
      <w:r w:rsidRPr="005273D3">
        <w:rPr>
          <w:rFonts w:ascii="Arial Narrow" w:hAnsi="Arial Narrow" w:cs="Arial"/>
          <w:sz w:val="22"/>
          <w:szCs w:val="22"/>
          <w:u w:val="single"/>
        </w:rPr>
        <w:t>Tabuľka č.</w:t>
      </w:r>
      <w:r>
        <w:rPr>
          <w:rFonts w:ascii="Arial Narrow" w:hAnsi="Arial Narrow" w:cs="Arial"/>
          <w:sz w:val="22"/>
          <w:szCs w:val="22"/>
          <w:u w:val="single"/>
        </w:rPr>
        <w:t xml:space="preserve"> 7</w:t>
      </w:r>
      <w:r w:rsidRPr="005273D3">
        <w:rPr>
          <w:rFonts w:ascii="Arial Narrow" w:hAnsi="Arial Narrow" w:cs="Arial"/>
          <w:sz w:val="22"/>
          <w:szCs w:val="22"/>
          <w:u w:val="single"/>
        </w:rPr>
        <w:t>:</w:t>
      </w:r>
      <w:r w:rsidRPr="005273D3">
        <w:rPr>
          <w:rFonts w:ascii="Arial Narrow" w:hAnsi="Arial Narrow" w:cs="Arial"/>
          <w:sz w:val="22"/>
          <w:szCs w:val="22"/>
        </w:rPr>
        <w:t xml:space="preserve"> Rezerva na prostriedky Európskej únie a od</w:t>
      </w:r>
      <w:r>
        <w:rPr>
          <w:rFonts w:ascii="Arial Narrow" w:hAnsi="Arial Narrow" w:cs="Arial"/>
          <w:sz w:val="22"/>
          <w:szCs w:val="22"/>
        </w:rPr>
        <w:t>vody Európskej únii na roky 2009 až 2011</w:t>
      </w:r>
      <w:r w:rsidRPr="005273D3">
        <w:rPr>
          <w:rFonts w:ascii="Arial Narrow" w:hAnsi="Arial Narrow" w:cs="Arial"/>
          <w:sz w:val="22"/>
          <w:szCs w:val="22"/>
        </w:rPr>
        <w:t xml:space="preserve"> v </w:t>
      </w:r>
      <w:r>
        <w:rPr>
          <w:rFonts w:ascii="Arial Narrow" w:hAnsi="Arial Narrow" w:cs="Times New Roman"/>
          <w:sz w:val="22"/>
          <w:szCs w:val="22"/>
        </w:rPr>
        <w:t>tis. eur</w:t>
      </w:r>
      <w:r>
        <w:rPr>
          <w:rFonts w:ascii="Arial Narrow" w:hAnsi="Arial Narrow" w:cs="Arial Narrow"/>
          <w:spacing w:val="-4"/>
          <w:sz w:val="22"/>
          <w:szCs w:val="22"/>
        </w:rPr>
        <w:t xml:space="preserve"> </w:t>
      </w:r>
    </w:p>
    <w:p w:rsidR="00C52DD5" w:rsidP="00C52DD5">
      <w:pPr>
        <w:jc w:val="both"/>
        <w:rPr>
          <w:rFonts w:ascii="Arial Narrow" w:hAnsi="Arial Narrow"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322"/>
        <w:gridCol w:w="2322"/>
        <w:gridCol w:w="2322"/>
        <w:gridCol w:w="232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C52DD5" w:rsidRPr="000A40C7" w:rsidP="00C52DD5">
            <w:pPr>
              <w:rPr>
                <w:rFonts w:ascii="Arial Narrow" w:hAnsi="Arial Narrow" w:cs="Arial"/>
                <w:sz w:val="20"/>
              </w:rPr>
            </w:pP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C52DD5" w:rsidRPr="000A40C7" w:rsidP="00C52DD5">
            <w:pPr>
              <w:jc w:val="center"/>
              <w:rPr>
                <w:rFonts w:ascii="Arial Narrow" w:hAnsi="Arial Narrow" w:cs="Arial"/>
                <w:sz w:val="20"/>
              </w:rPr>
            </w:pPr>
            <w:r w:rsidRPr="000A40C7">
              <w:rPr>
                <w:rFonts w:ascii="Arial Narrow" w:hAnsi="Arial Narrow" w:cs="Arial"/>
                <w:b/>
                <w:bCs/>
                <w:color w:val="FFFFFF"/>
                <w:sz w:val="20"/>
              </w:rPr>
              <w:t>2009</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C52DD5" w:rsidRPr="000A40C7" w:rsidP="00C52DD5">
            <w:pPr>
              <w:jc w:val="center"/>
              <w:rPr>
                <w:rFonts w:ascii="Arial Narrow" w:hAnsi="Arial Narrow" w:cs="Arial"/>
                <w:b/>
                <w:bCs/>
                <w:color w:val="FFFFFF"/>
                <w:sz w:val="20"/>
              </w:rPr>
            </w:pPr>
            <w:r w:rsidRPr="000A40C7">
              <w:rPr>
                <w:rFonts w:ascii="Arial Narrow" w:hAnsi="Arial Narrow" w:cs="Arial"/>
                <w:b/>
                <w:bCs/>
                <w:color w:val="FFFFFF"/>
                <w:sz w:val="20"/>
              </w:rPr>
              <w:t>2010</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C52DD5" w:rsidRPr="000A40C7" w:rsidP="00C52DD5">
            <w:pPr>
              <w:jc w:val="center"/>
              <w:rPr>
                <w:rFonts w:ascii="Arial Narrow" w:hAnsi="Arial Narrow" w:cs="Arial"/>
                <w:b/>
                <w:bCs/>
                <w:color w:val="FFFFFF"/>
                <w:sz w:val="20"/>
              </w:rPr>
            </w:pPr>
            <w:r w:rsidRPr="000A40C7">
              <w:rPr>
                <w:rFonts w:ascii="Arial Narrow" w:hAnsi="Arial Narrow" w:cs="Arial"/>
                <w:b/>
                <w:bCs/>
                <w:color w:val="FFFFFF"/>
                <w:sz w:val="20"/>
              </w:rPr>
              <w:t>2011</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Rezerva na štrukturálne operácie v tom:</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9 145</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14 792</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26 436</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Rezerva na štrukturálne fondy</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5 902</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8 630</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6 971</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Rezerva na Kohézny fond</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3 243</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6 162</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19 465</w:t>
            </w:r>
          </w:p>
        </w:tc>
      </w:tr>
      <w:tr>
        <w:tblPrEx>
          <w:tblW w:w="5000" w:type="pct"/>
        </w:tblPrEx>
        <w:trPr>
          <w:trHeight w:val="24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Rezerva na odvody EÚ</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36 956</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30 974</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15 806</w:t>
            </w:r>
          </w:p>
        </w:tc>
      </w:tr>
      <w:tr>
        <w:tblPrEx>
          <w:tblW w:w="5000" w:type="pct"/>
        </w:tblPrEx>
        <w:trPr>
          <w:trHeight w:val="292"/>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Rezerva na financovanie poľnohospodárskych fondov</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9 203</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3 497</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3 607</w:t>
            </w:r>
          </w:p>
        </w:tc>
      </w:tr>
      <w:tr>
        <w:tblPrEx>
          <w:tblW w:w="5000" w:type="pct"/>
        </w:tblPrEx>
        <w:trPr>
          <w:trHeight w:val="235"/>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Výdavky na zefektívnenie systému finančného riadenia EÚ fondov a iných finančných nástrojov</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2 656</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1 992</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1 660</w:t>
            </w:r>
          </w:p>
        </w:tc>
      </w:tr>
      <w:tr>
        <w:tblPrEx>
          <w:tblW w:w="5000" w:type="pct"/>
        </w:tblPrEx>
        <w:trPr>
          <w:trHeight w:val="268"/>
        </w:trPr>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Rezerva na prostriedky EÚ a odvody EÚ spolu</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r w:rsidR="00844FE2">
              <w:rPr>
                <w:rFonts w:ascii="Arial Narrow" w:hAnsi="Arial Narrow" w:cs="Times New Roman"/>
                <w:b/>
                <w:sz w:val="22"/>
                <w:szCs w:val="22"/>
              </w:rPr>
              <w:t>5</w:t>
            </w:r>
            <w:r>
              <w:rPr>
                <w:rFonts w:ascii="Arial Narrow" w:hAnsi="Arial Narrow" w:cs="Times New Roman"/>
                <w:b/>
                <w:sz w:val="22"/>
                <w:szCs w:val="22"/>
              </w:rPr>
              <w:t xml:space="preserve">7 </w:t>
            </w:r>
            <w:r w:rsidR="00844FE2">
              <w:rPr>
                <w:rFonts w:ascii="Arial Narrow" w:hAnsi="Arial Narrow" w:cs="Times New Roman"/>
                <w:b/>
                <w:sz w:val="22"/>
                <w:szCs w:val="22"/>
              </w:rPr>
              <w:t>960</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51 255</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P="00C52DD5">
            <w:pPr>
              <w:jc w:val="right"/>
              <w:rPr>
                <w:rFonts w:ascii="Arial Narrow" w:hAnsi="Arial Narrow" w:cs="Times New Roman"/>
                <w:b/>
                <w:sz w:val="22"/>
                <w:szCs w:val="22"/>
              </w:rPr>
            </w:pPr>
          </w:p>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47 509</w:t>
            </w:r>
          </w:p>
        </w:tc>
      </w:tr>
    </w:tbl>
    <w:p w:rsidR="00C52DD5" w:rsidP="00C52DD5">
      <w:pPr>
        <w:jc w:val="both"/>
        <w:rPr>
          <w:rFonts w:ascii="Arial Narrow" w:hAnsi="Arial Narrow" w:cs="Times New Roman"/>
          <w:b/>
          <w:sz w:val="22"/>
          <w:szCs w:val="22"/>
        </w:rPr>
      </w:pPr>
    </w:p>
    <w:p w:rsidR="00C52DD5" w:rsidP="00C52DD5">
      <w:pPr>
        <w:jc w:val="both"/>
        <w:rPr>
          <w:rFonts w:ascii="Arial Narrow" w:hAnsi="Arial Narrow" w:cs="Times New Roman"/>
          <w:b/>
          <w:sz w:val="22"/>
          <w:szCs w:val="22"/>
        </w:rPr>
      </w:pPr>
    </w:p>
    <w:p w:rsidR="00C52DD5" w:rsidRPr="00ED4B41" w:rsidP="00C52DD5">
      <w:pPr>
        <w:jc w:val="both"/>
        <w:rPr>
          <w:rFonts w:ascii="Arial Narrow" w:hAnsi="Arial Narrow" w:cs="Times New Roman"/>
          <w:b/>
          <w:szCs w:val="24"/>
        </w:rPr>
      </w:pPr>
      <w:r w:rsidRPr="00ED4B41">
        <w:rPr>
          <w:rFonts w:ascii="Arial Narrow" w:hAnsi="Arial Narrow" w:cs="Times New Roman"/>
          <w:b/>
          <w:szCs w:val="24"/>
        </w:rPr>
        <w:t xml:space="preserve">6. Stav pohľadávok SR voči EÚ </w:t>
      </w:r>
    </w:p>
    <w:p w:rsidR="00C52DD5" w:rsidP="00C52DD5">
      <w:pPr>
        <w:jc w:val="both"/>
        <w:rPr>
          <w:rFonts w:ascii="Arial Narrow" w:hAnsi="Arial Narrow" w:cs="Times New Roman"/>
          <w:b/>
          <w:sz w:val="22"/>
          <w:szCs w:val="22"/>
        </w:rPr>
      </w:pPr>
    </w:p>
    <w:p w:rsidR="00C52DD5" w:rsidP="00C52DD5">
      <w:pPr>
        <w:ind w:firstLine="360"/>
        <w:jc w:val="both"/>
        <w:rPr>
          <w:rFonts w:ascii="Arial Narrow" w:hAnsi="Arial Narrow" w:cs="Times New Roman"/>
          <w:sz w:val="22"/>
          <w:szCs w:val="22"/>
        </w:rPr>
      </w:pPr>
      <w:r>
        <w:rPr>
          <w:rFonts w:ascii="Arial Narrow" w:hAnsi="Arial Narrow" w:cs="Times New Roman"/>
          <w:sz w:val="22"/>
          <w:szCs w:val="22"/>
        </w:rPr>
        <w:t>V rozpočte verejnej správy na roky 2009 až 2011 sú vyčlenené finančné prostriedky na predfinancovanie prostriedkov z rozpočtu EÚ, čo znamená pre SR pohľadávku voči EÚ v nasledujúcich rokoch. Ide o predfinancovanie:</w:t>
      </w:r>
    </w:p>
    <w:p w:rsidR="00C52DD5" w:rsidP="00C52DD5">
      <w:pPr>
        <w:jc w:val="both"/>
        <w:rPr>
          <w:rFonts w:ascii="Arial Narrow" w:hAnsi="Arial Narrow" w:cs="Times New Roman"/>
          <w:sz w:val="22"/>
          <w:szCs w:val="22"/>
        </w:rPr>
      </w:pPr>
    </w:p>
    <w:p w:rsidR="00C52DD5" w:rsidP="00C52DD5">
      <w:pPr>
        <w:numPr>
          <w:ilvl w:val="0"/>
          <w:numId w:val="209"/>
        </w:numPr>
        <w:jc w:val="both"/>
        <w:rPr>
          <w:rFonts w:ascii="Arial Narrow" w:hAnsi="Arial Narrow" w:cs="Times New Roman"/>
          <w:sz w:val="22"/>
          <w:szCs w:val="22"/>
        </w:rPr>
      </w:pPr>
      <w:r>
        <w:rPr>
          <w:rFonts w:ascii="Arial Narrow" w:hAnsi="Arial Narrow" w:cs="Times New Roman"/>
          <w:sz w:val="22"/>
          <w:szCs w:val="22"/>
        </w:rPr>
        <w:t>priamych platieb v rámci Európskeho poľnohospodárskeho záručného fondu. K ich preplateniu zo strany Európskej komisie dôjde v nasledujúcom roku. Tento trend bude pokračovať do vyrovnania úrovne priamych platieb s EÚ a to až do roku 2013</w:t>
      </w:r>
    </w:p>
    <w:p w:rsidR="00C52DD5" w:rsidP="00C52DD5">
      <w:pPr>
        <w:numPr>
          <w:ilvl w:val="0"/>
          <w:numId w:val="209"/>
        </w:numPr>
        <w:jc w:val="both"/>
        <w:rPr>
          <w:rFonts w:ascii="Arial Narrow" w:hAnsi="Arial Narrow" w:cs="Times New Roman"/>
          <w:sz w:val="22"/>
          <w:szCs w:val="22"/>
        </w:rPr>
      </w:pPr>
      <w:r>
        <w:rPr>
          <w:rFonts w:ascii="Arial Narrow" w:hAnsi="Arial Narrow" w:cs="Times New Roman"/>
          <w:sz w:val="22"/>
          <w:szCs w:val="22"/>
        </w:rPr>
        <w:t>záverečných platieb v prípade predvstupového fondu ISPA</w:t>
      </w:r>
    </w:p>
    <w:p w:rsidR="00C52DD5" w:rsidP="00C52DD5">
      <w:pPr>
        <w:numPr>
          <w:ilvl w:val="0"/>
          <w:numId w:val="209"/>
        </w:numPr>
        <w:jc w:val="both"/>
        <w:rPr>
          <w:rFonts w:ascii="Arial Narrow" w:hAnsi="Arial Narrow" w:cs="Times New Roman"/>
          <w:sz w:val="22"/>
          <w:szCs w:val="22"/>
        </w:rPr>
      </w:pPr>
      <w:r>
        <w:rPr>
          <w:rFonts w:ascii="Arial Narrow" w:hAnsi="Arial Narrow" w:cs="Times New Roman"/>
          <w:sz w:val="22"/>
          <w:szCs w:val="22"/>
        </w:rPr>
        <w:t>kontraktov v rámci predvstupového fondu ISPA a Kohézneho fondu, ktorých preplatenie zo strany Európskej komisie trvá v priemere dva kalendárne mesiace</w:t>
      </w:r>
    </w:p>
    <w:p w:rsidR="00C52DD5" w:rsidP="00C52DD5">
      <w:pPr>
        <w:numPr>
          <w:ilvl w:val="0"/>
          <w:numId w:val="209"/>
        </w:numPr>
        <w:jc w:val="both"/>
        <w:rPr>
          <w:rFonts w:ascii="Arial Narrow" w:hAnsi="Arial Narrow" w:cs="Times New Roman"/>
          <w:sz w:val="22"/>
          <w:szCs w:val="22"/>
        </w:rPr>
      </w:pPr>
      <w:r>
        <w:rPr>
          <w:rFonts w:ascii="Arial Narrow" w:hAnsi="Arial Narrow" w:cs="Times New Roman"/>
          <w:sz w:val="22"/>
          <w:szCs w:val="22"/>
        </w:rPr>
        <w:t>finančných prostriedkov z finančného mechanizmu EHP, Nórskeho finančného mechanizmu, Švajčiarskeho finančného mechanizmu.</w:t>
      </w:r>
    </w:p>
    <w:p w:rsidR="00C52DD5" w:rsidP="00C52DD5">
      <w:pPr>
        <w:jc w:val="both"/>
        <w:rPr>
          <w:rFonts w:ascii="Arial Narrow" w:hAnsi="Arial Narrow" w:cs="Times New Roman"/>
          <w:sz w:val="22"/>
          <w:szCs w:val="22"/>
        </w:rPr>
      </w:pPr>
    </w:p>
    <w:p w:rsidR="00C52DD5" w:rsidP="00C52DD5">
      <w:pPr>
        <w:ind w:firstLine="360"/>
        <w:jc w:val="both"/>
        <w:rPr>
          <w:rFonts w:ascii="Arial Narrow" w:hAnsi="Arial Narrow" w:cs="Times New Roman"/>
          <w:sz w:val="22"/>
          <w:szCs w:val="22"/>
        </w:rPr>
      </w:pPr>
      <w:r>
        <w:rPr>
          <w:rFonts w:ascii="Arial Narrow" w:hAnsi="Arial Narrow" w:cs="Times New Roman"/>
          <w:sz w:val="22"/>
          <w:szCs w:val="22"/>
        </w:rPr>
        <w:t>Stav pohľadávok v jednotlivých rokoch a medziročné nárasty sú uvedené v tabuľke.</w:t>
      </w:r>
    </w:p>
    <w:p w:rsidR="00C52DD5" w:rsidP="00C52DD5">
      <w:pPr>
        <w:jc w:val="both"/>
        <w:rPr>
          <w:rFonts w:ascii="Arial Narrow" w:hAnsi="Arial Narrow" w:cs="Times New Roman"/>
          <w:sz w:val="22"/>
          <w:szCs w:val="22"/>
        </w:rPr>
      </w:pPr>
    </w:p>
    <w:p w:rsidR="00C52DD5" w:rsidP="00C52DD5">
      <w:pPr>
        <w:jc w:val="both"/>
        <w:rPr>
          <w:rFonts w:ascii="Arial Narrow" w:hAnsi="Arial Narrow" w:cs="Arial Narrow"/>
          <w:spacing w:val="-4"/>
          <w:sz w:val="22"/>
          <w:szCs w:val="22"/>
        </w:rPr>
      </w:pPr>
      <w:r w:rsidRPr="005273D3">
        <w:rPr>
          <w:rFonts w:ascii="Arial Narrow" w:hAnsi="Arial Narrow" w:cs="Arial"/>
          <w:sz w:val="22"/>
          <w:szCs w:val="22"/>
          <w:u w:val="single"/>
        </w:rPr>
        <w:t xml:space="preserve">Tabuľka č. </w:t>
      </w:r>
      <w:r>
        <w:rPr>
          <w:rFonts w:ascii="Arial Narrow" w:hAnsi="Arial Narrow" w:cs="Arial"/>
          <w:sz w:val="22"/>
          <w:szCs w:val="22"/>
          <w:u w:val="single"/>
        </w:rPr>
        <w:t>8</w:t>
      </w:r>
      <w:r w:rsidRPr="005273D3">
        <w:rPr>
          <w:rFonts w:ascii="Arial Narrow" w:hAnsi="Arial Narrow" w:cs="Arial"/>
          <w:sz w:val="22"/>
          <w:szCs w:val="22"/>
          <w:u w:val="single"/>
        </w:rPr>
        <w:t>:</w:t>
      </w:r>
      <w:r w:rsidRPr="005273D3">
        <w:rPr>
          <w:rFonts w:ascii="Arial Narrow" w:hAnsi="Arial Narrow" w:cs="Arial"/>
          <w:sz w:val="22"/>
          <w:szCs w:val="22"/>
        </w:rPr>
        <w:t xml:space="preserve"> </w:t>
      </w:r>
      <w:r>
        <w:rPr>
          <w:rFonts w:ascii="Arial Narrow" w:hAnsi="Arial Narrow" w:cs="Arial"/>
          <w:sz w:val="22"/>
          <w:szCs w:val="22"/>
        </w:rPr>
        <w:t xml:space="preserve"> Stav pohľadávok ku koncu roka a ich medziročný nárast v rokoch 2009 až 2011 v </w:t>
      </w:r>
      <w:r>
        <w:rPr>
          <w:rFonts w:ascii="Arial Narrow" w:hAnsi="Arial Narrow" w:cs="Times New Roman"/>
          <w:sz w:val="22"/>
          <w:szCs w:val="22"/>
        </w:rPr>
        <w:t>tis. eur</w:t>
      </w:r>
      <w:r>
        <w:rPr>
          <w:rFonts w:ascii="Arial Narrow" w:hAnsi="Arial Narrow" w:cs="Arial Narrow"/>
          <w:spacing w:val="-4"/>
          <w:sz w:val="22"/>
          <w:szCs w:val="22"/>
        </w:rPr>
        <w:t xml:space="preserve"> </w:t>
      </w:r>
    </w:p>
    <w:p w:rsidR="00C52DD5" w:rsidP="00C52DD5">
      <w:pPr>
        <w:jc w:val="both"/>
        <w:rPr>
          <w:rFonts w:ascii="Arial Narrow" w:hAnsi="Arial Narrow"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322"/>
        <w:gridCol w:w="2322"/>
        <w:gridCol w:w="2322"/>
        <w:gridCol w:w="232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both"/>
              <w:rPr>
                <w:rFonts w:ascii="Arial Narrow" w:hAnsi="Arial Narrow" w:cs="Times New Roman"/>
                <w:sz w:val="22"/>
                <w:szCs w:val="22"/>
              </w:rPr>
            </w:pP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center"/>
              <w:rPr>
                <w:rFonts w:ascii="Arial Narrow" w:hAnsi="Arial Narrow" w:cs="Times New Roman"/>
                <w:b/>
                <w:sz w:val="22"/>
                <w:szCs w:val="22"/>
              </w:rPr>
            </w:pPr>
            <w:r w:rsidRPr="000A40C7">
              <w:rPr>
                <w:rFonts w:ascii="Arial Narrow" w:hAnsi="Arial Narrow" w:cs="Times New Roman"/>
                <w:b/>
                <w:sz w:val="22"/>
                <w:szCs w:val="22"/>
              </w:rPr>
              <w:t>2009</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center"/>
              <w:rPr>
                <w:rFonts w:ascii="Arial Narrow" w:hAnsi="Arial Narrow" w:cs="Times New Roman"/>
                <w:b/>
                <w:sz w:val="22"/>
                <w:szCs w:val="22"/>
              </w:rPr>
            </w:pPr>
            <w:r w:rsidRPr="000A40C7">
              <w:rPr>
                <w:rFonts w:ascii="Arial Narrow" w:hAnsi="Arial Narrow" w:cs="Times New Roman"/>
                <w:b/>
                <w:sz w:val="22"/>
                <w:szCs w:val="22"/>
              </w:rPr>
              <w:t>2010</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center"/>
              <w:rPr>
                <w:rFonts w:ascii="Arial Narrow" w:hAnsi="Arial Narrow" w:cs="Times New Roman"/>
                <w:b/>
                <w:sz w:val="22"/>
                <w:szCs w:val="22"/>
              </w:rPr>
            </w:pPr>
            <w:r w:rsidRPr="000A40C7">
              <w:rPr>
                <w:rFonts w:ascii="Arial Narrow" w:hAnsi="Arial Narrow" w:cs="Times New Roman"/>
                <w:b/>
                <w:sz w:val="22"/>
                <w:szCs w:val="22"/>
              </w:rPr>
              <w:t>2011</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Pohľadávka na priame platby</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41 913</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40 185</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40 201</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 xml:space="preserve">Pohľadávka na predvstupové fondy </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13 554</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12 801</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0</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rPr>
                <w:rFonts w:ascii="Arial Narrow" w:hAnsi="Arial Narrow" w:cs="Times New Roman"/>
                <w:sz w:val="22"/>
                <w:szCs w:val="22"/>
              </w:rPr>
            </w:pPr>
            <w:r w:rsidRPr="000A40C7">
              <w:rPr>
                <w:rFonts w:ascii="Arial Narrow" w:hAnsi="Arial Narrow" w:cs="Times New Roman"/>
                <w:sz w:val="22"/>
                <w:szCs w:val="22"/>
              </w:rPr>
              <w:t>Pohľadávka na štrukturálne fondy</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0</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74 152</w:t>
            </w:r>
          </w:p>
        </w:tc>
        <w:tc>
          <w:tcPr>
            <w:tcW w:w="12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0</w:t>
            </w:r>
          </w:p>
        </w:tc>
      </w:tr>
      <w:tr>
        <w:tblPrEx>
          <w:tblW w:w="5000" w:type="pct"/>
        </w:tblPrEx>
        <w:trPr>
          <w:trHeight w:hRule="auto" w:val="0"/>
        </w:trPr>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Pohľadávky celkom</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A467C8" w:rsidP="00C52DD5">
            <w:pPr>
              <w:jc w:val="right"/>
              <w:rPr>
                <w:rFonts w:ascii="Arial Narrow" w:hAnsi="Arial Narrow" w:cs="Times New Roman"/>
                <w:b/>
                <w:sz w:val="22"/>
                <w:szCs w:val="22"/>
              </w:rPr>
            </w:pPr>
            <w:r w:rsidRPr="00A467C8">
              <w:rPr>
                <w:rFonts w:ascii="Arial Narrow" w:hAnsi="Arial Narrow" w:cs="Times New Roman"/>
                <w:b/>
                <w:sz w:val="22"/>
                <w:szCs w:val="22"/>
              </w:rPr>
              <w:t>55 467</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A467C8" w:rsidP="00C52DD5">
            <w:pPr>
              <w:jc w:val="right"/>
              <w:rPr>
                <w:rFonts w:ascii="Arial Narrow" w:hAnsi="Arial Narrow" w:cs="Times New Roman"/>
                <w:b/>
                <w:sz w:val="22"/>
                <w:szCs w:val="22"/>
              </w:rPr>
            </w:pPr>
            <w:r w:rsidRPr="00A467C8">
              <w:rPr>
                <w:rFonts w:ascii="Arial Narrow" w:hAnsi="Arial Narrow" w:cs="Times New Roman"/>
                <w:b/>
                <w:sz w:val="22"/>
                <w:szCs w:val="22"/>
              </w:rPr>
              <w:t>127 13</w:t>
            </w:r>
            <w:r>
              <w:rPr>
                <w:rFonts w:ascii="Arial Narrow" w:hAnsi="Arial Narrow" w:cs="Times New Roman"/>
                <w:b/>
                <w:sz w:val="22"/>
                <w:szCs w:val="22"/>
              </w:rPr>
              <w:t>8</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A6A6A6"/>
            <w:textDirection w:val="lrTb"/>
            <w:vAlign w:val="top"/>
          </w:tcPr>
          <w:p w:rsidR="00C52DD5" w:rsidRPr="00A467C8" w:rsidP="00C52DD5">
            <w:pPr>
              <w:jc w:val="right"/>
              <w:rPr>
                <w:rFonts w:ascii="Arial Narrow" w:hAnsi="Arial Narrow" w:cs="Times New Roman"/>
                <w:b/>
                <w:sz w:val="22"/>
                <w:szCs w:val="22"/>
              </w:rPr>
            </w:pPr>
            <w:r w:rsidRPr="00A467C8">
              <w:rPr>
                <w:rFonts w:ascii="Arial Narrow" w:hAnsi="Arial Narrow" w:cs="Times New Roman"/>
                <w:b/>
                <w:sz w:val="22"/>
                <w:szCs w:val="22"/>
              </w:rPr>
              <w:t>40 201</w:t>
            </w:r>
          </w:p>
        </w:tc>
      </w:tr>
      <w:tr>
        <w:tblPrEx>
          <w:tblW w:w="5000" w:type="pct"/>
        </w:tblPrEx>
        <w:trPr>
          <w:trHeight w:val="352"/>
        </w:trPr>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Medziročný nárast</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0A40C7" w:rsidP="00C52DD5">
            <w:pPr>
              <w:numPr>
                <w:ilvl w:val="0"/>
                <w:numId w:val="209"/>
              </w:numPr>
              <w:jc w:val="right"/>
              <w:rPr>
                <w:rFonts w:ascii="Arial Narrow" w:hAnsi="Arial Narrow" w:cs="Times New Roman"/>
                <w:sz w:val="22"/>
                <w:szCs w:val="22"/>
              </w:rPr>
            </w:pPr>
            <w:r>
              <w:rPr>
                <w:rFonts w:ascii="Arial Narrow" w:hAnsi="Arial Narrow" w:cs="Times New Roman"/>
                <w:sz w:val="22"/>
                <w:szCs w:val="22"/>
              </w:rPr>
              <w:t>207</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0A40C7" w:rsidP="00C52DD5">
            <w:pPr>
              <w:ind w:left="360"/>
              <w:rPr>
                <w:rFonts w:ascii="Arial Narrow" w:hAnsi="Arial Narrow" w:cs="Times New Roman"/>
                <w:sz w:val="22"/>
                <w:szCs w:val="22"/>
              </w:rPr>
            </w:pPr>
            <w:r>
              <w:rPr>
                <w:rFonts w:ascii="Arial Narrow" w:hAnsi="Arial Narrow" w:cs="Times New Roman"/>
                <w:sz w:val="22"/>
                <w:szCs w:val="22"/>
              </w:rPr>
              <w:t xml:space="preserve">                       71 670</w:t>
            </w:r>
          </w:p>
        </w:tc>
        <w:tc>
          <w:tcPr>
            <w:tcW w:w="1250" w:type="pct"/>
            <w:tcBorders>
              <w:top w:val="single" w:sz="4" w:space="0" w:color="auto"/>
              <w:left w:val="single" w:sz="4" w:space="0" w:color="auto"/>
              <w:bottom w:val="single" w:sz="4" w:space="0" w:color="auto"/>
              <w:right w:val="single" w:sz="4" w:space="0" w:color="auto"/>
              <w:tl2br w:val="nil"/>
              <w:tr2bl w:val="nil"/>
            </w:tcBorders>
            <w:shd w:val="clear" w:color="auto" w:fill="BFBFBF"/>
            <w:textDirection w:val="lrTb"/>
            <w:vAlign w:val="top"/>
          </w:tcPr>
          <w:p w:rsidR="00C52DD5" w:rsidRPr="000A40C7" w:rsidP="00C52DD5">
            <w:pPr>
              <w:numPr>
                <w:ilvl w:val="0"/>
                <w:numId w:val="209"/>
              </w:numPr>
              <w:jc w:val="right"/>
              <w:rPr>
                <w:rFonts w:ascii="Arial Narrow" w:hAnsi="Arial Narrow" w:cs="Times New Roman"/>
                <w:sz w:val="22"/>
                <w:szCs w:val="22"/>
              </w:rPr>
            </w:pPr>
            <w:r>
              <w:rPr>
                <w:rFonts w:ascii="Arial Narrow" w:hAnsi="Arial Narrow" w:cs="Times New Roman"/>
                <w:sz w:val="22"/>
                <w:szCs w:val="22"/>
              </w:rPr>
              <w:t xml:space="preserve">  86 936</w:t>
            </w:r>
          </w:p>
        </w:tc>
      </w:tr>
    </w:tbl>
    <w:p w:rsidR="00C52DD5" w:rsidP="00C52DD5">
      <w:pPr>
        <w:jc w:val="both"/>
        <w:rPr>
          <w:rFonts w:ascii="Arial Narrow" w:hAnsi="Arial Narrow" w:cs="Times New Roman"/>
          <w:b/>
          <w:sz w:val="22"/>
          <w:szCs w:val="22"/>
        </w:rPr>
      </w:pPr>
    </w:p>
    <w:p w:rsidR="00C52DD5" w:rsidRPr="00ED4B41" w:rsidP="00C52DD5">
      <w:pPr>
        <w:jc w:val="both"/>
        <w:rPr>
          <w:rFonts w:ascii="Arial Narrow" w:hAnsi="Arial Narrow" w:cs="Times New Roman"/>
          <w:b/>
          <w:szCs w:val="24"/>
        </w:rPr>
      </w:pPr>
      <w:r w:rsidRPr="00ED4B41">
        <w:rPr>
          <w:rFonts w:ascii="Arial Narrow" w:hAnsi="Arial Narrow" w:cs="Times New Roman"/>
          <w:b/>
          <w:szCs w:val="24"/>
        </w:rPr>
        <w:t>7. Čistá finančná pozícia SR voči EÚ v rokoch 2009 až 2011</w:t>
      </w:r>
    </w:p>
    <w:p w:rsidR="00C52DD5" w:rsidP="00C52DD5">
      <w:pPr>
        <w:jc w:val="both"/>
        <w:rPr>
          <w:rFonts w:ascii="Arial Narrow" w:hAnsi="Arial Narrow" w:cs="Times New Roman"/>
          <w:b/>
          <w:sz w:val="22"/>
          <w:szCs w:val="22"/>
        </w:rPr>
      </w:pPr>
    </w:p>
    <w:p w:rsidR="00C52DD5" w:rsidP="00C52DD5">
      <w:pPr>
        <w:ind w:firstLine="708"/>
        <w:jc w:val="both"/>
        <w:rPr>
          <w:rFonts w:ascii="Arial Narrow" w:hAnsi="Arial Narrow" w:cs="Times New Roman"/>
          <w:b/>
          <w:sz w:val="22"/>
          <w:szCs w:val="22"/>
        </w:rPr>
      </w:pPr>
      <w:r>
        <w:rPr>
          <w:rFonts w:ascii="Arial Narrow" w:hAnsi="Arial Narrow" w:cs="Times New Roman"/>
          <w:sz w:val="22"/>
          <w:szCs w:val="22"/>
        </w:rPr>
        <w:t>Čistá finančná pozícia SR na roky 2009 až 2011 na rozdiel od nepriaznivých dopadov z odvodov a príspevkov do všeobecného rozpočtu EÚ na štátny rozpočet bude vykazovať priaznivý trend. Čistá finančná pozícia SR voči EÚ na roky 2009 až 2011 pri zohľadnení medziročného nárastu pohľadávok voči EÚ sa odhaduje na úrovni 5</w:t>
      </w:r>
      <w:r w:rsidR="00DE7A17">
        <w:rPr>
          <w:rFonts w:ascii="Arial Narrow" w:hAnsi="Arial Narrow" w:cs="Times New Roman"/>
          <w:sz w:val="22"/>
          <w:szCs w:val="22"/>
        </w:rPr>
        <w:t> </w:t>
      </w:r>
      <w:r>
        <w:rPr>
          <w:rFonts w:ascii="Arial Narrow" w:hAnsi="Arial Narrow" w:cs="Times New Roman"/>
          <w:sz w:val="22"/>
          <w:szCs w:val="22"/>
        </w:rPr>
        <w:t>5</w:t>
      </w:r>
      <w:r w:rsidR="00DE7A17">
        <w:rPr>
          <w:rFonts w:ascii="Arial Narrow" w:hAnsi="Arial Narrow" w:cs="Times New Roman"/>
          <w:sz w:val="22"/>
          <w:szCs w:val="22"/>
        </w:rPr>
        <w:t>05 023</w:t>
      </w:r>
      <w:r>
        <w:rPr>
          <w:rFonts w:ascii="Arial Narrow" w:hAnsi="Arial Narrow" w:cs="Times New Roman"/>
          <w:sz w:val="22"/>
          <w:szCs w:val="22"/>
        </w:rPr>
        <w:t xml:space="preserve"> tis. eur</w:t>
      </w:r>
      <w:r w:rsidRPr="00BC72BC">
        <w:rPr>
          <w:rFonts w:ascii="Arial Narrow" w:hAnsi="Arial Narrow" w:cs="Times New Roman"/>
          <w:b/>
          <w:sz w:val="22"/>
          <w:szCs w:val="22"/>
        </w:rPr>
        <w:t>.</w:t>
      </w:r>
    </w:p>
    <w:p w:rsidR="00C52DD5" w:rsidP="00C52DD5">
      <w:pPr>
        <w:jc w:val="both"/>
        <w:rPr>
          <w:rFonts w:ascii="Arial Narrow" w:hAnsi="Arial Narrow" w:cs="Times New Roman"/>
          <w:b/>
          <w:sz w:val="22"/>
          <w:szCs w:val="22"/>
        </w:rPr>
      </w:pPr>
    </w:p>
    <w:p w:rsidR="00C52DD5" w:rsidRPr="00A467C8" w:rsidP="00C52DD5">
      <w:pPr>
        <w:jc w:val="both"/>
        <w:rPr>
          <w:rFonts w:ascii="Arial Narrow" w:hAnsi="Arial Narrow" w:cs="Arial Narrow"/>
          <w:spacing w:val="-4"/>
          <w:sz w:val="22"/>
          <w:szCs w:val="22"/>
        </w:rPr>
      </w:pPr>
      <w:r w:rsidRPr="005273D3">
        <w:rPr>
          <w:rFonts w:ascii="Arial Narrow" w:hAnsi="Arial Narrow" w:cs="Arial"/>
          <w:sz w:val="22"/>
          <w:szCs w:val="22"/>
          <w:u w:val="single"/>
        </w:rPr>
        <w:t xml:space="preserve">Tabuľka č. </w:t>
      </w:r>
      <w:r>
        <w:rPr>
          <w:rFonts w:ascii="Arial Narrow" w:hAnsi="Arial Narrow" w:cs="Arial"/>
          <w:sz w:val="22"/>
          <w:szCs w:val="22"/>
          <w:u w:val="single"/>
        </w:rPr>
        <w:t>9</w:t>
      </w:r>
      <w:r w:rsidRPr="005273D3">
        <w:rPr>
          <w:rFonts w:ascii="Arial Narrow" w:hAnsi="Arial Narrow" w:cs="Arial"/>
          <w:sz w:val="22"/>
          <w:szCs w:val="22"/>
          <w:u w:val="single"/>
        </w:rPr>
        <w:t>:</w:t>
      </w:r>
      <w:r w:rsidRPr="005273D3">
        <w:rPr>
          <w:rFonts w:ascii="Arial Narrow" w:hAnsi="Arial Narrow" w:cs="Arial"/>
          <w:sz w:val="22"/>
          <w:szCs w:val="22"/>
        </w:rPr>
        <w:t xml:space="preserve"> </w:t>
      </w:r>
      <w:r>
        <w:rPr>
          <w:rFonts w:ascii="Arial Narrow" w:hAnsi="Arial Narrow" w:cs="Arial"/>
          <w:sz w:val="22"/>
          <w:szCs w:val="22"/>
        </w:rPr>
        <w:t xml:space="preserve"> Odhad čistej finančnej pozície SR v rokoch 2009 až 2011 v </w:t>
      </w:r>
      <w:r>
        <w:rPr>
          <w:rFonts w:ascii="Arial Narrow" w:hAnsi="Arial Narrow" w:cs="Times New Roman"/>
          <w:sz w:val="22"/>
          <w:szCs w:val="22"/>
        </w:rPr>
        <w:t>tis. eur</w:t>
      </w:r>
      <w:r>
        <w:rPr>
          <w:rFonts w:ascii="Arial Narrow" w:hAnsi="Arial Narrow" w:cs="Arial Narrow"/>
          <w:spacing w:val="-4"/>
          <w:sz w:val="22"/>
          <w:szCs w:val="22"/>
        </w:rPr>
        <w:t xml:space="preserve"> </w:t>
      </w:r>
    </w:p>
    <w:p w:rsidR="00C52DD5" w:rsidP="00C52DD5">
      <w:pPr>
        <w:jc w:val="both"/>
        <w:rPr>
          <w:rFonts w:ascii="Arial Narrow" w:hAnsi="Arial Narrow"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078"/>
        <w:gridCol w:w="2634"/>
        <w:gridCol w:w="1937"/>
        <w:gridCol w:w="1973"/>
        <w:gridCol w:w="166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58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both"/>
              <w:rPr>
                <w:rFonts w:ascii="Arial Narrow" w:hAnsi="Arial Narrow" w:cs="Times New Roman"/>
                <w:sz w:val="22"/>
                <w:szCs w:val="22"/>
              </w:rPr>
            </w:pPr>
          </w:p>
        </w:tc>
        <w:tc>
          <w:tcPr>
            <w:tcW w:w="1418"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both"/>
              <w:rPr>
                <w:rFonts w:ascii="Arial Narrow" w:hAnsi="Arial Narrow" w:cs="Times New Roman"/>
                <w:sz w:val="22"/>
                <w:szCs w:val="22"/>
              </w:rPr>
            </w:pPr>
          </w:p>
        </w:tc>
        <w:tc>
          <w:tcPr>
            <w:tcW w:w="104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center"/>
              <w:rPr>
                <w:rFonts w:ascii="Arial Narrow" w:hAnsi="Arial Narrow" w:cs="Times New Roman"/>
                <w:b/>
                <w:sz w:val="22"/>
                <w:szCs w:val="22"/>
              </w:rPr>
            </w:pPr>
            <w:r w:rsidRPr="000A40C7">
              <w:rPr>
                <w:rFonts w:ascii="Arial Narrow" w:hAnsi="Arial Narrow" w:cs="Times New Roman"/>
                <w:b/>
                <w:sz w:val="22"/>
                <w:szCs w:val="22"/>
              </w:rPr>
              <w:t>2009</w:t>
            </w:r>
          </w:p>
        </w:tc>
        <w:tc>
          <w:tcPr>
            <w:tcW w:w="1062"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center"/>
              <w:rPr>
                <w:rFonts w:ascii="Arial Narrow" w:hAnsi="Arial Narrow" w:cs="Times New Roman"/>
                <w:b/>
                <w:sz w:val="22"/>
                <w:szCs w:val="22"/>
              </w:rPr>
            </w:pPr>
            <w:r w:rsidRPr="000A40C7">
              <w:rPr>
                <w:rFonts w:ascii="Arial Narrow" w:hAnsi="Arial Narrow" w:cs="Times New Roman"/>
                <w:b/>
                <w:sz w:val="22"/>
                <w:szCs w:val="22"/>
              </w:rPr>
              <w:t>2010</w:t>
            </w:r>
          </w:p>
        </w:tc>
        <w:tc>
          <w:tcPr>
            <w:tcW w:w="897"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C52DD5" w:rsidRPr="000A40C7" w:rsidP="00C52DD5">
            <w:pPr>
              <w:jc w:val="center"/>
              <w:rPr>
                <w:rFonts w:ascii="Arial Narrow" w:hAnsi="Arial Narrow" w:cs="Times New Roman"/>
                <w:b/>
                <w:sz w:val="22"/>
                <w:szCs w:val="22"/>
              </w:rPr>
            </w:pPr>
            <w:r w:rsidRPr="000A40C7">
              <w:rPr>
                <w:rFonts w:ascii="Arial Narrow" w:hAnsi="Arial Narrow" w:cs="Times New Roman"/>
                <w:b/>
                <w:sz w:val="22"/>
                <w:szCs w:val="22"/>
              </w:rPr>
              <w:t>2011</w:t>
            </w:r>
          </w:p>
        </w:tc>
      </w:tr>
      <w:tr>
        <w:tblPrEx>
          <w:tblW w:w="5000" w:type="pct"/>
        </w:tblPrEx>
        <w:trPr>
          <w:trHeight w:hRule="auto" w:val="0"/>
        </w:trPr>
        <w:tc>
          <w:tcPr>
            <w:tcW w:w="58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A</w:t>
            </w:r>
          </w:p>
        </w:tc>
        <w:tc>
          <w:tcPr>
            <w:tcW w:w="141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Odvody a príspevky SR do všeobecného rozpočtu EÚ</w:t>
            </w:r>
          </w:p>
        </w:tc>
        <w:tc>
          <w:tcPr>
            <w:tcW w:w="104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sidR="00DE7A17">
              <w:rPr>
                <w:rFonts w:ascii="Arial Narrow" w:hAnsi="Arial Narrow" w:cs="Times New Roman"/>
                <w:sz w:val="22"/>
                <w:szCs w:val="22"/>
              </w:rPr>
              <w:t>718 398</w:t>
            </w:r>
          </w:p>
        </w:tc>
        <w:tc>
          <w:tcPr>
            <w:tcW w:w="1062"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730 146</w:t>
            </w:r>
          </w:p>
        </w:tc>
        <w:tc>
          <w:tcPr>
            <w:tcW w:w="89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jc w:val="right"/>
              <w:rPr>
                <w:rFonts w:ascii="Arial Narrow" w:hAnsi="Arial Narrow" w:cs="Times New Roman"/>
                <w:sz w:val="22"/>
                <w:szCs w:val="22"/>
              </w:rPr>
            </w:pPr>
            <w:r>
              <w:rPr>
                <w:rFonts w:ascii="Arial Narrow" w:hAnsi="Arial Narrow" w:cs="Times New Roman"/>
                <w:sz w:val="22"/>
                <w:szCs w:val="22"/>
              </w:rPr>
              <w:t>731 659</w:t>
            </w:r>
          </w:p>
        </w:tc>
      </w:tr>
      <w:tr>
        <w:tblPrEx>
          <w:tblW w:w="5000" w:type="pct"/>
        </w:tblPrEx>
        <w:trPr>
          <w:trHeight w:hRule="auto" w:val="0"/>
        </w:trPr>
        <w:tc>
          <w:tcPr>
            <w:tcW w:w="58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B</w:t>
            </w:r>
          </w:p>
        </w:tc>
        <w:tc>
          <w:tcPr>
            <w:tcW w:w="141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Príjmy z EÚ spolu</w:t>
            </w:r>
          </w:p>
        </w:tc>
        <w:tc>
          <w:tcPr>
            <w:tcW w:w="104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2 034 594</w:t>
            </w:r>
          </w:p>
        </w:tc>
        <w:tc>
          <w:tcPr>
            <w:tcW w:w="1062"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2 722 962</w:t>
            </w:r>
          </w:p>
        </w:tc>
        <w:tc>
          <w:tcPr>
            <w:tcW w:w="89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right"/>
              <w:rPr>
                <w:rFonts w:ascii="Arial Narrow" w:hAnsi="Arial Narrow" w:cs="Times New Roman"/>
                <w:sz w:val="22"/>
                <w:szCs w:val="22"/>
              </w:rPr>
            </w:pPr>
            <w:r>
              <w:rPr>
                <w:rFonts w:ascii="Arial Narrow" w:hAnsi="Arial Narrow" w:cs="Times New Roman"/>
                <w:sz w:val="22"/>
                <w:szCs w:val="22"/>
              </w:rPr>
              <w:t>2 943 143</w:t>
            </w:r>
          </w:p>
        </w:tc>
      </w:tr>
      <w:tr>
        <w:tblPrEx>
          <w:tblW w:w="5000" w:type="pct"/>
        </w:tblPrEx>
        <w:trPr>
          <w:trHeight w:hRule="auto" w:val="0"/>
        </w:trPr>
        <w:tc>
          <w:tcPr>
            <w:tcW w:w="58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C52DD5">
            <w:pPr>
              <w:jc w:val="both"/>
              <w:rPr>
                <w:rFonts w:ascii="Arial Narrow" w:hAnsi="Arial Narrow" w:cs="Times New Roman"/>
                <w:sz w:val="22"/>
                <w:szCs w:val="22"/>
              </w:rPr>
            </w:pPr>
          </w:p>
          <w:p w:rsidR="00C52DD5" w:rsidRPr="000A40C7" w:rsidP="00C52DD5">
            <w:pPr>
              <w:jc w:val="both"/>
              <w:rPr>
                <w:rFonts w:ascii="Arial Narrow" w:hAnsi="Arial Narrow" w:cs="Times New Roman"/>
                <w:sz w:val="22"/>
                <w:szCs w:val="22"/>
              </w:rPr>
            </w:pPr>
            <w:r w:rsidRPr="000A40C7">
              <w:rPr>
                <w:rFonts w:ascii="Arial Narrow" w:hAnsi="Arial Narrow" w:cs="Times New Roman"/>
                <w:sz w:val="22"/>
                <w:szCs w:val="22"/>
              </w:rPr>
              <w:t>C</w:t>
            </w:r>
          </w:p>
        </w:tc>
        <w:tc>
          <w:tcPr>
            <w:tcW w:w="141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RPr="000A40C7" w:rsidP="00D46864">
            <w:pPr>
              <w:rPr>
                <w:rFonts w:ascii="Arial Narrow" w:hAnsi="Arial Narrow" w:cs="Times New Roman"/>
                <w:sz w:val="22"/>
                <w:szCs w:val="22"/>
              </w:rPr>
            </w:pPr>
            <w:r w:rsidRPr="000A40C7">
              <w:rPr>
                <w:rFonts w:ascii="Arial Narrow" w:hAnsi="Arial Narrow" w:cs="Times New Roman"/>
                <w:sz w:val="22"/>
                <w:szCs w:val="22"/>
              </w:rPr>
              <w:t>Medziročný</w:t>
            </w:r>
            <w:r w:rsidR="00126E19">
              <w:rPr>
                <w:rFonts w:ascii="Arial Narrow" w:hAnsi="Arial Narrow" w:cs="Times New Roman"/>
                <w:sz w:val="22"/>
                <w:szCs w:val="22"/>
              </w:rPr>
              <w:t xml:space="preserve"> </w:t>
            </w:r>
            <w:r w:rsidRPr="000A40C7">
              <w:rPr>
                <w:rFonts w:ascii="Arial Narrow" w:hAnsi="Arial Narrow" w:cs="Times New Roman"/>
                <w:sz w:val="22"/>
                <w:szCs w:val="22"/>
              </w:rPr>
              <w:t xml:space="preserve">nárast pohľadávok </w:t>
            </w:r>
          </w:p>
        </w:tc>
        <w:tc>
          <w:tcPr>
            <w:tcW w:w="104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720"/>
              <w:rPr>
                <w:rFonts w:ascii="Arial Narrow" w:hAnsi="Arial Narrow" w:cs="Times New Roman"/>
                <w:sz w:val="22"/>
                <w:szCs w:val="22"/>
              </w:rPr>
            </w:pPr>
          </w:p>
          <w:p w:rsidR="00C52DD5" w:rsidRPr="000A40C7" w:rsidP="00C52DD5">
            <w:pPr>
              <w:numPr>
                <w:ilvl w:val="0"/>
                <w:numId w:val="209"/>
              </w:numPr>
              <w:jc w:val="right"/>
              <w:rPr>
                <w:rFonts w:ascii="Arial Narrow" w:hAnsi="Arial Narrow" w:cs="Times New Roman"/>
                <w:sz w:val="22"/>
                <w:szCs w:val="22"/>
              </w:rPr>
            </w:pPr>
            <w:r>
              <w:rPr>
                <w:rFonts w:ascii="Arial Narrow" w:hAnsi="Arial Narrow" w:cs="Times New Roman"/>
                <w:sz w:val="22"/>
                <w:szCs w:val="22"/>
              </w:rPr>
              <w:t xml:space="preserve">207 </w:t>
            </w:r>
          </w:p>
        </w:tc>
        <w:tc>
          <w:tcPr>
            <w:tcW w:w="1062"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jc w:val="right"/>
              <w:rPr>
                <w:rFonts w:ascii="Arial Narrow" w:hAnsi="Arial Narrow" w:cs="Times New Roman"/>
                <w:sz w:val="22"/>
                <w:szCs w:val="22"/>
              </w:rPr>
            </w:pPr>
          </w:p>
          <w:p w:rsidR="00C52DD5" w:rsidRPr="000A40C7" w:rsidP="00C52DD5">
            <w:pPr>
              <w:rPr>
                <w:rFonts w:ascii="Arial Narrow" w:hAnsi="Arial Narrow" w:cs="Times New Roman"/>
                <w:sz w:val="22"/>
                <w:szCs w:val="22"/>
              </w:rPr>
            </w:pPr>
            <w:r>
              <w:rPr>
                <w:rFonts w:ascii="Arial Narrow" w:hAnsi="Arial Narrow" w:cs="Times New Roman"/>
                <w:sz w:val="22"/>
                <w:szCs w:val="22"/>
              </w:rPr>
              <w:t xml:space="preserve">                     71 670</w:t>
            </w:r>
          </w:p>
        </w:tc>
        <w:tc>
          <w:tcPr>
            <w:tcW w:w="897"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C52DD5" w:rsidP="00C52DD5">
            <w:pPr>
              <w:ind w:left="720"/>
              <w:jc w:val="center"/>
              <w:rPr>
                <w:rFonts w:ascii="Arial Narrow" w:hAnsi="Arial Narrow" w:cs="Times New Roman"/>
                <w:sz w:val="22"/>
                <w:szCs w:val="22"/>
              </w:rPr>
            </w:pPr>
          </w:p>
          <w:p w:rsidR="00C52DD5" w:rsidRPr="000A40C7" w:rsidP="00C52DD5">
            <w:pPr>
              <w:numPr>
                <w:ilvl w:val="0"/>
                <w:numId w:val="209"/>
              </w:numPr>
              <w:jc w:val="center"/>
              <w:rPr>
                <w:rFonts w:ascii="Arial Narrow" w:hAnsi="Arial Narrow" w:cs="Times New Roman"/>
                <w:sz w:val="22"/>
                <w:szCs w:val="22"/>
              </w:rPr>
            </w:pPr>
            <w:r>
              <w:rPr>
                <w:rFonts w:ascii="Arial Narrow" w:hAnsi="Arial Narrow" w:cs="Times New Roman"/>
                <w:sz w:val="22"/>
                <w:szCs w:val="22"/>
              </w:rPr>
              <w:t xml:space="preserve">86 936 </w:t>
            </w:r>
          </w:p>
        </w:tc>
      </w:tr>
      <w:tr>
        <w:tblPrEx>
          <w:tblW w:w="5000" w:type="pct"/>
        </w:tblPrEx>
        <w:trPr>
          <w:trHeight w:hRule="auto" w:val="0"/>
        </w:trPr>
        <w:tc>
          <w:tcPr>
            <w:tcW w:w="580" w:type="pct"/>
            <w:tcBorders>
              <w:top w:val="single" w:sz="4" w:space="0" w:color="auto"/>
              <w:left w:val="single" w:sz="4" w:space="0" w:color="auto"/>
              <w:bottom w:val="single" w:sz="4" w:space="0" w:color="auto"/>
              <w:right w:val="single" w:sz="4" w:space="0" w:color="auto"/>
              <w:tl2br w:val="nil"/>
              <w:tr2bl w:val="nil"/>
            </w:tcBorders>
            <w:shd w:val="clear" w:color="auto" w:fill="808080"/>
            <w:textDirection w:val="lrTb"/>
            <w:vAlign w:val="top"/>
          </w:tcPr>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D=B+C-A</w:t>
            </w:r>
          </w:p>
        </w:tc>
        <w:tc>
          <w:tcPr>
            <w:tcW w:w="1418" w:type="pct"/>
            <w:tcBorders>
              <w:top w:val="single" w:sz="4" w:space="0" w:color="auto"/>
              <w:left w:val="single" w:sz="4" w:space="0" w:color="auto"/>
              <w:bottom w:val="single" w:sz="4" w:space="0" w:color="auto"/>
              <w:right w:val="single" w:sz="4" w:space="0" w:color="auto"/>
              <w:tl2br w:val="nil"/>
              <w:tr2bl w:val="nil"/>
            </w:tcBorders>
            <w:shd w:val="clear" w:color="auto" w:fill="808080"/>
            <w:textDirection w:val="lrTb"/>
            <w:vAlign w:val="top"/>
          </w:tcPr>
          <w:p w:rsidR="00C52DD5" w:rsidRPr="000A40C7" w:rsidP="00C52DD5">
            <w:pPr>
              <w:jc w:val="both"/>
              <w:rPr>
                <w:rFonts w:ascii="Arial Narrow" w:hAnsi="Arial Narrow" w:cs="Times New Roman"/>
                <w:b/>
                <w:sz w:val="22"/>
                <w:szCs w:val="22"/>
              </w:rPr>
            </w:pPr>
            <w:r w:rsidRPr="000A40C7">
              <w:rPr>
                <w:rFonts w:ascii="Arial Narrow" w:hAnsi="Arial Narrow" w:cs="Times New Roman"/>
                <w:b/>
                <w:sz w:val="22"/>
                <w:szCs w:val="22"/>
              </w:rPr>
              <w:t>Čistá finančná pozícia SR</w:t>
            </w:r>
          </w:p>
        </w:tc>
        <w:tc>
          <w:tcPr>
            <w:tcW w:w="1043" w:type="pct"/>
            <w:tcBorders>
              <w:top w:val="single" w:sz="4" w:space="0" w:color="auto"/>
              <w:left w:val="single" w:sz="4" w:space="0" w:color="auto"/>
              <w:bottom w:val="single" w:sz="4" w:space="0" w:color="auto"/>
              <w:right w:val="single" w:sz="4" w:space="0" w:color="auto"/>
              <w:tl2br w:val="nil"/>
              <w:tr2bl w:val="nil"/>
            </w:tcBorders>
            <w:shd w:val="clear" w:color="auto" w:fill="808080"/>
            <w:textDirection w:val="lrTb"/>
            <w:vAlign w:val="top"/>
          </w:tcPr>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1 3</w:t>
            </w:r>
            <w:r w:rsidR="00DE7A17">
              <w:rPr>
                <w:rFonts w:ascii="Arial Narrow" w:hAnsi="Arial Narrow" w:cs="Times New Roman"/>
                <w:b/>
                <w:sz w:val="22"/>
                <w:szCs w:val="22"/>
              </w:rPr>
              <w:t>15</w:t>
            </w:r>
            <w:r>
              <w:rPr>
                <w:rFonts w:ascii="Arial Narrow" w:hAnsi="Arial Narrow" w:cs="Times New Roman"/>
                <w:b/>
                <w:sz w:val="22"/>
                <w:szCs w:val="22"/>
              </w:rPr>
              <w:t xml:space="preserve"> </w:t>
            </w:r>
            <w:r w:rsidR="00DE7A17">
              <w:rPr>
                <w:rFonts w:ascii="Arial Narrow" w:hAnsi="Arial Narrow" w:cs="Times New Roman"/>
                <w:b/>
                <w:sz w:val="22"/>
                <w:szCs w:val="22"/>
              </w:rPr>
              <w:t>989</w:t>
            </w:r>
          </w:p>
        </w:tc>
        <w:tc>
          <w:tcPr>
            <w:tcW w:w="1062" w:type="pct"/>
            <w:tcBorders>
              <w:top w:val="single" w:sz="4" w:space="0" w:color="auto"/>
              <w:left w:val="single" w:sz="4" w:space="0" w:color="auto"/>
              <w:bottom w:val="single" w:sz="4" w:space="0" w:color="auto"/>
              <w:right w:val="single" w:sz="4" w:space="0" w:color="auto"/>
              <w:tl2br w:val="nil"/>
              <w:tr2bl w:val="nil"/>
            </w:tcBorders>
            <w:shd w:val="clear" w:color="auto" w:fill="808080"/>
            <w:textDirection w:val="lrTb"/>
            <w:vAlign w:val="top"/>
          </w:tcPr>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2 064 486</w:t>
            </w:r>
          </w:p>
        </w:tc>
        <w:tc>
          <w:tcPr>
            <w:tcW w:w="897" w:type="pct"/>
            <w:tcBorders>
              <w:top w:val="single" w:sz="4" w:space="0" w:color="auto"/>
              <w:left w:val="single" w:sz="4" w:space="0" w:color="auto"/>
              <w:bottom w:val="single" w:sz="4" w:space="0" w:color="auto"/>
              <w:right w:val="single" w:sz="4" w:space="0" w:color="auto"/>
              <w:tl2br w:val="nil"/>
              <w:tr2bl w:val="nil"/>
            </w:tcBorders>
            <w:shd w:val="clear" w:color="auto" w:fill="808080"/>
            <w:textDirection w:val="lrTb"/>
            <w:vAlign w:val="top"/>
          </w:tcPr>
          <w:p w:rsidR="00C52DD5" w:rsidRPr="000A40C7" w:rsidP="00C52DD5">
            <w:pPr>
              <w:jc w:val="right"/>
              <w:rPr>
                <w:rFonts w:ascii="Arial Narrow" w:hAnsi="Arial Narrow" w:cs="Times New Roman"/>
                <w:b/>
                <w:sz w:val="22"/>
                <w:szCs w:val="22"/>
              </w:rPr>
            </w:pPr>
            <w:r>
              <w:rPr>
                <w:rFonts w:ascii="Arial Narrow" w:hAnsi="Arial Narrow" w:cs="Times New Roman"/>
                <w:b/>
                <w:sz w:val="22"/>
                <w:szCs w:val="22"/>
              </w:rPr>
              <w:t>2 124 548</w:t>
            </w:r>
          </w:p>
        </w:tc>
      </w:tr>
    </w:tbl>
    <w:p w:rsidR="00C52DD5" w:rsidP="00C52DD5">
      <w:pPr>
        <w:jc w:val="both"/>
        <w:rPr>
          <w:rFonts w:ascii="Arial Narrow" w:hAnsi="Arial Narrow" w:cs="Times New Roman"/>
          <w:sz w:val="22"/>
          <w:szCs w:val="22"/>
        </w:rPr>
      </w:pPr>
    </w:p>
    <w:p w:rsidR="00C52DD5" w:rsidP="00C52DD5">
      <w:pPr>
        <w:ind w:firstLine="360"/>
        <w:jc w:val="both"/>
        <w:rPr>
          <w:rFonts w:ascii="Arial Narrow" w:hAnsi="Arial Narrow" w:cs="Times New Roman"/>
          <w:sz w:val="22"/>
          <w:szCs w:val="22"/>
        </w:rPr>
      </w:pPr>
      <w:r>
        <w:rPr>
          <w:rFonts w:ascii="Arial Narrow" w:hAnsi="Arial Narrow" w:cs="Times New Roman"/>
          <w:sz w:val="22"/>
          <w:szCs w:val="22"/>
        </w:rPr>
        <w:t>Negatívny dopad na štátny rozpočet v rokoch 2009 až 2011 budú mať:</w:t>
      </w:r>
    </w:p>
    <w:p w:rsidR="00C52DD5" w:rsidP="00C52DD5">
      <w:pPr>
        <w:jc w:val="both"/>
        <w:rPr>
          <w:rFonts w:ascii="Arial Narrow" w:hAnsi="Arial Narrow" w:cs="Times New Roman"/>
          <w:sz w:val="22"/>
          <w:szCs w:val="22"/>
        </w:rPr>
      </w:pPr>
    </w:p>
    <w:p w:rsidR="00C52DD5" w:rsidP="00C52DD5">
      <w:pPr>
        <w:numPr>
          <w:ilvl w:val="0"/>
          <w:numId w:val="209"/>
        </w:numPr>
        <w:jc w:val="both"/>
        <w:rPr>
          <w:rFonts w:ascii="Arial Narrow" w:hAnsi="Arial Narrow" w:cs="Times New Roman"/>
          <w:sz w:val="22"/>
          <w:szCs w:val="22"/>
        </w:rPr>
      </w:pPr>
      <w:r>
        <w:rPr>
          <w:rFonts w:ascii="Arial Narrow" w:hAnsi="Arial Narrow" w:cs="Times New Roman"/>
          <w:sz w:val="22"/>
          <w:szCs w:val="22"/>
        </w:rPr>
        <w:t>odvody do všeobecného rozpočtu EÚ, príspevky do Európskeho rozvojového fondu</w:t>
      </w:r>
    </w:p>
    <w:p w:rsidR="00C52DD5" w:rsidP="00C52DD5">
      <w:pPr>
        <w:numPr>
          <w:ilvl w:val="0"/>
          <w:numId w:val="209"/>
        </w:numPr>
        <w:jc w:val="both"/>
        <w:rPr>
          <w:rFonts w:ascii="Arial Narrow" w:hAnsi="Arial Narrow" w:cs="Times New Roman"/>
          <w:sz w:val="22"/>
          <w:szCs w:val="22"/>
        </w:rPr>
      </w:pPr>
      <w:r>
        <w:rPr>
          <w:rFonts w:ascii="Arial Narrow" w:hAnsi="Arial Narrow" w:cs="Times New Roman"/>
          <w:sz w:val="22"/>
          <w:szCs w:val="22"/>
        </w:rPr>
        <w:t>časť z vybraného cla a poľnohospodárskych poplatkov, ktoré sa odvádzajú do všeobecného rozpočtu EÚ</w:t>
      </w:r>
    </w:p>
    <w:p w:rsidR="00C52DD5" w:rsidP="00C52DD5">
      <w:pPr>
        <w:ind w:firstLine="360"/>
        <w:jc w:val="both"/>
        <w:rPr>
          <w:rFonts w:ascii="Arial Narrow" w:hAnsi="Arial Narrow" w:cs="Times New Roman"/>
          <w:sz w:val="22"/>
          <w:szCs w:val="22"/>
        </w:rPr>
      </w:pPr>
      <w:r>
        <w:rPr>
          <w:rFonts w:ascii="Arial Narrow" w:hAnsi="Arial Narrow" w:cs="Times New Roman"/>
          <w:sz w:val="22"/>
          <w:szCs w:val="22"/>
        </w:rPr>
        <w:t>Na prostriedky EÚ a odvody EÚ sa vytvára rezerva, ktorá slúži na krytie administratívnych nákladov, bez ktorej by nebolo zabezpečené plynulé financovanie spoločných programov SR a EÚ.</w:t>
      </w:r>
    </w:p>
    <w:p w:rsidR="00C52DD5" w:rsidP="00C52DD5">
      <w:pPr>
        <w:jc w:val="both"/>
        <w:rPr>
          <w:rFonts w:ascii="Arial Narrow" w:hAnsi="Arial Narrow" w:cs="Times New Roman"/>
          <w:sz w:val="22"/>
          <w:szCs w:val="22"/>
        </w:rPr>
      </w:pPr>
    </w:p>
    <w:p w:rsidR="00C52DD5" w:rsidRPr="00BC72BC" w:rsidP="00C52DD5">
      <w:pPr>
        <w:ind w:firstLine="360"/>
        <w:jc w:val="both"/>
        <w:rPr>
          <w:rFonts w:ascii="Arial Narrow" w:hAnsi="Arial Narrow" w:cs="Times New Roman"/>
          <w:sz w:val="22"/>
          <w:szCs w:val="22"/>
        </w:rPr>
      </w:pPr>
      <w:r>
        <w:rPr>
          <w:rFonts w:ascii="Arial Narrow" w:hAnsi="Arial Narrow" w:cs="Times New Roman"/>
          <w:sz w:val="22"/>
          <w:szCs w:val="22"/>
        </w:rPr>
        <w:t>Zároveň môžeme konštatovať, že príjmy z EÚ majú pozitívny dopad na bilanciu Slovenska, ale neutrálny dopad na verejné financie. Vyplýva to z toho, že časť príjmov z EÚ je príjmom štátneho rozpočtu vo forme transferov a súčasne aj výdavkom štátneho rozpočtu vo forme bežných výdavkov a kapitálových výdavkov a druhá časť príjmov vôbec nevstupuje do štátneho rozpočtu.</w:t>
      </w: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P="00C52DD5">
      <w:pPr>
        <w:rPr>
          <w:rFonts w:cs="Times New Roman"/>
          <w:sz w:val="22"/>
          <w:szCs w:val="22"/>
        </w:rPr>
      </w:pPr>
    </w:p>
    <w:p w:rsidR="00C52DD5" w:rsidRPr="00BC72BC" w:rsidP="00C52DD5">
      <w:pPr>
        <w:rPr>
          <w:rFonts w:cs="Times New Roman"/>
          <w:sz w:val="22"/>
          <w:szCs w:val="22"/>
        </w:rPr>
      </w:pPr>
    </w:p>
    <w:p w:rsidR="00C52DD5" w:rsidRPr="006076F5" w:rsidP="00C52DD5">
      <w:pPr>
        <w:pStyle w:val="Heading3"/>
      </w:pPr>
    </w:p>
    <w:p w:rsidR="00C52DD5" w:rsidRPr="006076F5" w:rsidP="00C52DD5">
      <w:pPr>
        <w:pStyle w:val="Heading3"/>
      </w:pPr>
    </w:p>
    <w:p w:rsidR="00C52DD5" w:rsidRPr="006076F5" w:rsidP="00C52DD5">
      <w:pPr>
        <w:pStyle w:val="Heading3"/>
      </w:pPr>
    </w:p>
    <w:p w:rsidR="00C52DD5" w:rsidRPr="006076F5" w:rsidP="00C52DD5">
      <w:pPr>
        <w:pStyle w:val="Heading3"/>
      </w:pPr>
    </w:p>
    <w:p w:rsidR="00C52DD5" w:rsidRPr="006076F5" w:rsidP="00C52DD5">
      <w:pPr>
        <w:pStyle w:val="Heading3"/>
      </w:pPr>
    </w:p>
    <w:p w:rsidR="00C52DD5" w:rsidRPr="006076F5" w:rsidP="00C52DD5">
      <w:pPr>
        <w:pStyle w:val="Heading3"/>
      </w:pPr>
    </w:p>
    <w:p w:rsidR="00C52DD5" w:rsidP="00C52DD5">
      <w:pPr>
        <w:pStyle w:val="Heading3"/>
      </w:pPr>
    </w:p>
    <w:p w:rsidR="00C52DD5" w:rsidRPr="00F9234E" w:rsidP="00C52DD5">
      <w:pPr>
        <w:rPr>
          <w:rFonts w:cs="Times New Roman"/>
        </w:rPr>
      </w:pPr>
    </w:p>
    <w:p w:rsidR="00C52DD5" w:rsidRPr="006076F5" w:rsidP="00C52DD5">
      <w:pPr>
        <w:pStyle w:val="Heading3"/>
      </w:pPr>
    </w:p>
    <w:p w:rsidR="00C52DD5" w:rsidRPr="00B86A16" w:rsidP="00C52DD5">
      <w:pPr>
        <w:pStyle w:val="Header"/>
        <w:jc w:val="center"/>
        <w:rPr>
          <w:rFonts w:ascii="Arial Narrow" w:hAnsi="Arial Narrow" w:cs="Times New Roman"/>
          <w:b/>
          <w:sz w:val="44"/>
          <w:szCs w:val="44"/>
        </w:rPr>
      </w:pPr>
      <w:r w:rsidRPr="00B86A16">
        <w:rPr>
          <w:rFonts w:ascii="Arial Narrow" w:hAnsi="Arial Narrow" w:cs="Times New Roman"/>
          <w:b/>
          <w:sz w:val="44"/>
          <w:szCs w:val="44"/>
        </w:rPr>
        <w:t>Príloha č. 3</w:t>
      </w:r>
    </w:p>
    <w:p w:rsidR="00C52DD5" w:rsidRPr="00B86A16" w:rsidP="00C52DD5">
      <w:pPr>
        <w:pStyle w:val="Header"/>
        <w:jc w:val="center"/>
        <w:rPr>
          <w:rFonts w:ascii="Arial Narrow" w:hAnsi="Arial Narrow" w:cs="Times New Roman"/>
          <w:b/>
          <w:sz w:val="44"/>
          <w:szCs w:val="44"/>
        </w:rPr>
      </w:pPr>
    </w:p>
    <w:p w:rsidR="00C52DD5" w:rsidRPr="00B86A16" w:rsidP="00C52DD5">
      <w:pPr>
        <w:pStyle w:val="Header"/>
        <w:jc w:val="center"/>
        <w:rPr>
          <w:rFonts w:ascii="Arial Narrow" w:hAnsi="Arial Narrow" w:cs="Times New Roman"/>
          <w:b/>
          <w:sz w:val="44"/>
          <w:szCs w:val="44"/>
        </w:rPr>
      </w:pPr>
      <w:r w:rsidRPr="00B86A16">
        <w:rPr>
          <w:rFonts w:ascii="Arial Narrow" w:hAnsi="Arial Narrow" w:cs="Times New Roman"/>
          <w:b/>
          <w:sz w:val="44"/>
          <w:szCs w:val="44"/>
        </w:rPr>
        <w:t>Stratégia riadenia štátneho dlhu na roky 2007 – 2010</w:t>
      </w:r>
    </w:p>
    <w:p w:rsidR="00C52DD5" w:rsidRPr="00B86A16" w:rsidP="00C52DD5">
      <w:pPr>
        <w:pStyle w:val="Header"/>
        <w:jc w:val="center"/>
        <w:rPr>
          <w:rFonts w:ascii="Arial Narrow" w:hAnsi="Arial Narrow" w:cs="Times New Roman"/>
          <w:b/>
          <w:sz w:val="44"/>
          <w:szCs w:val="44"/>
        </w:rPr>
      </w:pPr>
      <w:r w:rsidRPr="00B86A16">
        <w:rPr>
          <w:rFonts w:ascii="Arial Narrow" w:hAnsi="Arial Narrow" w:cs="Times New Roman"/>
          <w:b/>
          <w:sz w:val="44"/>
          <w:szCs w:val="44"/>
        </w:rPr>
        <w:t>Aktualizácia 2008</w:t>
      </w: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6076F5" w:rsidP="00C52DD5">
      <w:pPr>
        <w:rPr>
          <w:rFonts w:cs="Times New Roman"/>
        </w:rPr>
      </w:pPr>
    </w:p>
    <w:p w:rsidR="00C52DD5" w:rsidRPr="00B86A16" w:rsidP="00B86A16">
      <w:pPr>
        <w:rPr>
          <w:rFonts w:ascii="Arial Narrow" w:hAnsi="Arial Narrow" w:cs="Times New Roman"/>
          <w:b/>
          <w:sz w:val="28"/>
          <w:szCs w:val="28"/>
        </w:rPr>
      </w:pPr>
      <w:r w:rsidRPr="006076F5">
        <w:rPr>
          <w:rFonts w:cs="Times New Roman"/>
        </w:rPr>
        <w:br w:type="page"/>
      </w:r>
      <w:bookmarkStart w:id="0" w:name="_Toc202955832"/>
      <w:r w:rsidRPr="00B86A16">
        <w:rPr>
          <w:rFonts w:ascii="Arial Narrow" w:hAnsi="Arial Narrow" w:cs="Times New Roman"/>
          <w:b/>
          <w:sz w:val="28"/>
          <w:szCs w:val="28"/>
        </w:rPr>
        <w:t>Úvod</w:t>
      </w:r>
      <w:bookmarkEnd w:id="0"/>
    </w:p>
    <w:p w:rsidR="00C52DD5" w:rsidRPr="006076F5" w:rsidP="00C52DD5">
      <w:pPr>
        <w:rPr>
          <w:rFonts w:cs="Times New Roman"/>
        </w:rPr>
      </w:pPr>
    </w:p>
    <w:p w:rsidR="00C52DD5" w:rsidRPr="006076F5" w:rsidP="00C52DD5">
      <w:pPr>
        <w:ind w:firstLine="709"/>
        <w:jc w:val="both"/>
        <w:rPr>
          <w:rFonts w:ascii="Arial Narrow" w:hAnsi="Arial Narrow" w:cs="Times New Roman"/>
          <w:sz w:val="22"/>
          <w:szCs w:val="22"/>
        </w:rPr>
      </w:pPr>
      <w:r w:rsidRPr="006076F5">
        <w:rPr>
          <w:rFonts w:ascii="Arial Narrow" w:hAnsi="Arial Narrow" w:cs="Times New Roman"/>
          <w:sz w:val="22"/>
          <w:szCs w:val="22"/>
        </w:rPr>
        <w:t xml:space="preserve">Aktualizácia dokumentu „Stratégia riadenia štátneho dlhu na roky 2007 až 2010“ vychádza z ročnej skúsenosti s jej praktickou realizáciou. Nastavenie jednotlivých parametrov štátneho dlhu v stratégii sa po ročnom hodnotení ukazuje ako správne a vhodné pre podmienky štátneho dlhu SR v tomto období. Dôsledné napĺňanie cieľov stratégie prinieslo potrebnú stabilitu do rozpočtu </w:t>
      </w:r>
      <w:r>
        <w:rPr>
          <w:rFonts w:ascii="Arial Narrow" w:hAnsi="Arial Narrow" w:cs="Times New Roman"/>
          <w:sz w:val="22"/>
          <w:szCs w:val="22"/>
        </w:rPr>
        <w:t>výdavkov štátneho dlhu</w:t>
      </w:r>
      <w:r w:rsidRPr="006076F5">
        <w:rPr>
          <w:rFonts w:ascii="Arial Narrow" w:hAnsi="Arial Narrow" w:cs="Times New Roman"/>
          <w:sz w:val="22"/>
          <w:szCs w:val="22"/>
        </w:rPr>
        <w:t xml:space="preserve"> a spolu s vhodnou emisnou politikou významné úspory v štátnom rozpočte. Riadenie krytia štátneho dlhu prostredníctvom sledovania, riadenia a vyhodnocovania trhových finančných rizík podľa schválenej stratégie zabránilo možným dodatočným výdavkom štátneho rozpočtu v súvislosti s globálnou finančnou krízou na úrovni niekoľkých miliárd slovenských korún. Zhoršené podmienky na svetových finančných trhoch pretrvávajúce od augusta 2007 mali na rozdiel od iných porovnateľných krajín na výdavky štátneho rozpočtu v roku 2007 a v prvom štvrťroku 2008 minimálny vplyv.</w:t>
      </w:r>
      <w:r>
        <w:rPr>
          <w:rFonts w:ascii="Arial Narrow" w:hAnsi="Arial Narrow" w:cs="Times New Roman"/>
          <w:sz w:val="22"/>
          <w:szCs w:val="22"/>
        </w:rPr>
        <w:t xml:space="preserve">  Naopak, využívanie zdrojov zo systému Štátnej pokladnice na krytie štátneho dlhu a schodku rozpočtu prinieslo v roku 2007 úsporu v štátnom rozpočte približne 133 mil. eur. Aktívne riadenie úverového portfólia ušetrilo v štátnom rozpočte približne 2,36 mil. eur. Napriek rastu trhových úrokových sadzieb o takmer jeden percentuálny bod zostali výdavky súvisiace so štátnymi dlhopismi v roku 2007 na takmer nezmenenej úrovni. V postupne sa zhoršujúcich trhových podmienkach na európskom trhu Slovensko emitovalo zahraničný dlhopis bez rizikovej prirážky s najlepšími parametrami emisie v histórii SR. </w:t>
      </w:r>
    </w:p>
    <w:p w:rsidR="00C52DD5" w:rsidRPr="006076F5" w:rsidP="00C52DD5">
      <w:pPr>
        <w:ind w:left="454"/>
        <w:jc w:val="both"/>
        <w:rPr>
          <w:rFonts w:ascii="Arial Narrow" w:hAnsi="Arial Narrow" w:cs="Times New Roman"/>
          <w:sz w:val="22"/>
          <w:szCs w:val="22"/>
        </w:rPr>
      </w:pPr>
    </w:p>
    <w:p w:rsidR="00C52DD5" w:rsidRPr="006076F5" w:rsidP="00C52DD5">
      <w:pPr>
        <w:ind w:firstLine="709"/>
        <w:jc w:val="both"/>
        <w:rPr>
          <w:rFonts w:ascii="Arial Narrow" w:hAnsi="Arial Narrow" w:cs="Times New Roman"/>
          <w:sz w:val="22"/>
          <w:szCs w:val="22"/>
        </w:rPr>
      </w:pPr>
      <w:r w:rsidRPr="006076F5">
        <w:rPr>
          <w:rFonts w:ascii="Arial Narrow" w:hAnsi="Arial Narrow" w:cs="Times New Roman"/>
          <w:sz w:val="22"/>
          <w:szCs w:val="22"/>
        </w:rPr>
        <w:t xml:space="preserve">Dokument je rozdelený do </w:t>
      </w:r>
      <w:r>
        <w:rPr>
          <w:rFonts w:ascii="Arial Narrow" w:hAnsi="Arial Narrow" w:cs="Times New Roman"/>
          <w:sz w:val="22"/>
          <w:szCs w:val="22"/>
        </w:rPr>
        <w:t>piatich</w:t>
      </w:r>
      <w:r w:rsidRPr="006076F5">
        <w:rPr>
          <w:rFonts w:ascii="Arial Narrow" w:hAnsi="Arial Narrow" w:cs="Times New Roman"/>
          <w:sz w:val="22"/>
          <w:szCs w:val="22"/>
        </w:rPr>
        <w:t xml:space="preserve"> kapitol. V prvej kapitole </w:t>
      </w:r>
      <w:r>
        <w:rPr>
          <w:rFonts w:ascii="Arial Narrow" w:hAnsi="Arial Narrow" w:cs="Times New Roman"/>
          <w:sz w:val="22"/>
          <w:szCs w:val="22"/>
        </w:rPr>
        <w:t xml:space="preserve">je zobrazená štruktúra a vývoj štátneho a verejného dlhu z viacerých hľadísk. V druhej kapitole </w:t>
      </w:r>
      <w:r w:rsidRPr="006076F5">
        <w:rPr>
          <w:rFonts w:ascii="Arial Narrow" w:hAnsi="Arial Narrow" w:cs="Times New Roman"/>
          <w:sz w:val="22"/>
          <w:szCs w:val="22"/>
        </w:rPr>
        <w:t xml:space="preserve">sú jednotlivo vyhodnotené ciele, ktoré boli špecifikované v Stratégii riadenia štátneho dlhu pre roky 2007 až 2010. Z časového hľadiska sa hodnotenie zameralo na vývoj v roku 2007, prípadne v prvých mesiacoch 2008. </w:t>
      </w:r>
      <w:r>
        <w:rPr>
          <w:rFonts w:ascii="Arial Narrow" w:hAnsi="Arial Narrow" w:cs="Times New Roman"/>
          <w:sz w:val="22"/>
          <w:szCs w:val="22"/>
        </w:rPr>
        <w:t>Tretia</w:t>
      </w:r>
      <w:r w:rsidRPr="006076F5">
        <w:rPr>
          <w:rFonts w:ascii="Arial Narrow" w:hAnsi="Arial Narrow" w:cs="Times New Roman"/>
          <w:sz w:val="22"/>
          <w:szCs w:val="22"/>
        </w:rPr>
        <w:t xml:space="preserve"> kapitola popisuje makroekonomický vývoj v hlavných svetových ekonomikách (USA, eurozóna), najmä s pri</w:t>
      </w:r>
      <w:r>
        <w:rPr>
          <w:rFonts w:ascii="Arial Narrow" w:hAnsi="Arial Narrow" w:cs="Times New Roman"/>
          <w:sz w:val="22"/>
          <w:szCs w:val="22"/>
        </w:rPr>
        <w:t>hliadnutím na vývoj na finančných trhoch</w:t>
      </w:r>
      <w:r w:rsidRPr="006076F5">
        <w:rPr>
          <w:rFonts w:ascii="Arial Narrow" w:hAnsi="Arial Narrow" w:cs="Times New Roman"/>
          <w:sz w:val="22"/>
          <w:szCs w:val="22"/>
        </w:rPr>
        <w:t>. Významnou udalosťou, ktorá zásadne ovplyvnila svetovú ekonomiku, bola globálna finančná kríza (tzv. hypotekárna kríza), ktorej je v rámci tejto kapitoly venovaná jedna časť. V </w:t>
      </w:r>
      <w:r>
        <w:rPr>
          <w:rFonts w:ascii="Arial Narrow" w:hAnsi="Arial Narrow" w:cs="Times New Roman"/>
          <w:sz w:val="22"/>
          <w:szCs w:val="22"/>
        </w:rPr>
        <w:t>štvrte</w:t>
      </w:r>
      <w:r w:rsidRPr="006076F5">
        <w:rPr>
          <w:rFonts w:ascii="Arial Narrow" w:hAnsi="Arial Narrow" w:cs="Times New Roman"/>
          <w:sz w:val="22"/>
          <w:szCs w:val="22"/>
        </w:rPr>
        <w:t>j kapitole sú vymedzené vplyvy zavedenia eura od 1.</w:t>
      </w:r>
      <w:r>
        <w:rPr>
          <w:rFonts w:ascii="Arial Narrow" w:hAnsi="Arial Narrow" w:cs="Times New Roman"/>
          <w:sz w:val="22"/>
          <w:szCs w:val="22"/>
        </w:rPr>
        <w:t xml:space="preserve"> </w:t>
      </w:r>
      <w:r w:rsidRPr="006076F5">
        <w:rPr>
          <w:rFonts w:ascii="Arial Narrow" w:hAnsi="Arial Narrow" w:cs="Times New Roman"/>
          <w:sz w:val="22"/>
          <w:szCs w:val="22"/>
        </w:rPr>
        <w:t>1.</w:t>
      </w:r>
      <w:r>
        <w:rPr>
          <w:rFonts w:ascii="Arial Narrow" w:hAnsi="Arial Narrow" w:cs="Times New Roman"/>
          <w:sz w:val="22"/>
          <w:szCs w:val="22"/>
        </w:rPr>
        <w:t xml:space="preserve"> </w:t>
      </w:r>
      <w:r w:rsidRPr="006076F5">
        <w:rPr>
          <w:rFonts w:ascii="Arial Narrow" w:hAnsi="Arial Narrow" w:cs="Times New Roman"/>
          <w:sz w:val="22"/>
          <w:szCs w:val="22"/>
        </w:rPr>
        <w:t>2009 na riadenie dlhu a likvidity a jednotlivé opatrenia, ktoré je treba podniknúť v tejto súvislosti. Zámery, ciele a parametre v Stratégii riadenia štátneho dlhu 2007 až 2010 boli nastavené správne a pre obdobie rokov 2008 až 2010 nie je potrebné v spôsobe riadenia štátneho dlhu nič podstatné meniť. V poslednej kapitole sú preto stanovené iba niektoré úlohy riadenia dlhu, ktoré je potrebné vykonať v nasledujúcom období</w:t>
      </w:r>
      <w:r w:rsidRPr="00EA4309">
        <w:rPr>
          <w:rFonts w:ascii="Arial Narrow" w:hAnsi="Arial Narrow" w:cs="Times New Roman"/>
          <w:sz w:val="22"/>
          <w:szCs w:val="22"/>
        </w:rPr>
        <w:t>.  Predložená aktualizácia stratégie je rovnako ako základný dokument v súlade so širšími zámermi vlády v oblasti riadenia verejných financií a jej plnenie bude napomáhať spomaľovaniu očakávaného rastu výdavkov na dlhovú službu v nasledujúcich rokoch.</w:t>
      </w:r>
      <w:r>
        <w:rPr>
          <w:rFonts w:ascii="Arial Narrow" w:hAnsi="Arial Narrow" w:cs="Times New Roman"/>
          <w:sz w:val="22"/>
          <w:szCs w:val="22"/>
        </w:rPr>
        <w:t xml:space="preserve"> </w:t>
      </w:r>
    </w:p>
    <w:p w:rsidR="00C52DD5" w:rsidRPr="00B86A16" w:rsidP="00C52DD5">
      <w:pPr>
        <w:pStyle w:val="Heading1"/>
        <w:numPr>
          <w:ilvl w:val="0"/>
          <w:numId w:val="201"/>
        </w:numPr>
        <w:tabs>
          <w:tab w:val="left" w:pos="360"/>
        </w:tabs>
        <w:spacing w:before="0"/>
        <w:ind w:left="357" w:hanging="357"/>
        <w:rPr>
          <w:rFonts w:ascii="Arial Narrow" w:hAnsi="Arial Narrow"/>
          <w:sz w:val="24"/>
          <w:szCs w:val="24"/>
        </w:rPr>
      </w:pPr>
      <w:r w:rsidRPr="006076F5">
        <w:br w:type="page"/>
      </w:r>
      <w:bookmarkStart w:id="1" w:name="_Toc202955833"/>
      <w:r w:rsidRPr="00B86A16">
        <w:rPr>
          <w:rFonts w:ascii="Arial Narrow" w:hAnsi="Arial Narrow"/>
          <w:sz w:val="24"/>
          <w:szCs w:val="24"/>
        </w:rPr>
        <w:t>Štruktúra štátneho a verejného dlhu SR</w:t>
      </w:r>
      <w:bookmarkEnd w:id="1"/>
    </w:p>
    <w:p w:rsidR="00C52DD5" w:rsidRPr="00542D33" w:rsidP="00C52DD5">
      <w:pPr>
        <w:rPr>
          <w:rFonts w:cs="Times New Roman"/>
        </w:rPr>
      </w:pPr>
    </w:p>
    <w:p w:rsidR="00C52DD5" w:rsidP="00C52DD5">
      <w:pPr>
        <w:autoSpaceDE/>
        <w:autoSpaceDN/>
        <w:ind w:firstLine="709"/>
        <w:jc w:val="both"/>
        <w:rPr>
          <w:rFonts w:ascii="Arial Narrow" w:hAnsi="Arial Narrow" w:cs="ArialNarrow"/>
          <w:sz w:val="22"/>
          <w:szCs w:val="22"/>
        </w:rPr>
      </w:pPr>
      <w:r w:rsidRPr="00E600A9">
        <w:rPr>
          <w:rFonts w:ascii="Arial Narrow" w:hAnsi="Arial Narrow" w:cs="ArialNarrow"/>
          <w:sz w:val="22"/>
          <w:szCs w:val="22"/>
        </w:rPr>
        <w:t xml:space="preserve">Napĺňanie fiškálnych cieľov vlády a pokračujúci zdravý ekonomický rast sú hlavnými faktormi stabilizujúcimi úroveň </w:t>
      </w:r>
      <w:r>
        <w:rPr>
          <w:rFonts w:ascii="Arial Narrow" w:hAnsi="Arial Narrow" w:cs="ArialNarrow"/>
          <w:sz w:val="22"/>
          <w:szCs w:val="22"/>
        </w:rPr>
        <w:t>štátneho a</w:t>
      </w:r>
      <w:r w:rsidRPr="00E600A9">
        <w:rPr>
          <w:rFonts w:ascii="Arial Narrow" w:hAnsi="Arial Narrow" w:cs="ArialNarrow"/>
          <w:sz w:val="22"/>
          <w:szCs w:val="22"/>
        </w:rPr>
        <w:t xml:space="preserve"> verejného dlhu v strednodobom horizonte.</w:t>
      </w:r>
      <w:r>
        <w:rPr>
          <w:rFonts w:ascii="Arial Narrow" w:hAnsi="Arial Narrow" w:cs="ArialNarrow"/>
          <w:sz w:val="22"/>
          <w:szCs w:val="22"/>
        </w:rPr>
        <w:t xml:space="preserve"> Štátny dlh ku koncu roka 2007 dosiahol 17,3 mld. eur, čo predstavovalo 28 % z HDP. Z toho až 93 % tvorili emitované cenné papiere. Podiel úverov na štátnom dlhu bol iba 7 %. Z menového hľadiska bol štátny dlh denominovaný prevažne v slovenských korunách a v eurách. Podiel ostatných mien bol zanedbateľný a kumulatívne nepresiahol 0,5 %. </w:t>
      </w:r>
    </w:p>
    <w:p w:rsidR="00C52DD5" w:rsidRPr="006076F5" w:rsidP="00C52DD5">
      <w:pPr>
        <w:autoSpaceDE/>
        <w:autoSpaceDN/>
        <w:jc w:val="both"/>
        <w:rPr>
          <w:rFonts w:ascii="Arial Narrow" w:hAnsi="Arial Narrow" w:cs="Times New Roman"/>
          <w:sz w:val="22"/>
          <w:szCs w:val="22"/>
        </w:rPr>
      </w:pPr>
    </w:p>
    <w:tbl>
      <w:tblPr>
        <w:tblW w:w="8641" w:type="dxa"/>
        <w:jc w:val="center"/>
        <w:tblInd w:w="55" w:type="dxa"/>
        <w:tblCellMar>
          <w:left w:w="70" w:type="dxa"/>
          <w:right w:w="70" w:type="dxa"/>
        </w:tblCellMar>
      </w:tblPr>
      <w:tblGrid>
        <w:gridCol w:w="1929"/>
        <w:gridCol w:w="1470"/>
        <w:gridCol w:w="1470"/>
        <w:gridCol w:w="1485"/>
        <w:gridCol w:w="1146"/>
        <w:gridCol w:w="1141"/>
      </w:tblGrid>
      <w:tr>
        <w:tblPrEx>
          <w:tblW w:w="8641" w:type="dxa"/>
          <w:jc w:val="center"/>
          <w:tblInd w:w="55" w:type="dxa"/>
          <w:tblCellMar>
            <w:left w:w="70" w:type="dxa"/>
            <w:right w:w="70" w:type="dxa"/>
          </w:tblCellMar>
        </w:tblPrEx>
        <w:trPr>
          <w:trHeight w:val="255"/>
          <w:jc w:val="center"/>
        </w:trPr>
        <w:tc>
          <w:tcPr>
            <w:tcW w:w="8641" w:type="dxa"/>
            <w:gridSpan w:val="6"/>
            <w:tcBorders>
              <w:top w:val="nil"/>
              <w:left w:val="nil"/>
              <w:bottom w:val="nil"/>
              <w:right w:val="nil"/>
              <w:tl2br w:val="nil"/>
              <w:tr2bl w:val="nil"/>
            </w:tcBorders>
            <w:shd w:val="clear" w:color="auto" w:fill="000000"/>
            <w:noWrap/>
            <w:textDirection w:val="lrTb"/>
            <w:vAlign w:val="bottom"/>
          </w:tcPr>
          <w:p w:rsidR="00C52DD5" w:rsidRPr="006076F5" w:rsidP="00C52DD5">
            <w:pPr>
              <w:rPr>
                <w:rFonts w:ascii="Arial" w:hAnsi="Arial" w:cs="Arial"/>
                <w:b/>
                <w:bCs/>
                <w:color w:val="FFFFFF"/>
                <w:sz w:val="20"/>
              </w:rPr>
            </w:pPr>
            <w:r w:rsidRPr="006076F5">
              <w:rPr>
                <w:rFonts w:ascii="Arial" w:hAnsi="Arial" w:cs="Arial"/>
                <w:b/>
                <w:bCs/>
                <w:color w:val="FFFFFF"/>
                <w:sz w:val="20"/>
              </w:rPr>
              <w:t>Štruktúra štátneho dlhu v menovitej hodnote a štátny dlh z menového hľadiska</w:t>
            </w:r>
          </w:p>
        </w:tc>
      </w:tr>
      <w:tr>
        <w:tblPrEx>
          <w:tblW w:w="8641" w:type="dxa"/>
          <w:jc w:val="center"/>
          <w:tblInd w:w="55" w:type="dxa"/>
          <w:tblCellMar>
            <w:left w:w="70" w:type="dxa"/>
            <w:right w:w="70" w:type="dxa"/>
          </w:tblCellMar>
        </w:tblPrEx>
        <w:trPr>
          <w:trHeight w:val="255"/>
          <w:jc w:val="center"/>
        </w:trPr>
        <w:tc>
          <w:tcPr>
            <w:tcW w:w="1929" w:type="dxa"/>
            <w:tcBorders>
              <w:top w:val="nil"/>
              <w:left w:val="nil"/>
              <w:bottom w:val="nil"/>
              <w:right w:val="nil"/>
              <w:tl2br w:val="nil"/>
              <w:tr2bl w:val="nil"/>
            </w:tcBorders>
            <w:shd w:val="clear" w:color="auto" w:fill="C0C0C0"/>
            <w:noWrap/>
            <w:textDirection w:val="lrTb"/>
            <w:vAlign w:val="bottom"/>
          </w:tcPr>
          <w:p w:rsidR="00C52DD5" w:rsidRPr="00241D16" w:rsidP="00C52DD5">
            <w:pPr>
              <w:rPr>
                <w:rFonts w:ascii="Arial" w:hAnsi="Arial" w:cs="Arial"/>
                <w:b/>
                <w:bCs/>
                <w:sz w:val="18"/>
                <w:szCs w:val="18"/>
              </w:rPr>
            </w:pPr>
            <w:r w:rsidRPr="00241D16">
              <w:rPr>
                <w:rFonts w:ascii="Arial" w:hAnsi="Arial" w:cs="Arial"/>
                <w:b/>
                <w:bCs/>
                <w:sz w:val="18"/>
                <w:szCs w:val="18"/>
              </w:rPr>
              <w:t>Položka</w:t>
            </w:r>
          </w:p>
        </w:tc>
        <w:tc>
          <w:tcPr>
            <w:tcW w:w="1470"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xml:space="preserve">Stav v mil. </w:t>
            </w:r>
            <w:r>
              <w:rPr>
                <w:rFonts w:ascii="Arial" w:hAnsi="Arial" w:cs="Arial"/>
                <w:b/>
                <w:bCs/>
                <w:sz w:val="18"/>
                <w:szCs w:val="18"/>
              </w:rPr>
              <w:t>eur</w:t>
            </w:r>
          </w:p>
        </w:tc>
        <w:tc>
          <w:tcPr>
            <w:tcW w:w="1470"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xml:space="preserve">Stav v mil. </w:t>
            </w:r>
            <w:r>
              <w:rPr>
                <w:rFonts w:ascii="Arial" w:hAnsi="Arial" w:cs="Arial"/>
                <w:b/>
                <w:bCs/>
                <w:sz w:val="18"/>
                <w:szCs w:val="18"/>
              </w:rPr>
              <w:t>eur</w:t>
            </w:r>
          </w:p>
        </w:tc>
        <w:tc>
          <w:tcPr>
            <w:tcW w:w="1485"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xml:space="preserve">Stav v mil. </w:t>
            </w:r>
            <w:r>
              <w:rPr>
                <w:rFonts w:ascii="Arial" w:hAnsi="Arial" w:cs="Arial"/>
                <w:b/>
                <w:bCs/>
                <w:sz w:val="18"/>
                <w:szCs w:val="18"/>
              </w:rPr>
              <w:t>eur</w:t>
            </w:r>
          </w:p>
        </w:tc>
        <w:tc>
          <w:tcPr>
            <w:tcW w:w="1146"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z HDP</w:t>
            </w:r>
          </w:p>
        </w:tc>
        <w:tc>
          <w:tcPr>
            <w:tcW w:w="1141"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z celku</w:t>
            </w:r>
          </w:p>
        </w:tc>
      </w:tr>
      <w:tr>
        <w:tblPrEx>
          <w:tblW w:w="8641" w:type="dxa"/>
          <w:jc w:val="center"/>
          <w:tblInd w:w="55" w:type="dxa"/>
          <w:tblCellMar>
            <w:left w:w="70" w:type="dxa"/>
            <w:right w:w="70" w:type="dxa"/>
          </w:tblCellMar>
        </w:tblPrEx>
        <w:trPr>
          <w:trHeight w:val="255"/>
          <w:jc w:val="center"/>
        </w:trPr>
        <w:tc>
          <w:tcPr>
            <w:tcW w:w="1929" w:type="dxa"/>
            <w:tcBorders>
              <w:top w:val="nil"/>
              <w:left w:val="nil"/>
              <w:bottom w:val="nil"/>
              <w:right w:val="nil"/>
              <w:tl2br w:val="nil"/>
              <w:tr2bl w:val="nil"/>
            </w:tcBorders>
            <w:shd w:val="clear" w:color="auto" w:fill="C0C0C0"/>
            <w:noWrap/>
            <w:textDirection w:val="lrTb"/>
            <w:vAlign w:val="bottom"/>
          </w:tcPr>
          <w:p w:rsidR="00C52DD5" w:rsidRPr="006076F5" w:rsidP="00C52DD5">
            <w:pPr>
              <w:rPr>
                <w:rFonts w:ascii="Arial" w:hAnsi="Arial" w:cs="Arial"/>
                <w:b/>
                <w:bCs/>
                <w:sz w:val="20"/>
              </w:rPr>
            </w:pPr>
            <w:r w:rsidRPr="006076F5">
              <w:rPr>
                <w:rFonts w:ascii="Arial" w:hAnsi="Arial" w:cs="Arial"/>
                <w:b/>
                <w:bCs/>
                <w:sz w:val="20"/>
              </w:rPr>
              <w:t> Stav k:</w:t>
            </w:r>
          </w:p>
        </w:tc>
        <w:tc>
          <w:tcPr>
            <w:tcW w:w="1470"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31.12.2005</w:t>
            </w:r>
          </w:p>
        </w:tc>
        <w:tc>
          <w:tcPr>
            <w:tcW w:w="1470"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31.12.2006</w:t>
            </w:r>
          </w:p>
        </w:tc>
        <w:tc>
          <w:tcPr>
            <w:tcW w:w="1485"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31.12.2007</w:t>
            </w:r>
          </w:p>
        </w:tc>
        <w:tc>
          <w:tcPr>
            <w:tcW w:w="1146"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31.12.2007</w:t>
            </w:r>
          </w:p>
        </w:tc>
        <w:tc>
          <w:tcPr>
            <w:tcW w:w="1141"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31.12.2007</w:t>
            </w:r>
          </w:p>
        </w:tc>
      </w:tr>
      <w:tr>
        <w:tblPrEx>
          <w:tblW w:w="8641" w:type="dxa"/>
          <w:jc w:val="center"/>
          <w:tblInd w:w="55" w:type="dxa"/>
          <w:tblCellMar>
            <w:left w:w="70" w:type="dxa"/>
            <w:right w:w="70" w:type="dxa"/>
          </w:tblCellMar>
        </w:tblPrEx>
        <w:trPr>
          <w:trHeight w:val="525"/>
          <w:jc w:val="center"/>
        </w:trPr>
        <w:tc>
          <w:tcPr>
            <w:tcW w:w="1929" w:type="dxa"/>
            <w:tcBorders>
              <w:top w:val="nil"/>
              <w:left w:val="nil"/>
              <w:bottom w:val="nil"/>
              <w:right w:val="nil"/>
              <w:tl2br w:val="nil"/>
              <w:tr2bl w:val="nil"/>
            </w:tcBorders>
            <w:textDirection w:val="lrTb"/>
            <w:vAlign w:val="bottom"/>
          </w:tcPr>
          <w:p w:rsidR="00C52DD5" w:rsidRPr="006076F5" w:rsidP="00C52DD5">
            <w:pPr>
              <w:rPr>
                <w:rFonts w:ascii="Arial" w:hAnsi="Arial" w:cs="Arial"/>
                <w:b/>
                <w:bCs/>
                <w:sz w:val="20"/>
              </w:rPr>
            </w:pPr>
            <w:r w:rsidRPr="006076F5">
              <w:rPr>
                <w:rFonts w:ascii="Arial" w:hAnsi="Arial" w:cs="Arial"/>
                <w:b/>
                <w:bCs/>
                <w:sz w:val="20"/>
              </w:rPr>
              <w:t>Štátny dlh v menovitej hodnote</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b/>
                <w:bCs/>
                <w:color w:val="000000"/>
                <w:sz w:val="20"/>
              </w:rPr>
            </w:pPr>
            <w:r>
              <w:rPr>
                <w:rFonts w:ascii="Arial" w:hAnsi="Arial" w:cs="Arial"/>
                <w:b/>
                <w:bCs/>
                <w:color w:val="000000"/>
                <w:sz w:val="20"/>
              </w:rPr>
              <w:t>16 261</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b/>
                <w:bCs/>
                <w:color w:val="000000"/>
                <w:sz w:val="20"/>
              </w:rPr>
            </w:pPr>
            <w:r>
              <w:rPr>
                <w:rFonts w:ascii="Arial" w:hAnsi="Arial" w:cs="Arial"/>
                <w:b/>
                <w:bCs/>
                <w:color w:val="000000"/>
                <w:sz w:val="20"/>
              </w:rPr>
              <w:t>16 098</w:t>
            </w:r>
          </w:p>
        </w:tc>
        <w:tc>
          <w:tcPr>
            <w:tcW w:w="1485" w:type="dxa"/>
            <w:tcBorders>
              <w:top w:val="nil"/>
              <w:left w:val="nil"/>
              <w:bottom w:val="nil"/>
              <w:right w:val="nil"/>
              <w:tl2br w:val="nil"/>
              <w:tr2bl w:val="nil"/>
            </w:tcBorders>
            <w:noWrap/>
            <w:textDirection w:val="lrTb"/>
            <w:vAlign w:val="bottom"/>
          </w:tcPr>
          <w:p w:rsidR="00C52DD5" w:rsidP="00C52DD5">
            <w:pPr>
              <w:jc w:val="right"/>
              <w:rPr>
                <w:rFonts w:ascii="Arial" w:hAnsi="Arial" w:cs="Arial"/>
                <w:b/>
                <w:bCs/>
                <w:sz w:val="20"/>
              </w:rPr>
            </w:pPr>
            <w:r>
              <w:rPr>
                <w:rFonts w:ascii="Arial" w:hAnsi="Arial" w:cs="Arial"/>
                <w:b/>
                <w:bCs/>
                <w:sz w:val="20"/>
              </w:rPr>
              <w:t>17 302</w:t>
            </w:r>
          </w:p>
        </w:tc>
        <w:tc>
          <w:tcPr>
            <w:tcW w:w="114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b/>
                <w:bCs/>
                <w:sz w:val="20"/>
              </w:rPr>
            </w:pPr>
            <w:r w:rsidRPr="006076F5">
              <w:rPr>
                <w:rFonts w:ascii="Arial" w:hAnsi="Arial" w:cs="Arial"/>
                <w:b/>
                <w:bCs/>
                <w:sz w:val="20"/>
              </w:rPr>
              <w:t>28,</w:t>
            </w:r>
            <w:r>
              <w:rPr>
                <w:rFonts w:ascii="Arial" w:hAnsi="Arial" w:cs="Arial"/>
                <w:b/>
                <w:bCs/>
                <w:sz w:val="20"/>
              </w:rPr>
              <w:t>2</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b/>
                <w:bCs/>
                <w:sz w:val="20"/>
              </w:rPr>
            </w:pPr>
            <w:r>
              <w:rPr>
                <w:rFonts w:ascii="Arial" w:hAnsi="Arial" w:cs="Arial"/>
                <w:b/>
                <w:bCs/>
                <w:sz w:val="20"/>
              </w:rPr>
              <w:t>100,00</w:t>
            </w:r>
          </w:p>
        </w:tc>
      </w:tr>
      <w:tr>
        <w:tblPrEx>
          <w:tblW w:w="8641" w:type="dxa"/>
          <w:jc w:val="center"/>
          <w:tblInd w:w="55" w:type="dxa"/>
          <w:tblCellMar>
            <w:left w:w="70" w:type="dxa"/>
            <w:right w:w="70" w:type="dxa"/>
          </w:tblCellMar>
        </w:tblPrEx>
        <w:trPr>
          <w:trHeight w:val="255"/>
          <w:jc w:val="center"/>
        </w:trPr>
        <w:tc>
          <w:tcPr>
            <w:tcW w:w="1929" w:type="dxa"/>
            <w:tcBorders>
              <w:top w:val="single" w:sz="8" w:space="0" w:color="auto"/>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Cenné papiere</w:t>
            </w:r>
          </w:p>
        </w:tc>
        <w:tc>
          <w:tcPr>
            <w:tcW w:w="1470"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13 768</w:t>
            </w:r>
          </w:p>
        </w:tc>
        <w:tc>
          <w:tcPr>
            <w:tcW w:w="1470"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14 486</w:t>
            </w:r>
          </w:p>
        </w:tc>
        <w:tc>
          <w:tcPr>
            <w:tcW w:w="1485"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16 104</w:t>
            </w:r>
          </w:p>
        </w:tc>
        <w:tc>
          <w:tcPr>
            <w:tcW w:w="1146" w:type="dxa"/>
            <w:tcBorders>
              <w:top w:val="single" w:sz="8" w:space="0" w:color="auto"/>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26,2</w:t>
            </w:r>
          </w:p>
        </w:tc>
        <w:tc>
          <w:tcPr>
            <w:tcW w:w="1141" w:type="dxa"/>
            <w:tcBorders>
              <w:top w:val="single" w:sz="8" w:space="0" w:color="auto"/>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93,1</w:t>
            </w:r>
          </w:p>
        </w:tc>
      </w:tr>
      <w:tr>
        <w:tblPrEx>
          <w:tblW w:w="8641" w:type="dxa"/>
          <w:jc w:val="center"/>
          <w:tblInd w:w="55" w:type="dxa"/>
          <w:tblCellMar>
            <w:left w:w="70" w:type="dxa"/>
            <w:right w:w="70" w:type="dxa"/>
          </w:tblCellMar>
        </w:tblPrEx>
        <w:trPr>
          <w:trHeight w:val="255"/>
          <w:jc w:val="center"/>
        </w:trPr>
        <w:tc>
          <w:tcPr>
            <w:tcW w:w="1929" w:type="dxa"/>
            <w:tcBorders>
              <w:top w:val="nil"/>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Úvery</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1 502</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916</w:t>
            </w:r>
          </w:p>
        </w:tc>
        <w:tc>
          <w:tcPr>
            <w:tcW w:w="1485"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1 198</w:t>
            </w:r>
          </w:p>
        </w:tc>
        <w:tc>
          <w:tcPr>
            <w:tcW w:w="114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2</w:t>
            </w:r>
            <w:r w:rsidRPr="006076F5">
              <w:rPr>
                <w:rFonts w:ascii="Arial" w:hAnsi="Arial" w:cs="Arial"/>
                <w:sz w:val="20"/>
              </w:rPr>
              <w:t>,</w:t>
            </w:r>
            <w:r>
              <w:rPr>
                <w:rFonts w:ascii="Arial" w:hAnsi="Arial" w:cs="Arial"/>
                <w:sz w:val="20"/>
              </w:rPr>
              <w:t>0</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6,9</w:t>
            </w:r>
          </w:p>
        </w:tc>
      </w:tr>
      <w:tr>
        <w:tblPrEx>
          <w:tblW w:w="8641" w:type="dxa"/>
          <w:jc w:val="center"/>
          <w:tblInd w:w="55" w:type="dxa"/>
          <w:tblCellMar>
            <w:left w:w="70" w:type="dxa"/>
            <w:right w:w="70" w:type="dxa"/>
          </w:tblCellMar>
        </w:tblPrEx>
        <w:trPr>
          <w:trHeight w:val="525"/>
          <w:jc w:val="center"/>
        </w:trPr>
        <w:tc>
          <w:tcPr>
            <w:tcW w:w="1929" w:type="dxa"/>
            <w:tcBorders>
              <w:top w:val="nil"/>
              <w:left w:val="nil"/>
              <w:bottom w:val="nil"/>
              <w:right w:val="nil"/>
              <w:tl2br w:val="nil"/>
              <w:tr2bl w:val="nil"/>
            </w:tcBorders>
            <w:textDirection w:val="lrTb"/>
            <w:vAlign w:val="bottom"/>
          </w:tcPr>
          <w:p w:rsidR="00C52DD5" w:rsidRPr="006076F5" w:rsidP="00C52DD5">
            <w:pPr>
              <w:rPr>
                <w:rFonts w:ascii="Arial" w:hAnsi="Arial" w:cs="Arial"/>
                <w:sz w:val="20"/>
              </w:rPr>
            </w:pPr>
            <w:r w:rsidRPr="006076F5">
              <w:rPr>
                <w:rFonts w:ascii="Arial" w:hAnsi="Arial" w:cs="Arial"/>
                <w:sz w:val="20"/>
              </w:rPr>
              <w:t>Riziká z realizácie štátnych záruk</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992</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696</w:t>
            </w:r>
          </w:p>
        </w:tc>
        <w:tc>
          <w:tcPr>
            <w:tcW w:w="1485"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0</w:t>
            </w:r>
          </w:p>
        </w:tc>
        <w:tc>
          <w:tcPr>
            <w:tcW w:w="114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0,0</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0,0</w:t>
            </w:r>
          </w:p>
        </w:tc>
      </w:tr>
      <w:tr>
        <w:tblPrEx>
          <w:tblW w:w="8641" w:type="dxa"/>
          <w:jc w:val="center"/>
          <w:tblInd w:w="55" w:type="dxa"/>
          <w:tblCellMar>
            <w:left w:w="70" w:type="dxa"/>
            <w:right w:w="70" w:type="dxa"/>
          </w:tblCellMar>
        </w:tblPrEx>
        <w:trPr>
          <w:trHeight w:val="255"/>
          <w:jc w:val="center"/>
        </w:trPr>
        <w:tc>
          <w:tcPr>
            <w:tcW w:w="1929" w:type="dxa"/>
            <w:tcBorders>
              <w:top w:val="single" w:sz="8" w:space="0" w:color="auto"/>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SKK</w:t>
            </w:r>
          </w:p>
        </w:tc>
        <w:tc>
          <w:tcPr>
            <w:tcW w:w="1470"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12 741</w:t>
            </w:r>
          </w:p>
        </w:tc>
        <w:tc>
          <w:tcPr>
            <w:tcW w:w="1470"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11 917</w:t>
            </w:r>
          </w:p>
        </w:tc>
        <w:tc>
          <w:tcPr>
            <w:tcW w:w="1485"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12 544</w:t>
            </w:r>
          </w:p>
        </w:tc>
        <w:tc>
          <w:tcPr>
            <w:tcW w:w="1146" w:type="dxa"/>
            <w:tcBorders>
              <w:top w:val="single" w:sz="8" w:space="0" w:color="auto"/>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20,4</w:t>
            </w:r>
          </w:p>
        </w:tc>
        <w:tc>
          <w:tcPr>
            <w:tcW w:w="1141" w:type="dxa"/>
            <w:tcBorders>
              <w:top w:val="single" w:sz="8" w:space="0" w:color="auto"/>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72,5</w:t>
            </w:r>
          </w:p>
        </w:tc>
      </w:tr>
      <w:tr>
        <w:tblPrEx>
          <w:tblW w:w="8641" w:type="dxa"/>
          <w:jc w:val="center"/>
          <w:tblInd w:w="55" w:type="dxa"/>
          <w:tblCellMar>
            <w:left w:w="70" w:type="dxa"/>
            <w:right w:w="70" w:type="dxa"/>
          </w:tblCellMar>
        </w:tblPrEx>
        <w:trPr>
          <w:trHeight w:val="255"/>
          <w:jc w:val="center"/>
        </w:trPr>
        <w:tc>
          <w:tcPr>
            <w:tcW w:w="1929" w:type="dxa"/>
            <w:tcBorders>
              <w:top w:val="nil"/>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EUR</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3 213</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4 101</w:t>
            </w:r>
          </w:p>
        </w:tc>
        <w:tc>
          <w:tcPr>
            <w:tcW w:w="1485"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4 683</w:t>
            </w:r>
          </w:p>
        </w:tc>
        <w:tc>
          <w:tcPr>
            <w:tcW w:w="114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7,6</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27,1</w:t>
            </w:r>
          </w:p>
        </w:tc>
      </w:tr>
      <w:tr>
        <w:tblPrEx>
          <w:tblW w:w="8641" w:type="dxa"/>
          <w:jc w:val="center"/>
          <w:tblInd w:w="55" w:type="dxa"/>
          <w:tblCellMar>
            <w:left w:w="70" w:type="dxa"/>
            <w:right w:w="70" w:type="dxa"/>
          </w:tblCellMar>
        </w:tblPrEx>
        <w:trPr>
          <w:trHeight w:val="255"/>
          <w:jc w:val="center"/>
        </w:trPr>
        <w:tc>
          <w:tcPr>
            <w:tcW w:w="1929" w:type="dxa"/>
            <w:tcBorders>
              <w:top w:val="nil"/>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USD</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215</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2</w:t>
            </w:r>
          </w:p>
        </w:tc>
        <w:tc>
          <w:tcPr>
            <w:tcW w:w="1485"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0</w:t>
            </w:r>
          </w:p>
        </w:tc>
        <w:tc>
          <w:tcPr>
            <w:tcW w:w="114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0,0</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0,0</w:t>
            </w:r>
          </w:p>
        </w:tc>
      </w:tr>
      <w:tr>
        <w:tblPrEx>
          <w:tblW w:w="8641" w:type="dxa"/>
          <w:jc w:val="center"/>
          <w:tblInd w:w="55" w:type="dxa"/>
          <w:tblCellMar>
            <w:left w:w="70" w:type="dxa"/>
            <w:right w:w="70" w:type="dxa"/>
          </w:tblCellMar>
        </w:tblPrEx>
        <w:trPr>
          <w:trHeight w:val="255"/>
          <w:jc w:val="center"/>
        </w:trPr>
        <w:tc>
          <w:tcPr>
            <w:tcW w:w="1929" w:type="dxa"/>
            <w:tcBorders>
              <w:top w:val="nil"/>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JPY</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87</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70</w:t>
            </w:r>
          </w:p>
        </w:tc>
        <w:tc>
          <w:tcPr>
            <w:tcW w:w="1485"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70</w:t>
            </w:r>
          </w:p>
        </w:tc>
        <w:tc>
          <w:tcPr>
            <w:tcW w:w="114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0,1</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0,4</w:t>
            </w:r>
          </w:p>
        </w:tc>
      </w:tr>
      <w:tr>
        <w:tblPrEx>
          <w:tblW w:w="8641" w:type="dxa"/>
          <w:jc w:val="center"/>
          <w:tblInd w:w="55" w:type="dxa"/>
          <w:tblCellMar>
            <w:left w:w="70" w:type="dxa"/>
            <w:right w:w="70" w:type="dxa"/>
          </w:tblCellMar>
        </w:tblPrEx>
        <w:trPr>
          <w:trHeight w:val="255"/>
          <w:jc w:val="center"/>
        </w:trPr>
        <w:tc>
          <w:tcPr>
            <w:tcW w:w="1929" w:type="dxa"/>
            <w:tcBorders>
              <w:top w:val="nil"/>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CZK</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0</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0</w:t>
            </w:r>
          </w:p>
        </w:tc>
        <w:tc>
          <w:tcPr>
            <w:tcW w:w="1485"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0</w:t>
            </w:r>
          </w:p>
        </w:tc>
        <w:tc>
          <w:tcPr>
            <w:tcW w:w="114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0,0</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0,0</w:t>
            </w:r>
          </w:p>
        </w:tc>
      </w:tr>
      <w:tr>
        <w:tblPrEx>
          <w:tblW w:w="8641" w:type="dxa"/>
          <w:jc w:val="center"/>
          <w:tblInd w:w="55" w:type="dxa"/>
          <w:tblCellMar>
            <w:left w:w="70" w:type="dxa"/>
            <w:right w:w="70" w:type="dxa"/>
          </w:tblCellMar>
        </w:tblPrEx>
        <w:trPr>
          <w:trHeight w:val="255"/>
          <w:jc w:val="center"/>
        </w:trPr>
        <w:tc>
          <w:tcPr>
            <w:tcW w:w="1929" w:type="dxa"/>
            <w:tcBorders>
              <w:top w:val="nil"/>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CHF</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5</w:t>
            </w:r>
          </w:p>
        </w:tc>
        <w:tc>
          <w:tcPr>
            <w:tcW w:w="147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8</w:t>
            </w:r>
          </w:p>
        </w:tc>
        <w:tc>
          <w:tcPr>
            <w:tcW w:w="1485"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4</w:t>
            </w:r>
          </w:p>
        </w:tc>
        <w:tc>
          <w:tcPr>
            <w:tcW w:w="114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0,0</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0,0</w:t>
            </w:r>
          </w:p>
        </w:tc>
      </w:tr>
      <w:tr>
        <w:tblPrEx>
          <w:tblW w:w="8641" w:type="dxa"/>
          <w:jc w:val="center"/>
          <w:tblInd w:w="55" w:type="dxa"/>
          <w:tblCellMar>
            <w:left w:w="70" w:type="dxa"/>
            <w:right w:w="70" w:type="dxa"/>
          </w:tblCellMar>
        </w:tblPrEx>
        <w:trPr>
          <w:trHeight w:val="255"/>
          <w:jc w:val="center"/>
        </w:trPr>
        <w:tc>
          <w:tcPr>
            <w:tcW w:w="8641" w:type="dxa"/>
            <w:gridSpan w:val="6"/>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i/>
                <w:iCs/>
                <w:sz w:val="16"/>
                <w:szCs w:val="16"/>
              </w:rPr>
            </w:pPr>
            <w:r w:rsidRPr="006076F5">
              <w:rPr>
                <w:rFonts w:ascii="Arial" w:hAnsi="Arial" w:cs="Arial"/>
                <w:i/>
                <w:iCs/>
                <w:sz w:val="16"/>
                <w:szCs w:val="16"/>
              </w:rPr>
              <w:t>Zdroj: MF SR</w:t>
            </w:r>
          </w:p>
        </w:tc>
      </w:tr>
    </w:tbl>
    <w:p w:rsidR="00C52DD5" w:rsidP="00C52DD5">
      <w:pPr>
        <w:rPr>
          <w:rFonts w:ascii="Arial Narrow" w:hAnsi="Arial Narrow" w:cs="Times New Roman"/>
          <w:sz w:val="22"/>
          <w:szCs w:val="22"/>
        </w:rPr>
      </w:pPr>
    </w:p>
    <w:p w:rsidR="00C52DD5" w:rsidP="00C52DD5">
      <w:pPr>
        <w:ind w:firstLine="709"/>
        <w:jc w:val="both"/>
        <w:rPr>
          <w:rFonts w:ascii="Arial Narrow" w:hAnsi="Arial Narrow" w:cs="Times New Roman"/>
          <w:sz w:val="22"/>
          <w:szCs w:val="22"/>
        </w:rPr>
      </w:pPr>
      <w:r>
        <w:rPr>
          <w:rFonts w:ascii="Arial Narrow" w:hAnsi="Arial Narrow" w:cs="Times New Roman"/>
          <w:sz w:val="22"/>
          <w:szCs w:val="22"/>
        </w:rPr>
        <w:t xml:space="preserve">Z teritoriálneho hľadiska predstavoval domáci štátny dlh (veriteľom je rezident) 59 % z celkového dlhu a zahraničný dlh (veriteľom je nerezident) 41 %. Z časového hľadiska tvoril dlhodobý dlh v roku 2007 takmer 100 % z celkového dlhu. </w:t>
      </w:r>
    </w:p>
    <w:p w:rsidR="00C52DD5" w:rsidRPr="006076F5" w:rsidP="00C52DD5">
      <w:pPr>
        <w:rPr>
          <w:rFonts w:ascii="Arial Narrow" w:hAnsi="Arial Narrow" w:cs="Times New Roman"/>
          <w:sz w:val="22"/>
          <w:szCs w:val="22"/>
        </w:rPr>
      </w:pPr>
    </w:p>
    <w:tbl>
      <w:tblPr>
        <w:tblW w:w="8869" w:type="dxa"/>
        <w:jc w:val="center"/>
        <w:tblInd w:w="55" w:type="dxa"/>
        <w:tblCellMar>
          <w:left w:w="70" w:type="dxa"/>
          <w:right w:w="70" w:type="dxa"/>
        </w:tblCellMar>
      </w:tblPr>
      <w:tblGrid>
        <w:gridCol w:w="1995"/>
        <w:gridCol w:w="1480"/>
        <w:gridCol w:w="1650"/>
        <w:gridCol w:w="1462"/>
        <w:gridCol w:w="1141"/>
        <w:gridCol w:w="1141"/>
      </w:tblGrid>
      <w:tr>
        <w:tblPrEx>
          <w:tblW w:w="8869" w:type="dxa"/>
          <w:jc w:val="center"/>
          <w:tblInd w:w="55" w:type="dxa"/>
          <w:tblCellMar>
            <w:left w:w="70" w:type="dxa"/>
            <w:right w:w="70" w:type="dxa"/>
          </w:tblCellMar>
        </w:tblPrEx>
        <w:trPr>
          <w:trHeight w:val="255"/>
          <w:jc w:val="center"/>
        </w:trPr>
        <w:tc>
          <w:tcPr>
            <w:tcW w:w="8869" w:type="dxa"/>
            <w:gridSpan w:val="6"/>
            <w:tcBorders>
              <w:top w:val="nil"/>
              <w:left w:val="nil"/>
              <w:bottom w:val="nil"/>
              <w:right w:val="nil"/>
              <w:tl2br w:val="nil"/>
              <w:tr2bl w:val="nil"/>
            </w:tcBorders>
            <w:shd w:val="clear" w:color="auto" w:fill="000000"/>
            <w:noWrap/>
            <w:textDirection w:val="lrTb"/>
            <w:vAlign w:val="bottom"/>
          </w:tcPr>
          <w:p w:rsidR="00C52DD5" w:rsidRPr="006076F5" w:rsidP="00C52DD5">
            <w:pPr>
              <w:rPr>
                <w:rFonts w:ascii="Arial" w:hAnsi="Arial" w:cs="Arial"/>
                <w:b/>
                <w:bCs/>
                <w:color w:val="FFFFFF"/>
                <w:sz w:val="20"/>
              </w:rPr>
            </w:pPr>
            <w:r w:rsidRPr="006076F5">
              <w:rPr>
                <w:rFonts w:ascii="Arial" w:hAnsi="Arial" w:cs="Arial"/>
                <w:b/>
                <w:bCs/>
                <w:color w:val="FFFFFF"/>
                <w:sz w:val="20"/>
              </w:rPr>
              <w:t xml:space="preserve">Štátny dlh z teritoriálneho </w:t>
            </w:r>
            <w:r>
              <w:rPr>
                <w:rFonts w:ascii="Arial" w:hAnsi="Arial" w:cs="Arial"/>
                <w:b/>
                <w:bCs/>
                <w:color w:val="FFFFFF"/>
                <w:sz w:val="20"/>
              </w:rPr>
              <w:t xml:space="preserve">a časového </w:t>
            </w:r>
            <w:r w:rsidRPr="006076F5">
              <w:rPr>
                <w:rFonts w:ascii="Arial" w:hAnsi="Arial" w:cs="Arial"/>
                <w:b/>
                <w:bCs/>
                <w:color w:val="FFFFFF"/>
                <w:sz w:val="20"/>
              </w:rPr>
              <w:t>hľadiska</w:t>
            </w:r>
          </w:p>
        </w:tc>
      </w:tr>
      <w:tr>
        <w:tblPrEx>
          <w:tblW w:w="8869" w:type="dxa"/>
          <w:jc w:val="center"/>
          <w:tblInd w:w="55" w:type="dxa"/>
          <w:tblCellMar>
            <w:left w:w="70" w:type="dxa"/>
            <w:right w:w="70" w:type="dxa"/>
          </w:tblCellMar>
        </w:tblPrEx>
        <w:trPr>
          <w:trHeight w:val="255"/>
          <w:jc w:val="center"/>
        </w:trPr>
        <w:tc>
          <w:tcPr>
            <w:tcW w:w="1995" w:type="dxa"/>
            <w:tcBorders>
              <w:top w:val="nil"/>
              <w:left w:val="nil"/>
              <w:bottom w:val="nil"/>
              <w:right w:val="nil"/>
              <w:tl2br w:val="nil"/>
              <w:tr2bl w:val="nil"/>
            </w:tcBorders>
            <w:shd w:val="clear" w:color="auto" w:fill="C0C0C0"/>
            <w:noWrap/>
            <w:textDirection w:val="lrTb"/>
            <w:vAlign w:val="bottom"/>
          </w:tcPr>
          <w:p w:rsidR="00C52DD5" w:rsidRPr="00241D16" w:rsidP="00C52DD5">
            <w:pPr>
              <w:ind w:left="-55"/>
              <w:rPr>
                <w:rFonts w:ascii="Arial" w:hAnsi="Arial" w:cs="Arial"/>
                <w:b/>
                <w:bCs/>
                <w:sz w:val="18"/>
                <w:szCs w:val="18"/>
              </w:rPr>
            </w:pPr>
            <w:r w:rsidRPr="00241D16">
              <w:rPr>
                <w:rFonts w:ascii="Arial" w:hAnsi="Arial" w:cs="Arial"/>
                <w:b/>
                <w:bCs/>
                <w:sz w:val="18"/>
                <w:szCs w:val="18"/>
              </w:rPr>
              <w:t> </w:t>
            </w:r>
          </w:p>
        </w:tc>
        <w:tc>
          <w:tcPr>
            <w:tcW w:w="1480"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xml:space="preserve">Stav v mil. </w:t>
            </w:r>
            <w:r>
              <w:rPr>
                <w:rFonts w:ascii="Arial" w:hAnsi="Arial" w:cs="Arial"/>
                <w:b/>
                <w:bCs/>
                <w:sz w:val="18"/>
                <w:szCs w:val="18"/>
              </w:rPr>
              <w:t>eur</w:t>
            </w:r>
          </w:p>
        </w:tc>
        <w:tc>
          <w:tcPr>
            <w:tcW w:w="1650"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xml:space="preserve">Stav v mil. </w:t>
            </w:r>
            <w:r>
              <w:rPr>
                <w:rFonts w:ascii="Arial" w:hAnsi="Arial" w:cs="Arial"/>
                <w:b/>
                <w:bCs/>
                <w:sz w:val="18"/>
                <w:szCs w:val="18"/>
              </w:rPr>
              <w:t>eur</w:t>
            </w:r>
          </w:p>
        </w:tc>
        <w:tc>
          <w:tcPr>
            <w:tcW w:w="1462"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xml:space="preserve">Stav v mil. </w:t>
            </w:r>
            <w:r>
              <w:rPr>
                <w:rFonts w:ascii="Arial" w:hAnsi="Arial" w:cs="Arial"/>
                <w:b/>
                <w:bCs/>
                <w:sz w:val="18"/>
                <w:szCs w:val="18"/>
              </w:rPr>
              <w:t>eur</w:t>
            </w:r>
          </w:p>
        </w:tc>
        <w:tc>
          <w:tcPr>
            <w:tcW w:w="1141"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z HDP</w:t>
            </w:r>
          </w:p>
        </w:tc>
        <w:tc>
          <w:tcPr>
            <w:tcW w:w="1141"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z celku</w:t>
            </w:r>
          </w:p>
        </w:tc>
      </w:tr>
      <w:tr>
        <w:tblPrEx>
          <w:tblW w:w="8869" w:type="dxa"/>
          <w:jc w:val="center"/>
          <w:tblInd w:w="55" w:type="dxa"/>
          <w:tblCellMar>
            <w:left w:w="70" w:type="dxa"/>
            <w:right w:w="70" w:type="dxa"/>
          </w:tblCellMar>
        </w:tblPrEx>
        <w:trPr>
          <w:trHeight w:val="275"/>
          <w:jc w:val="center"/>
        </w:trPr>
        <w:tc>
          <w:tcPr>
            <w:tcW w:w="1995" w:type="dxa"/>
            <w:tcBorders>
              <w:top w:val="nil"/>
              <w:left w:val="nil"/>
              <w:bottom w:val="nil"/>
              <w:right w:val="nil"/>
              <w:tl2br w:val="nil"/>
              <w:tr2bl w:val="nil"/>
            </w:tcBorders>
            <w:shd w:val="clear" w:color="auto" w:fill="C0C0C0"/>
            <w:noWrap/>
            <w:textDirection w:val="lrTb"/>
            <w:vAlign w:val="bottom"/>
          </w:tcPr>
          <w:p w:rsidR="00C52DD5" w:rsidRPr="006076F5" w:rsidP="00C52DD5">
            <w:pPr>
              <w:rPr>
                <w:rFonts w:ascii="Arial" w:hAnsi="Arial" w:cs="Arial"/>
                <w:b/>
                <w:bCs/>
                <w:sz w:val="20"/>
              </w:rPr>
            </w:pPr>
            <w:r w:rsidRPr="006076F5">
              <w:rPr>
                <w:rFonts w:ascii="Arial" w:hAnsi="Arial" w:cs="Arial"/>
                <w:b/>
                <w:bCs/>
                <w:sz w:val="20"/>
              </w:rPr>
              <w:t>stav k:</w:t>
            </w:r>
          </w:p>
        </w:tc>
        <w:tc>
          <w:tcPr>
            <w:tcW w:w="1480"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31.12.2005</w:t>
            </w:r>
          </w:p>
        </w:tc>
        <w:tc>
          <w:tcPr>
            <w:tcW w:w="1650"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29.12.2006</w:t>
            </w:r>
          </w:p>
        </w:tc>
        <w:tc>
          <w:tcPr>
            <w:tcW w:w="1462"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31.12.2007</w:t>
            </w:r>
          </w:p>
        </w:tc>
        <w:tc>
          <w:tcPr>
            <w:tcW w:w="1141"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31.12.2007</w:t>
            </w:r>
          </w:p>
        </w:tc>
        <w:tc>
          <w:tcPr>
            <w:tcW w:w="1141"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31.12.2007</w:t>
            </w:r>
          </w:p>
        </w:tc>
      </w:tr>
      <w:tr>
        <w:tblPrEx>
          <w:tblW w:w="8869" w:type="dxa"/>
          <w:jc w:val="center"/>
          <w:tblInd w:w="55" w:type="dxa"/>
          <w:tblCellMar>
            <w:left w:w="70" w:type="dxa"/>
            <w:right w:w="70" w:type="dxa"/>
          </w:tblCellMar>
        </w:tblPrEx>
        <w:trPr>
          <w:trHeight w:val="270"/>
          <w:jc w:val="center"/>
        </w:trPr>
        <w:tc>
          <w:tcPr>
            <w:tcW w:w="1995" w:type="dxa"/>
            <w:tcBorders>
              <w:top w:val="nil"/>
              <w:left w:val="nil"/>
              <w:bottom w:val="nil"/>
              <w:right w:val="nil"/>
              <w:tl2br w:val="nil"/>
              <w:tr2bl w:val="nil"/>
            </w:tcBorders>
            <w:noWrap/>
            <w:textDirection w:val="lrTb"/>
            <w:vAlign w:val="bottom"/>
          </w:tcPr>
          <w:p w:rsidR="00C52DD5" w:rsidRPr="006076F5" w:rsidP="00C52DD5">
            <w:pPr>
              <w:rPr>
                <w:rFonts w:ascii="Arial" w:hAnsi="Arial" w:cs="Arial"/>
                <w:b/>
                <w:bCs/>
                <w:sz w:val="20"/>
              </w:rPr>
            </w:pPr>
            <w:r w:rsidRPr="006076F5">
              <w:rPr>
                <w:rFonts w:ascii="Arial" w:hAnsi="Arial" w:cs="Arial"/>
                <w:b/>
                <w:bCs/>
                <w:sz w:val="20"/>
              </w:rPr>
              <w:t>Štátny dlh v menovitej hodnote</w:t>
            </w:r>
          </w:p>
        </w:tc>
        <w:tc>
          <w:tcPr>
            <w:tcW w:w="1480" w:type="dxa"/>
            <w:tcBorders>
              <w:top w:val="nil"/>
              <w:left w:val="nil"/>
              <w:bottom w:val="nil"/>
              <w:right w:val="nil"/>
              <w:tl2br w:val="nil"/>
              <w:tr2bl w:val="nil"/>
            </w:tcBorders>
            <w:noWrap/>
            <w:textDirection w:val="lrTb"/>
            <w:vAlign w:val="bottom"/>
          </w:tcPr>
          <w:p w:rsidR="00C52DD5" w:rsidP="00C52DD5">
            <w:pPr>
              <w:jc w:val="right"/>
              <w:rPr>
                <w:rFonts w:ascii="Arial" w:hAnsi="Arial" w:cs="Arial"/>
                <w:b/>
                <w:bCs/>
                <w:sz w:val="20"/>
              </w:rPr>
            </w:pPr>
            <w:r>
              <w:rPr>
                <w:rFonts w:ascii="Arial" w:hAnsi="Arial" w:cs="Arial"/>
                <w:b/>
                <w:bCs/>
                <w:sz w:val="20"/>
              </w:rPr>
              <w:t>16 261</w:t>
            </w:r>
          </w:p>
        </w:tc>
        <w:tc>
          <w:tcPr>
            <w:tcW w:w="1650" w:type="dxa"/>
            <w:tcBorders>
              <w:top w:val="nil"/>
              <w:left w:val="nil"/>
              <w:bottom w:val="nil"/>
              <w:right w:val="nil"/>
              <w:tl2br w:val="nil"/>
              <w:tr2bl w:val="nil"/>
            </w:tcBorders>
            <w:noWrap/>
            <w:textDirection w:val="lrTb"/>
            <w:vAlign w:val="bottom"/>
          </w:tcPr>
          <w:p w:rsidR="00C52DD5" w:rsidP="00C52DD5">
            <w:pPr>
              <w:jc w:val="right"/>
              <w:rPr>
                <w:rFonts w:ascii="Arial" w:hAnsi="Arial" w:cs="Arial"/>
                <w:b/>
                <w:bCs/>
                <w:color w:val="000000"/>
                <w:sz w:val="20"/>
              </w:rPr>
            </w:pPr>
            <w:r>
              <w:rPr>
                <w:rFonts w:ascii="Arial" w:hAnsi="Arial" w:cs="Arial"/>
                <w:b/>
                <w:bCs/>
                <w:color w:val="000000"/>
                <w:sz w:val="20"/>
              </w:rPr>
              <w:t>16 098</w:t>
            </w:r>
          </w:p>
        </w:tc>
        <w:tc>
          <w:tcPr>
            <w:tcW w:w="1462" w:type="dxa"/>
            <w:tcBorders>
              <w:top w:val="nil"/>
              <w:left w:val="nil"/>
              <w:bottom w:val="nil"/>
              <w:right w:val="nil"/>
              <w:tl2br w:val="nil"/>
              <w:tr2bl w:val="nil"/>
            </w:tcBorders>
            <w:noWrap/>
            <w:textDirection w:val="lrTb"/>
            <w:vAlign w:val="bottom"/>
          </w:tcPr>
          <w:p w:rsidR="00C52DD5" w:rsidP="00C52DD5">
            <w:pPr>
              <w:jc w:val="right"/>
              <w:rPr>
                <w:rFonts w:ascii="Arial" w:hAnsi="Arial" w:cs="Arial"/>
                <w:b/>
                <w:bCs/>
                <w:sz w:val="20"/>
              </w:rPr>
            </w:pPr>
            <w:r>
              <w:rPr>
                <w:rFonts w:ascii="Arial" w:hAnsi="Arial" w:cs="Arial"/>
                <w:b/>
                <w:bCs/>
                <w:sz w:val="20"/>
              </w:rPr>
              <w:t>17 302</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b/>
                <w:bCs/>
                <w:sz w:val="20"/>
              </w:rPr>
            </w:pPr>
            <w:r>
              <w:rPr>
                <w:rFonts w:ascii="Arial" w:hAnsi="Arial" w:cs="Arial"/>
                <w:b/>
                <w:bCs/>
                <w:sz w:val="20"/>
              </w:rPr>
              <w:t>28,2</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b/>
                <w:bCs/>
                <w:sz w:val="20"/>
              </w:rPr>
            </w:pPr>
            <w:r>
              <w:rPr>
                <w:rFonts w:ascii="Arial" w:hAnsi="Arial" w:cs="Arial"/>
                <w:b/>
                <w:bCs/>
                <w:sz w:val="20"/>
              </w:rPr>
              <w:t>100,0</w:t>
            </w:r>
          </w:p>
        </w:tc>
      </w:tr>
      <w:tr>
        <w:tblPrEx>
          <w:tblW w:w="8869" w:type="dxa"/>
          <w:jc w:val="center"/>
          <w:tblInd w:w="55" w:type="dxa"/>
          <w:tblCellMar>
            <w:left w:w="70" w:type="dxa"/>
            <w:right w:w="70" w:type="dxa"/>
          </w:tblCellMar>
        </w:tblPrEx>
        <w:trPr>
          <w:trHeight w:val="255"/>
          <w:jc w:val="center"/>
        </w:trPr>
        <w:tc>
          <w:tcPr>
            <w:tcW w:w="1995" w:type="dxa"/>
            <w:tcBorders>
              <w:top w:val="single" w:sz="8" w:space="0" w:color="auto"/>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domáci</w:t>
            </w:r>
          </w:p>
        </w:tc>
        <w:tc>
          <w:tcPr>
            <w:tcW w:w="1480"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9 727</w:t>
            </w:r>
          </w:p>
        </w:tc>
        <w:tc>
          <w:tcPr>
            <w:tcW w:w="1650"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9 053</w:t>
            </w:r>
          </w:p>
        </w:tc>
        <w:tc>
          <w:tcPr>
            <w:tcW w:w="1462"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10 265</w:t>
            </w:r>
          </w:p>
        </w:tc>
        <w:tc>
          <w:tcPr>
            <w:tcW w:w="1141" w:type="dxa"/>
            <w:tcBorders>
              <w:top w:val="single" w:sz="8" w:space="0" w:color="auto"/>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16,7</w:t>
            </w:r>
          </w:p>
        </w:tc>
        <w:tc>
          <w:tcPr>
            <w:tcW w:w="1141" w:type="dxa"/>
            <w:tcBorders>
              <w:top w:val="single" w:sz="8" w:space="0" w:color="auto"/>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59,3</w:t>
            </w:r>
          </w:p>
        </w:tc>
      </w:tr>
      <w:tr>
        <w:tblPrEx>
          <w:tblW w:w="8869" w:type="dxa"/>
          <w:jc w:val="center"/>
          <w:tblInd w:w="55" w:type="dxa"/>
          <w:tblCellMar>
            <w:left w:w="70" w:type="dxa"/>
            <w:right w:w="70" w:type="dxa"/>
          </w:tblCellMar>
        </w:tblPrEx>
        <w:trPr>
          <w:trHeight w:val="270"/>
          <w:jc w:val="center"/>
        </w:trPr>
        <w:tc>
          <w:tcPr>
            <w:tcW w:w="1995" w:type="dxa"/>
            <w:tcBorders>
              <w:top w:val="nil"/>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zahraničný</w:t>
            </w:r>
          </w:p>
        </w:tc>
        <w:tc>
          <w:tcPr>
            <w:tcW w:w="148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6 534</w:t>
            </w:r>
          </w:p>
        </w:tc>
        <w:tc>
          <w:tcPr>
            <w:tcW w:w="165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7 046</w:t>
            </w:r>
          </w:p>
        </w:tc>
        <w:tc>
          <w:tcPr>
            <w:tcW w:w="1462"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7 038</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11,5</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40,7</w:t>
            </w:r>
          </w:p>
        </w:tc>
      </w:tr>
      <w:tr>
        <w:tblPrEx>
          <w:tblW w:w="8869" w:type="dxa"/>
          <w:jc w:val="center"/>
          <w:tblInd w:w="55" w:type="dxa"/>
          <w:tblCellMar>
            <w:left w:w="70" w:type="dxa"/>
            <w:right w:w="70" w:type="dxa"/>
          </w:tblCellMar>
        </w:tblPrEx>
        <w:trPr>
          <w:trHeight w:val="255"/>
          <w:jc w:val="center"/>
        </w:trPr>
        <w:tc>
          <w:tcPr>
            <w:tcW w:w="1995" w:type="dxa"/>
            <w:tcBorders>
              <w:top w:val="single" w:sz="8" w:space="0" w:color="auto"/>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krátkodobý</w:t>
            </w:r>
          </w:p>
        </w:tc>
        <w:tc>
          <w:tcPr>
            <w:tcW w:w="1480"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2 844</w:t>
            </w:r>
          </w:p>
        </w:tc>
        <w:tc>
          <w:tcPr>
            <w:tcW w:w="1650"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35</w:t>
            </w:r>
          </w:p>
        </w:tc>
        <w:tc>
          <w:tcPr>
            <w:tcW w:w="1462" w:type="dxa"/>
            <w:tcBorders>
              <w:top w:val="single" w:sz="8" w:space="0" w:color="auto"/>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0</w:t>
            </w:r>
          </w:p>
        </w:tc>
        <w:tc>
          <w:tcPr>
            <w:tcW w:w="1141" w:type="dxa"/>
            <w:tcBorders>
              <w:top w:val="single" w:sz="8" w:space="0" w:color="auto"/>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0,0</w:t>
            </w:r>
          </w:p>
        </w:tc>
        <w:tc>
          <w:tcPr>
            <w:tcW w:w="1141" w:type="dxa"/>
            <w:tcBorders>
              <w:top w:val="single" w:sz="8" w:space="0" w:color="auto"/>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0,0</w:t>
            </w:r>
          </w:p>
        </w:tc>
      </w:tr>
      <w:tr>
        <w:tblPrEx>
          <w:tblW w:w="8869" w:type="dxa"/>
          <w:jc w:val="center"/>
          <w:tblInd w:w="55" w:type="dxa"/>
          <w:tblCellMar>
            <w:left w:w="70" w:type="dxa"/>
            <w:right w:w="70" w:type="dxa"/>
          </w:tblCellMar>
        </w:tblPrEx>
        <w:trPr>
          <w:trHeight w:val="255"/>
          <w:jc w:val="center"/>
        </w:trPr>
        <w:tc>
          <w:tcPr>
            <w:tcW w:w="1995" w:type="dxa"/>
            <w:tcBorders>
              <w:top w:val="nil"/>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dlhodobý</w:t>
            </w:r>
          </w:p>
        </w:tc>
        <w:tc>
          <w:tcPr>
            <w:tcW w:w="148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13 417</w:t>
            </w:r>
          </w:p>
        </w:tc>
        <w:tc>
          <w:tcPr>
            <w:tcW w:w="1650"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16 064</w:t>
            </w:r>
          </w:p>
        </w:tc>
        <w:tc>
          <w:tcPr>
            <w:tcW w:w="1462" w:type="dxa"/>
            <w:tcBorders>
              <w:top w:val="nil"/>
              <w:left w:val="nil"/>
              <w:bottom w:val="nil"/>
              <w:right w:val="nil"/>
              <w:tl2br w:val="nil"/>
              <w:tr2bl w:val="nil"/>
            </w:tcBorders>
            <w:noWrap/>
            <w:textDirection w:val="lrTb"/>
            <w:vAlign w:val="bottom"/>
          </w:tcPr>
          <w:p w:rsidR="00C52DD5" w:rsidP="00C52DD5">
            <w:pPr>
              <w:jc w:val="right"/>
              <w:rPr>
                <w:rFonts w:ascii="Arial" w:hAnsi="Arial" w:cs="Arial"/>
                <w:color w:val="000000"/>
                <w:sz w:val="20"/>
              </w:rPr>
            </w:pPr>
            <w:r>
              <w:rPr>
                <w:rFonts w:ascii="Arial" w:hAnsi="Arial" w:cs="Arial"/>
                <w:color w:val="000000"/>
                <w:sz w:val="20"/>
              </w:rPr>
              <w:t>17 302</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28,2</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100,0</w:t>
            </w:r>
          </w:p>
        </w:tc>
      </w:tr>
      <w:tr>
        <w:tblPrEx>
          <w:tblW w:w="8869" w:type="dxa"/>
          <w:jc w:val="center"/>
          <w:tblInd w:w="55" w:type="dxa"/>
          <w:tblCellMar>
            <w:left w:w="70" w:type="dxa"/>
            <w:right w:w="70" w:type="dxa"/>
          </w:tblCellMar>
        </w:tblPrEx>
        <w:trPr>
          <w:trHeight w:val="255"/>
          <w:jc w:val="center"/>
        </w:trPr>
        <w:tc>
          <w:tcPr>
            <w:tcW w:w="8869" w:type="dxa"/>
            <w:gridSpan w:val="6"/>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i/>
                <w:sz w:val="16"/>
                <w:szCs w:val="16"/>
              </w:rPr>
            </w:pPr>
            <w:r w:rsidRPr="006076F5">
              <w:rPr>
                <w:rFonts w:ascii="Arial" w:hAnsi="Arial" w:cs="Arial"/>
                <w:i/>
                <w:sz w:val="16"/>
                <w:szCs w:val="16"/>
              </w:rPr>
              <w:t>Zdroj: MF SR</w:t>
            </w:r>
          </w:p>
        </w:tc>
      </w:tr>
    </w:tbl>
    <w:p w:rsidR="00C52DD5" w:rsidP="00C52DD5">
      <w:pPr>
        <w:rPr>
          <w:rFonts w:ascii="Arial Narrow" w:hAnsi="Arial Narrow" w:cs="Times New Roman"/>
          <w:sz w:val="22"/>
          <w:szCs w:val="22"/>
        </w:rPr>
      </w:pPr>
    </w:p>
    <w:p w:rsidR="00C52DD5" w:rsidP="00C52DD5">
      <w:pPr>
        <w:ind w:firstLine="709"/>
        <w:jc w:val="both"/>
        <w:rPr>
          <w:rFonts w:ascii="Arial Narrow" w:hAnsi="Arial Narrow" w:cs="Times New Roman"/>
          <w:sz w:val="22"/>
          <w:szCs w:val="22"/>
        </w:rPr>
      </w:pPr>
      <w:r>
        <w:rPr>
          <w:rFonts w:ascii="Arial Narrow" w:hAnsi="Arial Narrow" w:cs="Times New Roman"/>
          <w:sz w:val="22"/>
          <w:szCs w:val="22"/>
        </w:rPr>
        <w:t>Celkový dlh verejnej správy, ktorý okrem štátneho dlhu zahŕňa aj dlh ostatných zložiek verejnej správy, bol ku koncu roka 2007 približne 18 mld. eur, čo predstavovalo 29,4 % z HDP. Ukazovateľ dlhu verejnej správy je dôležitý z hľadiska hodnotenia plnenia maastrichtského kritéria. Podľa tohto kritéria dlh verejnej správy nesmie presiahnuť 60 % HDP. Verejný dlh na Slovensku je teda výrazne pod referenčnou hodnotou a toto kritérium je plnené s rezervou. Rozhodujúcou zložkou dlhu verejnej správy je štátny dlh, ktorého podiel je až 96 %. Dlh ostatných zložiek verejnej správy predstavuje zvyšné 4 %.</w:t>
      </w:r>
    </w:p>
    <w:p w:rsidR="00C52DD5"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p>
    <w:p w:rsidR="00C52DD5" w:rsidP="00C52DD5">
      <w:pPr>
        <w:jc w:val="both"/>
        <w:rPr>
          <w:rFonts w:ascii="Arial Narrow" w:hAnsi="Arial Narrow" w:cs="Times New Roman"/>
          <w:sz w:val="22"/>
          <w:szCs w:val="22"/>
        </w:rPr>
      </w:pPr>
    </w:p>
    <w:p w:rsidR="00C52DD5" w:rsidRPr="006076F5" w:rsidP="00C52DD5">
      <w:pPr>
        <w:jc w:val="both"/>
        <w:rPr>
          <w:rFonts w:ascii="Arial Narrow" w:hAnsi="Arial Narrow" w:cs="Times New Roman"/>
          <w:sz w:val="22"/>
          <w:szCs w:val="22"/>
        </w:rPr>
      </w:pPr>
    </w:p>
    <w:tbl>
      <w:tblPr>
        <w:tblW w:w="9272" w:type="dxa"/>
        <w:tblInd w:w="55" w:type="dxa"/>
        <w:tblCellMar>
          <w:left w:w="70" w:type="dxa"/>
          <w:right w:w="70" w:type="dxa"/>
        </w:tblCellMar>
      </w:tblPr>
      <w:tblGrid>
        <w:gridCol w:w="2715"/>
        <w:gridCol w:w="1440"/>
        <w:gridCol w:w="1440"/>
        <w:gridCol w:w="1440"/>
        <w:gridCol w:w="1096"/>
        <w:gridCol w:w="1141"/>
      </w:tblGrid>
      <w:tr>
        <w:tblPrEx>
          <w:tblW w:w="9272" w:type="dxa"/>
          <w:tblInd w:w="55" w:type="dxa"/>
          <w:tblCellMar>
            <w:left w:w="70" w:type="dxa"/>
            <w:right w:w="70" w:type="dxa"/>
          </w:tblCellMar>
        </w:tblPrEx>
        <w:trPr>
          <w:trHeight w:val="255"/>
        </w:trPr>
        <w:tc>
          <w:tcPr>
            <w:tcW w:w="9272" w:type="dxa"/>
            <w:gridSpan w:val="6"/>
            <w:tcBorders>
              <w:top w:val="nil"/>
              <w:left w:val="nil"/>
              <w:bottom w:val="nil"/>
              <w:right w:val="nil"/>
              <w:tl2br w:val="nil"/>
              <w:tr2bl w:val="nil"/>
            </w:tcBorders>
            <w:shd w:val="clear" w:color="auto" w:fill="000000"/>
            <w:noWrap/>
            <w:textDirection w:val="lrTb"/>
            <w:vAlign w:val="bottom"/>
          </w:tcPr>
          <w:p w:rsidR="00C52DD5" w:rsidRPr="006076F5" w:rsidP="00C52DD5">
            <w:pPr>
              <w:rPr>
                <w:rFonts w:ascii="Arial" w:hAnsi="Arial" w:cs="Arial"/>
                <w:b/>
                <w:bCs/>
                <w:color w:val="FFFFFF"/>
                <w:sz w:val="20"/>
              </w:rPr>
            </w:pPr>
            <w:r w:rsidRPr="006076F5">
              <w:rPr>
                <w:rFonts w:ascii="Arial" w:hAnsi="Arial" w:cs="Arial"/>
                <w:b/>
                <w:bCs/>
                <w:color w:val="FFFFFF"/>
                <w:sz w:val="20"/>
              </w:rPr>
              <w:t xml:space="preserve">Dlh verejnej správy </w:t>
            </w:r>
            <w:r>
              <w:rPr>
                <w:rFonts w:ascii="Arial" w:hAnsi="Arial" w:cs="Arial"/>
                <w:b/>
                <w:bCs/>
                <w:color w:val="FFFFFF"/>
                <w:sz w:val="20"/>
              </w:rPr>
              <w:t>–</w:t>
            </w:r>
            <w:r w:rsidRPr="006076F5">
              <w:rPr>
                <w:rFonts w:ascii="Arial" w:hAnsi="Arial" w:cs="Arial"/>
                <w:b/>
                <w:bCs/>
                <w:color w:val="FFFFFF"/>
                <w:sz w:val="20"/>
              </w:rPr>
              <w:t xml:space="preserve"> maastrichtský</w:t>
            </w:r>
          </w:p>
        </w:tc>
      </w:tr>
      <w:tr>
        <w:tblPrEx>
          <w:tblW w:w="9272" w:type="dxa"/>
          <w:tblInd w:w="55" w:type="dxa"/>
          <w:tblCellMar>
            <w:left w:w="70" w:type="dxa"/>
            <w:right w:w="70" w:type="dxa"/>
          </w:tblCellMar>
        </w:tblPrEx>
        <w:trPr>
          <w:trHeight w:val="255"/>
        </w:trPr>
        <w:tc>
          <w:tcPr>
            <w:tcW w:w="2715" w:type="dxa"/>
            <w:tcBorders>
              <w:top w:val="nil"/>
              <w:left w:val="nil"/>
              <w:bottom w:val="nil"/>
              <w:right w:val="nil"/>
              <w:tl2br w:val="nil"/>
              <w:tr2bl w:val="nil"/>
            </w:tcBorders>
            <w:shd w:val="clear" w:color="auto" w:fill="C0C0C0"/>
            <w:noWrap/>
            <w:textDirection w:val="lrTb"/>
            <w:vAlign w:val="bottom"/>
          </w:tcPr>
          <w:p w:rsidR="00C52DD5" w:rsidRPr="00241D16" w:rsidP="00C52DD5">
            <w:pPr>
              <w:rPr>
                <w:rFonts w:ascii="Arial" w:hAnsi="Arial" w:cs="Arial"/>
                <w:b/>
                <w:bCs/>
                <w:sz w:val="18"/>
                <w:szCs w:val="18"/>
              </w:rPr>
            </w:pPr>
            <w:r w:rsidRPr="00241D16">
              <w:rPr>
                <w:rFonts w:ascii="Arial" w:hAnsi="Arial" w:cs="Arial"/>
                <w:b/>
                <w:bCs/>
                <w:sz w:val="18"/>
                <w:szCs w:val="18"/>
              </w:rPr>
              <w:t> </w:t>
            </w:r>
          </w:p>
        </w:tc>
        <w:tc>
          <w:tcPr>
            <w:tcW w:w="1440"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Pr>
                <w:rFonts w:ascii="Arial" w:hAnsi="Arial" w:cs="Arial"/>
                <w:b/>
                <w:bCs/>
                <w:sz w:val="18"/>
                <w:szCs w:val="18"/>
              </w:rPr>
              <w:t>Stav v mil.eur</w:t>
            </w:r>
          </w:p>
        </w:tc>
        <w:tc>
          <w:tcPr>
            <w:tcW w:w="1440"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Pr>
                <w:rFonts w:ascii="Arial" w:hAnsi="Arial" w:cs="Arial"/>
                <w:b/>
                <w:bCs/>
                <w:sz w:val="18"/>
                <w:szCs w:val="18"/>
              </w:rPr>
              <w:t>Stav v mil.eur</w:t>
            </w:r>
          </w:p>
        </w:tc>
        <w:tc>
          <w:tcPr>
            <w:tcW w:w="1440"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Pr>
                <w:rFonts w:ascii="Arial" w:hAnsi="Arial" w:cs="Arial"/>
                <w:b/>
                <w:bCs/>
                <w:sz w:val="18"/>
                <w:szCs w:val="18"/>
              </w:rPr>
              <w:t>Stav v mil.eur</w:t>
            </w:r>
          </w:p>
        </w:tc>
        <w:tc>
          <w:tcPr>
            <w:tcW w:w="1096"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z HDP</w:t>
            </w:r>
          </w:p>
        </w:tc>
        <w:tc>
          <w:tcPr>
            <w:tcW w:w="1141" w:type="dxa"/>
            <w:tcBorders>
              <w:top w:val="nil"/>
              <w:left w:val="nil"/>
              <w:bottom w:val="nil"/>
              <w:right w:val="nil"/>
              <w:tl2br w:val="nil"/>
              <w:tr2bl w:val="nil"/>
            </w:tcBorders>
            <w:shd w:val="clear" w:color="auto" w:fill="C0C0C0"/>
            <w:noWrap/>
            <w:textDirection w:val="lrTb"/>
            <w:vAlign w:val="bottom"/>
          </w:tcPr>
          <w:p w:rsidR="00C52DD5" w:rsidRPr="00241D16" w:rsidP="00C52DD5">
            <w:pPr>
              <w:jc w:val="center"/>
              <w:rPr>
                <w:rFonts w:ascii="Arial" w:hAnsi="Arial" w:cs="Arial"/>
                <w:b/>
                <w:bCs/>
                <w:sz w:val="18"/>
                <w:szCs w:val="18"/>
              </w:rPr>
            </w:pPr>
            <w:r w:rsidRPr="00241D16">
              <w:rPr>
                <w:rFonts w:ascii="Arial" w:hAnsi="Arial" w:cs="Arial"/>
                <w:b/>
                <w:bCs/>
                <w:sz w:val="18"/>
                <w:szCs w:val="18"/>
              </w:rPr>
              <w:t>% z celku</w:t>
            </w:r>
          </w:p>
        </w:tc>
      </w:tr>
      <w:tr>
        <w:tblPrEx>
          <w:tblW w:w="9272" w:type="dxa"/>
          <w:tblInd w:w="55" w:type="dxa"/>
          <w:tblCellMar>
            <w:left w:w="70" w:type="dxa"/>
            <w:right w:w="70" w:type="dxa"/>
          </w:tblCellMar>
        </w:tblPrEx>
        <w:trPr>
          <w:trHeight w:val="255"/>
        </w:trPr>
        <w:tc>
          <w:tcPr>
            <w:tcW w:w="2715" w:type="dxa"/>
            <w:tcBorders>
              <w:top w:val="nil"/>
              <w:left w:val="nil"/>
              <w:bottom w:val="nil"/>
              <w:right w:val="nil"/>
              <w:tl2br w:val="nil"/>
              <w:tr2bl w:val="nil"/>
            </w:tcBorders>
            <w:shd w:val="clear" w:color="auto" w:fill="C0C0C0"/>
            <w:noWrap/>
            <w:textDirection w:val="lrTb"/>
            <w:vAlign w:val="bottom"/>
          </w:tcPr>
          <w:p w:rsidR="00C52DD5" w:rsidRPr="006076F5" w:rsidP="00C52DD5">
            <w:pPr>
              <w:rPr>
                <w:rFonts w:ascii="Arial" w:hAnsi="Arial" w:cs="Arial"/>
                <w:b/>
                <w:bCs/>
                <w:sz w:val="20"/>
              </w:rPr>
            </w:pPr>
            <w:r w:rsidRPr="006076F5">
              <w:rPr>
                <w:rFonts w:ascii="Arial" w:hAnsi="Arial" w:cs="Arial"/>
                <w:b/>
                <w:bCs/>
                <w:sz w:val="20"/>
              </w:rPr>
              <w:t>stav k:</w:t>
            </w:r>
          </w:p>
        </w:tc>
        <w:tc>
          <w:tcPr>
            <w:tcW w:w="1440"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31.12.2005</w:t>
            </w:r>
          </w:p>
        </w:tc>
        <w:tc>
          <w:tcPr>
            <w:tcW w:w="1440"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29.12.2006</w:t>
            </w:r>
          </w:p>
        </w:tc>
        <w:tc>
          <w:tcPr>
            <w:tcW w:w="1440"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31.12.2007</w:t>
            </w:r>
          </w:p>
        </w:tc>
        <w:tc>
          <w:tcPr>
            <w:tcW w:w="1096" w:type="dxa"/>
            <w:tcBorders>
              <w:top w:val="nil"/>
              <w:left w:val="nil"/>
              <w:bottom w:val="nil"/>
              <w:right w:val="nil"/>
              <w:tl2br w:val="nil"/>
              <w:tr2bl w:val="nil"/>
            </w:tcBorders>
            <w:shd w:val="clear" w:color="auto" w:fill="C0C0C0"/>
            <w:noWrap/>
            <w:textDirection w:val="lrTb"/>
            <w:vAlign w:val="bottom"/>
          </w:tcPr>
          <w:p w:rsidR="00C52DD5" w:rsidRPr="006076F5" w:rsidP="00C52DD5">
            <w:pPr>
              <w:ind w:right="-45"/>
              <w:jc w:val="center"/>
              <w:rPr>
                <w:rFonts w:ascii="Arial" w:hAnsi="Arial" w:cs="Arial"/>
                <w:b/>
                <w:bCs/>
                <w:sz w:val="20"/>
              </w:rPr>
            </w:pPr>
            <w:r w:rsidRPr="006076F5">
              <w:rPr>
                <w:rFonts w:ascii="Arial" w:hAnsi="Arial" w:cs="Arial"/>
                <w:b/>
                <w:bCs/>
                <w:sz w:val="20"/>
              </w:rPr>
              <w:t>31.12.2007</w:t>
            </w:r>
          </w:p>
        </w:tc>
        <w:tc>
          <w:tcPr>
            <w:tcW w:w="1141" w:type="dxa"/>
            <w:tcBorders>
              <w:top w:val="nil"/>
              <w:left w:val="nil"/>
              <w:bottom w:val="nil"/>
              <w:right w:val="nil"/>
              <w:tl2br w:val="nil"/>
              <w:tr2bl w:val="nil"/>
            </w:tcBorders>
            <w:shd w:val="clear" w:color="auto" w:fill="C0C0C0"/>
            <w:noWrap/>
            <w:textDirection w:val="lrTb"/>
            <w:vAlign w:val="bottom"/>
          </w:tcPr>
          <w:p w:rsidR="00C52DD5" w:rsidRPr="006076F5" w:rsidP="00C52DD5">
            <w:pPr>
              <w:jc w:val="center"/>
              <w:rPr>
                <w:rFonts w:ascii="Arial" w:hAnsi="Arial" w:cs="Arial"/>
                <w:b/>
                <w:bCs/>
                <w:sz w:val="20"/>
              </w:rPr>
            </w:pPr>
            <w:r w:rsidRPr="006076F5">
              <w:rPr>
                <w:rFonts w:ascii="Arial" w:hAnsi="Arial" w:cs="Arial"/>
                <w:b/>
                <w:bCs/>
                <w:sz w:val="20"/>
              </w:rPr>
              <w:t>31.12.2007</w:t>
            </w:r>
          </w:p>
        </w:tc>
      </w:tr>
      <w:tr>
        <w:tblPrEx>
          <w:tblW w:w="9272" w:type="dxa"/>
          <w:tblInd w:w="55" w:type="dxa"/>
          <w:tblCellMar>
            <w:left w:w="70" w:type="dxa"/>
            <w:right w:w="70" w:type="dxa"/>
          </w:tblCellMar>
        </w:tblPrEx>
        <w:trPr>
          <w:trHeight w:val="255"/>
        </w:trPr>
        <w:tc>
          <w:tcPr>
            <w:tcW w:w="2715" w:type="dxa"/>
            <w:tcBorders>
              <w:top w:val="nil"/>
              <w:left w:val="nil"/>
              <w:bottom w:val="nil"/>
              <w:right w:val="nil"/>
              <w:tl2br w:val="nil"/>
              <w:tr2bl w:val="nil"/>
            </w:tcBorders>
            <w:noWrap/>
            <w:textDirection w:val="lrTb"/>
            <w:vAlign w:val="bottom"/>
          </w:tcPr>
          <w:p w:rsidR="00C52DD5" w:rsidRPr="006076F5" w:rsidP="00C52DD5">
            <w:pPr>
              <w:rPr>
                <w:rFonts w:ascii="Arial" w:hAnsi="Arial" w:cs="Arial"/>
                <w:sz w:val="20"/>
              </w:rPr>
            </w:pPr>
            <w:r w:rsidRPr="006076F5">
              <w:rPr>
                <w:rFonts w:ascii="Arial" w:hAnsi="Arial" w:cs="Arial"/>
                <w:sz w:val="20"/>
              </w:rPr>
              <w:t>Dlh verejnej správy - maastrichtský</w:t>
            </w:r>
          </w:p>
        </w:tc>
        <w:tc>
          <w:tcPr>
            <w:tcW w:w="1440" w:type="dxa"/>
            <w:tcBorders>
              <w:top w:val="nil"/>
              <w:left w:val="nil"/>
              <w:bottom w:val="nil"/>
              <w:right w:val="nil"/>
              <w:tl2br w:val="nil"/>
              <w:tr2bl w:val="nil"/>
            </w:tcBorders>
            <w:noWrap/>
            <w:textDirection w:val="lrTb"/>
            <w:vAlign w:val="bottom"/>
          </w:tcPr>
          <w:p w:rsidR="00C52DD5" w:rsidP="00C52DD5">
            <w:pPr>
              <w:jc w:val="right"/>
              <w:rPr>
                <w:rFonts w:ascii="Arial" w:hAnsi="Arial" w:cs="Arial"/>
                <w:b/>
                <w:bCs/>
                <w:sz w:val="20"/>
              </w:rPr>
            </w:pPr>
            <w:r>
              <w:rPr>
                <w:rFonts w:ascii="Arial" w:hAnsi="Arial" w:cs="Arial"/>
                <w:b/>
                <w:bCs/>
                <w:sz w:val="20"/>
              </w:rPr>
              <w:t>16 847</w:t>
            </w:r>
          </w:p>
        </w:tc>
        <w:tc>
          <w:tcPr>
            <w:tcW w:w="1440" w:type="dxa"/>
            <w:tcBorders>
              <w:top w:val="nil"/>
              <w:left w:val="nil"/>
              <w:bottom w:val="nil"/>
              <w:right w:val="nil"/>
              <w:tl2br w:val="nil"/>
              <w:tr2bl w:val="nil"/>
            </w:tcBorders>
            <w:noWrap/>
            <w:textDirection w:val="lrTb"/>
            <w:vAlign w:val="bottom"/>
          </w:tcPr>
          <w:p w:rsidR="00C52DD5" w:rsidP="00C52DD5">
            <w:pPr>
              <w:jc w:val="right"/>
              <w:rPr>
                <w:rFonts w:ascii="Arial" w:hAnsi="Arial" w:cs="Arial"/>
                <w:b/>
                <w:bCs/>
                <w:color w:val="000000"/>
                <w:sz w:val="20"/>
              </w:rPr>
            </w:pPr>
            <w:r>
              <w:rPr>
                <w:rFonts w:ascii="Arial" w:hAnsi="Arial" w:cs="Arial"/>
                <w:b/>
                <w:bCs/>
                <w:color w:val="000000"/>
                <w:sz w:val="20"/>
              </w:rPr>
              <w:t>16 770</w:t>
            </w:r>
          </w:p>
        </w:tc>
        <w:tc>
          <w:tcPr>
            <w:tcW w:w="1440" w:type="dxa"/>
            <w:tcBorders>
              <w:top w:val="nil"/>
              <w:left w:val="nil"/>
              <w:bottom w:val="nil"/>
              <w:right w:val="nil"/>
              <w:tl2br w:val="nil"/>
              <w:tr2bl w:val="nil"/>
            </w:tcBorders>
            <w:noWrap/>
            <w:textDirection w:val="lrTb"/>
            <w:vAlign w:val="bottom"/>
          </w:tcPr>
          <w:p w:rsidR="00C52DD5" w:rsidP="00C52DD5">
            <w:pPr>
              <w:jc w:val="right"/>
              <w:rPr>
                <w:rFonts w:ascii="Arial" w:hAnsi="Arial" w:cs="Arial"/>
                <w:b/>
                <w:bCs/>
                <w:sz w:val="20"/>
              </w:rPr>
            </w:pPr>
            <w:r>
              <w:rPr>
                <w:rFonts w:ascii="Arial" w:hAnsi="Arial" w:cs="Arial"/>
                <w:b/>
                <w:bCs/>
                <w:sz w:val="20"/>
              </w:rPr>
              <w:t>18 053</w:t>
            </w:r>
          </w:p>
        </w:tc>
        <w:tc>
          <w:tcPr>
            <w:tcW w:w="109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b/>
                <w:bCs/>
                <w:sz w:val="20"/>
              </w:rPr>
            </w:pPr>
            <w:r>
              <w:rPr>
                <w:rFonts w:ascii="Arial" w:hAnsi="Arial" w:cs="Arial"/>
                <w:b/>
                <w:bCs/>
                <w:sz w:val="20"/>
              </w:rPr>
              <w:t>29,4</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b/>
                <w:bCs/>
                <w:sz w:val="20"/>
              </w:rPr>
            </w:pPr>
            <w:r>
              <w:rPr>
                <w:rFonts w:ascii="Arial" w:hAnsi="Arial" w:cs="Arial"/>
                <w:b/>
                <w:bCs/>
                <w:sz w:val="20"/>
              </w:rPr>
              <w:t>100,0</w:t>
            </w:r>
          </w:p>
        </w:tc>
      </w:tr>
      <w:tr>
        <w:tblPrEx>
          <w:tblW w:w="9272" w:type="dxa"/>
          <w:tblInd w:w="55" w:type="dxa"/>
          <w:tblCellMar>
            <w:left w:w="70" w:type="dxa"/>
            <w:right w:w="70" w:type="dxa"/>
          </w:tblCellMar>
        </w:tblPrEx>
        <w:trPr>
          <w:trHeight w:val="510"/>
        </w:trPr>
        <w:tc>
          <w:tcPr>
            <w:tcW w:w="2715" w:type="dxa"/>
            <w:tcBorders>
              <w:top w:val="nil"/>
              <w:left w:val="nil"/>
              <w:bottom w:val="nil"/>
              <w:right w:val="nil"/>
              <w:tl2br w:val="nil"/>
              <w:tr2bl w:val="nil"/>
            </w:tcBorders>
            <w:textDirection w:val="lrTb"/>
            <w:vAlign w:val="top"/>
          </w:tcPr>
          <w:p w:rsidR="00C52DD5" w:rsidRPr="006076F5" w:rsidP="00C52DD5">
            <w:pPr>
              <w:jc w:val="both"/>
              <w:rPr>
                <w:rFonts w:ascii="Arial" w:hAnsi="Arial" w:cs="Arial"/>
                <w:color w:val="000000"/>
                <w:sz w:val="20"/>
              </w:rPr>
            </w:pPr>
            <w:r w:rsidRPr="006076F5">
              <w:rPr>
                <w:rFonts w:ascii="Arial" w:hAnsi="Arial" w:cs="Arial"/>
                <w:color w:val="000000"/>
                <w:sz w:val="20"/>
              </w:rPr>
              <w:t>Štátny dlh (vrátane vkladov dobrov. klientov ŠP)</w:t>
            </w:r>
          </w:p>
        </w:tc>
        <w:tc>
          <w:tcPr>
            <w:tcW w:w="1440"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16 261</w:t>
            </w:r>
          </w:p>
        </w:tc>
        <w:tc>
          <w:tcPr>
            <w:tcW w:w="1440"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16 127</w:t>
            </w:r>
          </w:p>
        </w:tc>
        <w:tc>
          <w:tcPr>
            <w:tcW w:w="1440"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17 335</w:t>
            </w:r>
          </w:p>
        </w:tc>
        <w:tc>
          <w:tcPr>
            <w:tcW w:w="109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28</w:t>
            </w:r>
            <w:r>
              <w:rPr>
                <w:rFonts w:ascii="Arial" w:hAnsi="Arial" w:cs="Arial"/>
                <w:sz w:val="20"/>
              </w:rPr>
              <w:t>,2</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96,0</w:t>
            </w:r>
          </w:p>
        </w:tc>
      </w:tr>
      <w:tr>
        <w:tblPrEx>
          <w:tblW w:w="9272" w:type="dxa"/>
          <w:tblInd w:w="55" w:type="dxa"/>
          <w:tblCellMar>
            <w:left w:w="70" w:type="dxa"/>
            <w:right w:w="70" w:type="dxa"/>
          </w:tblCellMar>
        </w:tblPrEx>
        <w:trPr>
          <w:trHeight w:val="510"/>
        </w:trPr>
        <w:tc>
          <w:tcPr>
            <w:tcW w:w="2715" w:type="dxa"/>
            <w:tcBorders>
              <w:top w:val="nil"/>
              <w:left w:val="nil"/>
              <w:bottom w:val="nil"/>
              <w:right w:val="nil"/>
              <w:tl2br w:val="nil"/>
              <w:tr2bl w:val="nil"/>
            </w:tcBorders>
            <w:textDirection w:val="lrTb"/>
            <w:vAlign w:val="top"/>
          </w:tcPr>
          <w:p w:rsidR="00C52DD5" w:rsidRPr="006076F5" w:rsidP="00C52DD5">
            <w:pPr>
              <w:rPr>
                <w:rFonts w:ascii="Arial" w:hAnsi="Arial" w:cs="Arial"/>
                <w:sz w:val="20"/>
              </w:rPr>
            </w:pPr>
            <w:r w:rsidRPr="006076F5">
              <w:rPr>
                <w:rFonts w:ascii="Arial" w:hAnsi="Arial" w:cs="Arial"/>
                <w:sz w:val="20"/>
              </w:rPr>
              <w:t>Dlh ostatných zložiek verejnej správy</w:t>
            </w:r>
          </w:p>
        </w:tc>
        <w:tc>
          <w:tcPr>
            <w:tcW w:w="1440"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586</w:t>
            </w:r>
          </w:p>
        </w:tc>
        <w:tc>
          <w:tcPr>
            <w:tcW w:w="1440"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643</w:t>
            </w:r>
          </w:p>
        </w:tc>
        <w:tc>
          <w:tcPr>
            <w:tcW w:w="1440" w:type="dxa"/>
            <w:tcBorders>
              <w:top w:val="nil"/>
              <w:left w:val="nil"/>
              <w:bottom w:val="nil"/>
              <w:right w:val="nil"/>
              <w:tl2br w:val="nil"/>
              <w:tr2bl w:val="nil"/>
            </w:tcBorders>
            <w:noWrap/>
            <w:textDirection w:val="lrTb"/>
            <w:vAlign w:val="bottom"/>
          </w:tcPr>
          <w:p w:rsidR="00C52DD5" w:rsidP="00C52DD5">
            <w:pPr>
              <w:jc w:val="right"/>
              <w:rPr>
                <w:rFonts w:ascii="Arial" w:hAnsi="Arial" w:cs="Arial"/>
                <w:sz w:val="20"/>
              </w:rPr>
            </w:pPr>
            <w:r>
              <w:rPr>
                <w:rFonts w:ascii="Arial" w:hAnsi="Arial" w:cs="Arial"/>
                <w:sz w:val="20"/>
              </w:rPr>
              <w:t>717</w:t>
            </w:r>
          </w:p>
        </w:tc>
        <w:tc>
          <w:tcPr>
            <w:tcW w:w="1096"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1,2</w:t>
            </w:r>
          </w:p>
        </w:tc>
        <w:tc>
          <w:tcPr>
            <w:tcW w:w="11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Pr>
                <w:rFonts w:ascii="Arial" w:hAnsi="Arial" w:cs="Arial"/>
                <w:sz w:val="20"/>
              </w:rPr>
              <w:t>4,0</w:t>
            </w:r>
          </w:p>
        </w:tc>
      </w:tr>
      <w:tr>
        <w:tblPrEx>
          <w:tblW w:w="9272" w:type="dxa"/>
          <w:tblInd w:w="55" w:type="dxa"/>
          <w:tblCellMar>
            <w:left w:w="70" w:type="dxa"/>
            <w:right w:w="70" w:type="dxa"/>
          </w:tblCellMar>
        </w:tblPrEx>
        <w:trPr>
          <w:trHeight w:val="255"/>
        </w:trPr>
        <w:tc>
          <w:tcPr>
            <w:tcW w:w="9272" w:type="dxa"/>
            <w:gridSpan w:val="6"/>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i/>
                <w:iCs/>
                <w:sz w:val="16"/>
                <w:szCs w:val="16"/>
              </w:rPr>
            </w:pPr>
            <w:r w:rsidRPr="006076F5">
              <w:rPr>
                <w:rFonts w:ascii="Arial" w:hAnsi="Arial" w:cs="Arial"/>
                <w:i/>
                <w:iCs/>
                <w:sz w:val="16"/>
                <w:szCs w:val="16"/>
              </w:rPr>
              <w:t>Zdroj: MF SR</w:t>
            </w:r>
          </w:p>
        </w:tc>
      </w:tr>
    </w:tbl>
    <w:p w:rsidR="00C52DD5" w:rsidRPr="00480931" w:rsidP="00C52DD5">
      <w:pPr>
        <w:rPr>
          <w:rFonts w:cs="Times New Roman"/>
        </w:rPr>
      </w:pPr>
      <w:bookmarkStart w:id="2" w:name="_Toc202955834"/>
    </w:p>
    <w:p w:rsidR="00C52DD5" w:rsidRPr="00B86A16" w:rsidP="00C52DD5">
      <w:pPr>
        <w:pStyle w:val="Heading1"/>
        <w:numPr>
          <w:ilvl w:val="0"/>
          <w:numId w:val="201"/>
        </w:numPr>
        <w:tabs>
          <w:tab w:val="left" w:pos="360"/>
        </w:tabs>
        <w:spacing w:before="0"/>
        <w:rPr>
          <w:rFonts w:ascii="Arial Narrow" w:hAnsi="Arial Narrow"/>
          <w:sz w:val="24"/>
          <w:szCs w:val="24"/>
        </w:rPr>
      </w:pPr>
      <w:r w:rsidRPr="00B86A16">
        <w:rPr>
          <w:rFonts w:ascii="Arial Narrow" w:hAnsi="Arial Narrow"/>
          <w:sz w:val="24"/>
          <w:szCs w:val="24"/>
        </w:rPr>
        <w:t>Vyhodnotenie plnenia cieľov stanovených v stratégii</w:t>
      </w:r>
      <w:bookmarkEnd w:id="2"/>
    </w:p>
    <w:p w:rsidR="00C52DD5" w:rsidRPr="00480931" w:rsidP="00C52DD5">
      <w:pPr>
        <w:rPr>
          <w:rFonts w:cs="Times New Roman"/>
        </w:rPr>
      </w:pPr>
    </w:p>
    <w:p w:rsidR="00C52DD5" w:rsidRPr="006076F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Z hľadiska súčasného stavu dlhového portfólia schválená stratégia riadenia štátneho dlhu pre roky 2007 až 2010 vychádza z potrieb zlepšovania a udržiavania súčasného stavu parametrov štátneho dlhu. Hlavné ciele stratégie sú:</w:t>
      </w:r>
    </w:p>
    <w:p w:rsidR="00C52DD5" w:rsidRPr="006076F5" w:rsidP="00C52DD5">
      <w:pPr>
        <w:numPr>
          <w:ilvl w:val="0"/>
          <w:numId w:val="198"/>
        </w:numPr>
        <w:tabs>
          <w:tab w:val="left" w:pos="360"/>
        </w:tabs>
        <w:spacing w:after="120"/>
        <w:ind w:left="540" w:hanging="357"/>
        <w:jc w:val="both"/>
        <w:rPr>
          <w:rFonts w:ascii="Arial Narrow" w:hAnsi="Arial Narrow" w:cs="Times New Roman"/>
          <w:sz w:val="22"/>
          <w:szCs w:val="22"/>
        </w:rPr>
      </w:pPr>
      <w:r w:rsidRPr="006076F5">
        <w:rPr>
          <w:rFonts w:ascii="Arial Narrow" w:hAnsi="Arial Narrow" w:cs="Times New Roman"/>
          <w:sz w:val="22"/>
          <w:szCs w:val="22"/>
        </w:rPr>
        <w:t>Zmenšenie počtu emisií nových štátnych cenných papierov a štandardizovanie veľkosti jednotlivých emisií</w:t>
      </w:r>
    </w:p>
    <w:p w:rsidR="00C52DD5" w:rsidRPr="006076F5" w:rsidP="00C52DD5">
      <w:pPr>
        <w:numPr>
          <w:ilvl w:val="0"/>
          <w:numId w:val="198"/>
        </w:numPr>
        <w:tabs>
          <w:tab w:val="left" w:pos="360"/>
        </w:tabs>
        <w:spacing w:after="120"/>
        <w:ind w:left="540" w:hanging="357"/>
        <w:jc w:val="both"/>
        <w:rPr>
          <w:rFonts w:ascii="Arial Narrow" w:hAnsi="Arial Narrow" w:cs="Times New Roman"/>
          <w:sz w:val="22"/>
          <w:szCs w:val="22"/>
        </w:rPr>
      </w:pPr>
      <w:r w:rsidRPr="006076F5">
        <w:rPr>
          <w:rFonts w:ascii="Arial Narrow" w:hAnsi="Arial Narrow" w:cs="Times New Roman"/>
          <w:sz w:val="22"/>
          <w:szCs w:val="22"/>
        </w:rPr>
        <w:t>Zlepšenie transparentnosti zámerov emitenta (MF SR) a jeho komunikácie s investormi a finančnými trhmi</w:t>
      </w:r>
    </w:p>
    <w:p w:rsidR="00C52DD5" w:rsidRPr="006076F5" w:rsidP="00C52DD5">
      <w:pPr>
        <w:numPr>
          <w:ilvl w:val="0"/>
          <w:numId w:val="198"/>
        </w:numPr>
        <w:tabs>
          <w:tab w:val="left" w:pos="360"/>
        </w:tabs>
        <w:spacing w:after="120"/>
        <w:ind w:left="540" w:hanging="357"/>
        <w:jc w:val="both"/>
        <w:rPr>
          <w:rFonts w:ascii="Arial Narrow" w:hAnsi="Arial Narrow" w:cs="Times New Roman"/>
          <w:sz w:val="22"/>
          <w:szCs w:val="22"/>
        </w:rPr>
      </w:pPr>
      <w:r w:rsidRPr="006076F5">
        <w:rPr>
          <w:rFonts w:ascii="Arial Narrow" w:hAnsi="Arial Narrow" w:cs="Times New Roman"/>
          <w:sz w:val="22"/>
          <w:szCs w:val="22"/>
        </w:rPr>
        <w:t>Optimalizácia</w:t>
      </w:r>
      <w:r>
        <w:rPr>
          <w:rFonts w:ascii="Arial Narrow" w:hAnsi="Arial Narrow" w:cs="Times New Roman"/>
          <w:sz w:val="22"/>
          <w:szCs w:val="22"/>
        </w:rPr>
        <w:t xml:space="preserve"> </w:t>
      </w:r>
      <w:r w:rsidRPr="006076F5">
        <w:rPr>
          <w:rFonts w:ascii="Arial Narrow" w:hAnsi="Arial Narrow" w:cs="Times New Roman"/>
          <w:sz w:val="22"/>
          <w:szCs w:val="22"/>
        </w:rPr>
        <w:t>výdavkov štátneho rozpočtu na obsluhu štátneho dlhu</w:t>
      </w:r>
    </w:p>
    <w:p w:rsidR="00C52DD5" w:rsidRPr="006076F5" w:rsidP="00C52DD5">
      <w:pPr>
        <w:numPr>
          <w:ilvl w:val="0"/>
          <w:numId w:val="198"/>
        </w:numPr>
        <w:tabs>
          <w:tab w:val="clear" w:pos="360"/>
        </w:tabs>
        <w:spacing w:after="120"/>
        <w:ind w:hanging="180"/>
        <w:jc w:val="both"/>
        <w:rPr>
          <w:rFonts w:ascii="Arial Narrow" w:hAnsi="Arial Narrow" w:cs="Times New Roman"/>
          <w:sz w:val="22"/>
          <w:szCs w:val="22"/>
        </w:rPr>
      </w:pPr>
      <w:r w:rsidRPr="006076F5">
        <w:rPr>
          <w:rFonts w:ascii="Arial Narrow" w:hAnsi="Arial Narrow" w:cs="Times New Roman"/>
          <w:sz w:val="22"/>
          <w:szCs w:val="22"/>
        </w:rPr>
        <w:t>Dosiahnutie a udržanie stanovených limitov pre refinančné a úrokové riziko, ako aj  udržanie dosiahnutej priemernej splatnosti portfólia štátnych cenných papierov a durácie portfólia štátnych cenných papierov ako sekundárnych veličín</w:t>
      </w:r>
    </w:p>
    <w:p w:rsidR="00C52DD5" w:rsidRPr="006076F5" w:rsidP="00C52DD5">
      <w:pPr>
        <w:numPr>
          <w:ilvl w:val="0"/>
          <w:numId w:val="198"/>
        </w:numPr>
        <w:tabs>
          <w:tab w:val="left" w:pos="360"/>
        </w:tabs>
        <w:spacing w:after="120"/>
        <w:ind w:left="540" w:hanging="357"/>
        <w:jc w:val="both"/>
        <w:rPr>
          <w:rFonts w:ascii="Arial Narrow" w:hAnsi="Arial Narrow" w:cs="Times New Roman"/>
          <w:sz w:val="22"/>
          <w:szCs w:val="22"/>
        </w:rPr>
      </w:pPr>
      <w:r w:rsidRPr="006076F5">
        <w:rPr>
          <w:rFonts w:ascii="Arial Narrow" w:hAnsi="Arial Narrow" w:cs="Times New Roman"/>
          <w:sz w:val="22"/>
          <w:szCs w:val="22"/>
        </w:rPr>
        <w:t xml:space="preserve">Postupné zväčšovanie podielu štátneho dlhu v zahraničných menách v pomere k slovenským korunám </w:t>
      </w:r>
    </w:p>
    <w:p w:rsidR="00C52DD5" w:rsidRPr="006076F5" w:rsidP="00C52DD5">
      <w:pPr>
        <w:numPr>
          <w:ilvl w:val="0"/>
          <w:numId w:val="198"/>
        </w:numPr>
        <w:tabs>
          <w:tab w:val="left" w:pos="360"/>
        </w:tabs>
        <w:spacing w:after="120"/>
        <w:ind w:hanging="177"/>
        <w:jc w:val="both"/>
        <w:rPr>
          <w:rFonts w:ascii="Arial Narrow" w:hAnsi="Arial Narrow" w:cs="Times New Roman"/>
          <w:sz w:val="22"/>
          <w:szCs w:val="22"/>
        </w:rPr>
      </w:pPr>
      <w:r w:rsidRPr="006076F5">
        <w:rPr>
          <w:rFonts w:ascii="Arial Narrow" w:hAnsi="Arial Narrow" w:cs="Times New Roman"/>
          <w:sz w:val="22"/>
          <w:szCs w:val="22"/>
        </w:rPr>
        <w:t xml:space="preserve">Prehodnotenie </w:t>
      </w:r>
      <w:r>
        <w:rPr>
          <w:rFonts w:ascii="Arial Narrow" w:hAnsi="Arial Narrow" w:cs="Times New Roman"/>
          <w:sz w:val="22"/>
          <w:szCs w:val="22"/>
        </w:rPr>
        <w:t xml:space="preserve">možnosti </w:t>
      </w:r>
      <w:r w:rsidRPr="006076F5">
        <w:rPr>
          <w:rFonts w:ascii="Arial Narrow" w:hAnsi="Arial Narrow" w:cs="Times New Roman"/>
          <w:sz w:val="22"/>
          <w:szCs w:val="22"/>
        </w:rPr>
        <w:t>a v prípade vhodných podmienok na trhu uskutočnenie emisie štátnych dlhopisov pre obyvateľstvo.</w:t>
      </w:r>
    </w:p>
    <w:p w:rsidR="00C52DD5" w:rsidRPr="009D7ED1" w:rsidP="00C52DD5">
      <w:pPr>
        <w:pStyle w:val="Heading3"/>
        <w:numPr>
          <w:ilvl w:val="1"/>
          <w:numId w:val="201"/>
        </w:numPr>
        <w:tabs>
          <w:tab w:val="left" w:pos="792"/>
        </w:tabs>
        <w:ind w:left="811" w:hanging="454"/>
        <w:jc w:val="both"/>
        <w:rPr>
          <w:rFonts w:ascii="Arial Narrow" w:hAnsi="Arial Narrow"/>
          <w:sz w:val="22"/>
          <w:szCs w:val="22"/>
        </w:rPr>
      </w:pPr>
      <w:bookmarkStart w:id="3" w:name="_Toc202955835"/>
      <w:r>
        <w:t xml:space="preserve"> </w:t>
      </w:r>
      <w:r w:rsidRPr="009D7ED1">
        <w:rPr>
          <w:rFonts w:ascii="Arial Narrow" w:hAnsi="Arial Narrow"/>
          <w:sz w:val="22"/>
          <w:szCs w:val="22"/>
        </w:rPr>
        <w:t>Zmenšenie počtu emisií nových štátnych cenných papierov a štandardizovanie ich veľkosti</w:t>
      </w:r>
      <w:bookmarkEnd w:id="3"/>
    </w:p>
    <w:p w:rsidR="00C52DD5" w:rsidRPr="006076F5" w:rsidP="00C52DD5">
      <w:pPr>
        <w:spacing w:before="120" w:after="120"/>
        <w:ind w:firstLine="709"/>
        <w:jc w:val="both"/>
        <w:rPr>
          <w:rFonts w:ascii="Arial Narrow" w:hAnsi="Arial Narrow" w:cs="Times New Roman"/>
          <w:sz w:val="22"/>
          <w:szCs w:val="22"/>
        </w:rPr>
      </w:pPr>
      <w:r w:rsidRPr="006076F5">
        <w:rPr>
          <w:rFonts w:ascii="Arial Narrow" w:hAnsi="Arial Narrow" w:cs="Times New Roman"/>
          <w:sz w:val="22"/>
          <w:szCs w:val="22"/>
        </w:rPr>
        <w:t xml:space="preserve">V roku 2007 ako aj začiatkom roku 2008 MF SR prostredníctvom ARDAL pokračovalo v emisnej politike v súlade so stratégiou a  v roku 2007 boli otvorené dve nové emisie štátnych dlhopisov ŠD (3 ročný s nulovým kupónom a 10 ročný s fixným kupónom). V roku 2008 bola dosiaľ otvorená jedna nová emisia ŠD (3 ročný s nulovým kupónom). Pri všetkých emisiách bola zachovaná maximálna menovitá hodnota </w:t>
      </w:r>
      <w:r>
        <w:rPr>
          <w:rFonts w:ascii="Arial Narrow" w:hAnsi="Arial Narrow" w:cs="Times New Roman"/>
          <w:sz w:val="22"/>
          <w:szCs w:val="22"/>
        </w:rPr>
        <w:t>1,33 mld. eur (</w:t>
      </w:r>
      <w:r w:rsidRPr="006076F5">
        <w:rPr>
          <w:rFonts w:ascii="Arial Narrow" w:hAnsi="Arial Narrow" w:cs="Times New Roman"/>
          <w:sz w:val="22"/>
          <w:szCs w:val="22"/>
        </w:rPr>
        <w:t>40 mld. Sk</w:t>
      </w:r>
      <w:r>
        <w:rPr>
          <w:rFonts w:ascii="Arial Narrow" w:hAnsi="Arial Narrow" w:cs="Times New Roman"/>
          <w:sz w:val="22"/>
          <w:szCs w:val="22"/>
        </w:rPr>
        <w:t>)</w:t>
      </w:r>
      <w:r w:rsidRPr="006076F5">
        <w:rPr>
          <w:rFonts w:ascii="Arial Narrow" w:hAnsi="Arial Narrow" w:cs="Times New Roman"/>
          <w:sz w:val="22"/>
          <w:szCs w:val="22"/>
        </w:rPr>
        <w:t>. Splatnosť nových štátnych dlhopisov bola určená na základe profilu splatnosti štátneho dlhu v jednotlivých rokoch. V roku 2007 ARDAL vstupovala na primárny trh so </w:t>
      </w:r>
      <w:r>
        <w:rPr>
          <w:rFonts w:ascii="Arial Narrow" w:hAnsi="Arial Narrow" w:cs="Times New Roman"/>
          <w:sz w:val="22"/>
          <w:szCs w:val="22"/>
        </w:rPr>
        <w:t>šiestimi</w:t>
      </w:r>
      <w:r w:rsidRPr="006076F5">
        <w:rPr>
          <w:rFonts w:ascii="Arial Narrow" w:hAnsi="Arial Narrow" w:cs="Times New Roman"/>
          <w:sz w:val="22"/>
          <w:szCs w:val="22"/>
        </w:rPr>
        <w:t xml:space="preserve"> otvorenými emisiami. Pre porovnanie v roku 2002 bolo na trh uvedených 25 emisií a v roku 2003 to bolo 21 emisií ŠD.</w:t>
      </w:r>
    </w:p>
    <w:p w:rsidR="00C52DD5" w:rsidRPr="006076F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 xml:space="preserve">Okrem korunových emisií ARDAL v roku 2007 úspešne umiestnila na európskom trhu jednu emisiu Eurobondu s pevným úročením, v menovitej hodnote 1 mld. </w:t>
      </w:r>
      <w:r>
        <w:rPr>
          <w:rFonts w:ascii="Arial Narrow" w:hAnsi="Arial Narrow" w:cs="Times New Roman"/>
          <w:sz w:val="22"/>
          <w:szCs w:val="22"/>
        </w:rPr>
        <w:t>eur</w:t>
      </w:r>
      <w:r w:rsidRPr="006076F5">
        <w:rPr>
          <w:rFonts w:ascii="Arial Narrow" w:hAnsi="Arial Narrow" w:cs="Times New Roman"/>
          <w:sz w:val="22"/>
          <w:szCs w:val="22"/>
        </w:rPr>
        <w:t xml:space="preserve"> a so splatnosťou 10 rokov. </w:t>
      </w:r>
    </w:p>
    <w:p w:rsidR="00C52DD5" w:rsidRPr="009D7ED1" w:rsidP="00C52DD5">
      <w:pPr>
        <w:pStyle w:val="Heading3"/>
        <w:numPr>
          <w:ilvl w:val="1"/>
          <w:numId w:val="201"/>
        </w:numPr>
        <w:tabs>
          <w:tab w:val="left" w:pos="792"/>
        </w:tabs>
        <w:ind w:left="357" w:firstLine="0"/>
        <w:rPr>
          <w:rFonts w:ascii="Arial Narrow" w:hAnsi="Arial Narrow"/>
          <w:sz w:val="22"/>
          <w:szCs w:val="22"/>
        </w:rPr>
      </w:pPr>
      <w:bookmarkStart w:id="4" w:name="_Toc202955836"/>
      <w:r>
        <w:t xml:space="preserve"> </w:t>
      </w:r>
      <w:r w:rsidRPr="009D7ED1">
        <w:rPr>
          <w:rFonts w:ascii="Arial Narrow" w:hAnsi="Arial Narrow"/>
          <w:sz w:val="22"/>
          <w:szCs w:val="22"/>
        </w:rPr>
        <w:t>Zlepšenie transparentnosti zámerov emitenta (MF SR)</w:t>
      </w:r>
      <w:bookmarkEnd w:id="4"/>
    </w:p>
    <w:p w:rsidR="00C52DD5" w:rsidRPr="00414576" w:rsidP="00C52DD5">
      <w:pPr>
        <w:rPr>
          <w:rFonts w:cs="Times New Roman"/>
        </w:rPr>
      </w:pPr>
    </w:p>
    <w:p w:rsidR="00C52DD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 xml:space="preserve">Aj v roku 2007 ARDAL pokračovala v štandardnej komunikácii s finančnými trhmi a investormi doma aj v zahraničí. V závere roka 2007 bol vypracovaný a zverejnený záväzný harmonogram vydávania štátnych cenných papierov na rok 2008. Publikovanie záväzného harmonogramu na celý rok vopred a jeho záväznosť sú pozitívne hodnotené domácimi a zahraničnými investormi a finančnými trhmi. Na pravidelných interaktívnych stretnutiach s investormi ARDAL informuje o aktuálnych zámeroch MF SR a ARDAL v oblasti primárneho a sekundárneho trhu štátnych cenných papierov. Predmetom stretnutí je aj vyhodnotenie predaja štátnych cenných papierov v uplynulom období. </w:t>
      </w:r>
    </w:p>
    <w:p w:rsidR="009D7ED1" w:rsidP="00C52DD5">
      <w:pPr>
        <w:spacing w:after="120"/>
        <w:ind w:firstLine="709"/>
        <w:jc w:val="both"/>
        <w:rPr>
          <w:rFonts w:ascii="Arial Narrow" w:hAnsi="Arial Narrow" w:cs="Times New Roman"/>
          <w:sz w:val="22"/>
          <w:szCs w:val="22"/>
        </w:rPr>
      </w:pPr>
    </w:p>
    <w:p w:rsidR="009D7ED1" w:rsidP="00C52DD5">
      <w:pPr>
        <w:spacing w:after="120"/>
        <w:ind w:firstLine="709"/>
        <w:jc w:val="both"/>
        <w:rPr>
          <w:rFonts w:ascii="Arial Narrow" w:hAnsi="Arial Narrow" w:cs="Times New Roman"/>
          <w:sz w:val="22"/>
          <w:szCs w:val="22"/>
        </w:rPr>
      </w:pPr>
    </w:p>
    <w:p w:rsidR="009D7ED1" w:rsidRPr="006076F5" w:rsidP="00C52DD5">
      <w:pPr>
        <w:spacing w:after="120"/>
        <w:ind w:firstLine="709"/>
        <w:jc w:val="both"/>
        <w:rPr>
          <w:rFonts w:ascii="Arial Narrow" w:hAnsi="Arial Narrow" w:cs="Times New Roman"/>
          <w:sz w:val="22"/>
          <w:szCs w:val="22"/>
        </w:rPr>
      </w:pPr>
    </w:p>
    <w:p w:rsidR="00C52DD5" w:rsidP="00C52DD5">
      <w:pPr>
        <w:pStyle w:val="Heading3"/>
        <w:numPr>
          <w:ilvl w:val="1"/>
          <w:numId w:val="201"/>
        </w:numPr>
        <w:tabs>
          <w:tab w:val="left" w:pos="792"/>
        </w:tabs>
        <w:ind w:left="867" w:hanging="510"/>
        <w:jc w:val="both"/>
        <w:rPr>
          <w:rFonts w:ascii="Arial Narrow" w:hAnsi="Arial Narrow"/>
          <w:sz w:val="22"/>
          <w:szCs w:val="22"/>
        </w:rPr>
      </w:pPr>
      <w:bookmarkStart w:id="5" w:name="_Toc202955837"/>
      <w:r w:rsidRPr="009D7ED1">
        <w:rPr>
          <w:rFonts w:ascii="Arial Narrow" w:hAnsi="Arial Narrow"/>
          <w:sz w:val="22"/>
          <w:szCs w:val="22"/>
        </w:rPr>
        <w:t>Optimalizácia výdavkov štátneho rozpočtu na obsluhu štátneho dlhu</w:t>
      </w:r>
      <w:bookmarkEnd w:id="5"/>
    </w:p>
    <w:p w:rsidR="009D7ED1" w:rsidRPr="009D7ED1" w:rsidP="009D7ED1">
      <w:pPr>
        <w:rPr>
          <w:rFonts w:cs="Times New Roman"/>
        </w:rPr>
      </w:pPr>
    </w:p>
    <w:p w:rsidR="00C52DD5" w:rsidRPr="006076F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Priemerná úroková sadzba novo emitovaných štátnych dlhopisov na domácom trhu oproti roku 2006 mierne vzrástla zo 4,064 % p. a. na 4,160 % p. a. Napriek tomu, že trhové úrokové sadzby dlhších splatností rástli a došlo v medziročnom porovnaní k nárastu v priemere o 0,8 percentuálneho bodu p. a., ARDAL-u sa podarilo udržať náklady štátnych dlhopisov na približne rovnakej úrovni.</w:t>
      </w:r>
    </w:p>
    <w:p w:rsidR="00C52DD5" w:rsidRPr="006076F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 xml:space="preserve">V súlade so zámerom uvedeným v stratégii riadenia dlhu vydať každý rok jeden Eurobond Slovensko emitovalo v roku 2007 dlhopis na európskom trhu. Vydaný dlhopis mal splatnosť 10 rokov  pri menovitej hodnote 1 mld. </w:t>
      </w:r>
      <w:r>
        <w:rPr>
          <w:rFonts w:ascii="Arial Narrow" w:hAnsi="Arial Narrow" w:cs="Times New Roman"/>
          <w:sz w:val="22"/>
          <w:szCs w:val="22"/>
        </w:rPr>
        <w:t>eur</w:t>
      </w:r>
      <w:r w:rsidRPr="006076F5">
        <w:rPr>
          <w:rFonts w:ascii="Arial Narrow" w:hAnsi="Arial Narrow" w:cs="Times New Roman"/>
          <w:sz w:val="22"/>
          <w:szCs w:val="22"/>
        </w:rPr>
        <w:t xml:space="preserve"> a pevnej úrokovej sadzbe 4,375 % p. a.</w:t>
      </w:r>
    </w:p>
    <w:p w:rsidR="00C52DD5" w:rsidRPr="006076F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K 31.12.2007 bola priemerná úroková sadzba portfólia nesplatených štátnych dlhopisov denominovaných v slovenských korunách 4,355 % p. a. (vážená hodnotou), štátnych dlhopisov denominovaných v </w:t>
      </w:r>
      <w:r>
        <w:rPr>
          <w:rFonts w:ascii="Arial Narrow" w:hAnsi="Arial Narrow" w:cs="Times New Roman"/>
          <w:sz w:val="22"/>
          <w:szCs w:val="22"/>
        </w:rPr>
        <w:t>eur</w:t>
      </w:r>
      <w:r w:rsidRPr="006076F5">
        <w:rPr>
          <w:rFonts w:ascii="Arial Narrow" w:hAnsi="Arial Narrow" w:cs="Times New Roman"/>
          <w:sz w:val="22"/>
          <w:szCs w:val="22"/>
        </w:rPr>
        <w:t xml:space="preserve"> 4,804 % p. a. a celého portfólia 4,464 % p. a. (pokles z hodnoty 4,841 % p. a. z konca roka 2006).</w:t>
      </w:r>
    </w:p>
    <w:p w:rsidR="00C52DD5" w:rsidRPr="006076F5" w:rsidP="00C52DD5">
      <w:pPr>
        <w:ind w:firstLine="709"/>
        <w:jc w:val="both"/>
        <w:rPr>
          <w:rFonts w:ascii="Arial Narrow" w:hAnsi="Arial Narrow" w:cs="Times New Roman"/>
          <w:sz w:val="22"/>
          <w:szCs w:val="22"/>
        </w:rPr>
      </w:pPr>
      <w:r w:rsidRPr="006076F5">
        <w:rPr>
          <w:rFonts w:ascii="Arial Narrow" w:hAnsi="Arial Narrow" w:cs="Times New Roman"/>
          <w:sz w:val="22"/>
          <w:szCs w:val="22"/>
        </w:rPr>
        <w:t xml:space="preserve">V priebehu roku 2007 sa uskutočnilo predčasne splatenie 3 vládnych úverov od domácich bánk a v prípade jedného domáceho úveru boli upravené úverové podmienky. Uvedenými zmenami sa dosiahla úspora úrokov v súhrnnej hodnote </w:t>
      </w:r>
      <w:r>
        <w:rPr>
          <w:rFonts w:ascii="Arial Narrow" w:hAnsi="Arial Narrow" w:cs="Times New Roman"/>
          <w:sz w:val="22"/>
          <w:szCs w:val="22"/>
        </w:rPr>
        <w:t>2 367 513 eur</w:t>
      </w:r>
      <w:r w:rsidRPr="006076F5">
        <w:rPr>
          <w:rFonts w:ascii="Arial Narrow" w:hAnsi="Arial Narrow" w:cs="Times New Roman"/>
          <w:sz w:val="22"/>
          <w:szCs w:val="22"/>
        </w:rPr>
        <w:t>.</w:t>
      </w:r>
    </w:p>
    <w:p w:rsidR="00C52DD5" w:rsidRPr="009D7ED1" w:rsidP="00C52DD5">
      <w:pPr>
        <w:pStyle w:val="Heading3"/>
        <w:numPr>
          <w:ilvl w:val="1"/>
          <w:numId w:val="201"/>
        </w:numPr>
        <w:tabs>
          <w:tab w:val="left" w:pos="792"/>
        </w:tabs>
        <w:spacing w:after="240"/>
        <w:ind w:left="357" w:firstLine="0"/>
        <w:rPr>
          <w:rFonts w:ascii="Arial Narrow" w:hAnsi="Arial Narrow"/>
          <w:sz w:val="22"/>
          <w:szCs w:val="22"/>
        </w:rPr>
      </w:pPr>
      <w:bookmarkStart w:id="6" w:name="_Toc202955838"/>
      <w:r w:rsidRPr="009D7ED1">
        <w:rPr>
          <w:rFonts w:ascii="Arial Narrow" w:hAnsi="Arial Narrow"/>
          <w:sz w:val="22"/>
          <w:szCs w:val="22"/>
        </w:rPr>
        <w:t>Vyhodnotenie ukazovateľov stanovených v stratégii</w:t>
      </w:r>
      <w:bookmarkEnd w:id="6"/>
      <w:r w:rsidRPr="009D7ED1">
        <w:rPr>
          <w:rFonts w:ascii="Arial Narrow" w:hAnsi="Arial Narrow"/>
          <w:sz w:val="22"/>
          <w:szCs w:val="22"/>
        </w:rPr>
        <w:t xml:space="preserve"> </w:t>
      </w:r>
    </w:p>
    <w:p w:rsidR="00C52DD5" w:rsidRPr="006076F5" w:rsidP="00C52DD5">
      <w:pPr>
        <w:spacing w:before="120" w:after="120"/>
        <w:ind w:firstLine="709"/>
        <w:jc w:val="both"/>
        <w:rPr>
          <w:rFonts w:ascii="Arial Narrow" w:hAnsi="Arial Narrow" w:cs="Times New Roman"/>
          <w:sz w:val="22"/>
          <w:szCs w:val="22"/>
        </w:rPr>
      </w:pPr>
      <w:r w:rsidRPr="006076F5">
        <w:rPr>
          <w:rFonts w:ascii="Arial Narrow" w:hAnsi="Arial Narrow" w:cs="Times New Roman"/>
          <w:sz w:val="22"/>
          <w:szCs w:val="22"/>
        </w:rPr>
        <w:t>Pre udržiavanie refinančného a úrokového rizika na akceptovateľnej úrovni bol stratégiou zavedený systém monitorovania a vyhodnocovania týchto rizík, podobne ako v iných krajinách eurozóny. Bol zavedený limit kumulatívnej splatnosti </w:t>
      </w:r>
      <w:r>
        <w:rPr>
          <w:rStyle w:val="FootnoteReference"/>
          <w:rFonts w:ascii="Arial Narrow" w:hAnsi="Arial Narrow" w:cs="Times New Roman"/>
          <w:sz w:val="22"/>
          <w:szCs w:val="22"/>
          <w:rtl w:val="0"/>
        </w:rPr>
        <w:footnoteReference w:id="2"/>
      </w:r>
      <w:r w:rsidRPr="006076F5">
        <w:rPr>
          <w:rFonts w:ascii="Arial Narrow" w:hAnsi="Arial Narrow" w:cs="Times New Roman"/>
          <w:sz w:val="22"/>
          <w:szCs w:val="22"/>
        </w:rPr>
        <w:t xml:space="preserve"> a precenenia dlhu </w:t>
      </w:r>
      <w:r>
        <w:rPr>
          <w:rStyle w:val="FootnoteReference"/>
          <w:rFonts w:ascii="Arial Narrow" w:hAnsi="Arial Narrow" w:cs="Times New Roman"/>
          <w:sz w:val="22"/>
          <w:szCs w:val="22"/>
          <w:rtl w:val="0"/>
        </w:rPr>
        <w:footnoteReference w:id="3"/>
      </w:r>
      <w:r w:rsidRPr="006076F5">
        <w:rPr>
          <w:rFonts w:ascii="Arial Narrow" w:hAnsi="Arial Narrow" w:cs="Times New Roman"/>
          <w:sz w:val="22"/>
          <w:szCs w:val="22"/>
        </w:rPr>
        <w:t xml:space="preserve"> vrátane úrokov v jednom roku a limitu kumulatívnej splatnosti a precenenia dlhu vrátane úrokov do 5 rokov. Zavedené hraničné hodnoty a ich dodržiavanie pozitívne vplývajú aj na vývoj priemernej splatnosti a durácie, ktoré sú  sledované až ako sekundárne veličiny.</w:t>
      </w:r>
    </w:p>
    <w:p w:rsidR="00C52DD5" w:rsidRPr="006076F5" w:rsidP="00C52DD5">
      <w:pPr>
        <w:ind w:firstLine="709"/>
        <w:jc w:val="both"/>
        <w:rPr>
          <w:rFonts w:ascii="Arial Narrow" w:hAnsi="Arial Narrow" w:cs="Times New Roman"/>
          <w:sz w:val="22"/>
          <w:szCs w:val="22"/>
        </w:rPr>
      </w:pPr>
      <w:r w:rsidRPr="006076F5">
        <w:rPr>
          <w:rFonts w:ascii="Arial Narrow" w:hAnsi="Arial Narrow" w:cs="Times New Roman"/>
          <w:sz w:val="22"/>
          <w:szCs w:val="22"/>
        </w:rPr>
        <w:t>V prípade refinančného rizika je strategickým zámerom dodržiavanie limitu kumulatívnej splatnosti v jednom roku na 22,5 % celkového dlhu a limit kumulatívnej splatnosti na najbližších 5 rokov na 60 % celkového dlhu.</w:t>
      </w:r>
    </w:p>
    <w:p w:rsidR="00C52DD5" w:rsidP="00C52DD5">
      <w:pPr>
        <w:ind w:firstLine="709"/>
        <w:jc w:val="both"/>
        <w:rPr>
          <w:rFonts w:ascii="Arial Narrow" w:hAnsi="Arial Narrow" w:cs="Times New Roman"/>
          <w:sz w:val="22"/>
          <w:szCs w:val="22"/>
        </w:rPr>
      </w:pPr>
    </w:p>
    <w:p w:rsidR="00C52DD5" w:rsidRPr="006076F5" w:rsidP="00C52DD5">
      <w:pPr>
        <w:ind w:firstLine="709"/>
        <w:jc w:val="both"/>
        <w:rPr>
          <w:rFonts w:ascii="Arial Narrow" w:hAnsi="Arial Narrow" w:cs="Times New Roman"/>
          <w:sz w:val="22"/>
          <w:szCs w:val="22"/>
        </w:rPr>
      </w:pPr>
      <w:r w:rsidRPr="006076F5">
        <w:rPr>
          <w:rFonts w:ascii="Arial Narrow" w:hAnsi="Arial Narrow" w:cs="Times New Roman"/>
          <w:sz w:val="22"/>
          <w:szCs w:val="22"/>
        </w:rPr>
        <w:t>V prípade rizika z precenenia je smerodajný limit na precenenie štátneho dlhu v prvom roku na úrovni 25 % celkového dlhu a kumulatívne za 5 rokov na úrovni  65 % celkového dlhu.</w:t>
      </w:r>
    </w:p>
    <w:p w:rsidR="00C52DD5" w:rsidRPr="006076F5" w:rsidP="00C52DD5">
      <w:pPr>
        <w:spacing w:before="240" w:after="120"/>
        <w:jc w:val="both"/>
        <w:rPr>
          <w:rFonts w:ascii="Arial Narrow" w:hAnsi="Arial Narrow" w:cs="Times New Roman"/>
          <w:i/>
          <w:sz w:val="22"/>
          <w:szCs w:val="22"/>
        </w:rPr>
      </w:pPr>
      <w:r w:rsidRPr="006076F5">
        <w:rPr>
          <w:rFonts w:ascii="Arial Narrow" w:hAnsi="Arial Narrow" w:cs="Times New Roman"/>
          <w:i/>
          <w:sz w:val="22"/>
          <w:szCs w:val="22"/>
        </w:rPr>
        <w:t>Refinančné riziko </w:t>
      </w:r>
      <w:r>
        <w:rPr>
          <w:rStyle w:val="FootnoteReference"/>
          <w:rFonts w:ascii="Arial Narrow" w:hAnsi="Arial Narrow" w:cs="Times New Roman"/>
          <w:i/>
          <w:sz w:val="22"/>
          <w:szCs w:val="22"/>
          <w:rtl w:val="0"/>
        </w:rPr>
        <w:footnoteReference w:id="4"/>
      </w:r>
    </w:p>
    <w:p w:rsidR="00C52DD5" w:rsidRPr="006076F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Kumulatívna splatnosť v jednom roku k 31.</w:t>
      </w:r>
      <w:r>
        <w:rPr>
          <w:rFonts w:ascii="Arial Narrow" w:hAnsi="Arial Narrow" w:cs="Times New Roman"/>
          <w:sz w:val="22"/>
          <w:szCs w:val="22"/>
        </w:rPr>
        <w:t xml:space="preserve"> </w:t>
      </w:r>
      <w:r w:rsidRPr="006076F5">
        <w:rPr>
          <w:rFonts w:ascii="Arial Narrow" w:hAnsi="Arial Narrow" w:cs="Times New Roman"/>
          <w:sz w:val="22"/>
          <w:szCs w:val="22"/>
        </w:rPr>
        <w:t>12.</w:t>
      </w:r>
      <w:r>
        <w:rPr>
          <w:rFonts w:ascii="Arial Narrow" w:hAnsi="Arial Narrow" w:cs="Times New Roman"/>
          <w:sz w:val="22"/>
          <w:szCs w:val="22"/>
        </w:rPr>
        <w:t xml:space="preserve"> </w:t>
      </w:r>
      <w:r w:rsidRPr="006076F5">
        <w:rPr>
          <w:rFonts w:ascii="Arial Narrow" w:hAnsi="Arial Narrow" w:cs="Times New Roman"/>
          <w:sz w:val="22"/>
          <w:szCs w:val="22"/>
        </w:rPr>
        <w:t>2007 bola 19,07 % (k 31.</w:t>
      </w:r>
      <w:r>
        <w:rPr>
          <w:rFonts w:ascii="Arial Narrow" w:hAnsi="Arial Narrow" w:cs="Times New Roman"/>
          <w:sz w:val="22"/>
          <w:szCs w:val="22"/>
        </w:rPr>
        <w:t xml:space="preserve"> </w:t>
      </w:r>
      <w:r w:rsidRPr="006076F5">
        <w:rPr>
          <w:rFonts w:ascii="Arial Narrow" w:hAnsi="Arial Narrow" w:cs="Times New Roman"/>
          <w:sz w:val="22"/>
          <w:szCs w:val="22"/>
        </w:rPr>
        <w:t>3.</w:t>
      </w:r>
      <w:r>
        <w:rPr>
          <w:rFonts w:ascii="Arial Narrow" w:hAnsi="Arial Narrow" w:cs="Times New Roman"/>
          <w:sz w:val="22"/>
          <w:szCs w:val="22"/>
        </w:rPr>
        <w:t xml:space="preserve"> </w:t>
      </w:r>
      <w:r w:rsidRPr="006076F5">
        <w:rPr>
          <w:rFonts w:ascii="Arial Narrow" w:hAnsi="Arial Narrow" w:cs="Times New Roman"/>
          <w:sz w:val="22"/>
          <w:szCs w:val="22"/>
        </w:rPr>
        <w:t>2008 už len 18,38</w:t>
      </w:r>
      <w:r>
        <w:rPr>
          <w:rFonts w:ascii="Arial Narrow" w:hAnsi="Arial Narrow" w:cs="Times New Roman"/>
          <w:sz w:val="22"/>
          <w:szCs w:val="22"/>
        </w:rPr>
        <w:t xml:space="preserve"> </w:t>
      </w:r>
      <w:r w:rsidRPr="006076F5">
        <w:rPr>
          <w:rFonts w:ascii="Arial Narrow" w:hAnsi="Arial Narrow" w:cs="Times New Roman"/>
          <w:sz w:val="22"/>
          <w:szCs w:val="22"/>
        </w:rPr>
        <w:t>%) z celkovej hodnoty dlhu (maximum podľa stratégie je 22,5 %) a kumulatívna splatnosť na najbližších 5 rokov 59,51</w:t>
      </w:r>
      <w:r>
        <w:rPr>
          <w:rFonts w:ascii="Arial Narrow" w:hAnsi="Arial Narrow" w:cs="Times New Roman"/>
          <w:sz w:val="22"/>
          <w:szCs w:val="22"/>
        </w:rPr>
        <w:t> </w:t>
      </w:r>
      <w:r w:rsidRPr="006076F5">
        <w:rPr>
          <w:rFonts w:ascii="Arial Narrow" w:hAnsi="Arial Narrow" w:cs="Times New Roman"/>
          <w:sz w:val="22"/>
          <w:szCs w:val="22"/>
        </w:rPr>
        <w:t>% z celkovej hodnoty dlhu (k 31.</w:t>
      </w:r>
      <w:r>
        <w:rPr>
          <w:rFonts w:ascii="Arial Narrow" w:hAnsi="Arial Narrow" w:cs="Times New Roman"/>
          <w:sz w:val="22"/>
          <w:szCs w:val="22"/>
        </w:rPr>
        <w:t xml:space="preserve"> </w:t>
      </w:r>
      <w:r w:rsidRPr="006076F5">
        <w:rPr>
          <w:rFonts w:ascii="Arial Narrow" w:hAnsi="Arial Narrow" w:cs="Times New Roman"/>
          <w:sz w:val="22"/>
          <w:szCs w:val="22"/>
        </w:rPr>
        <w:t>3.</w:t>
      </w:r>
      <w:r>
        <w:rPr>
          <w:rFonts w:ascii="Arial Narrow" w:hAnsi="Arial Narrow" w:cs="Times New Roman"/>
          <w:sz w:val="22"/>
          <w:szCs w:val="22"/>
        </w:rPr>
        <w:t xml:space="preserve"> </w:t>
      </w:r>
      <w:r w:rsidRPr="006076F5">
        <w:rPr>
          <w:rFonts w:ascii="Arial Narrow" w:hAnsi="Arial Narrow" w:cs="Times New Roman"/>
          <w:sz w:val="22"/>
          <w:szCs w:val="22"/>
        </w:rPr>
        <w:t>2008 59,29</w:t>
      </w:r>
      <w:r>
        <w:rPr>
          <w:rFonts w:ascii="Arial Narrow" w:hAnsi="Arial Narrow" w:cs="Times New Roman"/>
          <w:sz w:val="22"/>
          <w:szCs w:val="22"/>
        </w:rPr>
        <w:t xml:space="preserve"> </w:t>
      </w:r>
      <w:r w:rsidRPr="006076F5">
        <w:rPr>
          <w:rFonts w:ascii="Arial Narrow" w:hAnsi="Arial Narrow" w:cs="Times New Roman"/>
          <w:sz w:val="22"/>
          <w:szCs w:val="22"/>
        </w:rPr>
        <w:t>%), pričom limit je maximálne 60 %. Tento priaznivý vývoj (plnenie obidvoch kritérií) spôsobili nové emisie dlhopisov, a s tým súvisiace zmenšenie podielu finančných prostriedkov (so splatnosťou do 1 roka) použitých zo systému Štátnej pokladnice (ŠP) oproti začiatku roka 2007, čím sa zmenila štruktúra krytia dlhu. K 31.</w:t>
      </w:r>
      <w:r>
        <w:rPr>
          <w:rFonts w:ascii="Arial Narrow" w:hAnsi="Arial Narrow" w:cs="Times New Roman"/>
          <w:sz w:val="22"/>
          <w:szCs w:val="22"/>
        </w:rPr>
        <w:t xml:space="preserve"> </w:t>
      </w:r>
      <w:r w:rsidRPr="006076F5">
        <w:rPr>
          <w:rFonts w:ascii="Arial Narrow" w:hAnsi="Arial Narrow" w:cs="Times New Roman"/>
          <w:sz w:val="22"/>
          <w:szCs w:val="22"/>
        </w:rPr>
        <w:t>12.</w:t>
      </w:r>
      <w:r>
        <w:rPr>
          <w:rFonts w:ascii="Arial Narrow" w:hAnsi="Arial Narrow" w:cs="Times New Roman"/>
          <w:sz w:val="22"/>
          <w:szCs w:val="22"/>
        </w:rPr>
        <w:t xml:space="preserve"> </w:t>
      </w:r>
      <w:r w:rsidRPr="006076F5">
        <w:rPr>
          <w:rFonts w:ascii="Arial Narrow" w:hAnsi="Arial Narrow" w:cs="Times New Roman"/>
          <w:sz w:val="22"/>
          <w:szCs w:val="22"/>
        </w:rPr>
        <w:t xml:space="preserve">2007 MF SR prostredníctvom refinančného systému ŠP využívalo pre potreby krytia dlhu </w:t>
      </w:r>
      <w:r>
        <w:rPr>
          <w:rFonts w:ascii="Arial Narrow" w:hAnsi="Arial Narrow" w:cs="Times New Roman"/>
          <w:sz w:val="22"/>
          <w:szCs w:val="22"/>
        </w:rPr>
        <w:t>2,1</w:t>
      </w:r>
      <w:r w:rsidRPr="006076F5">
        <w:rPr>
          <w:rFonts w:ascii="Arial Narrow" w:hAnsi="Arial Narrow" w:cs="Times New Roman"/>
          <w:sz w:val="22"/>
          <w:szCs w:val="22"/>
        </w:rPr>
        <w:t xml:space="preserve"> mld. </w:t>
      </w:r>
      <w:r>
        <w:rPr>
          <w:rFonts w:ascii="Arial Narrow" w:hAnsi="Arial Narrow" w:cs="Times New Roman"/>
          <w:sz w:val="22"/>
          <w:szCs w:val="22"/>
        </w:rPr>
        <w:t>eur</w:t>
      </w:r>
      <w:r w:rsidRPr="006076F5">
        <w:rPr>
          <w:rFonts w:ascii="Arial Narrow" w:hAnsi="Arial Narrow" w:cs="Times New Roman"/>
          <w:sz w:val="22"/>
          <w:szCs w:val="22"/>
        </w:rPr>
        <w:t>.</w:t>
      </w:r>
    </w:p>
    <w:p w:rsidR="00C52DD5" w:rsidRPr="006076F5" w:rsidP="00C52DD5">
      <w:pPr>
        <w:ind w:left="708"/>
        <w:jc w:val="both"/>
        <w:rPr>
          <w:rFonts w:ascii="Arial Narrow" w:hAnsi="Arial Narrow" w:cs="Times New Roman"/>
          <w:i/>
          <w:sz w:val="22"/>
          <w:szCs w:val="22"/>
        </w:rPr>
      </w:pPr>
      <w:r w:rsidRPr="006076F5">
        <w:rPr>
          <w:rFonts w:ascii="Arial Narrow" w:hAnsi="Arial Narrow" w:cs="Times New Roman"/>
          <w:i/>
          <w:sz w:val="22"/>
          <w:szCs w:val="22"/>
        </w:rPr>
        <w:t xml:space="preserve">       Ukazovatele refinančného rizika:</w:t>
      </w:r>
    </w:p>
    <w:tbl>
      <w:tblPr>
        <w:tblW w:w="7190" w:type="dxa"/>
        <w:jc w:val="center"/>
        <w:tblInd w:w="55" w:type="dxa"/>
        <w:tblCellMar>
          <w:left w:w="70" w:type="dxa"/>
          <w:right w:w="70" w:type="dxa"/>
        </w:tblCellMar>
      </w:tblPr>
      <w:tblGrid>
        <w:gridCol w:w="630"/>
        <w:gridCol w:w="1120"/>
        <w:gridCol w:w="1341"/>
        <w:gridCol w:w="819"/>
        <w:gridCol w:w="1120"/>
        <w:gridCol w:w="1341"/>
        <w:gridCol w:w="819"/>
      </w:tblGrid>
      <w:tr>
        <w:tblPrEx>
          <w:tblW w:w="7190" w:type="dxa"/>
          <w:jc w:val="center"/>
          <w:tblInd w:w="55" w:type="dxa"/>
          <w:tblCellMar>
            <w:left w:w="70" w:type="dxa"/>
            <w:right w:w="70" w:type="dxa"/>
          </w:tblCellMar>
        </w:tblPrEx>
        <w:trPr>
          <w:trHeight w:val="255"/>
          <w:jc w:val="center"/>
        </w:trPr>
        <w:tc>
          <w:tcPr>
            <w:tcW w:w="630" w:type="dxa"/>
            <w:tcBorders>
              <w:top w:val="single" w:sz="4" w:space="0" w:color="auto"/>
              <w:left w:val="single" w:sz="4" w:space="0" w:color="auto"/>
              <w:bottom w:val="nil"/>
              <w:right w:val="nil"/>
              <w:tl2br w:val="nil"/>
              <w:tr2bl w:val="nil"/>
            </w:tcBorders>
            <w:shd w:val="clear" w:color="auto" w:fill="000000"/>
            <w:noWrap/>
            <w:textDirection w:val="lrTb"/>
            <w:vAlign w:val="bottom"/>
          </w:tcPr>
          <w:p w:rsidR="00C52DD5" w:rsidRPr="006076F5" w:rsidP="00C52DD5">
            <w:pPr>
              <w:rPr>
                <w:rFonts w:ascii="Arial" w:hAnsi="Arial" w:cs="Arial"/>
                <w:b/>
                <w:bCs/>
                <w:color w:val="FFFFFF"/>
                <w:sz w:val="20"/>
              </w:rPr>
            </w:pPr>
          </w:p>
        </w:tc>
        <w:tc>
          <w:tcPr>
            <w:tcW w:w="3280" w:type="dxa"/>
            <w:gridSpan w:val="3"/>
            <w:tcBorders>
              <w:top w:val="single" w:sz="4" w:space="0" w:color="auto"/>
              <w:left w:val="nil"/>
              <w:bottom w:val="nil"/>
              <w:right w:val="nil"/>
              <w:tl2br w:val="nil"/>
              <w:tr2bl w:val="nil"/>
            </w:tcBorders>
            <w:shd w:val="clear" w:color="auto" w:fill="000000"/>
            <w:noWrap/>
            <w:textDirection w:val="lrTb"/>
            <w:vAlign w:val="bottom"/>
          </w:tcPr>
          <w:p w:rsidR="00C52DD5" w:rsidRPr="006076F5" w:rsidP="00C52DD5">
            <w:pPr>
              <w:jc w:val="center"/>
              <w:rPr>
                <w:rFonts w:ascii="Arial" w:hAnsi="Arial" w:cs="Arial"/>
                <w:b/>
                <w:bCs/>
                <w:color w:val="FFFFFF"/>
                <w:sz w:val="20"/>
              </w:rPr>
            </w:pPr>
            <w:r w:rsidRPr="006076F5">
              <w:rPr>
                <w:rFonts w:ascii="Arial" w:hAnsi="Arial" w:cs="Arial"/>
                <w:b/>
                <w:bCs/>
                <w:color w:val="FFFFFF"/>
                <w:sz w:val="20"/>
              </w:rPr>
              <w:t>Refinančné riziko k 31.12.2006</w:t>
            </w:r>
          </w:p>
        </w:tc>
        <w:tc>
          <w:tcPr>
            <w:tcW w:w="3280" w:type="dxa"/>
            <w:gridSpan w:val="3"/>
            <w:tcBorders>
              <w:top w:val="single" w:sz="4" w:space="0" w:color="auto"/>
              <w:left w:val="nil"/>
              <w:bottom w:val="nil"/>
              <w:right w:val="nil"/>
              <w:tl2br w:val="nil"/>
              <w:tr2bl w:val="nil"/>
            </w:tcBorders>
            <w:shd w:val="clear" w:color="auto" w:fill="000000"/>
            <w:noWrap/>
            <w:textDirection w:val="lrTb"/>
            <w:vAlign w:val="bottom"/>
          </w:tcPr>
          <w:p w:rsidR="00C52DD5" w:rsidRPr="006076F5" w:rsidP="00C52DD5">
            <w:pPr>
              <w:jc w:val="center"/>
              <w:rPr>
                <w:rFonts w:ascii="Arial" w:hAnsi="Arial" w:cs="Arial"/>
                <w:b/>
                <w:bCs/>
                <w:color w:val="FFFFFF"/>
                <w:sz w:val="20"/>
              </w:rPr>
            </w:pPr>
            <w:r w:rsidRPr="006076F5">
              <w:rPr>
                <w:rFonts w:ascii="Arial" w:hAnsi="Arial" w:cs="Arial"/>
                <w:b/>
                <w:bCs/>
                <w:color w:val="FFFFFF"/>
                <w:sz w:val="20"/>
              </w:rPr>
              <w:t>Refinančné riziko k 31.12.2007</w:t>
            </w:r>
          </w:p>
        </w:tc>
      </w:tr>
      <w:tr>
        <w:tblPrEx>
          <w:tblW w:w="7190" w:type="dxa"/>
          <w:jc w:val="center"/>
          <w:tblInd w:w="55" w:type="dxa"/>
          <w:tblCellMar>
            <w:left w:w="70" w:type="dxa"/>
            <w:right w:w="70" w:type="dxa"/>
          </w:tblCellMar>
        </w:tblPrEx>
        <w:trPr>
          <w:trHeight w:val="510"/>
          <w:jc w:val="center"/>
        </w:trPr>
        <w:tc>
          <w:tcPr>
            <w:tcW w:w="630" w:type="dxa"/>
            <w:tcBorders>
              <w:top w:val="nil"/>
              <w:left w:val="single" w:sz="4" w:space="0" w:color="auto"/>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Roky</w:t>
            </w:r>
          </w:p>
        </w:tc>
        <w:tc>
          <w:tcPr>
            <w:tcW w:w="1120" w:type="dxa"/>
            <w:tcBorders>
              <w:top w:val="nil"/>
              <w:left w:val="nil"/>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Účtovný dlh</w:t>
            </w:r>
          </w:p>
        </w:tc>
        <w:tc>
          <w:tcPr>
            <w:tcW w:w="1341" w:type="dxa"/>
            <w:tcBorders>
              <w:top w:val="nil"/>
              <w:left w:val="nil"/>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Dlh podľa Maastrichtu*</w:t>
            </w:r>
          </w:p>
        </w:tc>
        <w:tc>
          <w:tcPr>
            <w:tcW w:w="819" w:type="dxa"/>
            <w:tcBorders>
              <w:top w:val="nil"/>
              <w:left w:val="nil"/>
              <w:bottom w:val="nil"/>
              <w:right w:val="single" w:sz="4" w:space="0" w:color="auto"/>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Limit</w:t>
            </w:r>
          </w:p>
        </w:tc>
        <w:tc>
          <w:tcPr>
            <w:tcW w:w="1120" w:type="dxa"/>
            <w:tcBorders>
              <w:top w:val="nil"/>
              <w:left w:val="nil"/>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Účtovný dlh</w:t>
            </w:r>
          </w:p>
        </w:tc>
        <w:tc>
          <w:tcPr>
            <w:tcW w:w="1341" w:type="dxa"/>
            <w:tcBorders>
              <w:top w:val="nil"/>
              <w:left w:val="nil"/>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Dlh podľa Maastrichtu*</w:t>
            </w:r>
          </w:p>
        </w:tc>
        <w:tc>
          <w:tcPr>
            <w:tcW w:w="819" w:type="dxa"/>
            <w:tcBorders>
              <w:top w:val="nil"/>
              <w:left w:val="nil"/>
              <w:bottom w:val="nil"/>
              <w:right w:val="single" w:sz="4" w:space="0" w:color="auto"/>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Limit</w:t>
            </w:r>
          </w:p>
        </w:tc>
      </w:tr>
      <w:tr>
        <w:tblPrEx>
          <w:tblW w:w="7190" w:type="dxa"/>
          <w:jc w:val="center"/>
          <w:tblInd w:w="55" w:type="dxa"/>
          <w:tblCellMar>
            <w:left w:w="70" w:type="dxa"/>
            <w:right w:w="70" w:type="dxa"/>
          </w:tblCellMar>
        </w:tblPrEx>
        <w:trPr>
          <w:trHeight w:val="255"/>
          <w:jc w:val="center"/>
        </w:trPr>
        <w:tc>
          <w:tcPr>
            <w:tcW w:w="630" w:type="dxa"/>
            <w:tcBorders>
              <w:top w:val="nil"/>
              <w:left w:val="single" w:sz="4" w:space="0" w:color="auto"/>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1</w:t>
            </w:r>
          </w:p>
        </w:tc>
        <w:tc>
          <w:tcPr>
            <w:tcW w:w="1120" w:type="dxa"/>
            <w:tcBorders>
              <w:top w:val="nil"/>
              <w:left w:val="nil"/>
              <w:bottom w:val="nil"/>
              <w:right w:val="nil"/>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23,32%</w:t>
            </w:r>
          </w:p>
        </w:tc>
        <w:tc>
          <w:tcPr>
            <w:tcW w:w="1341" w:type="dxa"/>
            <w:tcBorders>
              <w:top w:val="nil"/>
              <w:left w:val="nil"/>
              <w:bottom w:val="nil"/>
              <w:right w:val="nil"/>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12,66%</w:t>
            </w:r>
          </w:p>
        </w:tc>
        <w:tc>
          <w:tcPr>
            <w:tcW w:w="819" w:type="dxa"/>
            <w:tcBorders>
              <w:top w:val="nil"/>
              <w:left w:val="nil"/>
              <w:bottom w:val="nil"/>
              <w:right w:val="single" w:sz="4" w:space="0" w:color="auto"/>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22,50%</w:t>
            </w:r>
          </w:p>
        </w:tc>
        <w:tc>
          <w:tcPr>
            <w:tcW w:w="1120"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19,07%</w:t>
            </w:r>
          </w:p>
        </w:tc>
        <w:tc>
          <w:tcPr>
            <w:tcW w:w="13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9,32%</w:t>
            </w:r>
          </w:p>
        </w:tc>
        <w:tc>
          <w:tcPr>
            <w:tcW w:w="819" w:type="dxa"/>
            <w:tcBorders>
              <w:top w:val="nil"/>
              <w:left w:val="nil"/>
              <w:bottom w:val="nil"/>
              <w:right w:val="single" w:sz="4" w:space="0" w:color="auto"/>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22,50%</w:t>
            </w:r>
          </w:p>
        </w:tc>
      </w:tr>
      <w:tr>
        <w:tblPrEx>
          <w:tblW w:w="7190" w:type="dxa"/>
          <w:jc w:val="center"/>
          <w:tblInd w:w="55" w:type="dxa"/>
          <w:tblCellMar>
            <w:left w:w="70" w:type="dxa"/>
            <w:right w:w="70" w:type="dxa"/>
          </w:tblCellMar>
        </w:tblPrEx>
        <w:trPr>
          <w:trHeight w:val="255"/>
          <w:jc w:val="center"/>
        </w:trPr>
        <w:tc>
          <w:tcPr>
            <w:tcW w:w="630" w:type="dxa"/>
            <w:tcBorders>
              <w:top w:val="nil"/>
              <w:left w:val="single" w:sz="4" w:space="0" w:color="auto"/>
              <w:bottom w:val="single" w:sz="4" w:space="0" w:color="auto"/>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5</w:t>
            </w:r>
          </w:p>
        </w:tc>
        <w:tc>
          <w:tcPr>
            <w:tcW w:w="1120" w:type="dxa"/>
            <w:tcBorders>
              <w:top w:val="nil"/>
              <w:left w:val="nil"/>
              <w:bottom w:val="single" w:sz="4" w:space="0" w:color="auto"/>
              <w:right w:val="nil"/>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60,79%</w:t>
            </w:r>
          </w:p>
        </w:tc>
        <w:tc>
          <w:tcPr>
            <w:tcW w:w="1341" w:type="dxa"/>
            <w:tcBorders>
              <w:top w:val="nil"/>
              <w:left w:val="nil"/>
              <w:bottom w:val="single" w:sz="4" w:space="0" w:color="auto"/>
              <w:right w:val="nil"/>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55,34%</w:t>
            </w:r>
          </w:p>
        </w:tc>
        <w:tc>
          <w:tcPr>
            <w:tcW w:w="819"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60,00%</w:t>
            </w:r>
          </w:p>
        </w:tc>
        <w:tc>
          <w:tcPr>
            <w:tcW w:w="1120" w:type="dxa"/>
            <w:tcBorders>
              <w:top w:val="nil"/>
              <w:left w:val="nil"/>
              <w:bottom w:val="single" w:sz="4" w:space="0" w:color="auto"/>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59,51%</w:t>
            </w:r>
          </w:p>
        </w:tc>
        <w:tc>
          <w:tcPr>
            <w:tcW w:w="1341" w:type="dxa"/>
            <w:tcBorders>
              <w:top w:val="nil"/>
              <w:left w:val="nil"/>
              <w:bottom w:val="single" w:sz="4" w:space="0" w:color="auto"/>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54,63%</w:t>
            </w:r>
          </w:p>
        </w:tc>
        <w:tc>
          <w:tcPr>
            <w:tcW w:w="819"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60,00%</w:t>
            </w:r>
          </w:p>
        </w:tc>
      </w:tr>
    </w:tbl>
    <w:p w:rsidR="00C52DD5" w:rsidRPr="006076F5" w:rsidP="00C52DD5">
      <w:pPr>
        <w:ind w:left="992" w:firstLine="708"/>
        <w:jc w:val="both"/>
        <w:rPr>
          <w:rFonts w:ascii="Arial Narrow" w:hAnsi="Arial Narrow" w:cs="Times New Roman"/>
          <w:sz w:val="22"/>
          <w:szCs w:val="22"/>
        </w:rPr>
      </w:pPr>
      <w:r w:rsidRPr="006076F5">
        <w:rPr>
          <w:rFonts w:ascii="Arial Narrow" w:hAnsi="Arial Narrow" w:cs="Arial"/>
          <w:bCs/>
          <w:i/>
          <w:color w:val="000000"/>
          <w:sz w:val="22"/>
          <w:szCs w:val="22"/>
        </w:rPr>
        <w:t>* Dlh podľa Maastrichtu nezahŕňa záväzky MF SR voči Štátnej pokladnici.</w:t>
      </w:r>
    </w:p>
    <w:p w:rsidR="00C52DD5" w:rsidRPr="006076F5" w:rsidP="00C52DD5">
      <w:pPr>
        <w:ind w:firstLine="709"/>
        <w:jc w:val="both"/>
        <w:rPr>
          <w:rFonts w:ascii="Arial Narrow" w:hAnsi="Arial Narrow" w:cs="Times New Roman"/>
          <w:sz w:val="22"/>
          <w:szCs w:val="22"/>
        </w:rPr>
      </w:pPr>
      <w:r w:rsidRPr="006076F5">
        <w:rPr>
          <w:rFonts w:ascii="Arial Narrow" w:hAnsi="Arial Narrow" w:cs="Times New Roman"/>
          <w:sz w:val="22"/>
          <w:szCs w:val="22"/>
        </w:rPr>
        <w:t xml:space="preserve">Z hľadiska interpretácie týchto ukazovateľov je tiež dôležité podotknúť, že aj keď zdroje zo ŠP majú krátkodobý charakter, z pohľadu refinančného rizika nehrozí nedostatok likvidity, nakoľko tieto zdroje „neopustia“ systém v krátkom časovom horizonte a neočakávane. Využívanie týchto zdrojov naopak prináša úspory vo výdavkoch štátneho rozpočtu, nakoľko tieto zdroje nemusia byť požičiavané z medzibankového trhu. Úspora v štátnom rozpočte v roku 2007 predstavovala približne </w:t>
      </w:r>
      <w:r>
        <w:rPr>
          <w:rFonts w:ascii="Arial Narrow" w:hAnsi="Arial Narrow" w:cs="Times New Roman"/>
          <w:sz w:val="22"/>
          <w:szCs w:val="22"/>
        </w:rPr>
        <w:t>0,133</w:t>
      </w:r>
      <w:r w:rsidRPr="006076F5">
        <w:rPr>
          <w:rFonts w:ascii="Arial Narrow" w:hAnsi="Arial Narrow" w:cs="Times New Roman"/>
          <w:sz w:val="22"/>
          <w:szCs w:val="22"/>
        </w:rPr>
        <w:t xml:space="preserve"> mld. </w:t>
      </w:r>
      <w:r>
        <w:rPr>
          <w:rFonts w:ascii="Arial Narrow" w:hAnsi="Arial Narrow" w:cs="Times New Roman"/>
          <w:sz w:val="22"/>
          <w:szCs w:val="22"/>
        </w:rPr>
        <w:t>eur</w:t>
      </w:r>
      <w:r w:rsidRPr="006076F5">
        <w:rPr>
          <w:rFonts w:ascii="Arial Narrow" w:hAnsi="Arial Narrow" w:cs="Times New Roman"/>
          <w:sz w:val="22"/>
          <w:szCs w:val="22"/>
        </w:rPr>
        <w:t xml:space="preserve">. </w:t>
      </w:r>
    </w:p>
    <w:p w:rsidR="00C52DD5" w:rsidP="00C52DD5">
      <w:pPr>
        <w:spacing w:after="120"/>
        <w:jc w:val="both"/>
        <w:rPr>
          <w:rFonts w:ascii="Arial Narrow" w:hAnsi="Arial Narrow" w:cs="Times New Roman"/>
          <w:i/>
          <w:sz w:val="22"/>
          <w:szCs w:val="22"/>
        </w:rPr>
      </w:pPr>
    </w:p>
    <w:p w:rsidR="00C52DD5" w:rsidRPr="006076F5" w:rsidP="00C52DD5">
      <w:pPr>
        <w:spacing w:after="120"/>
        <w:jc w:val="both"/>
        <w:rPr>
          <w:rFonts w:ascii="Arial Narrow" w:hAnsi="Arial Narrow" w:cs="Times New Roman"/>
          <w:i/>
          <w:sz w:val="22"/>
          <w:szCs w:val="22"/>
        </w:rPr>
      </w:pPr>
      <w:r w:rsidRPr="006076F5">
        <w:rPr>
          <w:rFonts w:ascii="Arial Narrow" w:hAnsi="Arial Narrow" w:cs="Times New Roman"/>
          <w:i/>
          <w:sz w:val="22"/>
          <w:szCs w:val="22"/>
        </w:rPr>
        <w:t>Úrokové riziko </w:t>
      </w:r>
      <w:r>
        <w:rPr>
          <w:rStyle w:val="FootnoteReference"/>
          <w:rFonts w:ascii="Arial Narrow" w:hAnsi="Arial Narrow" w:cs="Times New Roman"/>
          <w:i/>
          <w:sz w:val="22"/>
          <w:szCs w:val="22"/>
          <w:rtl w:val="0"/>
        </w:rPr>
        <w:footnoteReference w:id="5"/>
      </w:r>
    </w:p>
    <w:p w:rsidR="00C52DD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Stanovený limit z precenenia štátneho dlhu v prvom roku na úrovni 25 % celkového dlhu bol aj v minulosti prekročený a dosahoval k 31.</w:t>
      </w:r>
      <w:r>
        <w:rPr>
          <w:rFonts w:ascii="Arial Narrow" w:hAnsi="Arial Narrow" w:cs="Times New Roman"/>
          <w:sz w:val="22"/>
          <w:szCs w:val="22"/>
        </w:rPr>
        <w:t xml:space="preserve"> </w:t>
      </w:r>
      <w:r w:rsidRPr="006076F5">
        <w:rPr>
          <w:rFonts w:ascii="Arial Narrow" w:hAnsi="Arial Narrow" w:cs="Times New Roman"/>
          <w:sz w:val="22"/>
          <w:szCs w:val="22"/>
        </w:rPr>
        <w:t>12.</w:t>
      </w:r>
      <w:r>
        <w:rPr>
          <w:rFonts w:ascii="Arial Narrow" w:hAnsi="Arial Narrow" w:cs="Times New Roman"/>
          <w:sz w:val="22"/>
          <w:szCs w:val="22"/>
        </w:rPr>
        <w:t xml:space="preserve"> </w:t>
      </w:r>
      <w:r w:rsidRPr="006076F5">
        <w:rPr>
          <w:rFonts w:ascii="Arial Narrow" w:hAnsi="Arial Narrow" w:cs="Times New Roman"/>
          <w:sz w:val="22"/>
          <w:szCs w:val="22"/>
        </w:rPr>
        <w:t>2007 hodnotu 33,87 % (k 31.</w:t>
      </w:r>
      <w:r>
        <w:rPr>
          <w:rFonts w:ascii="Arial Narrow" w:hAnsi="Arial Narrow" w:cs="Times New Roman"/>
          <w:sz w:val="22"/>
          <w:szCs w:val="22"/>
        </w:rPr>
        <w:t xml:space="preserve"> </w:t>
      </w:r>
      <w:r w:rsidRPr="006076F5">
        <w:rPr>
          <w:rFonts w:ascii="Arial Narrow" w:hAnsi="Arial Narrow" w:cs="Times New Roman"/>
          <w:sz w:val="22"/>
          <w:szCs w:val="22"/>
        </w:rPr>
        <w:t>3.</w:t>
      </w:r>
      <w:r>
        <w:rPr>
          <w:rFonts w:ascii="Arial Narrow" w:hAnsi="Arial Narrow" w:cs="Times New Roman"/>
          <w:sz w:val="22"/>
          <w:szCs w:val="22"/>
        </w:rPr>
        <w:t xml:space="preserve"> </w:t>
      </w:r>
      <w:r w:rsidRPr="006076F5">
        <w:rPr>
          <w:rFonts w:ascii="Arial Narrow" w:hAnsi="Arial Narrow" w:cs="Times New Roman"/>
          <w:sz w:val="22"/>
          <w:szCs w:val="22"/>
        </w:rPr>
        <w:t>2008 nastal pokles na 27,01</w:t>
      </w:r>
      <w:r>
        <w:rPr>
          <w:rFonts w:ascii="Arial Narrow" w:hAnsi="Arial Narrow" w:cs="Times New Roman"/>
          <w:sz w:val="22"/>
          <w:szCs w:val="22"/>
        </w:rPr>
        <w:t xml:space="preserve"> </w:t>
      </w:r>
      <w:r w:rsidRPr="006076F5">
        <w:rPr>
          <w:rFonts w:ascii="Arial Narrow" w:hAnsi="Arial Narrow" w:cs="Times New Roman"/>
          <w:sz w:val="22"/>
          <w:szCs w:val="22"/>
        </w:rPr>
        <w:t>%). Pri posudzovaní kumulatívnej hodnoty  za 5 rokov bol stanovený limit na úrovni  65 % celkového dlhu dodržaný. Ku koncu roka 2007 dosahoval hodnotu 61,71 % z celkového dlhu (k 31.</w:t>
      </w:r>
      <w:r>
        <w:rPr>
          <w:rFonts w:ascii="Arial Narrow" w:hAnsi="Arial Narrow" w:cs="Times New Roman"/>
          <w:sz w:val="22"/>
          <w:szCs w:val="22"/>
        </w:rPr>
        <w:t xml:space="preserve"> </w:t>
      </w:r>
      <w:r w:rsidRPr="006076F5">
        <w:rPr>
          <w:rFonts w:ascii="Arial Narrow" w:hAnsi="Arial Narrow" w:cs="Times New Roman"/>
          <w:sz w:val="22"/>
          <w:szCs w:val="22"/>
        </w:rPr>
        <w:t>3.</w:t>
      </w:r>
      <w:r>
        <w:rPr>
          <w:rFonts w:ascii="Arial Narrow" w:hAnsi="Arial Narrow" w:cs="Times New Roman"/>
          <w:sz w:val="22"/>
          <w:szCs w:val="22"/>
        </w:rPr>
        <w:t xml:space="preserve"> </w:t>
      </w:r>
      <w:r w:rsidRPr="006076F5">
        <w:rPr>
          <w:rFonts w:ascii="Arial Narrow" w:hAnsi="Arial Narrow" w:cs="Times New Roman"/>
          <w:sz w:val="22"/>
          <w:szCs w:val="22"/>
        </w:rPr>
        <w:t>2008 zníženie na 57,30</w:t>
      </w:r>
      <w:r>
        <w:rPr>
          <w:rFonts w:ascii="Arial Narrow" w:hAnsi="Arial Narrow" w:cs="Times New Roman"/>
          <w:sz w:val="22"/>
          <w:szCs w:val="22"/>
        </w:rPr>
        <w:t xml:space="preserve"> </w:t>
      </w:r>
      <w:r w:rsidRPr="006076F5">
        <w:rPr>
          <w:rFonts w:ascii="Arial Narrow" w:hAnsi="Arial Narrow" w:cs="Times New Roman"/>
          <w:sz w:val="22"/>
          <w:szCs w:val="22"/>
        </w:rPr>
        <w:t>%).</w:t>
      </w:r>
    </w:p>
    <w:p w:rsidR="00C52DD5" w:rsidRPr="006076F5" w:rsidP="00C52DD5">
      <w:pPr>
        <w:ind w:left="708"/>
        <w:jc w:val="both"/>
        <w:rPr>
          <w:rFonts w:ascii="Arial Narrow" w:hAnsi="Arial Narrow" w:cs="Times New Roman"/>
          <w:i/>
          <w:sz w:val="22"/>
          <w:szCs w:val="22"/>
        </w:rPr>
      </w:pPr>
      <w:r w:rsidRPr="006076F5">
        <w:rPr>
          <w:rFonts w:ascii="Arial Narrow" w:hAnsi="Arial Narrow" w:cs="Times New Roman"/>
          <w:i/>
          <w:sz w:val="22"/>
          <w:szCs w:val="22"/>
        </w:rPr>
        <w:t xml:space="preserve">      Ukazovatele úrokového rizika:</w:t>
      </w:r>
    </w:p>
    <w:tbl>
      <w:tblPr>
        <w:tblW w:w="7190" w:type="dxa"/>
        <w:jc w:val="center"/>
        <w:tblInd w:w="55" w:type="dxa"/>
        <w:tblCellMar>
          <w:left w:w="70" w:type="dxa"/>
          <w:right w:w="70" w:type="dxa"/>
        </w:tblCellMar>
      </w:tblPr>
      <w:tblGrid>
        <w:gridCol w:w="630"/>
        <w:gridCol w:w="1120"/>
        <w:gridCol w:w="1341"/>
        <w:gridCol w:w="819"/>
        <w:gridCol w:w="1120"/>
        <w:gridCol w:w="1341"/>
        <w:gridCol w:w="819"/>
      </w:tblGrid>
      <w:tr>
        <w:tblPrEx>
          <w:tblW w:w="7190" w:type="dxa"/>
          <w:jc w:val="center"/>
          <w:tblInd w:w="55" w:type="dxa"/>
          <w:tblCellMar>
            <w:left w:w="70" w:type="dxa"/>
            <w:right w:w="70" w:type="dxa"/>
          </w:tblCellMar>
        </w:tblPrEx>
        <w:trPr>
          <w:trHeight w:val="255"/>
          <w:jc w:val="center"/>
        </w:trPr>
        <w:tc>
          <w:tcPr>
            <w:tcW w:w="630" w:type="dxa"/>
            <w:tcBorders>
              <w:top w:val="single" w:sz="4" w:space="0" w:color="auto"/>
              <w:left w:val="single" w:sz="4" w:space="0" w:color="auto"/>
              <w:bottom w:val="nil"/>
              <w:right w:val="nil"/>
              <w:tl2br w:val="nil"/>
              <w:tr2bl w:val="nil"/>
            </w:tcBorders>
            <w:shd w:val="clear" w:color="auto" w:fill="000000"/>
            <w:noWrap/>
            <w:textDirection w:val="lrTb"/>
            <w:vAlign w:val="bottom"/>
          </w:tcPr>
          <w:p w:rsidR="00C52DD5" w:rsidRPr="006076F5" w:rsidP="00C52DD5">
            <w:pPr>
              <w:rPr>
                <w:rFonts w:ascii="Arial" w:hAnsi="Arial" w:cs="Arial"/>
                <w:b/>
                <w:bCs/>
                <w:color w:val="FFFFFF"/>
                <w:sz w:val="20"/>
              </w:rPr>
            </w:pPr>
          </w:p>
        </w:tc>
        <w:tc>
          <w:tcPr>
            <w:tcW w:w="3280" w:type="dxa"/>
            <w:gridSpan w:val="3"/>
            <w:tcBorders>
              <w:top w:val="single" w:sz="4" w:space="0" w:color="auto"/>
              <w:left w:val="nil"/>
              <w:bottom w:val="nil"/>
              <w:right w:val="single" w:sz="4" w:space="0" w:color="000000"/>
              <w:tl2br w:val="nil"/>
              <w:tr2bl w:val="nil"/>
            </w:tcBorders>
            <w:shd w:val="clear" w:color="auto" w:fill="000000"/>
            <w:noWrap/>
            <w:textDirection w:val="lrTb"/>
            <w:vAlign w:val="bottom"/>
          </w:tcPr>
          <w:p w:rsidR="00C52DD5" w:rsidRPr="006076F5" w:rsidP="00C52DD5">
            <w:pPr>
              <w:jc w:val="center"/>
              <w:rPr>
                <w:rFonts w:ascii="Arial" w:hAnsi="Arial" w:cs="Arial"/>
                <w:b/>
                <w:bCs/>
                <w:color w:val="FFFFFF"/>
                <w:sz w:val="20"/>
              </w:rPr>
            </w:pPr>
            <w:r w:rsidRPr="006076F5">
              <w:rPr>
                <w:rFonts w:ascii="Arial" w:hAnsi="Arial" w:cs="Arial"/>
                <w:b/>
                <w:bCs/>
                <w:color w:val="FFFFFF"/>
                <w:sz w:val="20"/>
              </w:rPr>
              <w:t>Úrokové riziko k 31.12.2006</w:t>
            </w:r>
          </w:p>
        </w:tc>
        <w:tc>
          <w:tcPr>
            <w:tcW w:w="3280" w:type="dxa"/>
            <w:gridSpan w:val="3"/>
            <w:tcBorders>
              <w:top w:val="single" w:sz="4" w:space="0" w:color="auto"/>
              <w:left w:val="nil"/>
              <w:bottom w:val="nil"/>
              <w:right w:val="single" w:sz="4" w:space="0" w:color="000000"/>
              <w:tl2br w:val="nil"/>
              <w:tr2bl w:val="nil"/>
            </w:tcBorders>
            <w:shd w:val="clear" w:color="auto" w:fill="000000"/>
            <w:noWrap/>
            <w:textDirection w:val="lrTb"/>
            <w:vAlign w:val="bottom"/>
          </w:tcPr>
          <w:p w:rsidR="00C52DD5" w:rsidRPr="006076F5" w:rsidP="00C52DD5">
            <w:pPr>
              <w:jc w:val="center"/>
              <w:rPr>
                <w:rFonts w:ascii="Arial" w:hAnsi="Arial" w:cs="Arial"/>
                <w:b/>
                <w:bCs/>
                <w:color w:val="FFFFFF"/>
                <w:sz w:val="20"/>
              </w:rPr>
            </w:pPr>
            <w:r w:rsidRPr="006076F5">
              <w:rPr>
                <w:rFonts w:ascii="Arial" w:hAnsi="Arial" w:cs="Arial"/>
                <w:b/>
                <w:bCs/>
                <w:color w:val="FFFFFF"/>
                <w:sz w:val="20"/>
              </w:rPr>
              <w:t>Úrokové riziko k 31.12.2007</w:t>
            </w:r>
          </w:p>
        </w:tc>
      </w:tr>
      <w:tr>
        <w:tblPrEx>
          <w:tblW w:w="7190" w:type="dxa"/>
          <w:jc w:val="center"/>
          <w:tblInd w:w="55" w:type="dxa"/>
          <w:tblCellMar>
            <w:left w:w="70" w:type="dxa"/>
            <w:right w:w="70" w:type="dxa"/>
          </w:tblCellMar>
        </w:tblPrEx>
        <w:trPr>
          <w:trHeight w:val="510"/>
          <w:jc w:val="center"/>
        </w:trPr>
        <w:tc>
          <w:tcPr>
            <w:tcW w:w="630" w:type="dxa"/>
            <w:tcBorders>
              <w:top w:val="nil"/>
              <w:left w:val="single" w:sz="4" w:space="0" w:color="auto"/>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Roky</w:t>
            </w:r>
          </w:p>
        </w:tc>
        <w:tc>
          <w:tcPr>
            <w:tcW w:w="1120" w:type="dxa"/>
            <w:tcBorders>
              <w:top w:val="nil"/>
              <w:left w:val="nil"/>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Účtovný dlh</w:t>
            </w:r>
          </w:p>
        </w:tc>
        <w:tc>
          <w:tcPr>
            <w:tcW w:w="1341" w:type="dxa"/>
            <w:tcBorders>
              <w:top w:val="nil"/>
              <w:left w:val="nil"/>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Dlh podľa Maastrichtu*</w:t>
            </w:r>
          </w:p>
        </w:tc>
        <w:tc>
          <w:tcPr>
            <w:tcW w:w="819" w:type="dxa"/>
            <w:tcBorders>
              <w:top w:val="nil"/>
              <w:left w:val="nil"/>
              <w:bottom w:val="nil"/>
              <w:right w:val="single" w:sz="4" w:space="0" w:color="auto"/>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Limit</w:t>
            </w:r>
          </w:p>
        </w:tc>
        <w:tc>
          <w:tcPr>
            <w:tcW w:w="1120" w:type="dxa"/>
            <w:tcBorders>
              <w:top w:val="nil"/>
              <w:left w:val="nil"/>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Účtovný dlh</w:t>
            </w:r>
          </w:p>
        </w:tc>
        <w:tc>
          <w:tcPr>
            <w:tcW w:w="1341" w:type="dxa"/>
            <w:tcBorders>
              <w:top w:val="nil"/>
              <w:left w:val="nil"/>
              <w:bottom w:val="nil"/>
              <w:right w:val="nil"/>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Dlh podľa Maastrichtu*</w:t>
            </w:r>
          </w:p>
        </w:tc>
        <w:tc>
          <w:tcPr>
            <w:tcW w:w="819" w:type="dxa"/>
            <w:tcBorders>
              <w:top w:val="nil"/>
              <w:left w:val="nil"/>
              <w:bottom w:val="nil"/>
              <w:right w:val="single" w:sz="4" w:space="0" w:color="auto"/>
              <w:tl2br w:val="nil"/>
              <w:tr2bl w:val="nil"/>
            </w:tcBorders>
            <w:shd w:val="clear" w:color="auto" w:fill="C0C0C0"/>
            <w:textDirection w:val="lrTb"/>
            <w:vAlign w:val="bottom"/>
          </w:tcPr>
          <w:p w:rsidR="00C52DD5" w:rsidRPr="006076F5" w:rsidP="00C52DD5">
            <w:pPr>
              <w:rPr>
                <w:rFonts w:ascii="Arial" w:hAnsi="Arial" w:cs="Arial"/>
                <w:b/>
                <w:bCs/>
                <w:sz w:val="20"/>
              </w:rPr>
            </w:pPr>
            <w:r w:rsidRPr="006076F5">
              <w:rPr>
                <w:rFonts w:ascii="Arial" w:hAnsi="Arial" w:cs="Arial"/>
                <w:b/>
                <w:bCs/>
                <w:sz w:val="20"/>
              </w:rPr>
              <w:t>Limit</w:t>
            </w:r>
          </w:p>
        </w:tc>
      </w:tr>
      <w:tr>
        <w:tblPrEx>
          <w:tblW w:w="7190" w:type="dxa"/>
          <w:jc w:val="center"/>
          <w:tblInd w:w="55" w:type="dxa"/>
          <w:tblCellMar>
            <w:left w:w="70" w:type="dxa"/>
            <w:right w:w="70" w:type="dxa"/>
          </w:tblCellMar>
        </w:tblPrEx>
        <w:trPr>
          <w:trHeight w:val="255"/>
          <w:jc w:val="center"/>
        </w:trPr>
        <w:tc>
          <w:tcPr>
            <w:tcW w:w="630" w:type="dxa"/>
            <w:tcBorders>
              <w:top w:val="nil"/>
              <w:left w:val="single" w:sz="4" w:space="0" w:color="auto"/>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1</w:t>
            </w:r>
          </w:p>
        </w:tc>
        <w:tc>
          <w:tcPr>
            <w:tcW w:w="1120" w:type="dxa"/>
            <w:tcBorders>
              <w:top w:val="nil"/>
              <w:left w:val="nil"/>
              <w:bottom w:val="nil"/>
              <w:right w:val="nil"/>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45,95%</w:t>
            </w:r>
          </w:p>
        </w:tc>
        <w:tc>
          <w:tcPr>
            <w:tcW w:w="1341" w:type="dxa"/>
            <w:tcBorders>
              <w:top w:val="nil"/>
              <w:left w:val="nil"/>
              <w:bottom w:val="nil"/>
              <w:right w:val="nil"/>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38,43%</w:t>
            </w:r>
          </w:p>
        </w:tc>
        <w:tc>
          <w:tcPr>
            <w:tcW w:w="819" w:type="dxa"/>
            <w:tcBorders>
              <w:top w:val="nil"/>
              <w:left w:val="nil"/>
              <w:bottom w:val="nil"/>
              <w:right w:val="single" w:sz="4" w:space="0" w:color="auto"/>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25,00%</w:t>
            </w:r>
          </w:p>
        </w:tc>
        <w:tc>
          <w:tcPr>
            <w:tcW w:w="1120"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33,87%</w:t>
            </w:r>
          </w:p>
        </w:tc>
        <w:tc>
          <w:tcPr>
            <w:tcW w:w="1341" w:type="dxa"/>
            <w:tcBorders>
              <w:top w:val="nil"/>
              <w:left w:val="nil"/>
              <w:bottom w:val="nil"/>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25,90%</w:t>
            </w:r>
          </w:p>
        </w:tc>
        <w:tc>
          <w:tcPr>
            <w:tcW w:w="819" w:type="dxa"/>
            <w:tcBorders>
              <w:top w:val="nil"/>
              <w:left w:val="nil"/>
              <w:bottom w:val="nil"/>
              <w:right w:val="single" w:sz="4" w:space="0" w:color="auto"/>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25,00%</w:t>
            </w:r>
          </w:p>
        </w:tc>
      </w:tr>
      <w:tr>
        <w:tblPrEx>
          <w:tblW w:w="7190" w:type="dxa"/>
          <w:jc w:val="center"/>
          <w:tblInd w:w="55" w:type="dxa"/>
          <w:tblCellMar>
            <w:left w:w="70" w:type="dxa"/>
            <w:right w:w="70" w:type="dxa"/>
          </w:tblCellMar>
        </w:tblPrEx>
        <w:trPr>
          <w:trHeight w:val="255"/>
          <w:jc w:val="center"/>
        </w:trPr>
        <w:tc>
          <w:tcPr>
            <w:tcW w:w="630" w:type="dxa"/>
            <w:tcBorders>
              <w:top w:val="nil"/>
              <w:left w:val="single" w:sz="4" w:space="0" w:color="auto"/>
              <w:bottom w:val="single" w:sz="4" w:space="0" w:color="auto"/>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5</w:t>
            </w:r>
          </w:p>
        </w:tc>
        <w:tc>
          <w:tcPr>
            <w:tcW w:w="1120" w:type="dxa"/>
            <w:tcBorders>
              <w:top w:val="nil"/>
              <w:left w:val="nil"/>
              <w:bottom w:val="single" w:sz="4" w:space="0" w:color="auto"/>
              <w:right w:val="nil"/>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63,56%</w:t>
            </w:r>
          </w:p>
        </w:tc>
        <w:tc>
          <w:tcPr>
            <w:tcW w:w="1341" w:type="dxa"/>
            <w:tcBorders>
              <w:top w:val="nil"/>
              <w:left w:val="nil"/>
              <w:bottom w:val="single" w:sz="4" w:space="0" w:color="auto"/>
              <w:right w:val="nil"/>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58,49%</w:t>
            </w:r>
          </w:p>
        </w:tc>
        <w:tc>
          <w:tcPr>
            <w:tcW w:w="819"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65,00%</w:t>
            </w:r>
          </w:p>
        </w:tc>
        <w:tc>
          <w:tcPr>
            <w:tcW w:w="1120" w:type="dxa"/>
            <w:tcBorders>
              <w:top w:val="nil"/>
              <w:left w:val="nil"/>
              <w:bottom w:val="single" w:sz="4" w:space="0" w:color="auto"/>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61,71%</w:t>
            </w:r>
          </w:p>
        </w:tc>
        <w:tc>
          <w:tcPr>
            <w:tcW w:w="1341" w:type="dxa"/>
            <w:tcBorders>
              <w:top w:val="nil"/>
              <w:left w:val="nil"/>
              <w:bottom w:val="single" w:sz="4" w:space="0" w:color="auto"/>
              <w:right w:val="nil"/>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57,10%</w:t>
            </w:r>
          </w:p>
        </w:tc>
        <w:tc>
          <w:tcPr>
            <w:tcW w:w="819"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right"/>
              <w:rPr>
                <w:rFonts w:ascii="Arial" w:hAnsi="Arial" w:cs="Arial"/>
                <w:sz w:val="20"/>
              </w:rPr>
            </w:pPr>
            <w:r w:rsidRPr="006076F5">
              <w:rPr>
                <w:rFonts w:ascii="Arial" w:hAnsi="Arial" w:cs="Arial"/>
                <w:sz w:val="20"/>
              </w:rPr>
              <w:t>65,00%</w:t>
            </w:r>
          </w:p>
        </w:tc>
      </w:tr>
    </w:tbl>
    <w:p w:rsidR="00C52DD5" w:rsidP="00C52DD5">
      <w:pPr>
        <w:ind w:left="1700"/>
        <w:jc w:val="both"/>
        <w:rPr>
          <w:rFonts w:ascii="Arial Narrow" w:hAnsi="Arial Narrow" w:cs="Arial"/>
          <w:bCs/>
          <w:i/>
          <w:color w:val="000000"/>
          <w:sz w:val="22"/>
          <w:szCs w:val="22"/>
        </w:rPr>
      </w:pPr>
      <w:r>
        <w:rPr>
          <w:rFonts w:ascii="Arial Narrow" w:hAnsi="Arial Narrow" w:cs="Arial"/>
          <w:bCs/>
          <w:i/>
          <w:color w:val="000000"/>
          <w:sz w:val="22"/>
          <w:szCs w:val="22"/>
        </w:rPr>
        <w:t xml:space="preserve">* </w:t>
      </w:r>
      <w:r w:rsidRPr="006076F5">
        <w:rPr>
          <w:rFonts w:ascii="Arial Narrow" w:hAnsi="Arial Narrow" w:cs="Arial"/>
          <w:bCs/>
          <w:i/>
          <w:color w:val="000000"/>
          <w:sz w:val="22"/>
          <w:szCs w:val="22"/>
        </w:rPr>
        <w:t>Dlh podľa Maastrichtu nezahŕňa záväzky MF SR voči Štátnej pokladnici.</w:t>
      </w:r>
    </w:p>
    <w:p w:rsidR="00C52DD5" w:rsidP="00C52DD5">
      <w:pPr>
        <w:jc w:val="both"/>
        <w:rPr>
          <w:rFonts w:ascii="Arial Narrow" w:hAnsi="Arial Narrow" w:cs="Arial"/>
          <w:bCs/>
          <w:i/>
          <w:color w:val="000000"/>
          <w:sz w:val="22"/>
          <w:szCs w:val="22"/>
        </w:rPr>
      </w:pPr>
    </w:p>
    <w:p w:rsidR="00C52DD5" w:rsidRPr="006076F5" w:rsidP="00C52DD5">
      <w:pPr>
        <w:ind w:firstLine="709"/>
        <w:jc w:val="both"/>
        <w:rPr>
          <w:rFonts w:ascii="Arial Narrow" w:hAnsi="Arial Narrow" w:cs="Times New Roman"/>
          <w:sz w:val="22"/>
          <w:szCs w:val="22"/>
        </w:rPr>
      </w:pPr>
      <w:r w:rsidRPr="006076F5">
        <w:rPr>
          <w:rFonts w:ascii="Arial Narrow" w:hAnsi="Arial Narrow" w:cs="Times New Roman"/>
          <w:sz w:val="22"/>
          <w:szCs w:val="22"/>
        </w:rPr>
        <w:t xml:space="preserve">Primárnym dôvodom prekročenia limitu v prvom roku bolo zrušenie termínovaných obchodov so zdrojmi určenými na dôchodkovú reformu, ktoré mali pôvodne splatnosť až do roku 2012. Na prekročenom limite sa taktiež podieľa využívanie voľných zdrojov z refinančného systému ŠP vo väčšej miere ako v minulých rokoch. MF SR si prostredníctvom tohto systému požičiavalo približne </w:t>
      </w:r>
      <w:r>
        <w:rPr>
          <w:rFonts w:ascii="Arial Narrow" w:hAnsi="Arial Narrow" w:cs="Times New Roman"/>
          <w:sz w:val="22"/>
          <w:szCs w:val="22"/>
        </w:rPr>
        <w:t>2,59</w:t>
      </w:r>
      <w:r w:rsidRPr="006076F5">
        <w:rPr>
          <w:rFonts w:ascii="Arial Narrow" w:hAnsi="Arial Narrow" w:cs="Times New Roman"/>
          <w:sz w:val="22"/>
          <w:szCs w:val="22"/>
        </w:rPr>
        <w:t> mld. </w:t>
      </w:r>
      <w:r>
        <w:rPr>
          <w:rFonts w:ascii="Arial Narrow" w:hAnsi="Arial Narrow" w:cs="Times New Roman"/>
          <w:sz w:val="22"/>
          <w:szCs w:val="22"/>
        </w:rPr>
        <w:t>eur</w:t>
      </w:r>
      <w:r w:rsidRPr="006076F5">
        <w:rPr>
          <w:rFonts w:ascii="Arial Narrow" w:hAnsi="Arial Narrow" w:cs="Times New Roman"/>
          <w:sz w:val="22"/>
          <w:szCs w:val="22"/>
        </w:rPr>
        <w:t xml:space="preserve">, po očistení o preceňované </w:t>
      </w:r>
      <w:r>
        <w:rPr>
          <w:rFonts w:ascii="Arial Narrow" w:hAnsi="Arial Narrow" w:cs="Times New Roman"/>
          <w:sz w:val="22"/>
          <w:szCs w:val="22"/>
        </w:rPr>
        <w:t>eur</w:t>
      </w:r>
      <w:r w:rsidRPr="006076F5">
        <w:rPr>
          <w:rFonts w:ascii="Arial Narrow" w:hAnsi="Arial Narrow" w:cs="Times New Roman"/>
          <w:sz w:val="22"/>
          <w:szCs w:val="22"/>
        </w:rPr>
        <w:t xml:space="preserve"> depozitá do jedného roka to bolo 2,</w:t>
      </w:r>
      <w:r>
        <w:rPr>
          <w:rFonts w:ascii="Arial Narrow" w:hAnsi="Arial Narrow" w:cs="Times New Roman"/>
          <w:sz w:val="22"/>
          <w:szCs w:val="22"/>
        </w:rPr>
        <w:t>1</w:t>
      </w:r>
      <w:r w:rsidRPr="006076F5">
        <w:rPr>
          <w:rFonts w:ascii="Arial Narrow" w:hAnsi="Arial Narrow" w:cs="Times New Roman"/>
          <w:sz w:val="22"/>
          <w:szCs w:val="22"/>
        </w:rPr>
        <w:t> mld. </w:t>
      </w:r>
      <w:r>
        <w:rPr>
          <w:rFonts w:ascii="Arial Narrow" w:hAnsi="Arial Narrow" w:cs="Times New Roman"/>
          <w:sz w:val="22"/>
          <w:szCs w:val="22"/>
        </w:rPr>
        <w:t>eur</w:t>
      </w:r>
      <w:r w:rsidRPr="006076F5">
        <w:rPr>
          <w:rFonts w:ascii="Arial Narrow" w:hAnsi="Arial Narrow" w:cs="Times New Roman"/>
          <w:sz w:val="22"/>
          <w:szCs w:val="22"/>
        </w:rPr>
        <w:t xml:space="preserve">. V porovnaní s inými európskymi krajinami MF SR prostredníctvom systému ŠP využíva voľné verejné zdroje v oveľa väčšom rozsahu, čo prináša väčšie šetrenie výdavkov štátneho rozpočtu, ale zároveň zhoršenie niektorých dôležitých podielových ukazovateľov štátneho dlhu. </w:t>
      </w:r>
    </w:p>
    <w:p w:rsidR="00C52DD5" w:rsidRPr="006076F5" w:rsidP="00C52DD5">
      <w:pPr>
        <w:ind w:left="454"/>
        <w:jc w:val="both"/>
        <w:rPr>
          <w:rFonts w:ascii="Arial Narrow" w:hAnsi="Arial Narrow" w:cs="Times New Roman"/>
          <w:sz w:val="22"/>
          <w:szCs w:val="22"/>
        </w:rPr>
      </w:pPr>
    </w:p>
    <w:p w:rsidR="00C52DD5" w:rsidRPr="006076F5" w:rsidP="00C52DD5">
      <w:pPr>
        <w:ind w:firstLine="709"/>
        <w:jc w:val="both"/>
        <w:rPr>
          <w:rFonts w:ascii="Arial Narrow" w:hAnsi="Arial Narrow" w:cs="Times New Roman"/>
          <w:sz w:val="22"/>
          <w:szCs w:val="22"/>
        </w:rPr>
      </w:pPr>
      <w:r w:rsidRPr="006076F5">
        <w:rPr>
          <w:rFonts w:ascii="Arial Narrow" w:hAnsi="Arial Narrow" w:cs="Times New Roman"/>
          <w:sz w:val="22"/>
          <w:szCs w:val="22"/>
        </w:rPr>
        <w:t>Zlepšenie týchto ukazovateľov by bolo možné úpravami cez finančné deriváty (prevažne úrokové swapy), ktoré sú bežne využívané v iných dlhových agentúrach, zmenou pohyblivých úrokových sadzieb na fixné. Predpokladom realizácie týchto obchodov je dobudovanie potrebnej infraštruktúry, najmä zlepšenie podmienok platobného styku, účtovnej metodiky a podpísanie tzv. ISDA zmluvy. Daný stav je tiež možné vylepšiť aj prípadnou zahraničnou emisiou s fixným kupónom a splatnosťou 10 a viac rokov, nakoľko predaj takejto emisie na domácom trhu je pre nízky záujem zo strany investorov limitovaný.</w:t>
      </w:r>
    </w:p>
    <w:p w:rsidR="00C52DD5" w:rsidRPr="006076F5" w:rsidP="00C52DD5">
      <w:pPr>
        <w:spacing w:after="120"/>
        <w:jc w:val="both"/>
        <w:rPr>
          <w:rFonts w:ascii="Arial Narrow" w:hAnsi="Arial Narrow" w:cs="Times New Roman"/>
          <w:i/>
          <w:sz w:val="22"/>
          <w:szCs w:val="22"/>
        </w:rPr>
      </w:pPr>
    </w:p>
    <w:p w:rsidR="00C52DD5" w:rsidRPr="006076F5" w:rsidP="00C52DD5">
      <w:pPr>
        <w:spacing w:after="120"/>
        <w:jc w:val="both"/>
        <w:rPr>
          <w:rFonts w:ascii="Arial Narrow" w:hAnsi="Arial Narrow" w:cs="Times New Roman"/>
          <w:i/>
          <w:sz w:val="22"/>
          <w:szCs w:val="22"/>
        </w:rPr>
      </w:pPr>
      <w:r w:rsidRPr="006076F5">
        <w:rPr>
          <w:rFonts w:ascii="Arial Narrow" w:hAnsi="Arial Narrow" w:cs="Times New Roman"/>
          <w:i/>
          <w:sz w:val="22"/>
          <w:szCs w:val="22"/>
        </w:rPr>
        <w:t>Vývoj durácie </w:t>
      </w:r>
      <w:r>
        <w:rPr>
          <w:rStyle w:val="FootnoteReference"/>
          <w:rFonts w:ascii="Arial Narrow" w:hAnsi="Arial Narrow" w:cs="Times New Roman"/>
          <w:i/>
          <w:sz w:val="22"/>
          <w:szCs w:val="22"/>
          <w:rtl w:val="0"/>
        </w:rPr>
        <w:footnoteReference w:id="6"/>
      </w:r>
      <w:r w:rsidRPr="006076F5">
        <w:rPr>
          <w:rFonts w:ascii="Arial Narrow" w:hAnsi="Arial Narrow" w:cs="Times New Roman"/>
          <w:i/>
          <w:sz w:val="22"/>
          <w:szCs w:val="22"/>
        </w:rPr>
        <w:t xml:space="preserve"> a priemernej splatnosti</w:t>
      </w:r>
    </w:p>
    <w:p w:rsidR="00C52DD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 xml:space="preserve">Tieto veličiny sú podľa Stratégie riadenia štátneho dlhu na roky 2007 až 2010 sledované až ako sekundárne. Uvedené ukazovatele sú na stabilnej úrovni viac rokov. </w:t>
      </w:r>
    </w:p>
    <w:p w:rsidR="00C52DD5" w:rsidP="00C52DD5">
      <w:pPr>
        <w:spacing w:after="120"/>
        <w:ind w:firstLine="709"/>
        <w:jc w:val="both"/>
        <w:rPr>
          <w:rFonts w:ascii="Arial Narrow" w:hAnsi="Arial Narrow" w:cs="Times New Roman"/>
          <w:sz w:val="22"/>
          <w:szCs w:val="22"/>
        </w:rPr>
      </w:pPr>
    </w:p>
    <w:p w:rsidR="00C52DD5" w:rsidRPr="006076F5" w:rsidP="00C52DD5">
      <w:pPr>
        <w:ind w:firstLine="540"/>
        <w:jc w:val="both"/>
        <w:rPr>
          <w:rFonts w:ascii="Arial Narrow" w:hAnsi="Arial Narrow" w:cs="Times New Roman"/>
          <w:i/>
          <w:sz w:val="22"/>
          <w:szCs w:val="22"/>
        </w:rPr>
      </w:pPr>
      <w:r w:rsidRPr="006076F5">
        <w:rPr>
          <w:rFonts w:ascii="Arial Narrow" w:hAnsi="Arial Narrow" w:cs="Times New Roman"/>
          <w:i/>
          <w:sz w:val="22"/>
          <w:szCs w:val="22"/>
        </w:rPr>
        <w:t xml:space="preserve"> Vývoj durácie a priemernej splatnosti portfólia dlhopisov a úverov (uvádzaný v počte rokov):</w:t>
      </w:r>
    </w:p>
    <w:tbl>
      <w:tblPr>
        <w:tblW w:w="8000" w:type="dxa"/>
        <w:jc w:val="center"/>
        <w:tblInd w:w="-19" w:type="dxa"/>
        <w:tblCellMar>
          <w:left w:w="70" w:type="dxa"/>
          <w:right w:w="70" w:type="dxa"/>
        </w:tblCellMar>
      </w:tblPr>
      <w:tblGrid>
        <w:gridCol w:w="1280"/>
        <w:gridCol w:w="960"/>
        <w:gridCol w:w="960"/>
        <w:gridCol w:w="960"/>
        <w:gridCol w:w="960"/>
        <w:gridCol w:w="960"/>
        <w:gridCol w:w="960"/>
        <w:gridCol w:w="960"/>
      </w:tblGrid>
      <w:tr>
        <w:tblPrEx>
          <w:tblW w:w="8000" w:type="dxa"/>
          <w:jc w:val="center"/>
          <w:tblInd w:w="-19" w:type="dxa"/>
          <w:tblCellMar>
            <w:left w:w="70" w:type="dxa"/>
            <w:right w:w="70" w:type="dxa"/>
          </w:tblCellMar>
        </w:tblPrEx>
        <w:trPr>
          <w:trHeight w:val="255"/>
          <w:jc w:val="center"/>
        </w:trPr>
        <w:tc>
          <w:tcPr>
            <w:tcW w:w="128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Rok</w:t>
            </w:r>
          </w:p>
        </w:tc>
        <w:tc>
          <w:tcPr>
            <w:tcW w:w="960"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2002</w:t>
            </w:r>
          </w:p>
        </w:tc>
        <w:tc>
          <w:tcPr>
            <w:tcW w:w="960"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2003</w:t>
            </w:r>
          </w:p>
        </w:tc>
        <w:tc>
          <w:tcPr>
            <w:tcW w:w="960"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2004</w:t>
            </w:r>
          </w:p>
        </w:tc>
        <w:tc>
          <w:tcPr>
            <w:tcW w:w="960"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2005</w:t>
            </w:r>
          </w:p>
        </w:tc>
        <w:tc>
          <w:tcPr>
            <w:tcW w:w="960"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2006</w:t>
            </w:r>
          </w:p>
        </w:tc>
        <w:tc>
          <w:tcPr>
            <w:tcW w:w="960"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2007</w:t>
            </w:r>
          </w:p>
        </w:tc>
        <w:tc>
          <w:tcPr>
            <w:tcW w:w="960"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2008*</w:t>
            </w:r>
          </w:p>
        </w:tc>
      </w:tr>
      <w:tr>
        <w:tblPrEx>
          <w:tblW w:w="8000" w:type="dxa"/>
          <w:jc w:val="center"/>
          <w:tblInd w:w="-19" w:type="dxa"/>
          <w:tblCellMar>
            <w:left w:w="70" w:type="dxa"/>
            <w:right w:w="70" w:type="dxa"/>
          </w:tblCellMar>
        </w:tblPrEx>
        <w:trPr>
          <w:trHeight w:val="255"/>
          <w:jc w:val="center"/>
        </w:trPr>
        <w:tc>
          <w:tcPr>
            <w:tcW w:w="1280" w:type="dxa"/>
            <w:tcBorders>
              <w:top w:val="nil"/>
              <w:left w:val="single" w:sz="4" w:space="0" w:color="auto"/>
              <w:bottom w:val="single" w:sz="4" w:space="0" w:color="auto"/>
              <w:right w:val="single" w:sz="4" w:space="0" w:color="auto"/>
              <w:tl2br w:val="nil"/>
              <w:tr2bl w:val="nil"/>
            </w:tcBorders>
            <w:textDirection w:val="lrTb"/>
            <w:vAlign w:val="bottom"/>
          </w:tcPr>
          <w:p w:rsidR="00C52DD5" w:rsidRPr="006076F5" w:rsidP="00C52DD5">
            <w:pPr>
              <w:jc w:val="both"/>
              <w:rPr>
                <w:rFonts w:ascii="Arial" w:hAnsi="Arial" w:cs="Arial"/>
                <w:b/>
                <w:bCs/>
                <w:sz w:val="20"/>
              </w:rPr>
            </w:pPr>
            <w:r w:rsidRPr="006076F5">
              <w:rPr>
                <w:rFonts w:ascii="Arial" w:hAnsi="Arial" w:cs="Arial"/>
                <w:b/>
                <w:bCs/>
                <w:sz w:val="20"/>
              </w:rPr>
              <w:t>Durácia</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2,8</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2,43</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3,55</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3,16</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3,99</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4,13</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4,39</w:t>
            </w:r>
          </w:p>
        </w:tc>
      </w:tr>
      <w:tr>
        <w:tblPrEx>
          <w:tblW w:w="8000" w:type="dxa"/>
          <w:jc w:val="center"/>
          <w:tblInd w:w="-19" w:type="dxa"/>
          <w:tblCellMar>
            <w:left w:w="70" w:type="dxa"/>
            <w:right w:w="70" w:type="dxa"/>
          </w:tblCellMar>
        </w:tblPrEx>
        <w:trPr>
          <w:trHeight w:val="510"/>
          <w:jc w:val="center"/>
        </w:trPr>
        <w:tc>
          <w:tcPr>
            <w:tcW w:w="1280" w:type="dxa"/>
            <w:tcBorders>
              <w:top w:val="nil"/>
              <w:left w:val="single" w:sz="4" w:space="0" w:color="auto"/>
              <w:bottom w:val="single" w:sz="4" w:space="0" w:color="auto"/>
              <w:right w:val="single" w:sz="4" w:space="0" w:color="auto"/>
              <w:tl2br w:val="nil"/>
              <w:tr2bl w:val="nil"/>
            </w:tcBorders>
            <w:textDirection w:val="lrTb"/>
            <w:vAlign w:val="bottom"/>
          </w:tcPr>
          <w:p w:rsidR="00C52DD5" w:rsidRPr="006076F5" w:rsidP="00C52DD5">
            <w:pPr>
              <w:jc w:val="both"/>
              <w:rPr>
                <w:rFonts w:ascii="Arial" w:hAnsi="Arial" w:cs="Arial"/>
                <w:b/>
                <w:bCs/>
                <w:sz w:val="20"/>
              </w:rPr>
            </w:pPr>
            <w:r w:rsidRPr="006076F5">
              <w:rPr>
                <w:rFonts w:ascii="Arial" w:hAnsi="Arial" w:cs="Arial"/>
                <w:b/>
                <w:bCs/>
                <w:sz w:val="20"/>
              </w:rPr>
              <w:t>Priemerná splatnosť</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3,29</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3,82</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4,65</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4,55</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5,13</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5,07</w:t>
            </w:r>
          </w:p>
        </w:tc>
        <w:tc>
          <w:tcPr>
            <w:tcW w:w="96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5,29</w:t>
            </w:r>
          </w:p>
        </w:tc>
      </w:tr>
    </w:tbl>
    <w:p w:rsidR="00C52DD5" w:rsidP="00C52DD5">
      <w:pPr>
        <w:ind w:left="5664" w:firstLine="708"/>
        <w:jc w:val="center"/>
        <w:rPr>
          <w:rFonts w:ascii="Arial Narrow" w:hAnsi="Arial Narrow" w:cs="Arial"/>
          <w:bCs/>
          <w:i/>
          <w:color w:val="000000"/>
          <w:sz w:val="22"/>
          <w:szCs w:val="22"/>
        </w:rPr>
      </w:pPr>
      <w:r w:rsidRPr="006076F5">
        <w:rPr>
          <w:rFonts w:ascii="Arial Narrow" w:hAnsi="Arial Narrow" w:cs="Arial"/>
          <w:bCs/>
          <w:i/>
          <w:color w:val="000000"/>
          <w:sz w:val="22"/>
          <w:szCs w:val="22"/>
        </w:rPr>
        <w:t>* údaje k 31.03.2008</w:t>
      </w:r>
    </w:p>
    <w:p w:rsidR="009D7ED1" w:rsidRPr="006076F5" w:rsidP="00C52DD5">
      <w:pPr>
        <w:ind w:left="5664" w:firstLine="708"/>
        <w:jc w:val="center"/>
        <w:rPr>
          <w:rFonts w:ascii="Arial Narrow" w:hAnsi="Arial Narrow" w:cs="Arial"/>
          <w:bCs/>
          <w:i/>
          <w:color w:val="000000"/>
          <w:sz w:val="22"/>
          <w:szCs w:val="22"/>
        </w:rPr>
      </w:pPr>
    </w:p>
    <w:p w:rsidR="00C52DD5" w:rsidRPr="009D7ED1" w:rsidP="00C52DD5">
      <w:pPr>
        <w:pStyle w:val="Heading3"/>
        <w:numPr>
          <w:ilvl w:val="1"/>
          <w:numId w:val="201"/>
        </w:numPr>
        <w:tabs>
          <w:tab w:val="left" w:pos="792"/>
        </w:tabs>
        <w:ind w:left="357" w:firstLine="0"/>
        <w:rPr>
          <w:rFonts w:ascii="Arial Narrow" w:hAnsi="Arial Narrow"/>
          <w:sz w:val="22"/>
          <w:szCs w:val="22"/>
        </w:rPr>
      </w:pPr>
      <w:bookmarkStart w:id="7" w:name="_Toc202955839"/>
      <w:r w:rsidRPr="009D7ED1">
        <w:rPr>
          <w:rFonts w:ascii="Arial Narrow" w:hAnsi="Arial Narrow"/>
          <w:sz w:val="22"/>
          <w:szCs w:val="22"/>
        </w:rPr>
        <w:t>Optimalizácia podielu štátneho dlhu v domácej mene voči eur</w:t>
      </w:r>
      <w:bookmarkEnd w:id="7"/>
      <w:r w:rsidRPr="009D7ED1">
        <w:rPr>
          <w:rFonts w:ascii="Arial Narrow" w:hAnsi="Arial Narrow"/>
          <w:sz w:val="22"/>
          <w:szCs w:val="22"/>
        </w:rPr>
        <w:t>u</w:t>
      </w:r>
    </w:p>
    <w:p w:rsidR="00C52DD5" w:rsidRPr="004732C2" w:rsidP="00C52DD5">
      <w:pPr>
        <w:rPr>
          <w:rFonts w:cs="Times New Roman"/>
        </w:rPr>
      </w:pPr>
    </w:p>
    <w:p w:rsidR="00C52DD5" w:rsidRPr="006076F5" w:rsidP="00C52DD5">
      <w:pPr>
        <w:spacing w:before="120" w:after="120"/>
        <w:ind w:firstLine="709"/>
        <w:jc w:val="both"/>
        <w:rPr>
          <w:rFonts w:ascii="Arial Narrow" w:hAnsi="Arial Narrow" w:cs="Times New Roman"/>
          <w:sz w:val="22"/>
          <w:szCs w:val="22"/>
        </w:rPr>
      </w:pPr>
      <w:r w:rsidRPr="006076F5">
        <w:rPr>
          <w:rFonts w:ascii="Arial Narrow" w:hAnsi="Arial Narrow" w:cs="Times New Roman"/>
          <w:sz w:val="22"/>
          <w:szCs w:val="22"/>
        </w:rPr>
        <w:t xml:space="preserve">V súlade so zámerom uvedeným v stratégii riadenia dlhu vydať každý rok jeden Eurobond Slovensko emitovalo v roku 2007 dlhopis na európskom trhu. Vydaný dlhopis mal splatnosť 10 rokov  pri menovitej hodnote 1 mld. </w:t>
      </w:r>
      <w:r>
        <w:rPr>
          <w:rFonts w:ascii="Arial Narrow" w:hAnsi="Arial Narrow" w:cs="Times New Roman"/>
          <w:sz w:val="22"/>
          <w:szCs w:val="22"/>
        </w:rPr>
        <w:t>eur</w:t>
      </w:r>
      <w:r w:rsidRPr="006076F5">
        <w:rPr>
          <w:rFonts w:ascii="Arial Narrow" w:hAnsi="Arial Narrow" w:cs="Times New Roman"/>
          <w:sz w:val="22"/>
          <w:szCs w:val="22"/>
        </w:rPr>
        <w:t xml:space="preserve"> a pevnej úrokovej sadzbe 4,375 % p. a.. Dlhopisy boli mimoriadne úspešne predané, prvýkrát v histórii Slovenska bez prirážky voči trhovej úrokovej sadzbe. Výhodné podmienky pri emisii eurobondu sa podarilo dosiahnuť tiež vďaka pozitívnemu výhľadu smerovania ekonomiky SR a zlepšujúcemu sa ratingu krajiny. Realizovanie zahraničnej emisie s uvedenými parametrami sa do doby realizácie emisie SR nepodarilo žiadnej z krajín strednej a východnej Európy s výnimkou Slovinska (člen eurozóny). Cenová úroveň bola podobná akú dosahovalo v tom čase Grécko a Taliansko (krajiny eurozóny s lepším ratingom ako má SR ). Prirážka napríklad Maďarska bola v tom čase na úrovni + 0,17 % p. a.. Slovensko si požičalo finančné zdroje len o 0,26 percentuálneho bodu p. a. drahšie ako si požičiavala nemecká vláda (predošlá desaťročná emisia bola drahšia o 0,33 p.b. p.a.).</w:t>
      </w:r>
    </w:p>
    <w:p w:rsidR="00C52DD5" w:rsidRPr="006076F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 xml:space="preserve">Dopyt dosiahol viac ako 4 mld. </w:t>
      </w:r>
      <w:r>
        <w:rPr>
          <w:rFonts w:ascii="Arial Narrow" w:hAnsi="Arial Narrow" w:cs="Times New Roman"/>
          <w:sz w:val="22"/>
          <w:szCs w:val="22"/>
        </w:rPr>
        <w:t>eur</w:t>
      </w:r>
      <w:r w:rsidRPr="006076F5">
        <w:rPr>
          <w:rFonts w:ascii="Arial Narrow" w:hAnsi="Arial Narrow" w:cs="Times New Roman"/>
          <w:sz w:val="22"/>
          <w:szCs w:val="22"/>
        </w:rPr>
        <w:t xml:space="preserve"> a bol pri euro - emisii SR najväčší. Po prvýkrát sa podarilo dlhopisy SR predať aj do krajín, ktoré v minulosti kvôli najmä investičnému riziku tradične nekupovali slovenský štátny dlh. Napríklad investori z Francúzska kúpili 18</w:t>
      </w:r>
      <w:r>
        <w:rPr>
          <w:rFonts w:ascii="Arial Narrow" w:hAnsi="Arial Narrow" w:cs="Times New Roman"/>
          <w:sz w:val="22"/>
          <w:szCs w:val="22"/>
        </w:rPr>
        <w:t xml:space="preserve"> </w:t>
      </w:r>
      <w:r w:rsidRPr="006076F5">
        <w:rPr>
          <w:rFonts w:ascii="Arial Narrow" w:hAnsi="Arial Narrow" w:cs="Times New Roman"/>
          <w:sz w:val="22"/>
          <w:szCs w:val="22"/>
        </w:rPr>
        <w:t>%, z krajín Beneluxu 16</w:t>
      </w:r>
      <w:r>
        <w:rPr>
          <w:rFonts w:ascii="Arial Narrow" w:hAnsi="Arial Narrow" w:cs="Times New Roman"/>
          <w:sz w:val="22"/>
          <w:szCs w:val="22"/>
        </w:rPr>
        <w:t xml:space="preserve"> </w:t>
      </w:r>
      <w:r w:rsidRPr="006076F5">
        <w:rPr>
          <w:rFonts w:ascii="Arial Narrow" w:hAnsi="Arial Narrow" w:cs="Times New Roman"/>
          <w:sz w:val="22"/>
          <w:szCs w:val="22"/>
        </w:rPr>
        <w:t>%, z Írska 6</w:t>
      </w:r>
      <w:r>
        <w:rPr>
          <w:rFonts w:ascii="Arial Narrow" w:hAnsi="Arial Narrow" w:cs="Times New Roman"/>
          <w:sz w:val="22"/>
          <w:szCs w:val="22"/>
        </w:rPr>
        <w:t xml:space="preserve"> </w:t>
      </w:r>
      <w:r w:rsidRPr="006076F5">
        <w:rPr>
          <w:rFonts w:ascii="Arial Narrow" w:hAnsi="Arial Narrow" w:cs="Times New Roman"/>
          <w:sz w:val="22"/>
          <w:szCs w:val="22"/>
        </w:rPr>
        <w:t>%, Fínska 5</w:t>
      </w:r>
      <w:r>
        <w:rPr>
          <w:rFonts w:ascii="Arial Narrow" w:hAnsi="Arial Narrow" w:cs="Times New Roman"/>
          <w:sz w:val="22"/>
          <w:szCs w:val="22"/>
        </w:rPr>
        <w:t xml:space="preserve"> </w:t>
      </w:r>
      <w:r w:rsidRPr="006076F5">
        <w:rPr>
          <w:rFonts w:ascii="Arial Narrow" w:hAnsi="Arial Narrow" w:cs="Times New Roman"/>
          <w:sz w:val="22"/>
          <w:szCs w:val="22"/>
        </w:rPr>
        <w:t>%. Emisiu aranžovali pre SR v spolupráci s Agentúrou pre riadenie dlhu a likvidity banky Morgan Stanley a Société Générále.</w:t>
      </w:r>
    </w:p>
    <w:p w:rsidR="00C52DD5" w:rsidRPr="006076F5" w:rsidP="00C52DD5">
      <w:pPr>
        <w:ind w:firstLine="709"/>
        <w:jc w:val="both"/>
        <w:rPr>
          <w:rFonts w:ascii="Arial Narrow" w:hAnsi="Arial Narrow" w:cs="Times New Roman"/>
          <w:sz w:val="22"/>
          <w:szCs w:val="22"/>
        </w:rPr>
      </w:pPr>
      <w:r w:rsidRPr="006076F5">
        <w:rPr>
          <w:rFonts w:ascii="Arial Narrow" w:hAnsi="Arial Narrow" w:cs="Times New Roman"/>
          <w:sz w:val="22"/>
          <w:szCs w:val="22"/>
        </w:rPr>
        <w:t>Z pohľadu menovej štruktúry portfólia štátnych cenných papierov vydaných SR podiel dlhopisov vydaných v </w:t>
      </w:r>
      <w:r>
        <w:rPr>
          <w:rFonts w:ascii="Arial Narrow" w:hAnsi="Arial Narrow" w:cs="Times New Roman"/>
          <w:sz w:val="22"/>
          <w:szCs w:val="22"/>
        </w:rPr>
        <w:t>eur</w:t>
      </w:r>
      <w:r w:rsidRPr="006076F5">
        <w:rPr>
          <w:rFonts w:ascii="Arial Narrow" w:hAnsi="Arial Narrow" w:cs="Times New Roman"/>
          <w:sz w:val="22"/>
          <w:szCs w:val="22"/>
        </w:rPr>
        <w:t xml:space="preserve"> predstavuje 25 % (takmer bez zmeny oproti minulému roku), čo je v súlade s prijatou stratégiou. </w:t>
      </w:r>
    </w:p>
    <w:p w:rsidR="00C52DD5" w:rsidRPr="006076F5" w:rsidP="00C52DD5">
      <w:pPr>
        <w:jc w:val="both"/>
        <w:rPr>
          <w:rFonts w:ascii="Arial Narrow" w:hAnsi="Arial Narrow" w:cs="Times New Roman"/>
          <w:sz w:val="22"/>
          <w:szCs w:val="22"/>
        </w:rPr>
      </w:pPr>
    </w:p>
    <w:tbl>
      <w:tblPr>
        <w:tblW w:w="6495" w:type="dxa"/>
        <w:jc w:val="center"/>
        <w:tblInd w:w="55" w:type="dxa"/>
        <w:tblCellMar>
          <w:left w:w="70" w:type="dxa"/>
          <w:right w:w="70" w:type="dxa"/>
        </w:tblCellMar>
      </w:tblPr>
      <w:tblGrid>
        <w:gridCol w:w="3280"/>
        <w:gridCol w:w="1055"/>
        <w:gridCol w:w="1080"/>
        <w:gridCol w:w="1080"/>
      </w:tblGrid>
      <w:tr>
        <w:tblPrEx>
          <w:tblW w:w="6495" w:type="dxa"/>
          <w:jc w:val="center"/>
          <w:tblInd w:w="55" w:type="dxa"/>
          <w:tblCellMar>
            <w:left w:w="70" w:type="dxa"/>
            <w:right w:w="70" w:type="dxa"/>
          </w:tblCellMar>
        </w:tblPrEx>
        <w:trPr>
          <w:trHeight w:val="255"/>
          <w:jc w:val="center"/>
        </w:trPr>
        <w:tc>
          <w:tcPr>
            <w:tcW w:w="328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 xml:space="preserve">Štruktúra dlhopisov podľa meny </w:t>
            </w:r>
          </w:p>
        </w:tc>
        <w:tc>
          <w:tcPr>
            <w:tcW w:w="1055"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XII-2006</w:t>
            </w:r>
          </w:p>
        </w:tc>
        <w:tc>
          <w:tcPr>
            <w:tcW w:w="1080"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XII-2007</w:t>
            </w:r>
          </w:p>
        </w:tc>
        <w:tc>
          <w:tcPr>
            <w:tcW w:w="1080"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C52DD5" w:rsidRPr="006076F5" w:rsidP="00C52DD5">
            <w:pPr>
              <w:jc w:val="both"/>
              <w:rPr>
                <w:rFonts w:ascii="Arial" w:hAnsi="Arial" w:cs="Arial"/>
                <w:b/>
                <w:bCs/>
                <w:color w:val="FFFFFF"/>
                <w:sz w:val="20"/>
              </w:rPr>
            </w:pPr>
            <w:r w:rsidRPr="006076F5">
              <w:rPr>
                <w:rFonts w:ascii="Arial" w:hAnsi="Arial" w:cs="Arial"/>
                <w:b/>
                <w:bCs/>
                <w:color w:val="FFFFFF"/>
                <w:sz w:val="20"/>
              </w:rPr>
              <w:t>III-2008</w:t>
            </w:r>
          </w:p>
        </w:tc>
      </w:tr>
      <w:tr>
        <w:tblPrEx>
          <w:tblW w:w="6495" w:type="dxa"/>
          <w:jc w:val="center"/>
          <w:tblInd w:w="55" w:type="dxa"/>
          <w:tblCellMar>
            <w:left w:w="70" w:type="dxa"/>
            <w:right w:w="70" w:type="dxa"/>
          </w:tblCellMar>
        </w:tblPrEx>
        <w:trPr>
          <w:trHeight w:val="255"/>
          <w:jc w:val="center"/>
        </w:trPr>
        <w:tc>
          <w:tcPr>
            <w:tcW w:w="3280" w:type="dxa"/>
            <w:tcBorders>
              <w:top w:val="nil"/>
              <w:left w:val="single" w:sz="4" w:space="0" w:color="auto"/>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sz w:val="20"/>
              </w:rPr>
            </w:pPr>
            <w:r w:rsidRPr="006076F5">
              <w:rPr>
                <w:rFonts w:ascii="Arial" w:hAnsi="Arial" w:cs="Arial"/>
                <w:sz w:val="20"/>
              </w:rPr>
              <w:t>EUR</w:t>
            </w:r>
          </w:p>
        </w:tc>
        <w:tc>
          <w:tcPr>
            <w:tcW w:w="1055" w:type="dxa"/>
            <w:tcBorders>
              <w:top w:val="single" w:sz="4" w:space="0" w:color="auto"/>
              <w:left w:val="nil"/>
              <w:bottom w:val="single" w:sz="4" w:space="0" w:color="auto"/>
              <w:right w:val="single" w:sz="4" w:space="0" w:color="auto"/>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19,81%</w:t>
            </w:r>
          </w:p>
        </w:tc>
        <w:tc>
          <w:tcPr>
            <w:tcW w:w="108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24,24%</w:t>
            </w:r>
          </w:p>
        </w:tc>
        <w:tc>
          <w:tcPr>
            <w:tcW w:w="108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sz w:val="20"/>
              </w:rPr>
            </w:pPr>
            <w:r w:rsidRPr="006076F5">
              <w:rPr>
                <w:rFonts w:ascii="Arial" w:hAnsi="Arial" w:cs="Arial"/>
                <w:sz w:val="20"/>
              </w:rPr>
              <w:t>25,16%</w:t>
            </w:r>
          </w:p>
        </w:tc>
      </w:tr>
      <w:tr>
        <w:tblPrEx>
          <w:tblW w:w="6495" w:type="dxa"/>
          <w:jc w:val="center"/>
          <w:tblInd w:w="55" w:type="dxa"/>
          <w:tblCellMar>
            <w:left w:w="70" w:type="dxa"/>
            <w:right w:w="70" w:type="dxa"/>
          </w:tblCellMar>
        </w:tblPrEx>
        <w:trPr>
          <w:trHeight w:val="255"/>
          <w:jc w:val="center"/>
        </w:trPr>
        <w:tc>
          <w:tcPr>
            <w:tcW w:w="3280" w:type="dxa"/>
            <w:tcBorders>
              <w:top w:val="nil"/>
              <w:left w:val="single" w:sz="4" w:space="0" w:color="auto"/>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sz w:val="20"/>
              </w:rPr>
            </w:pPr>
            <w:r w:rsidRPr="006076F5">
              <w:rPr>
                <w:rFonts w:ascii="Arial" w:hAnsi="Arial" w:cs="Arial"/>
                <w:sz w:val="20"/>
              </w:rPr>
              <w:t>SKK</w:t>
            </w:r>
          </w:p>
        </w:tc>
        <w:tc>
          <w:tcPr>
            <w:tcW w:w="1055" w:type="dxa"/>
            <w:tcBorders>
              <w:top w:val="single" w:sz="4" w:space="0" w:color="auto"/>
              <w:left w:val="nil"/>
              <w:bottom w:val="single" w:sz="4" w:space="0" w:color="auto"/>
              <w:right w:val="single" w:sz="4" w:space="0" w:color="auto"/>
              <w:tl2br w:val="nil"/>
              <w:tr2bl w:val="nil"/>
            </w:tcBorders>
            <w:noWrap/>
            <w:textDirection w:val="lrTb"/>
            <w:vAlign w:val="bottom"/>
          </w:tcPr>
          <w:p w:rsidR="00C52DD5" w:rsidRPr="006076F5" w:rsidP="00C52DD5">
            <w:pPr>
              <w:jc w:val="center"/>
              <w:rPr>
                <w:rFonts w:ascii="Arial" w:hAnsi="Arial" w:cs="Arial"/>
                <w:sz w:val="20"/>
              </w:rPr>
            </w:pPr>
            <w:r w:rsidRPr="006076F5">
              <w:rPr>
                <w:rFonts w:ascii="Arial" w:hAnsi="Arial" w:cs="Arial"/>
                <w:sz w:val="20"/>
              </w:rPr>
              <w:t>80,19%</w:t>
            </w:r>
          </w:p>
        </w:tc>
        <w:tc>
          <w:tcPr>
            <w:tcW w:w="108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color w:val="000000"/>
                <w:sz w:val="20"/>
              </w:rPr>
            </w:pPr>
            <w:r w:rsidRPr="006076F5">
              <w:rPr>
                <w:rFonts w:ascii="Arial" w:hAnsi="Arial" w:cs="Arial"/>
                <w:color w:val="000000"/>
                <w:sz w:val="20"/>
              </w:rPr>
              <w:t>75,76%</w:t>
            </w:r>
          </w:p>
        </w:tc>
        <w:tc>
          <w:tcPr>
            <w:tcW w:w="1080" w:type="dxa"/>
            <w:tcBorders>
              <w:top w:val="nil"/>
              <w:left w:val="nil"/>
              <w:bottom w:val="single" w:sz="4" w:space="0" w:color="auto"/>
              <w:right w:val="single" w:sz="4" w:space="0" w:color="auto"/>
              <w:tl2br w:val="nil"/>
              <w:tr2bl w:val="nil"/>
            </w:tcBorders>
            <w:noWrap/>
            <w:textDirection w:val="lrTb"/>
            <w:vAlign w:val="bottom"/>
          </w:tcPr>
          <w:p w:rsidR="00C52DD5" w:rsidRPr="006076F5" w:rsidP="00C52DD5">
            <w:pPr>
              <w:jc w:val="both"/>
              <w:rPr>
                <w:rFonts w:ascii="Arial" w:hAnsi="Arial" w:cs="Arial"/>
                <w:sz w:val="20"/>
              </w:rPr>
            </w:pPr>
            <w:r w:rsidRPr="006076F5">
              <w:rPr>
                <w:rFonts w:ascii="Arial" w:hAnsi="Arial" w:cs="Arial"/>
                <w:sz w:val="20"/>
              </w:rPr>
              <w:t>74,84%</w:t>
            </w:r>
          </w:p>
        </w:tc>
      </w:tr>
    </w:tbl>
    <w:p w:rsidR="00C52DD5" w:rsidRPr="006076F5" w:rsidP="00C52DD5">
      <w:pPr>
        <w:spacing w:after="120"/>
        <w:jc w:val="both"/>
        <w:rPr>
          <w:rFonts w:ascii="Arial Narrow" w:hAnsi="Arial Narrow" w:cs="Times New Roman"/>
          <w:sz w:val="22"/>
          <w:szCs w:val="22"/>
        </w:rPr>
      </w:pPr>
    </w:p>
    <w:p w:rsidR="00C52DD5" w:rsidRPr="009D7ED1" w:rsidP="00C52DD5">
      <w:pPr>
        <w:pStyle w:val="Heading3"/>
        <w:numPr>
          <w:ilvl w:val="1"/>
          <w:numId w:val="201"/>
        </w:numPr>
        <w:tabs>
          <w:tab w:val="left" w:pos="792"/>
        </w:tabs>
        <w:ind w:left="811" w:hanging="454"/>
        <w:jc w:val="both"/>
        <w:rPr>
          <w:rFonts w:ascii="Arial Narrow" w:hAnsi="Arial Narrow"/>
          <w:sz w:val="22"/>
          <w:szCs w:val="22"/>
        </w:rPr>
      </w:pPr>
      <w:bookmarkStart w:id="8" w:name="_Toc202955840"/>
      <w:r w:rsidRPr="009D7ED1">
        <w:rPr>
          <w:rFonts w:ascii="Arial Narrow" w:hAnsi="Arial Narrow"/>
          <w:sz w:val="22"/>
          <w:szCs w:val="22"/>
        </w:rPr>
        <w:t>Prehodnotenie možnosti vydania emisie štátnych dlhopisov pre obyvateľstvo</w:t>
      </w:r>
      <w:bookmarkEnd w:id="8"/>
    </w:p>
    <w:p w:rsidR="00C52DD5" w:rsidRPr="004732C2" w:rsidP="00C52DD5">
      <w:pPr>
        <w:rPr>
          <w:rFonts w:cs="Times New Roman"/>
        </w:rPr>
      </w:pPr>
    </w:p>
    <w:p w:rsidR="00C52DD5" w:rsidRPr="006076F5" w:rsidP="00C52DD5">
      <w:pPr>
        <w:spacing w:before="120" w:after="120"/>
        <w:ind w:firstLine="709"/>
        <w:jc w:val="both"/>
        <w:rPr>
          <w:rFonts w:ascii="Arial Narrow" w:hAnsi="Arial Narrow" w:cs="Times New Roman"/>
          <w:sz w:val="22"/>
          <w:szCs w:val="22"/>
        </w:rPr>
      </w:pPr>
      <w:r w:rsidRPr="006076F5">
        <w:rPr>
          <w:rFonts w:ascii="Arial Narrow" w:hAnsi="Arial Narrow" w:cs="Times New Roman"/>
          <w:sz w:val="22"/>
          <w:szCs w:val="22"/>
        </w:rPr>
        <w:t xml:space="preserve">Agentúra pre riadenie dlhu a likvidity v spolupráci s Centrálnym depozitárom cenných papierov </w:t>
      </w:r>
      <w:r>
        <w:rPr>
          <w:rFonts w:ascii="Arial Narrow" w:hAnsi="Arial Narrow" w:cs="Times New Roman"/>
          <w:sz w:val="22"/>
          <w:szCs w:val="22"/>
        </w:rPr>
        <w:t xml:space="preserve">(ďalej CDCP) </w:t>
      </w:r>
      <w:r w:rsidRPr="006076F5">
        <w:rPr>
          <w:rFonts w:ascii="Arial Narrow" w:hAnsi="Arial Narrow" w:cs="Times New Roman"/>
          <w:sz w:val="22"/>
          <w:szCs w:val="22"/>
        </w:rPr>
        <w:t xml:space="preserve">a Burzou cenných papierov Bratislava </w:t>
      </w:r>
      <w:r>
        <w:rPr>
          <w:rFonts w:ascii="Arial Narrow" w:hAnsi="Arial Narrow" w:cs="Times New Roman"/>
          <w:sz w:val="22"/>
          <w:szCs w:val="22"/>
        </w:rPr>
        <w:t xml:space="preserve">(ďalej BCPB) </w:t>
      </w:r>
      <w:r w:rsidRPr="006076F5">
        <w:rPr>
          <w:rFonts w:ascii="Arial Narrow" w:hAnsi="Arial Narrow" w:cs="Times New Roman"/>
          <w:sz w:val="22"/>
          <w:szCs w:val="22"/>
        </w:rPr>
        <w:t xml:space="preserve">preveruje možnosti prípravy a realizácie bezpečnej distribúcie predmetných dlhopisov v rámci primárneho trhu a obchodovania s nimi </w:t>
      </w:r>
      <w:r>
        <w:rPr>
          <w:rFonts w:ascii="Arial Narrow" w:hAnsi="Arial Narrow" w:cs="Times New Roman"/>
          <w:sz w:val="22"/>
          <w:szCs w:val="22"/>
        </w:rPr>
        <w:t xml:space="preserve">na </w:t>
      </w:r>
      <w:r w:rsidRPr="006076F5">
        <w:rPr>
          <w:rFonts w:ascii="Arial Narrow" w:hAnsi="Arial Narrow" w:cs="Times New Roman"/>
          <w:sz w:val="22"/>
          <w:szCs w:val="22"/>
        </w:rPr>
        <w:t xml:space="preserve"> sekundárno</w:t>
      </w:r>
      <w:r>
        <w:rPr>
          <w:rFonts w:ascii="Arial Narrow" w:hAnsi="Arial Narrow" w:cs="Times New Roman"/>
          <w:sz w:val="22"/>
          <w:szCs w:val="22"/>
        </w:rPr>
        <w:t>m</w:t>
      </w:r>
      <w:r w:rsidRPr="006076F5">
        <w:rPr>
          <w:rFonts w:ascii="Arial Narrow" w:hAnsi="Arial Narrow" w:cs="Times New Roman"/>
          <w:sz w:val="22"/>
          <w:szCs w:val="22"/>
        </w:rPr>
        <w:t xml:space="preserve"> trhu. </w:t>
      </w:r>
      <w:r>
        <w:rPr>
          <w:rFonts w:ascii="Arial Narrow" w:hAnsi="Arial Narrow" w:cs="Times New Roman"/>
          <w:sz w:val="22"/>
          <w:szCs w:val="22"/>
        </w:rPr>
        <w:t>Ú</w:t>
      </w:r>
      <w:r w:rsidRPr="006076F5">
        <w:rPr>
          <w:rFonts w:ascii="Arial Narrow" w:hAnsi="Arial Narrow" w:cs="Times New Roman"/>
          <w:sz w:val="22"/>
          <w:szCs w:val="22"/>
        </w:rPr>
        <w:t xml:space="preserve">spešnosť takejto emisie je značne závislá od podmienok na finančnom trhu, </w:t>
      </w:r>
      <w:r>
        <w:rPr>
          <w:rFonts w:ascii="Arial Narrow" w:hAnsi="Arial Narrow" w:cs="Times New Roman"/>
          <w:sz w:val="22"/>
          <w:szCs w:val="22"/>
        </w:rPr>
        <w:t>najmä</w:t>
      </w:r>
      <w:r w:rsidRPr="006076F5">
        <w:rPr>
          <w:rFonts w:ascii="Arial Narrow" w:hAnsi="Arial Narrow" w:cs="Times New Roman"/>
          <w:sz w:val="22"/>
          <w:szCs w:val="22"/>
        </w:rPr>
        <w:t xml:space="preserve"> od úrokových sadzieb</w:t>
      </w:r>
      <w:r w:rsidRPr="00EA4309">
        <w:rPr>
          <w:rFonts w:ascii="Arial Narrow" w:hAnsi="Arial Narrow" w:cs="Times New Roman"/>
          <w:sz w:val="22"/>
          <w:szCs w:val="22"/>
        </w:rPr>
        <w:t>. Uskutočnenie úspešnej emisie pre obyvateľstvo si vyžaduje dôslednú prípravu, nakoľko ide o náročný projekt, najmä z pohľadu technickej realizácie a distribúcie dlhopisov investorovi - fyzickej osobe. Realizácii emisie dlhopisov pre obyvateľstvo musia predchádzať niektoré legislatívne úpravy týkajúce sa najmä harmonizácie spôsobu zdaňovania dlhopisov, hlavne s ohľadom na potrebu vytvorenia sekundárneho trhu.</w:t>
      </w:r>
      <w:r>
        <w:rPr>
          <w:rFonts w:ascii="Arial Narrow" w:hAnsi="Arial Narrow" w:cs="Times New Roman"/>
          <w:sz w:val="22"/>
          <w:szCs w:val="22"/>
        </w:rPr>
        <w:t xml:space="preserve"> V prípade úspešnosti tejto emisie môže vzniknúť viacročný program vydávania dlhopisov pre obyvateľstvo, čím sa môže postupne vytvoriť alternatívny zdroj financovania potrieb štátu. V niektorých krajinách EÚ pokrýva tento zdroj až 20 % celkových finančných potrieb štátu súvisiacich so štátnym dlhom.</w:t>
      </w:r>
    </w:p>
    <w:p w:rsidR="00C52DD5" w:rsidRPr="009D7ED1" w:rsidP="00C52DD5">
      <w:pPr>
        <w:pStyle w:val="Heading1"/>
        <w:numPr>
          <w:ilvl w:val="0"/>
          <w:numId w:val="201"/>
        </w:numPr>
        <w:tabs>
          <w:tab w:val="left" w:pos="360"/>
        </w:tabs>
        <w:spacing w:before="0"/>
        <w:ind w:left="357" w:hanging="357"/>
        <w:jc w:val="both"/>
        <w:rPr>
          <w:rFonts w:ascii="Arial Narrow" w:hAnsi="Arial Narrow"/>
          <w:sz w:val="24"/>
          <w:szCs w:val="24"/>
        </w:rPr>
      </w:pPr>
      <w:r w:rsidRPr="006076F5">
        <w:br w:type="page"/>
      </w:r>
      <w:bookmarkStart w:id="9" w:name="_Toc202955841"/>
      <w:r w:rsidRPr="009D7ED1">
        <w:rPr>
          <w:rFonts w:ascii="Arial Narrow" w:hAnsi="Arial Narrow"/>
          <w:sz w:val="24"/>
          <w:szCs w:val="24"/>
        </w:rPr>
        <w:t>Vývoj na slovenskom dlhopisovom trhu na pozadí globálnej finančnej krízy</w:t>
      </w:r>
      <w:bookmarkEnd w:id="9"/>
    </w:p>
    <w:p w:rsidR="00C52DD5" w:rsidP="00C52DD5">
      <w:pPr>
        <w:spacing w:after="120"/>
        <w:jc w:val="both"/>
        <w:rPr>
          <w:rFonts w:ascii="Arial Narrow" w:hAnsi="Arial Narrow" w:cs="Times New Roman"/>
          <w:sz w:val="4"/>
          <w:szCs w:val="4"/>
        </w:rPr>
      </w:pPr>
    </w:p>
    <w:p w:rsidR="00C52DD5" w:rsidRPr="00AF3C45" w:rsidP="00C52DD5">
      <w:pPr>
        <w:spacing w:after="120"/>
        <w:jc w:val="both"/>
        <w:rPr>
          <w:rFonts w:ascii="Arial Narrow" w:hAnsi="Arial Narrow" w:cs="Times New Roman"/>
          <w:sz w:val="4"/>
          <w:szCs w:val="4"/>
        </w:rPr>
      </w:pPr>
    </w:p>
    <w:p w:rsidR="00C52DD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Finančné trhy v SR sú pod vplyvom prehlbujúcej  integrácie a zrýchľujúcej ekonomickej konvergencie a stávajú sa jednoznačnou súčasťou jednotného európskeho trhu vrátane trhu s finančnými aktívami. Z tohto hľadiska je pre vývoj slovenského finančného trhu rozhodujúci vývoj v eurozóne a okolitých krajinách v stredoeurópskom regióne. Ich výhľad je však podmienený trendmi v najväčších obchodných centrách v USA, eurozóne, Veľkej Británii či Japonsku.</w:t>
      </w:r>
    </w:p>
    <w:p w:rsidR="00C52DD5" w:rsidRPr="009D7ED1" w:rsidP="00C52DD5">
      <w:pPr>
        <w:pStyle w:val="Heading3"/>
        <w:numPr>
          <w:ilvl w:val="1"/>
          <w:numId w:val="201"/>
        </w:numPr>
        <w:tabs>
          <w:tab w:val="left" w:pos="792"/>
        </w:tabs>
        <w:ind w:left="357" w:firstLine="0"/>
        <w:rPr>
          <w:rFonts w:ascii="Arial Narrow" w:hAnsi="Arial Narrow"/>
          <w:sz w:val="22"/>
          <w:szCs w:val="22"/>
        </w:rPr>
      </w:pPr>
      <w:bookmarkStart w:id="10" w:name="_Toc202955842"/>
      <w:r>
        <w:t xml:space="preserve"> </w:t>
      </w:r>
      <w:r w:rsidRPr="009D7ED1">
        <w:rPr>
          <w:rFonts w:ascii="Arial Narrow" w:hAnsi="Arial Narrow"/>
          <w:sz w:val="22"/>
          <w:szCs w:val="22"/>
        </w:rPr>
        <w:t>Hypotekárna kríza</w:t>
      </w:r>
      <w:bookmarkEnd w:id="10"/>
    </w:p>
    <w:p w:rsidR="00C52DD5" w:rsidRPr="0001269E" w:rsidP="00C52DD5">
      <w:pPr>
        <w:rPr>
          <w:rFonts w:cs="Times New Roman"/>
          <w:sz w:val="16"/>
          <w:szCs w:val="16"/>
        </w:rPr>
      </w:pPr>
    </w:p>
    <w:p w:rsidR="00C52DD5" w:rsidRPr="006076F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Najvýznamnejším faktorom vývoja finančných trhov v roku 2007, s následným vplyvom aj na Slovensko, bola globálna finančná kríza, tzv. hypotekárna kríza. Banky v USA v čase rekordne nízkych sadzieb FED-u (1</w:t>
      </w:r>
      <w:r>
        <w:rPr>
          <w:rFonts w:ascii="Arial Narrow" w:hAnsi="Arial Narrow" w:cs="Times New Roman"/>
          <w:sz w:val="22"/>
          <w:szCs w:val="22"/>
        </w:rPr>
        <w:t xml:space="preserve"> </w:t>
      </w:r>
      <w:r w:rsidRPr="006076F5">
        <w:rPr>
          <w:rFonts w:ascii="Arial Narrow" w:hAnsi="Arial Narrow" w:cs="Times New Roman"/>
          <w:sz w:val="22"/>
          <w:szCs w:val="22"/>
        </w:rPr>
        <w:t>% v roku 2004) poskytovali hypotekárne úvery aj menej bonitným klientom (tzv. subprime mortgages) a následne časť celkového portfólia úverov predávali investorom podľa princípov sekuritizácie </w:t>
      </w:r>
      <w:r>
        <w:rPr>
          <w:rStyle w:val="FootnoteReference"/>
          <w:rFonts w:ascii="Arial Narrow" w:hAnsi="Arial Narrow" w:cs="Times New Roman"/>
          <w:sz w:val="22"/>
          <w:szCs w:val="22"/>
          <w:rtl w:val="0"/>
        </w:rPr>
        <w:footnoteReference w:id="7"/>
      </w:r>
      <w:r w:rsidRPr="006076F5">
        <w:rPr>
          <w:rFonts w:ascii="Arial Narrow" w:hAnsi="Arial Narrow" w:cs="Times New Roman"/>
          <w:sz w:val="22"/>
          <w:szCs w:val="22"/>
        </w:rPr>
        <w:t>. Banky sa tak vo veľkej miere zbavovali rizík vyplývajúcich z nesplácania a tiež to oslabovalo ich obozretnosť pri poskytovaní úverov. Následné zvyšovanie sadzieb zo strany FED</w:t>
      </w:r>
      <w:r>
        <w:rPr>
          <w:rFonts w:ascii="Arial Narrow" w:hAnsi="Arial Narrow" w:cs="Times New Roman"/>
          <w:sz w:val="22"/>
          <w:szCs w:val="22"/>
        </w:rPr>
        <w:t>-</w:t>
      </w:r>
      <w:r w:rsidRPr="006076F5">
        <w:rPr>
          <w:rFonts w:ascii="Arial Narrow" w:hAnsi="Arial Narrow" w:cs="Times New Roman"/>
          <w:sz w:val="22"/>
          <w:szCs w:val="22"/>
        </w:rPr>
        <w:t>u (až na úroveň 5,25% v rokoch 2006 a 2007) spôsobilo problémy so splácaním rizikových úverov. Banky sa v dôsledku veľkého množstva úverových defaultov dostávali do problémov s likviditou a výrazne sa zhoršilo ich finančné hospodárenie. V dôsledku sekuritizácie subprime úverov sa straty preniesli aj na investičné fondy. Postupne sa dostavil pokles cien nehnuteľností, ochabovanie ekonomickej aktivity a prenos krízy do ostatných sfér ekonomických činností a taktiež mimo hraníc USA. V dôsledku obáv z budúceho vývoja svetovej ekonomiky a v dôsledku nízkej likvidity na finančných trhoch došlo k výpredaju aktív, pričom najviac boli postihnuté akciové parkety. Rozhodovanie investorov v čase neistého budúceho vývoja smerovalo k alokácii zdrojov do bezpečných aktív, pričom sme boli svedkami tzv. „úteku ku kvalite.“ Slovenské aktíva sú v očiach investorov v čase neistoty považované za rizikové, čo sa spolu s nízkou likviditou na finančných trhoch prejavilo aj v nízkom záujme investorov o slovenské dlhopisy.</w:t>
      </w:r>
    </w:p>
    <w:tbl>
      <w:tblPr>
        <w:tblpPr w:leftFromText="141" w:rightFromText="141" w:vertAnchor="text" w:horzAnchor="margin" w:tblpXSpec="center" w:tblpY="101"/>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Pr>
      <w:tblGrid>
        <w:gridCol w:w="4253"/>
        <w:gridCol w:w="284"/>
        <w:gridCol w:w="4391"/>
      </w:tblGrid>
      <w:tr>
        <w:tblPrEx>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PrEx>
        <w:trPr>
          <w:trHeight w:val="167"/>
        </w:trPr>
        <w:tc>
          <w:tcPr>
            <w:tcW w:w="4253" w:type="dxa"/>
            <w:tcBorders>
              <w:top w:val="nil"/>
              <w:left w:val="nil"/>
              <w:bottom w:val="nil"/>
              <w:right w:val="nil"/>
              <w:tl2br w:val="nil"/>
              <w:tr2bl w:val="nil"/>
            </w:tcBorders>
            <w:shd w:val="clear" w:color="auto" w:fill="000000"/>
            <w:textDirection w:val="lrTb"/>
            <w:vAlign w:val="top"/>
          </w:tcPr>
          <w:p w:rsidR="00C52DD5" w:rsidRPr="006076F5" w:rsidP="00C52DD5">
            <w:pPr>
              <w:spacing w:before="40"/>
              <w:rPr>
                <w:rFonts w:ascii="Arial Narrow" w:hAnsi="Arial Narrow" w:cs="Times New Roman"/>
                <w:b/>
                <w:color w:val="FFFFFF"/>
                <w:sz w:val="20"/>
              </w:rPr>
            </w:pPr>
            <w:r w:rsidRPr="006076F5">
              <w:rPr>
                <w:rFonts w:ascii="Arial Narrow" w:hAnsi="Arial Narrow" w:cs="Times New Roman"/>
                <w:b/>
                <w:color w:val="FFFFFF"/>
                <w:sz w:val="20"/>
              </w:rPr>
              <w:t>Vývoj základnej úrokovej sadzby NBS, FED, ECB</w:t>
            </w:r>
          </w:p>
        </w:tc>
        <w:tc>
          <w:tcPr>
            <w:tcW w:w="284" w:type="dxa"/>
            <w:tcBorders>
              <w:top w:val="nil"/>
              <w:left w:val="nil"/>
              <w:bottom w:val="nil"/>
              <w:right w:val="nil"/>
              <w:tl2br w:val="nil"/>
              <w:tr2bl w:val="nil"/>
            </w:tcBorders>
            <w:textDirection w:val="lrTb"/>
            <w:vAlign w:val="top"/>
          </w:tcPr>
          <w:p w:rsidR="00C52DD5" w:rsidRPr="006076F5" w:rsidP="00C52DD5">
            <w:pPr>
              <w:spacing w:before="40"/>
              <w:rPr>
                <w:rFonts w:ascii="Arial Narrow" w:hAnsi="Arial Narrow" w:cs="Times New Roman"/>
                <w:b/>
                <w:color w:val="FFFFFF"/>
                <w:sz w:val="22"/>
                <w:szCs w:val="22"/>
              </w:rPr>
            </w:pPr>
          </w:p>
        </w:tc>
        <w:tc>
          <w:tcPr>
            <w:tcW w:w="4391" w:type="dxa"/>
            <w:tcBorders>
              <w:top w:val="nil"/>
              <w:left w:val="nil"/>
              <w:bottom w:val="nil"/>
              <w:right w:val="nil"/>
              <w:tl2br w:val="nil"/>
              <w:tr2bl w:val="nil"/>
            </w:tcBorders>
            <w:shd w:val="clear" w:color="auto" w:fill="000000"/>
            <w:textDirection w:val="lrTb"/>
            <w:vAlign w:val="top"/>
          </w:tcPr>
          <w:p w:rsidR="00C52DD5" w:rsidRPr="006076F5" w:rsidP="00C52DD5">
            <w:pPr>
              <w:spacing w:before="40"/>
              <w:rPr>
                <w:rFonts w:ascii="Arial Narrow" w:hAnsi="Arial Narrow" w:cs="Times New Roman"/>
                <w:b/>
                <w:color w:val="FFFFFF"/>
                <w:sz w:val="20"/>
              </w:rPr>
            </w:pPr>
            <w:r>
              <w:rPr>
                <w:rFonts w:ascii="Arial Narrow" w:hAnsi="Arial Narrow" w:cs="Times New Roman"/>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3in;height:2in;margin-top:13.2pt;margin-left:-5.75pt;position:absolute;z-index:251661312">
                  <v:imagedata r:id="rId5" o:title=""/>
                </v:shape>
              </w:pict>
            </w:r>
            <w:r w:rsidRPr="006076F5">
              <w:rPr>
                <w:rFonts w:ascii="Arial Narrow" w:hAnsi="Arial Narrow" w:cs="Times New Roman"/>
                <w:b/>
                <w:color w:val="FFFFFF"/>
                <w:sz w:val="20"/>
              </w:rPr>
              <w:t>Vývoj na akciových trhoch</w:t>
            </w:r>
          </w:p>
        </w:tc>
      </w:tr>
      <w:tr>
        <w:tblPrEx>
          <w:tblW w:w="0" w:type="auto"/>
          <w:tblLayout w:type="fixed"/>
        </w:tblPrEx>
        <w:trPr>
          <w:trHeight w:val="2938"/>
        </w:trPr>
        <w:tc>
          <w:tcPr>
            <w:tcW w:w="4253" w:type="dxa"/>
            <w:tcBorders>
              <w:top w:val="nil"/>
              <w:left w:val="nil"/>
              <w:bottom w:val="single" w:sz="4" w:space="0" w:color="auto"/>
              <w:right w:val="nil"/>
              <w:tl2br w:val="nil"/>
              <w:tr2bl w:val="nil"/>
            </w:tcBorders>
            <w:textDirection w:val="lrTb"/>
            <w:vAlign w:val="top"/>
          </w:tcPr>
          <w:p w:rsidR="00C52DD5" w:rsidRPr="006076F5" w:rsidP="00C52DD5">
            <w:pPr>
              <w:spacing w:before="40"/>
              <w:rPr>
                <w:rFonts w:ascii="Arial Narrow" w:hAnsi="Arial Narrow" w:cs="Times New Roman"/>
                <w:b/>
                <w:sz w:val="22"/>
                <w:szCs w:val="22"/>
              </w:rPr>
            </w:pPr>
            <w:r>
              <w:rPr>
                <w:rFonts w:ascii="Arial Narrow" w:hAnsi="Arial Narrow" w:cs="Times New Roman"/>
                <w:b/>
                <w:noProof/>
                <w:sz w:val="22"/>
                <w:szCs w:val="22"/>
              </w:rPr>
              <w:pict>
                <v:shape id="_x0000_s1026" type="#_x0000_t75" style="width:207pt;height:140.35pt;margin-top:22.2pt;margin-left:-3.9pt;position:absolute;z-index:251658240">
                  <v:imagedata r:id="rId6" o:title=""/>
                </v:shape>
              </w:pict>
            </w:r>
          </w:p>
        </w:tc>
        <w:tc>
          <w:tcPr>
            <w:tcW w:w="284" w:type="dxa"/>
            <w:tcBorders>
              <w:top w:val="nil"/>
              <w:left w:val="nil"/>
              <w:bottom w:val="nil"/>
              <w:right w:val="nil"/>
              <w:tl2br w:val="nil"/>
              <w:tr2bl w:val="nil"/>
            </w:tcBorders>
            <w:textDirection w:val="lrTb"/>
            <w:vAlign w:val="top"/>
          </w:tcPr>
          <w:p w:rsidR="00C52DD5" w:rsidRPr="006076F5" w:rsidP="00C52DD5">
            <w:pPr>
              <w:spacing w:before="40"/>
              <w:rPr>
                <w:rFonts w:ascii="Arial Narrow" w:hAnsi="Arial Narrow" w:cs="Times New Roman"/>
                <w:b/>
                <w:sz w:val="22"/>
                <w:szCs w:val="22"/>
              </w:rPr>
            </w:pPr>
          </w:p>
        </w:tc>
        <w:tc>
          <w:tcPr>
            <w:tcW w:w="4391" w:type="dxa"/>
            <w:tcBorders>
              <w:top w:val="nil"/>
              <w:left w:val="nil"/>
              <w:bottom w:val="single" w:sz="4" w:space="0" w:color="auto"/>
              <w:right w:val="nil"/>
              <w:tl2br w:val="nil"/>
              <w:tr2bl w:val="nil"/>
            </w:tcBorders>
            <w:textDirection w:val="lrTb"/>
            <w:vAlign w:val="top"/>
          </w:tcPr>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tc>
      </w:tr>
      <w:tr>
        <w:tblPrEx>
          <w:tblW w:w="0" w:type="auto"/>
          <w:tblLayout w:type="fixed"/>
        </w:tblPrEx>
        <w:trPr>
          <w:trHeight w:hRule="auto" w:val="0"/>
        </w:trPr>
        <w:tc>
          <w:tcPr>
            <w:tcW w:w="4253" w:type="dxa"/>
            <w:tcBorders>
              <w:top w:val="single" w:sz="4" w:space="0" w:color="auto"/>
              <w:left w:val="nil"/>
              <w:bottom w:val="single" w:sz="4" w:space="0" w:color="auto"/>
              <w:right w:val="nil"/>
              <w:tl2br w:val="nil"/>
              <w:tr2bl w:val="nil"/>
            </w:tcBorders>
            <w:textDirection w:val="lrTb"/>
            <w:vAlign w:val="top"/>
          </w:tcPr>
          <w:p w:rsidR="00C52DD5" w:rsidRPr="006076F5" w:rsidP="00C52DD5">
            <w:pPr>
              <w:spacing w:before="40"/>
              <w:jc w:val="right"/>
              <w:rPr>
                <w:rFonts w:ascii="Arial Narrow" w:hAnsi="Arial Narrow" w:cs="Times New Roman"/>
                <w:i/>
                <w:sz w:val="18"/>
                <w:szCs w:val="18"/>
              </w:rPr>
            </w:pPr>
            <w:r w:rsidRPr="006076F5">
              <w:rPr>
                <w:rFonts w:ascii="Arial Narrow" w:hAnsi="Arial Narrow" w:cs="Times New Roman"/>
                <w:i/>
                <w:sz w:val="18"/>
                <w:szCs w:val="18"/>
              </w:rPr>
              <w:t xml:space="preserve">Zdroj: NBS, FED, ECB </w:t>
            </w:r>
          </w:p>
        </w:tc>
        <w:tc>
          <w:tcPr>
            <w:tcW w:w="284" w:type="dxa"/>
            <w:tcBorders>
              <w:top w:val="nil"/>
              <w:left w:val="nil"/>
              <w:bottom w:val="nil"/>
              <w:right w:val="nil"/>
              <w:tl2br w:val="nil"/>
              <w:tr2bl w:val="nil"/>
            </w:tcBorders>
            <w:textDirection w:val="lrTb"/>
            <w:vAlign w:val="top"/>
          </w:tcPr>
          <w:p w:rsidR="00C52DD5" w:rsidRPr="006076F5" w:rsidP="00C52DD5">
            <w:pPr>
              <w:spacing w:before="40"/>
              <w:jc w:val="right"/>
              <w:rPr>
                <w:rFonts w:ascii="Arial Narrow" w:hAnsi="Arial Narrow" w:cs="Times New Roman"/>
                <w:i/>
                <w:sz w:val="18"/>
                <w:szCs w:val="18"/>
              </w:rPr>
            </w:pPr>
          </w:p>
        </w:tc>
        <w:tc>
          <w:tcPr>
            <w:tcW w:w="4391" w:type="dxa"/>
            <w:tcBorders>
              <w:top w:val="single" w:sz="4" w:space="0" w:color="auto"/>
              <w:left w:val="nil"/>
              <w:bottom w:val="single" w:sz="4" w:space="0" w:color="auto"/>
              <w:right w:val="nil"/>
              <w:tl2br w:val="nil"/>
              <w:tr2bl w:val="nil"/>
            </w:tcBorders>
            <w:textDirection w:val="lrTb"/>
            <w:vAlign w:val="top"/>
          </w:tcPr>
          <w:p w:rsidR="00C52DD5" w:rsidRPr="006076F5" w:rsidP="00C52DD5">
            <w:pPr>
              <w:spacing w:before="40"/>
              <w:jc w:val="right"/>
              <w:rPr>
                <w:rFonts w:ascii="Arial Narrow" w:hAnsi="Arial Narrow" w:cs="Times New Roman"/>
                <w:i/>
                <w:sz w:val="18"/>
                <w:szCs w:val="18"/>
              </w:rPr>
            </w:pPr>
            <w:r w:rsidRPr="006076F5">
              <w:rPr>
                <w:rFonts w:ascii="Arial Narrow" w:hAnsi="Arial Narrow" w:cs="Times New Roman"/>
                <w:i/>
                <w:sz w:val="18"/>
                <w:szCs w:val="18"/>
              </w:rPr>
              <w:t>Pozn. pravá os S&amp;P 500                                  Zdroj: REUTERS</w:t>
            </w:r>
          </w:p>
        </w:tc>
      </w:tr>
      <w:tr>
        <w:tblPrEx>
          <w:tblW w:w="0" w:type="auto"/>
          <w:tblLayout w:type="fixed"/>
        </w:tblPrEx>
        <w:trPr>
          <w:trHeight w:hRule="auto" w:val="0"/>
        </w:trPr>
        <w:tc>
          <w:tcPr>
            <w:tcW w:w="4253" w:type="dxa"/>
            <w:tcBorders>
              <w:top w:val="single" w:sz="4" w:space="0" w:color="auto"/>
              <w:left w:val="nil"/>
              <w:bottom w:val="nil"/>
              <w:right w:val="nil"/>
              <w:tl2br w:val="nil"/>
              <w:tr2bl w:val="nil"/>
            </w:tcBorders>
            <w:textDirection w:val="lrTb"/>
            <w:vAlign w:val="top"/>
          </w:tcPr>
          <w:p w:rsidR="00C52DD5" w:rsidRPr="006076F5" w:rsidP="00C52DD5">
            <w:pPr>
              <w:spacing w:before="40"/>
              <w:jc w:val="right"/>
              <w:rPr>
                <w:rFonts w:ascii="Arial Narrow" w:hAnsi="Arial Narrow" w:cs="Times New Roman"/>
                <w:i/>
                <w:sz w:val="18"/>
                <w:szCs w:val="18"/>
              </w:rPr>
            </w:pPr>
          </w:p>
        </w:tc>
        <w:tc>
          <w:tcPr>
            <w:tcW w:w="284" w:type="dxa"/>
            <w:tcBorders>
              <w:top w:val="nil"/>
              <w:left w:val="nil"/>
              <w:bottom w:val="nil"/>
              <w:right w:val="nil"/>
              <w:tl2br w:val="nil"/>
              <w:tr2bl w:val="nil"/>
            </w:tcBorders>
            <w:textDirection w:val="lrTb"/>
            <w:vAlign w:val="top"/>
          </w:tcPr>
          <w:p w:rsidR="00C52DD5" w:rsidRPr="006076F5" w:rsidP="00C52DD5">
            <w:pPr>
              <w:spacing w:before="40"/>
              <w:jc w:val="right"/>
              <w:rPr>
                <w:rFonts w:ascii="Arial Narrow" w:hAnsi="Arial Narrow" w:cs="Times New Roman"/>
                <w:i/>
                <w:sz w:val="18"/>
                <w:szCs w:val="18"/>
              </w:rPr>
            </w:pPr>
          </w:p>
        </w:tc>
        <w:tc>
          <w:tcPr>
            <w:tcW w:w="4391" w:type="dxa"/>
            <w:tcBorders>
              <w:top w:val="single" w:sz="4" w:space="0" w:color="auto"/>
              <w:left w:val="nil"/>
              <w:bottom w:val="nil"/>
              <w:right w:val="nil"/>
              <w:tl2br w:val="nil"/>
              <w:tr2bl w:val="nil"/>
            </w:tcBorders>
            <w:textDirection w:val="lrTb"/>
            <w:vAlign w:val="top"/>
          </w:tcPr>
          <w:p w:rsidR="00C52DD5" w:rsidRPr="006076F5" w:rsidP="00C52DD5">
            <w:pPr>
              <w:spacing w:before="40"/>
              <w:jc w:val="right"/>
              <w:rPr>
                <w:rFonts w:ascii="Arial Narrow" w:hAnsi="Arial Narrow" w:cs="Times New Roman"/>
                <w:i/>
                <w:sz w:val="18"/>
                <w:szCs w:val="18"/>
              </w:rPr>
            </w:pPr>
          </w:p>
        </w:tc>
      </w:tr>
    </w:tbl>
    <w:p w:rsidR="00C52DD5" w:rsidRPr="00AF3C45" w:rsidP="00C52DD5">
      <w:pPr>
        <w:pStyle w:val="Heading3"/>
        <w:ind w:left="360"/>
        <w:rPr>
          <w:sz w:val="4"/>
          <w:szCs w:val="4"/>
        </w:rPr>
      </w:pPr>
    </w:p>
    <w:p w:rsidR="00C52DD5" w:rsidRPr="009D7ED1" w:rsidP="00C52DD5">
      <w:pPr>
        <w:pStyle w:val="Heading3"/>
        <w:numPr>
          <w:ilvl w:val="1"/>
          <w:numId w:val="201"/>
        </w:numPr>
        <w:tabs>
          <w:tab w:val="left" w:pos="792"/>
        </w:tabs>
        <w:ind w:left="357" w:firstLine="0"/>
        <w:rPr>
          <w:rFonts w:ascii="Arial Narrow" w:hAnsi="Arial Narrow"/>
          <w:sz w:val="22"/>
          <w:szCs w:val="22"/>
        </w:rPr>
      </w:pPr>
      <w:bookmarkStart w:id="11" w:name="_Toc202955843"/>
      <w:r>
        <w:t xml:space="preserve"> </w:t>
      </w:r>
      <w:r w:rsidRPr="009D7ED1">
        <w:rPr>
          <w:rFonts w:ascii="Arial Narrow" w:hAnsi="Arial Narrow"/>
          <w:sz w:val="22"/>
          <w:szCs w:val="22"/>
        </w:rPr>
        <w:t>Ekonomický vývoj v USA a eurozóne</w:t>
      </w:r>
      <w:bookmarkEnd w:id="11"/>
    </w:p>
    <w:p w:rsidR="00C52DD5" w:rsidRPr="0001269E" w:rsidP="00C52DD5">
      <w:pPr>
        <w:rPr>
          <w:rFonts w:cs="Times New Roman"/>
          <w:sz w:val="16"/>
          <w:szCs w:val="16"/>
        </w:rPr>
      </w:pPr>
    </w:p>
    <w:p w:rsidR="00C52DD5" w:rsidP="00C52DD5">
      <w:pPr>
        <w:spacing w:after="120"/>
        <w:ind w:firstLine="709"/>
        <w:jc w:val="both"/>
        <w:rPr>
          <w:rFonts w:ascii="Arial Narrow" w:hAnsi="Arial Narrow" w:cs="Times New Roman"/>
          <w:sz w:val="22"/>
          <w:szCs w:val="22"/>
        </w:rPr>
      </w:pPr>
      <w:r w:rsidRPr="006076F5">
        <w:rPr>
          <w:rFonts w:ascii="Arial Narrow" w:hAnsi="Arial Narrow" w:cs="Times New Roman"/>
          <w:sz w:val="22"/>
          <w:szCs w:val="22"/>
        </w:rPr>
        <w:t>Ekonomický vývoj v USA bol jednoznačne pod vplyvom hypotekárnej krízy, keď sa spomaľoval ekonomický rast a objavila hrozba pádu do recesie. Rast reálneho HDP sa zmiernil z 2,9</w:t>
      </w:r>
      <w:r>
        <w:rPr>
          <w:rFonts w:ascii="Arial Narrow" w:hAnsi="Arial Narrow" w:cs="Times New Roman"/>
          <w:sz w:val="22"/>
          <w:szCs w:val="22"/>
        </w:rPr>
        <w:t xml:space="preserve"> </w:t>
      </w:r>
      <w:r w:rsidRPr="006076F5">
        <w:rPr>
          <w:rFonts w:ascii="Arial Narrow" w:hAnsi="Arial Narrow" w:cs="Times New Roman"/>
          <w:sz w:val="22"/>
          <w:szCs w:val="22"/>
        </w:rPr>
        <w:t>% (2006) na 2,2</w:t>
      </w:r>
      <w:r>
        <w:rPr>
          <w:rFonts w:ascii="Arial Narrow" w:hAnsi="Arial Narrow" w:cs="Times New Roman"/>
          <w:sz w:val="22"/>
          <w:szCs w:val="22"/>
        </w:rPr>
        <w:t xml:space="preserve"> </w:t>
      </w:r>
      <w:r w:rsidRPr="006076F5">
        <w:rPr>
          <w:rFonts w:ascii="Arial Narrow" w:hAnsi="Arial Narrow" w:cs="Times New Roman"/>
          <w:sz w:val="22"/>
          <w:szCs w:val="22"/>
        </w:rPr>
        <w:t>% (2007), pričom v poslednom kvartáli 2007 bol rast iba 0,1</w:t>
      </w:r>
      <w:r>
        <w:rPr>
          <w:rFonts w:ascii="Arial Narrow" w:hAnsi="Arial Narrow" w:cs="Times New Roman"/>
          <w:sz w:val="22"/>
          <w:szCs w:val="22"/>
        </w:rPr>
        <w:t xml:space="preserve"> </w:t>
      </w:r>
      <w:r w:rsidRPr="006076F5">
        <w:rPr>
          <w:rFonts w:ascii="Arial Narrow" w:hAnsi="Arial Narrow" w:cs="Times New Roman"/>
          <w:sz w:val="22"/>
          <w:szCs w:val="22"/>
        </w:rPr>
        <w:t>%. Naplno sa tak začali prejavovať problémy súvisiace s hypotekárnou krízou, pričom za poklesom stálo hlavne zníženie produkcie v stavebníctve. Problémom v USA začína byť aj rastúca inflácia, ktorá v marci 2008 dosiahla hodnotu 4,0</w:t>
      </w:r>
      <w:r>
        <w:rPr>
          <w:rFonts w:ascii="Arial Narrow" w:hAnsi="Arial Narrow" w:cs="Times New Roman"/>
          <w:sz w:val="22"/>
          <w:szCs w:val="22"/>
        </w:rPr>
        <w:t xml:space="preserve"> </w:t>
      </w:r>
      <w:r w:rsidRPr="006076F5">
        <w:rPr>
          <w:rFonts w:ascii="Arial Narrow" w:hAnsi="Arial Narrow" w:cs="Times New Roman"/>
          <w:sz w:val="22"/>
          <w:szCs w:val="22"/>
        </w:rPr>
        <w:t>%. Popri globálnych faktoroch (rast cien potravín a ropných produktov) stálo za nárastom aj prudké oslabovanie dolára, ktoré zvyšuje ceny importov. Kurz USD/EUR sa pod vplyvom neistého vývoja v USA a poklesu úrokových sadzieb FED</w:t>
      </w:r>
      <w:r>
        <w:rPr>
          <w:rFonts w:ascii="Arial Narrow" w:hAnsi="Arial Narrow" w:cs="Times New Roman"/>
          <w:sz w:val="22"/>
          <w:szCs w:val="22"/>
        </w:rPr>
        <w:t>-</w:t>
      </w:r>
      <w:r w:rsidRPr="006076F5">
        <w:rPr>
          <w:rFonts w:ascii="Arial Narrow" w:hAnsi="Arial Narrow" w:cs="Times New Roman"/>
          <w:sz w:val="22"/>
          <w:szCs w:val="22"/>
        </w:rPr>
        <w:t xml:space="preserve">u dostal začiatkom roka 2008 až k hranici 1,6 USD/EUR. Na hroziace riziko recesie reagovala americká centrálna banka FED bezprecedentnými zníženiami základnej úrokovej sadzby (tzv. federal funds target rate). Od septembra 2007 do apríla 2008 FED znížil sadzby </w:t>
      </w:r>
      <w:r>
        <w:rPr>
          <w:rFonts w:ascii="Arial Narrow" w:hAnsi="Arial Narrow" w:cs="Times New Roman"/>
          <w:sz w:val="22"/>
          <w:szCs w:val="22"/>
        </w:rPr>
        <w:t>sedem</w:t>
      </w:r>
      <w:r w:rsidRPr="006076F5">
        <w:rPr>
          <w:rFonts w:ascii="Arial Narrow" w:hAnsi="Arial Narrow" w:cs="Times New Roman"/>
          <w:sz w:val="22"/>
          <w:szCs w:val="22"/>
        </w:rPr>
        <w:t>krát, dokopy až o 3,25 p.b. (z 5,25</w:t>
      </w:r>
      <w:r>
        <w:rPr>
          <w:rFonts w:ascii="Arial Narrow" w:hAnsi="Arial Narrow" w:cs="Times New Roman"/>
          <w:sz w:val="22"/>
          <w:szCs w:val="22"/>
        </w:rPr>
        <w:t xml:space="preserve"> </w:t>
      </w:r>
      <w:r w:rsidRPr="006076F5">
        <w:rPr>
          <w:rFonts w:ascii="Arial Narrow" w:hAnsi="Arial Narrow" w:cs="Times New Roman"/>
          <w:sz w:val="22"/>
          <w:szCs w:val="22"/>
        </w:rPr>
        <w:t>% na 2,00</w:t>
      </w:r>
      <w:r>
        <w:rPr>
          <w:rFonts w:ascii="Arial Narrow" w:hAnsi="Arial Narrow" w:cs="Times New Roman"/>
          <w:sz w:val="22"/>
          <w:szCs w:val="22"/>
        </w:rPr>
        <w:t xml:space="preserve"> </w:t>
      </w:r>
      <w:r w:rsidRPr="006076F5">
        <w:rPr>
          <w:rFonts w:ascii="Arial Narrow" w:hAnsi="Arial Narrow" w:cs="Times New Roman"/>
          <w:sz w:val="22"/>
          <w:szCs w:val="22"/>
        </w:rPr>
        <w:t xml:space="preserve">%). </w:t>
      </w:r>
    </w:p>
    <w:p w:rsidR="00C52DD5" w:rsidRPr="006076F5" w:rsidP="00C52DD5">
      <w:pPr>
        <w:spacing w:after="120"/>
        <w:jc w:val="both"/>
        <w:rPr>
          <w:rFonts w:ascii="Arial Narrow" w:hAnsi="Arial Narrow" w:cs="Times New Roman"/>
          <w:sz w:val="22"/>
          <w:szCs w:val="22"/>
        </w:rPr>
      </w:pPr>
    </w:p>
    <w:tbl>
      <w:tblPr>
        <w:tblpPr w:leftFromText="141" w:rightFromText="141" w:vertAnchor="text" w:horzAnchor="margin" w:tblpXSpec="center" w:tblpY="101"/>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Pr>
      <w:tblGrid>
        <w:gridCol w:w="4253"/>
        <w:gridCol w:w="284"/>
        <w:gridCol w:w="4391"/>
      </w:tblGrid>
      <w:tr>
        <w:tblPrEx>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PrEx>
        <w:trPr>
          <w:trHeight w:val="167"/>
        </w:trPr>
        <w:tc>
          <w:tcPr>
            <w:tcW w:w="4253" w:type="dxa"/>
            <w:tcBorders>
              <w:top w:val="nil"/>
              <w:left w:val="nil"/>
              <w:bottom w:val="nil"/>
              <w:right w:val="nil"/>
              <w:tl2br w:val="nil"/>
              <w:tr2bl w:val="nil"/>
            </w:tcBorders>
            <w:shd w:val="clear" w:color="auto" w:fill="000000"/>
            <w:textDirection w:val="lrTb"/>
            <w:vAlign w:val="top"/>
          </w:tcPr>
          <w:p w:rsidR="00C52DD5" w:rsidRPr="006076F5" w:rsidP="00C52DD5">
            <w:pPr>
              <w:spacing w:before="40"/>
              <w:rPr>
                <w:rFonts w:ascii="Arial Narrow" w:hAnsi="Arial Narrow" w:cs="Times New Roman"/>
                <w:b/>
                <w:color w:val="FFFFFF"/>
                <w:sz w:val="20"/>
              </w:rPr>
            </w:pPr>
            <w:r>
              <w:rPr>
                <w:rFonts w:ascii="Arial Narrow" w:hAnsi="Arial Narrow" w:cs="Times New Roman"/>
                <w:b/>
                <w:noProof/>
                <w:color w:val="FFFFFF"/>
                <w:sz w:val="20"/>
              </w:rPr>
              <w:pict>
                <v:shape id="_x0000_s1027" type="#_x0000_t75" style="width:207pt;height:141.75pt;margin-top:23.65pt;margin-left:-3.9pt;position:absolute;z-index:251663360">
                  <v:imagedata r:id="rId7" o:title=""/>
                </v:shape>
              </w:pict>
            </w:r>
            <w:r w:rsidRPr="006076F5">
              <w:rPr>
                <w:rFonts w:ascii="Arial Narrow" w:hAnsi="Arial Narrow" w:cs="Times New Roman"/>
                <w:b/>
                <w:color w:val="FFFFFF"/>
                <w:sz w:val="20"/>
              </w:rPr>
              <w:t>Reálny rast HDP v USA (zmena oproti predošlému štvrťroku)</w:t>
            </w:r>
          </w:p>
        </w:tc>
        <w:tc>
          <w:tcPr>
            <w:tcW w:w="284" w:type="dxa"/>
            <w:tcBorders>
              <w:top w:val="nil"/>
              <w:left w:val="nil"/>
              <w:bottom w:val="nil"/>
              <w:right w:val="nil"/>
              <w:tl2br w:val="nil"/>
              <w:tr2bl w:val="nil"/>
            </w:tcBorders>
            <w:textDirection w:val="lrTb"/>
            <w:vAlign w:val="top"/>
          </w:tcPr>
          <w:p w:rsidR="00C52DD5" w:rsidRPr="006076F5" w:rsidP="00C52DD5">
            <w:pPr>
              <w:spacing w:before="40"/>
              <w:rPr>
                <w:rFonts w:ascii="Arial Narrow" w:hAnsi="Arial Narrow" w:cs="Times New Roman"/>
                <w:b/>
                <w:color w:val="FFFFFF"/>
                <w:sz w:val="22"/>
                <w:szCs w:val="22"/>
              </w:rPr>
            </w:pPr>
          </w:p>
        </w:tc>
        <w:tc>
          <w:tcPr>
            <w:tcW w:w="4391" w:type="dxa"/>
            <w:tcBorders>
              <w:top w:val="nil"/>
              <w:left w:val="nil"/>
              <w:bottom w:val="nil"/>
              <w:right w:val="nil"/>
              <w:tl2br w:val="nil"/>
              <w:tr2bl w:val="nil"/>
            </w:tcBorders>
            <w:shd w:val="clear" w:color="auto" w:fill="000000"/>
            <w:textDirection w:val="lrTb"/>
            <w:vAlign w:val="center"/>
          </w:tcPr>
          <w:p w:rsidR="00C52DD5" w:rsidRPr="006076F5" w:rsidP="00C52DD5">
            <w:pPr>
              <w:spacing w:before="40"/>
              <w:rPr>
                <w:rFonts w:ascii="Arial Narrow" w:hAnsi="Arial Narrow" w:cs="Times New Roman"/>
                <w:b/>
                <w:color w:val="FFFFFF"/>
                <w:sz w:val="20"/>
              </w:rPr>
            </w:pPr>
            <w:r>
              <w:rPr>
                <w:rFonts w:ascii="Arial Narrow" w:hAnsi="Arial Narrow" w:cs="Times New Roman"/>
                <w:b/>
                <w:noProof/>
                <w:sz w:val="22"/>
                <w:szCs w:val="22"/>
              </w:rPr>
              <w:pict>
                <v:shape id="_x0000_s1028" type="#_x0000_t75" style="width:3in;height:2in;margin-top:23.3pt;margin-left:-5.55pt;position:absolute;z-index:251662336">
                  <v:imagedata r:id="rId8" o:title=""/>
                </v:shape>
              </w:pict>
            </w:r>
            <w:r w:rsidRPr="006076F5">
              <w:rPr>
                <w:rFonts w:ascii="Arial Narrow" w:hAnsi="Arial Narrow" w:cs="Times New Roman"/>
                <w:b/>
                <w:color w:val="FFFFFF"/>
                <w:sz w:val="20"/>
              </w:rPr>
              <w:t>Vývoj výmenného kurzu USD/EUR</w:t>
            </w:r>
          </w:p>
        </w:tc>
      </w:tr>
      <w:tr>
        <w:tblPrEx>
          <w:tblW w:w="0" w:type="auto"/>
          <w:tblLayout w:type="fixed"/>
        </w:tblPrEx>
        <w:trPr>
          <w:trHeight w:val="2938"/>
        </w:trPr>
        <w:tc>
          <w:tcPr>
            <w:tcW w:w="4253" w:type="dxa"/>
            <w:tcBorders>
              <w:top w:val="nil"/>
              <w:left w:val="nil"/>
              <w:bottom w:val="single" w:sz="4" w:space="0" w:color="auto"/>
              <w:right w:val="nil"/>
              <w:tl2br w:val="nil"/>
              <w:tr2bl w:val="nil"/>
            </w:tcBorders>
            <w:textDirection w:val="lrTb"/>
            <w:vAlign w:val="top"/>
          </w:tcPr>
          <w:p w:rsidR="00C52DD5" w:rsidRPr="006076F5" w:rsidP="00C52DD5">
            <w:pPr>
              <w:spacing w:before="40"/>
              <w:rPr>
                <w:rFonts w:ascii="Arial Narrow" w:hAnsi="Arial Narrow" w:cs="Times New Roman"/>
                <w:b/>
                <w:sz w:val="22"/>
                <w:szCs w:val="22"/>
              </w:rPr>
            </w:pPr>
          </w:p>
        </w:tc>
        <w:tc>
          <w:tcPr>
            <w:tcW w:w="284" w:type="dxa"/>
            <w:tcBorders>
              <w:top w:val="nil"/>
              <w:left w:val="nil"/>
              <w:bottom w:val="nil"/>
              <w:right w:val="nil"/>
              <w:tl2br w:val="nil"/>
              <w:tr2bl w:val="nil"/>
            </w:tcBorders>
            <w:textDirection w:val="lrTb"/>
            <w:vAlign w:val="top"/>
          </w:tcPr>
          <w:p w:rsidR="00C52DD5" w:rsidRPr="006076F5" w:rsidP="00C52DD5">
            <w:pPr>
              <w:spacing w:before="40"/>
              <w:rPr>
                <w:rFonts w:ascii="Arial Narrow" w:hAnsi="Arial Narrow" w:cs="Times New Roman"/>
                <w:b/>
                <w:sz w:val="22"/>
                <w:szCs w:val="22"/>
              </w:rPr>
            </w:pPr>
          </w:p>
        </w:tc>
        <w:tc>
          <w:tcPr>
            <w:tcW w:w="4391" w:type="dxa"/>
            <w:tcBorders>
              <w:top w:val="nil"/>
              <w:left w:val="nil"/>
              <w:bottom w:val="single" w:sz="4" w:space="0" w:color="auto"/>
              <w:right w:val="nil"/>
              <w:tl2br w:val="nil"/>
              <w:tr2bl w:val="nil"/>
            </w:tcBorders>
            <w:textDirection w:val="lrTb"/>
            <w:vAlign w:val="top"/>
          </w:tcPr>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p w:rsidR="00C52DD5" w:rsidRPr="006076F5" w:rsidP="00C52DD5">
            <w:pPr>
              <w:spacing w:before="40"/>
              <w:rPr>
                <w:rFonts w:ascii="Arial Narrow" w:hAnsi="Arial Narrow" w:cs="Times New Roman"/>
                <w:b/>
                <w:sz w:val="22"/>
                <w:szCs w:val="22"/>
              </w:rPr>
            </w:pPr>
          </w:p>
        </w:tc>
      </w:tr>
      <w:tr>
        <w:tblPrEx>
          <w:tblW w:w="0" w:type="auto"/>
          <w:tblLayout w:type="fixed"/>
        </w:tblPrEx>
        <w:trPr>
          <w:trHeight w:hRule="auto" w:val="0"/>
        </w:trPr>
        <w:tc>
          <w:tcPr>
            <w:tcW w:w="4253" w:type="dxa"/>
            <w:tcBorders>
              <w:top w:val="single" w:sz="4" w:space="0" w:color="auto"/>
              <w:left w:val="nil"/>
              <w:bottom w:val="nil"/>
              <w:right w:val="nil"/>
              <w:tl2br w:val="nil"/>
              <w:tr2bl w:val="nil"/>
            </w:tcBorders>
            <w:textDirection w:val="lrTb"/>
            <w:vAlign w:val="top"/>
          </w:tcPr>
          <w:p w:rsidR="00C52DD5" w:rsidRPr="006076F5" w:rsidP="00C52DD5">
            <w:pPr>
              <w:spacing w:before="40"/>
              <w:jc w:val="right"/>
              <w:rPr>
                <w:rFonts w:ascii="Arial Narrow" w:hAnsi="Arial Narrow" w:cs="Times New Roman"/>
                <w:i/>
                <w:sz w:val="18"/>
                <w:szCs w:val="18"/>
              </w:rPr>
            </w:pPr>
            <w:r w:rsidRPr="006076F5">
              <w:rPr>
                <w:rFonts w:ascii="Arial Narrow" w:hAnsi="Arial Narrow" w:cs="Times New Roman"/>
                <w:i/>
                <w:sz w:val="18"/>
                <w:szCs w:val="18"/>
              </w:rPr>
              <w:t xml:space="preserve">Zdroj: OECD </w:t>
            </w:r>
          </w:p>
        </w:tc>
        <w:tc>
          <w:tcPr>
            <w:tcW w:w="284" w:type="dxa"/>
            <w:tcBorders>
              <w:top w:val="nil"/>
              <w:left w:val="nil"/>
              <w:bottom w:val="nil"/>
              <w:right w:val="nil"/>
              <w:tl2br w:val="nil"/>
              <w:tr2bl w:val="nil"/>
            </w:tcBorders>
            <w:textDirection w:val="lrTb"/>
            <w:vAlign w:val="top"/>
          </w:tcPr>
          <w:p w:rsidR="00C52DD5" w:rsidRPr="006076F5" w:rsidP="00C52DD5">
            <w:pPr>
              <w:spacing w:before="40"/>
              <w:jc w:val="right"/>
              <w:rPr>
                <w:rFonts w:ascii="Arial Narrow" w:hAnsi="Arial Narrow" w:cs="Times New Roman"/>
                <w:i/>
                <w:sz w:val="18"/>
                <w:szCs w:val="18"/>
              </w:rPr>
            </w:pPr>
          </w:p>
        </w:tc>
        <w:tc>
          <w:tcPr>
            <w:tcW w:w="4391" w:type="dxa"/>
            <w:tcBorders>
              <w:top w:val="single" w:sz="4" w:space="0" w:color="auto"/>
              <w:left w:val="nil"/>
              <w:bottom w:val="nil"/>
              <w:right w:val="nil"/>
              <w:tl2br w:val="nil"/>
              <w:tr2bl w:val="nil"/>
            </w:tcBorders>
            <w:textDirection w:val="lrTb"/>
            <w:vAlign w:val="top"/>
          </w:tcPr>
          <w:p w:rsidR="00C52DD5" w:rsidRPr="006076F5" w:rsidP="00C52DD5">
            <w:pPr>
              <w:spacing w:before="40"/>
              <w:jc w:val="right"/>
              <w:rPr>
                <w:rFonts w:ascii="Arial Narrow" w:hAnsi="Arial Narrow" w:cs="Times New Roman"/>
                <w:i/>
                <w:sz w:val="18"/>
                <w:szCs w:val="18"/>
              </w:rPr>
            </w:pPr>
            <w:r w:rsidRPr="006076F5">
              <w:rPr>
                <w:rFonts w:ascii="Arial Narrow" w:hAnsi="Arial Narrow" w:cs="Times New Roman"/>
                <w:i/>
                <w:sz w:val="18"/>
                <w:szCs w:val="18"/>
              </w:rPr>
              <w:t>Zdroj: REUTERS</w:t>
            </w:r>
          </w:p>
        </w:tc>
      </w:tr>
    </w:tbl>
    <w:p w:rsidR="00C52DD5" w:rsidP="00C52DD5">
      <w:pPr>
        <w:spacing w:before="120" w:after="120"/>
        <w:jc w:val="both"/>
        <w:rPr>
          <w:rFonts w:ascii="Arial Narrow" w:hAnsi="Arial Narrow" w:cs="Times New Roman"/>
          <w:sz w:val="22"/>
          <w:szCs w:val="22"/>
        </w:rPr>
      </w:pPr>
    </w:p>
    <w:p w:rsidR="00C52DD5" w:rsidP="00C52DD5">
      <w:pPr>
        <w:spacing w:before="120" w:after="120"/>
        <w:ind w:firstLine="709"/>
        <w:jc w:val="both"/>
        <w:rPr>
          <w:rFonts w:ascii="Arial Narrow" w:hAnsi="Arial Narrow" w:cs="Times New Roman"/>
          <w:sz w:val="22"/>
          <w:szCs w:val="22"/>
        </w:rPr>
      </w:pPr>
      <w:r w:rsidRPr="006076F5">
        <w:rPr>
          <w:rFonts w:ascii="Arial Narrow" w:hAnsi="Arial Narrow" w:cs="Times New Roman"/>
          <w:sz w:val="22"/>
          <w:szCs w:val="22"/>
        </w:rPr>
        <w:t>Rast reálneho HDP v eurozóne dosiahol 2,6</w:t>
      </w:r>
      <w:r>
        <w:rPr>
          <w:rFonts w:ascii="Arial Narrow" w:hAnsi="Arial Narrow" w:cs="Times New Roman"/>
          <w:sz w:val="22"/>
          <w:szCs w:val="22"/>
        </w:rPr>
        <w:t xml:space="preserve"> </w:t>
      </w:r>
      <w:r w:rsidRPr="006076F5">
        <w:rPr>
          <w:rFonts w:ascii="Arial Narrow" w:hAnsi="Arial Narrow" w:cs="Times New Roman"/>
          <w:sz w:val="22"/>
          <w:szCs w:val="22"/>
        </w:rPr>
        <w:t>% v roku 2007 s miernym spomalením z úrovne 2,7</w:t>
      </w:r>
      <w:r>
        <w:rPr>
          <w:rFonts w:ascii="Arial Narrow" w:hAnsi="Arial Narrow" w:cs="Times New Roman"/>
          <w:sz w:val="22"/>
          <w:szCs w:val="22"/>
        </w:rPr>
        <w:t xml:space="preserve"> </w:t>
      </w:r>
      <w:r w:rsidRPr="006076F5">
        <w:rPr>
          <w:rFonts w:ascii="Arial Narrow" w:hAnsi="Arial Narrow" w:cs="Times New Roman"/>
          <w:sz w:val="22"/>
          <w:szCs w:val="22"/>
        </w:rPr>
        <w:t>% v roku 2006. Pozitívny bol aj rast zamestnanosti, ktorý dosiahol 1,6</w:t>
      </w:r>
      <w:r>
        <w:rPr>
          <w:rFonts w:ascii="Arial Narrow" w:hAnsi="Arial Narrow" w:cs="Times New Roman"/>
          <w:sz w:val="22"/>
          <w:szCs w:val="22"/>
        </w:rPr>
        <w:t xml:space="preserve"> </w:t>
      </w:r>
      <w:r w:rsidRPr="006076F5">
        <w:rPr>
          <w:rFonts w:ascii="Arial Narrow" w:hAnsi="Arial Narrow" w:cs="Times New Roman"/>
          <w:sz w:val="22"/>
          <w:szCs w:val="22"/>
        </w:rPr>
        <w:t xml:space="preserve">% v roku 2007, čím sa ešte zvýšil rast </w:t>
      </w:r>
      <w:r>
        <w:rPr>
          <w:rFonts w:ascii="Arial Narrow" w:hAnsi="Arial Narrow" w:cs="Times New Roman"/>
          <w:sz w:val="22"/>
          <w:szCs w:val="22"/>
        </w:rPr>
        <w:t xml:space="preserve">1,4 % </w:t>
      </w:r>
      <w:r w:rsidRPr="006076F5">
        <w:rPr>
          <w:rFonts w:ascii="Arial Narrow" w:hAnsi="Arial Narrow" w:cs="Times New Roman"/>
          <w:sz w:val="22"/>
          <w:szCs w:val="22"/>
        </w:rPr>
        <w:t>z roku 2006. Takisto poklesla aj miera nezamestnanosti, a to na úroveň 7,4</w:t>
      </w:r>
      <w:r>
        <w:rPr>
          <w:rFonts w:ascii="Arial Narrow" w:hAnsi="Arial Narrow" w:cs="Times New Roman"/>
          <w:sz w:val="22"/>
          <w:szCs w:val="22"/>
        </w:rPr>
        <w:t xml:space="preserve"> </w:t>
      </w:r>
      <w:r w:rsidRPr="006076F5">
        <w:rPr>
          <w:rFonts w:ascii="Arial Narrow" w:hAnsi="Arial Narrow" w:cs="Times New Roman"/>
          <w:sz w:val="22"/>
          <w:szCs w:val="22"/>
        </w:rPr>
        <w:t>% v roku 2007 z 8,2</w:t>
      </w:r>
      <w:r>
        <w:rPr>
          <w:rFonts w:ascii="Arial Narrow" w:hAnsi="Arial Narrow" w:cs="Times New Roman"/>
          <w:sz w:val="22"/>
          <w:szCs w:val="22"/>
        </w:rPr>
        <w:t xml:space="preserve"> </w:t>
      </w:r>
      <w:r w:rsidRPr="006076F5">
        <w:rPr>
          <w:rFonts w:ascii="Arial Narrow" w:hAnsi="Arial Narrow" w:cs="Times New Roman"/>
          <w:sz w:val="22"/>
          <w:szCs w:val="22"/>
        </w:rPr>
        <w:t>% v roku 2006. Zdá sa, že hypotekárna kríza a súvisiaci rast úverových defaultov sa eurozóny priamo netýka, problém však môže predstavovať angažovanosť európskych investorov na sekuritizovaných aktívach a oslabenie rastu eurózony v dôsledku poklesu zahraničného dopytu (najmä z USA). Väčším problémom ako ekonomický rast sa v súčasnosti javí inflácia, ktorá v marci 2008 dosiahla medziročne 3,6</w:t>
      </w:r>
      <w:r>
        <w:rPr>
          <w:rFonts w:ascii="Arial Narrow" w:hAnsi="Arial Narrow" w:cs="Times New Roman"/>
          <w:sz w:val="22"/>
          <w:szCs w:val="22"/>
        </w:rPr>
        <w:t xml:space="preserve"> </w:t>
      </w:r>
      <w:r w:rsidRPr="006076F5">
        <w:rPr>
          <w:rFonts w:ascii="Arial Narrow" w:hAnsi="Arial Narrow" w:cs="Times New Roman"/>
          <w:sz w:val="22"/>
          <w:szCs w:val="22"/>
        </w:rPr>
        <w:t>%, čo je výrazne nad cieľom ECB, ktorý je „pod ale blízko 2</w:t>
      </w:r>
      <w:r>
        <w:rPr>
          <w:rFonts w:ascii="Arial Narrow" w:hAnsi="Arial Narrow" w:cs="Times New Roman"/>
          <w:sz w:val="22"/>
          <w:szCs w:val="22"/>
        </w:rPr>
        <w:t xml:space="preserve"> </w:t>
      </w:r>
      <w:r w:rsidRPr="006076F5">
        <w:rPr>
          <w:rFonts w:ascii="Arial Narrow" w:hAnsi="Arial Narrow" w:cs="Times New Roman"/>
          <w:sz w:val="22"/>
          <w:szCs w:val="22"/>
        </w:rPr>
        <w:t>%“. ECB tak nateraz nenasledovala FED pri znižovaní sadzieb a ponechala základnú sadzbu nezmenenú už od júna 2007 na úrovni 4,0</w:t>
      </w:r>
      <w:r>
        <w:rPr>
          <w:rFonts w:ascii="Arial Narrow" w:hAnsi="Arial Narrow" w:cs="Times New Roman"/>
          <w:sz w:val="22"/>
          <w:szCs w:val="22"/>
        </w:rPr>
        <w:t xml:space="preserve"> </w:t>
      </w:r>
      <w:r w:rsidRPr="006076F5">
        <w:rPr>
          <w:rFonts w:ascii="Arial Narrow" w:hAnsi="Arial Narrow" w:cs="Times New Roman"/>
          <w:sz w:val="22"/>
          <w:szCs w:val="22"/>
        </w:rPr>
        <w:t xml:space="preserve">%. </w:t>
      </w:r>
    </w:p>
    <w:p w:rsidR="00C52DD5" w:rsidRPr="009D7ED1" w:rsidP="00C52DD5">
      <w:pPr>
        <w:pStyle w:val="Heading3"/>
        <w:numPr>
          <w:ilvl w:val="1"/>
          <w:numId w:val="201"/>
        </w:numPr>
        <w:tabs>
          <w:tab w:val="left" w:pos="792"/>
        </w:tabs>
        <w:ind w:left="357" w:firstLine="0"/>
        <w:rPr>
          <w:rFonts w:ascii="Arial Narrow" w:hAnsi="Arial Narrow"/>
          <w:sz w:val="22"/>
          <w:szCs w:val="22"/>
        </w:rPr>
      </w:pPr>
      <w:bookmarkStart w:id="12" w:name="_Toc202955844"/>
      <w:r>
        <w:t xml:space="preserve"> </w:t>
      </w:r>
      <w:r w:rsidRPr="009D7ED1">
        <w:rPr>
          <w:rFonts w:ascii="Arial Narrow" w:hAnsi="Arial Narrow"/>
          <w:sz w:val="22"/>
          <w:szCs w:val="22"/>
        </w:rPr>
        <w:t>Vývoj na slovenskom dlhopisovom trhu</w:t>
      </w:r>
      <w:bookmarkEnd w:id="12"/>
    </w:p>
    <w:p w:rsidR="00C52DD5" w:rsidRPr="0001269E" w:rsidP="00C52DD5">
      <w:pPr>
        <w:rPr>
          <w:rFonts w:cs="Times New Roman"/>
          <w:sz w:val="16"/>
          <w:szCs w:val="16"/>
        </w:rPr>
      </w:pP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 xml:space="preserve">Vydávanie štátnych dlhopisov v celom druhom polroku </w:t>
      </w:r>
      <w:smartTag w:uri="urn:schemas-microsoft-com:office:smarttags" w:element="metricconverter">
        <w:smartTagPr>
          <w:attr w:name="ProductID" w:val="2007 a"/>
        </w:smartTagPr>
        <w:r w:rsidRPr="006076F5">
          <w:rPr>
            <w:rFonts w:ascii="Arial Narrow" w:hAnsi="Arial Narrow" w:cs="Times New Roman"/>
            <w:sz w:val="22"/>
            <w:szCs w:val="22"/>
          </w:rPr>
          <w:t>2007 a</w:t>
        </w:r>
      </w:smartTag>
      <w:r w:rsidRPr="006076F5">
        <w:rPr>
          <w:rFonts w:ascii="Arial Narrow" w:hAnsi="Arial Narrow" w:cs="Times New Roman"/>
          <w:sz w:val="22"/>
          <w:szCs w:val="22"/>
        </w:rPr>
        <w:t xml:space="preserve"> podobne aj v roku 2008 ovplyvnila globálna kríza na svetových finančných trhoch. Z  dôvodu narastajúcej nervozity a nedôvery investorov sa už počas septembra roku 2007 na sekundárnom kapitálovom trhu takmer prestali obchodovať dlhopisy krajín strednej a východnej Európy (SVE). Napriek násobnému zväčšeniu obchodnej marže (kúpa – predaj) na paneurópskom burzovom trhu MTS bolo uskutočnených len niekoľko obchodov. V kótovaní dlhopisov krajín SVE došlo na všetkých trhoch k značnému útlmu až k dočasnému pozastaveniu.</w:t>
      </w:r>
    </w:p>
    <w:p w:rsidR="00C52DD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Uvedený vývoj, ktorý sa globálne prejavoval na všetkých trhoch, spolu s nedostatkom likvidity na peňažnom trhu viedol k nárastu rizikovej prirážky vo všetkých segmentoch finančného trhu. Nárast sa najviac prejavil na medzibankovom peňažnom trhu a len v menšej miere pri rizikovej prirážke vládnych cenných papieroch a dlhopisoch podnikovej sféry. Napriek tomu je potrebné konštatovať, že aj emitenti s rovnakým ratingom majú v súčasných podmienkach na trhoch rôznu rizikovú prirážku. Príkladom sú všetky krajiny EU, ktorých riziková prirážka voči nemeckým dlhopisom (bundom) narástla z hodnôt v rozsahu 0,01 % p. a. až 0,05 % p. a. na hodnoty 0,20 % p. a. až 0,70  % p. a.</w:t>
      </w:r>
    </w:p>
    <w:p w:rsidR="00C52DD5" w:rsidP="00C52DD5">
      <w:pPr>
        <w:spacing w:before="120"/>
        <w:jc w:val="both"/>
        <w:rPr>
          <w:rFonts w:ascii="Arial Narrow" w:hAnsi="Arial Narrow" w:cs="Times New Roman"/>
          <w:sz w:val="22"/>
          <w:szCs w:val="22"/>
        </w:rPr>
      </w:pPr>
    </w:p>
    <w:p w:rsidR="00C52DD5" w:rsidP="00C52DD5">
      <w:pPr>
        <w:spacing w:before="120"/>
        <w:jc w:val="both"/>
        <w:rPr>
          <w:rFonts w:ascii="Arial Narrow" w:hAnsi="Arial Narrow" w:cs="Times New Roman"/>
          <w:sz w:val="22"/>
          <w:szCs w:val="22"/>
        </w:rPr>
      </w:pPr>
    </w:p>
    <w:p w:rsidR="00C52DD5" w:rsidP="00C52DD5">
      <w:pPr>
        <w:spacing w:before="120"/>
        <w:jc w:val="both"/>
        <w:rPr>
          <w:rFonts w:ascii="Arial Narrow" w:hAnsi="Arial Narrow" w:cs="Times New Roman"/>
          <w:sz w:val="22"/>
          <w:szCs w:val="22"/>
        </w:rPr>
      </w:pPr>
    </w:p>
    <w:p w:rsidR="00C52DD5" w:rsidP="00C52DD5">
      <w:pPr>
        <w:spacing w:before="120"/>
        <w:jc w:val="both"/>
        <w:rPr>
          <w:rFonts w:ascii="Arial Narrow" w:hAnsi="Arial Narrow" w:cs="Times New Roman"/>
          <w:sz w:val="22"/>
          <w:szCs w:val="22"/>
        </w:rPr>
      </w:pPr>
    </w:p>
    <w:tbl>
      <w:tblPr>
        <w:tblW w:w="0" w:type="auto"/>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Pr>
      <w:tblGrid>
        <w:gridCol w:w="4253"/>
        <w:gridCol w:w="284"/>
        <w:gridCol w:w="4253"/>
      </w:tblGrid>
      <w:tr>
        <w:tblPrEx>
          <w:tblW w:w="0" w:type="auto"/>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PrEx>
        <w:trPr>
          <w:trHeight w:val="167"/>
          <w:jc w:val="center"/>
        </w:trPr>
        <w:tc>
          <w:tcPr>
            <w:tcW w:w="4253" w:type="dxa"/>
            <w:tcBorders>
              <w:top w:val="nil"/>
              <w:left w:val="nil"/>
              <w:bottom w:val="nil"/>
              <w:right w:val="nil"/>
              <w:tl2br w:val="nil"/>
              <w:tr2bl w:val="nil"/>
            </w:tcBorders>
            <w:shd w:val="clear" w:color="auto" w:fill="000000"/>
            <w:textDirection w:val="lrTb"/>
            <w:vAlign w:val="top"/>
          </w:tcPr>
          <w:p w:rsidR="00C52DD5" w:rsidRPr="006076F5" w:rsidP="00C52DD5">
            <w:pPr>
              <w:spacing w:before="40" w:after="40"/>
              <w:rPr>
                <w:rFonts w:ascii="Garamond" w:hAnsi="Garamond" w:cs="Times New Roman"/>
                <w:b/>
                <w:color w:val="FFFFFF"/>
                <w:sz w:val="20"/>
              </w:rPr>
            </w:pPr>
            <w:r w:rsidRPr="006076F5">
              <w:rPr>
                <w:rFonts w:ascii="Garamond" w:hAnsi="Garamond" w:cs="Times New Roman"/>
                <w:b/>
                <w:color w:val="FFFFFF"/>
                <w:sz w:val="20"/>
              </w:rPr>
              <w:t>Výnosnosť štátnych 10 ročných dlhopisov SK, DE, CZ</w:t>
            </w:r>
          </w:p>
        </w:tc>
        <w:tc>
          <w:tcPr>
            <w:tcW w:w="284" w:type="dxa"/>
            <w:tcBorders>
              <w:top w:val="nil"/>
              <w:left w:val="nil"/>
              <w:bottom w:val="nil"/>
              <w:right w:val="nil"/>
              <w:tl2br w:val="nil"/>
              <w:tr2bl w:val="nil"/>
            </w:tcBorders>
            <w:textDirection w:val="lrTb"/>
            <w:vAlign w:val="top"/>
          </w:tcPr>
          <w:p w:rsidR="00C52DD5" w:rsidRPr="006076F5" w:rsidP="00C52DD5">
            <w:pPr>
              <w:spacing w:before="40" w:after="40"/>
              <w:rPr>
                <w:rFonts w:ascii="Garamond" w:hAnsi="Garamond" w:cs="Times New Roman"/>
                <w:b/>
                <w:color w:val="FFFFFF"/>
                <w:sz w:val="20"/>
              </w:rPr>
            </w:pPr>
          </w:p>
        </w:tc>
        <w:tc>
          <w:tcPr>
            <w:tcW w:w="4253" w:type="dxa"/>
            <w:tcBorders>
              <w:top w:val="nil"/>
              <w:left w:val="nil"/>
              <w:bottom w:val="nil"/>
              <w:right w:val="nil"/>
              <w:tl2br w:val="nil"/>
              <w:tr2bl w:val="nil"/>
            </w:tcBorders>
            <w:shd w:val="clear" w:color="auto" w:fill="000000"/>
            <w:textDirection w:val="lrTb"/>
            <w:vAlign w:val="top"/>
          </w:tcPr>
          <w:p w:rsidR="00C52DD5" w:rsidRPr="006076F5" w:rsidP="00C52DD5">
            <w:pPr>
              <w:spacing w:before="40" w:after="40"/>
              <w:rPr>
                <w:rFonts w:ascii="Garamond" w:hAnsi="Garamond" w:cs="Times New Roman"/>
                <w:b/>
                <w:color w:val="FFFFFF"/>
                <w:sz w:val="20"/>
              </w:rPr>
            </w:pPr>
            <w:r w:rsidRPr="006076F5">
              <w:rPr>
                <w:rFonts w:ascii="Garamond" w:hAnsi="Garamond" w:cs="Times New Roman"/>
                <w:b/>
                <w:color w:val="FFFFFF"/>
                <w:sz w:val="20"/>
              </w:rPr>
              <w:t>Vývoj spreadov 10 ročných štátnych dlhopisov SR</w:t>
            </w:r>
          </w:p>
        </w:tc>
      </w:tr>
      <w:tr>
        <w:tblPrEx>
          <w:tblW w:w="0" w:type="auto"/>
          <w:jc w:val="center"/>
          <w:tblLayout w:type="fixed"/>
        </w:tblPrEx>
        <w:trPr>
          <w:trHeight w:val="2837"/>
          <w:jc w:val="center"/>
        </w:trPr>
        <w:tc>
          <w:tcPr>
            <w:tcW w:w="4253" w:type="dxa"/>
            <w:tcBorders>
              <w:top w:val="nil"/>
              <w:left w:val="nil"/>
              <w:bottom w:val="single" w:sz="4" w:space="0" w:color="auto"/>
              <w:right w:val="nil"/>
              <w:tl2br w:val="nil"/>
              <w:tr2bl w:val="nil"/>
            </w:tcBorders>
            <w:textDirection w:val="lrTb"/>
            <w:vAlign w:val="top"/>
          </w:tcPr>
          <w:p w:rsidR="00C52DD5" w:rsidRPr="006076F5" w:rsidP="00C52DD5">
            <w:pPr>
              <w:spacing w:before="40" w:after="40"/>
              <w:rPr>
                <w:rFonts w:ascii="Verdana" w:hAnsi="Verdana" w:cs="Times New Roman"/>
                <w:b/>
                <w:sz w:val="16"/>
                <w:szCs w:val="16"/>
              </w:rPr>
            </w:pPr>
            <w:r>
              <w:rPr>
                <w:rFonts w:ascii="Verdana" w:hAnsi="Verdana" w:cs="Times New Roman"/>
                <w:b/>
                <w:noProof/>
                <w:sz w:val="16"/>
                <w:szCs w:val="16"/>
              </w:rPr>
              <w:pict>
                <v:shape id="_x0000_s1029" type="#_x0000_t75" style="width:214.5pt;height:149.85pt;margin-top:1.65pt;margin-left:-7.35pt;position:absolute;z-index:251659264">
                  <v:imagedata r:id="rId9" o:title=""/>
                </v:shape>
              </w:pict>
            </w:r>
          </w:p>
          <w:p w:rsidR="00C52DD5" w:rsidRPr="006076F5" w:rsidP="00C52DD5">
            <w:pPr>
              <w:spacing w:before="40" w:after="40"/>
              <w:rPr>
                <w:rFonts w:ascii="Verdana" w:hAnsi="Verdana" w:cs="Times New Roman"/>
                <w:b/>
                <w:sz w:val="16"/>
                <w:szCs w:val="16"/>
              </w:rPr>
            </w:pPr>
          </w:p>
        </w:tc>
        <w:tc>
          <w:tcPr>
            <w:tcW w:w="284" w:type="dxa"/>
            <w:tcBorders>
              <w:top w:val="nil"/>
              <w:left w:val="nil"/>
              <w:bottom w:val="nil"/>
              <w:right w:val="nil"/>
              <w:tl2br w:val="nil"/>
              <w:tr2bl w:val="nil"/>
            </w:tcBorders>
            <w:textDirection w:val="lrTb"/>
            <w:vAlign w:val="top"/>
          </w:tcPr>
          <w:p w:rsidR="00C52DD5" w:rsidRPr="006076F5" w:rsidP="00C52DD5">
            <w:pPr>
              <w:spacing w:before="40" w:after="40"/>
              <w:rPr>
                <w:rFonts w:ascii="Verdana" w:hAnsi="Verdana" w:cs="Times New Roman"/>
                <w:b/>
                <w:sz w:val="16"/>
                <w:szCs w:val="16"/>
              </w:rPr>
            </w:pPr>
          </w:p>
        </w:tc>
        <w:tc>
          <w:tcPr>
            <w:tcW w:w="4253" w:type="dxa"/>
            <w:tcBorders>
              <w:top w:val="nil"/>
              <w:left w:val="nil"/>
              <w:bottom w:val="single" w:sz="4" w:space="0" w:color="auto"/>
              <w:right w:val="nil"/>
              <w:tl2br w:val="nil"/>
              <w:tr2bl w:val="nil"/>
            </w:tcBorders>
            <w:textDirection w:val="lrTb"/>
            <w:vAlign w:val="top"/>
          </w:tcPr>
          <w:p w:rsidR="00C52DD5" w:rsidRPr="006076F5" w:rsidP="00C52DD5">
            <w:pPr>
              <w:spacing w:before="40" w:after="40"/>
              <w:rPr>
                <w:rFonts w:ascii="Verdana" w:hAnsi="Verdana" w:cs="Times New Roman"/>
                <w:b/>
                <w:sz w:val="16"/>
                <w:szCs w:val="16"/>
              </w:rPr>
            </w:pPr>
            <w:r>
              <w:rPr>
                <w:rFonts w:ascii="Verdana" w:hAnsi="Verdana" w:cs="Times New Roman"/>
                <w:b/>
                <w:noProof/>
                <w:sz w:val="16"/>
                <w:szCs w:val="16"/>
              </w:rPr>
              <w:pict>
                <v:shape id="_x0000_s1030" type="#_x0000_t75" style="width:207.1pt;height:149.85pt;margin-top:1.65pt;margin-left:-0.2pt;position:absolute;z-index:251660288">
                  <v:imagedata r:id="rId10" o:title=""/>
                </v:shape>
              </w:pict>
            </w: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p w:rsidR="00C52DD5" w:rsidRPr="006076F5" w:rsidP="00C52DD5">
            <w:pPr>
              <w:spacing w:before="40" w:after="40"/>
              <w:rPr>
                <w:rFonts w:ascii="Verdana" w:hAnsi="Verdana" w:cs="Times New Roman"/>
                <w:b/>
                <w:sz w:val="16"/>
                <w:szCs w:val="16"/>
              </w:rPr>
            </w:pPr>
          </w:p>
        </w:tc>
      </w:tr>
      <w:tr>
        <w:tblPrEx>
          <w:tblW w:w="0" w:type="auto"/>
          <w:jc w:val="center"/>
          <w:tblLayout w:type="fixed"/>
        </w:tblPrEx>
        <w:trPr>
          <w:trHeight w:val="97"/>
          <w:jc w:val="center"/>
        </w:trPr>
        <w:tc>
          <w:tcPr>
            <w:tcW w:w="4253" w:type="dxa"/>
            <w:vMerge w:val="restart"/>
            <w:tcBorders>
              <w:top w:val="single" w:sz="4" w:space="0" w:color="auto"/>
              <w:left w:val="nil"/>
              <w:bottom w:val="single" w:sz="4" w:space="0" w:color="C0C0C0"/>
              <w:right w:val="nil"/>
              <w:tl2br w:val="nil"/>
              <w:tr2bl w:val="nil"/>
            </w:tcBorders>
            <w:textDirection w:val="lrTb"/>
            <w:vAlign w:val="top"/>
          </w:tcPr>
          <w:p w:rsidR="00C52DD5" w:rsidRPr="006076F5" w:rsidP="00C52DD5">
            <w:pPr>
              <w:spacing w:before="40" w:after="40"/>
              <w:jc w:val="right"/>
              <w:rPr>
                <w:rFonts w:ascii="Garamond" w:hAnsi="Garamond" w:cs="Times New Roman"/>
                <w:i/>
                <w:sz w:val="16"/>
                <w:szCs w:val="16"/>
              </w:rPr>
            </w:pPr>
            <w:r w:rsidRPr="006076F5">
              <w:rPr>
                <w:rFonts w:ascii="Garamond" w:hAnsi="Garamond" w:cs="Times New Roman"/>
                <w:i/>
                <w:sz w:val="16"/>
                <w:szCs w:val="16"/>
              </w:rPr>
              <w:t xml:space="preserve">Zdroj: NBS, Reuters </w:t>
            </w:r>
          </w:p>
        </w:tc>
        <w:tc>
          <w:tcPr>
            <w:tcW w:w="284" w:type="dxa"/>
            <w:vMerge w:val="restart"/>
            <w:tcBorders>
              <w:top w:val="nil"/>
              <w:left w:val="nil"/>
              <w:bottom w:val="single" w:sz="4" w:space="0" w:color="C0C0C0"/>
              <w:right w:val="nil"/>
              <w:tl2br w:val="nil"/>
              <w:tr2bl w:val="nil"/>
            </w:tcBorders>
            <w:textDirection w:val="lrTb"/>
            <w:vAlign w:val="top"/>
          </w:tcPr>
          <w:p w:rsidR="00C52DD5" w:rsidRPr="006076F5" w:rsidP="00C52DD5">
            <w:pPr>
              <w:spacing w:before="40" w:after="40"/>
              <w:jc w:val="right"/>
              <w:rPr>
                <w:rFonts w:ascii="Garamond" w:hAnsi="Garamond" w:cs="Times New Roman"/>
                <w:i/>
                <w:sz w:val="16"/>
                <w:szCs w:val="16"/>
              </w:rPr>
            </w:pPr>
          </w:p>
        </w:tc>
        <w:tc>
          <w:tcPr>
            <w:tcW w:w="4253" w:type="dxa"/>
            <w:tcBorders>
              <w:top w:val="single" w:sz="4" w:space="0" w:color="auto"/>
              <w:left w:val="nil"/>
              <w:bottom w:val="single" w:sz="4" w:space="0" w:color="auto"/>
              <w:right w:val="nil"/>
              <w:tl2br w:val="nil"/>
              <w:tr2bl w:val="nil"/>
            </w:tcBorders>
            <w:textDirection w:val="lrTb"/>
            <w:vAlign w:val="top"/>
          </w:tcPr>
          <w:p w:rsidR="00C52DD5" w:rsidRPr="006076F5" w:rsidP="00C52DD5">
            <w:pPr>
              <w:spacing w:before="40" w:after="40"/>
              <w:jc w:val="right"/>
              <w:rPr>
                <w:rFonts w:ascii="Garamond" w:hAnsi="Garamond" w:cs="Times New Roman"/>
                <w:i/>
                <w:sz w:val="16"/>
                <w:szCs w:val="16"/>
              </w:rPr>
            </w:pPr>
            <w:r w:rsidRPr="006076F5">
              <w:rPr>
                <w:rFonts w:ascii="Garamond" w:hAnsi="Garamond" w:cs="Times New Roman"/>
                <w:i/>
                <w:sz w:val="16"/>
                <w:szCs w:val="16"/>
              </w:rPr>
              <w:t xml:space="preserve">Zdroj: MF SR, NBS, Reuters </w:t>
            </w:r>
          </w:p>
        </w:tc>
      </w:tr>
      <w:tr>
        <w:tblPrEx>
          <w:tblW w:w="0" w:type="auto"/>
          <w:jc w:val="center"/>
          <w:tblLayout w:type="fixed"/>
        </w:tblPrEx>
        <w:trPr>
          <w:trHeight w:val="70"/>
          <w:jc w:val="center"/>
        </w:trPr>
        <w:tc>
          <w:tcPr>
            <w:tcW w:w="4253" w:type="dxa"/>
            <w:vMerge/>
            <w:tcBorders>
              <w:top w:val="single" w:sz="4" w:space="0" w:color="C0C0C0"/>
              <w:left w:val="nil"/>
              <w:bottom w:val="nil"/>
              <w:right w:val="nil"/>
              <w:tl2br w:val="nil"/>
              <w:tr2bl w:val="nil"/>
            </w:tcBorders>
            <w:textDirection w:val="lrTb"/>
            <w:vAlign w:val="top"/>
          </w:tcPr>
          <w:p w:rsidR="00C52DD5" w:rsidRPr="006076F5" w:rsidP="00C52DD5">
            <w:pPr>
              <w:spacing w:before="40" w:after="40"/>
              <w:jc w:val="right"/>
              <w:rPr>
                <w:rFonts w:ascii="Garamond" w:hAnsi="Garamond" w:cs="Times New Roman"/>
                <w:i/>
                <w:sz w:val="16"/>
                <w:szCs w:val="16"/>
              </w:rPr>
            </w:pPr>
          </w:p>
        </w:tc>
        <w:tc>
          <w:tcPr>
            <w:tcW w:w="284" w:type="dxa"/>
            <w:vMerge/>
            <w:tcBorders>
              <w:top w:val="single" w:sz="4" w:space="0" w:color="C0C0C0"/>
              <w:left w:val="nil"/>
              <w:bottom w:val="nil"/>
              <w:right w:val="nil"/>
              <w:tl2br w:val="nil"/>
              <w:tr2bl w:val="nil"/>
            </w:tcBorders>
            <w:textDirection w:val="lrTb"/>
            <w:vAlign w:val="top"/>
          </w:tcPr>
          <w:p w:rsidR="00C52DD5" w:rsidRPr="006076F5" w:rsidP="00C52DD5">
            <w:pPr>
              <w:spacing w:before="40" w:after="40"/>
              <w:jc w:val="right"/>
              <w:rPr>
                <w:rFonts w:ascii="Garamond" w:hAnsi="Garamond" w:cs="Times New Roman"/>
                <w:i/>
                <w:sz w:val="16"/>
                <w:szCs w:val="16"/>
              </w:rPr>
            </w:pPr>
          </w:p>
        </w:tc>
        <w:tc>
          <w:tcPr>
            <w:tcW w:w="4253" w:type="dxa"/>
            <w:tcBorders>
              <w:top w:val="single" w:sz="4" w:space="0" w:color="auto"/>
              <w:left w:val="nil"/>
              <w:bottom w:val="nil"/>
              <w:right w:val="nil"/>
              <w:tl2br w:val="nil"/>
              <w:tr2bl w:val="nil"/>
            </w:tcBorders>
            <w:textDirection w:val="lrTb"/>
            <w:vAlign w:val="top"/>
          </w:tcPr>
          <w:p w:rsidR="00C52DD5" w:rsidRPr="006076F5" w:rsidP="00C52DD5">
            <w:pPr>
              <w:spacing w:before="40" w:after="40"/>
              <w:rPr>
                <w:rFonts w:ascii="Garamond" w:hAnsi="Garamond" w:cs="Times New Roman"/>
                <w:i/>
                <w:sz w:val="16"/>
                <w:szCs w:val="16"/>
              </w:rPr>
            </w:pPr>
            <w:r w:rsidRPr="006076F5">
              <w:rPr>
                <w:rFonts w:ascii="Garamond" w:hAnsi="Garamond" w:cs="Times New Roman"/>
                <w:i/>
                <w:sz w:val="16"/>
                <w:szCs w:val="16"/>
              </w:rPr>
              <w:t>Pozn. kladné hodnoty znamenajú vyššiu výnosnosť dlhopisov SR</w:t>
            </w:r>
          </w:p>
        </w:tc>
      </w:tr>
    </w:tbl>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Nárast nedôvery investorov sa prejavil aj na primárnom trhu. Krajiny SVE zrušili alebo odložili emisie zahraničných dlhopisov. Emitované boli len dlhopisy krajín, ktoré súrne potrebovali finančné zdroje na pokrytie svojich aktuálnych potrieb (splatné záväzky). Taktiež proces prípravy a realizácie emisie bol v porovnaní s minulosťou prispôsobený zmeneným podmienkam. Nálada investorov sa v súčasnosti mení pomerne rýchlo (v</w:t>
      </w:r>
      <w:r>
        <w:rPr>
          <w:rFonts w:ascii="Arial Narrow" w:hAnsi="Arial Narrow" w:cs="Times New Roman"/>
          <w:sz w:val="22"/>
          <w:szCs w:val="22"/>
        </w:rPr>
        <w:t> </w:t>
      </w:r>
      <w:r w:rsidRPr="006076F5">
        <w:rPr>
          <w:rFonts w:ascii="Arial Narrow" w:hAnsi="Arial Narrow" w:cs="Times New Roman"/>
          <w:sz w:val="22"/>
          <w:szCs w:val="22"/>
        </w:rPr>
        <w:t>závislosti od aktuálnych informácií), a preto je nevyhnutné pri realizácií emisie eurobondov veľmi pružne reagovať.</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 xml:space="preserve">Podmienkam na peňažnom a kapitálovom trhu zmeneným v dôsledku krízy bola prispôsobená aj emisná politika. Priaznivé podmienky na vydávanie domácich štátnych dlhopisov ARDAL využila najmä v prvom polroku 2007. Naopak, v druhom polroku 2007 z dôvodu nepriaznivých úrokových sadzieb, požadovaných prirážok voči sekundárnemu trhu a v neposlednom rade aj nedostatočnému dopytu boli akceptované len minimálne množstvá v jednotlivých aukciách. Z týchto dôvodov neboli v roku 2007 emitované dlhopisy v množstve predpokladanom pri zostavovaní rozpočtu. V roku 2007 bolo plánované vydanie dlhopisov v účtovnej hodnote </w:t>
      </w:r>
      <w:r>
        <w:rPr>
          <w:rFonts w:ascii="Arial Narrow" w:hAnsi="Arial Narrow" w:cs="Times New Roman"/>
          <w:sz w:val="22"/>
          <w:szCs w:val="22"/>
        </w:rPr>
        <w:t>3,59 mld. eur</w:t>
      </w:r>
      <w:r w:rsidRPr="006076F5">
        <w:rPr>
          <w:rFonts w:ascii="Arial Narrow" w:hAnsi="Arial Narrow" w:cs="Times New Roman"/>
          <w:sz w:val="22"/>
          <w:szCs w:val="22"/>
        </w:rPr>
        <w:t xml:space="preserve"> a skutočne vydaných bolo </w:t>
      </w:r>
      <w:r>
        <w:rPr>
          <w:rFonts w:ascii="Arial Narrow" w:hAnsi="Arial Narrow" w:cs="Times New Roman"/>
          <w:sz w:val="22"/>
          <w:szCs w:val="22"/>
        </w:rPr>
        <w:t>3,28</w:t>
      </w:r>
      <w:r w:rsidRPr="006076F5">
        <w:rPr>
          <w:rFonts w:ascii="Arial Narrow" w:hAnsi="Arial Narrow" w:cs="Times New Roman"/>
          <w:sz w:val="22"/>
          <w:szCs w:val="22"/>
        </w:rPr>
        <w:t xml:space="preserve"> mld. </w:t>
      </w:r>
      <w:r>
        <w:rPr>
          <w:rFonts w:ascii="Arial Narrow" w:hAnsi="Arial Narrow" w:cs="Times New Roman"/>
          <w:sz w:val="22"/>
          <w:szCs w:val="22"/>
        </w:rPr>
        <w:t>eur (</w:t>
      </w:r>
      <w:r w:rsidRPr="006076F5">
        <w:rPr>
          <w:rFonts w:ascii="Arial Narrow" w:hAnsi="Arial Narrow" w:cs="Times New Roman"/>
          <w:sz w:val="22"/>
          <w:szCs w:val="22"/>
        </w:rPr>
        <w:t>obidva údaje vrátane emisie eurobondu).</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 xml:space="preserve">Z dôvodu krízy pretrvávajúcej na finančných trhoch aj v prvom kvartáli roku 2008, nebol emitovaný slovenský Eurobond ako bolo pôvodne plánované. Taktiež, podobne ako v druhom polroku 2007, v dôsledku nízkeho záujmu investorov na domácom kapitálovom trhu domáce dlhopisy nie sú predávané v plánovanom množstve. Do polovice mája roku 2008 bolo plánované vydanie dlhopisov v účtovnej hodnote </w:t>
      </w:r>
      <w:r>
        <w:rPr>
          <w:rFonts w:ascii="Arial Narrow" w:hAnsi="Arial Narrow" w:cs="Times New Roman"/>
          <w:sz w:val="22"/>
          <w:szCs w:val="22"/>
        </w:rPr>
        <w:t>2,25</w:t>
      </w:r>
      <w:r w:rsidRPr="006076F5">
        <w:rPr>
          <w:rFonts w:ascii="Arial Narrow" w:hAnsi="Arial Narrow" w:cs="Times New Roman"/>
          <w:sz w:val="22"/>
          <w:szCs w:val="22"/>
        </w:rPr>
        <w:t xml:space="preserve"> mld. </w:t>
      </w:r>
      <w:r>
        <w:rPr>
          <w:rFonts w:ascii="Arial Narrow" w:hAnsi="Arial Narrow" w:cs="Times New Roman"/>
          <w:sz w:val="22"/>
          <w:szCs w:val="22"/>
        </w:rPr>
        <w:t>eur</w:t>
      </w:r>
      <w:r w:rsidRPr="006076F5">
        <w:rPr>
          <w:rFonts w:ascii="Arial Narrow" w:hAnsi="Arial Narrow" w:cs="Times New Roman"/>
          <w:sz w:val="22"/>
          <w:szCs w:val="22"/>
        </w:rPr>
        <w:t xml:space="preserve"> a skutočne vydaných bolo </w:t>
      </w:r>
      <w:r>
        <w:rPr>
          <w:rFonts w:ascii="Arial Narrow" w:hAnsi="Arial Narrow" w:cs="Times New Roman"/>
          <w:sz w:val="22"/>
          <w:szCs w:val="22"/>
        </w:rPr>
        <w:t>0,65</w:t>
      </w:r>
      <w:r w:rsidRPr="006076F5">
        <w:rPr>
          <w:rFonts w:ascii="Arial Narrow" w:hAnsi="Arial Narrow" w:cs="Times New Roman"/>
          <w:sz w:val="22"/>
          <w:szCs w:val="22"/>
        </w:rPr>
        <w:t xml:space="preserve"> mld. </w:t>
      </w:r>
      <w:r>
        <w:rPr>
          <w:rFonts w:ascii="Arial Narrow" w:hAnsi="Arial Narrow" w:cs="Times New Roman"/>
          <w:sz w:val="22"/>
          <w:szCs w:val="22"/>
        </w:rPr>
        <w:t>eur</w:t>
      </w:r>
      <w:r w:rsidRPr="006076F5">
        <w:rPr>
          <w:rFonts w:ascii="Arial Narrow" w:hAnsi="Arial Narrow" w:cs="Times New Roman"/>
          <w:sz w:val="22"/>
          <w:szCs w:val="22"/>
        </w:rPr>
        <w:t xml:space="preserve"> (údaje vrátane plánovanej emisie eurobondu).</w:t>
      </w:r>
    </w:p>
    <w:p w:rsidR="00C52DD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 xml:space="preserve">Slovensko v roku 2009 prijme euro za domácu menu, a preto v rámci konvergencie úrokové sadzby na Slovensku takmer kopírujú úrokové sadzby eurozóny. </w:t>
      </w:r>
    </w:p>
    <w:p w:rsidR="00C52DD5" w:rsidRPr="006076F5" w:rsidP="00C52DD5">
      <w:pPr>
        <w:spacing w:before="120"/>
        <w:ind w:firstLine="709"/>
        <w:jc w:val="both"/>
        <w:rPr>
          <w:rFonts w:ascii="Arial Narrow" w:hAnsi="Arial Narrow" w:cs="Times New Roman"/>
          <w:sz w:val="22"/>
          <w:szCs w:val="22"/>
        </w:rPr>
      </w:pPr>
    </w:p>
    <w:tbl>
      <w:tblPr>
        <w:tblW w:w="7046" w:type="dxa"/>
        <w:jc w:val="center"/>
        <w:tblInd w:w="261" w:type="dxa"/>
        <w:tblCellMar>
          <w:left w:w="70" w:type="dxa"/>
          <w:right w:w="70" w:type="dxa"/>
        </w:tblCellMar>
      </w:tblPr>
      <w:tblGrid>
        <w:gridCol w:w="7046"/>
      </w:tblGrid>
      <w:tr>
        <w:tblPrEx>
          <w:tblW w:w="7046" w:type="dxa"/>
          <w:jc w:val="center"/>
          <w:tblInd w:w="261" w:type="dxa"/>
          <w:tblCellMar>
            <w:left w:w="70" w:type="dxa"/>
            <w:right w:w="70" w:type="dxa"/>
          </w:tblCellMar>
        </w:tblPrEx>
        <w:trPr>
          <w:trHeight w:val="255"/>
          <w:jc w:val="center"/>
        </w:trPr>
        <w:tc>
          <w:tcPr>
            <w:tcW w:w="7046" w:type="dxa"/>
            <w:tcBorders>
              <w:top w:val="nil"/>
              <w:left w:val="nil"/>
              <w:bottom w:val="nil"/>
              <w:right w:val="nil"/>
              <w:tl2br w:val="nil"/>
              <w:tr2bl w:val="nil"/>
            </w:tcBorders>
            <w:shd w:val="solid" w:color="auto" w:fill="auto"/>
            <w:noWrap/>
            <w:textDirection w:val="lrTb"/>
            <w:vAlign w:val="bottom"/>
          </w:tcPr>
          <w:p w:rsidR="00C52DD5" w:rsidRPr="006076F5" w:rsidP="00C52DD5">
            <w:pPr>
              <w:rPr>
                <w:rFonts w:ascii="Arial" w:hAnsi="Arial" w:cs="Arial"/>
                <w:b/>
                <w:bCs/>
                <w:color w:val="FFFFFF"/>
                <w:sz w:val="20"/>
              </w:rPr>
            </w:pPr>
            <w:r>
              <w:rPr>
                <w:rFonts w:ascii="Arial Narrow" w:hAnsi="Arial Narrow" w:cs="Arial"/>
                <w:b/>
                <w:bCs/>
                <w:noProof/>
                <w:sz w:val="20"/>
              </w:rPr>
              <w:pict>
                <v:shape id="_x0000_s1031" type="#_x0000_t75" style="width:351pt;height:153pt;margin-top:11.05pt;margin-left:-4.05pt;position:absolute;z-index:251664384">
                  <v:imagedata r:id="rId11" o:title=""/>
                </v:shape>
              </w:pict>
            </w:r>
            <w:r w:rsidRPr="006076F5">
              <w:rPr>
                <w:rFonts w:ascii="Arial" w:hAnsi="Arial" w:cs="Arial"/>
                <w:b/>
                <w:bCs/>
                <w:color w:val="FFFFFF"/>
                <w:sz w:val="20"/>
              </w:rPr>
              <w:t xml:space="preserve">Zdroje z vydaných dlhopisov v roku 2007 podľa mesiacov (mld. </w:t>
            </w:r>
            <w:r>
              <w:rPr>
                <w:rFonts w:ascii="Arial" w:hAnsi="Arial" w:cs="Arial"/>
                <w:b/>
                <w:bCs/>
                <w:color w:val="FFFFFF"/>
                <w:sz w:val="20"/>
              </w:rPr>
              <w:t>eur</w:t>
            </w:r>
            <w:r w:rsidRPr="006076F5">
              <w:rPr>
                <w:rFonts w:ascii="Arial" w:hAnsi="Arial" w:cs="Arial"/>
                <w:b/>
                <w:bCs/>
                <w:color w:val="FFFFFF"/>
                <w:sz w:val="20"/>
              </w:rPr>
              <w:t>)</w:t>
            </w:r>
          </w:p>
        </w:tc>
      </w:tr>
      <w:tr>
        <w:tblPrEx>
          <w:tblW w:w="7046" w:type="dxa"/>
          <w:jc w:val="center"/>
          <w:tblInd w:w="261" w:type="dxa"/>
          <w:tblCellMar>
            <w:left w:w="70" w:type="dxa"/>
            <w:right w:w="70" w:type="dxa"/>
          </w:tblCellMar>
        </w:tblPrEx>
        <w:trPr>
          <w:trHeight w:val="1530"/>
          <w:jc w:val="center"/>
        </w:trPr>
        <w:tc>
          <w:tcPr>
            <w:tcW w:w="7046" w:type="dxa"/>
            <w:tcBorders>
              <w:top w:val="nil"/>
              <w:left w:val="nil"/>
              <w:bottom w:val="nil"/>
              <w:right w:val="nil"/>
              <w:tl2br w:val="nil"/>
              <w:tr2bl w:val="nil"/>
            </w:tcBorders>
            <w:noWrap/>
            <w:textDirection w:val="lrTb"/>
            <w:vAlign w:val="bottom"/>
          </w:tcPr>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jc w:val="right"/>
              <w:rPr>
                <w:rFonts w:ascii="Arial Narrow" w:hAnsi="Arial Narrow" w:cs="Arial"/>
                <w:b/>
                <w:bCs/>
                <w:sz w:val="20"/>
              </w:rPr>
            </w:pPr>
          </w:p>
          <w:p w:rsidR="00C52DD5" w:rsidRPr="006076F5" w:rsidP="00C52DD5">
            <w:pPr>
              <w:rPr>
                <w:rFonts w:ascii="Arial Narrow" w:hAnsi="Arial Narrow" w:cs="Arial"/>
                <w:b/>
                <w:bCs/>
                <w:sz w:val="20"/>
              </w:rPr>
            </w:pPr>
          </w:p>
          <w:p w:rsidR="00C52DD5" w:rsidRPr="006076F5" w:rsidP="00C52DD5">
            <w:pPr>
              <w:jc w:val="right"/>
              <w:rPr>
                <w:rFonts w:ascii="Arial Narrow" w:hAnsi="Arial Narrow" w:cs="Arial"/>
                <w:b/>
                <w:bCs/>
                <w:sz w:val="20"/>
              </w:rPr>
            </w:pPr>
          </w:p>
        </w:tc>
      </w:tr>
      <w:tr>
        <w:tblPrEx>
          <w:tblW w:w="7046" w:type="dxa"/>
          <w:jc w:val="center"/>
          <w:tblInd w:w="261" w:type="dxa"/>
          <w:tblCellMar>
            <w:left w:w="70" w:type="dxa"/>
            <w:right w:w="70" w:type="dxa"/>
          </w:tblCellMar>
        </w:tblPrEx>
        <w:trPr>
          <w:trHeight w:val="217"/>
          <w:jc w:val="center"/>
        </w:trPr>
        <w:tc>
          <w:tcPr>
            <w:tcW w:w="7046" w:type="dxa"/>
            <w:tcBorders>
              <w:top w:val="nil"/>
              <w:left w:val="nil"/>
              <w:bottom w:val="nil"/>
              <w:right w:val="nil"/>
              <w:tl2br w:val="nil"/>
              <w:tr2bl w:val="nil"/>
            </w:tcBorders>
            <w:noWrap/>
            <w:textDirection w:val="lrTb"/>
            <w:vAlign w:val="bottom"/>
          </w:tcPr>
          <w:p w:rsidR="00C52DD5" w:rsidRPr="006076F5" w:rsidP="00C52DD5">
            <w:pPr>
              <w:jc w:val="right"/>
              <w:rPr>
                <w:rFonts w:ascii="Arial Narrow" w:hAnsi="Arial Narrow" w:cs="Arial"/>
                <w:bCs/>
                <w:noProof/>
                <w:sz w:val="18"/>
                <w:szCs w:val="18"/>
              </w:rPr>
            </w:pPr>
            <w:r w:rsidRPr="006076F5">
              <w:rPr>
                <w:rFonts w:ascii="Arial Narrow" w:hAnsi="Arial Narrow" w:cs="Arial"/>
                <w:bCs/>
                <w:noProof/>
                <w:sz w:val="18"/>
                <w:szCs w:val="18"/>
              </w:rPr>
              <w:t>Zdroj: ARDAL</w:t>
            </w:r>
          </w:p>
        </w:tc>
      </w:tr>
    </w:tbl>
    <w:p w:rsidR="00C52DD5" w:rsidRPr="009D7ED1" w:rsidP="00C52DD5">
      <w:pPr>
        <w:pStyle w:val="Heading1"/>
        <w:numPr>
          <w:ilvl w:val="0"/>
          <w:numId w:val="201"/>
        </w:numPr>
        <w:tabs>
          <w:tab w:val="left" w:pos="360"/>
        </w:tabs>
        <w:jc w:val="both"/>
        <w:rPr>
          <w:rFonts w:ascii="Arial Narrow" w:hAnsi="Arial Narrow"/>
          <w:sz w:val="24"/>
          <w:szCs w:val="24"/>
        </w:rPr>
      </w:pPr>
      <w:bookmarkStart w:id="13" w:name="_Toc202955845"/>
      <w:r w:rsidRPr="009D7ED1">
        <w:rPr>
          <w:rFonts w:ascii="Arial Narrow" w:hAnsi="Arial Narrow"/>
          <w:sz w:val="24"/>
          <w:szCs w:val="24"/>
        </w:rPr>
        <w:t>Vplyv vstupu Slovenska do eurozóny  v roku 2009 na riadenie dlhu a likvidity</w:t>
      </w:r>
      <w:bookmarkEnd w:id="13"/>
    </w:p>
    <w:p w:rsidR="00C52DD5" w:rsidRPr="000F5BC4" w:rsidP="00C52DD5">
      <w:pPr>
        <w:rPr>
          <w:rFonts w:cs="Times New Roman"/>
        </w:rPr>
      </w:pP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EK vo svojej Konvergenčnej správe o SR, ktorú zverejnila 7.</w:t>
      </w:r>
      <w:r>
        <w:rPr>
          <w:rFonts w:ascii="Arial Narrow" w:hAnsi="Arial Narrow" w:cs="Times New Roman"/>
          <w:sz w:val="22"/>
          <w:szCs w:val="22"/>
        </w:rPr>
        <w:t xml:space="preserve"> </w:t>
      </w:r>
      <w:r w:rsidRPr="006076F5">
        <w:rPr>
          <w:rFonts w:ascii="Arial Narrow" w:hAnsi="Arial Narrow" w:cs="Times New Roman"/>
          <w:sz w:val="22"/>
          <w:szCs w:val="22"/>
        </w:rPr>
        <w:t>5.</w:t>
      </w:r>
      <w:r>
        <w:rPr>
          <w:rFonts w:ascii="Arial Narrow" w:hAnsi="Arial Narrow" w:cs="Times New Roman"/>
          <w:sz w:val="22"/>
          <w:szCs w:val="22"/>
        </w:rPr>
        <w:t xml:space="preserve"> </w:t>
      </w:r>
      <w:r w:rsidRPr="006076F5">
        <w:rPr>
          <w:rFonts w:ascii="Arial Narrow" w:hAnsi="Arial Narrow" w:cs="Times New Roman"/>
          <w:sz w:val="22"/>
          <w:szCs w:val="22"/>
        </w:rPr>
        <w:t xml:space="preserve">2008, konštatuje, že SR </w:t>
      </w:r>
      <w:r>
        <w:rPr>
          <w:rFonts w:ascii="Arial Narrow" w:hAnsi="Arial Narrow" w:cs="Times New Roman"/>
          <w:sz w:val="22"/>
          <w:szCs w:val="22"/>
        </w:rPr>
        <w:t>splnila</w:t>
      </w:r>
      <w:r w:rsidRPr="006076F5">
        <w:rPr>
          <w:rFonts w:ascii="Arial Narrow" w:hAnsi="Arial Narrow" w:cs="Times New Roman"/>
          <w:sz w:val="22"/>
          <w:szCs w:val="22"/>
        </w:rPr>
        <w:t xml:space="preserve"> všetky nutné podmienky pre prijatie eura na udržateľnej úrovni. </w:t>
      </w:r>
      <w:r>
        <w:rPr>
          <w:rFonts w:ascii="Arial Narrow" w:hAnsi="Arial Narrow" w:cs="Times New Roman"/>
          <w:sz w:val="22"/>
          <w:szCs w:val="22"/>
        </w:rPr>
        <w:t>P</w:t>
      </w:r>
      <w:r w:rsidRPr="006076F5">
        <w:rPr>
          <w:rFonts w:ascii="Arial Narrow" w:hAnsi="Arial Narrow" w:cs="Times New Roman"/>
          <w:sz w:val="22"/>
          <w:szCs w:val="22"/>
        </w:rPr>
        <w:t>očnúc 1.</w:t>
      </w:r>
      <w:r>
        <w:rPr>
          <w:rFonts w:ascii="Arial Narrow" w:hAnsi="Arial Narrow" w:cs="Times New Roman"/>
          <w:sz w:val="22"/>
          <w:szCs w:val="22"/>
        </w:rPr>
        <w:t xml:space="preserve"> </w:t>
      </w:r>
      <w:r w:rsidRPr="006076F5">
        <w:rPr>
          <w:rFonts w:ascii="Arial Narrow" w:hAnsi="Arial Narrow" w:cs="Times New Roman"/>
          <w:sz w:val="22"/>
          <w:szCs w:val="22"/>
        </w:rPr>
        <w:t>1.</w:t>
      </w:r>
      <w:r>
        <w:rPr>
          <w:rFonts w:ascii="Arial Narrow" w:hAnsi="Arial Narrow" w:cs="Times New Roman"/>
          <w:sz w:val="22"/>
          <w:szCs w:val="22"/>
        </w:rPr>
        <w:t xml:space="preserve"> </w:t>
      </w:r>
      <w:r w:rsidRPr="006076F5">
        <w:rPr>
          <w:rFonts w:ascii="Arial Narrow" w:hAnsi="Arial Narrow" w:cs="Times New Roman"/>
          <w:sz w:val="22"/>
          <w:szCs w:val="22"/>
        </w:rPr>
        <w:t xml:space="preserve">2009 euro vystrieda </w:t>
      </w:r>
      <w:r>
        <w:rPr>
          <w:rFonts w:ascii="Arial Narrow" w:hAnsi="Arial Narrow" w:cs="Times New Roman"/>
          <w:sz w:val="22"/>
          <w:szCs w:val="22"/>
        </w:rPr>
        <w:t>slovenskú korunu a t</w:t>
      </w:r>
      <w:r w:rsidRPr="006076F5">
        <w:rPr>
          <w:rFonts w:ascii="Arial Narrow" w:hAnsi="Arial Narrow" w:cs="Times New Roman"/>
          <w:sz w:val="22"/>
          <w:szCs w:val="22"/>
        </w:rPr>
        <w:t>ý</w:t>
      </w:r>
      <w:r>
        <w:rPr>
          <w:rFonts w:ascii="Arial Narrow" w:hAnsi="Arial Narrow" w:cs="Times New Roman"/>
          <w:sz w:val="22"/>
          <w:szCs w:val="22"/>
        </w:rPr>
        <w:t>mto sa SR stane úplným členom Hospodárskej a menovej únie</w:t>
      </w:r>
      <w:r w:rsidRPr="006076F5">
        <w:rPr>
          <w:rFonts w:ascii="Arial Narrow" w:hAnsi="Arial Narrow" w:cs="Times New Roman"/>
          <w:sz w:val="22"/>
          <w:szCs w:val="22"/>
        </w:rPr>
        <w:t>.</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 xml:space="preserve">Dopyt investorov pri aukciách slovenských štátnych dlhopisov vydávaných na domácom trhu zaznamenáva medziročne klesajúci trend. Pre porovnanie v roku 2004 dopyt dosahoval približne </w:t>
      </w:r>
      <w:r>
        <w:rPr>
          <w:rFonts w:ascii="Arial Narrow" w:hAnsi="Arial Narrow" w:cs="Times New Roman"/>
          <w:sz w:val="22"/>
          <w:szCs w:val="22"/>
        </w:rPr>
        <w:t>7,3</w:t>
      </w:r>
      <w:r w:rsidRPr="006076F5">
        <w:rPr>
          <w:rFonts w:ascii="Arial Narrow" w:hAnsi="Arial Narrow" w:cs="Times New Roman"/>
          <w:sz w:val="22"/>
          <w:szCs w:val="22"/>
        </w:rPr>
        <w:t xml:space="preserve"> mld. </w:t>
      </w:r>
      <w:r>
        <w:rPr>
          <w:rFonts w:ascii="Arial Narrow" w:hAnsi="Arial Narrow" w:cs="Times New Roman"/>
          <w:sz w:val="22"/>
          <w:szCs w:val="22"/>
        </w:rPr>
        <w:t>eur</w:t>
      </w:r>
      <w:r w:rsidRPr="006076F5">
        <w:rPr>
          <w:rFonts w:ascii="Arial Narrow" w:hAnsi="Arial Narrow" w:cs="Times New Roman"/>
          <w:sz w:val="22"/>
          <w:szCs w:val="22"/>
        </w:rPr>
        <w:t xml:space="preserve">, v roku 2006 už dopyt predstavoval hodnotu </w:t>
      </w:r>
      <w:r>
        <w:rPr>
          <w:rFonts w:ascii="Arial Narrow" w:hAnsi="Arial Narrow" w:cs="Times New Roman"/>
          <w:sz w:val="22"/>
          <w:szCs w:val="22"/>
        </w:rPr>
        <w:t>3,3</w:t>
      </w:r>
      <w:r w:rsidRPr="006076F5">
        <w:rPr>
          <w:rFonts w:ascii="Arial Narrow" w:hAnsi="Arial Narrow" w:cs="Times New Roman"/>
          <w:sz w:val="22"/>
          <w:szCs w:val="22"/>
        </w:rPr>
        <w:t xml:space="preserve"> mld. </w:t>
      </w:r>
      <w:r>
        <w:rPr>
          <w:rFonts w:ascii="Arial Narrow" w:hAnsi="Arial Narrow" w:cs="Times New Roman"/>
          <w:sz w:val="22"/>
          <w:szCs w:val="22"/>
        </w:rPr>
        <w:t>eur</w:t>
      </w:r>
      <w:r w:rsidRPr="006076F5">
        <w:rPr>
          <w:rFonts w:ascii="Arial Narrow" w:hAnsi="Arial Narrow" w:cs="Times New Roman"/>
          <w:sz w:val="22"/>
          <w:szCs w:val="22"/>
        </w:rPr>
        <w:t xml:space="preserve">. Výnimkou je rok 2007, kedy dopyt v aukciách slovenských štátnych dlhopisov bol </w:t>
      </w:r>
      <w:r>
        <w:rPr>
          <w:rFonts w:ascii="Arial Narrow" w:hAnsi="Arial Narrow" w:cs="Times New Roman"/>
          <w:sz w:val="22"/>
          <w:szCs w:val="22"/>
        </w:rPr>
        <w:t>5,3</w:t>
      </w:r>
      <w:r w:rsidRPr="006076F5">
        <w:rPr>
          <w:rFonts w:ascii="Arial Narrow" w:hAnsi="Arial Narrow" w:cs="Times New Roman"/>
          <w:sz w:val="22"/>
          <w:szCs w:val="22"/>
        </w:rPr>
        <w:t xml:space="preserve"> mld.</w:t>
      </w:r>
      <w:r>
        <w:rPr>
          <w:rFonts w:ascii="Arial Narrow" w:hAnsi="Arial Narrow" w:cs="Times New Roman"/>
          <w:sz w:val="22"/>
          <w:szCs w:val="22"/>
        </w:rPr>
        <w:t xml:space="preserve"> eur</w:t>
      </w:r>
      <w:r w:rsidRPr="006076F5">
        <w:rPr>
          <w:rFonts w:ascii="Arial Narrow" w:hAnsi="Arial Narrow" w:cs="Times New Roman"/>
          <w:sz w:val="22"/>
          <w:szCs w:val="22"/>
        </w:rPr>
        <w:t xml:space="preserve">; bol však zaznamenaný v dôsledku účasti zahraničnej investičnej banky na aukciách. Na základe uvedeného vývoja sa ani v roku 2008 nepredpokladá väčší dopyt (do </w:t>
      </w:r>
      <w:r>
        <w:rPr>
          <w:rFonts w:ascii="Arial Narrow" w:hAnsi="Arial Narrow" w:cs="Times New Roman"/>
          <w:sz w:val="22"/>
          <w:szCs w:val="22"/>
        </w:rPr>
        <w:t>2,7 mld. eur</w:t>
      </w:r>
      <w:r w:rsidRPr="006076F5">
        <w:rPr>
          <w:rFonts w:ascii="Arial Narrow" w:hAnsi="Arial Narrow" w:cs="Times New Roman"/>
          <w:sz w:val="22"/>
          <w:szCs w:val="22"/>
        </w:rPr>
        <w:t xml:space="preserve">). </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 xml:space="preserve">Pri čoraz menšom záujme domácich investorov je potrebné prilákať investorov z celej Európy. To je možné po prijatí eura za domácu menu cez niekoľko aktívnych zahraničných bankových inštitúcií, ktoré budú primárnymi dealermi Slovenska, tak ako je to takmer vo všetkých krajinách EMU. </w:t>
      </w:r>
    </w:p>
    <w:p w:rsidR="00C52DD5" w:rsidRPr="006076F5" w:rsidP="00C52DD5">
      <w:pPr>
        <w:spacing w:before="120"/>
        <w:ind w:firstLine="709"/>
        <w:jc w:val="both"/>
        <w:rPr>
          <w:rFonts w:ascii="Arial Narrow" w:hAnsi="Arial Narrow" w:cs="Times New Roman"/>
          <w:sz w:val="22"/>
          <w:szCs w:val="22"/>
        </w:rPr>
      </w:pPr>
      <w:r>
        <w:rPr>
          <w:rFonts w:ascii="Arial Narrow" w:hAnsi="Arial Narrow" w:cs="Times New Roman"/>
          <w:sz w:val="22"/>
          <w:szCs w:val="22"/>
        </w:rPr>
        <w:t>V</w:t>
      </w:r>
      <w:r w:rsidRPr="006076F5">
        <w:rPr>
          <w:rFonts w:ascii="Arial Narrow" w:hAnsi="Arial Narrow" w:cs="Times New Roman"/>
          <w:sz w:val="22"/>
          <w:szCs w:val="22"/>
        </w:rPr>
        <w:t>stup Slovenska do eurozóny prináša so sebou nielen potrebu redenominácie štátneho dlhu, ale aj prípravy na odlišné podmienky na kapitálovom trhu EMU oproti podmienkam na kapitálovom trhu Slovenska. Na splnenie nových úloh bude potrebné, aby sa ARDAL ako obchodník s cennými papiermi stal aktívnym na sekundárnom kapitálovom trhu v oblasti „last resort lending“ podobne ako to vykonávajú Agentúry pre riadenie dlhu krajín EMU. Rozšírenie aktivít bude potrebné aj na primárnom kapitálovom trhu, najmä v organizovaní spätného nákupu a výmeny dlhopisov. Uvedené činnosti môže ARDAL zabezpečiť len ako aktívny člen Centrálneho depozitára</w:t>
      </w:r>
      <w:r>
        <w:rPr>
          <w:rFonts w:ascii="Arial Narrow" w:hAnsi="Arial Narrow" w:cs="Times New Roman"/>
          <w:sz w:val="22"/>
          <w:szCs w:val="22"/>
        </w:rPr>
        <w:t xml:space="preserve"> cenných papierov (ďalej CDCP)</w:t>
      </w:r>
      <w:r w:rsidRPr="006076F5">
        <w:rPr>
          <w:rFonts w:ascii="Arial Narrow" w:hAnsi="Arial Narrow" w:cs="Times New Roman"/>
          <w:sz w:val="22"/>
          <w:szCs w:val="22"/>
        </w:rPr>
        <w:t xml:space="preserve">, Burzy cenných papierov </w:t>
      </w:r>
      <w:r>
        <w:rPr>
          <w:rFonts w:ascii="Arial Narrow" w:hAnsi="Arial Narrow" w:cs="Times New Roman"/>
          <w:sz w:val="22"/>
          <w:szCs w:val="22"/>
        </w:rPr>
        <w:t xml:space="preserve">v Bratislave (ďalej BCPB) </w:t>
      </w:r>
      <w:r w:rsidRPr="006076F5">
        <w:rPr>
          <w:rFonts w:ascii="Arial Narrow" w:hAnsi="Arial Narrow" w:cs="Times New Roman"/>
          <w:sz w:val="22"/>
          <w:szCs w:val="22"/>
        </w:rPr>
        <w:t>a ďalších podobných inštitúcií prítomných na slovenskom kapitálovom trhu (Euroclear, MTS ...)</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Vstup Slovenskej republiky do eurozóny prinesie významné zmeny vo fungovaní domáceho bankového sektora, ktoré ovplyvnia riadenie likvidity. Je pravdepodobné, že kompetencie v súvislosti s operáciami na finančných trhoch budú domáce banky postupne presúvať do materských bánk, čiže mimo územia Slovenska.</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 xml:space="preserve">Domáce banky tak prestanú byť kľúčovým partnerom štátu pre operácie na peňažnom trhu a ťažisko sa presunie na zahraničné finančné inštitúcie. Rovnaká situácia nastane aj pri umiestňovaní štátnych cenných papierov. Štát bude musieť týmto zmeneným podmienkam prispôsobiť svoju emisnú a obchodnú politiku. </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Vstupom Slovenskej republiky do eurozóny sa budú štandardizovať podmienky pre riadenie dlhu a likvidity. Veľkosť trhu EMU bude eliminovať deformácie trhových podmienok, ktoré prevládali na slovenskom finančnom trhu. Vzhľadom k relatívne malému štátnemu dlhu, ktorý bude potrebné</w:t>
      </w:r>
      <w:r>
        <w:rPr>
          <w:rFonts w:ascii="Arial Narrow" w:hAnsi="Arial Narrow" w:cs="Times New Roman"/>
          <w:sz w:val="22"/>
          <w:szCs w:val="22"/>
        </w:rPr>
        <w:t xml:space="preserve"> refinancovať na veľkom trhu E</w:t>
      </w:r>
      <w:r w:rsidRPr="006076F5">
        <w:rPr>
          <w:rFonts w:ascii="Arial Narrow" w:hAnsi="Arial Narrow" w:cs="Times New Roman"/>
          <w:sz w:val="22"/>
          <w:szCs w:val="22"/>
        </w:rPr>
        <w:t xml:space="preserve">MÚ, bude mimoriadne dôležitá kvalitná komunikačná stratégia a prezentácia Slovenska zahraničným investorom. </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 xml:space="preserve">Na druhej strane vstup do eurozóny otvorí možnosti obchodovať aj s dlhovými agentúrami v ostatných krajinách eurozóny, čím sa v značnej miere bude eliminovať kreditné riziko. Ďalšou závažnou zmenou bude potreba využívania hlavne úrokových derivátov na dolaďovanie parametrov dlhu. Rovnako sa otvorí možnosť využívať typy derivátov, ktoré vzhľadom k podmienkam na slovenskom trhu doteraz štát nemohol využívať. </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Zavedenie eura v Slovenskej republike prinesie ďalšiu zmenu týkajúcu sa vydávania štátnych pokladničných poukážok (</w:t>
      </w:r>
      <w:r>
        <w:rPr>
          <w:rFonts w:ascii="Arial Narrow" w:hAnsi="Arial Narrow" w:cs="Times New Roman"/>
          <w:sz w:val="22"/>
          <w:szCs w:val="22"/>
        </w:rPr>
        <w:t>ďalej Š</w:t>
      </w:r>
      <w:r w:rsidRPr="006076F5">
        <w:rPr>
          <w:rFonts w:ascii="Arial Narrow" w:hAnsi="Arial Narrow" w:cs="Times New Roman"/>
          <w:sz w:val="22"/>
          <w:szCs w:val="22"/>
        </w:rPr>
        <w:t xml:space="preserve">PP). V súčasnosti štát emituje ŠPP do vlastného portfólia a využíva ich iba na krátkodobé obchody typu predaj a spätný nákup, ktoré slúžia na krátkodobé preklenutie nedostatku likvidity. Takto emitované ŠPP by však po 1. januári 2009 nespĺňali kritériá akceptovateľných aktív v operáciách menovej politiky ECB. </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Otázka akceptovateľnosti ŠPP pre ECB je dôležitá vzhľadom k tomu, že na rozdiel od dnešnej situácie, keď NBS sterilizuje slovenský bankový sektor, bankový sektor HMÚ je v opačnej pozícii a ECB refinancuje komerčné banky. Ako kolaterál (zábezpeka) sa využívajú aj obchodovateľné aktíva, medzi nimi aj štátne cenné papiere, ktoré spĺňajú kritériá ECB.</w:t>
      </w:r>
    </w:p>
    <w:p w:rsidR="00C52DD5" w:rsidRPr="006076F5" w:rsidP="00C52DD5">
      <w:pPr>
        <w:spacing w:before="120"/>
        <w:ind w:firstLine="709"/>
        <w:jc w:val="both"/>
        <w:rPr>
          <w:rFonts w:ascii="Arial Narrow" w:hAnsi="Arial Narrow" w:cs="Arial"/>
          <w:sz w:val="22"/>
          <w:szCs w:val="22"/>
        </w:rPr>
      </w:pPr>
      <w:r w:rsidRPr="006076F5">
        <w:rPr>
          <w:rFonts w:ascii="Arial Narrow" w:hAnsi="Arial Narrow" w:cs="Times New Roman"/>
          <w:sz w:val="22"/>
          <w:szCs w:val="22"/>
        </w:rPr>
        <w:t xml:space="preserve">Preto je potrebné zmeniť emisnú politiku pri ŠPP tak, aby spĺňali kritériá akceptovateľnosti pre ECB. V opačnom prípade bude </w:t>
      </w:r>
      <w:r>
        <w:rPr>
          <w:rFonts w:ascii="Arial Narrow" w:hAnsi="Arial Narrow" w:cs="Times New Roman"/>
          <w:sz w:val="22"/>
          <w:szCs w:val="22"/>
        </w:rPr>
        <w:t>štát zbavený možnosti používať Š</w:t>
      </w:r>
      <w:r w:rsidRPr="006076F5">
        <w:rPr>
          <w:rFonts w:ascii="Arial Narrow" w:hAnsi="Arial Narrow" w:cs="Times New Roman"/>
          <w:sz w:val="22"/>
          <w:szCs w:val="22"/>
        </w:rPr>
        <w:t>PP ako jeden zo štandardných dlhových nástrojov. ŠPP nebudú vydávané do vlastného portfólia, ale štandardne predávané aukčným spôsobom bankám. ŠPP budú registrované v C</w:t>
      </w:r>
      <w:r>
        <w:rPr>
          <w:rFonts w:ascii="Arial Narrow" w:hAnsi="Arial Narrow" w:cs="Times New Roman"/>
          <w:sz w:val="22"/>
          <w:szCs w:val="22"/>
        </w:rPr>
        <w:t>DCP</w:t>
      </w:r>
      <w:r w:rsidRPr="006076F5">
        <w:rPr>
          <w:rFonts w:ascii="Arial Narrow" w:hAnsi="Arial Narrow" w:cs="Times New Roman"/>
          <w:sz w:val="22"/>
          <w:szCs w:val="22"/>
        </w:rPr>
        <w:t xml:space="preserve"> a budú obchodované na regulovanom trhu schválenom ECB, t.j. na B</w:t>
      </w:r>
      <w:r>
        <w:rPr>
          <w:rFonts w:ascii="Arial Narrow" w:hAnsi="Arial Narrow" w:cs="Times New Roman"/>
          <w:sz w:val="22"/>
          <w:szCs w:val="22"/>
        </w:rPr>
        <w:t>ČPB</w:t>
      </w:r>
      <w:r w:rsidRPr="006076F5">
        <w:rPr>
          <w:rFonts w:ascii="Arial Narrow" w:hAnsi="Arial Narrow" w:cs="Times New Roman"/>
          <w:sz w:val="22"/>
          <w:szCs w:val="22"/>
        </w:rPr>
        <w:t>.</w:t>
      </w:r>
    </w:p>
    <w:p w:rsidR="00C52DD5" w:rsidRPr="009D7ED1" w:rsidP="00C52DD5">
      <w:pPr>
        <w:pStyle w:val="Heading1"/>
        <w:numPr>
          <w:ilvl w:val="0"/>
          <w:numId w:val="201"/>
        </w:numPr>
        <w:tabs>
          <w:tab w:val="left" w:pos="360"/>
        </w:tabs>
        <w:jc w:val="both"/>
        <w:rPr>
          <w:rFonts w:ascii="Arial Narrow" w:hAnsi="Arial Narrow"/>
          <w:sz w:val="24"/>
          <w:szCs w:val="24"/>
        </w:rPr>
      </w:pPr>
      <w:bookmarkStart w:id="14" w:name="_Toc202955846"/>
      <w:r w:rsidRPr="009D7ED1">
        <w:rPr>
          <w:rFonts w:ascii="Arial Narrow" w:hAnsi="Arial Narrow"/>
          <w:sz w:val="24"/>
          <w:szCs w:val="24"/>
        </w:rPr>
        <w:t>Odporúčania pre stratégiu riadenia štátneho dlhu v rokoch 2008 až 2010</w:t>
      </w:r>
      <w:bookmarkEnd w:id="14"/>
    </w:p>
    <w:p w:rsidR="009D7ED1" w:rsidP="00C52DD5">
      <w:pPr>
        <w:spacing w:before="120"/>
        <w:ind w:firstLine="709"/>
        <w:jc w:val="both"/>
        <w:rPr>
          <w:rFonts w:ascii="Arial Narrow" w:hAnsi="Arial Narrow" w:cs="Times New Roman"/>
          <w:sz w:val="22"/>
          <w:szCs w:val="22"/>
        </w:rPr>
      </w:pP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 xml:space="preserve">Zo skúseností riadenia štátneho dlhu v roku 2007 vyplýva, že zámery, ciele a parametre v Stratégii riadenia štátneho dlhu 2007 až 2010 boli nastavené správne a pre obdobie rokov 2008 až 2010 nie je potrebné v spôsobe riadenia štátneho dlhu nič podstatné meniť. Prioritou nasledujúceho obdobia bude príprava a samotná realizácia konverzie štátneho dlhu do meny euro a internacionalizácia krytia štátneho dlhu SR. Trvalou prioritou však zostane bezproblémové refinancovanie štátneho dlhu a zabezpečenie primeranej likvidity štátu. Dôraz bude kladený, tak ako v predchádzajúcich rokoch, na minimalizáciu, resp. optimalizáciu výdavkov dlhovej služby štátu pri zachovaní akceptovateľnej miery rizika. </w:t>
      </w:r>
    </w:p>
    <w:p w:rsidR="00C52DD5" w:rsidRPr="006076F5" w:rsidP="00C52DD5">
      <w:pPr>
        <w:spacing w:before="120"/>
        <w:ind w:firstLine="709"/>
        <w:jc w:val="both"/>
        <w:rPr>
          <w:rFonts w:ascii="Arial Narrow" w:hAnsi="Arial Narrow" w:cs="Times New Roman"/>
          <w:sz w:val="22"/>
          <w:szCs w:val="22"/>
        </w:rPr>
      </w:pPr>
      <w:r w:rsidRPr="006076F5">
        <w:rPr>
          <w:rFonts w:ascii="Arial Narrow" w:hAnsi="Arial Narrow" w:cs="Times New Roman"/>
          <w:sz w:val="22"/>
          <w:szCs w:val="22"/>
        </w:rPr>
        <w:t>Riadenie štátneho dlhu sa v rokoch 2008 až 2010 zameria okrem hlavných priorít schválených v „Stratégii riadenia štátneho dlhu 2007 až 2010</w:t>
      </w:r>
      <w:r>
        <w:rPr>
          <w:rFonts w:ascii="Arial Narrow" w:hAnsi="Arial Narrow" w:cs="Times New Roman"/>
          <w:sz w:val="22"/>
          <w:szCs w:val="22"/>
        </w:rPr>
        <w:t>“</w:t>
      </w:r>
      <w:r w:rsidRPr="006076F5">
        <w:rPr>
          <w:rFonts w:ascii="Arial Narrow" w:hAnsi="Arial Narrow" w:cs="Times New Roman"/>
          <w:sz w:val="22"/>
          <w:szCs w:val="22"/>
        </w:rPr>
        <w:t xml:space="preserve"> na nasledujúce strategické úlohy: </w:t>
      </w:r>
    </w:p>
    <w:p w:rsidR="00C52DD5" w:rsidRPr="006076F5" w:rsidP="00C52DD5">
      <w:pPr>
        <w:spacing w:before="120"/>
        <w:ind w:left="360"/>
        <w:jc w:val="both"/>
        <w:rPr>
          <w:rFonts w:ascii="Arial Narrow" w:hAnsi="Arial Narrow" w:cs="Times New Roman"/>
          <w:sz w:val="22"/>
          <w:szCs w:val="22"/>
        </w:rPr>
      </w:pPr>
      <w:r w:rsidRPr="006076F5">
        <w:rPr>
          <w:rFonts w:ascii="Arial Narrow" w:hAnsi="Arial Narrow" w:cs="Times New Roman"/>
          <w:sz w:val="22"/>
          <w:szCs w:val="22"/>
        </w:rPr>
        <w:t xml:space="preserve">Redenomináciu štátneho dlhu Slovenska z Sk na euro a v čo najväčšej miere zabezpečenie harmonizácie procesov a inštrumentov so štandardami kapitálového trhu </w:t>
      </w:r>
      <w:r>
        <w:rPr>
          <w:rFonts w:ascii="Arial Narrow" w:hAnsi="Arial Narrow" w:cs="Times New Roman"/>
          <w:sz w:val="22"/>
          <w:szCs w:val="22"/>
        </w:rPr>
        <w:t>E</w:t>
      </w:r>
      <w:r w:rsidRPr="006076F5">
        <w:rPr>
          <w:rFonts w:ascii="Arial Narrow" w:hAnsi="Arial Narrow" w:cs="Times New Roman"/>
          <w:sz w:val="22"/>
          <w:szCs w:val="22"/>
        </w:rPr>
        <w:t>MÚ.</w:t>
      </w:r>
    </w:p>
    <w:p w:rsidR="00C52DD5" w:rsidRPr="006076F5" w:rsidP="00C52DD5">
      <w:pPr>
        <w:spacing w:before="120"/>
        <w:ind w:left="360"/>
        <w:jc w:val="both"/>
        <w:rPr>
          <w:rFonts w:ascii="Arial Narrow" w:hAnsi="Arial Narrow" w:cs="Times New Roman"/>
          <w:sz w:val="22"/>
          <w:szCs w:val="22"/>
        </w:rPr>
      </w:pPr>
      <w:r w:rsidRPr="006076F5">
        <w:rPr>
          <w:rFonts w:ascii="Arial Narrow" w:hAnsi="Arial Narrow" w:cs="Times New Roman"/>
          <w:sz w:val="22"/>
          <w:szCs w:val="22"/>
        </w:rPr>
        <w:t>Dolaďovanie parametrov štátneho dlhu prostredníctvom trhových nástrojov vrátane finančných derivátov.</w:t>
      </w:r>
    </w:p>
    <w:p w:rsidR="00C52DD5" w:rsidRPr="006076F5" w:rsidP="00C52DD5">
      <w:pPr>
        <w:spacing w:before="120"/>
        <w:ind w:left="360"/>
        <w:jc w:val="both"/>
        <w:rPr>
          <w:rFonts w:ascii="Arial Narrow" w:hAnsi="Arial Narrow" w:cs="Times New Roman"/>
          <w:sz w:val="22"/>
          <w:szCs w:val="22"/>
        </w:rPr>
      </w:pPr>
      <w:r w:rsidRPr="006076F5">
        <w:rPr>
          <w:rFonts w:ascii="Arial Narrow" w:hAnsi="Arial Narrow" w:cs="Times New Roman"/>
          <w:sz w:val="22"/>
          <w:szCs w:val="22"/>
        </w:rPr>
        <w:t>Vytvorenie systému primárnych dealerov Slovenskej republiky s povinnosťami a právami podľa štandardov krajín HMÚ.</w:t>
      </w:r>
    </w:p>
    <w:p w:rsidR="00C52DD5" w:rsidRPr="006076F5" w:rsidP="00C52DD5">
      <w:pPr>
        <w:spacing w:before="120"/>
        <w:ind w:left="360"/>
        <w:jc w:val="both"/>
        <w:rPr>
          <w:rFonts w:ascii="Arial Narrow" w:hAnsi="Arial Narrow" w:cs="Times New Roman"/>
          <w:sz w:val="22"/>
          <w:szCs w:val="22"/>
        </w:rPr>
      </w:pPr>
      <w:r w:rsidRPr="006076F5">
        <w:rPr>
          <w:rFonts w:ascii="Arial Narrow" w:hAnsi="Arial Narrow" w:cs="Times New Roman"/>
          <w:sz w:val="22"/>
          <w:szCs w:val="22"/>
        </w:rPr>
        <w:t>V maximálne možnej miere efektívne využívanie finančných zdrojov verejného sektora sústredených v Štátnej pokladnici na dočasné krytie finančných potrieb štátu.</w:t>
      </w:r>
    </w:p>
    <w:p w:rsidR="00C52DD5" w:rsidRPr="006076F5" w:rsidP="00C52DD5">
      <w:pPr>
        <w:spacing w:before="120"/>
        <w:ind w:left="360"/>
        <w:jc w:val="both"/>
        <w:rPr>
          <w:rFonts w:ascii="Arial Narrow" w:hAnsi="Arial Narrow" w:cs="Times New Roman"/>
          <w:sz w:val="22"/>
          <w:szCs w:val="22"/>
        </w:rPr>
      </w:pPr>
      <w:r w:rsidRPr="006076F5">
        <w:rPr>
          <w:rFonts w:ascii="Arial Narrow" w:hAnsi="Arial Narrow" w:cs="Times New Roman"/>
          <w:sz w:val="22"/>
          <w:szCs w:val="22"/>
        </w:rPr>
        <w:t xml:space="preserve">Vydávanie najmenej jednej benchmarkovej zahraničnej emisie so splatnosťou minimálne 5 rokov s celkovou nominálnou hodnotou najmenej 1 mld. </w:t>
      </w:r>
      <w:r>
        <w:rPr>
          <w:rFonts w:ascii="Arial Narrow" w:hAnsi="Arial Narrow" w:cs="Times New Roman"/>
          <w:sz w:val="22"/>
          <w:szCs w:val="22"/>
        </w:rPr>
        <w:t>eur</w:t>
      </w:r>
      <w:r w:rsidRPr="006076F5">
        <w:rPr>
          <w:rFonts w:ascii="Arial Narrow" w:hAnsi="Arial Narrow" w:cs="Times New Roman"/>
          <w:sz w:val="22"/>
          <w:szCs w:val="22"/>
        </w:rPr>
        <w:t>.</w:t>
      </w:r>
    </w:p>
    <w:p w:rsidR="00C52DD5" w:rsidRPr="006076F5" w:rsidP="00C52DD5">
      <w:pPr>
        <w:spacing w:before="120"/>
        <w:ind w:left="360"/>
        <w:jc w:val="both"/>
        <w:rPr>
          <w:rFonts w:ascii="Arial Narrow" w:hAnsi="Arial Narrow" w:cs="Times New Roman"/>
          <w:sz w:val="22"/>
          <w:szCs w:val="22"/>
        </w:rPr>
      </w:pPr>
      <w:r w:rsidRPr="006076F5">
        <w:rPr>
          <w:rFonts w:ascii="Arial Narrow" w:hAnsi="Arial Narrow" w:cs="Times New Roman"/>
          <w:sz w:val="22"/>
          <w:szCs w:val="22"/>
        </w:rPr>
        <w:t>Vybudovanie systému na predaj štátnych dlhopisov pre obyvateľstvo na primárnom trhu; uskutočnenie v prípade vhodných trhových podmienok najmenej jednej emisie dlhopisov pre obyvateľstvo.</w:t>
      </w:r>
    </w:p>
    <w:p w:rsidR="00C52DD5" w:rsidRPr="006076F5" w:rsidP="00C52DD5">
      <w:pPr>
        <w:spacing w:before="120"/>
        <w:ind w:left="360"/>
        <w:jc w:val="both"/>
        <w:rPr>
          <w:rFonts w:ascii="Arial Narrow" w:hAnsi="Arial Narrow" w:cs="Times New Roman"/>
          <w:sz w:val="22"/>
          <w:szCs w:val="22"/>
        </w:rPr>
      </w:pPr>
      <w:r w:rsidRPr="006076F5">
        <w:rPr>
          <w:rFonts w:ascii="Arial Narrow" w:hAnsi="Arial Narrow" w:cs="Times New Roman"/>
          <w:sz w:val="22"/>
          <w:szCs w:val="22"/>
        </w:rPr>
        <w:t>Analyzovanie možností alternatívneho financovania štátneho dlhu mimo eurozóny a v prípade vhodnosti podmienok vydanie zahraničnej emisie mimo eurozóny.</w:t>
      </w:r>
    </w:p>
    <w:p w:rsidR="00C52DD5" w:rsidP="00C52DD5">
      <w:pPr>
        <w:jc w:val="both"/>
        <w:rPr>
          <w:rFonts w:ascii="Arial Narrow" w:hAnsi="Arial Narrow" w:cs="Arial"/>
          <w:sz w:val="22"/>
          <w:szCs w:val="22"/>
        </w:rPr>
      </w:pPr>
    </w:p>
    <w:p w:rsidR="00C52DD5" w:rsidRPr="006076F5" w:rsidP="00C52DD5">
      <w:pPr>
        <w:ind w:firstLine="709"/>
        <w:jc w:val="both"/>
        <w:rPr>
          <w:rFonts w:ascii="Arial Narrow" w:hAnsi="Arial Narrow" w:cs="Arial"/>
          <w:sz w:val="22"/>
          <w:szCs w:val="22"/>
        </w:rPr>
      </w:pPr>
      <w:r w:rsidRPr="002D29DB">
        <w:rPr>
          <w:rFonts w:ascii="Arial Narrow" w:hAnsi="Arial Narrow" w:cs="Arial"/>
          <w:sz w:val="22"/>
          <w:szCs w:val="22"/>
        </w:rPr>
        <w:t>Napĺňanie aktualizovanej stratégie spolu s plnením ostatných strategických úloh umožní plynulý a bezproblémový prechod na spoločnú menu euro v oblasti riadenia štátneho dlhu v roku 2009 a vytvorí podmienky pre ďalšiu postupnú internacionalizáciu krytia štátneho dlhu v podmienkach HMÚ v ďalších rokoch. Splnenie ukazovateľov štátneho dlhu a dodržanie stratégie podporí potrebnú rozpočtovú stabilitu v oblasti výdavkov štátneho dlhu a v prípade výrazného rastu trhových úrokových sadzieb zabezpečí ich oneskorené a postupné premietnutie do výdavkov štátneho rozpočtu.</w:t>
      </w:r>
      <w:r>
        <w:rPr>
          <w:rFonts w:ascii="Arial Narrow" w:hAnsi="Arial Narrow" w:cs="Arial"/>
          <w:sz w:val="22"/>
          <w:szCs w:val="22"/>
        </w:rPr>
        <w:t xml:space="preserve">  </w:t>
      </w:r>
    </w:p>
    <w:p w:rsidR="00C52DD5" w:rsidRPr="00651C20" w:rsidP="00C52DD5">
      <w:pPr>
        <w:rPr>
          <w:rFonts w:cs="Times New Roman"/>
        </w:rPr>
      </w:pPr>
    </w:p>
    <w:p w:rsidR="00C52DD5">
      <w:pPr>
        <w:rPr>
          <w:rFonts w:cs="Times New Roman"/>
        </w:rPr>
      </w:pPr>
    </w:p>
    <w:sectPr>
      <w:footerReference w:type="even" r:id="rId12"/>
      <w:footerReference w:type="default" r:id="rId13"/>
      <w:pgSz w:w="11906" w:h="16838"/>
      <w:pgMar w:top="1417" w:right="1417" w:bottom="1417" w:left="1417" w:header="708" w:footer="708" w:gutter="0"/>
      <w:pgNumType w:start="1"/>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ArialNarrow">
    <w:altName w:val="Arial"/>
    <w:panose1 w:val="00000000000000000000"/>
    <w:charset w:val="00"/>
    <w:family w:val="swiss"/>
    <w:pitch w:val="default"/>
    <w:sig w:usb0="00000000" w:usb1="00000000" w:usb2="00000000" w:usb3="00000000" w:csb0="00000001" w:csb1="00000000"/>
  </w:font>
  <w:font w:name="Garamond">
    <w:panose1 w:val="02020404030301010803"/>
    <w:charset w:val="00"/>
    <w:family w:val="roman"/>
    <w:pitch w:val="variable"/>
    <w:sig w:usb0="00000000" w:usb1="00000000" w:usb2="00000000" w:usb3="00000000" w:csb0="00000001" w:csb1="00000000"/>
  </w:font>
  <w:font w:name="Verdana">
    <w:panose1 w:val="020B0604030504040204"/>
    <w:charset w:val="00"/>
    <w:family w:val="swiss"/>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Book Antiqua">
    <w:panose1 w:val="02040602050305030304"/>
    <w:charset w:val="00"/>
    <w:family w:val="roman"/>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4" w:rsidP="00C21CC2">
    <w:pPr>
      <w:pStyle w:val="Footer"/>
      <w:framePr w:vAnchor="text" w:hAnchor="margin" w:xAlign="center"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rPr>
      <w:fldChar w:fldCharType="end"/>
    </w:r>
  </w:p>
  <w:p w:rsidR="00D46864" w:rsidP="00C52DD5">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4" w:rsidRPr="004B218E" w:rsidP="00C21CC2">
    <w:pPr>
      <w:pStyle w:val="Footer"/>
      <w:framePr w:vAnchor="text" w:hAnchor="margin" w:xAlign="center" w:y="1"/>
      <w:rPr>
        <w:rStyle w:val="PageNumber"/>
        <w:rFonts w:ascii="Arial Narrow" w:hAnsi="Arial Narrow" w:cs="Times New Roman"/>
        <w:sz w:val="22"/>
        <w:szCs w:val="22"/>
      </w:rPr>
    </w:pPr>
    <w:r w:rsidRPr="004B218E">
      <w:rPr>
        <w:rStyle w:val="PageNumber"/>
        <w:rFonts w:ascii="Arial Narrow" w:hAnsi="Arial Narrow" w:cs="Times New Roman"/>
        <w:sz w:val="22"/>
        <w:szCs w:val="22"/>
      </w:rPr>
      <w:fldChar w:fldCharType="begin"/>
    </w:r>
    <w:r w:rsidRPr="004B218E">
      <w:rPr>
        <w:rStyle w:val="PageNumber"/>
        <w:rFonts w:ascii="Arial Narrow" w:hAnsi="Arial Narrow" w:cs="Times New Roman"/>
        <w:sz w:val="22"/>
        <w:szCs w:val="22"/>
      </w:rPr>
      <w:instrText xml:space="preserve">PAGE  </w:instrText>
    </w:r>
    <w:r w:rsidRPr="004B218E">
      <w:rPr>
        <w:rStyle w:val="PageNumber"/>
        <w:rFonts w:ascii="Arial Narrow" w:hAnsi="Arial Narrow" w:cs="Times New Roman"/>
        <w:sz w:val="22"/>
        <w:szCs w:val="22"/>
      </w:rPr>
      <w:fldChar w:fldCharType="separate"/>
    </w:r>
    <w:r w:rsidR="00844FE2">
      <w:rPr>
        <w:rStyle w:val="PageNumber"/>
        <w:rFonts w:ascii="Arial Narrow" w:hAnsi="Arial Narrow" w:cs="Times New Roman"/>
        <w:noProof/>
        <w:sz w:val="22"/>
        <w:szCs w:val="22"/>
      </w:rPr>
      <w:t>30</w:t>
    </w:r>
    <w:r w:rsidRPr="004B218E">
      <w:rPr>
        <w:rStyle w:val="PageNumber"/>
        <w:rFonts w:ascii="Arial Narrow" w:hAnsi="Arial Narrow" w:cs="Times New Roman"/>
        <w:sz w:val="22"/>
        <w:szCs w:val="22"/>
      </w:rPr>
      <w:fldChar w:fldCharType="end"/>
    </w:r>
  </w:p>
  <w:p w:rsidR="00D46864" w:rsidP="00C52DD5">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rsidP="00C52DD5">
      <w:pPr>
        <w:pStyle w:val="FootnoteText"/>
        <w:rPr>
          <w:rFonts w:cs="Times New Roman"/>
        </w:rPr>
      </w:pPr>
      <w:r w:rsidRPr="00C205AD" w:rsidR="00D46864">
        <w:rPr>
          <w:rStyle w:val="FootnoteReference"/>
          <w:rFonts w:ascii="Arial Narrow" w:hAnsi="Arial Narrow" w:cs="Times New Roman"/>
          <w:sz w:val="18"/>
          <w:szCs w:val="18"/>
        </w:rPr>
        <w:footnoteRef/>
      </w:r>
      <w:r w:rsidRPr="00C205AD" w:rsidR="00D46864">
        <w:rPr>
          <w:rFonts w:ascii="Arial Narrow" w:hAnsi="Arial Narrow" w:cs="Times New Roman"/>
          <w:sz w:val="18"/>
          <w:szCs w:val="18"/>
        </w:rPr>
        <w:t xml:space="preserve"> Uvedená kvantifikácia príjmu z dane z motorových vozidiel vychádza zo schváleného rozpočtu na rok 2008. Údaj o aktualizovanom odhade sa nachádza v časti 3.1. Rozpočtovanie daňových príjmov na str. 17.</w:t>
      </w:r>
    </w:p>
  </w:footnote>
  <w:footnote w:id="1">
    <w:p w:rsidP="00C52DD5">
      <w:pPr>
        <w:pStyle w:val="FootnoteText"/>
        <w:jc w:val="both"/>
        <w:rPr>
          <w:rFonts w:cs="Times New Roman"/>
        </w:rPr>
      </w:pPr>
      <w:r w:rsidRPr="00461401" w:rsidR="00D46864">
        <w:rPr>
          <w:rStyle w:val="FootnoteReference"/>
          <w:rFonts w:ascii="Arial Narrow" w:hAnsi="Arial Narrow" w:cs="Times New Roman"/>
          <w:sz w:val="16"/>
          <w:szCs w:val="16"/>
        </w:rPr>
        <w:footnoteRef/>
      </w:r>
      <w:r w:rsidRPr="00461401" w:rsidR="00D46864">
        <w:rPr>
          <w:rFonts w:ascii="Arial Narrow" w:hAnsi="Arial Narrow" w:cs="Times New Roman"/>
          <w:sz w:val="16"/>
          <w:szCs w:val="16"/>
        </w:rPr>
        <w:t xml:space="preserve"> </w:t>
      </w:r>
      <w:r w:rsidRPr="00461401" w:rsidR="00D46864">
        <w:rPr>
          <w:rFonts w:ascii="Arial Narrow" w:hAnsi="Arial Narrow" w:cs="Arial Narrow"/>
          <w:sz w:val="16"/>
          <w:szCs w:val="16"/>
        </w:rPr>
        <w:t xml:space="preserve">Odhady </w:t>
      </w:r>
      <w:r w:rsidR="00D46864">
        <w:rPr>
          <w:rFonts w:ascii="Arial Narrow" w:hAnsi="Arial Narrow" w:cs="Arial Narrow"/>
          <w:sz w:val="16"/>
          <w:szCs w:val="16"/>
        </w:rPr>
        <w:t xml:space="preserve">príspevkov SR do Európskeho rozvojového fondu </w:t>
      </w:r>
      <w:r w:rsidRPr="00461401" w:rsidR="00D46864">
        <w:rPr>
          <w:rFonts w:ascii="Arial Narrow" w:hAnsi="Arial Narrow" w:cs="Arial Narrow"/>
          <w:sz w:val="16"/>
          <w:szCs w:val="16"/>
        </w:rPr>
        <w:t>sú spracované na základe dokumentu ACP č. 160/07 ADD 2, kto</w:t>
      </w:r>
      <w:r w:rsidR="00D46864">
        <w:rPr>
          <w:rFonts w:ascii="Arial Narrow" w:hAnsi="Arial Narrow" w:cs="Arial Narrow"/>
          <w:sz w:val="16"/>
          <w:szCs w:val="16"/>
        </w:rPr>
        <w:t>rý bol predložený</w:t>
      </w:r>
      <w:r w:rsidRPr="00461401" w:rsidR="00D46864">
        <w:rPr>
          <w:rFonts w:ascii="Arial Narrow" w:hAnsi="Arial Narrow" w:cs="Arial Narrow"/>
          <w:sz w:val="16"/>
          <w:szCs w:val="16"/>
        </w:rPr>
        <w:t xml:space="preserve"> v rámci pracovnej skupiny ACP</w:t>
      </w:r>
      <w:r w:rsidR="00D46864">
        <w:rPr>
          <w:rFonts w:ascii="Arial Narrow" w:hAnsi="Arial Narrow" w:cs="Arial Narrow"/>
          <w:sz w:val="16"/>
          <w:szCs w:val="16"/>
        </w:rPr>
        <w:t xml:space="preserve"> </w:t>
      </w:r>
      <w:r w:rsidRPr="00461401" w:rsidR="00D46864">
        <w:rPr>
          <w:rFonts w:ascii="Arial Narrow" w:hAnsi="Arial Narrow" w:cs="Arial Narrow"/>
          <w:sz w:val="16"/>
          <w:szCs w:val="16"/>
        </w:rPr>
        <w:t>dňa 31.08.2007.</w:t>
      </w:r>
    </w:p>
  </w:footnote>
  <w:footnote w:id="2">
    <w:p w:rsidP="00C52DD5">
      <w:pPr>
        <w:pStyle w:val="FootnoteText"/>
        <w:rPr>
          <w:rFonts w:cs="Times New Roman"/>
        </w:rPr>
      </w:pPr>
      <w:r w:rsidRPr="009D7ED1" w:rsidR="00D46864">
        <w:rPr>
          <w:rStyle w:val="FootnoteReference"/>
          <w:rFonts w:ascii="Arial Narrow" w:hAnsi="Arial Narrow" w:cs="Times New Roman"/>
          <w:sz w:val="18"/>
          <w:szCs w:val="18"/>
        </w:rPr>
        <w:footnoteRef/>
      </w:r>
      <w:r w:rsidRPr="009D7ED1" w:rsidR="00D46864">
        <w:rPr>
          <w:rFonts w:ascii="Arial Narrow" w:hAnsi="Arial Narrow" w:cs="Times New Roman"/>
          <w:sz w:val="18"/>
          <w:szCs w:val="18"/>
        </w:rPr>
        <w:t xml:space="preserve"> </w:t>
      </w:r>
      <w:r w:rsidRPr="00290120" w:rsidR="00D46864">
        <w:rPr>
          <w:rFonts w:ascii="Arial Narrow" w:hAnsi="Arial Narrow" w:cs="Times New Roman"/>
          <w:sz w:val="18"/>
          <w:szCs w:val="18"/>
        </w:rPr>
        <w:t>Kumulatívna splatnosť je sumár všetkých splatnýc</w:t>
      </w:r>
      <w:r w:rsidR="00D46864">
        <w:rPr>
          <w:rFonts w:ascii="Arial Narrow" w:hAnsi="Arial Narrow" w:cs="Times New Roman"/>
          <w:sz w:val="18"/>
          <w:szCs w:val="18"/>
        </w:rPr>
        <w:t>h záväzkov v stanovenom období (v prípade s</w:t>
      </w:r>
      <w:r w:rsidRPr="00290120" w:rsidR="00D46864">
        <w:rPr>
          <w:rFonts w:ascii="Arial Narrow" w:hAnsi="Arial Narrow" w:cs="Times New Roman"/>
          <w:sz w:val="18"/>
          <w:szCs w:val="18"/>
        </w:rPr>
        <w:t>tratégie pre roky 2007 – 2010 je to sumár splatných záväzkov štátu za obdobie 1 roka a najbližších 5 rokov).</w:t>
      </w:r>
    </w:p>
  </w:footnote>
  <w:footnote w:id="3">
    <w:p w:rsidP="00C52DD5">
      <w:pPr>
        <w:pStyle w:val="FootnoteText"/>
        <w:rPr>
          <w:rFonts w:cs="Times New Roman"/>
        </w:rPr>
      </w:pPr>
      <w:r w:rsidRPr="00290120" w:rsidR="00D46864">
        <w:rPr>
          <w:rStyle w:val="FootnoteReference"/>
          <w:rFonts w:ascii="Arial Narrow" w:hAnsi="Arial Narrow" w:cs="Times New Roman"/>
          <w:sz w:val="18"/>
          <w:szCs w:val="18"/>
        </w:rPr>
        <w:footnoteRef/>
      </w:r>
      <w:r w:rsidRPr="00290120" w:rsidR="00D46864">
        <w:rPr>
          <w:rFonts w:ascii="Arial Narrow" w:hAnsi="Arial Narrow" w:cs="Times New Roman"/>
          <w:sz w:val="18"/>
          <w:szCs w:val="18"/>
        </w:rPr>
        <w:t xml:space="preserve"> Precenenie dlhu znamená mieru ohrozenia finančnej situácie štátu v dôsledku nepriaznivých pohybov úrokových sadzieb. Zmeny trhových úrokových sadzieb ovplyvňujú výšku úrokových nákladov a tým aj deficitu štátneho rozpočtu.</w:t>
      </w:r>
    </w:p>
  </w:footnote>
  <w:footnote w:id="4">
    <w:p w:rsidP="00C52DD5">
      <w:pPr>
        <w:pStyle w:val="FootnoteText"/>
        <w:rPr>
          <w:rFonts w:cs="Times New Roman"/>
        </w:rPr>
      </w:pPr>
      <w:r w:rsidRPr="009D7ED1" w:rsidR="00D46864">
        <w:rPr>
          <w:rStyle w:val="FootnoteReference"/>
          <w:rFonts w:ascii="Arial Narrow" w:hAnsi="Arial Narrow" w:cs="Times New Roman"/>
          <w:sz w:val="18"/>
          <w:szCs w:val="18"/>
        </w:rPr>
        <w:footnoteRef/>
      </w:r>
      <w:r w:rsidR="00D46864">
        <w:rPr>
          <w:rFonts w:cs="Times New Roman"/>
        </w:rPr>
        <w:t xml:space="preserve"> </w:t>
      </w:r>
      <w:r w:rsidRPr="00290120" w:rsidR="00D46864">
        <w:rPr>
          <w:rFonts w:ascii="Arial Narrow" w:hAnsi="Arial Narrow" w:cs="Times New Roman"/>
          <w:sz w:val="18"/>
          <w:szCs w:val="18"/>
        </w:rPr>
        <w:t>Refinančné riziko predstavuje neistotu, či štát získa dostatok zdrojov potrebných na splatenie svojich záväzkov (resp. ich nahradenie novými). Je to riziko, ktoré môže viesť k tomu, že štát nebude schopný splniť svoje záväzky k dátumu splatnosti.</w:t>
      </w:r>
    </w:p>
  </w:footnote>
  <w:footnote w:id="5">
    <w:p w:rsidP="00C52DD5">
      <w:pPr>
        <w:pStyle w:val="FootnoteText"/>
        <w:rPr>
          <w:rFonts w:cs="Times New Roman"/>
        </w:rPr>
      </w:pPr>
      <w:r w:rsidRPr="009D7ED1" w:rsidR="00D46864">
        <w:rPr>
          <w:rStyle w:val="FootnoteReference"/>
          <w:rFonts w:ascii="Arial Narrow" w:hAnsi="Arial Narrow" w:cs="Times New Roman"/>
          <w:sz w:val="18"/>
          <w:szCs w:val="18"/>
        </w:rPr>
        <w:footnoteRef/>
      </w:r>
      <w:r w:rsidRPr="009D7ED1" w:rsidR="00D46864">
        <w:rPr>
          <w:rFonts w:ascii="Arial Narrow" w:hAnsi="Arial Narrow" w:cs="Times New Roman"/>
          <w:sz w:val="18"/>
          <w:szCs w:val="18"/>
        </w:rPr>
        <w:t xml:space="preserve"> </w:t>
      </w:r>
      <w:r w:rsidRPr="00290120" w:rsidR="00D46864">
        <w:rPr>
          <w:rFonts w:ascii="Arial Narrow" w:hAnsi="Arial Narrow" w:cs="Times New Roman"/>
          <w:sz w:val="18"/>
          <w:szCs w:val="18"/>
        </w:rPr>
        <w:t xml:space="preserve">Úrokové riziko predstavuje riziko straty, resp. zvýšenia nákladov vyplývajúce zo zmeny úrokových sadzieb v prípade úrokovo citlivých </w:t>
      </w:r>
      <w:r w:rsidR="00D46864">
        <w:rPr>
          <w:rFonts w:ascii="Arial Narrow" w:hAnsi="Arial Narrow" w:cs="Times New Roman"/>
          <w:sz w:val="18"/>
          <w:szCs w:val="18"/>
        </w:rPr>
        <w:t>tra</w:t>
      </w:r>
      <w:r w:rsidRPr="00290120" w:rsidR="00D46864">
        <w:rPr>
          <w:rFonts w:ascii="Arial Narrow" w:hAnsi="Arial Narrow" w:cs="Times New Roman"/>
          <w:sz w:val="18"/>
          <w:szCs w:val="18"/>
        </w:rPr>
        <w:t>nsakcií.</w:t>
      </w:r>
    </w:p>
  </w:footnote>
  <w:footnote w:id="6">
    <w:p w:rsidP="00C52DD5">
      <w:pPr>
        <w:pStyle w:val="FootnoteText"/>
        <w:rPr>
          <w:rFonts w:cs="Times New Roman"/>
        </w:rPr>
      </w:pPr>
      <w:r w:rsidRPr="009D7ED1" w:rsidR="00D46864">
        <w:rPr>
          <w:rStyle w:val="FootnoteReference"/>
          <w:rFonts w:ascii="Arial Narrow" w:hAnsi="Arial Narrow" w:cs="Times New Roman"/>
          <w:sz w:val="18"/>
          <w:szCs w:val="18"/>
        </w:rPr>
        <w:footnoteRef/>
      </w:r>
      <w:r w:rsidRPr="009D7ED1" w:rsidR="00D46864">
        <w:rPr>
          <w:rFonts w:ascii="Arial Narrow" w:hAnsi="Arial Narrow" w:cs="Times New Roman"/>
          <w:sz w:val="18"/>
          <w:szCs w:val="18"/>
        </w:rPr>
        <w:t xml:space="preserve"> </w:t>
      </w:r>
      <w:r w:rsidRPr="00290120" w:rsidR="00D46864">
        <w:rPr>
          <w:rFonts w:ascii="Arial Narrow" w:hAnsi="Arial Narrow" w:cs="Times New Roman"/>
          <w:sz w:val="18"/>
          <w:szCs w:val="18"/>
        </w:rPr>
        <w:t>Je miera citlivosti cien dlhopisov na zmenu úrokovej miery. Je to miera priemernej doby predchádzajúcej platbám do splatnosti jednotlivých dlhopisov. Jednotkou durácie je rok.</w:t>
      </w:r>
    </w:p>
  </w:footnote>
  <w:footnote w:id="7">
    <w:p w:rsidP="00C52DD5">
      <w:pPr>
        <w:pStyle w:val="FootnoteText"/>
        <w:jc w:val="both"/>
        <w:rPr>
          <w:rFonts w:cs="Times New Roman"/>
        </w:rPr>
      </w:pPr>
      <w:r w:rsidRPr="004C5BC7" w:rsidR="00D46864">
        <w:rPr>
          <w:rStyle w:val="FootnoteReference"/>
          <w:rFonts w:ascii="Arial Narrow" w:hAnsi="Arial Narrow" w:cs="Times New Roman"/>
          <w:sz w:val="18"/>
          <w:szCs w:val="18"/>
        </w:rPr>
        <w:footnoteRef/>
      </w:r>
      <w:r w:rsidRPr="004C5BC7" w:rsidR="00D46864">
        <w:rPr>
          <w:rFonts w:ascii="Arial Narrow" w:hAnsi="Arial Narrow" w:cs="Times New Roman"/>
          <w:sz w:val="18"/>
          <w:szCs w:val="18"/>
        </w:rPr>
        <w:t xml:space="preserve"> Sekuritizácia je proces premeny nelikvidných finančných aktív na obchodovateľné nástroje kapitálového trhu a predstavuje združovanie jednotlivých štrukturovaných aktív (úverov, pohľadávok, CP) do balíka, ktorý je postúpený tretej osobe. Na balík, vytvorený z podkladových aktív, sú emitované CP kryté peňažnými príjmami z aktív portfólia</w:t>
      </w:r>
      <w:r w:rsidR="00D46864">
        <w:rPr>
          <w:rFonts w:ascii="Arial Narrow" w:hAnsi="Arial Narrow" w:cs="Times New Roman"/>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54F"/>
    <w:multiLevelType w:val="multilevel"/>
    <w:tmpl w:val="A57CF88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1">
    <w:nsid w:val="01BC3D5A"/>
    <w:multiLevelType w:val="hybridMultilevel"/>
    <w:tmpl w:val="AB962B42"/>
    <w:lvl w:ilvl="0">
      <w:start w:val="8"/>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788"/>
        </w:tabs>
        <w:ind w:left="1788" w:hanging="360"/>
      </w:pPr>
      <w:rPr>
        <w:rFonts w:ascii="Courier New" w:hAnsi="Courier New" w:cs="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cs="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cs="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2">
    <w:nsid w:val="025F3893"/>
    <w:multiLevelType w:val="multilevel"/>
    <w:tmpl w:val="77AA2190"/>
    <w:lvl w:ilvl="0">
      <w:start w:val="5"/>
      <w:numFmt w:val="decimal"/>
      <w:lvlText w:val="%1."/>
      <w:lvlJc w:val="left"/>
      <w:pPr>
        <w:tabs>
          <w:tab w:val="num" w:pos="450"/>
        </w:tabs>
        <w:ind w:left="450" w:hanging="450"/>
      </w:pPr>
      <w:rPr>
        <w:rFonts w:cs="Times New Roman"/>
        <w:rtl w:val="0"/>
      </w:rPr>
    </w:lvl>
    <w:lvl w:ilvl="1">
      <w:start w:val="2"/>
      <w:numFmt w:val="decimal"/>
      <w:lvlText w:val="%1.%2."/>
      <w:lvlJc w:val="left"/>
      <w:pPr>
        <w:tabs>
          <w:tab w:val="num" w:pos="450"/>
        </w:tabs>
        <w:ind w:left="450" w:hanging="450"/>
      </w:pPr>
      <w:rPr>
        <w:rFonts w:cs="Times New Roman"/>
        <w:rtl w:val="0"/>
      </w:rPr>
    </w:lvl>
    <w:lvl w:ilvl="2">
      <w:start w:val="4"/>
      <w:numFmt w:val="decimal"/>
      <w:lvlText w:val="%1.%2.%3."/>
      <w:lvlJc w:val="left"/>
      <w:pPr>
        <w:tabs>
          <w:tab w:val="num" w:pos="720"/>
        </w:tabs>
        <w:ind w:left="720" w:hanging="720"/>
      </w:pPr>
      <w:rPr>
        <w:rFonts w:cs="Times New Roman"/>
        <w:rtl w:val="0"/>
      </w:rPr>
    </w:lvl>
    <w:lvl w:ilvl="3">
      <w:start w:val="1"/>
      <w:numFmt w:val="decimal"/>
      <w:lvlText w:val="%1.%2.%3.%4."/>
      <w:lvlJc w:val="left"/>
      <w:pPr>
        <w:tabs>
          <w:tab w:val="num" w:pos="720"/>
        </w:tabs>
        <w:ind w:left="720" w:hanging="720"/>
      </w:pPr>
      <w:rPr>
        <w:rFonts w:cs="Times New Roman"/>
        <w:rtl w:val="0"/>
      </w:rPr>
    </w:lvl>
    <w:lvl w:ilvl="4">
      <w:start w:val="1"/>
      <w:numFmt w:val="decimal"/>
      <w:lvlText w:val="%1.%2.%3.%4.%5."/>
      <w:lvlJc w:val="left"/>
      <w:pPr>
        <w:tabs>
          <w:tab w:val="num" w:pos="1080"/>
        </w:tabs>
        <w:ind w:left="1080" w:hanging="1080"/>
      </w:pPr>
      <w:rPr>
        <w:rFonts w:cs="Times New Roman"/>
        <w:rtl w:val="0"/>
      </w:rPr>
    </w:lvl>
    <w:lvl w:ilvl="5">
      <w:start w:val="1"/>
      <w:numFmt w:val="decimal"/>
      <w:lvlText w:val="%1.%2.%3.%4.%5.%6."/>
      <w:lvlJc w:val="left"/>
      <w:pPr>
        <w:tabs>
          <w:tab w:val="num" w:pos="1080"/>
        </w:tabs>
        <w:ind w:left="1080" w:hanging="1080"/>
      </w:pPr>
      <w:rPr>
        <w:rFonts w:cs="Times New Roman"/>
        <w:rtl w:val="0"/>
      </w:rPr>
    </w:lvl>
    <w:lvl w:ilvl="6">
      <w:start w:val="1"/>
      <w:numFmt w:val="decimal"/>
      <w:lvlText w:val="%1.%2.%3.%4.%5.%6.%7."/>
      <w:lvlJc w:val="left"/>
      <w:pPr>
        <w:tabs>
          <w:tab w:val="num" w:pos="1080"/>
        </w:tabs>
        <w:ind w:left="1080" w:hanging="1080"/>
      </w:pPr>
      <w:rPr>
        <w:rFonts w:cs="Times New Roman"/>
        <w:rtl w:val="0"/>
      </w:rPr>
    </w:lvl>
    <w:lvl w:ilvl="7">
      <w:start w:val="1"/>
      <w:numFmt w:val="decimal"/>
      <w:lvlText w:val="%1.%2.%3.%4.%5.%6.%7.%8."/>
      <w:lvlJc w:val="left"/>
      <w:pPr>
        <w:tabs>
          <w:tab w:val="num" w:pos="1440"/>
        </w:tabs>
        <w:ind w:left="1440" w:hanging="1440"/>
      </w:pPr>
      <w:rPr>
        <w:rFonts w:cs="Times New Roman"/>
        <w:rtl w:val="0"/>
      </w:rPr>
    </w:lvl>
    <w:lvl w:ilvl="8">
      <w:start w:val="1"/>
      <w:numFmt w:val="decimal"/>
      <w:lvlText w:val="%1.%2.%3.%4.%5.%6.%7.%8.%9."/>
      <w:lvlJc w:val="left"/>
      <w:pPr>
        <w:tabs>
          <w:tab w:val="num" w:pos="1440"/>
        </w:tabs>
        <w:ind w:left="1440" w:hanging="1440"/>
      </w:pPr>
      <w:rPr>
        <w:rFonts w:cs="Times New Roman"/>
        <w:rtl w:val="0"/>
      </w:rPr>
    </w:lvl>
  </w:abstractNum>
  <w:abstractNum w:abstractNumId="3">
    <w:nsid w:val="026B74D5"/>
    <w:multiLevelType w:val="hybridMultilevel"/>
    <w:tmpl w:val="D7A6BE08"/>
    <w:lvl w:ilvl="0">
      <w:start w:val="0"/>
      <w:numFmt w:val="bullet"/>
      <w:lvlText w:val="-"/>
      <w:lvlJc w:val="left"/>
      <w:pPr>
        <w:tabs>
          <w:tab w:val="num" w:pos="2160"/>
        </w:tabs>
        <w:ind w:left="2160" w:hanging="360"/>
      </w:pPr>
      <w:rPr>
        <w:rFonts w:ascii="Arial Narrow" w:hAnsi="Arial Narrow"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
    <w:nsid w:val="04282F30"/>
    <w:multiLevelType w:val="hybridMultilevel"/>
    <w:tmpl w:val="3DE881A4"/>
    <w:lvl w:ilvl="0">
      <w:start w:val="2"/>
      <w:numFmt w:val="bullet"/>
      <w:lvlText w:val="-"/>
      <w:lvlJc w:val="left"/>
      <w:pPr>
        <w:tabs>
          <w:tab w:val="num" w:pos="585"/>
        </w:tabs>
        <w:ind w:left="585" w:hanging="360"/>
      </w:pPr>
      <w:rPr>
        <w:rFonts w:ascii="Times New Roman" w:hAnsi="Times New Roman" w:cs="Times New Roman"/>
        <w:rtl w:val="0"/>
      </w:rPr>
    </w:lvl>
    <w:lvl w:ilvl="1">
      <w:start w:val="1"/>
      <w:numFmt w:val="bullet"/>
      <w:lvlText w:val="o"/>
      <w:lvlJc w:val="left"/>
      <w:pPr>
        <w:tabs>
          <w:tab w:val="num" w:pos="1305"/>
        </w:tabs>
        <w:ind w:left="1305" w:hanging="360"/>
      </w:pPr>
      <w:rPr>
        <w:rFonts w:ascii="Courier New" w:hAnsi="Courier New"/>
        <w:rtl w:val="0"/>
      </w:rPr>
    </w:lvl>
    <w:lvl w:ilvl="2">
      <w:start w:val="1"/>
      <w:numFmt w:val="bullet"/>
      <w:lvlText w:val=""/>
      <w:lvlJc w:val="left"/>
      <w:pPr>
        <w:tabs>
          <w:tab w:val="num" w:pos="2025"/>
        </w:tabs>
        <w:ind w:left="2025" w:hanging="360"/>
      </w:pPr>
      <w:rPr>
        <w:rFonts w:ascii="Wingdings" w:hAnsi="Wingdings"/>
        <w:rtl w:val="0"/>
      </w:rPr>
    </w:lvl>
    <w:lvl w:ilvl="3">
      <w:start w:val="1"/>
      <w:numFmt w:val="bullet"/>
      <w:lvlText w:val=""/>
      <w:lvlJc w:val="left"/>
      <w:pPr>
        <w:tabs>
          <w:tab w:val="num" w:pos="2745"/>
        </w:tabs>
        <w:ind w:left="2745" w:hanging="360"/>
      </w:pPr>
      <w:rPr>
        <w:rFonts w:ascii="Symbol" w:hAnsi="Symbol"/>
        <w:rtl w:val="0"/>
      </w:rPr>
    </w:lvl>
    <w:lvl w:ilvl="4">
      <w:start w:val="1"/>
      <w:numFmt w:val="bullet"/>
      <w:lvlText w:val="o"/>
      <w:lvlJc w:val="left"/>
      <w:pPr>
        <w:tabs>
          <w:tab w:val="num" w:pos="3465"/>
        </w:tabs>
        <w:ind w:left="3465" w:hanging="360"/>
      </w:pPr>
      <w:rPr>
        <w:rFonts w:ascii="Courier New" w:hAnsi="Courier New"/>
        <w:rtl w:val="0"/>
      </w:rPr>
    </w:lvl>
    <w:lvl w:ilvl="5">
      <w:start w:val="1"/>
      <w:numFmt w:val="bullet"/>
      <w:lvlText w:val=""/>
      <w:lvlJc w:val="left"/>
      <w:pPr>
        <w:tabs>
          <w:tab w:val="num" w:pos="4185"/>
        </w:tabs>
        <w:ind w:left="4185" w:hanging="360"/>
      </w:pPr>
      <w:rPr>
        <w:rFonts w:ascii="Wingdings" w:hAnsi="Wingdings"/>
        <w:rtl w:val="0"/>
      </w:rPr>
    </w:lvl>
    <w:lvl w:ilvl="6">
      <w:start w:val="1"/>
      <w:numFmt w:val="bullet"/>
      <w:lvlText w:val=""/>
      <w:lvlJc w:val="left"/>
      <w:pPr>
        <w:tabs>
          <w:tab w:val="num" w:pos="4905"/>
        </w:tabs>
        <w:ind w:left="4905" w:hanging="360"/>
      </w:pPr>
      <w:rPr>
        <w:rFonts w:ascii="Symbol" w:hAnsi="Symbol"/>
        <w:rtl w:val="0"/>
      </w:rPr>
    </w:lvl>
    <w:lvl w:ilvl="7">
      <w:start w:val="1"/>
      <w:numFmt w:val="bullet"/>
      <w:lvlText w:val="o"/>
      <w:lvlJc w:val="left"/>
      <w:pPr>
        <w:tabs>
          <w:tab w:val="num" w:pos="5625"/>
        </w:tabs>
        <w:ind w:left="5625" w:hanging="360"/>
      </w:pPr>
      <w:rPr>
        <w:rFonts w:ascii="Courier New" w:hAnsi="Courier New"/>
        <w:rtl w:val="0"/>
      </w:rPr>
    </w:lvl>
    <w:lvl w:ilvl="8">
      <w:start w:val="1"/>
      <w:numFmt w:val="bullet"/>
      <w:lvlText w:val=""/>
      <w:lvlJc w:val="left"/>
      <w:pPr>
        <w:tabs>
          <w:tab w:val="num" w:pos="6345"/>
        </w:tabs>
        <w:ind w:left="6345" w:hanging="360"/>
      </w:pPr>
      <w:rPr>
        <w:rFonts w:ascii="Wingdings" w:hAnsi="Wingdings"/>
        <w:rtl w:val="0"/>
      </w:rPr>
    </w:lvl>
  </w:abstractNum>
  <w:abstractNum w:abstractNumId="5">
    <w:nsid w:val="05BE05CE"/>
    <w:multiLevelType w:val="multilevel"/>
    <w:tmpl w:val="8CE8279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60A6A6E"/>
    <w:multiLevelType w:val="multilevel"/>
    <w:tmpl w:val="7716F382"/>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680"/>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07696D14"/>
    <w:multiLevelType w:val="hybridMultilevel"/>
    <w:tmpl w:val="738ADEC2"/>
    <w:lvl w:ilvl="0">
      <w:start w:val="1"/>
      <w:numFmt w:val="bullet"/>
      <w:lvlText w:val=""/>
      <w:lvlJc w:val="left"/>
      <w:pPr>
        <w:tabs>
          <w:tab w:val="num" w:pos="1440"/>
        </w:tabs>
        <w:ind w:left="1440" w:hanging="360"/>
      </w:pPr>
      <w:rPr>
        <w:rFonts w:ascii="Symbol" w:hAnsi="Symbol"/>
        <w:rtl w:val="0"/>
      </w:rPr>
    </w:lvl>
    <w:lvl w:ilvl="1">
      <w:start w:val="1"/>
      <w:numFmt w:val="bullet"/>
      <w:lvlText w:val=""/>
      <w:lvlJc w:val="left"/>
      <w:pPr>
        <w:tabs>
          <w:tab w:val="num" w:pos="1802"/>
        </w:tabs>
        <w:ind w:left="2160" w:hanging="360"/>
      </w:pPr>
      <w:rPr>
        <w:rFonts w:ascii="Symbol" w:hAnsi="Symbol"/>
        <w:rtl w:val="0"/>
      </w:rPr>
    </w:lvl>
    <w:lvl w:ilvl="2">
      <w:start w:val="1"/>
      <w:numFmt w:val="bullet"/>
      <w:lvlText w:val=""/>
      <w:lvlJc w:val="left"/>
      <w:pPr>
        <w:tabs>
          <w:tab w:val="num" w:pos="2880"/>
        </w:tabs>
        <w:ind w:left="2880" w:hanging="360"/>
      </w:pPr>
      <w:rPr>
        <w:rFonts w:ascii="Wingdings" w:hAnsi="Wingdings"/>
        <w:rtl w:val="0"/>
      </w:rPr>
    </w:lvl>
    <w:lvl w:ilvl="3">
      <w:start w:val="1"/>
      <w:numFmt w:val="bullet"/>
      <w:lvlText w:val=""/>
      <w:lvlJc w:val="left"/>
      <w:pPr>
        <w:tabs>
          <w:tab w:val="num" w:pos="3600"/>
        </w:tabs>
        <w:ind w:left="3600" w:hanging="360"/>
      </w:pPr>
      <w:rPr>
        <w:rFonts w:ascii="Symbol" w:hAnsi="Symbol"/>
        <w:rtl w:val="0"/>
      </w:rPr>
    </w:lvl>
    <w:lvl w:ilvl="4">
      <w:start w:val="1"/>
      <w:numFmt w:val="bullet"/>
      <w:lvlText w:val="o"/>
      <w:lvlJc w:val="left"/>
      <w:pPr>
        <w:tabs>
          <w:tab w:val="num" w:pos="4320"/>
        </w:tabs>
        <w:ind w:left="4320" w:hanging="360"/>
      </w:pPr>
      <w:rPr>
        <w:rFonts w:ascii="Courier New" w:hAnsi="Courier New" w:cs="Courier New"/>
        <w:rtl w:val="0"/>
      </w:rPr>
    </w:lvl>
    <w:lvl w:ilvl="5">
      <w:start w:val="1"/>
      <w:numFmt w:val="bullet"/>
      <w:lvlText w:val=""/>
      <w:lvlJc w:val="left"/>
      <w:pPr>
        <w:tabs>
          <w:tab w:val="num" w:pos="5040"/>
        </w:tabs>
        <w:ind w:left="5040" w:hanging="360"/>
      </w:pPr>
      <w:rPr>
        <w:rFonts w:ascii="Wingdings" w:hAnsi="Wingdings"/>
        <w:rtl w:val="0"/>
      </w:rPr>
    </w:lvl>
    <w:lvl w:ilvl="6">
      <w:start w:val="1"/>
      <w:numFmt w:val="bullet"/>
      <w:lvlText w:val=""/>
      <w:lvlJc w:val="left"/>
      <w:pPr>
        <w:tabs>
          <w:tab w:val="num" w:pos="5760"/>
        </w:tabs>
        <w:ind w:left="5760" w:hanging="360"/>
      </w:pPr>
      <w:rPr>
        <w:rFonts w:ascii="Symbol" w:hAnsi="Symbol"/>
        <w:rtl w:val="0"/>
      </w:rPr>
    </w:lvl>
    <w:lvl w:ilvl="7">
      <w:start w:val="1"/>
      <w:numFmt w:val="bullet"/>
      <w:lvlText w:val="o"/>
      <w:lvlJc w:val="left"/>
      <w:pPr>
        <w:tabs>
          <w:tab w:val="num" w:pos="6480"/>
        </w:tabs>
        <w:ind w:left="6480" w:hanging="360"/>
      </w:pPr>
      <w:rPr>
        <w:rFonts w:ascii="Courier New" w:hAnsi="Courier New" w:cs="Courier New"/>
        <w:rtl w:val="0"/>
      </w:rPr>
    </w:lvl>
    <w:lvl w:ilvl="8">
      <w:start w:val="1"/>
      <w:numFmt w:val="bullet"/>
      <w:lvlText w:val=""/>
      <w:lvlJc w:val="left"/>
      <w:pPr>
        <w:tabs>
          <w:tab w:val="num" w:pos="7200"/>
        </w:tabs>
        <w:ind w:left="7200" w:hanging="360"/>
      </w:pPr>
      <w:rPr>
        <w:rFonts w:ascii="Wingdings" w:hAnsi="Wingdings"/>
        <w:rtl w:val="0"/>
      </w:rPr>
    </w:lvl>
  </w:abstractNum>
  <w:abstractNum w:abstractNumId="8">
    <w:nsid w:val="07D705DF"/>
    <w:multiLevelType w:val="hybridMultilevel"/>
    <w:tmpl w:val="EBAA97B8"/>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
    <w:nsid w:val="0993739A"/>
    <w:multiLevelType w:val="hybridMultilevel"/>
    <w:tmpl w:val="510245C0"/>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0">
    <w:nsid w:val="0A0F04B9"/>
    <w:multiLevelType w:val="hybridMultilevel"/>
    <w:tmpl w:val="A450196E"/>
    <w:lvl w:ilvl="0">
      <w:start w:val="1"/>
      <w:numFmt w:val="bullet"/>
      <w:lvlText w:val=""/>
      <w:lvlJc w:val="left"/>
      <w:pPr>
        <w:tabs>
          <w:tab w:val="num" w:pos="840"/>
        </w:tabs>
        <w:ind w:left="840" w:hanging="360"/>
      </w:pPr>
      <w:rPr>
        <w:rFonts w:ascii="Symbol" w:hAnsi="Symbol"/>
        <w:rtl w:val="0"/>
      </w:rPr>
    </w:lvl>
    <w:lvl w:ilvl="1">
      <w:start w:val="1"/>
      <w:numFmt w:val="bullet"/>
      <w:lvlText w:val="o"/>
      <w:lvlJc w:val="left"/>
      <w:pPr>
        <w:tabs>
          <w:tab w:val="num" w:pos="1560"/>
        </w:tabs>
        <w:ind w:left="1560" w:hanging="360"/>
      </w:pPr>
      <w:rPr>
        <w:rFonts w:ascii="Courier New" w:hAnsi="Courier New" w:cs="Courier New"/>
        <w:rtl w:val="0"/>
      </w:rPr>
    </w:lvl>
    <w:lvl w:ilvl="2">
      <w:start w:val="1"/>
      <w:numFmt w:val="bullet"/>
      <w:lvlText w:val=""/>
      <w:lvlJc w:val="left"/>
      <w:pPr>
        <w:tabs>
          <w:tab w:val="num" w:pos="2280"/>
        </w:tabs>
        <w:ind w:left="2280" w:hanging="360"/>
      </w:pPr>
      <w:rPr>
        <w:rFonts w:ascii="Wingdings" w:hAnsi="Wingdings"/>
        <w:rtl w:val="0"/>
      </w:rPr>
    </w:lvl>
    <w:lvl w:ilvl="3">
      <w:start w:val="1"/>
      <w:numFmt w:val="bullet"/>
      <w:lvlText w:val=""/>
      <w:lvlJc w:val="left"/>
      <w:pPr>
        <w:tabs>
          <w:tab w:val="num" w:pos="3000"/>
        </w:tabs>
        <w:ind w:left="3000" w:hanging="360"/>
      </w:pPr>
      <w:rPr>
        <w:rFonts w:ascii="Symbol" w:hAnsi="Symbol"/>
        <w:rtl w:val="0"/>
      </w:rPr>
    </w:lvl>
    <w:lvl w:ilvl="4">
      <w:start w:val="1"/>
      <w:numFmt w:val="bullet"/>
      <w:lvlText w:val="o"/>
      <w:lvlJc w:val="left"/>
      <w:pPr>
        <w:tabs>
          <w:tab w:val="num" w:pos="3720"/>
        </w:tabs>
        <w:ind w:left="3720" w:hanging="360"/>
      </w:pPr>
      <w:rPr>
        <w:rFonts w:ascii="Courier New" w:hAnsi="Courier New" w:cs="Courier New"/>
        <w:rtl w:val="0"/>
      </w:rPr>
    </w:lvl>
    <w:lvl w:ilvl="5">
      <w:start w:val="1"/>
      <w:numFmt w:val="bullet"/>
      <w:lvlText w:val=""/>
      <w:lvlJc w:val="left"/>
      <w:pPr>
        <w:tabs>
          <w:tab w:val="num" w:pos="4440"/>
        </w:tabs>
        <w:ind w:left="4440" w:hanging="360"/>
      </w:pPr>
      <w:rPr>
        <w:rFonts w:ascii="Wingdings" w:hAnsi="Wingdings"/>
        <w:rtl w:val="0"/>
      </w:rPr>
    </w:lvl>
    <w:lvl w:ilvl="6">
      <w:start w:val="1"/>
      <w:numFmt w:val="bullet"/>
      <w:lvlText w:val=""/>
      <w:lvlJc w:val="left"/>
      <w:pPr>
        <w:tabs>
          <w:tab w:val="num" w:pos="5160"/>
        </w:tabs>
        <w:ind w:left="5160" w:hanging="360"/>
      </w:pPr>
      <w:rPr>
        <w:rFonts w:ascii="Symbol" w:hAnsi="Symbol"/>
        <w:rtl w:val="0"/>
      </w:rPr>
    </w:lvl>
    <w:lvl w:ilvl="7">
      <w:start w:val="1"/>
      <w:numFmt w:val="bullet"/>
      <w:lvlText w:val="o"/>
      <w:lvlJc w:val="left"/>
      <w:pPr>
        <w:tabs>
          <w:tab w:val="num" w:pos="5880"/>
        </w:tabs>
        <w:ind w:left="5880" w:hanging="360"/>
      </w:pPr>
      <w:rPr>
        <w:rFonts w:ascii="Courier New" w:hAnsi="Courier New" w:cs="Courier New"/>
        <w:rtl w:val="0"/>
      </w:rPr>
    </w:lvl>
    <w:lvl w:ilvl="8">
      <w:start w:val="1"/>
      <w:numFmt w:val="bullet"/>
      <w:lvlText w:val=""/>
      <w:lvlJc w:val="left"/>
      <w:pPr>
        <w:tabs>
          <w:tab w:val="num" w:pos="6600"/>
        </w:tabs>
        <w:ind w:left="6600" w:hanging="360"/>
      </w:pPr>
      <w:rPr>
        <w:rFonts w:ascii="Wingdings" w:hAnsi="Wingdings"/>
        <w:rtl w:val="0"/>
      </w:rPr>
    </w:lvl>
  </w:abstractNum>
  <w:abstractNum w:abstractNumId="11">
    <w:nsid w:val="0A62797D"/>
    <w:multiLevelType w:val="hybridMultilevel"/>
    <w:tmpl w:val="1FC41E6A"/>
    <w:lvl w:ilvl="0">
      <w:start w:val="8"/>
      <w:numFmt w:val="bullet"/>
      <w:lvlText w:val="–"/>
      <w:lvlJc w:val="left"/>
      <w:pPr>
        <w:tabs>
          <w:tab w:val="num" w:pos="612"/>
        </w:tabs>
        <w:ind w:left="612"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
    <w:nsid w:val="0AA05F34"/>
    <w:multiLevelType w:val="hybridMultilevel"/>
    <w:tmpl w:val="4F12EA16"/>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
    <w:nsid w:val="0AFD4A1A"/>
    <w:multiLevelType w:val="hybridMultilevel"/>
    <w:tmpl w:val="F77CFCE8"/>
    <w:lvl w:ilvl="0">
      <w:start w:val="1"/>
      <w:numFmt w:val="bullet"/>
      <w:lvlText w:val=""/>
      <w:lvlJc w:val="left"/>
      <w:pPr>
        <w:tabs>
          <w:tab w:val="num" w:pos="1050"/>
        </w:tabs>
        <w:ind w:left="1050" w:hanging="360"/>
      </w:pPr>
      <w:rPr>
        <w:rFonts w:ascii="Symbol" w:hAnsi="Symbol"/>
        <w:rtl w:val="0"/>
      </w:rPr>
    </w:lvl>
    <w:lvl w:ilvl="1">
      <w:start w:val="1"/>
      <w:numFmt w:val="bullet"/>
      <w:lvlText w:val="o"/>
      <w:lvlJc w:val="left"/>
      <w:pPr>
        <w:tabs>
          <w:tab w:val="num" w:pos="1770"/>
        </w:tabs>
        <w:ind w:left="1770" w:hanging="360"/>
      </w:pPr>
      <w:rPr>
        <w:rFonts w:ascii="Courier New" w:hAnsi="Courier New" w:cs="Courier New"/>
        <w:rtl w:val="0"/>
      </w:rPr>
    </w:lvl>
    <w:lvl w:ilvl="2">
      <w:start w:val="1"/>
      <w:numFmt w:val="bullet"/>
      <w:lvlText w:val=""/>
      <w:lvlJc w:val="left"/>
      <w:pPr>
        <w:tabs>
          <w:tab w:val="num" w:pos="2490"/>
        </w:tabs>
        <w:ind w:left="2490" w:hanging="360"/>
      </w:pPr>
      <w:rPr>
        <w:rFonts w:ascii="Wingdings" w:hAnsi="Wingdings"/>
        <w:rtl w:val="0"/>
      </w:rPr>
    </w:lvl>
    <w:lvl w:ilvl="3">
      <w:start w:val="1"/>
      <w:numFmt w:val="bullet"/>
      <w:lvlText w:val=""/>
      <w:lvlJc w:val="left"/>
      <w:pPr>
        <w:tabs>
          <w:tab w:val="num" w:pos="3210"/>
        </w:tabs>
        <w:ind w:left="3210" w:hanging="360"/>
      </w:pPr>
      <w:rPr>
        <w:rFonts w:ascii="Symbol" w:hAnsi="Symbol"/>
        <w:rtl w:val="0"/>
      </w:rPr>
    </w:lvl>
    <w:lvl w:ilvl="4">
      <w:start w:val="1"/>
      <w:numFmt w:val="bullet"/>
      <w:lvlText w:val="o"/>
      <w:lvlJc w:val="left"/>
      <w:pPr>
        <w:tabs>
          <w:tab w:val="num" w:pos="3930"/>
        </w:tabs>
        <w:ind w:left="3930" w:hanging="360"/>
      </w:pPr>
      <w:rPr>
        <w:rFonts w:ascii="Courier New" w:hAnsi="Courier New" w:cs="Courier New"/>
        <w:rtl w:val="0"/>
      </w:rPr>
    </w:lvl>
    <w:lvl w:ilvl="5">
      <w:start w:val="1"/>
      <w:numFmt w:val="bullet"/>
      <w:lvlText w:val=""/>
      <w:lvlJc w:val="left"/>
      <w:pPr>
        <w:tabs>
          <w:tab w:val="num" w:pos="4650"/>
        </w:tabs>
        <w:ind w:left="4650" w:hanging="360"/>
      </w:pPr>
      <w:rPr>
        <w:rFonts w:ascii="Wingdings" w:hAnsi="Wingdings"/>
        <w:rtl w:val="0"/>
      </w:rPr>
    </w:lvl>
    <w:lvl w:ilvl="6">
      <w:start w:val="1"/>
      <w:numFmt w:val="bullet"/>
      <w:lvlText w:val=""/>
      <w:lvlJc w:val="left"/>
      <w:pPr>
        <w:tabs>
          <w:tab w:val="num" w:pos="5370"/>
        </w:tabs>
        <w:ind w:left="5370" w:hanging="360"/>
      </w:pPr>
      <w:rPr>
        <w:rFonts w:ascii="Symbol" w:hAnsi="Symbol"/>
        <w:rtl w:val="0"/>
      </w:rPr>
    </w:lvl>
    <w:lvl w:ilvl="7">
      <w:start w:val="1"/>
      <w:numFmt w:val="bullet"/>
      <w:lvlText w:val="o"/>
      <w:lvlJc w:val="left"/>
      <w:pPr>
        <w:tabs>
          <w:tab w:val="num" w:pos="6090"/>
        </w:tabs>
        <w:ind w:left="6090" w:hanging="360"/>
      </w:pPr>
      <w:rPr>
        <w:rFonts w:ascii="Courier New" w:hAnsi="Courier New" w:cs="Courier New"/>
        <w:rtl w:val="0"/>
      </w:rPr>
    </w:lvl>
    <w:lvl w:ilvl="8">
      <w:start w:val="1"/>
      <w:numFmt w:val="bullet"/>
      <w:lvlText w:val=""/>
      <w:lvlJc w:val="left"/>
      <w:pPr>
        <w:tabs>
          <w:tab w:val="num" w:pos="6810"/>
        </w:tabs>
        <w:ind w:left="6810" w:hanging="360"/>
      </w:pPr>
      <w:rPr>
        <w:rFonts w:ascii="Wingdings" w:hAnsi="Wingdings"/>
        <w:rtl w:val="0"/>
      </w:rPr>
    </w:lvl>
  </w:abstractNum>
  <w:abstractNum w:abstractNumId="14">
    <w:nsid w:val="0B591582"/>
    <w:multiLevelType w:val="hybridMultilevel"/>
    <w:tmpl w:val="9B6ABD76"/>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
    <w:nsid w:val="0CA11FDE"/>
    <w:multiLevelType w:val="hybridMultilevel"/>
    <w:tmpl w:val="7F58E7FC"/>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6">
    <w:nsid w:val="0CC3506D"/>
    <w:multiLevelType w:val="hybridMultilevel"/>
    <w:tmpl w:val="338A81AE"/>
    <w:lvl w:ilvl="0">
      <w:start w:val="1"/>
      <w:numFmt w:val="bullet"/>
      <w:lvlText w:val="–"/>
      <w:lvlJc w:val="left"/>
      <w:pPr>
        <w:tabs>
          <w:tab w:val="num" w:pos="643"/>
        </w:tabs>
        <w:ind w:left="643" w:hanging="283"/>
      </w:pPr>
      <w:rPr>
        <w:rFonts w:ascii="Times New Roman" w:hAnsi="Times New Roman" w:cs="Times New Roman"/>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D8601DD"/>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0D9A095A"/>
    <w:multiLevelType w:val="hybridMultilevel"/>
    <w:tmpl w:val="FCAE3B24"/>
    <w:lvl w:ilvl="0">
      <w:start w:val="1"/>
      <w:numFmt w:val="bullet"/>
      <w:lvlText w:val=""/>
      <w:lvlJc w:val="left"/>
      <w:pPr>
        <w:tabs>
          <w:tab w:val="num" w:pos="1077"/>
        </w:tabs>
        <w:ind w:left="1077" w:hanging="283"/>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9">
    <w:nsid w:val="0E353198"/>
    <w:multiLevelType w:val="multilevel"/>
    <w:tmpl w:val="9AF07268"/>
    <w:lvl w:ilvl="0">
      <w:start w:val="1"/>
      <w:numFmt w:val="decimal"/>
      <w:lvlText w:val="%1."/>
      <w:lvlJc w:val="left"/>
      <w:pPr>
        <w:tabs>
          <w:tab w:val="num" w:pos="390"/>
        </w:tabs>
        <w:ind w:left="390" w:hanging="390"/>
      </w:pPr>
      <w:rPr>
        <w:rFonts w:cs="Times New Roman"/>
        <w:b/>
        <w:rtl w:val="0"/>
      </w:rPr>
    </w:lvl>
    <w:lvl w:ilvl="1">
      <w:start w:val="1"/>
      <w:numFmt w:val="decimal"/>
      <w:lvlText w:val="%1.%2."/>
      <w:lvlJc w:val="left"/>
      <w:pPr>
        <w:tabs>
          <w:tab w:val="num" w:pos="390"/>
        </w:tabs>
        <w:ind w:left="390" w:hanging="390"/>
      </w:pPr>
      <w:rPr>
        <w:rFonts w:cs="Times New Roman"/>
        <w:b/>
        <w:rtl w:val="0"/>
      </w:rPr>
    </w:lvl>
    <w:lvl w:ilvl="2">
      <w:start w:val="1"/>
      <w:numFmt w:val="decimal"/>
      <w:lvlText w:val="%1.%2.%3."/>
      <w:lvlJc w:val="left"/>
      <w:pPr>
        <w:tabs>
          <w:tab w:val="num" w:pos="720"/>
        </w:tabs>
        <w:ind w:left="720" w:hanging="720"/>
      </w:pPr>
      <w:rPr>
        <w:rFonts w:cs="Times New Roman"/>
        <w:b/>
        <w:rtl w:val="0"/>
      </w:rPr>
    </w:lvl>
    <w:lvl w:ilvl="3">
      <w:start w:val="1"/>
      <w:numFmt w:val="decimal"/>
      <w:lvlText w:val="%1.%2.%3.%4."/>
      <w:lvlJc w:val="left"/>
      <w:pPr>
        <w:tabs>
          <w:tab w:val="num" w:pos="720"/>
        </w:tabs>
        <w:ind w:left="720" w:hanging="720"/>
      </w:pPr>
      <w:rPr>
        <w:rFonts w:cs="Times New Roman"/>
        <w:b/>
        <w:rtl w:val="0"/>
      </w:rPr>
    </w:lvl>
    <w:lvl w:ilvl="4">
      <w:start w:val="1"/>
      <w:numFmt w:val="decimal"/>
      <w:lvlText w:val="%1.%2.%3.%4.%5."/>
      <w:lvlJc w:val="left"/>
      <w:pPr>
        <w:tabs>
          <w:tab w:val="num" w:pos="1080"/>
        </w:tabs>
        <w:ind w:left="1080" w:hanging="1080"/>
      </w:pPr>
      <w:rPr>
        <w:rFonts w:cs="Times New Roman"/>
        <w:b/>
        <w:rtl w:val="0"/>
      </w:rPr>
    </w:lvl>
    <w:lvl w:ilvl="5">
      <w:start w:val="1"/>
      <w:numFmt w:val="decimal"/>
      <w:lvlText w:val="%1.%2.%3.%4.%5.%6."/>
      <w:lvlJc w:val="left"/>
      <w:pPr>
        <w:tabs>
          <w:tab w:val="num" w:pos="1080"/>
        </w:tabs>
        <w:ind w:left="1080" w:hanging="1080"/>
      </w:pPr>
      <w:rPr>
        <w:rFonts w:cs="Times New Roman"/>
        <w:b/>
        <w:rtl w:val="0"/>
      </w:rPr>
    </w:lvl>
    <w:lvl w:ilvl="6">
      <w:start w:val="1"/>
      <w:numFmt w:val="decimal"/>
      <w:lvlText w:val="%1.%2.%3.%4.%5.%6.%7."/>
      <w:lvlJc w:val="left"/>
      <w:pPr>
        <w:tabs>
          <w:tab w:val="num" w:pos="1440"/>
        </w:tabs>
        <w:ind w:left="1440" w:hanging="1440"/>
      </w:pPr>
      <w:rPr>
        <w:rFonts w:cs="Times New Roman"/>
        <w:b/>
        <w:rtl w:val="0"/>
      </w:rPr>
    </w:lvl>
    <w:lvl w:ilvl="7">
      <w:start w:val="1"/>
      <w:numFmt w:val="decimal"/>
      <w:lvlText w:val="%1.%2.%3.%4.%5.%6.%7.%8."/>
      <w:lvlJc w:val="left"/>
      <w:pPr>
        <w:tabs>
          <w:tab w:val="num" w:pos="1440"/>
        </w:tabs>
        <w:ind w:left="1440" w:hanging="1440"/>
      </w:pPr>
      <w:rPr>
        <w:rFonts w:cs="Times New Roman"/>
        <w:b/>
        <w:rtl w:val="0"/>
      </w:rPr>
    </w:lvl>
    <w:lvl w:ilvl="8">
      <w:start w:val="1"/>
      <w:numFmt w:val="decimal"/>
      <w:lvlText w:val="%1.%2.%3.%4.%5.%6.%7.%8.%9."/>
      <w:lvlJc w:val="left"/>
      <w:pPr>
        <w:tabs>
          <w:tab w:val="num" w:pos="1800"/>
        </w:tabs>
        <w:ind w:left="1800" w:hanging="1800"/>
      </w:pPr>
      <w:rPr>
        <w:rFonts w:cs="Times New Roman"/>
        <w:b/>
        <w:rtl w:val="0"/>
      </w:rPr>
    </w:lvl>
  </w:abstractNum>
  <w:abstractNum w:abstractNumId="20">
    <w:nsid w:val="0E464FF9"/>
    <w:multiLevelType w:val="hybridMultilevel"/>
    <w:tmpl w:val="134486E0"/>
    <w:lvl w:ilvl="0">
      <w:start w:val="0"/>
      <w:numFmt w:val="bullet"/>
      <w:lvlText w:val=""/>
      <w:lvlJc w:val="left"/>
      <w:pPr>
        <w:tabs>
          <w:tab w:val="num" w:pos="720"/>
        </w:tabs>
        <w:ind w:left="720" w:hanging="360"/>
      </w:pPr>
      <w:rPr>
        <w:rFonts w:ascii="Symbol" w:hAnsi="Symbol"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1">
    <w:nsid w:val="0F4C08C9"/>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101A6D6F"/>
    <w:multiLevelType w:val="multilevel"/>
    <w:tmpl w:val="03D8B3A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23">
    <w:nsid w:val="1037427A"/>
    <w:multiLevelType w:val="hybridMultilevel"/>
    <w:tmpl w:val="F07EBC7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0861274"/>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10E13908"/>
    <w:multiLevelType w:val="hybridMultilevel"/>
    <w:tmpl w:val="4C62CB5E"/>
    <w:lvl w:ilvl="0">
      <w:start w:val="2"/>
      <w:numFmt w:val="bullet"/>
      <w:lvlText w:val="-"/>
      <w:lvlJc w:val="left"/>
      <w:pPr>
        <w:tabs>
          <w:tab w:val="num" w:pos="775"/>
        </w:tabs>
        <w:ind w:left="775" w:hanging="360"/>
      </w:pPr>
      <w:rPr>
        <w:rFonts w:ascii="Times New Roman" w:hAnsi="Times New Roman" w:cs="Times New Roman"/>
        <w:rtl w:val="0"/>
      </w:rPr>
    </w:lvl>
    <w:lvl w:ilvl="1">
      <w:start w:val="1"/>
      <w:numFmt w:val="bullet"/>
      <w:lvlText w:val="–"/>
      <w:lvlJc w:val="left"/>
      <w:pPr>
        <w:tabs>
          <w:tab w:val="num" w:pos="567"/>
        </w:tabs>
        <w:ind w:left="567" w:hanging="283"/>
      </w:pPr>
      <w:rPr>
        <w:rFonts w:ascii="Times New Roman" w:hAnsi="Times New Roman" w:cs="Times New Roman"/>
        <w:rtl w:val="0"/>
      </w:rPr>
    </w:lvl>
    <w:lvl w:ilvl="2">
      <w:start w:val="1"/>
      <w:numFmt w:val="bullet"/>
      <w:lvlText w:val=""/>
      <w:lvlJc w:val="left"/>
      <w:pPr>
        <w:tabs>
          <w:tab w:val="num" w:pos="2215"/>
        </w:tabs>
        <w:ind w:left="2215" w:hanging="360"/>
      </w:pPr>
      <w:rPr>
        <w:rFonts w:ascii="Wingdings" w:hAnsi="Wingdings"/>
        <w:rtl w:val="0"/>
      </w:rPr>
    </w:lvl>
    <w:lvl w:ilvl="3">
      <w:start w:val="1"/>
      <w:numFmt w:val="bullet"/>
      <w:lvlText w:val=""/>
      <w:lvlJc w:val="left"/>
      <w:pPr>
        <w:tabs>
          <w:tab w:val="num" w:pos="2935"/>
        </w:tabs>
        <w:ind w:left="2935" w:hanging="360"/>
      </w:pPr>
      <w:rPr>
        <w:rFonts w:ascii="Symbol" w:hAnsi="Symbol"/>
        <w:rtl w:val="0"/>
      </w:rPr>
    </w:lvl>
    <w:lvl w:ilvl="4">
      <w:start w:val="1"/>
      <w:numFmt w:val="bullet"/>
      <w:lvlText w:val="o"/>
      <w:lvlJc w:val="left"/>
      <w:pPr>
        <w:tabs>
          <w:tab w:val="num" w:pos="3655"/>
        </w:tabs>
        <w:ind w:left="3655" w:hanging="360"/>
      </w:pPr>
      <w:rPr>
        <w:rFonts w:ascii="Courier New" w:hAnsi="Courier New"/>
        <w:rtl w:val="0"/>
      </w:rPr>
    </w:lvl>
    <w:lvl w:ilvl="5">
      <w:start w:val="1"/>
      <w:numFmt w:val="bullet"/>
      <w:lvlText w:val=""/>
      <w:lvlJc w:val="left"/>
      <w:pPr>
        <w:tabs>
          <w:tab w:val="num" w:pos="4375"/>
        </w:tabs>
        <w:ind w:left="4375" w:hanging="360"/>
      </w:pPr>
      <w:rPr>
        <w:rFonts w:ascii="Wingdings" w:hAnsi="Wingdings"/>
        <w:rtl w:val="0"/>
      </w:rPr>
    </w:lvl>
    <w:lvl w:ilvl="6">
      <w:start w:val="1"/>
      <w:numFmt w:val="bullet"/>
      <w:lvlText w:val=""/>
      <w:lvlJc w:val="left"/>
      <w:pPr>
        <w:tabs>
          <w:tab w:val="num" w:pos="5095"/>
        </w:tabs>
        <w:ind w:left="5095" w:hanging="360"/>
      </w:pPr>
      <w:rPr>
        <w:rFonts w:ascii="Symbol" w:hAnsi="Symbol"/>
        <w:rtl w:val="0"/>
      </w:rPr>
    </w:lvl>
    <w:lvl w:ilvl="7">
      <w:start w:val="1"/>
      <w:numFmt w:val="bullet"/>
      <w:lvlText w:val="o"/>
      <w:lvlJc w:val="left"/>
      <w:pPr>
        <w:tabs>
          <w:tab w:val="num" w:pos="5815"/>
        </w:tabs>
        <w:ind w:left="5815" w:hanging="360"/>
      </w:pPr>
      <w:rPr>
        <w:rFonts w:ascii="Courier New" w:hAnsi="Courier New"/>
        <w:rtl w:val="0"/>
      </w:rPr>
    </w:lvl>
    <w:lvl w:ilvl="8">
      <w:start w:val="1"/>
      <w:numFmt w:val="bullet"/>
      <w:lvlText w:val=""/>
      <w:lvlJc w:val="left"/>
      <w:pPr>
        <w:tabs>
          <w:tab w:val="num" w:pos="6535"/>
        </w:tabs>
        <w:ind w:left="6535" w:hanging="360"/>
      </w:pPr>
      <w:rPr>
        <w:rFonts w:ascii="Wingdings" w:hAnsi="Wingdings"/>
        <w:rtl w:val="0"/>
      </w:rPr>
    </w:lvl>
  </w:abstractNum>
  <w:abstractNum w:abstractNumId="26">
    <w:nsid w:val="111A51F0"/>
    <w:multiLevelType w:val="hybridMultilevel"/>
    <w:tmpl w:val="E9B093CC"/>
    <w:lvl w:ilvl="0">
      <w:start w:val="3"/>
      <w:numFmt w:val="bullet"/>
      <w:lvlText w:val="-"/>
      <w:lvlJc w:val="left"/>
      <w:pPr>
        <w:tabs>
          <w:tab w:val="num" w:pos="720"/>
        </w:tabs>
        <w:ind w:left="720" w:hanging="360"/>
      </w:pPr>
      <w:rPr>
        <w:rFonts w:ascii="Arial Narrow" w:hAnsi="Arial Narrow"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7">
    <w:nsid w:val="11412E3F"/>
    <w:multiLevelType w:val="hybridMultilevel"/>
    <w:tmpl w:val="8418ECCE"/>
    <w:lvl w:ilvl="0">
      <w:start w:val="1"/>
      <w:numFmt w:val="decimal"/>
      <w:lvlText w:val="%1)"/>
      <w:lvlJc w:val="left"/>
      <w:pPr>
        <w:tabs>
          <w:tab w:val="num" w:pos="1653"/>
        </w:tabs>
        <w:ind w:left="1653" w:hanging="945"/>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8">
    <w:nsid w:val="128F1C05"/>
    <w:multiLevelType w:val="hybridMultilevel"/>
    <w:tmpl w:val="778A5D0E"/>
    <w:lvl w:ilvl="0">
      <w:start w:val="3"/>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9">
    <w:nsid w:val="13DD2BD3"/>
    <w:multiLevelType w:val="hybridMultilevel"/>
    <w:tmpl w:val="EA929004"/>
    <w:lvl w:ilvl="0">
      <w:start w:val="1"/>
      <w:numFmt w:val="bullet"/>
      <w:lvlText w:val="▪"/>
      <w:lvlJc w:val="left"/>
      <w:pPr>
        <w:tabs>
          <w:tab w:val="num" w:pos="612"/>
        </w:tabs>
        <w:ind w:left="612" w:hanging="283"/>
      </w:pPr>
      <w:rPr>
        <w:rFonts w:ascii="Times New Roman" w:hAnsi="Times New Roman" w:cs="Times New Roman"/>
        <w:rtl w:val="0"/>
      </w:rPr>
    </w:lvl>
    <w:lvl w:ilvl="1">
      <w:start w:val="1"/>
      <w:numFmt w:val="bullet"/>
      <w:lvlText w:val="–"/>
      <w:lvlJc w:val="left"/>
      <w:pPr>
        <w:tabs>
          <w:tab w:val="num" w:pos="1440"/>
        </w:tabs>
        <w:ind w:left="1440" w:hanging="360"/>
      </w:pPr>
      <w:rPr>
        <w:rFonts w:ascii="Times New Roman" w:hAnsi="Times New Roman" w:cs="Times New Roman"/>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0">
    <w:nsid w:val="1433242B"/>
    <w:multiLevelType w:val="multilevel"/>
    <w:tmpl w:val="721C34FE"/>
    <w:lvl w:ilvl="0">
      <w:start w:val="5"/>
      <w:numFmt w:val="decimal"/>
      <w:lvlText w:val="%1"/>
      <w:lvlJc w:val="left"/>
      <w:pPr>
        <w:tabs>
          <w:tab w:val="num" w:pos="405"/>
        </w:tabs>
        <w:ind w:left="405" w:hanging="405"/>
      </w:pPr>
      <w:rPr>
        <w:rFonts w:cs="Times New Roman"/>
        <w:rtl w:val="0"/>
      </w:rPr>
    </w:lvl>
    <w:lvl w:ilvl="1">
      <w:start w:val="2"/>
      <w:numFmt w:val="decimal"/>
      <w:lvlText w:val="%1.%2"/>
      <w:lvlJc w:val="left"/>
      <w:pPr>
        <w:tabs>
          <w:tab w:val="num" w:pos="405"/>
        </w:tabs>
        <w:ind w:left="405" w:hanging="405"/>
      </w:pPr>
      <w:rPr>
        <w:rFonts w:cs="Times New Roman"/>
        <w:rtl w:val="0"/>
      </w:rPr>
    </w:lvl>
    <w:lvl w:ilvl="2">
      <w:start w:val="4"/>
      <w:numFmt w:val="decimal"/>
      <w:lvlText w:val="%1.%2.%3"/>
      <w:lvlJc w:val="left"/>
      <w:pPr>
        <w:tabs>
          <w:tab w:val="num" w:pos="720"/>
        </w:tabs>
        <w:ind w:left="720" w:hanging="720"/>
      </w:pPr>
      <w:rPr>
        <w:rFonts w:cs="Times New Roman"/>
        <w:rtl w:val="0"/>
      </w:rPr>
    </w:lvl>
    <w:lvl w:ilvl="3">
      <w:start w:val="1"/>
      <w:numFmt w:val="decimal"/>
      <w:lvlText w:val="%1.%2.%3.%4"/>
      <w:lvlJc w:val="left"/>
      <w:pPr>
        <w:tabs>
          <w:tab w:val="num" w:pos="720"/>
        </w:tabs>
        <w:ind w:left="720" w:hanging="720"/>
      </w:pPr>
      <w:rPr>
        <w:rFonts w:cs="Times New Roman"/>
        <w:rtl w:val="0"/>
      </w:rPr>
    </w:lvl>
    <w:lvl w:ilvl="4">
      <w:start w:val="1"/>
      <w:numFmt w:val="decimal"/>
      <w:lvlText w:val="%1.%2.%3.%4.%5"/>
      <w:lvlJc w:val="left"/>
      <w:pPr>
        <w:tabs>
          <w:tab w:val="num" w:pos="720"/>
        </w:tabs>
        <w:ind w:left="720" w:hanging="720"/>
      </w:pPr>
      <w:rPr>
        <w:rFonts w:cs="Times New Roman"/>
        <w:rtl w:val="0"/>
      </w:rPr>
    </w:lvl>
    <w:lvl w:ilvl="5">
      <w:start w:val="1"/>
      <w:numFmt w:val="decimal"/>
      <w:lvlText w:val="%1.%2.%3.%4.%5.%6"/>
      <w:lvlJc w:val="left"/>
      <w:pPr>
        <w:tabs>
          <w:tab w:val="num" w:pos="1080"/>
        </w:tabs>
        <w:ind w:left="1080" w:hanging="1080"/>
      </w:pPr>
      <w:rPr>
        <w:rFonts w:cs="Times New Roman"/>
        <w:rtl w:val="0"/>
      </w:rPr>
    </w:lvl>
    <w:lvl w:ilvl="6">
      <w:start w:val="1"/>
      <w:numFmt w:val="decimal"/>
      <w:lvlText w:val="%1.%2.%3.%4.%5.%6.%7"/>
      <w:lvlJc w:val="left"/>
      <w:pPr>
        <w:tabs>
          <w:tab w:val="num" w:pos="1080"/>
        </w:tabs>
        <w:ind w:left="1080" w:hanging="1080"/>
      </w:pPr>
      <w:rPr>
        <w:rFonts w:cs="Times New Roman"/>
        <w:rtl w:val="0"/>
      </w:rPr>
    </w:lvl>
    <w:lvl w:ilvl="7">
      <w:start w:val="1"/>
      <w:numFmt w:val="decimal"/>
      <w:lvlText w:val="%1.%2.%3.%4.%5.%6.%7.%8"/>
      <w:lvlJc w:val="left"/>
      <w:pPr>
        <w:tabs>
          <w:tab w:val="num" w:pos="1440"/>
        </w:tabs>
        <w:ind w:left="1440" w:hanging="1440"/>
      </w:pPr>
      <w:rPr>
        <w:rFonts w:cs="Times New Roman"/>
        <w:rtl w:val="0"/>
      </w:rPr>
    </w:lvl>
    <w:lvl w:ilvl="8">
      <w:start w:val="1"/>
      <w:numFmt w:val="decimal"/>
      <w:lvlText w:val="%1.%2.%3.%4.%5.%6.%7.%8.%9"/>
      <w:lvlJc w:val="left"/>
      <w:pPr>
        <w:tabs>
          <w:tab w:val="num" w:pos="1440"/>
        </w:tabs>
        <w:ind w:left="1440" w:hanging="1440"/>
      </w:pPr>
      <w:rPr>
        <w:rFonts w:cs="Times New Roman"/>
        <w:rtl w:val="0"/>
      </w:rPr>
    </w:lvl>
  </w:abstractNum>
  <w:abstractNum w:abstractNumId="31">
    <w:nsid w:val="14A3559C"/>
    <w:multiLevelType w:val="multilevel"/>
    <w:tmpl w:val="9AA4EB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14A40C26"/>
    <w:multiLevelType w:val="hybridMultilevel"/>
    <w:tmpl w:val="886C1692"/>
    <w:lvl w:ilvl="0">
      <w:start w:val="1"/>
      <w:numFmt w:val="bullet"/>
      <w:lvlText w:val="–"/>
      <w:lvlJc w:val="left"/>
      <w:pPr>
        <w:tabs>
          <w:tab w:val="num" w:pos="926"/>
        </w:tabs>
        <w:ind w:left="926" w:hanging="283"/>
      </w:pPr>
      <w:rPr>
        <w:rFonts w:ascii="Times New Roman" w:hAnsi="Times New Roman" w:cs="Times New Roman"/>
        <w:rtl w:val="0"/>
      </w:rPr>
    </w:lvl>
    <w:lvl w:ilvl="1">
      <w:start w:val="1"/>
      <w:numFmt w:val="bullet"/>
      <w:lvlText w:val="o"/>
      <w:lvlJc w:val="left"/>
      <w:pPr>
        <w:tabs>
          <w:tab w:val="num" w:pos="2507"/>
        </w:tabs>
        <w:ind w:left="2507" w:hanging="360"/>
      </w:pPr>
      <w:rPr>
        <w:rFonts w:ascii="Courier New" w:hAnsi="Courier New"/>
        <w:rtl w:val="0"/>
      </w:rPr>
    </w:lvl>
    <w:lvl w:ilvl="2">
      <w:start w:val="1"/>
      <w:numFmt w:val="bullet"/>
      <w:lvlText w:val=""/>
      <w:lvlJc w:val="left"/>
      <w:pPr>
        <w:tabs>
          <w:tab w:val="num" w:pos="3227"/>
        </w:tabs>
        <w:ind w:left="3227" w:hanging="360"/>
      </w:pPr>
      <w:rPr>
        <w:rFonts w:ascii="Wingdings" w:hAnsi="Wingdings"/>
        <w:rtl w:val="0"/>
      </w:rPr>
    </w:lvl>
    <w:lvl w:ilvl="3">
      <w:start w:val="1"/>
      <w:numFmt w:val="bullet"/>
      <w:lvlText w:val=""/>
      <w:lvlJc w:val="left"/>
      <w:pPr>
        <w:tabs>
          <w:tab w:val="num" w:pos="3947"/>
        </w:tabs>
        <w:ind w:left="3947" w:hanging="360"/>
      </w:pPr>
      <w:rPr>
        <w:rFonts w:ascii="Symbol" w:hAnsi="Symbol"/>
        <w:rtl w:val="0"/>
      </w:rPr>
    </w:lvl>
    <w:lvl w:ilvl="4">
      <w:start w:val="1"/>
      <w:numFmt w:val="bullet"/>
      <w:lvlText w:val="o"/>
      <w:lvlJc w:val="left"/>
      <w:pPr>
        <w:tabs>
          <w:tab w:val="num" w:pos="4667"/>
        </w:tabs>
        <w:ind w:left="4667" w:hanging="360"/>
      </w:pPr>
      <w:rPr>
        <w:rFonts w:ascii="Courier New" w:hAnsi="Courier New"/>
        <w:rtl w:val="0"/>
      </w:rPr>
    </w:lvl>
    <w:lvl w:ilvl="5">
      <w:start w:val="1"/>
      <w:numFmt w:val="bullet"/>
      <w:lvlText w:val=""/>
      <w:lvlJc w:val="left"/>
      <w:pPr>
        <w:tabs>
          <w:tab w:val="num" w:pos="5387"/>
        </w:tabs>
        <w:ind w:left="5387" w:hanging="360"/>
      </w:pPr>
      <w:rPr>
        <w:rFonts w:ascii="Wingdings" w:hAnsi="Wingdings"/>
        <w:rtl w:val="0"/>
      </w:rPr>
    </w:lvl>
    <w:lvl w:ilvl="6">
      <w:start w:val="1"/>
      <w:numFmt w:val="bullet"/>
      <w:lvlText w:val=""/>
      <w:lvlJc w:val="left"/>
      <w:pPr>
        <w:tabs>
          <w:tab w:val="num" w:pos="6107"/>
        </w:tabs>
        <w:ind w:left="6107" w:hanging="360"/>
      </w:pPr>
      <w:rPr>
        <w:rFonts w:ascii="Symbol" w:hAnsi="Symbol"/>
        <w:rtl w:val="0"/>
      </w:rPr>
    </w:lvl>
    <w:lvl w:ilvl="7">
      <w:start w:val="1"/>
      <w:numFmt w:val="bullet"/>
      <w:lvlText w:val="o"/>
      <w:lvlJc w:val="left"/>
      <w:pPr>
        <w:tabs>
          <w:tab w:val="num" w:pos="6827"/>
        </w:tabs>
        <w:ind w:left="6827" w:hanging="360"/>
      </w:pPr>
      <w:rPr>
        <w:rFonts w:ascii="Courier New" w:hAnsi="Courier New"/>
        <w:rtl w:val="0"/>
      </w:rPr>
    </w:lvl>
    <w:lvl w:ilvl="8">
      <w:start w:val="1"/>
      <w:numFmt w:val="bullet"/>
      <w:lvlText w:val=""/>
      <w:lvlJc w:val="left"/>
      <w:pPr>
        <w:tabs>
          <w:tab w:val="num" w:pos="7547"/>
        </w:tabs>
        <w:ind w:left="7547" w:hanging="360"/>
      </w:pPr>
      <w:rPr>
        <w:rFonts w:ascii="Wingdings" w:hAnsi="Wingdings"/>
        <w:rtl w:val="0"/>
      </w:rPr>
    </w:lvl>
  </w:abstractNum>
  <w:abstractNum w:abstractNumId="33">
    <w:nsid w:val="151C7983"/>
    <w:multiLevelType w:val="multilevel"/>
    <w:tmpl w:val="37087AC4"/>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1440"/>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18C27FDA"/>
    <w:multiLevelType w:val="multilevel"/>
    <w:tmpl w:val="63D4176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35">
    <w:nsid w:val="1941762B"/>
    <w:multiLevelType w:val="multilevel"/>
    <w:tmpl w:val="B948AF2E"/>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680" w:hanging="680"/>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19922E3E"/>
    <w:multiLevelType w:val="hybridMultilevel"/>
    <w:tmpl w:val="8C78402E"/>
    <w:lvl w:ilvl="0">
      <w:start w:val="1"/>
      <w:numFmt w:val="bullet"/>
      <w:lvlText w:val="–"/>
      <w:lvlJc w:val="left"/>
      <w:pPr>
        <w:tabs>
          <w:tab w:val="num" w:pos="644"/>
        </w:tabs>
        <w:ind w:left="624" w:hanging="340"/>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7">
    <w:nsid w:val="1A5F7721"/>
    <w:multiLevelType w:val="multilevel"/>
    <w:tmpl w:val="0F66065C"/>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38">
    <w:nsid w:val="1B4F6344"/>
    <w:multiLevelType w:val="hybridMultilevel"/>
    <w:tmpl w:val="F4A88AEA"/>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788"/>
        </w:tabs>
        <w:ind w:left="1788" w:hanging="360"/>
      </w:pPr>
      <w:rPr>
        <w:rFonts w:ascii="Courier New" w:hAnsi="Courier New" w:cs="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cs="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cs="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39">
    <w:nsid w:val="1B5B2C4C"/>
    <w:multiLevelType w:val="hybridMultilevel"/>
    <w:tmpl w:val="0860BF34"/>
    <w:lvl w:ilvl="0">
      <w:start w:val="1"/>
      <w:numFmt w:val="bullet"/>
      <w:lvlText w:val="▪"/>
      <w:lvlJc w:val="left"/>
      <w:pPr>
        <w:tabs>
          <w:tab w:val="num" w:pos="283"/>
        </w:tabs>
        <w:ind w:left="283" w:hanging="283"/>
      </w:pPr>
      <w:rPr>
        <w:rFonts w:ascii="Times New Roman" w:hAnsi="Times New Roman" w:cs="Times New Roman"/>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40">
    <w:nsid w:val="1C202F66"/>
    <w:multiLevelType w:val="hybridMultilevel"/>
    <w:tmpl w:val="0DF82F44"/>
    <w:lvl w:ilvl="0">
      <w:start w:val="1"/>
      <w:numFmt w:val="bullet"/>
      <w:lvlText w:val=""/>
      <w:lvlJc w:val="left"/>
      <w:pPr>
        <w:tabs>
          <w:tab w:val="num" w:pos="360"/>
        </w:tabs>
        <w:ind w:left="360" w:hanging="360"/>
      </w:pPr>
      <w:rPr>
        <w:rFonts w:ascii="Wingdings" w:hAnsi="Wingdings"/>
        <w:rtl w:val="0"/>
      </w:rPr>
    </w:lvl>
    <w:lvl w:ilvl="1">
      <w:start w:val="1"/>
      <w:numFmt w:val="bullet"/>
      <w:lvlText w:val=""/>
      <w:lvlJc w:val="left"/>
      <w:pPr>
        <w:tabs>
          <w:tab w:val="num" w:pos="1080"/>
        </w:tabs>
        <w:ind w:left="1080" w:hanging="360"/>
      </w:pPr>
      <w:rPr>
        <w:rFonts w:ascii="Symbol" w:hAnsi="Symbol"/>
        <w:rtl w:val="0"/>
      </w:rPr>
    </w:lvl>
    <w:lvl w:ilvl="2">
      <w:start w:val="0"/>
      <w:numFmt w:val="bullet"/>
      <w:lvlText w:val="-"/>
      <w:lvlJc w:val="left"/>
      <w:pPr>
        <w:tabs>
          <w:tab w:val="num" w:pos="1800"/>
        </w:tabs>
        <w:ind w:left="1800" w:hanging="360"/>
      </w:pPr>
      <w:rPr>
        <w:rFonts w:ascii="Times New Roman" w:hAnsi="Times New Roman" w:cs="Times New Roman"/>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41">
    <w:nsid w:val="1E0E2362"/>
    <w:multiLevelType w:val="hybridMultilevel"/>
    <w:tmpl w:val="57305998"/>
    <w:lvl w:ilvl="0">
      <w:start w:val="1"/>
      <w:numFmt w:val="bullet"/>
      <w:lvlText w:val="-"/>
      <w:lvlJc w:val="left"/>
      <w:pPr>
        <w:tabs>
          <w:tab w:val="num" w:pos="720"/>
        </w:tabs>
        <w:ind w:left="720" w:hanging="360"/>
      </w:pPr>
      <w:rPr>
        <w:rFonts w:ascii="Arial Narrow" w:hAnsi="Arial Narrow" w:cs="Arial Narrow"/>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2">
    <w:nsid w:val="1F066F83"/>
    <w:multiLevelType w:val="hybridMultilevel"/>
    <w:tmpl w:val="EE584AB0"/>
    <w:lvl w:ilvl="0">
      <w:start w:val="0"/>
      <w:numFmt w:val="bullet"/>
      <w:lvlText w:val="–"/>
      <w:lvlJc w:val="left"/>
      <w:pPr>
        <w:tabs>
          <w:tab w:val="num" w:pos="567"/>
        </w:tabs>
        <w:ind w:left="567" w:hanging="283"/>
      </w:pPr>
      <w:rPr>
        <w:rFonts w:ascii="Times New Roman" w:hAnsi="Times New Roman" w:cs="Times New Roman"/>
        <w:b w:val="0"/>
        <w:rtl w:val="0"/>
      </w:rPr>
    </w:lvl>
    <w:lvl w:ilvl="1">
      <w:start w:val="250"/>
      <w:numFmt w:val="bullet"/>
      <w:lvlText w:val="-"/>
      <w:lvlJc w:val="left"/>
      <w:pPr>
        <w:tabs>
          <w:tab w:val="num" w:pos="1935"/>
        </w:tabs>
        <w:ind w:left="1935" w:hanging="855"/>
      </w:pPr>
      <w:rPr>
        <w:rFonts w:ascii="Times New Roman" w:hAnsi="Times New Roman" w:cs="Times New Roman"/>
        <w:rtl w:val="0"/>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1FAF3C29"/>
    <w:multiLevelType w:val="hybridMultilevel"/>
    <w:tmpl w:val="751E71F2"/>
    <w:lvl w:ilvl="0">
      <w:start w:val="2"/>
      <w:numFmt w:val="bullet"/>
      <w:lvlText w:val="–"/>
      <w:lvlJc w:val="left"/>
      <w:pPr>
        <w:tabs>
          <w:tab w:val="num" w:pos="1068"/>
        </w:tabs>
        <w:ind w:left="1068" w:hanging="360"/>
      </w:pPr>
      <w:rPr>
        <w:rFonts w:ascii="Times New Roman" w:hAnsi="Times New Roman" w:cs="Times New Roman"/>
        <w:rtl w:val="0"/>
      </w:rPr>
    </w:lvl>
    <w:lvl w:ilvl="1">
      <w:start w:val="1"/>
      <w:numFmt w:val="bullet"/>
      <w:lvlText w:val="o"/>
      <w:lvlJc w:val="left"/>
      <w:pPr>
        <w:tabs>
          <w:tab w:val="num" w:pos="1788"/>
        </w:tabs>
        <w:ind w:left="1788" w:hanging="360"/>
      </w:pPr>
      <w:rPr>
        <w:rFonts w:ascii="Courier New" w:hAnsi="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44">
    <w:nsid w:val="207E43CE"/>
    <w:multiLevelType w:val="hybridMultilevel"/>
    <w:tmpl w:val="EC46C396"/>
    <w:lvl w:ilvl="0">
      <w:start w:val="1"/>
      <w:numFmt w:val="decimal"/>
      <w:lvlText w:val="%1/"/>
      <w:lvlJc w:val="left"/>
      <w:pPr>
        <w:tabs>
          <w:tab w:val="num" w:pos="0"/>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21131F8C"/>
    <w:multiLevelType w:val="hybridMultilevel"/>
    <w:tmpl w:val="FBBCE040"/>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6">
    <w:nsid w:val="2194584D"/>
    <w:multiLevelType w:val="hybridMultilevel"/>
    <w:tmpl w:val="89D2E906"/>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7">
    <w:nsid w:val="22E15376"/>
    <w:multiLevelType w:val="hybridMultilevel"/>
    <w:tmpl w:val="5544710A"/>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8">
    <w:nsid w:val="25A0133A"/>
    <w:multiLevelType w:val="hybridMultilevel"/>
    <w:tmpl w:val="B1546634"/>
    <w:lvl w:ilvl="0">
      <w:start w:val="1"/>
      <w:numFmt w:val="bullet"/>
      <w:lvlText w:val=""/>
      <w:lvlJc w:val="left"/>
      <w:pPr>
        <w:tabs>
          <w:tab w:val="num" w:pos="1260"/>
        </w:tabs>
        <w:ind w:left="1260" w:hanging="360"/>
      </w:pPr>
      <w:rPr>
        <w:rFonts w:ascii="Symbol" w:hAnsi="Symbol"/>
        <w:rtl w:val="0"/>
      </w:rPr>
    </w:lvl>
    <w:lvl w:ilvl="1">
      <w:start w:val="1"/>
      <w:numFmt w:val="bullet"/>
      <w:lvlText w:val="o"/>
      <w:lvlJc w:val="left"/>
      <w:pPr>
        <w:tabs>
          <w:tab w:val="num" w:pos="1980"/>
        </w:tabs>
        <w:ind w:left="1980" w:hanging="360"/>
      </w:pPr>
      <w:rPr>
        <w:rFonts w:ascii="Courier New" w:hAnsi="Courier New" w:cs="Courier New"/>
        <w:rtl w:val="0"/>
      </w:rPr>
    </w:lvl>
    <w:lvl w:ilvl="2">
      <w:start w:val="1"/>
      <w:numFmt w:val="bullet"/>
      <w:lvlText w:val=""/>
      <w:lvlJc w:val="left"/>
      <w:pPr>
        <w:tabs>
          <w:tab w:val="num" w:pos="2700"/>
        </w:tabs>
        <w:ind w:left="2700" w:hanging="360"/>
      </w:pPr>
      <w:rPr>
        <w:rFonts w:ascii="Wingdings" w:hAnsi="Wingdings"/>
        <w:rtl w:val="0"/>
      </w:rPr>
    </w:lvl>
    <w:lvl w:ilvl="3">
      <w:start w:val="1"/>
      <w:numFmt w:val="bullet"/>
      <w:lvlText w:val=""/>
      <w:lvlJc w:val="left"/>
      <w:pPr>
        <w:tabs>
          <w:tab w:val="num" w:pos="3420"/>
        </w:tabs>
        <w:ind w:left="3420" w:hanging="360"/>
      </w:pPr>
      <w:rPr>
        <w:rFonts w:ascii="Symbol" w:hAnsi="Symbol"/>
        <w:rtl w:val="0"/>
      </w:rPr>
    </w:lvl>
    <w:lvl w:ilvl="4">
      <w:start w:val="1"/>
      <w:numFmt w:val="bullet"/>
      <w:lvlText w:val="o"/>
      <w:lvlJc w:val="left"/>
      <w:pPr>
        <w:tabs>
          <w:tab w:val="num" w:pos="4140"/>
        </w:tabs>
        <w:ind w:left="4140" w:hanging="360"/>
      </w:pPr>
      <w:rPr>
        <w:rFonts w:ascii="Courier New" w:hAnsi="Courier New" w:cs="Courier New"/>
        <w:rtl w:val="0"/>
      </w:rPr>
    </w:lvl>
    <w:lvl w:ilvl="5">
      <w:start w:val="1"/>
      <w:numFmt w:val="bullet"/>
      <w:lvlText w:val=""/>
      <w:lvlJc w:val="left"/>
      <w:pPr>
        <w:tabs>
          <w:tab w:val="num" w:pos="4860"/>
        </w:tabs>
        <w:ind w:left="4860" w:hanging="360"/>
      </w:pPr>
      <w:rPr>
        <w:rFonts w:ascii="Wingdings" w:hAnsi="Wingdings"/>
        <w:rtl w:val="0"/>
      </w:rPr>
    </w:lvl>
    <w:lvl w:ilvl="6">
      <w:start w:val="1"/>
      <w:numFmt w:val="bullet"/>
      <w:lvlText w:val=""/>
      <w:lvlJc w:val="left"/>
      <w:pPr>
        <w:tabs>
          <w:tab w:val="num" w:pos="5580"/>
        </w:tabs>
        <w:ind w:left="5580" w:hanging="360"/>
      </w:pPr>
      <w:rPr>
        <w:rFonts w:ascii="Symbol" w:hAnsi="Symbol"/>
        <w:rtl w:val="0"/>
      </w:rPr>
    </w:lvl>
    <w:lvl w:ilvl="7">
      <w:start w:val="1"/>
      <w:numFmt w:val="bullet"/>
      <w:lvlText w:val="o"/>
      <w:lvlJc w:val="left"/>
      <w:pPr>
        <w:tabs>
          <w:tab w:val="num" w:pos="6300"/>
        </w:tabs>
        <w:ind w:left="6300" w:hanging="360"/>
      </w:pPr>
      <w:rPr>
        <w:rFonts w:ascii="Courier New" w:hAnsi="Courier New" w:cs="Courier New"/>
        <w:rtl w:val="0"/>
      </w:rPr>
    </w:lvl>
    <w:lvl w:ilvl="8">
      <w:start w:val="1"/>
      <w:numFmt w:val="bullet"/>
      <w:lvlText w:val=""/>
      <w:lvlJc w:val="left"/>
      <w:pPr>
        <w:tabs>
          <w:tab w:val="num" w:pos="7020"/>
        </w:tabs>
        <w:ind w:left="7020" w:hanging="360"/>
      </w:pPr>
      <w:rPr>
        <w:rFonts w:ascii="Wingdings" w:hAnsi="Wingdings"/>
        <w:rtl w:val="0"/>
      </w:rPr>
    </w:lvl>
  </w:abstractNum>
  <w:abstractNum w:abstractNumId="49">
    <w:nsid w:val="26BE6F9D"/>
    <w:multiLevelType w:val="hybridMultilevel"/>
    <w:tmpl w:val="333C149E"/>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0">
    <w:nsid w:val="26D2109F"/>
    <w:multiLevelType w:val="multilevel"/>
    <w:tmpl w:val="927A00FA"/>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51">
    <w:nsid w:val="27A6565C"/>
    <w:multiLevelType w:val="hybridMultilevel"/>
    <w:tmpl w:val="CEECB702"/>
    <w:lvl w:ilvl="0">
      <w:start w:val="1"/>
      <w:numFmt w:val="bullet"/>
      <w:lvlText w:val=""/>
      <w:lvlJc w:val="left"/>
      <w:pPr>
        <w:tabs>
          <w:tab w:val="num" w:pos="360"/>
        </w:tabs>
        <w:ind w:left="360" w:hanging="360"/>
      </w:pPr>
      <w:rPr>
        <w:rFonts w:ascii="Wingdings" w:hAnsi="Wingdings"/>
        <w:rtl w:val="0"/>
      </w:rPr>
    </w:lvl>
    <w:lvl w:ilvl="1">
      <w:start w:val="1"/>
      <w:numFmt w:val="bullet"/>
      <w:lvlText w:val=""/>
      <w:lvlJc w:val="left"/>
      <w:pPr>
        <w:tabs>
          <w:tab w:val="num" w:pos="1080"/>
        </w:tabs>
        <w:ind w:left="1080" w:hanging="360"/>
      </w:pPr>
      <w:rPr>
        <w:rFonts w:ascii="Symbol" w:hAnsi="Symbol"/>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52">
    <w:nsid w:val="28A27B38"/>
    <w:multiLevelType w:val="hybridMultilevel"/>
    <w:tmpl w:val="D5A008B2"/>
    <w:lvl w:ilvl="0">
      <w:start w:val="3"/>
      <w:numFmt w:val="bullet"/>
      <w:lvlText w:val="-"/>
      <w:lvlJc w:val="left"/>
      <w:pPr>
        <w:tabs>
          <w:tab w:val="num" w:pos="720"/>
        </w:tabs>
        <w:ind w:left="720" w:hanging="360"/>
      </w:pPr>
      <w:rPr>
        <w:rFonts w:ascii="Arial Narrow" w:hAnsi="Arial Narrow"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3">
    <w:nsid w:val="28CA7DD8"/>
    <w:multiLevelType w:val="hybridMultilevel"/>
    <w:tmpl w:val="52B8EA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29514E6D"/>
    <w:multiLevelType w:val="hybridMultilevel"/>
    <w:tmpl w:val="8FD0B1FA"/>
    <w:lvl w:ilvl="0">
      <w:start w:val="2"/>
      <w:numFmt w:val="bullet"/>
      <w:lvlText w:val=""/>
      <w:lvlJc w:val="left"/>
      <w:pPr>
        <w:tabs>
          <w:tab w:val="num" w:pos="2060"/>
        </w:tabs>
        <w:ind w:left="2060" w:hanging="360"/>
      </w:pPr>
      <w:rPr>
        <w:rFonts w:ascii="Symbol" w:hAnsi="Symbol" w:cs="Arial"/>
        <w:rtl w:val="0"/>
      </w:rPr>
    </w:lvl>
    <w:lvl w:ilvl="1">
      <w:start w:val="1"/>
      <w:numFmt w:val="bullet"/>
      <w:lvlText w:val="o"/>
      <w:lvlJc w:val="left"/>
      <w:pPr>
        <w:tabs>
          <w:tab w:val="num" w:pos="2780"/>
        </w:tabs>
        <w:ind w:left="2780" w:hanging="360"/>
      </w:pPr>
      <w:rPr>
        <w:rFonts w:ascii="Courier New" w:hAnsi="Courier New" w:cs="Courier New"/>
        <w:rtl w:val="0"/>
      </w:rPr>
    </w:lvl>
    <w:lvl w:ilvl="2">
      <w:start w:val="1"/>
      <w:numFmt w:val="bullet"/>
      <w:lvlText w:val=""/>
      <w:lvlJc w:val="left"/>
      <w:pPr>
        <w:tabs>
          <w:tab w:val="num" w:pos="3500"/>
        </w:tabs>
        <w:ind w:left="3500" w:hanging="360"/>
      </w:pPr>
      <w:rPr>
        <w:rFonts w:ascii="Wingdings" w:hAnsi="Wingdings"/>
        <w:rtl w:val="0"/>
      </w:rPr>
    </w:lvl>
    <w:lvl w:ilvl="3">
      <w:start w:val="1"/>
      <w:numFmt w:val="bullet"/>
      <w:lvlText w:val=""/>
      <w:lvlJc w:val="left"/>
      <w:pPr>
        <w:tabs>
          <w:tab w:val="num" w:pos="4220"/>
        </w:tabs>
        <w:ind w:left="4220" w:hanging="360"/>
      </w:pPr>
      <w:rPr>
        <w:rFonts w:ascii="Symbol" w:hAnsi="Symbol"/>
        <w:rtl w:val="0"/>
      </w:rPr>
    </w:lvl>
    <w:lvl w:ilvl="4">
      <w:start w:val="1"/>
      <w:numFmt w:val="bullet"/>
      <w:lvlText w:val="o"/>
      <w:lvlJc w:val="left"/>
      <w:pPr>
        <w:tabs>
          <w:tab w:val="num" w:pos="4940"/>
        </w:tabs>
        <w:ind w:left="4940" w:hanging="360"/>
      </w:pPr>
      <w:rPr>
        <w:rFonts w:ascii="Courier New" w:hAnsi="Courier New" w:cs="Courier New"/>
        <w:rtl w:val="0"/>
      </w:rPr>
    </w:lvl>
    <w:lvl w:ilvl="5">
      <w:start w:val="1"/>
      <w:numFmt w:val="bullet"/>
      <w:lvlText w:val=""/>
      <w:lvlJc w:val="left"/>
      <w:pPr>
        <w:tabs>
          <w:tab w:val="num" w:pos="5660"/>
        </w:tabs>
        <w:ind w:left="5660" w:hanging="360"/>
      </w:pPr>
      <w:rPr>
        <w:rFonts w:ascii="Wingdings" w:hAnsi="Wingdings"/>
        <w:rtl w:val="0"/>
      </w:rPr>
    </w:lvl>
    <w:lvl w:ilvl="6">
      <w:start w:val="1"/>
      <w:numFmt w:val="bullet"/>
      <w:lvlText w:val=""/>
      <w:lvlJc w:val="left"/>
      <w:pPr>
        <w:tabs>
          <w:tab w:val="num" w:pos="6380"/>
        </w:tabs>
        <w:ind w:left="6380" w:hanging="360"/>
      </w:pPr>
      <w:rPr>
        <w:rFonts w:ascii="Symbol" w:hAnsi="Symbol"/>
        <w:rtl w:val="0"/>
      </w:rPr>
    </w:lvl>
    <w:lvl w:ilvl="7">
      <w:start w:val="1"/>
      <w:numFmt w:val="bullet"/>
      <w:lvlText w:val="o"/>
      <w:lvlJc w:val="left"/>
      <w:pPr>
        <w:tabs>
          <w:tab w:val="num" w:pos="7100"/>
        </w:tabs>
        <w:ind w:left="7100" w:hanging="360"/>
      </w:pPr>
      <w:rPr>
        <w:rFonts w:ascii="Courier New" w:hAnsi="Courier New" w:cs="Courier New"/>
        <w:rtl w:val="0"/>
      </w:rPr>
    </w:lvl>
    <w:lvl w:ilvl="8">
      <w:start w:val="1"/>
      <w:numFmt w:val="bullet"/>
      <w:lvlText w:val=""/>
      <w:lvlJc w:val="left"/>
      <w:pPr>
        <w:tabs>
          <w:tab w:val="num" w:pos="7820"/>
        </w:tabs>
        <w:ind w:left="7820" w:hanging="360"/>
      </w:pPr>
      <w:rPr>
        <w:rFonts w:ascii="Wingdings" w:hAnsi="Wingdings"/>
        <w:rtl w:val="0"/>
      </w:rPr>
    </w:lvl>
  </w:abstractNum>
  <w:abstractNum w:abstractNumId="55">
    <w:nsid w:val="2A327130"/>
    <w:multiLevelType w:val="hybridMultilevel"/>
    <w:tmpl w:val="1110E146"/>
    <w:lvl w:ilvl="0">
      <w:start w:val="1"/>
      <w:numFmt w:val="bullet"/>
      <w:lvlText w:val="–"/>
      <w:lvlJc w:val="left"/>
      <w:pPr>
        <w:tabs>
          <w:tab w:val="num" w:pos="567"/>
        </w:tabs>
        <w:ind w:left="567" w:hanging="283"/>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6">
    <w:nsid w:val="2DED0930"/>
    <w:multiLevelType w:val="hybridMultilevel"/>
    <w:tmpl w:val="6C72E128"/>
    <w:lvl w:ilvl="0">
      <w:start w:val="1"/>
      <w:numFmt w:val="bullet"/>
      <w:lvlText w:val="–"/>
      <w:lvlJc w:val="left"/>
      <w:pPr>
        <w:tabs>
          <w:tab w:val="num" w:pos="926"/>
        </w:tabs>
        <w:ind w:left="926" w:hanging="283"/>
      </w:pPr>
      <w:rPr>
        <w:rFonts w:ascii="Times New Roman" w:hAnsi="Times New Roman" w:cs="Times New Roman"/>
        <w:rtl w:val="0"/>
      </w:rPr>
    </w:lvl>
    <w:lvl w:ilvl="1">
      <w:start w:val="1"/>
      <w:numFmt w:val="bullet"/>
      <w:lvlText w:val="o"/>
      <w:lvlJc w:val="left"/>
      <w:pPr>
        <w:tabs>
          <w:tab w:val="num" w:pos="2507"/>
        </w:tabs>
        <w:ind w:left="2507" w:hanging="360"/>
      </w:pPr>
      <w:rPr>
        <w:rFonts w:ascii="Courier New" w:hAnsi="Courier New"/>
        <w:rtl w:val="0"/>
      </w:rPr>
    </w:lvl>
    <w:lvl w:ilvl="2">
      <w:start w:val="1"/>
      <w:numFmt w:val="bullet"/>
      <w:lvlText w:val=""/>
      <w:lvlJc w:val="left"/>
      <w:pPr>
        <w:tabs>
          <w:tab w:val="num" w:pos="3227"/>
        </w:tabs>
        <w:ind w:left="3227" w:hanging="360"/>
      </w:pPr>
      <w:rPr>
        <w:rFonts w:ascii="Wingdings" w:hAnsi="Wingdings"/>
        <w:rtl w:val="0"/>
      </w:rPr>
    </w:lvl>
    <w:lvl w:ilvl="3">
      <w:start w:val="1"/>
      <w:numFmt w:val="bullet"/>
      <w:lvlText w:val=""/>
      <w:lvlJc w:val="left"/>
      <w:pPr>
        <w:tabs>
          <w:tab w:val="num" w:pos="3947"/>
        </w:tabs>
        <w:ind w:left="3947" w:hanging="360"/>
      </w:pPr>
      <w:rPr>
        <w:rFonts w:ascii="Symbol" w:hAnsi="Symbol"/>
        <w:rtl w:val="0"/>
      </w:rPr>
    </w:lvl>
    <w:lvl w:ilvl="4">
      <w:start w:val="1"/>
      <w:numFmt w:val="bullet"/>
      <w:lvlText w:val="o"/>
      <w:lvlJc w:val="left"/>
      <w:pPr>
        <w:tabs>
          <w:tab w:val="num" w:pos="4667"/>
        </w:tabs>
        <w:ind w:left="4667" w:hanging="360"/>
      </w:pPr>
      <w:rPr>
        <w:rFonts w:ascii="Courier New" w:hAnsi="Courier New"/>
        <w:rtl w:val="0"/>
      </w:rPr>
    </w:lvl>
    <w:lvl w:ilvl="5">
      <w:start w:val="1"/>
      <w:numFmt w:val="bullet"/>
      <w:lvlText w:val=""/>
      <w:lvlJc w:val="left"/>
      <w:pPr>
        <w:tabs>
          <w:tab w:val="num" w:pos="5387"/>
        </w:tabs>
        <w:ind w:left="5387" w:hanging="360"/>
      </w:pPr>
      <w:rPr>
        <w:rFonts w:ascii="Wingdings" w:hAnsi="Wingdings"/>
        <w:rtl w:val="0"/>
      </w:rPr>
    </w:lvl>
    <w:lvl w:ilvl="6">
      <w:start w:val="1"/>
      <w:numFmt w:val="bullet"/>
      <w:lvlText w:val=""/>
      <w:lvlJc w:val="left"/>
      <w:pPr>
        <w:tabs>
          <w:tab w:val="num" w:pos="6107"/>
        </w:tabs>
        <w:ind w:left="6107" w:hanging="360"/>
      </w:pPr>
      <w:rPr>
        <w:rFonts w:ascii="Symbol" w:hAnsi="Symbol"/>
        <w:rtl w:val="0"/>
      </w:rPr>
    </w:lvl>
    <w:lvl w:ilvl="7">
      <w:start w:val="1"/>
      <w:numFmt w:val="bullet"/>
      <w:lvlText w:val="o"/>
      <w:lvlJc w:val="left"/>
      <w:pPr>
        <w:tabs>
          <w:tab w:val="num" w:pos="6827"/>
        </w:tabs>
        <w:ind w:left="6827" w:hanging="360"/>
      </w:pPr>
      <w:rPr>
        <w:rFonts w:ascii="Courier New" w:hAnsi="Courier New"/>
        <w:rtl w:val="0"/>
      </w:rPr>
    </w:lvl>
    <w:lvl w:ilvl="8">
      <w:start w:val="1"/>
      <w:numFmt w:val="bullet"/>
      <w:lvlText w:val=""/>
      <w:lvlJc w:val="left"/>
      <w:pPr>
        <w:tabs>
          <w:tab w:val="num" w:pos="7547"/>
        </w:tabs>
        <w:ind w:left="7547" w:hanging="360"/>
      </w:pPr>
      <w:rPr>
        <w:rFonts w:ascii="Wingdings" w:hAnsi="Wingdings"/>
        <w:rtl w:val="0"/>
      </w:rPr>
    </w:lvl>
  </w:abstractNum>
  <w:abstractNum w:abstractNumId="57">
    <w:nsid w:val="2F6A2EF4"/>
    <w:multiLevelType w:val="hybridMultilevel"/>
    <w:tmpl w:val="D32004A6"/>
    <w:lvl w:ilvl="0">
      <w:start w:val="1"/>
      <w:numFmt w:val="bullet"/>
      <w:lvlText w:val=""/>
      <w:lvlJc w:val="left"/>
      <w:pPr>
        <w:tabs>
          <w:tab w:val="num" w:pos="360"/>
        </w:tabs>
        <w:ind w:left="360" w:hanging="360"/>
      </w:pPr>
      <w:rPr>
        <w:rFonts w:ascii="Wingdings" w:hAnsi="Wingdings"/>
        <w:rtl w:val="0"/>
      </w:rPr>
    </w:lvl>
    <w:lvl w:ilvl="1">
      <w:start w:val="1"/>
      <w:numFmt w:val="bullet"/>
      <w:lvlText w:val=""/>
      <w:lvlJc w:val="left"/>
      <w:pPr>
        <w:tabs>
          <w:tab w:val="num" w:pos="1080"/>
        </w:tabs>
        <w:ind w:left="1080" w:hanging="360"/>
      </w:pPr>
      <w:rPr>
        <w:rFonts w:ascii="Symbol" w:hAnsi="Symbol"/>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58">
    <w:nsid w:val="30AD0B61"/>
    <w:multiLevelType w:val="hybridMultilevel"/>
    <w:tmpl w:val="5E5ECB8A"/>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9">
    <w:nsid w:val="30D10CD7"/>
    <w:multiLevelType w:val="hybridMultilevel"/>
    <w:tmpl w:val="9010254E"/>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0">
    <w:nsid w:val="30EC7E49"/>
    <w:multiLevelType w:val="hybridMultilevel"/>
    <w:tmpl w:val="F16C6362"/>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1">
    <w:nsid w:val="324D65FE"/>
    <w:multiLevelType w:val="hybridMultilevel"/>
    <w:tmpl w:val="F1DC0D10"/>
    <w:lvl w:ilvl="0">
      <w:start w:val="0"/>
      <w:numFmt w:val="bullet"/>
      <w:lvlText w:val=""/>
      <w:lvlJc w:val="left"/>
      <w:pPr>
        <w:tabs>
          <w:tab w:val="num" w:pos="720"/>
        </w:tabs>
        <w:ind w:left="720" w:hanging="360"/>
      </w:pPr>
      <w:rPr>
        <w:rFonts w:ascii="Symbol" w:hAnsi="Symbol"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2">
    <w:nsid w:val="33173C68"/>
    <w:multiLevelType w:val="hybridMultilevel"/>
    <w:tmpl w:val="32963212"/>
    <w:lvl w:ilvl="0">
      <w:start w:val="2"/>
      <w:numFmt w:val="bullet"/>
      <w:lvlText w:val="–"/>
      <w:lvlJc w:val="left"/>
      <w:pPr>
        <w:tabs>
          <w:tab w:val="num" w:pos="644"/>
        </w:tabs>
        <w:ind w:left="567" w:hanging="283"/>
      </w:pPr>
      <w:rPr>
        <w:rFonts w:ascii="Times New Roman" w:hAnsi="Times New Roman" w:cs="Times New Roman"/>
        <w:rtl w:val="0"/>
      </w:rPr>
    </w:lvl>
    <w:lvl w:ilvl="1">
      <w:start w:val="2"/>
      <w:numFmt w:val="bullet"/>
      <w:lvlText w:val=""/>
      <w:lvlJc w:val="left"/>
      <w:pPr>
        <w:tabs>
          <w:tab w:val="num" w:pos="1366"/>
        </w:tabs>
        <w:ind w:left="1366" w:hanging="289"/>
      </w:pPr>
      <w:rPr>
        <w:rFonts w:ascii="Symbol" w:hAnsi="Symbol"/>
        <w:rtl w:val="0"/>
      </w:rPr>
    </w:lvl>
    <w:lvl w:ilvl="2">
      <w:start w:val="2"/>
      <w:numFmt w:val="bullet"/>
      <w:lvlText w:val="–"/>
      <w:lvlJc w:val="left"/>
      <w:pPr>
        <w:tabs>
          <w:tab w:val="num" w:pos="567"/>
        </w:tabs>
        <w:ind w:left="567" w:hanging="283"/>
      </w:pPr>
      <w:rPr>
        <w:rFonts w:ascii="Times New Roman" w:hAnsi="Times New Roman" w:cs="Times New Roman"/>
        <w:rtl w:val="0"/>
      </w:rPr>
    </w:lvl>
    <w:lvl w:ilvl="3">
      <w:start w:val="1"/>
      <w:numFmt w:val="bullet"/>
      <w:lvlText w:val=""/>
      <w:lvlJc w:val="left"/>
      <w:pPr>
        <w:tabs>
          <w:tab w:val="num" w:pos="2935"/>
        </w:tabs>
        <w:ind w:left="2935" w:hanging="360"/>
      </w:pPr>
      <w:rPr>
        <w:rFonts w:ascii="Symbol" w:hAnsi="Symbol"/>
        <w:rtl w:val="0"/>
      </w:rPr>
    </w:lvl>
    <w:lvl w:ilvl="4">
      <w:start w:val="1"/>
      <w:numFmt w:val="bullet"/>
      <w:lvlText w:val="o"/>
      <w:lvlJc w:val="left"/>
      <w:pPr>
        <w:tabs>
          <w:tab w:val="num" w:pos="3655"/>
        </w:tabs>
        <w:ind w:left="3655" w:hanging="360"/>
      </w:pPr>
      <w:rPr>
        <w:rFonts w:ascii="Courier New" w:hAnsi="Courier New"/>
        <w:rtl w:val="0"/>
      </w:rPr>
    </w:lvl>
    <w:lvl w:ilvl="5">
      <w:start w:val="1"/>
      <w:numFmt w:val="bullet"/>
      <w:lvlText w:val=""/>
      <w:lvlJc w:val="left"/>
      <w:pPr>
        <w:tabs>
          <w:tab w:val="num" w:pos="4375"/>
        </w:tabs>
        <w:ind w:left="4375" w:hanging="360"/>
      </w:pPr>
      <w:rPr>
        <w:rFonts w:ascii="Wingdings" w:hAnsi="Wingdings"/>
        <w:rtl w:val="0"/>
      </w:rPr>
    </w:lvl>
    <w:lvl w:ilvl="6">
      <w:start w:val="1"/>
      <w:numFmt w:val="bullet"/>
      <w:lvlText w:val=""/>
      <w:lvlJc w:val="left"/>
      <w:pPr>
        <w:tabs>
          <w:tab w:val="num" w:pos="5095"/>
        </w:tabs>
        <w:ind w:left="5095" w:hanging="360"/>
      </w:pPr>
      <w:rPr>
        <w:rFonts w:ascii="Symbol" w:hAnsi="Symbol"/>
        <w:rtl w:val="0"/>
      </w:rPr>
    </w:lvl>
    <w:lvl w:ilvl="7">
      <w:start w:val="1"/>
      <w:numFmt w:val="bullet"/>
      <w:lvlText w:val="o"/>
      <w:lvlJc w:val="left"/>
      <w:pPr>
        <w:tabs>
          <w:tab w:val="num" w:pos="5815"/>
        </w:tabs>
        <w:ind w:left="5815" w:hanging="360"/>
      </w:pPr>
      <w:rPr>
        <w:rFonts w:ascii="Courier New" w:hAnsi="Courier New"/>
        <w:rtl w:val="0"/>
      </w:rPr>
    </w:lvl>
    <w:lvl w:ilvl="8">
      <w:start w:val="1"/>
      <w:numFmt w:val="bullet"/>
      <w:lvlText w:val=""/>
      <w:lvlJc w:val="left"/>
      <w:pPr>
        <w:tabs>
          <w:tab w:val="num" w:pos="6535"/>
        </w:tabs>
        <w:ind w:left="6535" w:hanging="360"/>
      </w:pPr>
      <w:rPr>
        <w:rFonts w:ascii="Wingdings" w:hAnsi="Wingdings"/>
        <w:rtl w:val="0"/>
      </w:rPr>
    </w:lvl>
  </w:abstractNum>
  <w:abstractNum w:abstractNumId="63">
    <w:nsid w:val="338F3533"/>
    <w:multiLevelType w:val="multilevel"/>
    <w:tmpl w:val="2C0E8DE2"/>
    <w:lvl w:ilvl="0">
      <w:start w:val="1"/>
      <w:numFmt w:val="decimal"/>
      <w:lvlText w:val="%1"/>
      <w:lvlJc w:val="left"/>
      <w:pPr>
        <w:tabs>
          <w:tab w:val="num" w:pos="360"/>
        </w:tabs>
        <w:ind w:left="360" w:hanging="360"/>
      </w:pPr>
    </w:lvl>
    <w:lvl w:ilvl="1">
      <w:start w:val="1"/>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104"/>
        </w:tabs>
        <w:ind w:left="7104" w:hanging="1440"/>
      </w:pPr>
    </w:lvl>
  </w:abstractNum>
  <w:abstractNum w:abstractNumId="64">
    <w:nsid w:val="33DC391F"/>
    <w:multiLevelType w:val="hybridMultilevel"/>
    <w:tmpl w:val="3CBC79D8"/>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3693704A"/>
    <w:multiLevelType w:val="hybridMultilevel"/>
    <w:tmpl w:val="153C097C"/>
    <w:lvl w:ilvl="0">
      <w:start w:val="2"/>
      <w:numFmt w:val="bullet"/>
      <w:lvlText w:val="–"/>
      <w:lvlJc w:val="left"/>
      <w:pPr>
        <w:tabs>
          <w:tab w:val="num" w:pos="644"/>
        </w:tabs>
        <w:ind w:left="567" w:hanging="283"/>
      </w:pPr>
      <w:rPr>
        <w:rFonts w:ascii="Arial Narrow" w:hAnsi="Arial Narrow"/>
        <w:rtl w:val="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6">
    <w:nsid w:val="372E0EE7"/>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nsid w:val="37514D63"/>
    <w:multiLevelType w:val="multilevel"/>
    <w:tmpl w:val="FB2A2DE6"/>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964"/>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nsid w:val="3A035790"/>
    <w:multiLevelType w:val="hybridMultilevel"/>
    <w:tmpl w:val="D6061B4A"/>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9">
    <w:nsid w:val="3A0917CD"/>
    <w:multiLevelType w:val="hybridMultilevel"/>
    <w:tmpl w:val="A1665BC0"/>
    <w:lvl w:ilvl="0">
      <w:start w:val="1"/>
      <w:numFmt w:val="bullet"/>
      <w:lvlText w:val="▪"/>
      <w:lvlJc w:val="left"/>
      <w:pPr>
        <w:tabs>
          <w:tab w:val="num" w:pos="612"/>
        </w:tabs>
        <w:ind w:left="612" w:hanging="283"/>
      </w:pPr>
      <w:rPr>
        <w:rFonts w:ascii="Times New Roman" w:hAnsi="Times New Roman" w:cs="Times New Roman"/>
        <w:rtl w:val="0"/>
      </w:rPr>
    </w:lvl>
    <w:lvl w:ilvl="1">
      <w:start w:val="1"/>
      <w:numFmt w:val="bullet"/>
      <w:lvlText w:val="–"/>
      <w:lvlJc w:val="left"/>
      <w:pPr>
        <w:tabs>
          <w:tab w:val="num" w:pos="1440"/>
        </w:tabs>
        <w:ind w:left="1440" w:hanging="360"/>
      </w:pPr>
      <w:rPr>
        <w:rFonts w:ascii="Times New Roman" w:hAnsi="Times New Roman" w:cs="Times New Roman"/>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0">
    <w:nsid w:val="3A202970"/>
    <w:multiLevelType w:val="multilevel"/>
    <w:tmpl w:val="7A3A6F2C"/>
    <w:lvl w:ilvl="0">
      <w:start w:val="1"/>
      <w:numFmt w:val="decimal"/>
      <w:lvlText w:val="%1/"/>
      <w:lvlJc w:val="left"/>
      <w:pPr>
        <w:tabs>
          <w:tab w:val="num" w:pos="113"/>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3AC26494"/>
    <w:multiLevelType w:val="hybridMultilevel"/>
    <w:tmpl w:val="7D5800DE"/>
    <w:lvl w:ilvl="0">
      <w:start w:val="2"/>
      <w:numFmt w:val="bullet"/>
      <w:lvlText w:val="–"/>
      <w:lvlJc w:val="left"/>
      <w:pPr>
        <w:tabs>
          <w:tab w:val="num" w:pos="567"/>
        </w:tabs>
        <w:ind w:left="567" w:hanging="283"/>
      </w:pPr>
      <w:rPr>
        <w:rFonts w:ascii="Times New Roman" w:hAnsi="Times New Roman" w:cs="Times New Roman"/>
        <w:rtl w:val="0"/>
      </w:rPr>
    </w:lvl>
    <w:lvl w:ilvl="1">
      <w:start w:val="2"/>
      <w:numFmt w:val="bullet"/>
      <w:lvlText w:val=""/>
      <w:lvlJc w:val="left"/>
      <w:pPr>
        <w:tabs>
          <w:tab w:val="num" w:pos="1437"/>
        </w:tabs>
        <w:ind w:left="1418" w:hanging="341"/>
      </w:pPr>
      <w:rPr>
        <w:rFonts w:ascii="Symbol" w:hAnsi="Symbol"/>
        <w:rtl w:val="0"/>
      </w:rPr>
    </w:lvl>
    <w:lvl w:ilvl="2">
      <w:start w:val="2"/>
      <w:numFmt w:val="bullet"/>
      <w:lvlText w:val="–"/>
      <w:lvlJc w:val="left"/>
      <w:pPr>
        <w:tabs>
          <w:tab w:val="num" w:pos="567"/>
        </w:tabs>
        <w:ind w:left="567" w:hanging="283"/>
      </w:pPr>
      <w:rPr>
        <w:rFonts w:ascii="Times New Roman" w:hAnsi="Times New Roman" w:cs="Times New Roman"/>
        <w:rtl w:val="0"/>
      </w:rPr>
    </w:lvl>
    <w:lvl w:ilvl="3">
      <w:start w:val="1"/>
      <w:numFmt w:val="bullet"/>
      <w:lvlText w:val=""/>
      <w:lvlJc w:val="left"/>
      <w:pPr>
        <w:tabs>
          <w:tab w:val="num" w:pos="2935"/>
        </w:tabs>
        <w:ind w:left="2935" w:hanging="360"/>
      </w:pPr>
      <w:rPr>
        <w:rFonts w:ascii="Symbol" w:hAnsi="Symbol"/>
        <w:rtl w:val="0"/>
      </w:rPr>
    </w:lvl>
    <w:lvl w:ilvl="4">
      <w:start w:val="1"/>
      <w:numFmt w:val="bullet"/>
      <w:lvlText w:val="o"/>
      <w:lvlJc w:val="left"/>
      <w:pPr>
        <w:tabs>
          <w:tab w:val="num" w:pos="3655"/>
        </w:tabs>
        <w:ind w:left="3655" w:hanging="360"/>
      </w:pPr>
      <w:rPr>
        <w:rFonts w:ascii="Courier New" w:hAnsi="Courier New"/>
        <w:rtl w:val="0"/>
      </w:rPr>
    </w:lvl>
    <w:lvl w:ilvl="5">
      <w:start w:val="1"/>
      <w:numFmt w:val="bullet"/>
      <w:lvlText w:val=""/>
      <w:lvlJc w:val="left"/>
      <w:pPr>
        <w:tabs>
          <w:tab w:val="num" w:pos="4375"/>
        </w:tabs>
        <w:ind w:left="4375" w:hanging="360"/>
      </w:pPr>
      <w:rPr>
        <w:rFonts w:ascii="Wingdings" w:hAnsi="Wingdings"/>
        <w:rtl w:val="0"/>
      </w:rPr>
    </w:lvl>
    <w:lvl w:ilvl="6">
      <w:start w:val="1"/>
      <w:numFmt w:val="bullet"/>
      <w:lvlText w:val=""/>
      <w:lvlJc w:val="left"/>
      <w:pPr>
        <w:tabs>
          <w:tab w:val="num" w:pos="5095"/>
        </w:tabs>
        <w:ind w:left="5095" w:hanging="360"/>
      </w:pPr>
      <w:rPr>
        <w:rFonts w:ascii="Symbol" w:hAnsi="Symbol"/>
        <w:rtl w:val="0"/>
      </w:rPr>
    </w:lvl>
    <w:lvl w:ilvl="7">
      <w:start w:val="1"/>
      <w:numFmt w:val="bullet"/>
      <w:lvlText w:val="o"/>
      <w:lvlJc w:val="left"/>
      <w:pPr>
        <w:tabs>
          <w:tab w:val="num" w:pos="5815"/>
        </w:tabs>
        <w:ind w:left="5815" w:hanging="360"/>
      </w:pPr>
      <w:rPr>
        <w:rFonts w:ascii="Courier New" w:hAnsi="Courier New"/>
        <w:rtl w:val="0"/>
      </w:rPr>
    </w:lvl>
    <w:lvl w:ilvl="8">
      <w:start w:val="1"/>
      <w:numFmt w:val="bullet"/>
      <w:lvlText w:val=""/>
      <w:lvlJc w:val="left"/>
      <w:pPr>
        <w:tabs>
          <w:tab w:val="num" w:pos="6535"/>
        </w:tabs>
        <w:ind w:left="6535" w:hanging="360"/>
      </w:pPr>
      <w:rPr>
        <w:rFonts w:ascii="Wingdings" w:hAnsi="Wingdings"/>
        <w:rtl w:val="0"/>
      </w:rPr>
    </w:lvl>
  </w:abstractNum>
  <w:abstractNum w:abstractNumId="72">
    <w:nsid w:val="3CE73C1F"/>
    <w:multiLevelType w:val="hybridMultilevel"/>
    <w:tmpl w:val="63C4E046"/>
    <w:lvl w:ilvl="0">
      <w:start w:val="8"/>
      <w:numFmt w:val="bullet"/>
      <w:lvlText w:val="–"/>
      <w:lvlJc w:val="left"/>
      <w:pPr>
        <w:tabs>
          <w:tab w:val="num" w:pos="612"/>
        </w:tabs>
        <w:ind w:left="612"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3">
    <w:nsid w:val="3D3F5E22"/>
    <w:multiLevelType w:val="hybridMultilevel"/>
    <w:tmpl w:val="F07EB1A0"/>
    <w:lvl w:ilvl="0">
      <w:start w:val="0"/>
      <w:numFmt w:val="bullet"/>
      <w:lvlText w:val="-"/>
      <w:lvlJc w:val="left"/>
      <w:pPr>
        <w:tabs>
          <w:tab w:val="num" w:pos="420"/>
        </w:tabs>
        <w:ind w:left="420" w:hanging="360"/>
      </w:p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4">
    <w:nsid w:val="3D6D328A"/>
    <w:multiLevelType w:val="hybridMultilevel"/>
    <w:tmpl w:val="15C0E056"/>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744"/>
        </w:tabs>
        <w:ind w:left="1744" w:hanging="360"/>
      </w:pPr>
      <w:rPr>
        <w:rFonts w:ascii="Courier New" w:hAnsi="Courier New"/>
        <w:rtl w:val="0"/>
      </w:rPr>
    </w:lvl>
    <w:lvl w:ilvl="2">
      <w:start w:val="1"/>
      <w:numFmt w:val="bullet"/>
      <w:lvlText w:val=""/>
      <w:lvlJc w:val="left"/>
      <w:pPr>
        <w:tabs>
          <w:tab w:val="num" w:pos="2464"/>
        </w:tabs>
        <w:ind w:left="2464" w:hanging="360"/>
      </w:pPr>
      <w:rPr>
        <w:rFonts w:ascii="Wingdings" w:hAnsi="Wingdings"/>
        <w:rtl w:val="0"/>
      </w:rPr>
    </w:lvl>
    <w:lvl w:ilvl="3">
      <w:start w:val="1"/>
      <w:numFmt w:val="bullet"/>
      <w:lvlText w:val=""/>
      <w:lvlJc w:val="left"/>
      <w:pPr>
        <w:tabs>
          <w:tab w:val="num" w:pos="3184"/>
        </w:tabs>
        <w:ind w:left="3184" w:hanging="360"/>
      </w:pPr>
      <w:rPr>
        <w:rFonts w:ascii="Symbol" w:hAnsi="Symbol"/>
        <w:rtl w:val="0"/>
      </w:rPr>
    </w:lvl>
    <w:lvl w:ilvl="4">
      <w:start w:val="1"/>
      <w:numFmt w:val="bullet"/>
      <w:lvlText w:val="o"/>
      <w:lvlJc w:val="left"/>
      <w:pPr>
        <w:tabs>
          <w:tab w:val="num" w:pos="3904"/>
        </w:tabs>
        <w:ind w:left="3904" w:hanging="360"/>
      </w:pPr>
      <w:rPr>
        <w:rFonts w:ascii="Courier New" w:hAnsi="Courier New"/>
        <w:rtl w:val="0"/>
      </w:rPr>
    </w:lvl>
    <w:lvl w:ilvl="5">
      <w:start w:val="1"/>
      <w:numFmt w:val="bullet"/>
      <w:lvlText w:val=""/>
      <w:lvlJc w:val="left"/>
      <w:pPr>
        <w:tabs>
          <w:tab w:val="num" w:pos="4624"/>
        </w:tabs>
        <w:ind w:left="4624" w:hanging="360"/>
      </w:pPr>
      <w:rPr>
        <w:rFonts w:ascii="Wingdings" w:hAnsi="Wingdings"/>
        <w:rtl w:val="0"/>
      </w:rPr>
    </w:lvl>
    <w:lvl w:ilvl="6">
      <w:start w:val="1"/>
      <w:numFmt w:val="bullet"/>
      <w:lvlText w:val=""/>
      <w:lvlJc w:val="left"/>
      <w:pPr>
        <w:tabs>
          <w:tab w:val="num" w:pos="5344"/>
        </w:tabs>
        <w:ind w:left="5344" w:hanging="360"/>
      </w:pPr>
      <w:rPr>
        <w:rFonts w:ascii="Symbol" w:hAnsi="Symbol"/>
        <w:rtl w:val="0"/>
      </w:rPr>
    </w:lvl>
    <w:lvl w:ilvl="7">
      <w:start w:val="1"/>
      <w:numFmt w:val="bullet"/>
      <w:lvlText w:val="o"/>
      <w:lvlJc w:val="left"/>
      <w:pPr>
        <w:tabs>
          <w:tab w:val="num" w:pos="6064"/>
        </w:tabs>
        <w:ind w:left="6064" w:hanging="360"/>
      </w:pPr>
      <w:rPr>
        <w:rFonts w:ascii="Courier New" w:hAnsi="Courier New"/>
        <w:rtl w:val="0"/>
      </w:rPr>
    </w:lvl>
    <w:lvl w:ilvl="8">
      <w:start w:val="1"/>
      <w:numFmt w:val="bullet"/>
      <w:lvlText w:val=""/>
      <w:lvlJc w:val="left"/>
      <w:pPr>
        <w:tabs>
          <w:tab w:val="num" w:pos="6784"/>
        </w:tabs>
        <w:ind w:left="6784" w:hanging="360"/>
      </w:pPr>
      <w:rPr>
        <w:rFonts w:ascii="Wingdings" w:hAnsi="Wingdings"/>
        <w:rtl w:val="0"/>
      </w:rPr>
    </w:lvl>
  </w:abstractNum>
  <w:abstractNum w:abstractNumId="75">
    <w:nsid w:val="3D726F14"/>
    <w:multiLevelType w:val="hybridMultilevel"/>
    <w:tmpl w:val="5D922BB8"/>
    <w:lvl w:ilvl="0">
      <w:start w:val="1"/>
      <w:numFmt w:val="bullet"/>
      <w:lvlText w:val="·"/>
      <w:lvlJc w:val="left"/>
      <w:pPr>
        <w:tabs>
          <w:tab w:val="num" w:pos="708"/>
        </w:tabs>
        <w:ind w:left="3430" w:hanging="454"/>
      </w:pPr>
      <w:rPr>
        <w:rFonts w:ascii="Symbol" w:hAnsi="Symbol" w:cs="Symbol"/>
        <w:rtl w:val="0"/>
      </w:rPr>
    </w:lvl>
    <w:lvl w:ilvl="1">
      <w:start w:val="1"/>
      <w:numFmt w:val="bullet"/>
      <w:lvlText w:val="o"/>
      <w:lvlJc w:val="left"/>
      <w:pPr>
        <w:tabs>
          <w:tab w:val="num" w:pos="2148"/>
        </w:tabs>
        <w:ind w:left="2148" w:hanging="360"/>
      </w:pPr>
      <w:rPr>
        <w:rFonts w:ascii="Courier New" w:hAnsi="Courier New" w:cs="Courier New"/>
        <w:rtl w:val="0"/>
      </w:rPr>
    </w:lvl>
    <w:lvl w:ilvl="2">
      <w:start w:val="1"/>
      <w:numFmt w:val="bullet"/>
      <w:lvlText w:val=""/>
      <w:lvlJc w:val="left"/>
      <w:pPr>
        <w:tabs>
          <w:tab w:val="num" w:pos="2868"/>
        </w:tabs>
        <w:ind w:left="2868" w:hanging="360"/>
      </w:pPr>
      <w:rPr>
        <w:rFonts w:ascii="Wingdings" w:hAnsi="Wingdings"/>
        <w:rtl w:val="0"/>
      </w:rPr>
    </w:lvl>
    <w:lvl w:ilvl="3">
      <w:start w:val="1"/>
      <w:numFmt w:val="bullet"/>
      <w:lvlText w:val=""/>
      <w:lvlJc w:val="left"/>
      <w:pPr>
        <w:tabs>
          <w:tab w:val="num" w:pos="3588"/>
        </w:tabs>
        <w:ind w:left="3588" w:hanging="360"/>
      </w:pPr>
      <w:rPr>
        <w:rFonts w:ascii="Symbol" w:hAnsi="Symbol"/>
        <w:rtl w:val="0"/>
      </w:rPr>
    </w:lvl>
    <w:lvl w:ilvl="4">
      <w:start w:val="1"/>
      <w:numFmt w:val="bullet"/>
      <w:lvlText w:val="o"/>
      <w:lvlJc w:val="left"/>
      <w:pPr>
        <w:tabs>
          <w:tab w:val="num" w:pos="4308"/>
        </w:tabs>
        <w:ind w:left="4308" w:hanging="360"/>
      </w:pPr>
      <w:rPr>
        <w:rFonts w:ascii="Courier New" w:hAnsi="Courier New" w:cs="Courier New"/>
        <w:rtl w:val="0"/>
      </w:rPr>
    </w:lvl>
    <w:lvl w:ilvl="5">
      <w:start w:val="1"/>
      <w:numFmt w:val="bullet"/>
      <w:lvlText w:val=""/>
      <w:lvlJc w:val="left"/>
      <w:pPr>
        <w:tabs>
          <w:tab w:val="num" w:pos="5028"/>
        </w:tabs>
        <w:ind w:left="5028" w:hanging="360"/>
      </w:pPr>
      <w:rPr>
        <w:rFonts w:ascii="Wingdings" w:hAnsi="Wingdings"/>
        <w:rtl w:val="0"/>
      </w:rPr>
    </w:lvl>
    <w:lvl w:ilvl="6">
      <w:start w:val="1"/>
      <w:numFmt w:val="bullet"/>
      <w:lvlText w:val=""/>
      <w:lvlJc w:val="left"/>
      <w:pPr>
        <w:tabs>
          <w:tab w:val="num" w:pos="5748"/>
        </w:tabs>
        <w:ind w:left="5748" w:hanging="360"/>
      </w:pPr>
      <w:rPr>
        <w:rFonts w:ascii="Symbol" w:hAnsi="Symbol"/>
        <w:rtl w:val="0"/>
      </w:rPr>
    </w:lvl>
    <w:lvl w:ilvl="7">
      <w:start w:val="1"/>
      <w:numFmt w:val="bullet"/>
      <w:lvlText w:val="o"/>
      <w:lvlJc w:val="left"/>
      <w:pPr>
        <w:tabs>
          <w:tab w:val="num" w:pos="6468"/>
        </w:tabs>
        <w:ind w:left="6468" w:hanging="360"/>
      </w:pPr>
      <w:rPr>
        <w:rFonts w:ascii="Courier New" w:hAnsi="Courier New" w:cs="Courier New"/>
        <w:rtl w:val="0"/>
      </w:rPr>
    </w:lvl>
    <w:lvl w:ilvl="8">
      <w:start w:val="1"/>
      <w:numFmt w:val="bullet"/>
      <w:lvlText w:val=""/>
      <w:lvlJc w:val="left"/>
      <w:pPr>
        <w:tabs>
          <w:tab w:val="num" w:pos="7188"/>
        </w:tabs>
        <w:ind w:left="7188" w:hanging="360"/>
      </w:pPr>
      <w:rPr>
        <w:rFonts w:ascii="Wingdings" w:hAnsi="Wingdings"/>
        <w:rtl w:val="0"/>
      </w:rPr>
    </w:lvl>
  </w:abstractNum>
  <w:abstractNum w:abstractNumId="76">
    <w:nsid w:val="3D7A2160"/>
    <w:multiLevelType w:val="hybridMultilevel"/>
    <w:tmpl w:val="8044339C"/>
    <w:lvl w:ilvl="0">
      <w:start w:val="2"/>
      <w:numFmt w:val="bullet"/>
      <w:lvlText w:val="-"/>
      <w:lvlJc w:val="left"/>
      <w:pPr>
        <w:tabs>
          <w:tab w:val="num" w:pos="1069"/>
        </w:tabs>
        <w:ind w:left="1069" w:hanging="360"/>
      </w:pPr>
      <w:rPr>
        <w:rFonts w:ascii="Times New Roman" w:hAnsi="Times New Roman" w:cs="Times New Roman"/>
        <w:rtl w:val="0"/>
      </w:rPr>
    </w:lvl>
    <w:lvl w:ilvl="1">
      <w:start w:val="1"/>
      <w:numFmt w:val="bullet"/>
      <w:lvlText w:val="o"/>
      <w:lvlJc w:val="left"/>
      <w:pPr>
        <w:tabs>
          <w:tab w:val="num" w:pos="1789"/>
        </w:tabs>
        <w:ind w:left="1789" w:hanging="360"/>
      </w:pPr>
      <w:rPr>
        <w:rFonts w:ascii="Courier New" w:hAnsi="Courier New"/>
        <w:rtl w:val="0"/>
      </w:rPr>
    </w:lvl>
    <w:lvl w:ilvl="2">
      <w:start w:val="1"/>
      <w:numFmt w:val="bullet"/>
      <w:lvlText w:val=""/>
      <w:lvlJc w:val="left"/>
      <w:pPr>
        <w:tabs>
          <w:tab w:val="num" w:pos="2509"/>
        </w:tabs>
        <w:ind w:left="2509" w:hanging="360"/>
      </w:pPr>
      <w:rPr>
        <w:rFonts w:ascii="Wingdings" w:hAnsi="Wingdings"/>
        <w:rtl w:val="0"/>
      </w:rPr>
    </w:lvl>
    <w:lvl w:ilvl="3">
      <w:start w:val="1"/>
      <w:numFmt w:val="bullet"/>
      <w:lvlText w:val=""/>
      <w:lvlJc w:val="left"/>
      <w:pPr>
        <w:tabs>
          <w:tab w:val="num" w:pos="3229"/>
        </w:tabs>
        <w:ind w:left="3229" w:hanging="360"/>
      </w:pPr>
      <w:rPr>
        <w:rFonts w:ascii="Symbol" w:hAnsi="Symbol"/>
        <w:rtl w:val="0"/>
      </w:rPr>
    </w:lvl>
    <w:lvl w:ilvl="4">
      <w:start w:val="1"/>
      <w:numFmt w:val="bullet"/>
      <w:lvlText w:val="o"/>
      <w:lvlJc w:val="left"/>
      <w:pPr>
        <w:tabs>
          <w:tab w:val="num" w:pos="3949"/>
        </w:tabs>
        <w:ind w:left="3949" w:hanging="360"/>
      </w:pPr>
      <w:rPr>
        <w:rFonts w:ascii="Courier New" w:hAnsi="Courier New"/>
        <w:rtl w:val="0"/>
      </w:rPr>
    </w:lvl>
    <w:lvl w:ilvl="5">
      <w:start w:val="1"/>
      <w:numFmt w:val="bullet"/>
      <w:lvlText w:val=""/>
      <w:lvlJc w:val="left"/>
      <w:pPr>
        <w:tabs>
          <w:tab w:val="num" w:pos="4669"/>
        </w:tabs>
        <w:ind w:left="4669" w:hanging="360"/>
      </w:pPr>
      <w:rPr>
        <w:rFonts w:ascii="Wingdings" w:hAnsi="Wingdings"/>
        <w:rtl w:val="0"/>
      </w:rPr>
    </w:lvl>
    <w:lvl w:ilvl="6">
      <w:start w:val="1"/>
      <w:numFmt w:val="bullet"/>
      <w:lvlText w:val=""/>
      <w:lvlJc w:val="left"/>
      <w:pPr>
        <w:tabs>
          <w:tab w:val="num" w:pos="5389"/>
        </w:tabs>
        <w:ind w:left="5389" w:hanging="360"/>
      </w:pPr>
      <w:rPr>
        <w:rFonts w:ascii="Symbol" w:hAnsi="Symbol"/>
        <w:rtl w:val="0"/>
      </w:rPr>
    </w:lvl>
    <w:lvl w:ilvl="7">
      <w:start w:val="1"/>
      <w:numFmt w:val="bullet"/>
      <w:lvlText w:val="o"/>
      <w:lvlJc w:val="left"/>
      <w:pPr>
        <w:tabs>
          <w:tab w:val="num" w:pos="6109"/>
        </w:tabs>
        <w:ind w:left="6109" w:hanging="360"/>
      </w:pPr>
      <w:rPr>
        <w:rFonts w:ascii="Courier New" w:hAnsi="Courier New"/>
        <w:rtl w:val="0"/>
      </w:rPr>
    </w:lvl>
    <w:lvl w:ilvl="8">
      <w:start w:val="1"/>
      <w:numFmt w:val="bullet"/>
      <w:lvlText w:val=""/>
      <w:lvlJc w:val="left"/>
      <w:pPr>
        <w:tabs>
          <w:tab w:val="num" w:pos="6829"/>
        </w:tabs>
        <w:ind w:left="6829" w:hanging="360"/>
      </w:pPr>
      <w:rPr>
        <w:rFonts w:ascii="Wingdings" w:hAnsi="Wingdings"/>
        <w:rtl w:val="0"/>
      </w:rPr>
    </w:lvl>
  </w:abstractNum>
  <w:abstractNum w:abstractNumId="77">
    <w:nsid w:val="3E132298"/>
    <w:multiLevelType w:val="hybridMultilevel"/>
    <w:tmpl w:val="9E6E6EC2"/>
    <w:lvl w:ilvl="0">
      <w:start w:val="1"/>
      <w:numFmt w:val="bullet"/>
      <w:lvlText w:val=""/>
      <w:lvlJc w:val="left"/>
      <w:pPr>
        <w:tabs>
          <w:tab w:val="num" w:pos="360"/>
        </w:tabs>
        <w:ind w:left="360" w:hanging="360"/>
      </w:pPr>
      <w:rPr>
        <w:rFonts w:ascii="Symbol" w:hAnsi="Symbol"/>
        <w:rtl w:val="0"/>
      </w:rPr>
    </w:lvl>
    <w:lvl w:ilvl="1">
      <w:start w:val="1"/>
      <w:numFmt w:val="bullet"/>
      <w:lvlText w:val="o"/>
      <w:lvlJc w:val="left"/>
      <w:pPr>
        <w:tabs>
          <w:tab w:val="num" w:pos="1080"/>
        </w:tabs>
        <w:ind w:left="1080" w:hanging="360"/>
      </w:pPr>
      <w:rPr>
        <w:rFonts w:ascii="Courier New" w:hAnsi="Courier New" w:cs="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78">
    <w:nsid w:val="3EC2587A"/>
    <w:multiLevelType w:val="hybridMultilevel"/>
    <w:tmpl w:val="19E84480"/>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3"/>
        </w:tabs>
        <w:ind w:left="2163" w:hanging="363"/>
      </w:pPr>
      <w:rPr>
        <w:rFonts w:ascii="Symbol" w:hAnsi="Symbol"/>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9">
    <w:nsid w:val="3F39347B"/>
    <w:multiLevelType w:val="multilevel"/>
    <w:tmpl w:val="418E3784"/>
    <w:lvl w:ilvl="0">
      <w:start w:val="5"/>
      <w:numFmt w:val="decimal"/>
      <w:lvlText w:val="%1."/>
      <w:lvlJc w:val="left"/>
      <w:pPr>
        <w:tabs>
          <w:tab w:val="num" w:pos="705"/>
        </w:tabs>
        <w:ind w:left="705" w:hanging="705"/>
      </w:pPr>
      <w:rPr>
        <w:rFonts w:cs="Times New Roman"/>
        <w:rtl w:val="0"/>
      </w:rPr>
    </w:lvl>
    <w:lvl w:ilvl="1">
      <w:start w:val="1"/>
      <w:numFmt w:val="decimal"/>
      <w:lvlText w:val="%1.%2."/>
      <w:lvlJc w:val="left"/>
      <w:pPr>
        <w:tabs>
          <w:tab w:val="num" w:pos="705"/>
        </w:tabs>
        <w:ind w:left="705" w:hanging="705"/>
      </w:pPr>
      <w:rPr>
        <w:rFonts w:cs="Times New Roman"/>
        <w:rtl w:val="0"/>
      </w:rPr>
    </w:lvl>
    <w:lvl w:ilvl="2">
      <w:start w:val="2"/>
      <w:numFmt w:val="decimal"/>
      <w:lvlText w:val="%1.%2.%3."/>
      <w:lvlJc w:val="left"/>
      <w:pPr>
        <w:tabs>
          <w:tab w:val="num" w:pos="720"/>
        </w:tabs>
        <w:ind w:left="720" w:hanging="720"/>
      </w:pPr>
      <w:rPr>
        <w:rFonts w:cs="Times New Roman"/>
        <w:rtl w:val="0"/>
      </w:rPr>
    </w:lvl>
    <w:lvl w:ilvl="3">
      <w:start w:val="1"/>
      <w:numFmt w:val="decimal"/>
      <w:lvlText w:val="%1.%2.%3.%4."/>
      <w:lvlJc w:val="left"/>
      <w:pPr>
        <w:tabs>
          <w:tab w:val="num" w:pos="720"/>
        </w:tabs>
        <w:ind w:left="720" w:hanging="720"/>
      </w:pPr>
      <w:rPr>
        <w:rFonts w:cs="Times New Roman"/>
        <w:rtl w:val="0"/>
      </w:rPr>
    </w:lvl>
    <w:lvl w:ilvl="4">
      <w:start w:val="1"/>
      <w:numFmt w:val="decimal"/>
      <w:lvlText w:val="%1.%2.%3.%4.%5."/>
      <w:lvlJc w:val="left"/>
      <w:pPr>
        <w:tabs>
          <w:tab w:val="num" w:pos="1080"/>
        </w:tabs>
        <w:ind w:left="1080" w:hanging="1080"/>
      </w:pPr>
      <w:rPr>
        <w:rFonts w:cs="Times New Roman"/>
        <w:rtl w:val="0"/>
      </w:rPr>
    </w:lvl>
    <w:lvl w:ilvl="5">
      <w:start w:val="1"/>
      <w:numFmt w:val="decimal"/>
      <w:lvlText w:val="%1.%2.%3.%4.%5.%6."/>
      <w:lvlJc w:val="left"/>
      <w:pPr>
        <w:tabs>
          <w:tab w:val="num" w:pos="1080"/>
        </w:tabs>
        <w:ind w:left="1080" w:hanging="1080"/>
      </w:pPr>
      <w:rPr>
        <w:rFonts w:cs="Times New Roman"/>
        <w:rtl w:val="0"/>
      </w:rPr>
    </w:lvl>
    <w:lvl w:ilvl="6">
      <w:start w:val="1"/>
      <w:numFmt w:val="decimal"/>
      <w:lvlText w:val="%1.%2.%3.%4.%5.%6.%7."/>
      <w:lvlJc w:val="left"/>
      <w:pPr>
        <w:tabs>
          <w:tab w:val="num" w:pos="1080"/>
        </w:tabs>
        <w:ind w:left="1080" w:hanging="1080"/>
      </w:pPr>
      <w:rPr>
        <w:rFonts w:cs="Times New Roman"/>
        <w:rtl w:val="0"/>
      </w:rPr>
    </w:lvl>
    <w:lvl w:ilvl="7">
      <w:start w:val="1"/>
      <w:numFmt w:val="decimal"/>
      <w:lvlText w:val="%1.%2.%3.%4.%5.%6.%7.%8."/>
      <w:lvlJc w:val="left"/>
      <w:pPr>
        <w:tabs>
          <w:tab w:val="num" w:pos="1440"/>
        </w:tabs>
        <w:ind w:left="1440" w:hanging="1440"/>
      </w:pPr>
      <w:rPr>
        <w:rFonts w:cs="Times New Roman"/>
        <w:rtl w:val="0"/>
      </w:rPr>
    </w:lvl>
    <w:lvl w:ilvl="8">
      <w:start w:val="1"/>
      <w:numFmt w:val="decimal"/>
      <w:lvlText w:val="%1.%2.%3.%4.%5.%6.%7.%8.%9."/>
      <w:lvlJc w:val="left"/>
      <w:pPr>
        <w:tabs>
          <w:tab w:val="num" w:pos="1440"/>
        </w:tabs>
        <w:ind w:left="1440" w:hanging="1440"/>
      </w:pPr>
      <w:rPr>
        <w:rFonts w:cs="Times New Roman"/>
        <w:rtl w:val="0"/>
      </w:rPr>
    </w:lvl>
  </w:abstractNum>
  <w:abstractNum w:abstractNumId="80">
    <w:nsid w:val="3F5F70B9"/>
    <w:multiLevelType w:val="hybridMultilevel"/>
    <w:tmpl w:val="0FF8F02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3FBC4A9E"/>
    <w:multiLevelType w:val="hybridMultilevel"/>
    <w:tmpl w:val="C28850BE"/>
    <w:lvl w:ilvl="0">
      <w:start w:val="2"/>
      <w:numFmt w:val="bullet"/>
      <w:lvlText w:val=""/>
      <w:lvlJc w:val="left"/>
      <w:pPr>
        <w:tabs>
          <w:tab w:val="num" w:pos="1366"/>
        </w:tabs>
        <w:ind w:left="1366" w:hanging="289"/>
      </w:pPr>
      <w:rPr>
        <w:rFonts w:ascii="Symbol" w:hAnsi="Symbol"/>
        <w:rtl w:val="0"/>
      </w:rPr>
    </w:lvl>
    <w:lvl w:ilvl="1">
      <w:start w:val="1"/>
      <w:numFmt w:val="bullet"/>
      <w:lvlText w:val=""/>
      <w:lvlJc w:val="left"/>
      <w:pPr>
        <w:tabs>
          <w:tab w:val="num" w:pos="1443"/>
        </w:tabs>
        <w:ind w:left="1443" w:hanging="363"/>
      </w:pPr>
      <w:rPr>
        <w:rFonts w:ascii="Symbol" w:hAnsi="Symbol"/>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2">
    <w:nsid w:val="405A070E"/>
    <w:multiLevelType w:val="hybridMultilevel"/>
    <w:tmpl w:val="48E27F5E"/>
    <w:lvl w:ilvl="0">
      <w:start w:val="6"/>
      <w:numFmt w:val="bullet"/>
      <w:lvlText w:val="-"/>
      <w:lvlJc w:val="left"/>
      <w:pPr>
        <w:ind w:left="720" w:hanging="360"/>
      </w:pPr>
      <w:rPr>
        <w:rFonts w:ascii="Arial Narrow" w:hAnsi="Arial Narrow" w:cs="Times New Roman"/>
        <w:rtl w:val="0"/>
      </w:rPr>
    </w:lvl>
    <w:lvl w:ilvl="1">
      <w:start w:val="1"/>
      <w:numFmt w:val="bullet"/>
      <w:lvlText w:val="o"/>
      <w:lvlJc w:val="left"/>
      <w:pPr>
        <w:ind w:left="1440" w:hanging="360"/>
      </w:pPr>
      <w:rPr>
        <w:rFonts w:ascii="Courier New" w:hAnsi="Courier New" w:cs="Courier New"/>
        <w:rtl w:val="0"/>
      </w:rPr>
    </w:lvl>
    <w:lvl w:ilvl="2">
      <w:start w:val="1"/>
      <w:numFmt w:val="bullet"/>
      <w:lvlText w:val=""/>
      <w:lvlJc w:val="left"/>
      <w:pPr>
        <w:ind w:left="2160" w:hanging="360"/>
      </w:pPr>
      <w:rPr>
        <w:rFonts w:ascii="Wingdings" w:hAnsi="Wingdings"/>
        <w:rtl w:val="0"/>
      </w:rPr>
    </w:lvl>
    <w:lvl w:ilvl="3">
      <w:start w:val="1"/>
      <w:numFmt w:val="bullet"/>
      <w:lvlText w:val=""/>
      <w:lvlJc w:val="left"/>
      <w:pPr>
        <w:ind w:left="2880" w:hanging="360"/>
      </w:pPr>
      <w:rPr>
        <w:rFonts w:ascii="Symbol" w:hAnsi="Symbol"/>
        <w:rtl w:val="0"/>
      </w:rPr>
    </w:lvl>
    <w:lvl w:ilvl="4">
      <w:start w:val="1"/>
      <w:numFmt w:val="bullet"/>
      <w:lvlText w:val="o"/>
      <w:lvlJc w:val="left"/>
      <w:pPr>
        <w:ind w:left="3600" w:hanging="360"/>
      </w:pPr>
      <w:rPr>
        <w:rFonts w:ascii="Courier New" w:hAnsi="Courier New" w:cs="Courier New"/>
        <w:rtl w:val="0"/>
      </w:rPr>
    </w:lvl>
    <w:lvl w:ilvl="5">
      <w:start w:val="1"/>
      <w:numFmt w:val="bullet"/>
      <w:lvlText w:val=""/>
      <w:lvlJc w:val="left"/>
      <w:pPr>
        <w:ind w:left="4320" w:hanging="360"/>
      </w:pPr>
      <w:rPr>
        <w:rFonts w:ascii="Wingdings" w:hAnsi="Wingdings"/>
        <w:rtl w:val="0"/>
      </w:rPr>
    </w:lvl>
    <w:lvl w:ilvl="6">
      <w:start w:val="1"/>
      <w:numFmt w:val="bullet"/>
      <w:lvlText w:val=""/>
      <w:lvlJc w:val="left"/>
      <w:pPr>
        <w:ind w:left="5040" w:hanging="360"/>
      </w:pPr>
      <w:rPr>
        <w:rFonts w:ascii="Symbol" w:hAnsi="Symbol"/>
        <w:rtl w:val="0"/>
      </w:rPr>
    </w:lvl>
    <w:lvl w:ilvl="7">
      <w:start w:val="1"/>
      <w:numFmt w:val="bullet"/>
      <w:lvlText w:val="o"/>
      <w:lvlJc w:val="left"/>
      <w:pPr>
        <w:ind w:left="5760" w:hanging="360"/>
      </w:pPr>
      <w:rPr>
        <w:rFonts w:ascii="Courier New" w:hAnsi="Courier New" w:cs="Courier New"/>
        <w:rtl w:val="0"/>
      </w:rPr>
    </w:lvl>
    <w:lvl w:ilvl="8">
      <w:start w:val="1"/>
      <w:numFmt w:val="bullet"/>
      <w:lvlText w:val=""/>
      <w:lvlJc w:val="left"/>
      <w:pPr>
        <w:ind w:left="6480" w:hanging="360"/>
      </w:pPr>
      <w:rPr>
        <w:rFonts w:ascii="Wingdings" w:hAnsi="Wingdings"/>
        <w:rtl w:val="0"/>
      </w:rPr>
    </w:lvl>
  </w:abstractNum>
  <w:abstractNum w:abstractNumId="83">
    <w:nsid w:val="40623AD3"/>
    <w:multiLevelType w:val="multilevel"/>
    <w:tmpl w:val="C7767782"/>
    <w:lvl w:ilvl="0">
      <w:start w:val="1"/>
      <w:numFmt w:val="decimal"/>
      <w:lvlText w:val="%1."/>
      <w:lvlJc w:val="left"/>
      <w:pPr>
        <w:tabs>
          <w:tab w:val="num" w:pos="360"/>
        </w:tabs>
        <w:ind w:left="360" w:hanging="360"/>
      </w:pPr>
    </w:lvl>
    <w:lvl w:ilvl="1">
      <w:start w:val="2"/>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84">
    <w:nsid w:val="40C50762"/>
    <w:multiLevelType w:val="hybridMultilevel"/>
    <w:tmpl w:val="C1DCB0E4"/>
    <w:lvl w:ilvl="0">
      <w:start w:val="1"/>
      <w:numFmt w:val="bullet"/>
      <w:lvlText w:val="–"/>
      <w:lvlJc w:val="left"/>
      <w:pPr>
        <w:tabs>
          <w:tab w:val="num" w:pos="420"/>
        </w:tabs>
        <w:ind w:left="4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5">
    <w:nsid w:val="41157D37"/>
    <w:multiLevelType w:val="multilevel"/>
    <w:tmpl w:val="6B5E70AC"/>
    <w:lvl w:ilvl="0">
      <w:start w:val="2"/>
      <w:numFmt w:val="decimal"/>
      <w:lvlText w:val="%1."/>
      <w:lvlJc w:val="left"/>
      <w:pPr>
        <w:tabs>
          <w:tab w:val="num" w:pos="360"/>
        </w:tabs>
        <w:ind w:left="360" w:hanging="360"/>
      </w:pPr>
    </w:lvl>
    <w:lvl w:ilvl="1">
      <w:start w:val="1"/>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86">
    <w:nsid w:val="41192394"/>
    <w:multiLevelType w:val="hybridMultilevel"/>
    <w:tmpl w:val="1DACC3E6"/>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7">
    <w:nsid w:val="41633050"/>
    <w:multiLevelType w:val="multilevel"/>
    <w:tmpl w:val="80A0E1D4"/>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8">
    <w:nsid w:val="4168712F"/>
    <w:multiLevelType w:val="hybridMultilevel"/>
    <w:tmpl w:val="C7F6CA6A"/>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9">
    <w:nsid w:val="419A7747"/>
    <w:multiLevelType w:val="multilevel"/>
    <w:tmpl w:val="5980D9C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90">
    <w:nsid w:val="41BB61EB"/>
    <w:multiLevelType w:val="hybridMultilevel"/>
    <w:tmpl w:val="6FF45B82"/>
    <w:lvl w:ilvl="0">
      <w:start w:val="1"/>
      <w:numFmt w:val="bullet"/>
      <w:lvlText w:val="–"/>
      <w:lvlJc w:val="left"/>
      <w:pPr>
        <w:tabs>
          <w:tab w:val="num" w:pos="720"/>
        </w:tabs>
        <w:ind w:left="720" w:hanging="360"/>
      </w:pPr>
      <w:rPr>
        <w:rFonts w:ascii="Times New Roman" w:hAnsi="Times New Roman"/>
        <w:rtl w:val="0"/>
      </w:rPr>
    </w:lvl>
    <w:lvl w:ilvl="1">
      <w:start w:val="178"/>
      <w:numFmt w:val="bullet"/>
      <w:lvlText w:val="–"/>
      <w:lvlJc w:val="left"/>
      <w:pPr>
        <w:tabs>
          <w:tab w:val="num" w:pos="1440"/>
        </w:tabs>
        <w:ind w:left="1440" w:hanging="360"/>
      </w:pPr>
      <w:rPr>
        <w:rFonts w:ascii="Times New Roman" w:hAnsi="Times New Roman"/>
        <w:rtl w:val="0"/>
      </w:rPr>
    </w:lvl>
    <w:lvl w:ilvl="2">
      <w:start w:val="1"/>
      <w:numFmt w:val="bullet"/>
      <w:lvlText w:val="–"/>
      <w:lvlJc w:val="left"/>
      <w:pPr>
        <w:tabs>
          <w:tab w:val="num" w:pos="2160"/>
        </w:tabs>
        <w:ind w:left="2160" w:hanging="360"/>
      </w:pPr>
      <w:rPr>
        <w:rFonts w:ascii="Times New Roman" w:hAnsi="Times New Roman"/>
        <w:rtl w:val="0"/>
      </w:rPr>
    </w:lvl>
    <w:lvl w:ilvl="3">
      <w:start w:val="1"/>
      <w:numFmt w:val="bullet"/>
      <w:lvlText w:val="–"/>
      <w:lvlJc w:val="left"/>
      <w:pPr>
        <w:tabs>
          <w:tab w:val="num" w:pos="2880"/>
        </w:tabs>
        <w:ind w:left="2880" w:hanging="360"/>
      </w:pPr>
      <w:rPr>
        <w:rFonts w:ascii="Times New Roman" w:hAnsi="Times New Roman"/>
        <w:rtl w:val="0"/>
      </w:rPr>
    </w:lvl>
    <w:lvl w:ilvl="4">
      <w:start w:val="1"/>
      <w:numFmt w:val="bullet"/>
      <w:lvlText w:val="–"/>
      <w:lvlJc w:val="left"/>
      <w:pPr>
        <w:tabs>
          <w:tab w:val="num" w:pos="3600"/>
        </w:tabs>
        <w:ind w:left="3600" w:hanging="360"/>
      </w:pPr>
      <w:rPr>
        <w:rFonts w:ascii="Times New Roman" w:hAnsi="Times New Roman"/>
        <w:rtl w:val="0"/>
      </w:rPr>
    </w:lvl>
    <w:lvl w:ilvl="5">
      <w:start w:val="1"/>
      <w:numFmt w:val="bullet"/>
      <w:lvlText w:val="–"/>
      <w:lvlJc w:val="left"/>
      <w:pPr>
        <w:tabs>
          <w:tab w:val="num" w:pos="4320"/>
        </w:tabs>
        <w:ind w:left="4320" w:hanging="360"/>
      </w:pPr>
      <w:rPr>
        <w:rFonts w:ascii="Times New Roman" w:hAnsi="Times New Roman"/>
        <w:rtl w:val="0"/>
      </w:rPr>
    </w:lvl>
    <w:lvl w:ilvl="6">
      <w:start w:val="1"/>
      <w:numFmt w:val="bullet"/>
      <w:lvlText w:val="–"/>
      <w:lvlJc w:val="left"/>
      <w:pPr>
        <w:tabs>
          <w:tab w:val="num" w:pos="5040"/>
        </w:tabs>
        <w:ind w:left="5040" w:hanging="360"/>
      </w:pPr>
      <w:rPr>
        <w:rFonts w:ascii="Times New Roman" w:hAnsi="Times New Roman"/>
        <w:rtl w:val="0"/>
      </w:rPr>
    </w:lvl>
    <w:lvl w:ilvl="7">
      <w:start w:val="1"/>
      <w:numFmt w:val="bullet"/>
      <w:lvlText w:val="–"/>
      <w:lvlJc w:val="left"/>
      <w:pPr>
        <w:tabs>
          <w:tab w:val="num" w:pos="5760"/>
        </w:tabs>
        <w:ind w:left="5760" w:hanging="360"/>
      </w:pPr>
      <w:rPr>
        <w:rFonts w:ascii="Times New Roman" w:hAnsi="Times New Roman"/>
        <w:rtl w:val="0"/>
      </w:rPr>
    </w:lvl>
    <w:lvl w:ilvl="8">
      <w:start w:val="1"/>
      <w:numFmt w:val="bullet"/>
      <w:lvlText w:val="–"/>
      <w:lvlJc w:val="left"/>
      <w:pPr>
        <w:tabs>
          <w:tab w:val="num" w:pos="6480"/>
        </w:tabs>
        <w:ind w:left="6480" w:hanging="360"/>
      </w:pPr>
      <w:rPr>
        <w:rFonts w:ascii="Times New Roman" w:hAnsi="Times New Roman"/>
        <w:rtl w:val="0"/>
      </w:rPr>
    </w:lvl>
  </w:abstractNum>
  <w:abstractNum w:abstractNumId="91">
    <w:nsid w:val="424C2F47"/>
    <w:multiLevelType w:val="hybridMultilevel"/>
    <w:tmpl w:val="ED8803C2"/>
    <w:lvl w:ilvl="0">
      <w:start w:val="2"/>
      <w:numFmt w:val="bullet"/>
      <w:lvlText w:val="–"/>
      <w:lvlJc w:val="left"/>
      <w:pPr>
        <w:tabs>
          <w:tab w:val="num" w:pos="850"/>
        </w:tabs>
        <w:ind w:left="850" w:hanging="283"/>
      </w:pPr>
      <w:rPr>
        <w:rFonts w:ascii="Times New Roman" w:hAnsi="Times New Roman" w:cs="Times New Roman"/>
        <w:rtl w:val="0"/>
      </w:rPr>
    </w:lvl>
    <w:lvl w:ilvl="1">
      <w:start w:val="1"/>
      <w:numFmt w:val="bullet"/>
      <w:lvlText w:val="o"/>
      <w:lvlJc w:val="left"/>
      <w:pPr>
        <w:tabs>
          <w:tab w:val="num" w:pos="1723"/>
        </w:tabs>
        <w:ind w:left="1723" w:hanging="360"/>
      </w:pPr>
      <w:rPr>
        <w:rFonts w:ascii="Courier New" w:hAnsi="Courier New"/>
        <w:rtl w:val="0"/>
      </w:rPr>
    </w:lvl>
    <w:lvl w:ilvl="2">
      <w:start w:val="1"/>
      <w:numFmt w:val="bullet"/>
      <w:lvlText w:val=""/>
      <w:lvlJc w:val="left"/>
      <w:pPr>
        <w:tabs>
          <w:tab w:val="num" w:pos="2443"/>
        </w:tabs>
        <w:ind w:left="2443" w:hanging="360"/>
      </w:pPr>
      <w:rPr>
        <w:rFonts w:ascii="Wingdings" w:hAnsi="Wingdings"/>
        <w:rtl w:val="0"/>
      </w:rPr>
    </w:lvl>
    <w:lvl w:ilvl="3">
      <w:start w:val="1"/>
      <w:numFmt w:val="bullet"/>
      <w:lvlText w:val=""/>
      <w:lvlJc w:val="left"/>
      <w:pPr>
        <w:tabs>
          <w:tab w:val="num" w:pos="3163"/>
        </w:tabs>
        <w:ind w:left="3163" w:hanging="360"/>
      </w:pPr>
      <w:rPr>
        <w:rFonts w:ascii="Symbol" w:hAnsi="Symbol"/>
        <w:rtl w:val="0"/>
      </w:rPr>
    </w:lvl>
    <w:lvl w:ilvl="4">
      <w:start w:val="1"/>
      <w:numFmt w:val="bullet"/>
      <w:lvlText w:val="o"/>
      <w:lvlJc w:val="left"/>
      <w:pPr>
        <w:tabs>
          <w:tab w:val="num" w:pos="3883"/>
        </w:tabs>
        <w:ind w:left="3883" w:hanging="360"/>
      </w:pPr>
      <w:rPr>
        <w:rFonts w:ascii="Courier New" w:hAnsi="Courier New"/>
        <w:rtl w:val="0"/>
      </w:rPr>
    </w:lvl>
    <w:lvl w:ilvl="5">
      <w:start w:val="1"/>
      <w:numFmt w:val="bullet"/>
      <w:lvlText w:val=""/>
      <w:lvlJc w:val="left"/>
      <w:pPr>
        <w:tabs>
          <w:tab w:val="num" w:pos="4603"/>
        </w:tabs>
        <w:ind w:left="4603" w:hanging="360"/>
      </w:pPr>
      <w:rPr>
        <w:rFonts w:ascii="Wingdings" w:hAnsi="Wingdings"/>
        <w:rtl w:val="0"/>
      </w:rPr>
    </w:lvl>
    <w:lvl w:ilvl="6">
      <w:start w:val="1"/>
      <w:numFmt w:val="bullet"/>
      <w:lvlText w:val=""/>
      <w:lvlJc w:val="left"/>
      <w:pPr>
        <w:tabs>
          <w:tab w:val="num" w:pos="5323"/>
        </w:tabs>
        <w:ind w:left="5323" w:hanging="360"/>
      </w:pPr>
      <w:rPr>
        <w:rFonts w:ascii="Symbol" w:hAnsi="Symbol"/>
        <w:rtl w:val="0"/>
      </w:rPr>
    </w:lvl>
    <w:lvl w:ilvl="7">
      <w:start w:val="1"/>
      <w:numFmt w:val="bullet"/>
      <w:lvlText w:val="o"/>
      <w:lvlJc w:val="left"/>
      <w:pPr>
        <w:tabs>
          <w:tab w:val="num" w:pos="6043"/>
        </w:tabs>
        <w:ind w:left="6043" w:hanging="360"/>
      </w:pPr>
      <w:rPr>
        <w:rFonts w:ascii="Courier New" w:hAnsi="Courier New"/>
        <w:rtl w:val="0"/>
      </w:rPr>
    </w:lvl>
    <w:lvl w:ilvl="8">
      <w:start w:val="1"/>
      <w:numFmt w:val="bullet"/>
      <w:lvlText w:val=""/>
      <w:lvlJc w:val="left"/>
      <w:pPr>
        <w:tabs>
          <w:tab w:val="num" w:pos="6763"/>
        </w:tabs>
        <w:ind w:left="6763" w:hanging="360"/>
      </w:pPr>
      <w:rPr>
        <w:rFonts w:ascii="Wingdings" w:hAnsi="Wingdings"/>
        <w:rtl w:val="0"/>
      </w:rPr>
    </w:lvl>
  </w:abstractNum>
  <w:abstractNum w:abstractNumId="92">
    <w:nsid w:val="43346178"/>
    <w:multiLevelType w:val="hybridMultilevel"/>
    <w:tmpl w:val="290AB0BC"/>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3">
    <w:nsid w:val="4415155A"/>
    <w:multiLevelType w:val="hybridMultilevel"/>
    <w:tmpl w:val="09D824FE"/>
    <w:lvl w:ilvl="0">
      <w:start w:val="0"/>
      <w:numFmt w:val="bullet"/>
      <w:lvlText w:val="-"/>
      <w:lvlJc w:val="left"/>
      <w:pPr>
        <w:tabs>
          <w:tab w:val="num" w:pos="900"/>
        </w:tabs>
        <w:ind w:left="900" w:hanging="360"/>
      </w:pPr>
    </w:lvl>
    <w:lvl w:ilvl="1">
      <w:start w:val="1"/>
      <w:numFmt w:val="bullet"/>
      <w:lvlText w:val=""/>
      <w:lvlJc w:val="left"/>
      <w:pPr>
        <w:tabs>
          <w:tab w:val="num" w:pos="1980"/>
        </w:tabs>
        <w:ind w:left="1980" w:hanging="360"/>
      </w:pPr>
      <w:rPr>
        <w:rFonts w:ascii="Wingdings" w:hAnsi="Wingdings"/>
        <w:rtl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nsid w:val="446773DD"/>
    <w:multiLevelType w:val="hybridMultilevel"/>
    <w:tmpl w:val="D5BABE14"/>
    <w:lvl w:ilvl="0">
      <w:start w:val="609"/>
      <w:numFmt w:val="bullet"/>
      <w:lvlText w:val=""/>
      <w:lvlJc w:val="left"/>
      <w:pPr>
        <w:tabs>
          <w:tab w:val="num" w:pos="720"/>
        </w:tabs>
        <w:ind w:left="720" w:hanging="360"/>
      </w:pPr>
      <w:rPr>
        <w:rFonts w:ascii="Symbol" w:hAnsi="Symbol" w:cs="Aria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5">
    <w:nsid w:val="44B06625"/>
    <w:multiLevelType w:val="hybridMultilevel"/>
    <w:tmpl w:val="EE722ABC"/>
    <w:lvl w:ilvl="0">
      <w:start w:val="1"/>
      <w:numFmt w:val="upperLetter"/>
      <w:lvlText w:val="%1."/>
      <w:lvlJc w:val="left"/>
      <w:pPr>
        <w:tabs>
          <w:tab w:val="num" w:pos="1920"/>
        </w:tabs>
        <w:ind w:left="1920" w:hanging="360"/>
      </w:pPr>
    </w:lvl>
    <w:lvl w:ilvl="1">
      <w:start w:val="1"/>
      <w:numFmt w:val="lowerLetter"/>
      <w:lvlText w:val="%2."/>
      <w:lvlJc w:val="left"/>
      <w:pPr>
        <w:tabs>
          <w:tab w:val="num" w:pos="2640"/>
        </w:tabs>
        <w:ind w:left="2640" w:hanging="360"/>
      </w:pPr>
    </w:lvl>
    <w:lvl w:ilvl="2">
      <w:start w:val="1"/>
      <w:numFmt w:val="lowerRoman"/>
      <w:lvlText w:val="%3."/>
      <w:lvlJc w:val="right"/>
      <w:pPr>
        <w:tabs>
          <w:tab w:val="num" w:pos="3360"/>
        </w:tabs>
        <w:ind w:left="3360" w:hanging="180"/>
      </w:pPr>
    </w:lvl>
    <w:lvl w:ilvl="3">
      <w:start w:val="1"/>
      <w:numFmt w:val="decimal"/>
      <w:lvlText w:val="%4."/>
      <w:lvlJc w:val="left"/>
      <w:pPr>
        <w:tabs>
          <w:tab w:val="num" w:pos="4080"/>
        </w:tabs>
        <w:ind w:left="4080" w:hanging="360"/>
      </w:pPr>
    </w:lvl>
    <w:lvl w:ilvl="4">
      <w:start w:val="1"/>
      <w:numFmt w:val="lowerLetter"/>
      <w:lvlText w:val="%5."/>
      <w:lvlJc w:val="left"/>
      <w:pPr>
        <w:tabs>
          <w:tab w:val="num" w:pos="4800"/>
        </w:tabs>
        <w:ind w:left="4800" w:hanging="360"/>
      </w:pPr>
    </w:lvl>
    <w:lvl w:ilvl="5">
      <w:start w:val="1"/>
      <w:numFmt w:val="lowerRoman"/>
      <w:lvlText w:val="%6."/>
      <w:lvlJc w:val="right"/>
      <w:pPr>
        <w:tabs>
          <w:tab w:val="num" w:pos="5520"/>
        </w:tabs>
        <w:ind w:left="5520" w:hanging="180"/>
      </w:pPr>
    </w:lvl>
    <w:lvl w:ilvl="6">
      <w:start w:val="1"/>
      <w:numFmt w:val="decimal"/>
      <w:lvlText w:val="%7."/>
      <w:lvlJc w:val="left"/>
      <w:pPr>
        <w:tabs>
          <w:tab w:val="num" w:pos="6240"/>
        </w:tabs>
        <w:ind w:left="6240" w:hanging="360"/>
      </w:pPr>
    </w:lvl>
    <w:lvl w:ilvl="7">
      <w:start w:val="1"/>
      <w:numFmt w:val="lowerLetter"/>
      <w:lvlText w:val="%8."/>
      <w:lvlJc w:val="left"/>
      <w:pPr>
        <w:tabs>
          <w:tab w:val="num" w:pos="6960"/>
        </w:tabs>
        <w:ind w:left="6960" w:hanging="360"/>
      </w:pPr>
    </w:lvl>
    <w:lvl w:ilvl="8">
      <w:start w:val="1"/>
      <w:numFmt w:val="lowerRoman"/>
      <w:lvlText w:val="%9."/>
      <w:lvlJc w:val="right"/>
      <w:pPr>
        <w:tabs>
          <w:tab w:val="num" w:pos="7680"/>
        </w:tabs>
        <w:ind w:left="7680" w:hanging="180"/>
      </w:pPr>
    </w:lvl>
  </w:abstractNum>
  <w:abstractNum w:abstractNumId="96">
    <w:nsid w:val="452312D9"/>
    <w:multiLevelType w:val="hybridMultilevel"/>
    <w:tmpl w:val="8B0CCDB4"/>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7">
    <w:nsid w:val="45D0124A"/>
    <w:multiLevelType w:val="multilevel"/>
    <w:tmpl w:val="98881892"/>
    <w:lvl w:ilvl="0">
      <w:start w:val="2"/>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8">
    <w:nsid w:val="46F84BC5"/>
    <w:multiLevelType w:val="hybridMultilevel"/>
    <w:tmpl w:val="12E2D27E"/>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9">
    <w:nsid w:val="477754F1"/>
    <w:multiLevelType w:val="hybridMultilevel"/>
    <w:tmpl w:val="BAD62C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483C7092"/>
    <w:multiLevelType w:val="hybridMultilevel"/>
    <w:tmpl w:val="59BCDC54"/>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01">
    <w:nsid w:val="485B108E"/>
    <w:multiLevelType w:val="hybridMultilevel"/>
    <w:tmpl w:val="7C7405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486F15E0"/>
    <w:multiLevelType w:val="multilevel"/>
    <w:tmpl w:val="743826AA"/>
    <w:lvl w:ilvl="0">
      <w:start w:val="1"/>
      <w:numFmt w:val="bullet"/>
      <w:lvlText w:val=""/>
      <w:lvlJc w:val="left"/>
      <w:pPr>
        <w:tabs>
          <w:tab w:val="num" w:pos="1174"/>
        </w:tabs>
        <w:ind w:left="1174" w:hanging="360"/>
      </w:pPr>
      <w:rPr>
        <w:rFonts w:ascii="Symbol" w:hAnsi="Symbol"/>
        <w:rtl w:val="0"/>
      </w:rPr>
    </w:lvl>
    <w:lvl w:ilvl="1">
      <w:start w:val="1"/>
      <w:numFmt w:val="decimal"/>
      <w:lvlText w:val="%2."/>
      <w:lvlJc w:val="left"/>
      <w:pPr>
        <w:tabs>
          <w:tab w:val="num" w:pos="1894"/>
        </w:tabs>
        <w:ind w:left="1894" w:hanging="360"/>
      </w:pPr>
    </w:lvl>
    <w:lvl w:ilvl="2">
      <w:start w:val="1"/>
      <w:numFmt w:val="bullet"/>
      <w:lvlText w:val=""/>
      <w:lvlJc w:val="left"/>
      <w:pPr>
        <w:tabs>
          <w:tab w:val="num" w:pos="2614"/>
        </w:tabs>
        <w:ind w:left="2614" w:hanging="360"/>
      </w:pPr>
      <w:rPr>
        <w:rFonts w:ascii="Wingdings" w:hAnsi="Wingdings"/>
        <w:rtl w:val="0"/>
      </w:rPr>
    </w:lvl>
    <w:lvl w:ilvl="3">
      <w:start w:val="1"/>
      <w:numFmt w:val="bullet"/>
      <w:lvlText w:val=""/>
      <w:lvlJc w:val="left"/>
      <w:pPr>
        <w:tabs>
          <w:tab w:val="num" w:pos="3334"/>
        </w:tabs>
        <w:ind w:left="3334" w:hanging="360"/>
      </w:pPr>
      <w:rPr>
        <w:rFonts w:ascii="Symbol" w:hAnsi="Symbol"/>
        <w:rtl w:val="0"/>
      </w:rPr>
    </w:lvl>
    <w:lvl w:ilvl="4">
      <w:start w:val="1"/>
      <w:numFmt w:val="bullet"/>
      <w:lvlText w:val="o"/>
      <w:lvlJc w:val="left"/>
      <w:pPr>
        <w:tabs>
          <w:tab w:val="num" w:pos="4054"/>
        </w:tabs>
        <w:ind w:left="4054" w:hanging="360"/>
      </w:pPr>
      <w:rPr>
        <w:rFonts w:ascii="Courier New" w:hAnsi="Courier New" w:cs="Courier New"/>
        <w:rtl w:val="0"/>
      </w:rPr>
    </w:lvl>
    <w:lvl w:ilvl="5">
      <w:start w:val="1"/>
      <w:numFmt w:val="bullet"/>
      <w:lvlText w:val=""/>
      <w:lvlJc w:val="left"/>
      <w:pPr>
        <w:tabs>
          <w:tab w:val="num" w:pos="4774"/>
        </w:tabs>
        <w:ind w:left="4774" w:hanging="360"/>
      </w:pPr>
      <w:rPr>
        <w:rFonts w:ascii="Wingdings" w:hAnsi="Wingdings"/>
        <w:rtl w:val="0"/>
      </w:rPr>
    </w:lvl>
    <w:lvl w:ilvl="6">
      <w:start w:val="1"/>
      <w:numFmt w:val="bullet"/>
      <w:lvlText w:val=""/>
      <w:lvlJc w:val="left"/>
      <w:pPr>
        <w:tabs>
          <w:tab w:val="num" w:pos="5494"/>
        </w:tabs>
        <w:ind w:left="5494" w:hanging="360"/>
      </w:pPr>
      <w:rPr>
        <w:rFonts w:ascii="Symbol" w:hAnsi="Symbol"/>
        <w:rtl w:val="0"/>
      </w:rPr>
    </w:lvl>
    <w:lvl w:ilvl="7">
      <w:start w:val="1"/>
      <w:numFmt w:val="bullet"/>
      <w:lvlText w:val="o"/>
      <w:lvlJc w:val="left"/>
      <w:pPr>
        <w:tabs>
          <w:tab w:val="num" w:pos="6214"/>
        </w:tabs>
        <w:ind w:left="6214" w:hanging="360"/>
      </w:pPr>
      <w:rPr>
        <w:rFonts w:ascii="Courier New" w:hAnsi="Courier New" w:cs="Courier New"/>
        <w:rtl w:val="0"/>
      </w:rPr>
    </w:lvl>
    <w:lvl w:ilvl="8">
      <w:start w:val="1"/>
      <w:numFmt w:val="bullet"/>
      <w:lvlText w:val=""/>
      <w:lvlJc w:val="left"/>
      <w:pPr>
        <w:tabs>
          <w:tab w:val="num" w:pos="6934"/>
        </w:tabs>
        <w:ind w:left="6934" w:hanging="360"/>
      </w:pPr>
      <w:rPr>
        <w:rFonts w:ascii="Wingdings" w:hAnsi="Wingdings"/>
        <w:rtl w:val="0"/>
      </w:rPr>
    </w:lvl>
  </w:abstractNum>
  <w:abstractNum w:abstractNumId="103">
    <w:nsid w:val="4944767B"/>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4">
    <w:nsid w:val="4A001E6C"/>
    <w:multiLevelType w:val="hybridMultilevel"/>
    <w:tmpl w:val="83D8532E"/>
    <w:lvl w:ilvl="0">
      <w:start w:val="1"/>
      <w:numFmt w:val="decimal"/>
      <w:lvlText w:val="%1/"/>
      <w:lvlJc w:val="left"/>
      <w:pPr>
        <w:tabs>
          <w:tab w:val="num" w:pos="113"/>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4AB37985"/>
    <w:multiLevelType w:val="multilevel"/>
    <w:tmpl w:val="4EEE9AA2"/>
    <w:lvl w:ilvl="0">
      <w:start w:val="3"/>
      <w:numFmt w:val="decimal"/>
      <w:lvlText w:val="%1"/>
      <w:lvlJc w:val="left"/>
      <w:pPr>
        <w:tabs>
          <w:tab w:val="num" w:pos="435"/>
        </w:tabs>
        <w:ind w:left="435" w:hanging="435"/>
      </w:pPr>
    </w:lvl>
    <w:lvl w:ilvl="1">
      <w:start w:val="5"/>
      <w:numFmt w:val="decimal"/>
      <w:lvlText w:val="%1.%2"/>
      <w:lvlJc w:val="left"/>
      <w:pPr>
        <w:tabs>
          <w:tab w:val="num" w:pos="787"/>
        </w:tabs>
        <w:ind w:left="787" w:hanging="435"/>
      </w:pPr>
    </w:lvl>
    <w:lvl w:ilvl="2">
      <w:start w:val="2"/>
      <w:numFmt w:val="decimal"/>
      <w:lvlText w:val="%1.%2.%3"/>
      <w:lvlJc w:val="left"/>
      <w:pPr>
        <w:tabs>
          <w:tab w:val="num" w:pos="1424"/>
        </w:tabs>
        <w:ind w:left="1424" w:hanging="720"/>
      </w:pPr>
    </w:lvl>
    <w:lvl w:ilvl="3">
      <w:start w:val="1"/>
      <w:numFmt w:val="decimal"/>
      <w:lvlText w:val="%1.%2.%3.%4"/>
      <w:lvlJc w:val="left"/>
      <w:pPr>
        <w:tabs>
          <w:tab w:val="num" w:pos="1776"/>
        </w:tabs>
        <w:ind w:left="1776" w:hanging="720"/>
      </w:pPr>
    </w:lvl>
    <w:lvl w:ilvl="4">
      <w:start w:val="1"/>
      <w:numFmt w:val="decimal"/>
      <w:lvlText w:val="%1.%2.%3.%4.%5"/>
      <w:lvlJc w:val="left"/>
      <w:pPr>
        <w:tabs>
          <w:tab w:val="num" w:pos="2488"/>
        </w:tabs>
        <w:ind w:left="2488" w:hanging="1080"/>
      </w:pPr>
    </w:lvl>
    <w:lvl w:ilvl="5">
      <w:start w:val="1"/>
      <w:numFmt w:val="decimal"/>
      <w:lvlText w:val="%1.%2.%3.%4.%5.%6"/>
      <w:lvlJc w:val="left"/>
      <w:pPr>
        <w:tabs>
          <w:tab w:val="num" w:pos="2840"/>
        </w:tabs>
        <w:ind w:left="2840" w:hanging="1080"/>
      </w:pPr>
    </w:lvl>
    <w:lvl w:ilvl="6">
      <w:start w:val="1"/>
      <w:numFmt w:val="decimal"/>
      <w:lvlText w:val="%1.%2.%3.%4.%5.%6.%7"/>
      <w:lvlJc w:val="left"/>
      <w:pPr>
        <w:tabs>
          <w:tab w:val="num" w:pos="3552"/>
        </w:tabs>
        <w:ind w:left="3552" w:hanging="1440"/>
      </w:pPr>
    </w:lvl>
    <w:lvl w:ilvl="7">
      <w:start w:val="1"/>
      <w:numFmt w:val="decimal"/>
      <w:lvlText w:val="%1.%2.%3.%4.%5.%6.%7.%8"/>
      <w:lvlJc w:val="left"/>
      <w:pPr>
        <w:tabs>
          <w:tab w:val="num" w:pos="3904"/>
        </w:tabs>
        <w:ind w:left="3904" w:hanging="1440"/>
      </w:pPr>
    </w:lvl>
    <w:lvl w:ilvl="8">
      <w:start w:val="1"/>
      <w:numFmt w:val="decimal"/>
      <w:lvlText w:val="%1.%2.%3.%4.%5.%6.%7.%8.%9"/>
      <w:lvlJc w:val="left"/>
      <w:pPr>
        <w:tabs>
          <w:tab w:val="num" w:pos="4256"/>
        </w:tabs>
        <w:ind w:left="4256" w:hanging="1440"/>
      </w:pPr>
    </w:lvl>
  </w:abstractNum>
  <w:abstractNum w:abstractNumId="106">
    <w:nsid w:val="4ACF34B4"/>
    <w:multiLevelType w:val="multilevel"/>
    <w:tmpl w:val="4E1CF2D4"/>
    <w:lvl w:ilvl="0">
      <w:start w:val="2"/>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7">
    <w:nsid w:val="4B0F4578"/>
    <w:multiLevelType w:val="multilevel"/>
    <w:tmpl w:val="B948AF2E"/>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680" w:hanging="680"/>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nsid w:val="4E8A544C"/>
    <w:multiLevelType w:val="hybridMultilevel"/>
    <w:tmpl w:val="402648FA"/>
    <w:lvl w:ilvl="0">
      <w:start w:val="0"/>
      <w:numFmt w:val="bullet"/>
      <w:lvlText w:val="–"/>
      <w:lvlJc w:val="left"/>
      <w:pPr>
        <w:tabs>
          <w:tab w:val="num" w:pos="567"/>
        </w:tabs>
        <w:ind w:left="567" w:hanging="283"/>
      </w:pPr>
      <w:rPr>
        <w:rFonts w:ascii="Times New Roman" w:hAnsi="Times New Roman" w:cs="Times New Roman"/>
        <w:b w:val="0"/>
        <w:rtl w:val="0"/>
      </w:rPr>
    </w:lvl>
    <w:lvl w:ilvl="1">
      <w:start w:val="250"/>
      <w:numFmt w:val="bullet"/>
      <w:lvlText w:val="-"/>
      <w:lvlJc w:val="left"/>
      <w:pPr>
        <w:tabs>
          <w:tab w:val="num" w:pos="1935"/>
        </w:tabs>
        <w:ind w:left="1935" w:hanging="855"/>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nsid w:val="4EE447EA"/>
    <w:multiLevelType w:val="hybridMultilevel"/>
    <w:tmpl w:val="47E47E40"/>
    <w:lvl w:ilvl="0">
      <w:start w:val="1"/>
      <w:numFmt w:val="bullet"/>
      <w:lvlText w:val=""/>
      <w:lvlJc w:val="left"/>
      <w:pPr>
        <w:tabs>
          <w:tab w:val="num" w:pos="785"/>
        </w:tabs>
        <w:ind w:left="785" w:hanging="360"/>
      </w:pPr>
      <w:rPr>
        <w:rFonts w:ascii="Wingdings" w:hAnsi="Wingdings"/>
        <w:rtl w:val="0"/>
      </w:rPr>
    </w:lvl>
    <w:lvl w:ilvl="1">
      <w:start w:val="1"/>
      <w:numFmt w:val="bullet"/>
      <w:lvlText w:val="o"/>
      <w:lvlJc w:val="left"/>
      <w:pPr>
        <w:tabs>
          <w:tab w:val="num" w:pos="1505"/>
        </w:tabs>
        <w:ind w:left="1505" w:hanging="360"/>
      </w:pPr>
      <w:rPr>
        <w:rFonts w:ascii="Courier New" w:hAnsi="Courier New" w:cs="Courier New"/>
        <w:rtl w:val="0"/>
      </w:rPr>
    </w:lvl>
    <w:lvl w:ilvl="2">
      <w:start w:val="1"/>
      <w:numFmt w:val="bullet"/>
      <w:lvlText w:val=""/>
      <w:lvlJc w:val="left"/>
      <w:pPr>
        <w:tabs>
          <w:tab w:val="num" w:pos="2225"/>
        </w:tabs>
        <w:ind w:left="2225" w:hanging="360"/>
      </w:pPr>
      <w:rPr>
        <w:rFonts w:ascii="Wingdings" w:hAnsi="Wingdings"/>
        <w:rtl w:val="0"/>
      </w:rPr>
    </w:lvl>
    <w:lvl w:ilvl="3">
      <w:start w:val="1"/>
      <w:numFmt w:val="bullet"/>
      <w:lvlText w:val=""/>
      <w:lvlJc w:val="left"/>
      <w:pPr>
        <w:tabs>
          <w:tab w:val="num" w:pos="2945"/>
        </w:tabs>
        <w:ind w:left="2945" w:hanging="360"/>
      </w:pPr>
      <w:rPr>
        <w:rFonts w:ascii="Symbol" w:hAnsi="Symbol"/>
        <w:rtl w:val="0"/>
      </w:rPr>
    </w:lvl>
    <w:lvl w:ilvl="4">
      <w:start w:val="1"/>
      <w:numFmt w:val="bullet"/>
      <w:lvlText w:val="o"/>
      <w:lvlJc w:val="left"/>
      <w:pPr>
        <w:tabs>
          <w:tab w:val="num" w:pos="3665"/>
        </w:tabs>
        <w:ind w:left="3665" w:hanging="360"/>
      </w:pPr>
      <w:rPr>
        <w:rFonts w:ascii="Courier New" w:hAnsi="Courier New" w:cs="Courier New"/>
        <w:rtl w:val="0"/>
      </w:rPr>
    </w:lvl>
    <w:lvl w:ilvl="5">
      <w:start w:val="1"/>
      <w:numFmt w:val="bullet"/>
      <w:lvlText w:val=""/>
      <w:lvlJc w:val="left"/>
      <w:pPr>
        <w:tabs>
          <w:tab w:val="num" w:pos="4385"/>
        </w:tabs>
        <w:ind w:left="4385" w:hanging="360"/>
      </w:pPr>
      <w:rPr>
        <w:rFonts w:ascii="Wingdings" w:hAnsi="Wingdings"/>
        <w:rtl w:val="0"/>
      </w:rPr>
    </w:lvl>
    <w:lvl w:ilvl="6">
      <w:start w:val="1"/>
      <w:numFmt w:val="bullet"/>
      <w:lvlText w:val=""/>
      <w:lvlJc w:val="left"/>
      <w:pPr>
        <w:tabs>
          <w:tab w:val="num" w:pos="5105"/>
        </w:tabs>
        <w:ind w:left="5105" w:hanging="360"/>
      </w:pPr>
      <w:rPr>
        <w:rFonts w:ascii="Symbol" w:hAnsi="Symbol"/>
        <w:rtl w:val="0"/>
      </w:rPr>
    </w:lvl>
    <w:lvl w:ilvl="7">
      <w:start w:val="1"/>
      <w:numFmt w:val="bullet"/>
      <w:lvlText w:val="o"/>
      <w:lvlJc w:val="left"/>
      <w:pPr>
        <w:tabs>
          <w:tab w:val="num" w:pos="5825"/>
        </w:tabs>
        <w:ind w:left="5825" w:hanging="360"/>
      </w:pPr>
      <w:rPr>
        <w:rFonts w:ascii="Courier New" w:hAnsi="Courier New" w:cs="Courier New"/>
        <w:rtl w:val="0"/>
      </w:rPr>
    </w:lvl>
    <w:lvl w:ilvl="8">
      <w:start w:val="1"/>
      <w:numFmt w:val="bullet"/>
      <w:lvlText w:val=""/>
      <w:lvlJc w:val="left"/>
      <w:pPr>
        <w:tabs>
          <w:tab w:val="num" w:pos="6545"/>
        </w:tabs>
        <w:ind w:left="6545" w:hanging="360"/>
      </w:pPr>
      <w:rPr>
        <w:rFonts w:ascii="Wingdings" w:hAnsi="Wingdings"/>
        <w:rtl w:val="0"/>
      </w:rPr>
    </w:lvl>
  </w:abstractNum>
  <w:abstractNum w:abstractNumId="110">
    <w:nsid w:val="4F581C1B"/>
    <w:multiLevelType w:val="hybridMultilevel"/>
    <w:tmpl w:val="879AA0A0"/>
    <w:lvl w:ilvl="0">
      <w:start w:val="1"/>
      <w:numFmt w:val="bullet"/>
      <w:lvlText w:val=""/>
      <w:lvlJc w:val="left"/>
      <w:pPr>
        <w:tabs>
          <w:tab w:val="num" w:pos="360"/>
        </w:tabs>
        <w:ind w:left="360" w:hanging="360"/>
      </w:pPr>
      <w:rPr>
        <w:rFonts w:ascii="Wingdings" w:hAnsi="Wingdings"/>
        <w:rtl w:val="0"/>
      </w:rPr>
    </w:lvl>
    <w:lvl w:ilvl="1">
      <w:start w:val="1"/>
      <w:numFmt w:val="bullet"/>
      <w:lvlText w:val="o"/>
      <w:lvlJc w:val="left"/>
      <w:pPr>
        <w:tabs>
          <w:tab w:val="num" w:pos="1080"/>
        </w:tabs>
        <w:ind w:left="1080" w:hanging="360"/>
      </w:pPr>
      <w:rPr>
        <w:rFonts w:ascii="Courier New" w:hAnsi="Courier New" w:cs="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111">
    <w:nsid w:val="50115F56"/>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2">
    <w:nsid w:val="50226F4F"/>
    <w:multiLevelType w:val="hybridMultilevel"/>
    <w:tmpl w:val="9E56CB3E"/>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13">
    <w:nsid w:val="50F50C96"/>
    <w:multiLevelType w:val="hybridMultilevel"/>
    <w:tmpl w:val="EB7EEA52"/>
    <w:lvl w:ilvl="0">
      <w:start w:val="1"/>
      <w:numFmt w:val="bullet"/>
      <w:lvlText w:val=""/>
      <w:lvlJc w:val="left"/>
      <w:pPr>
        <w:tabs>
          <w:tab w:val="num" w:pos="360"/>
        </w:tabs>
        <w:ind w:left="360" w:hanging="360"/>
      </w:pPr>
      <w:rPr>
        <w:rFonts w:ascii="Wingdings" w:hAnsi="Wingdings"/>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114">
    <w:nsid w:val="52E901BA"/>
    <w:multiLevelType w:val="multilevel"/>
    <w:tmpl w:val="CED4420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tl3"/>
      <w:lvlText w:val="%1.%2.%3."/>
      <w:lvlJc w:val="left"/>
      <w:pPr>
        <w:tabs>
          <w:tab w:val="num" w:pos="357"/>
        </w:tabs>
        <w:ind w:left="357" w:hanging="35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nsid w:val="52F82F5D"/>
    <w:multiLevelType w:val="hybridMultilevel"/>
    <w:tmpl w:val="894CB3A6"/>
    <w:lvl w:ilvl="0">
      <w:start w:val="1"/>
      <w:numFmt w:val="bullet"/>
      <w:lvlText w:val=""/>
      <w:lvlJc w:val="left"/>
      <w:pPr>
        <w:tabs>
          <w:tab w:val="num" w:pos="360"/>
        </w:tabs>
        <w:ind w:left="360" w:hanging="360"/>
      </w:pPr>
      <w:rPr>
        <w:rFonts w:ascii="Symbol" w:hAnsi="Symbol"/>
        <w:rtl w:val="0"/>
      </w:rPr>
    </w:lvl>
    <w:lvl w:ilvl="1">
      <w:start w:val="1"/>
      <w:numFmt w:val="bullet"/>
      <w:lvlText w:val="o"/>
      <w:lvlJc w:val="left"/>
      <w:pPr>
        <w:tabs>
          <w:tab w:val="num" w:pos="1080"/>
        </w:tabs>
        <w:ind w:left="1080" w:hanging="360"/>
      </w:pPr>
      <w:rPr>
        <w:rFonts w:ascii="Courier New" w:hAnsi="Courier New" w:cs="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116">
    <w:nsid w:val="539F3337"/>
    <w:multiLevelType w:val="hybridMultilevel"/>
    <w:tmpl w:val="C0589722"/>
    <w:lvl w:ilvl="0">
      <w:start w:val="1"/>
      <w:numFmt w:val="bullet"/>
      <w:lvlText w:val=""/>
      <w:lvlJc w:val="left"/>
      <w:pPr>
        <w:tabs>
          <w:tab w:val="num" w:pos="360"/>
        </w:tabs>
        <w:ind w:left="360" w:hanging="360"/>
      </w:pPr>
      <w:rPr>
        <w:rFonts w:ascii="Wingdings" w:hAnsi="Wingdings"/>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117">
    <w:nsid w:val="542B42AA"/>
    <w:multiLevelType w:val="multilevel"/>
    <w:tmpl w:val="80A0E1D4"/>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nsid w:val="54383970"/>
    <w:multiLevelType w:val="hybridMultilevel"/>
    <w:tmpl w:val="D6F29E16"/>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1364"/>
        </w:tabs>
        <w:ind w:left="1364" w:hanging="284"/>
      </w:pPr>
      <w:rPr>
        <w:rFonts w:ascii="Symbol" w:hAnsi="Symbol"/>
        <w:rtl w:val="0"/>
      </w:rPr>
    </w:lvl>
    <w:lvl w:ilvl="2">
      <w:start w:val="1"/>
      <w:numFmt w:val="bullet"/>
      <w:lvlText w:val="–"/>
      <w:lvlJc w:val="left"/>
      <w:pPr>
        <w:tabs>
          <w:tab w:val="num" w:pos="567"/>
        </w:tabs>
        <w:ind w:left="567" w:hanging="283"/>
      </w:pPr>
      <w:rPr>
        <w:rFonts w:ascii="Times New Roman" w:hAnsi="Times New Roman" w:cs="Times New Roman"/>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19">
    <w:nsid w:val="565C6266"/>
    <w:multiLevelType w:val="hybridMultilevel"/>
    <w:tmpl w:val="429CB66C"/>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0">
    <w:nsid w:val="56610C25"/>
    <w:multiLevelType w:val="hybridMultilevel"/>
    <w:tmpl w:val="25BE56AC"/>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1">
    <w:nsid w:val="56A41579"/>
    <w:multiLevelType w:val="hybridMultilevel"/>
    <w:tmpl w:val="D8A6EB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nsid w:val="56C0485A"/>
    <w:multiLevelType w:val="hybridMultilevel"/>
    <w:tmpl w:val="1EA4CBFC"/>
    <w:lvl w:ilvl="0">
      <w:start w:val="1"/>
      <w:numFmt w:val="bullet"/>
      <w:lvlText w:val="-"/>
      <w:lvlJc w:val="left"/>
      <w:pPr>
        <w:tabs>
          <w:tab w:val="num" w:pos="945"/>
        </w:tabs>
        <w:ind w:left="945" w:hanging="360"/>
      </w:pPr>
      <w:rPr>
        <w:rFonts w:ascii="Arial Narrow" w:hAnsi="Arial Narrow" w:cs="Times New Roman"/>
        <w:rtl w:val="0"/>
      </w:rPr>
    </w:lvl>
    <w:lvl w:ilvl="1">
      <w:start w:val="1"/>
      <w:numFmt w:val="bullet"/>
      <w:lvlText w:val="o"/>
      <w:lvlJc w:val="left"/>
      <w:pPr>
        <w:tabs>
          <w:tab w:val="num" w:pos="1665"/>
        </w:tabs>
        <w:ind w:left="1665" w:hanging="360"/>
      </w:pPr>
      <w:rPr>
        <w:rFonts w:ascii="Courier New" w:hAnsi="Courier New" w:cs="Courier New"/>
        <w:rtl w:val="0"/>
      </w:rPr>
    </w:lvl>
    <w:lvl w:ilvl="2">
      <w:start w:val="1"/>
      <w:numFmt w:val="bullet"/>
      <w:lvlText w:val=""/>
      <w:lvlJc w:val="left"/>
      <w:pPr>
        <w:tabs>
          <w:tab w:val="num" w:pos="2385"/>
        </w:tabs>
        <w:ind w:left="2385" w:hanging="360"/>
      </w:pPr>
      <w:rPr>
        <w:rFonts w:ascii="Wingdings" w:hAnsi="Wingdings"/>
        <w:rtl w:val="0"/>
      </w:rPr>
    </w:lvl>
    <w:lvl w:ilvl="3">
      <w:start w:val="1"/>
      <w:numFmt w:val="bullet"/>
      <w:lvlText w:val=""/>
      <w:lvlJc w:val="left"/>
      <w:pPr>
        <w:tabs>
          <w:tab w:val="num" w:pos="3105"/>
        </w:tabs>
        <w:ind w:left="3105" w:hanging="360"/>
      </w:pPr>
      <w:rPr>
        <w:rFonts w:ascii="Symbol" w:hAnsi="Symbol"/>
        <w:rtl w:val="0"/>
      </w:rPr>
    </w:lvl>
    <w:lvl w:ilvl="4">
      <w:start w:val="1"/>
      <w:numFmt w:val="bullet"/>
      <w:lvlText w:val="o"/>
      <w:lvlJc w:val="left"/>
      <w:pPr>
        <w:tabs>
          <w:tab w:val="num" w:pos="3825"/>
        </w:tabs>
        <w:ind w:left="3825" w:hanging="360"/>
      </w:pPr>
      <w:rPr>
        <w:rFonts w:ascii="Courier New" w:hAnsi="Courier New" w:cs="Courier New"/>
        <w:rtl w:val="0"/>
      </w:rPr>
    </w:lvl>
    <w:lvl w:ilvl="5">
      <w:start w:val="1"/>
      <w:numFmt w:val="bullet"/>
      <w:lvlText w:val=""/>
      <w:lvlJc w:val="left"/>
      <w:pPr>
        <w:tabs>
          <w:tab w:val="num" w:pos="4545"/>
        </w:tabs>
        <w:ind w:left="4545" w:hanging="360"/>
      </w:pPr>
      <w:rPr>
        <w:rFonts w:ascii="Wingdings" w:hAnsi="Wingdings"/>
        <w:rtl w:val="0"/>
      </w:rPr>
    </w:lvl>
    <w:lvl w:ilvl="6">
      <w:start w:val="1"/>
      <w:numFmt w:val="bullet"/>
      <w:lvlText w:val=""/>
      <w:lvlJc w:val="left"/>
      <w:pPr>
        <w:tabs>
          <w:tab w:val="num" w:pos="5265"/>
        </w:tabs>
        <w:ind w:left="5265" w:hanging="360"/>
      </w:pPr>
      <w:rPr>
        <w:rFonts w:ascii="Symbol" w:hAnsi="Symbol"/>
        <w:rtl w:val="0"/>
      </w:rPr>
    </w:lvl>
    <w:lvl w:ilvl="7">
      <w:start w:val="1"/>
      <w:numFmt w:val="bullet"/>
      <w:lvlText w:val="o"/>
      <w:lvlJc w:val="left"/>
      <w:pPr>
        <w:tabs>
          <w:tab w:val="num" w:pos="5985"/>
        </w:tabs>
        <w:ind w:left="5985" w:hanging="360"/>
      </w:pPr>
      <w:rPr>
        <w:rFonts w:ascii="Courier New" w:hAnsi="Courier New" w:cs="Courier New"/>
        <w:rtl w:val="0"/>
      </w:rPr>
    </w:lvl>
    <w:lvl w:ilvl="8">
      <w:start w:val="1"/>
      <w:numFmt w:val="bullet"/>
      <w:lvlText w:val=""/>
      <w:lvlJc w:val="left"/>
      <w:pPr>
        <w:tabs>
          <w:tab w:val="num" w:pos="6705"/>
        </w:tabs>
        <w:ind w:left="6705" w:hanging="360"/>
      </w:pPr>
      <w:rPr>
        <w:rFonts w:ascii="Wingdings" w:hAnsi="Wingdings"/>
        <w:rtl w:val="0"/>
      </w:rPr>
    </w:lvl>
  </w:abstractNum>
  <w:abstractNum w:abstractNumId="123">
    <w:nsid w:val="56F42244"/>
    <w:multiLevelType w:val="hybridMultilevel"/>
    <w:tmpl w:val="B360115C"/>
    <w:lvl w:ilvl="0">
      <w:start w:val="2"/>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4">
    <w:nsid w:val="579075F5"/>
    <w:multiLevelType w:val="hybridMultilevel"/>
    <w:tmpl w:val="CB342EBE"/>
    <w:lvl w:ilvl="0">
      <w:start w:val="1"/>
      <w:numFmt w:val="bullet"/>
      <w:lvlText w:val="-"/>
      <w:lvlJc w:val="left"/>
      <w:pPr>
        <w:tabs>
          <w:tab w:val="num" w:pos="900"/>
        </w:tabs>
        <w:ind w:left="900" w:hanging="360"/>
      </w:pPr>
      <w:rPr>
        <w:rFonts w:ascii="Arial Narrow" w:hAnsi="Arial Narrow" w:cs="Times New Roman"/>
        <w:rtl w:val="0"/>
      </w:rPr>
    </w:lvl>
    <w:lvl w:ilvl="1">
      <w:start w:val="1"/>
      <w:numFmt w:val="bullet"/>
      <w:lvlText w:val="o"/>
      <w:lvlJc w:val="left"/>
      <w:pPr>
        <w:tabs>
          <w:tab w:val="num" w:pos="1620"/>
        </w:tabs>
        <w:ind w:left="1620" w:hanging="360"/>
      </w:pPr>
      <w:rPr>
        <w:rFonts w:ascii="Courier New" w:hAnsi="Courier New" w:cs="Courier New"/>
        <w:rtl w:val="0"/>
      </w:rPr>
    </w:lvl>
    <w:lvl w:ilvl="2">
      <w:start w:val="1"/>
      <w:numFmt w:val="bullet"/>
      <w:lvlText w:val=""/>
      <w:lvlJc w:val="left"/>
      <w:pPr>
        <w:tabs>
          <w:tab w:val="num" w:pos="2340"/>
        </w:tabs>
        <w:ind w:left="2340" w:hanging="360"/>
      </w:pPr>
      <w:rPr>
        <w:rFonts w:ascii="Wingdings" w:hAnsi="Wingdings"/>
        <w:rtl w:val="0"/>
      </w:rPr>
    </w:lvl>
    <w:lvl w:ilvl="3">
      <w:start w:val="1"/>
      <w:numFmt w:val="bullet"/>
      <w:lvlText w:val=""/>
      <w:lvlJc w:val="left"/>
      <w:pPr>
        <w:tabs>
          <w:tab w:val="num" w:pos="3060"/>
        </w:tabs>
        <w:ind w:left="3060" w:hanging="360"/>
      </w:pPr>
      <w:rPr>
        <w:rFonts w:ascii="Symbol" w:hAnsi="Symbol"/>
        <w:rtl w:val="0"/>
      </w:rPr>
    </w:lvl>
    <w:lvl w:ilvl="4">
      <w:start w:val="1"/>
      <w:numFmt w:val="bullet"/>
      <w:lvlText w:val="o"/>
      <w:lvlJc w:val="left"/>
      <w:pPr>
        <w:tabs>
          <w:tab w:val="num" w:pos="3780"/>
        </w:tabs>
        <w:ind w:left="3780" w:hanging="360"/>
      </w:pPr>
      <w:rPr>
        <w:rFonts w:ascii="Courier New" w:hAnsi="Courier New" w:cs="Courier New"/>
        <w:rtl w:val="0"/>
      </w:rPr>
    </w:lvl>
    <w:lvl w:ilvl="5">
      <w:start w:val="1"/>
      <w:numFmt w:val="bullet"/>
      <w:lvlText w:val=""/>
      <w:lvlJc w:val="left"/>
      <w:pPr>
        <w:tabs>
          <w:tab w:val="num" w:pos="4500"/>
        </w:tabs>
        <w:ind w:left="4500" w:hanging="360"/>
      </w:pPr>
      <w:rPr>
        <w:rFonts w:ascii="Wingdings" w:hAnsi="Wingdings"/>
        <w:rtl w:val="0"/>
      </w:rPr>
    </w:lvl>
    <w:lvl w:ilvl="6">
      <w:start w:val="1"/>
      <w:numFmt w:val="bullet"/>
      <w:lvlText w:val=""/>
      <w:lvlJc w:val="left"/>
      <w:pPr>
        <w:tabs>
          <w:tab w:val="num" w:pos="5220"/>
        </w:tabs>
        <w:ind w:left="5220" w:hanging="360"/>
      </w:pPr>
      <w:rPr>
        <w:rFonts w:ascii="Symbol" w:hAnsi="Symbol"/>
        <w:rtl w:val="0"/>
      </w:rPr>
    </w:lvl>
    <w:lvl w:ilvl="7">
      <w:start w:val="1"/>
      <w:numFmt w:val="bullet"/>
      <w:lvlText w:val="o"/>
      <w:lvlJc w:val="left"/>
      <w:pPr>
        <w:tabs>
          <w:tab w:val="num" w:pos="5940"/>
        </w:tabs>
        <w:ind w:left="5940" w:hanging="360"/>
      </w:pPr>
      <w:rPr>
        <w:rFonts w:ascii="Courier New" w:hAnsi="Courier New" w:cs="Courier New"/>
        <w:rtl w:val="0"/>
      </w:rPr>
    </w:lvl>
    <w:lvl w:ilvl="8">
      <w:start w:val="1"/>
      <w:numFmt w:val="bullet"/>
      <w:lvlText w:val=""/>
      <w:lvlJc w:val="left"/>
      <w:pPr>
        <w:tabs>
          <w:tab w:val="num" w:pos="6660"/>
        </w:tabs>
        <w:ind w:left="6660" w:hanging="360"/>
      </w:pPr>
      <w:rPr>
        <w:rFonts w:ascii="Wingdings" w:hAnsi="Wingdings"/>
        <w:rtl w:val="0"/>
      </w:rPr>
    </w:lvl>
  </w:abstractNum>
  <w:abstractNum w:abstractNumId="125">
    <w:nsid w:val="59A14642"/>
    <w:multiLevelType w:val="multilevel"/>
    <w:tmpl w:val="3572A318"/>
    <w:lvl w:ilvl="0">
      <w:start w:val="5"/>
      <w:numFmt w:val="decimal"/>
      <w:lvlText w:val="%1."/>
      <w:lvlJc w:val="left"/>
      <w:pPr>
        <w:tabs>
          <w:tab w:val="num" w:pos="450"/>
        </w:tabs>
        <w:ind w:left="450" w:hanging="450"/>
      </w:pPr>
    </w:lvl>
    <w:lvl w:ilvl="1">
      <w:start w:val="2"/>
      <w:numFmt w:val="decimal"/>
      <w:lvlText w:val="%1.%2."/>
      <w:lvlJc w:val="left"/>
      <w:pPr>
        <w:tabs>
          <w:tab w:val="num" w:pos="450"/>
        </w:tabs>
        <w:ind w:left="450" w:hanging="45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6">
    <w:nsid w:val="59BD702E"/>
    <w:multiLevelType w:val="hybridMultilevel"/>
    <w:tmpl w:val="E222F58A"/>
    <w:lvl w:ilvl="0">
      <w:start w:val="1"/>
      <w:numFmt w:val="bullet"/>
      <w:lvlText w:val=""/>
      <w:lvlJc w:val="left"/>
      <w:pPr>
        <w:tabs>
          <w:tab w:val="num" w:pos="900"/>
        </w:tabs>
        <w:ind w:left="900" w:hanging="360"/>
      </w:pPr>
      <w:rPr>
        <w:rFonts w:ascii="Symbol" w:hAnsi="Symbol"/>
        <w:rtl w:val="0"/>
      </w:rPr>
    </w:lvl>
    <w:lvl w:ilvl="1">
      <w:start w:val="1"/>
      <w:numFmt w:val="bullet"/>
      <w:lvlText w:val="o"/>
      <w:lvlJc w:val="left"/>
      <w:pPr>
        <w:tabs>
          <w:tab w:val="num" w:pos="1620"/>
        </w:tabs>
        <w:ind w:left="1620" w:hanging="360"/>
      </w:pPr>
      <w:rPr>
        <w:rFonts w:ascii="Courier New" w:hAnsi="Courier New" w:cs="Courier New"/>
        <w:rtl w:val="0"/>
      </w:rPr>
    </w:lvl>
    <w:lvl w:ilvl="2">
      <w:start w:val="1"/>
      <w:numFmt w:val="bullet"/>
      <w:lvlText w:val=""/>
      <w:lvlJc w:val="left"/>
      <w:pPr>
        <w:tabs>
          <w:tab w:val="num" w:pos="2340"/>
        </w:tabs>
        <w:ind w:left="2340" w:hanging="360"/>
      </w:pPr>
      <w:rPr>
        <w:rFonts w:ascii="Wingdings" w:hAnsi="Wingdings"/>
        <w:rtl w:val="0"/>
      </w:rPr>
    </w:lvl>
    <w:lvl w:ilvl="3">
      <w:start w:val="1"/>
      <w:numFmt w:val="bullet"/>
      <w:lvlText w:val=""/>
      <w:lvlJc w:val="left"/>
      <w:pPr>
        <w:tabs>
          <w:tab w:val="num" w:pos="3060"/>
        </w:tabs>
        <w:ind w:left="3060" w:hanging="360"/>
      </w:pPr>
      <w:rPr>
        <w:rFonts w:ascii="Symbol" w:hAnsi="Symbol"/>
        <w:rtl w:val="0"/>
      </w:rPr>
    </w:lvl>
    <w:lvl w:ilvl="4">
      <w:start w:val="1"/>
      <w:numFmt w:val="bullet"/>
      <w:lvlText w:val="o"/>
      <w:lvlJc w:val="left"/>
      <w:pPr>
        <w:tabs>
          <w:tab w:val="num" w:pos="3780"/>
        </w:tabs>
        <w:ind w:left="3780" w:hanging="360"/>
      </w:pPr>
      <w:rPr>
        <w:rFonts w:ascii="Courier New" w:hAnsi="Courier New" w:cs="Courier New"/>
        <w:rtl w:val="0"/>
      </w:rPr>
    </w:lvl>
    <w:lvl w:ilvl="5">
      <w:start w:val="1"/>
      <w:numFmt w:val="bullet"/>
      <w:lvlText w:val=""/>
      <w:lvlJc w:val="left"/>
      <w:pPr>
        <w:tabs>
          <w:tab w:val="num" w:pos="4500"/>
        </w:tabs>
        <w:ind w:left="4500" w:hanging="360"/>
      </w:pPr>
      <w:rPr>
        <w:rFonts w:ascii="Wingdings" w:hAnsi="Wingdings"/>
        <w:rtl w:val="0"/>
      </w:rPr>
    </w:lvl>
    <w:lvl w:ilvl="6">
      <w:start w:val="1"/>
      <w:numFmt w:val="bullet"/>
      <w:lvlText w:val=""/>
      <w:lvlJc w:val="left"/>
      <w:pPr>
        <w:tabs>
          <w:tab w:val="num" w:pos="5220"/>
        </w:tabs>
        <w:ind w:left="5220" w:hanging="360"/>
      </w:pPr>
      <w:rPr>
        <w:rFonts w:ascii="Symbol" w:hAnsi="Symbol"/>
        <w:rtl w:val="0"/>
      </w:rPr>
    </w:lvl>
    <w:lvl w:ilvl="7">
      <w:start w:val="1"/>
      <w:numFmt w:val="bullet"/>
      <w:lvlText w:val="o"/>
      <w:lvlJc w:val="left"/>
      <w:pPr>
        <w:tabs>
          <w:tab w:val="num" w:pos="5940"/>
        </w:tabs>
        <w:ind w:left="5940" w:hanging="360"/>
      </w:pPr>
      <w:rPr>
        <w:rFonts w:ascii="Courier New" w:hAnsi="Courier New" w:cs="Courier New"/>
        <w:rtl w:val="0"/>
      </w:rPr>
    </w:lvl>
    <w:lvl w:ilvl="8">
      <w:start w:val="1"/>
      <w:numFmt w:val="bullet"/>
      <w:lvlText w:val=""/>
      <w:lvlJc w:val="left"/>
      <w:pPr>
        <w:tabs>
          <w:tab w:val="num" w:pos="6660"/>
        </w:tabs>
        <w:ind w:left="6660" w:hanging="360"/>
      </w:pPr>
      <w:rPr>
        <w:rFonts w:ascii="Wingdings" w:hAnsi="Wingdings"/>
        <w:rtl w:val="0"/>
      </w:rPr>
    </w:lvl>
  </w:abstractNum>
  <w:abstractNum w:abstractNumId="127">
    <w:nsid w:val="5AB33F80"/>
    <w:multiLevelType w:val="hybridMultilevel"/>
    <w:tmpl w:val="CE460312"/>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5C4641F2"/>
    <w:multiLevelType w:val="hybridMultilevel"/>
    <w:tmpl w:val="654A66CE"/>
    <w:lvl w:ilvl="0">
      <w:start w:val="1"/>
      <w:numFmt w:val="bullet"/>
      <w:lvlText w:val=""/>
      <w:lvlJc w:val="left"/>
      <w:pPr>
        <w:tabs>
          <w:tab w:val="num" w:pos="284"/>
        </w:tabs>
        <w:ind w:left="284" w:hanging="284"/>
      </w:pPr>
      <w:rPr>
        <w:rFonts w:ascii="Wingdings" w:hAnsi="Wingdings" w:cs="Times New Roman"/>
        <w:sz w:val="18"/>
        <w:szCs w:val="18"/>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9">
    <w:nsid w:val="5D16682B"/>
    <w:multiLevelType w:val="hybridMultilevel"/>
    <w:tmpl w:val="2D72B99A"/>
    <w:lvl w:ilvl="0">
      <w:start w:val="2"/>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nsid w:val="5D4455B1"/>
    <w:multiLevelType w:val="hybridMultilevel"/>
    <w:tmpl w:val="6500470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1">
    <w:nsid w:val="5E897CBE"/>
    <w:multiLevelType w:val="multilevel"/>
    <w:tmpl w:val="0860BF34"/>
    <w:lvl w:ilvl="0">
      <w:start w:val="1"/>
      <w:numFmt w:val="bullet"/>
      <w:lvlText w:val="▪"/>
      <w:lvlJc w:val="left"/>
      <w:pPr>
        <w:tabs>
          <w:tab w:val="num" w:pos="283"/>
        </w:tabs>
        <w:ind w:left="283" w:hanging="283"/>
      </w:pPr>
      <w:rPr>
        <w:rFonts w:ascii="Times New Roman" w:hAnsi="Times New Roman" w:cs="Times New Roman"/>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132">
    <w:nsid w:val="61513B37"/>
    <w:multiLevelType w:val="multilevel"/>
    <w:tmpl w:val="288E42E4"/>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418" w:hanging="1418"/>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3">
    <w:nsid w:val="6222111D"/>
    <w:multiLevelType w:val="hybridMultilevel"/>
    <w:tmpl w:val="82A8D5A8"/>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4">
    <w:nsid w:val="63DE05C1"/>
    <w:multiLevelType w:val="hybridMultilevel"/>
    <w:tmpl w:val="35E87704"/>
    <w:lvl w:ilvl="0">
      <w:start w:val="1"/>
      <w:numFmt w:val="bullet"/>
      <w:lvlText w:val="–"/>
      <w:lvlJc w:val="left"/>
      <w:pPr>
        <w:tabs>
          <w:tab w:val="num" w:pos="720"/>
        </w:tabs>
        <w:ind w:left="720" w:hanging="363"/>
      </w:pPr>
      <w:rPr>
        <w:rFonts w:ascii="Times New Roman" w:hAnsi="Times New Roman" w:cs="Times New Roman"/>
        <w:rtl w:val="0"/>
      </w:rPr>
    </w:lvl>
    <w:lvl w:ilvl="1">
      <w:start w:val="1"/>
      <w:numFmt w:val="bullet"/>
      <w:lvlText w:val="o"/>
      <w:lvlJc w:val="left"/>
      <w:pPr>
        <w:tabs>
          <w:tab w:val="num" w:pos="1364"/>
        </w:tabs>
        <w:ind w:left="1364" w:hanging="360"/>
      </w:pPr>
      <w:rPr>
        <w:rFonts w:ascii="Courier New" w:hAnsi="Courier New"/>
        <w:rtl w:val="0"/>
      </w:rPr>
    </w:lvl>
    <w:lvl w:ilvl="2">
      <w:start w:val="1"/>
      <w:numFmt w:val="bullet"/>
      <w:lvlText w:val=""/>
      <w:lvlJc w:val="left"/>
      <w:pPr>
        <w:tabs>
          <w:tab w:val="num" w:pos="2084"/>
        </w:tabs>
        <w:ind w:left="2084" w:hanging="360"/>
      </w:pPr>
      <w:rPr>
        <w:rFonts w:ascii="Wingdings" w:hAnsi="Wingdings"/>
        <w:rtl w:val="0"/>
      </w:rPr>
    </w:lvl>
    <w:lvl w:ilvl="3">
      <w:start w:val="1"/>
      <w:numFmt w:val="bullet"/>
      <w:lvlText w:val=""/>
      <w:lvlJc w:val="left"/>
      <w:pPr>
        <w:tabs>
          <w:tab w:val="num" w:pos="2804"/>
        </w:tabs>
        <w:ind w:left="2804" w:hanging="360"/>
      </w:pPr>
      <w:rPr>
        <w:rFonts w:ascii="Symbol" w:hAnsi="Symbol"/>
        <w:rtl w:val="0"/>
      </w:rPr>
    </w:lvl>
    <w:lvl w:ilvl="4">
      <w:start w:val="1"/>
      <w:numFmt w:val="bullet"/>
      <w:lvlText w:val="o"/>
      <w:lvlJc w:val="left"/>
      <w:pPr>
        <w:tabs>
          <w:tab w:val="num" w:pos="3524"/>
        </w:tabs>
        <w:ind w:left="3524" w:hanging="360"/>
      </w:pPr>
      <w:rPr>
        <w:rFonts w:ascii="Courier New" w:hAnsi="Courier New"/>
        <w:rtl w:val="0"/>
      </w:rPr>
    </w:lvl>
    <w:lvl w:ilvl="5">
      <w:start w:val="1"/>
      <w:numFmt w:val="bullet"/>
      <w:lvlText w:val=""/>
      <w:lvlJc w:val="left"/>
      <w:pPr>
        <w:tabs>
          <w:tab w:val="num" w:pos="4244"/>
        </w:tabs>
        <w:ind w:left="4244" w:hanging="360"/>
      </w:pPr>
      <w:rPr>
        <w:rFonts w:ascii="Wingdings" w:hAnsi="Wingdings"/>
        <w:rtl w:val="0"/>
      </w:rPr>
    </w:lvl>
    <w:lvl w:ilvl="6">
      <w:start w:val="1"/>
      <w:numFmt w:val="bullet"/>
      <w:lvlText w:val=""/>
      <w:lvlJc w:val="left"/>
      <w:pPr>
        <w:tabs>
          <w:tab w:val="num" w:pos="4964"/>
        </w:tabs>
        <w:ind w:left="4964" w:hanging="360"/>
      </w:pPr>
      <w:rPr>
        <w:rFonts w:ascii="Symbol" w:hAnsi="Symbol"/>
        <w:rtl w:val="0"/>
      </w:rPr>
    </w:lvl>
    <w:lvl w:ilvl="7">
      <w:start w:val="1"/>
      <w:numFmt w:val="bullet"/>
      <w:lvlText w:val="o"/>
      <w:lvlJc w:val="left"/>
      <w:pPr>
        <w:tabs>
          <w:tab w:val="num" w:pos="5684"/>
        </w:tabs>
        <w:ind w:left="5684" w:hanging="360"/>
      </w:pPr>
      <w:rPr>
        <w:rFonts w:ascii="Courier New" w:hAnsi="Courier New"/>
        <w:rtl w:val="0"/>
      </w:rPr>
    </w:lvl>
    <w:lvl w:ilvl="8">
      <w:start w:val="1"/>
      <w:numFmt w:val="bullet"/>
      <w:lvlText w:val=""/>
      <w:lvlJc w:val="left"/>
      <w:pPr>
        <w:tabs>
          <w:tab w:val="num" w:pos="6404"/>
        </w:tabs>
        <w:ind w:left="6404" w:hanging="360"/>
      </w:pPr>
      <w:rPr>
        <w:rFonts w:ascii="Wingdings" w:hAnsi="Wingdings"/>
        <w:rtl w:val="0"/>
      </w:rPr>
    </w:lvl>
  </w:abstractNum>
  <w:abstractNum w:abstractNumId="135">
    <w:nsid w:val="65124273"/>
    <w:multiLevelType w:val="hybridMultilevel"/>
    <w:tmpl w:val="EA2C1C1A"/>
    <w:lvl w:ilvl="0">
      <w:start w:val="8"/>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6">
    <w:nsid w:val="65942E95"/>
    <w:multiLevelType w:val="hybridMultilevel"/>
    <w:tmpl w:val="ADECD512"/>
    <w:lvl w:ilvl="0">
      <w:start w:val="2"/>
      <w:numFmt w:val="bullet"/>
      <w:lvlText w:val=""/>
      <w:lvlJc w:val="left"/>
      <w:pPr>
        <w:tabs>
          <w:tab w:val="num" w:pos="1437"/>
        </w:tabs>
        <w:ind w:left="1418" w:hanging="341"/>
      </w:pPr>
      <w:rPr>
        <w:rFonts w:ascii="Symbol" w:hAnsi="Symbol"/>
        <w:rtl w:val="0"/>
      </w:rPr>
    </w:lvl>
    <w:lvl w:ilvl="1">
      <w:start w:val="1"/>
      <w:numFmt w:val="bullet"/>
      <w:lvlText w:val="o"/>
      <w:lvlJc w:val="left"/>
      <w:pPr>
        <w:tabs>
          <w:tab w:val="num" w:pos="1791"/>
        </w:tabs>
        <w:ind w:left="1791" w:hanging="360"/>
      </w:pPr>
      <w:rPr>
        <w:rFonts w:ascii="Courier New" w:hAnsi="Courier New"/>
        <w:rtl w:val="0"/>
      </w:rPr>
    </w:lvl>
    <w:lvl w:ilvl="2">
      <w:start w:val="1"/>
      <w:numFmt w:val="bullet"/>
      <w:lvlText w:val=""/>
      <w:lvlJc w:val="left"/>
      <w:pPr>
        <w:tabs>
          <w:tab w:val="num" w:pos="2511"/>
        </w:tabs>
        <w:ind w:left="2511" w:hanging="360"/>
      </w:pPr>
      <w:rPr>
        <w:rFonts w:ascii="Wingdings" w:hAnsi="Wingdings"/>
        <w:rtl w:val="0"/>
      </w:rPr>
    </w:lvl>
    <w:lvl w:ilvl="3">
      <w:start w:val="1"/>
      <w:numFmt w:val="bullet"/>
      <w:lvlText w:val=""/>
      <w:lvlJc w:val="left"/>
      <w:pPr>
        <w:tabs>
          <w:tab w:val="num" w:pos="3231"/>
        </w:tabs>
        <w:ind w:left="3231" w:hanging="360"/>
      </w:pPr>
      <w:rPr>
        <w:rFonts w:ascii="Symbol" w:hAnsi="Symbol"/>
        <w:rtl w:val="0"/>
      </w:rPr>
    </w:lvl>
    <w:lvl w:ilvl="4">
      <w:start w:val="1"/>
      <w:numFmt w:val="bullet"/>
      <w:lvlText w:val="o"/>
      <w:lvlJc w:val="left"/>
      <w:pPr>
        <w:tabs>
          <w:tab w:val="num" w:pos="3951"/>
        </w:tabs>
        <w:ind w:left="3951" w:hanging="360"/>
      </w:pPr>
      <w:rPr>
        <w:rFonts w:ascii="Courier New" w:hAnsi="Courier New"/>
        <w:rtl w:val="0"/>
      </w:rPr>
    </w:lvl>
    <w:lvl w:ilvl="5">
      <w:start w:val="1"/>
      <w:numFmt w:val="bullet"/>
      <w:lvlText w:val=""/>
      <w:lvlJc w:val="left"/>
      <w:pPr>
        <w:tabs>
          <w:tab w:val="num" w:pos="4671"/>
        </w:tabs>
        <w:ind w:left="4671" w:hanging="360"/>
      </w:pPr>
      <w:rPr>
        <w:rFonts w:ascii="Wingdings" w:hAnsi="Wingdings"/>
        <w:rtl w:val="0"/>
      </w:rPr>
    </w:lvl>
    <w:lvl w:ilvl="6">
      <w:start w:val="1"/>
      <w:numFmt w:val="bullet"/>
      <w:lvlText w:val=""/>
      <w:lvlJc w:val="left"/>
      <w:pPr>
        <w:tabs>
          <w:tab w:val="num" w:pos="5391"/>
        </w:tabs>
        <w:ind w:left="5391" w:hanging="360"/>
      </w:pPr>
      <w:rPr>
        <w:rFonts w:ascii="Symbol" w:hAnsi="Symbol"/>
        <w:rtl w:val="0"/>
      </w:rPr>
    </w:lvl>
    <w:lvl w:ilvl="7">
      <w:start w:val="1"/>
      <w:numFmt w:val="bullet"/>
      <w:lvlText w:val="o"/>
      <w:lvlJc w:val="left"/>
      <w:pPr>
        <w:tabs>
          <w:tab w:val="num" w:pos="6111"/>
        </w:tabs>
        <w:ind w:left="6111" w:hanging="360"/>
      </w:pPr>
      <w:rPr>
        <w:rFonts w:ascii="Courier New" w:hAnsi="Courier New"/>
        <w:rtl w:val="0"/>
      </w:rPr>
    </w:lvl>
    <w:lvl w:ilvl="8">
      <w:start w:val="1"/>
      <w:numFmt w:val="bullet"/>
      <w:lvlText w:val=""/>
      <w:lvlJc w:val="left"/>
      <w:pPr>
        <w:tabs>
          <w:tab w:val="num" w:pos="6831"/>
        </w:tabs>
        <w:ind w:left="6831" w:hanging="360"/>
      </w:pPr>
      <w:rPr>
        <w:rFonts w:ascii="Wingdings" w:hAnsi="Wingdings"/>
        <w:rtl w:val="0"/>
      </w:rPr>
    </w:lvl>
  </w:abstractNum>
  <w:abstractNum w:abstractNumId="137">
    <w:nsid w:val="65EA1243"/>
    <w:multiLevelType w:val="hybridMultilevel"/>
    <w:tmpl w:val="A83474C4"/>
    <w:lvl w:ilvl="0">
      <w:start w:val="1"/>
      <w:numFmt w:val="bullet"/>
      <w:lvlText w:val="–"/>
      <w:lvlJc w:val="left"/>
      <w:pPr>
        <w:tabs>
          <w:tab w:val="num" w:pos="643"/>
        </w:tabs>
        <w:ind w:left="643" w:hanging="283"/>
      </w:pPr>
      <w:rPr>
        <w:rFonts w:ascii="Times New Roman" w:hAnsi="Times New Roman" w:cs="Times New Roman"/>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nsid w:val="66A05D6C"/>
    <w:multiLevelType w:val="hybridMultilevel"/>
    <w:tmpl w:val="AACE3770"/>
    <w:lvl w:ilvl="0">
      <w:start w:val="0"/>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9">
    <w:nsid w:val="66F04101"/>
    <w:multiLevelType w:val="hybridMultilevel"/>
    <w:tmpl w:val="24762984"/>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0">
    <w:nsid w:val="67FF6A13"/>
    <w:multiLevelType w:val="hybridMultilevel"/>
    <w:tmpl w:val="B58A21FE"/>
    <w:lvl w:ilvl="0">
      <w:start w:val="0"/>
      <w:numFmt w:val="bullet"/>
      <w:lvlText w:val="-"/>
      <w:lvlJc w:val="left"/>
      <w:pPr>
        <w:tabs>
          <w:tab w:val="num" w:pos="900"/>
        </w:tabs>
        <w:ind w:left="900" w:hanging="360"/>
      </w:pPr>
      <w:rPr>
        <w:rFonts w:ascii="Times New Roman" w:hAnsi="Times New Roman" w:cs="Times New Roman"/>
        <w:rtl w:val="0"/>
      </w:rPr>
    </w:lvl>
    <w:lvl w:ilvl="1">
      <w:start w:val="1"/>
      <w:numFmt w:val="bullet"/>
      <w:lvlText w:val="o"/>
      <w:lvlJc w:val="left"/>
      <w:pPr>
        <w:tabs>
          <w:tab w:val="num" w:pos="1620"/>
        </w:tabs>
        <w:ind w:left="1620" w:hanging="360"/>
      </w:pPr>
      <w:rPr>
        <w:rFonts w:ascii="Courier New" w:hAnsi="Courier New"/>
        <w:rtl w:val="0"/>
      </w:rPr>
    </w:lvl>
    <w:lvl w:ilvl="2">
      <w:start w:val="1"/>
      <w:numFmt w:val="bullet"/>
      <w:lvlText w:val=""/>
      <w:lvlJc w:val="left"/>
      <w:pPr>
        <w:tabs>
          <w:tab w:val="num" w:pos="2340"/>
        </w:tabs>
        <w:ind w:left="2340" w:hanging="360"/>
      </w:pPr>
      <w:rPr>
        <w:rFonts w:ascii="Wingdings" w:hAnsi="Wingdings"/>
        <w:rtl w:val="0"/>
      </w:rPr>
    </w:lvl>
    <w:lvl w:ilvl="3">
      <w:start w:val="1"/>
      <w:numFmt w:val="bullet"/>
      <w:lvlText w:val=""/>
      <w:lvlJc w:val="left"/>
      <w:pPr>
        <w:tabs>
          <w:tab w:val="num" w:pos="3060"/>
        </w:tabs>
        <w:ind w:left="3060" w:hanging="360"/>
      </w:pPr>
      <w:rPr>
        <w:rFonts w:ascii="Symbol" w:hAnsi="Symbol"/>
        <w:rtl w:val="0"/>
      </w:rPr>
    </w:lvl>
    <w:lvl w:ilvl="4">
      <w:start w:val="1"/>
      <w:numFmt w:val="bullet"/>
      <w:lvlText w:val="o"/>
      <w:lvlJc w:val="left"/>
      <w:pPr>
        <w:tabs>
          <w:tab w:val="num" w:pos="3780"/>
        </w:tabs>
        <w:ind w:left="3780" w:hanging="360"/>
      </w:pPr>
      <w:rPr>
        <w:rFonts w:ascii="Courier New" w:hAnsi="Courier New"/>
        <w:rtl w:val="0"/>
      </w:rPr>
    </w:lvl>
    <w:lvl w:ilvl="5">
      <w:start w:val="1"/>
      <w:numFmt w:val="bullet"/>
      <w:lvlText w:val=""/>
      <w:lvlJc w:val="left"/>
      <w:pPr>
        <w:tabs>
          <w:tab w:val="num" w:pos="4500"/>
        </w:tabs>
        <w:ind w:left="4500" w:hanging="360"/>
      </w:pPr>
      <w:rPr>
        <w:rFonts w:ascii="Wingdings" w:hAnsi="Wingdings"/>
        <w:rtl w:val="0"/>
      </w:rPr>
    </w:lvl>
    <w:lvl w:ilvl="6">
      <w:start w:val="1"/>
      <w:numFmt w:val="bullet"/>
      <w:lvlText w:val=""/>
      <w:lvlJc w:val="left"/>
      <w:pPr>
        <w:tabs>
          <w:tab w:val="num" w:pos="5220"/>
        </w:tabs>
        <w:ind w:left="5220" w:hanging="360"/>
      </w:pPr>
      <w:rPr>
        <w:rFonts w:ascii="Symbol" w:hAnsi="Symbol"/>
        <w:rtl w:val="0"/>
      </w:rPr>
    </w:lvl>
    <w:lvl w:ilvl="7">
      <w:start w:val="1"/>
      <w:numFmt w:val="bullet"/>
      <w:lvlText w:val="o"/>
      <w:lvlJc w:val="left"/>
      <w:pPr>
        <w:tabs>
          <w:tab w:val="num" w:pos="5940"/>
        </w:tabs>
        <w:ind w:left="5940" w:hanging="360"/>
      </w:pPr>
      <w:rPr>
        <w:rFonts w:ascii="Courier New" w:hAnsi="Courier New"/>
        <w:rtl w:val="0"/>
      </w:rPr>
    </w:lvl>
    <w:lvl w:ilvl="8">
      <w:start w:val="1"/>
      <w:numFmt w:val="bullet"/>
      <w:lvlText w:val=""/>
      <w:lvlJc w:val="left"/>
      <w:pPr>
        <w:tabs>
          <w:tab w:val="num" w:pos="6660"/>
        </w:tabs>
        <w:ind w:left="6660" w:hanging="360"/>
      </w:pPr>
      <w:rPr>
        <w:rFonts w:ascii="Wingdings" w:hAnsi="Wingdings"/>
        <w:rtl w:val="0"/>
      </w:rPr>
    </w:lvl>
  </w:abstractNum>
  <w:abstractNum w:abstractNumId="141">
    <w:nsid w:val="68F07F3F"/>
    <w:multiLevelType w:val="hybridMultilevel"/>
    <w:tmpl w:val="B6B4B9A6"/>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2">
    <w:nsid w:val="69D133A4"/>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3">
    <w:nsid w:val="69FF1B22"/>
    <w:multiLevelType w:val="hybridMultilevel"/>
    <w:tmpl w:val="301CE9B6"/>
    <w:lvl w:ilvl="0">
      <w:start w:val="1"/>
      <w:numFmt w:val="bullet"/>
      <w:lvlText w:val=""/>
      <w:lvlJc w:val="left"/>
      <w:pPr>
        <w:tabs>
          <w:tab w:val="num" w:pos="1429"/>
        </w:tabs>
        <w:ind w:left="1429" w:hanging="360"/>
      </w:pPr>
      <w:rPr>
        <w:rFonts w:ascii="Symbol" w:hAnsi="Symbol"/>
        <w:rtl w:val="0"/>
      </w:rPr>
    </w:lvl>
    <w:lvl w:ilvl="1">
      <w:start w:val="1"/>
      <w:numFmt w:val="bullet"/>
      <w:lvlText w:val="o"/>
      <w:lvlJc w:val="left"/>
      <w:pPr>
        <w:tabs>
          <w:tab w:val="num" w:pos="2149"/>
        </w:tabs>
        <w:ind w:left="2149" w:hanging="360"/>
      </w:pPr>
      <w:rPr>
        <w:rFonts w:ascii="Courier New" w:hAnsi="Courier New"/>
        <w:rtl w:val="0"/>
      </w:rPr>
    </w:lvl>
    <w:lvl w:ilvl="2">
      <w:start w:val="1"/>
      <w:numFmt w:val="bullet"/>
      <w:lvlText w:val=""/>
      <w:lvlJc w:val="left"/>
      <w:pPr>
        <w:tabs>
          <w:tab w:val="num" w:pos="2869"/>
        </w:tabs>
        <w:ind w:left="2869" w:hanging="360"/>
      </w:pPr>
      <w:rPr>
        <w:rFonts w:ascii="Wingdings" w:hAnsi="Wingdings"/>
        <w:rtl w:val="0"/>
      </w:rPr>
    </w:lvl>
    <w:lvl w:ilvl="3">
      <w:start w:val="1"/>
      <w:numFmt w:val="bullet"/>
      <w:lvlText w:val=""/>
      <w:lvlJc w:val="left"/>
      <w:pPr>
        <w:tabs>
          <w:tab w:val="num" w:pos="3589"/>
        </w:tabs>
        <w:ind w:left="3589" w:hanging="360"/>
      </w:pPr>
      <w:rPr>
        <w:rFonts w:ascii="Symbol" w:hAnsi="Symbol"/>
        <w:rtl w:val="0"/>
      </w:rPr>
    </w:lvl>
    <w:lvl w:ilvl="4">
      <w:start w:val="1"/>
      <w:numFmt w:val="bullet"/>
      <w:lvlText w:val="o"/>
      <w:lvlJc w:val="left"/>
      <w:pPr>
        <w:tabs>
          <w:tab w:val="num" w:pos="4309"/>
        </w:tabs>
        <w:ind w:left="4309" w:hanging="360"/>
      </w:pPr>
      <w:rPr>
        <w:rFonts w:ascii="Courier New" w:hAnsi="Courier New"/>
        <w:rtl w:val="0"/>
      </w:rPr>
    </w:lvl>
    <w:lvl w:ilvl="5">
      <w:start w:val="1"/>
      <w:numFmt w:val="bullet"/>
      <w:lvlText w:val=""/>
      <w:lvlJc w:val="left"/>
      <w:pPr>
        <w:tabs>
          <w:tab w:val="num" w:pos="5029"/>
        </w:tabs>
        <w:ind w:left="5029" w:hanging="360"/>
      </w:pPr>
      <w:rPr>
        <w:rFonts w:ascii="Wingdings" w:hAnsi="Wingdings"/>
        <w:rtl w:val="0"/>
      </w:rPr>
    </w:lvl>
    <w:lvl w:ilvl="6">
      <w:start w:val="1"/>
      <w:numFmt w:val="bullet"/>
      <w:lvlText w:val=""/>
      <w:lvlJc w:val="left"/>
      <w:pPr>
        <w:tabs>
          <w:tab w:val="num" w:pos="5749"/>
        </w:tabs>
        <w:ind w:left="5749" w:hanging="360"/>
      </w:pPr>
      <w:rPr>
        <w:rFonts w:ascii="Symbol" w:hAnsi="Symbol"/>
        <w:rtl w:val="0"/>
      </w:rPr>
    </w:lvl>
    <w:lvl w:ilvl="7">
      <w:start w:val="1"/>
      <w:numFmt w:val="bullet"/>
      <w:lvlText w:val="o"/>
      <w:lvlJc w:val="left"/>
      <w:pPr>
        <w:tabs>
          <w:tab w:val="num" w:pos="6469"/>
        </w:tabs>
        <w:ind w:left="6469" w:hanging="360"/>
      </w:pPr>
      <w:rPr>
        <w:rFonts w:ascii="Courier New" w:hAnsi="Courier New"/>
        <w:rtl w:val="0"/>
      </w:rPr>
    </w:lvl>
    <w:lvl w:ilvl="8">
      <w:start w:val="1"/>
      <w:numFmt w:val="bullet"/>
      <w:lvlText w:val=""/>
      <w:lvlJc w:val="left"/>
      <w:pPr>
        <w:tabs>
          <w:tab w:val="num" w:pos="7189"/>
        </w:tabs>
        <w:ind w:left="7189" w:hanging="360"/>
      </w:pPr>
      <w:rPr>
        <w:rFonts w:ascii="Wingdings" w:hAnsi="Wingdings"/>
        <w:rtl w:val="0"/>
      </w:rPr>
    </w:lvl>
  </w:abstractNum>
  <w:abstractNum w:abstractNumId="144">
    <w:nsid w:val="6B904942"/>
    <w:multiLevelType w:val="multilevel"/>
    <w:tmpl w:val="4FA016C2"/>
    <w:lvl w:ilvl="0">
      <w:start w:val="3"/>
      <w:numFmt w:val="decimal"/>
      <w:lvlText w:val="%1"/>
      <w:lvlJc w:val="left"/>
      <w:pPr>
        <w:tabs>
          <w:tab w:val="num" w:pos="405"/>
        </w:tabs>
        <w:ind w:left="405" w:hanging="405"/>
      </w:pPr>
    </w:lvl>
    <w:lvl w:ilvl="1">
      <w:start w:val="4"/>
      <w:numFmt w:val="decimal"/>
      <w:lvlText w:val="%1.%2"/>
      <w:lvlJc w:val="left"/>
      <w:pPr>
        <w:tabs>
          <w:tab w:val="num" w:pos="405"/>
        </w:tabs>
        <w:ind w:left="405" w:hanging="405"/>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5">
    <w:nsid w:val="6C1C4025"/>
    <w:multiLevelType w:val="hybridMultilevel"/>
    <w:tmpl w:val="0198721E"/>
    <w:lvl w:ilvl="0">
      <w:start w:val="8"/>
      <w:numFmt w:val="bullet"/>
      <w:lvlText w:val="–"/>
      <w:lvlJc w:val="left"/>
      <w:pPr>
        <w:tabs>
          <w:tab w:val="num" w:pos="612"/>
        </w:tabs>
        <w:ind w:left="612"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6">
    <w:nsid w:val="6D592BEB"/>
    <w:multiLevelType w:val="hybridMultilevel"/>
    <w:tmpl w:val="116E1092"/>
    <w:lvl w:ilvl="0">
      <w:start w:val="0"/>
      <w:numFmt w:val="bullet"/>
      <w:lvlText w:val="-"/>
      <w:lvlJc w:val="left"/>
      <w:pPr>
        <w:tabs>
          <w:tab w:val="num" w:pos="540"/>
        </w:tabs>
        <w:ind w:left="5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nsid w:val="6D6E74A5"/>
    <w:multiLevelType w:val="hybridMultilevel"/>
    <w:tmpl w:val="6E9A9BE6"/>
    <w:lvl w:ilvl="0">
      <w:start w:val="108"/>
      <w:numFmt w:val="bullet"/>
      <w:lvlText w:val="-"/>
      <w:lvlJc w:val="left"/>
      <w:pPr>
        <w:tabs>
          <w:tab w:val="num" w:pos="720"/>
        </w:tabs>
        <w:ind w:left="720" w:hanging="360"/>
      </w:pPr>
      <w:rPr>
        <w:rFonts w:ascii="Arial Narrow" w:hAnsi="Arial Narrow"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8">
    <w:nsid w:val="6E2727C1"/>
    <w:multiLevelType w:val="hybridMultilevel"/>
    <w:tmpl w:val="9F946F7A"/>
    <w:lvl w:ilvl="0">
      <w:start w:val="2"/>
      <w:numFmt w:val="bullet"/>
      <w:lvlText w:val="–"/>
      <w:lvlJc w:val="left"/>
      <w:pPr>
        <w:tabs>
          <w:tab w:val="num" w:pos="720"/>
        </w:tabs>
        <w:ind w:left="720" w:hanging="360"/>
      </w:pPr>
      <w:rPr>
        <w:rFonts w:ascii="Times New Roman" w:hAnsi="Times New Roman" w:cs="Times New Roman"/>
        <w:rtl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nsid w:val="6EB73051"/>
    <w:multiLevelType w:val="hybridMultilevel"/>
    <w:tmpl w:val="AA4CC200"/>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0">
    <w:nsid w:val="6F444E78"/>
    <w:multiLevelType w:val="hybridMultilevel"/>
    <w:tmpl w:val="25B265E4"/>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1">
    <w:nsid w:val="6F9444FA"/>
    <w:multiLevelType w:val="hybridMultilevel"/>
    <w:tmpl w:val="D70C8F16"/>
    <w:lvl w:ilvl="0">
      <w:start w:val="1"/>
      <w:numFmt w:val="bullet"/>
      <w:lvlText w:val="•"/>
      <w:lvlJc w:val="left"/>
      <w:pPr>
        <w:tabs>
          <w:tab w:val="num" w:pos="720"/>
        </w:tabs>
        <w:ind w:left="720" w:hanging="360"/>
      </w:pPr>
      <w:rPr>
        <w:rFonts w:ascii="Book Antiqua" w:hAnsi="Book Antiqua"/>
        <w:rtl w:val="0"/>
      </w:rPr>
    </w:lvl>
    <w:lvl w:ilvl="1">
      <w:start w:val="1"/>
      <w:numFmt w:val="bullet"/>
      <w:lvlText w:val="•"/>
      <w:lvlJc w:val="left"/>
      <w:pPr>
        <w:tabs>
          <w:tab w:val="num" w:pos="1440"/>
        </w:tabs>
        <w:ind w:left="1440" w:hanging="360"/>
      </w:pPr>
      <w:rPr>
        <w:rFonts w:ascii="Book Antiqua" w:hAnsi="Book Antiqua"/>
        <w:rtl w:val="0"/>
      </w:rPr>
    </w:lvl>
    <w:lvl w:ilvl="2">
      <w:start w:val="1"/>
      <w:numFmt w:val="bullet"/>
      <w:lvlText w:val="•"/>
      <w:lvlJc w:val="left"/>
      <w:pPr>
        <w:tabs>
          <w:tab w:val="num" w:pos="2160"/>
        </w:tabs>
        <w:ind w:left="2160" w:hanging="360"/>
      </w:pPr>
      <w:rPr>
        <w:rFonts w:ascii="Book Antiqua" w:hAnsi="Book Antiqua"/>
        <w:rtl w:val="0"/>
      </w:rPr>
    </w:lvl>
    <w:lvl w:ilvl="3">
      <w:start w:val="1"/>
      <w:numFmt w:val="bullet"/>
      <w:lvlText w:val="•"/>
      <w:lvlJc w:val="left"/>
      <w:pPr>
        <w:tabs>
          <w:tab w:val="num" w:pos="2880"/>
        </w:tabs>
        <w:ind w:left="2880" w:hanging="360"/>
      </w:pPr>
      <w:rPr>
        <w:rFonts w:ascii="Book Antiqua" w:hAnsi="Book Antiqua"/>
        <w:rtl w:val="0"/>
      </w:rPr>
    </w:lvl>
    <w:lvl w:ilvl="4">
      <w:start w:val="1"/>
      <w:numFmt w:val="bullet"/>
      <w:lvlText w:val="•"/>
      <w:lvlJc w:val="left"/>
      <w:pPr>
        <w:tabs>
          <w:tab w:val="num" w:pos="3600"/>
        </w:tabs>
        <w:ind w:left="3600" w:hanging="360"/>
      </w:pPr>
      <w:rPr>
        <w:rFonts w:ascii="Book Antiqua" w:hAnsi="Book Antiqua"/>
        <w:rtl w:val="0"/>
      </w:rPr>
    </w:lvl>
    <w:lvl w:ilvl="5">
      <w:start w:val="1"/>
      <w:numFmt w:val="bullet"/>
      <w:lvlText w:val="•"/>
      <w:lvlJc w:val="left"/>
      <w:pPr>
        <w:tabs>
          <w:tab w:val="num" w:pos="4320"/>
        </w:tabs>
        <w:ind w:left="4320" w:hanging="360"/>
      </w:pPr>
      <w:rPr>
        <w:rFonts w:ascii="Book Antiqua" w:hAnsi="Book Antiqua"/>
        <w:rtl w:val="0"/>
      </w:rPr>
    </w:lvl>
    <w:lvl w:ilvl="6">
      <w:start w:val="1"/>
      <w:numFmt w:val="bullet"/>
      <w:lvlText w:val="•"/>
      <w:lvlJc w:val="left"/>
      <w:pPr>
        <w:tabs>
          <w:tab w:val="num" w:pos="5040"/>
        </w:tabs>
        <w:ind w:left="5040" w:hanging="360"/>
      </w:pPr>
      <w:rPr>
        <w:rFonts w:ascii="Book Antiqua" w:hAnsi="Book Antiqua"/>
        <w:rtl w:val="0"/>
      </w:rPr>
    </w:lvl>
    <w:lvl w:ilvl="7">
      <w:start w:val="1"/>
      <w:numFmt w:val="bullet"/>
      <w:lvlText w:val="•"/>
      <w:lvlJc w:val="left"/>
      <w:pPr>
        <w:tabs>
          <w:tab w:val="num" w:pos="5760"/>
        </w:tabs>
        <w:ind w:left="5760" w:hanging="360"/>
      </w:pPr>
      <w:rPr>
        <w:rFonts w:ascii="Book Antiqua" w:hAnsi="Book Antiqua"/>
        <w:rtl w:val="0"/>
      </w:rPr>
    </w:lvl>
    <w:lvl w:ilvl="8">
      <w:start w:val="1"/>
      <w:numFmt w:val="bullet"/>
      <w:lvlText w:val="•"/>
      <w:lvlJc w:val="left"/>
      <w:pPr>
        <w:tabs>
          <w:tab w:val="num" w:pos="6480"/>
        </w:tabs>
        <w:ind w:left="6480" w:hanging="360"/>
      </w:pPr>
      <w:rPr>
        <w:rFonts w:ascii="Book Antiqua" w:hAnsi="Book Antiqua"/>
        <w:rtl w:val="0"/>
      </w:rPr>
    </w:lvl>
  </w:abstractNum>
  <w:abstractNum w:abstractNumId="152">
    <w:nsid w:val="70681E66"/>
    <w:multiLevelType w:val="hybridMultilevel"/>
    <w:tmpl w:val="730C2E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71187D77"/>
    <w:multiLevelType w:val="hybridMultilevel"/>
    <w:tmpl w:val="2DB87498"/>
    <w:lvl w:ilvl="0">
      <w:start w:val="1"/>
      <w:numFmt w:val="bullet"/>
      <w:lvlText w:val=""/>
      <w:lvlJc w:val="left"/>
      <w:pPr>
        <w:tabs>
          <w:tab w:val="num" w:pos="284"/>
        </w:tabs>
        <w:ind w:left="284" w:hanging="284"/>
      </w:pPr>
      <w:rPr>
        <w:rFonts w:ascii="Wingdings" w:hAnsi="Wingdings"/>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4">
    <w:nsid w:val="717E33A7"/>
    <w:multiLevelType w:val="hybridMultilevel"/>
    <w:tmpl w:val="8F86A7F2"/>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5">
    <w:nsid w:val="71E7023A"/>
    <w:multiLevelType w:val="hybridMultilevel"/>
    <w:tmpl w:val="3946A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nsid w:val="721970C5"/>
    <w:multiLevelType w:val="hybridMultilevel"/>
    <w:tmpl w:val="AEDE2064"/>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nsid w:val="7264460C"/>
    <w:multiLevelType w:val="multilevel"/>
    <w:tmpl w:val="77AA2190"/>
    <w:lvl w:ilvl="0">
      <w:start w:val="5"/>
      <w:numFmt w:val="decimal"/>
      <w:lvlText w:val="%1."/>
      <w:lvlJc w:val="left"/>
      <w:pPr>
        <w:tabs>
          <w:tab w:val="num" w:pos="450"/>
        </w:tabs>
        <w:ind w:left="450" w:hanging="450"/>
      </w:pPr>
    </w:lvl>
    <w:lvl w:ilvl="1">
      <w:start w:val="2"/>
      <w:numFmt w:val="decimal"/>
      <w:lvlText w:val="%1.%2."/>
      <w:lvlJc w:val="left"/>
      <w:pPr>
        <w:tabs>
          <w:tab w:val="num" w:pos="450"/>
        </w:tabs>
        <w:ind w:left="450" w:hanging="45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8">
    <w:nsid w:val="7351385D"/>
    <w:multiLevelType w:val="multilevel"/>
    <w:tmpl w:val="D93C87BC"/>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851" w:hanging="851"/>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9">
    <w:nsid w:val="73FA0ACA"/>
    <w:multiLevelType w:val="hybridMultilevel"/>
    <w:tmpl w:val="BD6EAD8C"/>
    <w:lvl w:ilvl="0">
      <w:start w:val="2"/>
      <w:numFmt w:val="bullet"/>
      <w:lvlText w:val="–"/>
      <w:lvlJc w:val="left"/>
      <w:pPr>
        <w:tabs>
          <w:tab w:val="num" w:pos="644"/>
        </w:tabs>
        <w:ind w:left="567" w:hanging="283"/>
      </w:pPr>
      <w:rPr>
        <w:rFonts w:ascii="Arial Narrow" w:hAnsi="Arial Narrow"/>
        <w:rtl w:val="0"/>
      </w:rPr>
    </w:lvl>
    <w:lvl w:ilvl="1">
      <w:start w:val="1"/>
      <w:numFmt w:val="bullet"/>
      <w:lvlText w:val="o"/>
      <w:lvlJc w:val="left"/>
      <w:pPr>
        <w:tabs>
          <w:tab w:val="num" w:pos="1788"/>
        </w:tabs>
        <w:ind w:left="1788" w:hanging="360"/>
      </w:pPr>
      <w:rPr>
        <w:rFonts w:ascii="Courier New" w:hAnsi="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160">
    <w:nsid w:val="74732428"/>
    <w:multiLevelType w:val="hybridMultilevel"/>
    <w:tmpl w:val="88AA52F6"/>
    <w:lvl w:ilvl="0">
      <w:start w:val="0"/>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61">
    <w:nsid w:val="77525690"/>
    <w:multiLevelType w:val="hybridMultilevel"/>
    <w:tmpl w:val="42FC4E34"/>
    <w:lvl w:ilvl="0">
      <w:start w:val="5"/>
      <w:numFmt w:val="decimal"/>
      <w:lvlText w:val="%1."/>
      <w:lvlJc w:val="left"/>
      <w:pPr>
        <w:tabs>
          <w:tab w:val="num" w:pos="720"/>
        </w:tabs>
        <w:ind w:left="720" w:hanging="360"/>
      </w:pPr>
    </w:lvl>
    <w:lvl w:ilvl="1">
      <w:start w:val="2"/>
      <w:numFmt w:val="decimal"/>
      <w:isLgl/>
      <w:lvlText w:val="%1.%2."/>
      <w:lvlJc w:val="left"/>
      <w:pPr>
        <w:tabs>
          <w:tab w:val="num" w:pos="1065"/>
        </w:tabs>
        <w:ind w:left="1065" w:hanging="705"/>
      </w:pPr>
    </w:lvl>
    <w:lvl w:ilvl="2">
      <w:start w:val="4"/>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440"/>
        </w:tabs>
        <w:ind w:left="1440" w:hanging="108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1800"/>
        </w:tabs>
        <w:ind w:left="1800" w:hanging="1440"/>
      </w:pPr>
    </w:lvl>
  </w:abstractNum>
  <w:abstractNum w:abstractNumId="162">
    <w:nsid w:val="787B554B"/>
    <w:multiLevelType w:val="multilevel"/>
    <w:tmpl w:val="0860BF34"/>
    <w:lvl w:ilvl="0">
      <w:start w:val="1"/>
      <w:numFmt w:val="bullet"/>
      <w:lvlText w:val="▪"/>
      <w:lvlJc w:val="left"/>
      <w:pPr>
        <w:tabs>
          <w:tab w:val="num" w:pos="283"/>
        </w:tabs>
        <w:ind w:left="283" w:hanging="283"/>
      </w:pPr>
      <w:rPr>
        <w:rFonts w:ascii="Times New Roman" w:hAnsi="Times New Roman" w:cs="Times New Roman"/>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163">
    <w:nsid w:val="78B92769"/>
    <w:multiLevelType w:val="hybridMultilevel"/>
    <w:tmpl w:val="321226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nsid w:val="7953277E"/>
    <w:multiLevelType w:val="hybridMultilevel"/>
    <w:tmpl w:val="8CCC0816"/>
    <w:lvl w:ilvl="0">
      <w:start w:val="2"/>
      <w:numFmt w:val="bullet"/>
      <w:lvlText w:val="–"/>
      <w:lvlJc w:val="left"/>
      <w:pPr>
        <w:tabs>
          <w:tab w:val="num" w:pos="644"/>
        </w:tabs>
        <w:ind w:left="567" w:hanging="283"/>
      </w:pPr>
      <w:rPr>
        <w:rFonts w:ascii="Times New Roman" w:hAnsi="Times New Roman" w:cs="Times New Roman"/>
        <w:rtl w:val="0"/>
      </w:rPr>
    </w:lvl>
    <w:lvl w:ilvl="1">
      <w:start w:val="2"/>
      <w:numFmt w:val="bullet"/>
      <w:lvlText w:val=""/>
      <w:lvlJc w:val="left"/>
      <w:pPr>
        <w:tabs>
          <w:tab w:val="num" w:pos="1437"/>
        </w:tabs>
        <w:ind w:left="1418" w:hanging="341"/>
      </w:pPr>
      <w:rPr>
        <w:rFonts w:ascii="Symbol" w:hAnsi="Symbol"/>
        <w:rtl w:val="0"/>
      </w:rPr>
    </w:lvl>
    <w:lvl w:ilvl="2">
      <w:start w:val="2"/>
      <w:numFmt w:val="bullet"/>
      <w:lvlText w:val="–"/>
      <w:lvlJc w:val="left"/>
      <w:pPr>
        <w:tabs>
          <w:tab w:val="num" w:pos="567"/>
        </w:tabs>
        <w:ind w:left="567" w:hanging="283"/>
      </w:pPr>
      <w:rPr>
        <w:rFonts w:ascii="Times New Roman" w:hAnsi="Times New Roman" w:cs="Times New Roman"/>
        <w:rtl w:val="0"/>
      </w:rPr>
    </w:lvl>
    <w:lvl w:ilvl="3">
      <w:start w:val="1"/>
      <w:numFmt w:val="bullet"/>
      <w:lvlText w:val=""/>
      <w:lvlJc w:val="left"/>
      <w:pPr>
        <w:tabs>
          <w:tab w:val="num" w:pos="2935"/>
        </w:tabs>
        <w:ind w:left="2935" w:hanging="360"/>
      </w:pPr>
      <w:rPr>
        <w:rFonts w:ascii="Symbol" w:hAnsi="Symbol"/>
        <w:rtl w:val="0"/>
      </w:rPr>
    </w:lvl>
    <w:lvl w:ilvl="4">
      <w:start w:val="1"/>
      <w:numFmt w:val="bullet"/>
      <w:lvlText w:val="o"/>
      <w:lvlJc w:val="left"/>
      <w:pPr>
        <w:tabs>
          <w:tab w:val="num" w:pos="3655"/>
        </w:tabs>
        <w:ind w:left="3655" w:hanging="360"/>
      </w:pPr>
      <w:rPr>
        <w:rFonts w:ascii="Courier New" w:hAnsi="Courier New"/>
        <w:rtl w:val="0"/>
      </w:rPr>
    </w:lvl>
    <w:lvl w:ilvl="5">
      <w:start w:val="1"/>
      <w:numFmt w:val="bullet"/>
      <w:lvlText w:val=""/>
      <w:lvlJc w:val="left"/>
      <w:pPr>
        <w:tabs>
          <w:tab w:val="num" w:pos="4375"/>
        </w:tabs>
        <w:ind w:left="4375" w:hanging="360"/>
      </w:pPr>
      <w:rPr>
        <w:rFonts w:ascii="Wingdings" w:hAnsi="Wingdings"/>
        <w:rtl w:val="0"/>
      </w:rPr>
    </w:lvl>
    <w:lvl w:ilvl="6">
      <w:start w:val="1"/>
      <w:numFmt w:val="bullet"/>
      <w:lvlText w:val=""/>
      <w:lvlJc w:val="left"/>
      <w:pPr>
        <w:tabs>
          <w:tab w:val="num" w:pos="5095"/>
        </w:tabs>
        <w:ind w:left="5095" w:hanging="360"/>
      </w:pPr>
      <w:rPr>
        <w:rFonts w:ascii="Symbol" w:hAnsi="Symbol"/>
        <w:rtl w:val="0"/>
      </w:rPr>
    </w:lvl>
    <w:lvl w:ilvl="7">
      <w:start w:val="1"/>
      <w:numFmt w:val="bullet"/>
      <w:lvlText w:val="o"/>
      <w:lvlJc w:val="left"/>
      <w:pPr>
        <w:tabs>
          <w:tab w:val="num" w:pos="5815"/>
        </w:tabs>
        <w:ind w:left="5815" w:hanging="360"/>
      </w:pPr>
      <w:rPr>
        <w:rFonts w:ascii="Courier New" w:hAnsi="Courier New"/>
        <w:rtl w:val="0"/>
      </w:rPr>
    </w:lvl>
    <w:lvl w:ilvl="8">
      <w:start w:val="1"/>
      <w:numFmt w:val="bullet"/>
      <w:lvlText w:val=""/>
      <w:lvlJc w:val="left"/>
      <w:pPr>
        <w:tabs>
          <w:tab w:val="num" w:pos="6535"/>
        </w:tabs>
        <w:ind w:left="6535" w:hanging="360"/>
      </w:pPr>
      <w:rPr>
        <w:rFonts w:ascii="Wingdings" w:hAnsi="Wingdings"/>
        <w:rtl w:val="0"/>
      </w:rPr>
    </w:lvl>
  </w:abstractNum>
  <w:abstractNum w:abstractNumId="165">
    <w:nsid w:val="7C883F25"/>
    <w:multiLevelType w:val="hybridMultilevel"/>
    <w:tmpl w:val="44A02F8C"/>
    <w:lvl w:ilvl="0">
      <w:start w:val="2"/>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66">
    <w:nsid w:val="7E5A1CF5"/>
    <w:multiLevelType w:val="multilevel"/>
    <w:tmpl w:val="4BFA42FE"/>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167">
    <w:nsid w:val="7F037323"/>
    <w:multiLevelType w:val="hybridMultilevel"/>
    <w:tmpl w:val="F87C61F0"/>
    <w:lvl w:ilvl="0">
      <w:start w:val="1"/>
      <w:numFmt w:val="bullet"/>
      <w:lvlText w:val="-"/>
      <w:lvlJc w:val="left"/>
      <w:pPr>
        <w:tabs>
          <w:tab w:val="num" w:pos="900"/>
        </w:tabs>
        <w:ind w:left="900" w:hanging="360"/>
      </w:pPr>
      <w:rPr>
        <w:rFonts w:ascii="Arial Narrow" w:hAnsi="Arial Narrow" w:cs="Times New Roman"/>
        <w:rtl w:val="0"/>
      </w:rPr>
    </w:lvl>
    <w:lvl w:ilvl="1">
      <w:start w:val="1"/>
      <w:numFmt w:val="bullet"/>
      <w:lvlText w:val="o"/>
      <w:lvlJc w:val="left"/>
      <w:pPr>
        <w:tabs>
          <w:tab w:val="num" w:pos="1620"/>
        </w:tabs>
        <w:ind w:left="1620" w:hanging="360"/>
      </w:pPr>
      <w:rPr>
        <w:rFonts w:ascii="Courier New" w:hAnsi="Courier New" w:cs="Courier New"/>
        <w:rtl w:val="0"/>
      </w:rPr>
    </w:lvl>
    <w:lvl w:ilvl="2">
      <w:start w:val="1"/>
      <w:numFmt w:val="bullet"/>
      <w:lvlText w:val=""/>
      <w:lvlJc w:val="left"/>
      <w:pPr>
        <w:tabs>
          <w:tab w:val="num" w:pos="2340"/>
        </w:tabs>
        <w:ind w:left="2340" w:hanging="360"/>
      </w:pPr>
      <w:rPr>
        <w:rFonts w:ascii="Wingdings" w:hAnsi="Wingdings"/>
        <w:rtl w:val="0"/>
      </w:rPr>
    </w:lvl>
    <w:lvl w:ilvl="3">
      <w:start w:val="1"/>
      <w:numFmt w:val="bullet"/>
      <w:lvlText w:val=""/>
      <w:lvlJc w:val="left"/>
      <w:pPr>
        <w:tabs>
          <w:tab w:val="num" w:pos="3060"/>
        </w:tabs>
        <w:ind w:left="3060" w:hanging="360"/>
      </w:pPr>
      <w:rPr>
        <w:rFonts w:ascii="Symbol" w:hAnsi="Symbol"/>
        <w:rtl w:val="0"/>
      </w:rPr>
    </w:lvl>
    <w:lvl w:ilvl="4">
      <w:start w:val="1"/>
      <w:numFmt w:val="bullet"/>
      <w:lvlText w:val="o"/>
      <w:lvlJc w:val="left"/>
      <w:pPr>
        <w:tabs>
          <w:tab w:val="num" w:pos="3780"/>
        </w:tabs>
        <w:ind w:left="3780" w:hanging="360"/>
      </w:pPr>
      <w:rPr>
        <w:rFonts w:ascii="Courier New" w:hAnsi="Courier New" w:cs="Courier New"/>
        <w:rtl w:val="0"/>
      </w:rPr>
    </w:lvl>
    <w:lvl w:ilvl="5">
      <w:start w:val="1"/>
      <w:numFmt w:val="bullet"/>
      <w:lvlText w:val=""/>
      <w:lvlJc w:val="left"/>
      <w:pPr>
        <w:tabs>
          <w:tab w:val="num" w:pos="4500"/>
        </w:tabs>
        <w:ind w:left="4500" w:hanging="360"/>
      </w:pPr>
      <w:rPr>
        <w:rFonts w:ascii="Wingdings" w:hAnsi="Wingdings"/>
        <w:rtl w:val="0"/>
      </w:rPr>
    </w:lvl>
    <w:lvl w:ilvl="6">
      <w:start w:val="1"/>
      <w:numFmt w:val="bullet"/>
      <w:lvlText w:val=""/>
      <w:lvlJc w:val="left"/>
      <w:pPr>
        <w:tabs>
          <w:tab w:val="num" w:pos="5220"/>
        </w:tabs>
        <w:ind w:left="5220" w:hanging="360"/>
      </w:pPr>
      <w:rPr>
        <w:rFonts w:ascii="Symbol" w:hAnsi="Symbol"/>
        <w:rtl w:val="0"/>
      </w:rPr>
    </w:lvl>
    <w:lvl w:ilvl="7">
      <w:start w:val="1"/>
      <w:numFmt w:val="bullet"/>
      <w:lvlText w:val="o"/>
      <w:lvlJc w:val="left"/>
      <w:pPr>
        <w:tabs>
          <w:tab w:val="num" w:pos="5940"/>
        </w:tabs>
        <w:ind w:left="5940" w:hanging="360"/>
      </w:pPr>
      <w:rPr>
        <w:rFonts w:ascii="Courier New" w:hAnsi="Courier New" w:cs="Courier New"/>
        <w:rtl w:val="0"/>
      </w:rPr>
    </w:lvl>
    <w:lvl w:ilvl="8">
      <w:start w:val="1"/>
      <w:numFmt w:val="bullet"/>
      <w:lvlText w:val=""/>
      <w:lvlJc w:val="left"/>
      <w:pPr>
        <w:tabs>
          <w:tab w:val="num" w:pos="6660"/>
        </w:tabs>
        <w:ind w:left="6660" w:hanging="360"/>
      </w:pPr>
      <w:rPr>
        <w:rFonts w:ascii="Wingdings" w:hAnsi="Wingdings"/>
        <w:rtl w:val="0"/>
      </w:rPr>
    </w:lvl>
  </w:abstractNum>
  <w:abstractNum w:abstractNumId="168">
    <w:nsid w:val="7F175CF3"/>
    <w:multiLevelType w:val="hybridMultilevel"/>
    <w:tmpl w:val="21483168"/>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69">
    <w:nsid w:val="7F1E083F"/>
    <w:multiLevelType w:val="multilevel"/>
    <w:tmpl w:val="EF2C03F0"/>
    <w:lvl w:ilvl="0">
      <w:start w:val="2"/>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0">
    <w:nsid w:val="7F2A3A07"/>
    <w:multiLevelType w:val="hybridMultilevel"/>
    <w:tmpl w:val="AB4284E2"/>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71">
    <w:nsid w:val="7F8F55B7"/>
    <w:multiLevelType w:val="multilevel"/>
    <w:tmpl w:val="A62EB0A8"/>
    <w:lvl w:ilvl="0">
      <w:start w:val="1"/>
      <w:numFmt w:val="bullet"/>
      <w:lvlText w:val=""/>
      <w:lvlJc w:val="left"/>
      <w:pPr>
        <w:tabs>
          <w:tab w:val="num" w:pos="360"/>
        </w:tabs>
        <w:ind w:left="360" w:hanging="360"/>
      </w:pPr>
      <w:rPr>
        <w:rFonts w:ascii="Wingdings" w:hAnsi="Wingdings"/>
        <w:rtl w:val="0"/>
      </w:rPr>
    </w:lvl>
    <w:lvl w:ilvl="1">
      <w:start w:val="1"/>
      <w:numFmt w:val="bullet"/>
      <w:lvlText w:val="▪"/>
      <w:lvlJc w:val="left"/>
      <w:pPr>
        <w:tabs>
          <w:tab w:val="num" w:pos="720"/>
        </w:tabs>
        <w:ind w:left="720" w:hanging="360"/>
      </w:pPr>
      <w:rPr>
        <w:rFonts w:ascii="Times New Roman" w:hAnsi="Times New Roman" w:cs="Times New Roman"/>
        <w:rtl w:val="0"/>
      </w:rPr>
    </w:lvl>
    <w:lvl w:ilvl="2">
      <w:start w:val="1"/>
      <w:numFmt w:val="bullet"/>
      <w:lvlText w:val="-"/>
      <w:lvlJc w:val="left"/>
      <w:pPr>
        <w:tabs>
          <w:tab w:val="num" w:pos="1080"/>
        </w:tabs>
        <w:ind w:left="1080" w:hanging="360"/>
      </w:pPr>
      <w:rPr>
        <w:rFonts w:ascii="Times New Roman" w:hAnsi="Times New Roman" w:cs="Times New Roman"/>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172">
    <w:nsid w:val="7FAF42BD"/>
    <w:multiLevelType w:val="hybridMultilevel"/>
    <w:tmpl w:val="0720AEF2"/>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num w:numId="1">
    <w:abstractNumId w:val="114"/>
  </w:num>
  <w:num w:numId="2">
    <w:abstractNumId w:val="153"/>
  </w:num>
  <w:num w:numId="3">
    <w:abstractNumId w:val="171"/>
  </w:num>
  <w:num w:numId="4">
    <w:abstractNumId w:val="128"/>
  </w:num>
  <w:num w:numId="5">
    <w:abstractNumId w:val="75"/>
  </w:num>
  <w:num w:numId="6">
    <w:abstractNumId w:val="90"/>
  </w:num>
  <w:num w:numId="7">
    <w:abstractNumId w:val="94"/>
  </w:num>
  <w:num w:numId="8">
    <w:abstractNumId w:val="151"/>
  </w:num>
  <w:num w:numId="9">
    <w:abstractNumId w:val="7"/>
  </w:num>
  <w:num w:numId="10">
    <w:abstractNumId w:val="157"/>
  </w:num>
  <w:num w:numId="11">
    <w:abstractNumId w:val="73"/>
  </w:num>
  <w:num w:numId="12">
    <w:abstractNumId w:val="3"/>
  </w:num>
  <w:num w:numId="13">
    <w:abstractNumId w:val="2"/>
  </w:num>
  <w:num w:numId="14">
    <w:abstractNumId w:val="129"/>
  </w:num>
  <w:num w:numId="15">
    <w:abstractNumId w:val="13"/>
  </w:num>
  <w:num w:numId="16">
    <w:abstractNumId w:val="30"/>
  </w:num>
  <w:num w:numId="17">
    <w:abstractNumId w:val="105"/>
    <w:lvlOverride w:ilvl="0">
      <w:startOverride w:val="3"/>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4"/>
  </w:num>
  <w:num w:numId="19">
    <w:abstractNumId w:val="1"/>
  </w:num>
  <w:num w:numId="20">
    <w:abstractNumId w:val="41"/>
  </w:num>
  <w:num w:numId="21">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51"/>
  </w:num>
  <w:num w:numId="26">
    <w:abstractNumId w:val="110"/>
  </w:num>
  <w:num w:numId="27">
    <w:abstractNumId w:val="8"/>
  </w:num>
  <w:num w:numId="28">
    <w:abstractNumId w:val="9"/>
  </w:num>
  <w:num w:numId="29">
    <w:abstractNumId w:val="100"/>
  </w:num>
  <w:num w:numId="30">
    <w:abstractNumId w:val="93"/>
  </w:num>
  <w:num w:numId="31">
    <w:abstractNumId w:val="84"/>
  </w:num>
  <w:num w:numId="32">
    <w:abstractNumId w:val="48"/>
  </w:num>
  <w:num w:numId="33">
    <w:abstractNumId w:val="126"/>
  </w:num>
  <w:num w:numId="34">
    <w:abstractNumId w:val="60"/>
  </w:num>
  <w:num w:numId="35">
    <w:abstractNumId w:val="10"/>
  </w:num>
  <w:num w:numId="36">
    <w:abstractNumId w:val="61"/>
  </w:num>
  <w:num w:numId="37">
    <w:abstractNumId w:val="57"/>
  </w:num>
  <w:num w:numId="38">
    <w:abstractNumId w:val="122"/>
  </w:num>
  <w:num w:numId="39">
    <w:abstractNumId w:val="160"/>
  </w:num>
  <w:num w:numId="40">
    <w:abstractNumId w:val="39"/>
  </w:num>
  <w:num w:numId="41">
    <w:abstractNumId w:val="69"/>
  </w:num>
  <w:num w:numId="42">
    <w:abstractNumId w:val="29"/>
  </w:num>
  <w:num w:numId="43">
    <w:abstractNumId w:val="72"/>
  </w:num>
  <w:num w:numId="44">
    <w:abstractNumId w:val="145"/>
  </w:num>
  <w:num w:numId="45">
    <w:abstractNumId w:val="11"/>
  </w:num>
  <w:num w:numId="46">
    <w:abstractNumId w:val="27"/>
  </w:num>
  <w:num w:numId="47">
    <w:abstractNumId w:val="97"/>
  </w:num>
  <w:num w:numId="48">
    <w:abstractNumId w:val="115"/>
  </w:num>
  <w:num w:numId="49">
    <w:abstractNumId w:val="77"/>
  </w:num>
  <w:num w:numId="50">
    <w:abstractNumId w:val="28"/>
  </w:num>
  <w:num w:numId="51">
    <w:abstractNumId w:val="112"/>
  </w:num>
  <w:num w:numId="52">
    <w:abstractNumId w:val="143"/>
  </w:num>
  <w:num w:numId="53">
    <w:abstractNumId w:val="127"/>
  </w:num>
  <w:num w:numId="54">
    <w:abstractNumId w:val="64"/>
  </w:num>
  <w:num w:numId="55">
    <w:abstractNumId w:val="5"/>
  </w:num>
  <w:num w:numId="56">
    <w:abstractNumId w:val="35"/>
  </w:num>
  <w:num w:numId="57">
    <w:abstractNumId w:val="33"/>
  </w:num>
  <w:num w:numId="58">
    <w:abstractNumId w:val="67"/>
  </w:num>
  <w:num w:numId="59">
    <w:abstractNumId w:val="6"/>
  </w:num>
  <w:num w:numId="60">
    <w:abstractNumId w:val="104"/>
  </w:num>
  <w:num w:numId="61">
    <w:abstractNumId w:val="44"/>
  </w:num>
  <w:num w:numId="62">
    <w:abstractNumId w:val="70"/>
  </w:num>
  <w:num w:numId="63">
    <w:abstractNumId w:val="117"/>
  </w:num>
  <w:num w:numId="64">
    <w:abstractNumId w:val="87"/>
  </w:num>
  <w:num w:numId="65">
    <w:abstractNumId w:val="132"/>
  </w:num>
  <w:num w:numId="66">
    <w:abstractNumId w:val="158"/>
  </w:num>
  <w:num w:numId="67">
    <w:abstractNumId w:val="107"/>
  </w:num>
  <w:num w:numId="68">
    <w:abstractNumId w:val="109"/>
  </w:num>
  <w:num w:numId="69">
    <w:abstractNumId w:val="152"/>
  </w:num>
  <w:num w:numId="70">
    <w:abstractNumId w:val="121"/>
  </w:num>
  <w:num w:numId="71">
    <w:abstractNumId w:val="163"/>
  </w:num>
  <w:num w:numId="72">
    <w:abstractNumId w:val="31"/>
  </w:num>
  <w:num w:numId="73">
    <w:abstractNumId w:val="63"/>
  </w:num>
  <w:num w:numId="74">
    <w:abstractNumId w:val="83"/>
  </w:num>
  <w:num w:numId="75">
    <w:abstractNumId w:val="85"/>
  </w:num>
  <w:num w:numId="76">
    <w:abstractNumId w:val="80"/>
  </w:num>
  <w:num w:numId="77">
    <w:abstractNumId w:val="101"/>
  </w:num>
  <w:num w:numId="78">
    <w:abstractNumId w:val="161"/>
  </w:num>
  <w:num w:numId="79">
    <w:abstractNumId w:val="125"/>
  </w:num>
  <w:num w:numId="80">
    <w:abstractNumId w:val="166"/>
  </w:num>
  <w:num w:numId="81">
    <w:abstractNumId w:val="89"/>
  </w:num>
  <w:num w:numId="82">
    <w:abstractNumId w:val="22"/>
  </w:num>
  <w:num w:numId="83">
    <w:abstractNumId w:val="0"/>
  </w:num>
  <w:num w:numId="84">
    <w:abstractNumId w:val="37"/>
  </w:num>
  <w:num w:numId="85">
    <w:abstractNumId w:val="150"/>
  </w:num>
  <w:num w:numId="86">
    <w:abstractNumId w:val="45"/>
  </w:num>
  <w:num w:numId="87">
    <w:abstractNumId w:val="149"/>
  </w:num>
  <w:num w:numId="88">
    <w:abstractNumId w:val="170"/>
  </w:num>
  <w:num w:numId="89">
    <w:abstractNumId w:val="34"/>
  </w:num>
  <w:num w:numId="90">
    <w:abstractNumId w:val="130"/>
  </w:num>
  <w:num w:numId="91">
    <w:abstractNumId w:val="108"/>
  </w:num>
  <w:num w:numId="92">
    <w:abstractNumId w:val="42"/>
  </w:num>
  <w:num w:numId="93">
    <w:abstractNumId w:val="47"/>
  </w:num>
  <w:num w:numId="94">
    <w:abstractNumId w:val="18"/>
  </w:num>
  <w:num w:numId="95">
    <w:abstractNumId w:val="49"/>
  </w:num>
  <w:num w:numId="96">
    <w:abstractNumId w:val="14"/>
  </w:num>
  <w:num w:numId="97">
    <w:abstractNumId w:val="88"/>
  </w:num>
  <w:num w:numId="98">
    <w:abstractNumId w:val="133"/>
  </w:num>
  <w:num w:numId="99">
    <w:abstractNumId w:val="38"/>
  </w:num>
  <w:num w:numId="100">
    <w:abstractNumId w:val="43"/>
  </w:num>
  <w:num w:numId="101">
    <w:abstractNumId w:val="135"/>
  </w:num>
  <w:num w:numId="102">
    <w:abstractNumId w:val="118"/>
  </w:num>
  <w:num w:numId="103">
    <w:abstractNumId w:val="74"/>
  </w:num>
  <w:num w:numId="104">
    <w:abstractNumId w:val="98"/>
  </w:num>
  <w:num w:numId="105">
    <w:abstractNumId w:val="138"/>
  </w:num>
  <w:num w:numId="106">
    <w:abstractNumId w:val="123"/>
  </w:num>
  <w:num w:numId="107">
    <w:abstractNumId w:val="172"/>
  </w:num>
  <w:num w:numId="108">
    <w:abstractNumId w:val="156"/>
  </w:num>
  <w:num w:numId="109">
    <w:abstractNumId w:val="96"/>
  </w:num>
  <w:num w:numId="110">
    <w:abstractNumId w:val="139"/>
  </w:num>
  <w:num w:numId="111">
    <w:abstractNumId w:val="12"/>
  </w:num>
  <w:num w:numId="112">
    <w:abstractNumId w:val="86"/>
  </w:num>
  <w:num w:numId="113">
    <w:abstractNumId w:val="15"/>
  </w:num>
  <w:num w:numId="114">
    <w:abstractNumId w:val="154"/>
  </w:num>
  <w:num w:numId="115">
    <w:abstractNumId w:val="120"/>
  </w:num>
  <w:num w:numId="116">
    <w:abstractNumId w:val="159"/>
  </w:num>
  <w:num w:numId="117">
    <w:abstractNumId w:val="65"/>
  </w:num>
  <w:num w:numId="118">
    <w:abstractNumId w:val="36"/>
  </w:num>
  <w:num w:numId="119">
    <w:abstractNumId w:val="136"/>
  </w:num>
  <w:num w:numId="120">
    <w:abstractNumId w:val="168"/>
  </w:num>
  <w:num w:numId="121">
    <w:abstractNumId w:val="81"/>
  </w:num>
  <w:num w:numId="122">
    <w:abstractNumId w:val="92"/>
  </w:num>
  <w:num w:numId="123">
    <w:abstractNumId w:val="91"/>
  </w:num>
  <w:num w:numId="124">
    <w:abstractNumId w:val="95"/>
  </w:num>
  <w:num w:numId="125">
    <w:abstractNumId w:val="25"/>
  </w:num>
  <w:num w:numId="126">
    <w:abstractNumId w:val="164"/>
  </w:num>
  <w:num w:numId="127">
    <w:abstractNumId w:val="71"/>
  </w:num>
  <w:num w:numId="128">
    <w:abstractNumId w:val="62"/>
  </w:num>
  <w:num w:numId="129">
    <w:abstractNumId w:val="68"/>
  </w:num>
  <w:num w:numId="130">
    <w:abstractNumId w:val="141"/>
  </w:num>
  <w:num w:numId="131">
    <w:abstractNumId w:val="55"/>
  </w:num>
  <w:num w:numId="132">
    <w:abstractNumId w:val="32"/>
  </w:num>
  <w:num w:numId="133">
    <w:abstractNumId w:val="56"/>
  </w:num>
  <w:num w:numId="134">
    <w:abstractNumId w:val="78"/>
  </w:num>
  <w:num w:numId="135">
    <w:abstractNumId w:val="58"/>
  </w:num>
  <w:num w:numId="136">
    <w:abstractNumId w:val="119"/>
  </w:num>
  <w:num w:numId="137">
    <w:abstractNumId w:val="165"/>
  </w:num>
  <w:num w:numId="138">
    <w:abstractNumId w:val="23"/>
  </w:num>
  <w:num w:numId="139">
    <w:abstractNumId w:val="26"/>
  </w:num>
  <w:num w:numId="140">
    <w:abstractNumId w:val="52"/>
  </w:num>
  <w:num w:numId="141">
    <w:abstractNumId w:val="106"/>
  </w:num>
  <w:num w:numId="142">
    <w:abstractNumId w:val="16"/>
  </w:num>
  <w:num w:numId="143">
    <w:abstractNumId w:val="50"/>
  </w:num>
  <w:num w:numId="144">
    <w:abstractNumId w:val="134"/>
  </w:num>
  <w:num w:numId="145">
    <w:abstractNumId w:val="76"/>
  </w:num>
  <w:num w:numId="146">
    <w:abstractNumId w:val="19"/>
  </w:num>
  <w:num w:numId="147">
    <w:abstractNumId w:val="4"/>
  </w:num>
  <w:num w:numId="148">
    <w:abstractNumId w:val="169"/>
  </w:num>
  <w:num w:numId="149">
    <w:abstractNumId w:val="137"/>
  </w:num>
  <w:num w:numId="150">
    <w:abstractNumId w:val="9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0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0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67"/>
  </w:num>
  <w:num w:numId="178">
    <w:abstractNumId w:val="124"/>
  </w:num>
  <w:num w:numId="179">
    <w:abstractNumId w:val="140"/>
  </w:num>
  <w:num w:numId="180">
    <w:abstractNumId w:val="59"/>
  </w:num>
  <w:num w:numId="181">
    <w:abstractNumId w:val="46"/>
  </w:num>
  <w:num w:numId="182">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79"/>
  </w:num>
  <w:num w:numId="190">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62"/>
  </w:num>
  <w:num w:numId="192">
    <w:abstractNumId w:val="116"/>
  </w:num>
  <w:num w:numId="193">
    <w:abstractNumId w:val="131"/>
  </w:num>
  <w:num w:numId="194">
    <w:abstractNumId w:val="113"/>
  </w:num>
  <w:num w:numId="195">
    <w:abstractNumId w:val="147"/>
  </w:num>
  <w:num w:numId="196">
    <w:abstractNumId w:val="155"/>
  </w:num>
  <w:num w:numId="197">
    <w:abstractNumId w:val="53"/>
  </w:num>
  <w:num w:numId="198">
    <w:abstractNumId w:val="66"/>
  </w:num>
  <w:num w:numId="199">
    <w:abstractNumId w:val="99"/>
  </w:num>
  <w:num w:numId="200">
    <w:abstractNumId w:val="102"/>
  </w:num>
  <w:num w:numId="201">
    <w:abstractNumId w:val="142"/>
  </w:num>
  <w:num w:numId="202">
    <w:abstractNumId w:val="111"/>
  </w:num>
  <w:num w:numId="203">
    <w:abstractNumId w:val="24"/>
  </w:num>
  <w:num w:numId="204">
    <w:abstractNumId w:val="20"/>
  </w:num>
  <w:num w:numId="205">
    <w:abstractNumId w:val="54"/>
  </w:num>
  <w:num w:numId="206">
    <w:abstractNumId w:val="21"/>
  </w:num>
  <w:num w:numId="207">
    <w:abstractNumId w:val="17"/>
  </w:num>
  <w:num w:numId="208">
    <w:abstractNumId w:val="103"/>
  </w:num>
  <w:num w:numId="209">
    <w:abstractNumId w:val="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01269E"/>
    <w:rsid w:val="00054229"/>
    <w:rsid w:val="000663D7"/>
    <w:rsid w:val="00071A28"/>
    <w:rsid w:val="000729CF"/>
    <w:rsid w:val="00076E10"/>
    <w:rsid w:val="000A40C7"/>
    <w:rsid w:val="000C774E"/>
    <w:rsid w:val="000D5616"/>
    <w:rsid w:val="000F5BC4"/>
    <w:rsid w:val="00126E19"/>
    <w:rsid w:val="00166CC7"/>
    <w:rsid w:val="0017616A"/>
    <w:rsid w:val="00186C4E"/>
    <w:rsid w:val="00194AB8"/>
    <w:rsid w:val="00195BA1"/>
    <w:rsid w:val="001A548B"/>
    <w:rsid w:val="001B4B98"/>
    <w:rsid w:val="001C088C"/>
    <w:rsid w:val="00200D2F"/>
    <w:rsid w:val="00217FAD"/>
    <w:rsid w:val="002200A4"/>
    <w:rsid w:val="00231151"/>
    <w:rsid w:val="00234BF1"/>
    <w:rsid w:val="00241D16"/>
    <w:rsid w:val="00281E3F"/>
    <w:rsid w:val="00282F4F"/>
    <w:rsid w:val="0028653E"/>
    <w:rsid w:val="00290120"/>
    <w:rsid w:val="002917A9"/>
    <w:rsid w:val="002A517A"/>
    <w:rsid w:val="002B51F5"/>
    <w:rsid w:val="002B5C85"/>
    <w:rsid w:val="002D189A"/>
    <w:rsid w:val="002D29DB"/>
    <w:rsid w:val="00313D65"/>
    <w:rsid w:val="003202EE"/>
    <w:rsid w:val="00342DC2"/>
    <w:rsid w:val="0034337F"/>
    <w:rsid w:val="00346C92"/>
    <w:rsid w:val="00367951"/>
    <w:rsid w:val="00371EB9"/>
    <w:rsid w:val="00373740"/>
    <w:rsid w:val="003753AC"/>
    <w:rsid w:val="003758E7"/>
    <w:rsid w:val="003A016F"/>
    <w:rsid w:val="003C14FB"/>
    <w:rsid w:val="003C3498"/>
    <w:rsid w:val="00414576"/>
    <w:rsid w:val="0043154E"/>
    <w:rsid w:val="00435E26"/>
    <w:rsid w:val="00443AB4"/>
    <w:rsid w:val="00461401"/>
    <w:rsid w:val="004732C2"/>
    <w:rsid w:val="00480931"/>
    <w:rsid w:val="00487FE4"/>
    <w:rsid w:val="004938EB"/>
    <w:rsid w:val="004B218E"/>
    <w:rsid w:val="004C5BC7"/>
    <w:rsid w:val="004D5393"/>
    <w:rsid w:val="00526748"/>
    <w:rsid w:val="005273D3"/>
    <w:rsid w:val="00542D33"/>
    <w:rsid w:val="005A28BC"/>
    <w:rsid w:val="005C1768"/>
    <w:rsid w:val="005D53B0"/>
    <w:rsid w:val="005E1460"/>
    <w:rsid w:val="005E2DF7"/>
    <w:rsid w:val="005E3AC2"/>
    <w:rsid w:val="006076F5"/>
    <w:rsid w:val="0061547F"/>
    <w:rsid w:val="00631A0A"/>
    <w:rsid w:val="00651C20"/>
    <w:rsid w:val="006716DF"/>
    <w:rsid w:val="006B2EA2"/>
    <w:rsid w:val="006B5E7D"/>
    <w:rsid w:val="006D7F80"/>
    <w:rsid w:val="006F6BD5"/>
    <w:rsid w:val="00703CBE"/>
    <w:rsid w:val="00712A24"/>
    <w:rsid w:val="007625F2"/>
    <w:rsid w:val="00772FBF"/>
    <w:rsid w:val="007A34E1"/>
    <w:rsid w:val="007D6F9F"/>
    <w:rsid w:val="007F6159"/>
    <w:rsid w:val="007F78EE"/>
    <w:rsid w:val="00804143"/>
    <w:rsid w:val="00806A9F"/>
    <w:rsid w:val="00807BD4"/>
    <w:rsid w:val="008243D5"/>
    <w:rsid w:val="00844FE2"/>
    <w:rsid w:val="008B39DA"/>
    <w:rsid w:val="008F694D"/>
    <w:rsid w:val="00924F4F"/>
    <w:rsid w:val="00957D00"/>
    <w:rsid w:val="009D7ED1"/>
    <w:rsid w:val="00A223FF"/>
    <w:rsid w:val="00A22D3B"/>
    <w:rsid w:val="00A467C8"/>
    <w:rsid w:val="00A46AC8"/>
    <w:rsid w:val="00A7652A"/>
    <w:rsid w:val="00A96506"/>
    <w:rsid w:val="00AB421E"/>
    <w:rsid w:val="00AC5B52"/>
    <w:rsid w:val="00AD7CB1"/>
    <w:rsid w:val="00AE280E"/>
    <w:rsid w:val="00AF3C45"/>
    <w:rsid w:val="00B7287B"/>
    <w:rsid w:val="00B86A16"/>
    <w:rsid w:val="00B94436"/>
    <w:rsid w:val="00BC72BC"/>
    <w:rsid w:val="00BF0980"/>
    <w:rsid w:val="00C205AD"/>
    <w:rsid w:val="00C21CC2"/>
    <w:rsid w:val="00C37E7B"/>
    <w:rsid w:val="00C52C24"/>
    <w:rsid w:val="00C52DD5"/>
    <w:rsid w:val="00C903F0"/>
    <w:rsid w:val="00CE10EF"/>
    <w:rsid w:val="00D32CF1"/>
    <w:rsid w:val="00D41768"/>
    <w:rsid w:val="00D46864"/>
    <w:rsid w:val="00D55E35"/>
    <w:rsid w:val="00D7129B"/>
    <w:rsid w:val="00DD6BEB"/>
    <w:rsid w:val="00DE7A17"/>
    <w:rsid w:val="00E2247A"/>
    <w:rsid w:val="00E31076"/>
    <w:rsid w:val="00E34526"/>
    <w:rsid w:val="00E600A9"/>
    <w:rsid w:val="00EA4309"/>
    <w:rsid w:val="00EB6D9D"/>
    <w:rsid w:val="00EB7C8F"/>
    <w:rsid w:val="00ED4B41"/>
    <w:rsid w:val="00EE12C1"/>
    <w:rsid w:val="00F12F4B"/>
    <w:rsid w:val="00F56B91"/>
    <w:rsid w:val="00F9234E"/>
    <w:rsid w:val="00FC6258"/>
    <w:rsid w:val="00FD6B2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uiPriority="39"/>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DD5"/>
    <w:pPr>
      <w:widowControl w:val="0"/>
      <w:autoSpaceDE w:val="0"/>
      <w:autoSpaceDN w:val="0"/>
      <w:bidi w:val="0"/>
      <w:adjustRightInd w:val="0"/>
      <w:ind w:left="0" w:right="0"/>
      <w:jc w:val="left"/>
      <w:textAlignment w:val="auto"/>
    </w:pPr>
    <w:rPr>
      <w:rFonts w:ascii="Courier" w:hAnsi="Courier"/>
      <w:sz w:val="24"/>
      <w:szCs w:val="20"/>
      <w:rtl w:val="0"/>
      <w:lang w:val="sk-SK" w:bidi="ar-SA"/>
    </w:rPr>
  </w:style>
  <w:style w:type="paragraph" w:styleId="Heading1">
    <w:name w:val="heading 1"/>
    <w:basedOn w:val="Normal"/>
    <w:next w:val="Normal"/>
    <w:uiPriority w:val="9"/>
    <w:qFormat/>
    <w:rsid w:val="00C52DD5"/>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uiPriority w:val="9"/>
    <w:qFormat/>
    <w:rsid w:val="00C52DD5"/>
    <w:pPr>
      <w:keepNext/>
      <w:spacing w:before="240" w:after="60"/>
      <w:jc w:val="left"/>
      <w:outlineLvl w:val="1"/>
    </w:pPr>
    <w:rPr>
      <w:rFonts w:ascii="Arial" w:hAnsi="Arial" w:cs="Arial"/>
      <w:b/>
      <w:bCs/>
      <w:i/>
      <w:iCs/>
      <w:sz w:val="28"/>
      <w:szCs w:val="28"/>
    </w:rPr>
  </w:style>
  <w:style w:type="paragraph" w:styleId="Heading3">
    <w:name w:val="heading 3"/>
    <w:basedOn w:val="Normal"/>
    <w:next w:val="Normal"/>
    <w:uiPriority w:val="9"/>
    <w:qFormat/>
    <w:rsid w:val="00C52DD5"/>
    <w:pPr>
      <w:keepNext/>
      <w:spacing w:before="240" w:after="60"/>
      <w:jc w:val="left"/>
      <w:outlineLvl w:val="2"/>
    </w:pPr>
    <w:rPr>
      <w:rFonts w:ascii="Arial" w:hAnsi="Arial" w:cs="Arial"/>
      <w:b/>
      <w:bCs/>
      <w:sz w:val="26"/>
      <w:szCs w:val="26"/>
    </w:rPr>
  </w:style>
  <w:style w:type="character" w:default="1" w:styleId="DefaultParagraphFont">
    <w:name w:val="Default Paragraph Font"/>
    <w:link w:val="CharCharCharCharCharCharCharCharCharCharCharCharCharCharCharCharCharCharCharCharCharCharCharCharCharChar"/>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link w:val="DefaultParagraphFont"/>
    <w:rsid w:val="00C52DD5"/>
    <w:pPr>
      <w:spacing w:after="160" w:line="240" w:lineRule="exact"/>
      <w:jc w:val="left"/>
    </w:pPr>
    <w:rPr>
      <w:rFonts w:ascii="Tahoma" w:hAnsi="Tahoma"/>
      <w:sz w:val="20"/>
      <w:lang w:val="en-US"/>
    </w:rPr>
  </w:style>
  <w:style w:type="paragraph" w:customStyle="1" w:styleId="tl3">
    <w:name w:val="Štýl3"/>
    <w:basedOn w:val="Heading3"/>
    <w:autoRedefine/>
    <w:rsid w:val="00C52DD5"/>
    <w:pPr>
      <w:numPr>
        <w:ilvl w:val="2"/>
        <w:numId w:val="1"/>
      </w:numPr>
      <w:tabs>
        <w:tab w:val="left" w:pos="357"/>
      </w:tabs>
      <w:spacing w:before="100" w:beforeAutospacing="1" w:after="100" w:afterAutospacing="1"/>
      <w:ind w:left="357" w:hanging="357"/>
      <w:jc w:val="left"/>
    </w:pPr>
    <w:rPr>
      <w:rFonts w:ascii="Book Antiqua" w:hAnsi="Book Antiqua" w:cs="Times New Roman"/>
      <w:sz w:val="22"/>
      <w:szCs w:val="22"/>
    </w:rPr>
  </w:style>
  <w:style w:type="paragraph" w:styleId="Header">
    <w:name w:val="header"/>
    <w:basedOn w:val="Normal"/>
    <w:rsid w:val="00C52DD5"/>
    <w:pPr>
      <w:tabs>
        <w:tab w:val="center" w:pos="4536"/>
        <w:tab w:val="right" w:pos="9072"/>
      </w:tabs>
      <w:jc w:val="left"/>
    </w:pPr>
  </w:style>
  <w:style w:type="paragraph" w:styleId="Footer">
    <w:name w:val="footer"/>
    <w:basedOn w:val="Normal"/>
    <w:rsid w:val="00C52DD5"/>
    <w:pPr>
      <w:tabs>
        <w:tab w:val="center" w:pos="4536"/>
        <w:tab w:val="right" w:pos="9072"/>
      </w:tabs>
      <w:jc w:val="left"/>
    </w:pPr>
  </w:style>
  <w:style w:type="paragraph" w:styleId="BodyText">
    <w:name w:val="Body Text"/>
    <w:basedOn w:val="Normal"/>
    <w:rsid w:val="00C52DD5"/>
    <w:pPr>
      <w:spacing w:after="120"/>
      <w:jc w:val="left"/>
    </w:pPr>
  </w:style>
  <w:style w:type="paragraph" w:customStyle="1" w:styleId="Zkladntext">
    <w:name w:val="Základní text"/>
    <w:rsid w:val="00C52DD5"/>
    <w:pPr>
      <w:widowControl w:val="0"/>
      <w:autoSpaceDE w:val="0"/>
      <w:autoSpaceDN w:val="0"/>
      <w:bidi w:val="0"/>
      <w:adjustRightInd w:val="0"/>
      <w:ind w:left="0" w:right="0"/>
      <w:jc w:val="left"/>
      <w:textAlignment w:val="auto"/>
    </w:pPr>
    <w:rPr>
      <w:color w:val="000000"/>
      <w:sz w:val="24"/>
      <w:szCs w:val="24"/>
      <w:rtl w:val="0"/>
      <w:lang w:val="sk-SK" w:bidi="ar-SA"/>
    </w:rPr>
  </w:style>
  <w:style w:type="paragraph" w:styleId="FootnoteText">
    <w:name w:val="footnote text"/>
    <w:aliases w:val="Footnote Text Char Char1 Char Char Char Char,Footnote Text Char1,Footnote Text Char1 Char,Footnote Text Char1 Char Char Char,Footnote Text Char2,Footnote Text Char2 Char Char,Footnote Text Char2 Char Char Char Char"/>
    <w:basedOn w:val="Normal"/>
    <w:semiHidden/>
    <w:rsid w:val="00C52DD5"/>
    <w:pPr>
      <w:jc w:val="left"/>
    </w:pPr>
    <w:rPr>
      <w:rFonts w:ascii="Times New Roman" w:hAnsi="Times New Roman"/>
      <w:szCs w:val="24"/>
    </w:rPr>
  </w:style>
  <w:style w:type="character" w:styleId="FootnoteReference">
    <w:name w:val="footnote reference"/>
    <w:basedOn w:val="DefaultParagraphFont"/>
    <w:semiHidden/>
    <w:rsid w:val="00C52DD5"/>
    <w:rPr>
      <w:vertAlign w:val="superscript"/>
    </w:rPr>
  </w:style>
  <w:style w:type="character" w:styleId="PageNumber">
    <w:name w:val="page number"/>
    <w:basedOn w:val="DefaultParagraphFont"/>
    <w:rsid w:val="00C52DD5"/>
  </w:style>
  <w:style w:type="paragraph" w:styleId="TOC1">
    <w:name w:val="toc 1"/>
    <w:basedOn w:val="Normal"/>
    <w:next w:val="Normal"/>
    <w:autoRedefine/>
    <w:uiPriority w:val="39"/>
    <w:rsid w:val="00C52DD5"/>
    <w:pPr>
      <w:tabs>
        <w:tab w:val="right" w:leader="dot" w:pos="9060"/>
      </w:tabs>
      <w:spacing w:before="240" w:after="120"/>
      <w:jc w:val="left"/>
    </w:pPr>
    <w:rPr>
      <w:rFonts w:ascii="Arial Narrow" w:hAnsi="Arial Narrow"/>
      <w:b/>
      <w:bCs/>
      <w:noProof/>
      <w:szCs w:val="24"/>
    </w:rPr>
  </w:style>
  <w:style w:type="paragraph" w:styleId="TOC3">
    <w:name w:val="toc 3"/>
    <w:basedOn w:val="Normal"/>
    <w:next w:val="Normal"/>
    <w:autoRedefine/>
    <w:uiPriority w:val="39"/>
    <w:rsid w:val="00C52DD5"/>
    <w:pPr>
      <w:ind w:left="480"/>
      <w:jc w:val="left"/>
    </w:pPr>
    <w:rPr>
      <w:rFonts w:ascii="Times New Roman" w:hAnsi="Times New Roman"/>
      <w:sz w:val="20"/>
    </w:rPr>
  </w:style>
  <w:style w:type="character" w:styleId="Hyperlink">
    <w:name w:val="Hyperlink"/>
    <w:basedOn w:val="DefaultParagraphFont"/>
    <w:rsid w:val="00C52DD5"/>
    <w:rPr>
      <w:color w:val="0000FF"/>
      <w:u w:val="single"/>
    </w:rPr>
  </w:style>
  <w:style w:type="paragraph" w:styleId="BodyTextIndent2">
    <w:name w:val="Body Text Indent 2"/>
    <w:basedOn w:val="Normal"/>
    <w:rsid w:val="00C52DD5"/>
    <w:pPr>
      <w:spacing w:after="120" w:line="480" w:lineRule="auto"/>
      <w:ind w:left="283"/>
      <w:jc w:val="left"/>
    </w:pPr>
    <w:rPr>
      <w:rFonts w:ascii="Times New Roman" w:hAnsi="Times New Roman"/>
      <w:szCs w:val="24"/>
    </w:rPr>
  </w:style>
  <w:style w:type="paragraph" w:styleId="BodyText2">
    <w:name w:val="Body Text 2"/>
    <w:basedOn w:val="Normal"/>
    <w:rsid w:val="00C52DD5"/>
    <w:pPr>
      <w:spacing w:after="120" w:line="480" w:lineRule="auto"/>
      <w:jc w:val="left"/>
    </w:pPr>
    <w:rPr>
      <w:rFonts w:ascii="Times New Roman" w:hAnsi="Times New Roman"/>
      <w:szCs w:val="24"/>
    </w:rPr>
  </w:style>
  <w:style w:type="paragraph" w:styleId="BodyTextIndent3">
    <w:name w:val="Body Text Indent 3"/>
    <w:basedOn w:val="Normal"/>
    <w:rsid w:val="00C52DD5"/>
    <w:pPr>
      <w:ind w:firstLine="708"/>
      <w:jc w:val="both"/>
    </w:pPr>
    <w:rPr>
      <w:rFonts w:ascii="Arial Narrow" w:hAnsi="Arial Narrow"/>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6.emf" /><Relationship Id="rId11" Type="http://schemas.openxmlformats.org/officeDocument/2006/relationships/image" Target="media/image7.emf"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emf"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image" Target="media/image4.emf" /><Relationship Id="rId9" Type="http://schemas.openxmlformats.org/officeDocument/2006/relationships/image" Target="media/image5.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60</TotalTime>
  <Pages>1</Pages>
  <Words>17292</Words>
  <Characters>98567</Characters>
  <Application>Microsoft Office Word</Application>
  <DocSecurity>0</DocSecurity>
  <Lines>0</Lines>
  <Paragraphs>0</Paragraphs>
  <ScaleCrop>false</ScaleCrop>
  <Company/>
  <LinksUpToDate>false</LinksUpToDate>
  <CharactersWithSpaces>115628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Martin Michlo</dc:creator>
  <cp:lastModifiedBy>Martin Michlo</cp:lastModifiedBy>
  <cp:revision>21</cp:revision>
  <cp:lastPrinted>2008-10-13T12:05:00Z</cp:lastPrinted>
  <dcterms:created xsi:type="dcterms:W3CDTF">2008-10-12T13:54:00Z</dcterms:created>
  <dcterms:modified xsi:type="dcterms:W3CDTF">2008-10-13T13:41:00Z</dcterms:modified>
</cp:coreProperties>
</file>