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01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6"/>
        <w:gridCol w:w="4891"/>
        <w:gridCol w:w="567"/>
        <w:gridCol w:w="992"/>
        <w:gridCol w:w="710"/>
        <w:gridCol w:w="4960"/>
        <w:gridCol w:w="567"/>
        <w:gridCol w:w="566"/>
        <w:gridCol w:w="1559"/>
        <w:gridCol w:w="710"/>
      </w:tblGrid>
      <w:tr>
        <w:tblPrEx>
          <w:tblW w:w="16018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24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550C" w:rsidRPr="004C7DBE" w:rsidP="001C550C">
            <w:pPr>
              <w:pStyle w:val="Heading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TABUĽKA  ZHODY</w:t>
            </w:r>
          </w:p>
          <w:p w:rsidR="00916961" w:rsidRPr="004C7DBE" w:rsidP="00916961">
            <w:pPr>
              <w:pStyle w:val="BodyText2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</w:pPr>
            <w:r w:rsidRPr="004C7DBE"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  <w:t>k návrhu zákona, ktorým sa mení a dopĺňa zákon č. 80/1997 Z. z. o Exportno-importnej banke Slovenskej republiky</w:t>
            </w:r>
          </w:p>
          <w:p w:rsidR="00916961" w:rsidRPr="004C7DBE" w:rsidP="00916961">
            <w:pPr>
              <w:pStyle w:val="BodyText2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szCs w:val="24"/>
                <w:lang w:val="sk-SK"/>
              </w:rPr>
            </w:pPr>
            <w:r w:rsidRPr="004C7DBE"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  <w:t>v znení neskorších predpisov s právom Európskych spoločenstiev a právom Európskej únie</w:t>
            </w:r>
          </w:p>
          <w:p w:rsidR="001C550C" w:rsidRPr="004C7DBE" w:rsidP="001C550C">
            <w:pPr>
              <w:pStyle w:val="TABUKA-nadpismal"/>
              <w:jc w:val="center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24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Normlnywebov8"/>
              <w:spacing w:before="0" w:after="0"/>
              <w:ind w:left="1490" w:hanging="149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7DBE" w:rsidR="001C550C">
              <w:rPr>
                <w:rFonts w:ascii="Times New Roman" w:hAnsi="Times New Roman" w:cs="Times New Roman"/>
                <w:b/>
                <w:sz w:val="20"/>
                <w:szCs w:val="24"/>
              </w:rPr>
              <w:t>Názov smernice:</w:t>
            </w: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4C7DBE">
              <w:rPr>
                <w:rFonts w:ascii="Times New Roman" w:hAnsi="Times New Roman" w:cs="Times New Roman"/>
                <w:b/>
                <w:sz w:val="20"/>
                <w:szCs w:val="24"/>
              </w:rPr>
              <w:t>Smernica Komisie 2006/111/ES zo 16. novembra 2006 o transparentnosti finančných vzťahov členských štátov a verejných podnikov a o finančnej transparentnosti v niektorých podnikoch</w:t>
            </w:r>
            <w:r w:rsidRPr="004C7DBE" w:rsidR="00BF7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(kodifikované znenie)</w:t>
            </w:r>
          </w:p>
          <w:p w:rsidR="001C550C" w:rsidRPr="004C7DBE" w:rsidP="0086622D">
            <w:pPr>
              <w:pStyle w:val="TABUKA-nadpis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0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86622D">
            <w:pPr>
              <w:pStyle w:val="TABUKA-nadpismal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4C7DBE" w:rsidR="001C550C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Smernica</w:t>
            </w:r>
            <w:r w:rsidRPr="004C7DB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 </w:t>
            </w:r>
            <w:r w:rsidRPr="004C7DBE" w:rsidR="0086622D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ES/</w:t>
            </w:r>
            <w:r w:rsidRPr="004C7DB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EÚ</w:t>
            </w:r>
          </w:p>
          <w:p w:rsidR="00916961" w:rsidRPr="004C7DBE" w:rsidP="00916961">
            <w:pPr>
              <w:pStyle w:val="Normlnywebov8"/>
              <w:spacing w:before="0" w:after="0"/>
              <w:ind w:left="0" w:hanging="18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 w:val="20"/>
                <w:szCs w:val="24"/>
              </w:rPr>
              <w:t>Smernica Komisie 2006/111/ES zo 16. novembra 2006 o transparentnosti finančných vzťahov členských štátov a verejných podnikov a o finančnej transparentnosti v niektorých podnikoch (kodifikované znenie)</w:t>
            </w:r>
          </w:p>
          <w:p w:rsidR="00EC039F" w:rsidRPr="004C7DBE" w:rsidP="004E7E45">
            <w:pPr>
              <w:pStyle w:val="TABUKA-nadpis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86622D">
            <w:pPr>
              <w:pStyle w:val="TABUKA-nadpismal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Všeobecne záväzné právne predpisy SR</w:t>
            </w:r>
          </w:p>
          <w:p w:rsidR="00EC039F" w:rsidRPr="004C7DBE" w:rsidP="00153BA6">
            <w:pPr>
              <w:pStyle w:val="tlZkladntextVycentrovanDoleJednoduchAutomatick"/>
              <w:spacing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4C7DBE" w:rsidR="00916961">
              <w:rPr>
                <w:rFonts w:ascii="Times New Roman" w:hAnsi="Times New Roman" w:cs="Times New Roman"/>
                <w:sz w:val="22"/>
                <w:szCs w:val="24"/>
              </w:rPr>
              <w:t>Zákon č. 523/2004 Z. z. o rozpočtových pravidlách verejnej správy a o zmene a doplnení niektorých zákonov v znení neskorších predpisov (ďalej len „Zákon č. 523/2004 Z. z.)</w:t>
            </w:r>
          </w:p>
          <w:p w:rsidR="00916961" w:rsidRPr="004C7DBE" w:rsidP="00153BA6">
            <w:pPr>
              <w:pStyle w:val="tlZkladntextVycentrovanDoleJednoduchAutomatick"/>
              <w:spacing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4C7DBE">
              <w:rPr>
                <w:rFonts w:ascii="Times New Roman" w:hAnsi="Times New Roman" w:cs="Times New Roman"/>
                <w:sz w:val="22"/>
                <w:szCs w:val="24"/>
              </w:rPr>
              <w:t>Zákon č. 80/1997 Z. z. o Exportno-importnej banke Slovenskej republiky v znení neskorších predpisov (ďalej len „Zákon č. 80/1997 Z. z.)</w:t>
            </w:r>
          </w:p>
          <w:p w:rsidR="00916961" w:rsidRPr="004C7DBE" w:rsidP="00153BA6">
            <w:pPr>
              <w:pStyle w:val="tlZkladntextVycentrovanDoleJednoduchAutomatick"/>
              <w:spacing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4C7DBE">
              <w:rPr>
                <w:rFonts w:ascii="Times New Roman" w:hAnsi="Times New Roman" w:cs="Times New Roman"/>
                <w:sz w:val="22"/>
                <w:szCs w:val="24"/>
              </w:rPr>
              <w:t>Zákon č. 431/2002 Z. z. o účtovníctve v znení neskorších predpisov (ďalej len „Zákon č.431/2002/ Z.z.)</w:t>
            </w:r>
          </w:p>
          <w:p w:rsidR="007127CF" w:rsidRPr="00065FA7" w:rsidP="00153BA6">
            <w:pPr>
              <w:pStyle w:val="tlZkladntextVycentrovanDoleJednoduchAutomatick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4"/>
                <w:lang w:val="cs-CZ"/>
              </w:rPr>
            </w:pPr>
            <w:r w:rsidRPr="004C7DBE">
              <w:rPr>
                <w:rFonts w:ascii="Times New Roman" w:hAnsi="Times New Roman" w:cs="Times New Roman"/>
                <w:b/>
                <w:sz w:val="22"/>
                <w:szCs w:val="24"/>
              </w:rPr>
              <w:t>Návrh zákona, ktorým sa mení a dopĺňa zákon č. 80/1997 Z. z. o Exportno-importnej banke Slovenskej republiky v znení neskorších predpisov</w:t>
            </w:r>
            <w:r w:rsidR="00065FA7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a zmene a doplnení niektorých zákonov</w:t>
            </w:r>
            <w:r w:rsidRPr="004C7DBE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4C7DBE">
              <w:rPr>
                <w:rFonts w:ascii="Times New Roman" w:hAnsi="Times New Roman" w:cs="Times New Roman"/>
                <w:b/>
                <w:sz w:val="22"/>
                <w:szCs w:val="24"/>
              </w:rPr>
              <w:t>(ďalej len “návrh zákona”)</w:t>
            </w:r>
            <w:r w:rsidR="00065FA7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906B5" w:rsidRPr="004C7DBE" w:rsidP="00E906B5">
            <w:pPr>
              <w:pStyle w:val="TABUKA-nadpisstpcov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 w:rsidR="00D92A2E">
              <w:rPr>
                <w:rFonts w:ascii="Times New Roman" w:hAnsi="Times New Roman" w:cs="Times New Roman"/>
                <w:sz w:val="20"/>
                <w:szCs w:val="24"/>
              </w:rPr>
              <w:t>Čl</w:t>
            </w: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Spôsob transpozície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Číslo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Článok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Text</w:t>
            </w:r>
          </w:p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Zhoda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Administratívna infraštruktúra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Poznámky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C039F" w:rsidRPr="004C7DBE" w:rsidP="00EC039F">
            <w:pPr>
              <w:pStyle w:val="TABUKA-nadpisstpcov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Štádium legislatívneho procesu</w:t>
            </w: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704" w:rsidRPr="004C7DBE" w:rsidP="0030370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Čl. 1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704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1.  Členské štáty zabezpečia, aby finančné vzťahy medzi orgánmi verejnej moci a verejnými podnikmi boli transparentné, ako to stanovuje táto smernica, z čoho jasne vyplýva, že:</w:t>
            </w: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b) orgány verejnej moci poskytujú verejné fondy prostredníctvom verejných podnikov alebo finančných inštitúcií;</w:t>
            </w: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c) verejné fondy sa využívajú skutočne na ten účel, na ktorý boli určené.</w:t>
            </w: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7C2F60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C2875" w:rsidRPr="004C7DBE" w:rsidP="001003CB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506C96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Zákon č. 523/2004 Z. z.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Zákon č. 523/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2004 Z.z.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 w:rsidR="00F30786">
              <w:rPr>
                <w:rFonts w:ascii="Times New Roman" w:hAnsi="Times New Roman" w:cs="Times New Roman"/>
                <w:b/>
                <w:szCs w:val="24"/>
              </w:rPr>
              <w:t>Návrh zákona</w:t>
            </w: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Návrh zákona</w:t>
            </w: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4C7DBE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  <w:lang w:val="en-US"/>
              </w:rPr>
              <w:t>Zákon č. 80/1997 Z. z.</w:t>
            </w: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Návrh zákona</w:t>
            </w: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§ 19 ods. 1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§ 19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O: 3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B062E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§ 19 </w:t>
            </w:r>
          </w:p>
          <w:p w:rsidR="007C2875" w:rsidRPr="004C7DBE" w:rsidP="007B062E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O: 4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 w:rsidR="00F30786">
              <w:rPr>
                <w:rFonts w:ascii="Times New Roman" w:hAnsi="Times New Roman" w:cs="Times New Roman"/>
                <w:b/>
                <w:szCs w:val="24"/>
              </w:rPr>
              <w:t>§ 28</w:t>
            </w:r>
          </w:p>
          <w:p w:rsidR="00F30786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O: 1</w:t>
            </w:r>
          </w:p>
          <w:p w:rsidR="00F30786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P: a)</w:t>
            </w:r>
          </w:p>
          <w:p w:rsidR="00F30786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P: b)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§</w:t>
            </w:r>
            <w:r w:rsidRPr="004C7DBE" w:rsidR="00F30786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O: 1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§</w:t>
            </w:r>
            <w:r w:rsidRPr="004C7DBE" w:rsidR="00F30786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O: 2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F30786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F30786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 xml:space="preserve">§ </w:t>
            </w:r>
            <w:r w:rsidRPr="004C7DBE" w:rsidR="00F30786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O: 3</w:t>
            </w: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9B2E27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§ 33</w:t>
            </w:r>
          </w:p>
          <w:p w:rsidR="007C2875" w:rsidRPr="004C7DBE" w:rsidP="001003CB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 (1) Verejné prostriedky možno použiť na účely, ktoré sú v súlade s osobitnými predpismi. 19) Prostriedky štátneho rozpočtu možno použiť len na účely, na ktoré boli ustanovené zákonom o štátnom rozpočte na príslušný rozpočtový rok alebo ustanovené podľa tohto zákona. Prostriedky štátneho rozpočtu nemožno použiť na úhradu nájomného podľa zmluvy o nájme veci s právom kúpy prenajatej veci 29) okrem úhrady tohto nájomného z prostriedkov štátneho rozpočtu určených na financovanie spoločných programov Slovenskej republiky a Európskej únie.</w:t>
            </w:r>
          </w:p>
          <w:p w:rsidR="007C2875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C7DBE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(3) Právnické osoby a fyzické osoby, ktorým sa poskytujú verejné prostriedky, zodpovedajú za hospodárenie s nimi a sú povinné pri ich používaní zachovávať hospodárnosť, efektívnosť a účinnosť ich použitia; 21) pri poskytovaní preddavkov z verejných prostriedkov sú povinné postupovať podľa odsekov 8 až 10.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(4) Štatutárny orgán subjektu verejnej správy 19) je povinný zabezpečiť, aby sa verejné prostriedky uvoľňovali iba v takej výške, aká zodpovedá rozsahu plnenia úloh zahrnutých v rozpočte subjektu verejnej správy.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Zdroje financovania</w:t>
            </w: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Zdroje financovania Eximbanky sú</w:t>
            </w:r>
          </w:p>
          <w:p w:rsidR="00F30786" w:rsidRPr="004C7DBE" w:rsidP="00F30786">
            <w:pPr>
              <w:pStyle w:val="TABUKA-textsmernice"/>
              <w:numPr>
                <w:numId w:val="22"/>
              </w:numPr>
              <w:tabs>
                <w:tab w:val="num" w:pos="354"/>
                <w:tab w:val="clear" w:pos="720"/>
              </w:tabs>
              <w:ind w:left="212" w:hanging="141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vlastné zdroje financovania tvorené základným imaním, fondmi uvedenými v § 29 ods. 1, výsledkom hospodárenia bežného účtovného obdobia a výsledkom hospodárenia minulých rokov,</w:t>
            </w:r>
          </w:p>
          <w:p w:rsidR="00F30786" w:rsidRPr="004C7DBE" w:rsidP="00F30786">
            <w:pPr>
              <w:pStyle w:val="TABUKA-textsmernice"/>
              <w:numPr>
                <w:numId w:val="22"/>
              </w:numPr>
              <w:tabs>
                <w:tab w:val="num" w:pos="354"/>
                <w:tab w:val="clear" w:pos="720"/>
              </w:tabs>
              <w:ind w:left="212" w:hanging="141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cudzie zdroje financovania tvorené dočasne použiteľnými cudzími prostriedkami.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Fondy</w:t>
            </w: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(1) Eximbanka tvorí v rámci vlastných zdrojov financovania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left="354" w:hanging="283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rezervný fond,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hanging="1369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fond na financovanie vývozných úverov,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hanging="1369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fond na záruky,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hanging="1369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fond na krytie obchodovateľných rizík,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hanging="1369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fond na krytie neobchodovateľných rizík,</w:t>
            </w:r>
          </w:p>
          <w:p w:rsidR="00F30786" w:rsidRPr="004C7DBE" w:rsidP="00F30786">
            <w:pPr>
              <w:pStyle w:val="TABUKA-textsmernice"/>
              <w:numPr>
                <w:ilvl w:val="1"/>
                <w:numId w:val="23"/>
              </w:numPr>
              <w:tabs>
                <w:tab w:val="num" w:pos="354"/>
                <w:tab w:val="clear" w:pos="1440"/>
              </w:tabs>
              <w:ind w:hanging="1369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ďalšie účelové finančné fondy.</w:t>
            </w: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(2) Spôsob tvorby fondov uvedených v odseku 1, ich výšku a spôsob ich použitia určujú pravidlá tvorby a použitia fondov Eximbanky schválené Dozornou radou. Ak v priebehu roka vznikne potreba zvýšenia finančných prostriedkov v niektorom z fondov uvedených v odseku 1, môže za účelom jeho doplnenia Dozorná rada na návrh Rady banky schváliť presun finančných prostriedkov v rámci fondov uvedených v odseku 1.</w:t>
            </w: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</w:p>
          <w:p w:rsidR="00F30786" w:rsidRPr="004C7DBE" w:rsidP="00F30786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 xml:space="preserve">(3) Fondy uvedené v odseku 1 možno doplniť dotáciami z výdavkov štátneho rozpočtu, ktoré sa stávajú trvalou súčasťou týchto fondov; na </w:t>
            </w:r>
            <w:r w:rsidR="008D4E24">
              <w:rPr>
                <w:rFonts w:ascii="Times New Roman" w:hAnsi="Times New Roman" w:cs="Times New Roman"/>
                <w:b/>
                <w:szCs w:val="24"/>
              </w:rPr>
              <w:t xml:space="preserve">tieto </w:t>
            </w:r>
            <w:r w:rsidRPr="004C7DBE">
              <w:rPr>
                <w:rFonts w:ascii="Times New Roman" w:hAnsi="Times New Roman" w:cs="Times New Roman"/>
                <w:b/>
                <w:szCs w:val="24"/>
              </w:rPr>
              <w:t xml:space="preserve">dotácie sa nevzťahuje odsek 2. 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Účtovníctvo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Eximbanka je povinná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a) viesť účtovníctvo v rozsahu a spôsobom, ktorý ustanovuje osobitný predpis, 13)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4709D" w:rsidRPr="004C7DBE" w:rsidP="0094709D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b) účtovať v sústave podvojného účtovníctva o stave a pohybe majetku a záväzkov, rozdiele majetku a záväzkov, výnosoch, nákladoch, príjmoch, výdavkoch a výsledku hospodárenia,</w:t>
            </w:r>
          </w:p>
          <w:p w:rsidR="0094709D" w:rsidRPr="004C7DBE" w:rsidP="0094709D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</w:p>
          <w:p w:rsidR="0094709D" w:rsidRPr="004C7DBE" w:rsidP="0094709D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c) viesť v účtovníctve finančné prostriedky vo fondoch uvedených v § 29 ods. 1 získané dotáciami podľa § 29 ods. 3 oddelene od ostatných finančných prostriedkov v týchto fondoch.</w:t>
            </w:r>
            <w:r w:rsidRPr="004C7DB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C2875" w:rsidRPr="004C7DBE" w:rsidP="007B062E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B062E">
            <w:pPr>
              <w:pStyle w:val="tlZkladntextVycentrovanDoleJednoduchAutomatick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19) Napríklad zákon č. 461/2003 Z.z. v znení neskorších predpisov, zákon č. 92/1991 Zb. v znení neskorších predpisov, zákon Slovenskej národnej rady č. 330/1991 Zb. o pozemkových úpravách, usporiadaní pozemkového vlastníctva, pozemkových úradoch, pozemkovom fonde a o pozemkových spoločenstvách v znení neskorších predpisov.</w:t>
            </w:r>
          </w:p>
          <w:p w:rsidR="007C2875" w:rsidRPr="004C7DBE" w:rsidP="007B062E">
            <w:pPr>
              <w:pStyle w:val="tlZkladntextVycentrovanDoleJednoduchAutomatick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7C2875" w:rsidRPr="004C7DBE" w:rsidP="007B062E">
            <w:pPr>
              <w:pStyle w:val="tlZkladntextVycentrovanDoleJednoduchAutomatick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21) Zákon č. 502/2001 Z.z. o finančnej kontrole a vnútornom audite a o zmene a doplnení niektorých zákonov.</w:t>
            </w:r>
            <w:r w:rsidRPr="004C7DB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29) § 489 až 496 Obchodného zákonníka .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C2875" w:rsidRPr="004C7DBE" w:rsidP="007C2F60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Čl. 4</w:t>
            </w:r>
          </w:p>
          <w:p w:rsidR="00555301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O: 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6DE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1. S cieľom zabezpečiť transparentnosť na základe článku 1 ods. 2 urobia členské štáty opatrenia potrebné na to, aby každý podnik viedol samostatné účtovanie tak, že:</w:t>
            </w:r>
          </w:p>
          <w:p w:rsidR="00FA10E1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C6DE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a) vnútorné účty zodpovedajúce jednotlivým činnostiam sú samostatné;</w:t>
            </w:r>
          </w:p>
          <w:p w:rsidR="00FA10E1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C6DE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b) všetky výdavky a príjmy sa správne rozdeľujú na základe rovnako uplatňovaných a objektívne odôvodnených zásad účtovania nákladov;</w:t>
            </w:r>
          </w:p>
          <w:p w:rsidR="00FA10E1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C6DE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c) zásady účtovania nákladov, podľa ktorých sa vedú samostatné účty, sú jasne stanovené.</w:t>
            </w:r>
          </w:p>
          <w:p w:rsidR="00FA10E1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72C04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F7305" w:rsidRPr="004C7DBE" w:rsidP="0055530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0E0A2E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6C84" w:rsidRPr="004C7DBE" w:rsidP="00B86C8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 w:rsidR="000C53D9">
              <w:rPr>
                <w:rFonts w:ascii="Times New Roman" w:hAnsi="Times New Roman" w:cs="Times New Roman"/>
                <w:szCs w:val="24"/>
              </w:rPr>
              <w:t>Z</w:t>
            </w:r>
            <w:r w:rsidRPr="004C7DBE">
              <w:rPr>
                <w:rFonts w:ascii="Times New Roman" w:hAnsi="Times New Roman" w:cs="Times New Roman"/>
                <w:szCs w:val="24"/>
              </w:rPr>
              <w:t>ákon č. 431/2002 Z.z.</w:t>
            </w:r>
          </w:p>
          <w:p w:rsidR="00B86C84" w:rsidRPr="004C7DBE" w:rsidP="00B86C8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260CC2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EE0290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Zákon č.</w:t>
            </w:r>
          </w:p>
          <w:p w:rsidR="00EE0290" w:rsidRPr="004C7DBE" w:rsidP="00EE0290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80/1997 Z.z.</w:t>
            </w:r>
          </w:p>
          <w:p w:rsidR="001D501F" w:rsidRPr="004C7DBE" w:rsidP="00EE0290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1D501F" w:rsidRPr="004C7DBE" w:rsidP="00EE0290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Návrh zákona</w:t>
            </w:r>
          </w:p>
          <w:p w:rsidR="00E72C0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E72C04" w:rsidRPr="004C7DBE" w:rsidP="0042585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F7305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 w:rsidR="00B86C84">
              <w:rPr>
                <w:rFonts w:ascii="Times New Roman" w:hAnsi="Times New Roman" w:cs="Times New Roman"/>
                <w:szCs w:val="24"/>
              </w:rPr>
              <w:t xml:space="preserve">§ 3 </w:t>
            </w:r>
          </w:p>
          <w:p w:rsidR="00B86C8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 w:rsidR="00260CC2">
              <w:rPr>
                <w:rFonts w:ascii="Times New Roman" w:hAnsi="Times New Roman" w:cs="Times New Roman"/>
                <w:szCs w:val="24"/>
              </w:rPr>
              <w:t>O:</w:t>
            </w:r>
            <w:r w:rsidRPr="004C7DBE">
              <w:rPr>
                <w:rFonts w:ascii="Times New Roman" w:hAnsi="Times New Roman" w:cs="Times New Roman"/>
                <w:szCs w:val="24"/>
              </w:rPr>
              <w:t xml:space="preserve"> 1</w:t>
            </w:r>
          </w:p>
          <w:p w:rsidR="00B86C8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FA10E1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 w:rsidR="00B86C84">
              <w:rPr>
                <w:rFonts w:ascii="Times New Roman" w:hAnsi="Times New Roman" w:cs="Times New Roman"/>
                <w:szCs w:val="24"/>
              </w:rPr>
              <w:t xml:space="preserve">§ 3 </w:t>
            </w:r>
          </w:p>
          <w:p w:rsidR="00B86C8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 w:rsidR="00260CC2">
              <w:rPr>
                <w:rFonts w:ascii="Times New Roman" w:hAnsi="Times New Roman" w:cs="Times New Roman"/>
                <w:szCs w:val="24"/>
              </w:rPr>
              <w:t>O:</w:t>
            </w:r>
            <w:r w:rsidRPr="004C7DBE">
              <w:rPr>
                <w:rFonts w:ascii="Times New Roman" w:hAnsi="Times New Roman" w:cs="Times New Roman"/>
                <w:szCs w:val="24"/>
              </w:rPr>
              <w:t xml:space="preserve"> 2</w:t>
            </w: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C7DBE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§ 4 </w:t>
            </w: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O: 4</w:t>
            </w: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260CC2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E72C0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§ </w:t>
            </w:r>
            <w:r w:rsidRPr="004C7DBE" w:rsidR="00EE0290">
              <w:rPr>
                <w:rFonts w:ascii="Times New Roman" w:hAnsi="Times New Roman" w:cs="Times New Roman"/>
                <w:szCs w:val="24"/>
              </w:rPr>
              <w:t>33</w:t>
            </w:r>
          </w:p>
          <w:p w:rsidR="00E72C0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E72C04" w:rsidRPr="004C7DBE" w:rsidP="002E4559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25858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1D501F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§ 33</w:t>
            </w:r>
          </w:p>
          <w:p w:rsidR="001D501F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P: b)</w:t>
            </w:r>
          </w:p>
          <w:p w:rsidR="00B54CA6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B54CA6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B54CA6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:rsidR="00B54CA6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§ 33</w:t>
            </w:r>
          </w:p>
          <w:p w:rsidR="00B54CA6" w:rsidRPr="004C7DBE" w:rsidP="00555301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P: c)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6C84" w:rsidRPr="004C7DBE" w:rsidP="00B86C8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187ADB">
              <w:rPr>
                <w:rFonts w:ascii="Times New Roman" w:hAnsi="Times New Roman" w:cs="Times New Roman"/>
                <w:szCs w:val="24"/>
              </w:rPr>
              <w:t xml:space="preserve">(1) </w:t>
            </w:r>
            <w:r w:rsidRPr="004C7DBE">
              <w:rPr>
                <w:rFonts w:ascii="Times New Roman" w:hAnsi="Times New Roman" w:cs="Times New Roman"/>
                <w:szCs w:val="24"/>
              </w:rPr>
              <w:t>Účtovná jednotka účtuje a vykazuje účtovné  prípady v období, s ktorým časovo a vecne súvisia (ďalej len  "účtovné obdobie"). Ak túto zásadu nemožno  dodržať, účtovná jednotka  ich zaúčtuje a vykáže v období, keď sa tieto skutočnosti zistili.</w:t>
            </w:r>
          </w:p>
          <w:p w:rsidR="00B86C84" w:rsidRPr="004C7DBE" w:rsidP="00B86C8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0E0A2E" w:rsidRPr="004C7DBE" w:rsidP="00B86C8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187ADB">
              <w:rPr>
                <w:rFonts w:ascii="Times New Roman" w:hAnsi="Times New Roman" w:cs="Times New Roman"/>
                <w:szCs w:val="24"/>
              </w:rPr>
              <w:t xml:space="preserve">(2) </w:t>
            </w:r>
            <w:r w:rsidRPr="004C7DBE" w:rsidR="00B86C84">
              <w:rPr>
                <w:rFonts w:ascii="Times New Roman" w:hAnsi="Times New Roman" w:cs="Times New Roman"/>
                <w:szCs w:val="24"/>
              </w:rPr>
              <w:t>Účtovná jednotka postupuje v účtovnom období v účtovníctve podľa § 4 ods. 2.  Náklady a výnosy účtuje účtovná  jednotka v tom účtovnom období, v  ktorom vznikli, bez ohľadu na  deň ich úhrady, inkasa  alebo na  deň vyrovnania  iným spôsobom.  Výdavky a príjmy účtuje účtovná jednotka vždy v tom účtovnom období, v ktorom dôjde k ich úhrade alebo inkasu.</w:t>
            </w:r>
          </w:p>
          <w:p w:rsidR="00260CC2" w:rsidRPr="004C7DBE" w:rsidP="00B86C8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B86C8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260CC2">
              <w:rPr>
                <w:rFonts w:ascii="Times New Roman" w:hAnsi="Times New Roman" w:cs="Times New Roman"/>
                <w:szCs w:val="24"/>
              </w:rPr>
              <w:t>(4) Účtovná jednotka je povinná viesť účtovníctvo a zostavovať účtovnú závierku za  účtovnú  jednotku  ako  celok. Prípady,  v ktorých účtovná jednotka musí viesť za seba a za majetok a záväzky iných osôb, s ktorými nakladá vo vlastnom mene, oddelené samostatné účtovníctvo a zostavovať oddelene účtovnú závierku, môže  ustanoviť osobitný predpis.</w:t>
            </w:r>
          </w:p>
          <w:p w:rsidR="00EE0290" w:rsidRPr="004C7DBE" w:rsidP="00EE0290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Eximbanka je povinná</w:t>
            </w:r>
          </w:p>
          <w:p w:rsidR="00EE0290" w:rsidRPr="004C7DBE" w:rsidP="00EE0290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 a) viesť  účtovníctvo  v  rozsahu  a  spôsobom,  ktorý ustanovuje osobitný predpis, </w:t>
            </w:r>
          </w:p>
          <w:p w:rsidR="001D501F" w:rsidRPr="004C7DBE" w:rsidP="001D501F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</w:p>
          <w:p w:rsidR="001D501F" w:rsidRPr="004C7DBE" w:rsidP="001D501F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>
              <w:rPr>
                <w:rFonts w:ascii="Times New Roman" w:hAnsi="Times New Roman" w:cs="Times New Roman"/>
                <w:b/>
                <w:szCs w:val="24"/>
              </w:rPr>
              <w:t>b) účtovať v sústave podvojného účtovníctva o stave a pohybe majetku a záväzkov, rozdiele majetku a záväzkov, výnosoch, nákladoch, príjmoch, výdavkoch a výsledku hospodárenia,</w:t>
            </w:r>
          </w:p>
          <w:p w:rsidR="001D501F" w:rsidRPr="004C7DBE" w:rsidP="001D501F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</w:p>
          <w:p w:rsidR="004B0B24" w:rsidRPr="004C7DBE" w:rsidP="00555301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1D501F">
              <w:rPr>
                <w:rFonts w:ascii="Times New Roman" w:hAnsi="Times New Roman" w:cs="Times New Roman"/>
                <w:b/>
                <w:szCs w:val="24"/>
              </w:rPr>
              <w:t>c) viesť v účtovníctve finančné prostriedky vo fondoch uvedených v § 29 ods. 1 získané dotáciami podľa § 29 ods. 3 oddelene od ostatných finančných prostriedkov v týchto fondoch.</w:t>
            </w:r>
            <w:r w:rsidRPr="004C7DBE" w:rsidR="001D501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0E0A2E">
              <w:rPr>
                <w:rFonts w:ascii="Times New Roman" w:hAnsi="Times New Roman" w:cs="Times New Roman"/>
                <w:szCs w:val="24"/>
              </w:rPr>
              <w:t>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B0B2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B0B2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B0B2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B86C8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976556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  <w:p w:rsidR="004B0B24" w:rsidRPr="004C7DBE" w:rsidP="004B0B24">
            <w:pPr>
              <w:pStyle w:val="TABUKA-textsmernice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4F43D6">
              <w:rPr>
                <w:rFonts w:ascii="Times New Roman" w:hAnsi="Times New Roman" w:cs="Times New Roman"/>
                <w:szCs w:val="24"/>
              </w:rPr>
              <w:t>Čl. 9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F17AB8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4F43D6">
              <w:rPr>
                <w:rFonts w:ascii="Times New Roman" w:hAnsi="Times New Roman" w:cs="Times New Roman"/>
                <w:szCs w:val="24"/>
              </w:rPr>
              <w:t>Komisia pravidelne informuje členské štáty o výsledkoch uplatňovania tejto smernice.</w:t>
            </w:r>
            <w:r w:rsidRPr="004C7DBE" w:rsidR="00F17AB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FA10E1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4F43D6">
              <w:rPr>
                <w:rFonts w:ascii="Times New Roman" w:hAnsi="Times New Roman" w:cs="Times New Roman"/>
                <w:szCs w:val="24"/>
              </w:rPr>
              <w:t>Čl. 10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Smernica 80/723/EHS, zmenená a doplnená smernicami uvedenými v prílohe I časti A, sa zrušuje bez vplyvu na povinnosti členských štátov týkajúce sa lehôt na transpozíciu tých smerníc do vnútroštátneho práva, ktoré sú uvedené v prílohe I časti B.</w:t>
            </w:r>
          </w:p>
          <w:p w:rsidR="00BF7305" w:rsidRPr="004C7DBE" w:rsidP="00BF7D94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4F43D6">
              <w:rPr>
                <w:rFonts w:ascii="Times New Roman" w:hAnsi="Times New Roman" w:cs="Times New Roman"/>
                <w:szCs w:val="24"/>
              </w:rPr>
              <w:t>Odkazy na zrušenú smernicu sa považujú za odkazy na túto smernicu a znejú v súlade s tabuľkou zhody uvedenou v prílohe II.</w:t>
            </w:r>
            <w:r w:rsidRPr="004C7DBE" w:rsidR="00BF7D9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813A4B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 w:rsidR="00813A4B">
              <w:rPr>
                <w:rFonts w:ascii="Times New Roman" w:hAnsi="Times New Roman" w:cs="Times New Roman"/>
                <w:b/>
                <w:szCs w:val="24"/>
              </w:rPr>
              <w:t>Návrh zákona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b/>
                <w:szCs w:val="24"/>
              </w:rPr>
            </w:pPr>
            <w:r w:rsidRPr="004C7DBE" w:rsidR="00813A4B">
              <w:rPr>
                <w:rFonts w:ascii="Times New Roman" w:hAnsi="Times New Roman" w:cs="Times New Roman"/>
                <w:b/>
                <w:szCs w:val="24"/>
              </w:rPr>
              <w:t>Príloha bod 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13A4B" w:rsidRPr="004C7DBE" w:rsidP="00813A4B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</w:pPr>
            <w:r w:rsidRPr="004C7DBE"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  <w:t>ZOZNAM  PREBERANÝCH  PRÁVNYCH  AKTOV  EURÓPSKYCH SPOLOČENSTIEV  A EURÓPSKEJ ÚNIE</w:t>
            </w:r>
          </w:p>
          <w:p w:rsidR="00813A4B" w:rsidRPr="004C7DBE" w:rsidP="00813A4B">
            <w:pPr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</w:pPr>
            <w:r w:rsidRPr="004C7DBE">
              <w:rPr>
                <w:rFonts w:ascii="Times New Roman" w:hAnsi="Times New Roman" w:cs="Times New Roman"/>
                <w:b/>
                <w:sz w:val="22"/>
                <w:szCs w:val="24"/>
                <w:lang w:val="sk-SK"/>
              </w:rPr>
              <w:t>Týmto zákonom sa preberajú tieto právne akty:</w:t>
            </w:r>
          </w:p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7127CF">
              <w:rPr>
                <w:rFonts w:ascii="Times New Roman" w:hAnsi="Times New Roman" w:cs="Times New Roman"/>
                <w:b/>
                <w:sz w:val="22"/>
                <w:szCs w:val="24"/>
              </w:rPr>
              <w:t>3. Smernica Komisie 2006/111/ES zo 16. novembra 2006 o transparentnosti finančných vzťahov členských štátov a verejných podnikov a o finančnej transparentnosti v niektorých podnikoch (kodifikované znenie) (Ú. v. EÚ L 318, 17.11.2006)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7127CF">
              <w:rPr>
                <w:rFonts w:ascii="Times New Roman" w:hAnsi="Times New Roman" w:cs="Times New Roman"/>
                <w:szCs w:val="24"/>
              </w:rPr>
              <w:t>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 xml:space="preserve">Čl. </w:t>
            </w:r>
            <w:r w:rsidRPr="004C7DBE" w:rsidR="004F43D6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Táto smernica nadobúda účinnosť 20. decembra 2006.</w:t>
            </w:r>
          </w:p>
          <w:p w:rsidR="00BF7305" w:rsidRPr="004C7DBE" w:rsidP="00FA10E1">
            <w:pPr>
              <w:pStyle w:val="TABUKA-textsmernice"/>
              <w:ind w:left="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FA10E1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F7305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16018" w:type="dxa"/>
          <w:tblInd w:w="-497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>
              <w:rPr>
                <w:rFonts w:ascii="Times New Roman" w:hAnsi="Times New Roman" w:cs="Times New Roman"/>
                <w:szCs w:val="24"/>
              </w:rPr>
              <w:t>Čl. 12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Táto smernica je určená členským štátom.</w:t>
            </w:r>
          </w:p>
          <w:p w:rsidR="004F43D6" w:rsidRPr="004C7DBE" w:rsidP="00FA10E1">
            <w:pPr>
              <w:pStyle w:val="Normlnywebov8"/>
              <w:spacing w:before="0" w:after="0"/>
              <w:ind w:left="1" w:righ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7DBE">
              <w:rPr>
                <w:rFonts w:ascii="Times New Roman" w:hAnsi="Times New Roman" w:cs="Times New Roman"/>
                <w:sz w:val="20"/>
                <w:szCs w:val="24"/>
              </w:rPr>
              <w:t>V Bruseli 16. novembra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FA10E1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  <w:r w:rsidRPr="004C7DBE" w:rsidR="00FA10E1">
              <w:rPr>
                <w:rFonts w:ascii="Times New Roman" w:hAnsi="Times New Roman" w:cs="Times New Roman"/>
                <w:szCs w:val="24"/>
              </w:rPr>
              <w:t>n.a.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F43D6" w:rsidRPr="004C7DBE" w:rsidP="00A80ADC">
            <w:pPr>
              <w:pStyle w:val="TABUKA-textsmernice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C039F" w:rsidRPr="004C7DBE" w:rsidP="00A80ADC">
      <w:pPr>
        <w:pStyle w:val="TABUKA-textsmernice"/>
        <w:rPr>
          <w:rFonts w:ascii="Times New Roman" w:hAnsi="Times New Roman" w:cs="Times New Roman"/>
          <w:szCs w:val="24"/>
        </w:rPr>
      </w:pPr>
    </w:p>
    <w:p w:rsidR="00FA10E1" w:rsidRPr="004C7DBE" w:rsidP="00FA10E1">
      <w:pPr>
        <w:rPr>
          <w:rFonts w:ascii="Times New Roman" w:hAnsi="Times New Roman" w:cs="Times New Roman"/>
          <w:sz w:val="20"/>
          <w:szCs w:val="24"/>
        </w:rPr>
      </w:pPr>
    </w:p>
    <w:p w:rsidR="00FA10E1" w:rsidRPr="004C7DBE" w:rsidP="00FA10E1">
      <w:pPr>
        <w:rPr>
          <w:rFonts w:ascii="Times New Roman" w:hAnsi="Times New Roman" w:cs="Times New Roman"/>
          <w:sz w:val="20"/>
          <w:szCs w:val="24"/>
        </w:rPr>
      </w:pPr>
    </w:p>
    <w:sectPr w:rsidSect="00D92A2E">
      <w:footerReference w:type="default" r:id="rId4"/>
      <w:pgSz w:w="16840" w:h="11907" w:orient="landscape" w:code="9"/>
      <w:pgMar w:top="1021" w:right="1021" w:bottom="1021" w:left="1021" w:header="397" w:footer="397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01F" w:rsidP="00EC039F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C1164E">
      <w:rPr>
        <w:rStyle w:val="PageNumber"/>
        <w:rFonts w:ascii="Times New Roman" w:hAnsi="Times New Roman" w:cs="Times New Roman"/>
        <w:noProof/>
        <w:szCs w:val="24"/>
      </w:rPr>
      <w:t>1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1D501F" w:rsidP="00D92A2E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60EC2"/>
    <w:multiLevelType w:val="singleLevel"/>
    <w:tmpl w:val="FD44AC64"/>
    <w:lvl w:ilvl="0">
      <w:start w:val="1"/>
      <w:numFmt w:val="decimal"/>
      <w:lvlText w:val="(%1)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0D2F038D"/>
    <w:multiLevelType w:val="hybridMultilevel"/>
    <w:tmpl w:val="EEE45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1995"/>
    <w:multiLevelType w:val="singleLevel"/>
    <w:tmpl w:val="5FBE8B0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4">
    <w:nsid w:val="1D5D3F4E"/>
    <w:multiLevelType w:val="singleLevel"/>
    <w:tmpl w:val="C5B433AE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>
    <w:nsid w:val="1EF27116"/>
    <w:multiLevelType w:val="multilevel"/>
    <w:tmpl w:val="4EB25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0658D"/>
    <w:multiLevelType w:val="singleLevel"/>
    <w:tmpl w:val="041B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032974"/>
    <w:multiLevelType w:val="hybridMultilevel"/>
    <w:tmpl w:val="25E87AF6"/>
    <w:lvl w:ilvl="0">
      <w:start w:val="3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973B65"/>
    <w:multiLevelType w:val="singleLevel"/>
    <w:tmpl w:val="BBA8B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377B2F98"/>
    <w:multiLevelType w:val="singleLevel"/>
    <w:tmpl w:val="37947C56"/>
    <w:lvl w:ilvl="0">
      <w:start w:val="1"/>
      <w:numFmt w:val="low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0">
    <w:nsid w:val="397C1365"/>
    <w:multiLevelType w:val="singleLevel"/>
    <w:tmpl w:val="8CA86D90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1">
    <w:nsid w:val="3F2B173D"/>
    <w:multiLevelType w:val="singleLevel"/>
    <w:tmpl w:val="82AC7966"/>
    <w:lvl w:ilvl="0">
      <w:start w:val="7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12">
    <w:nsid w:val="4AD21671"/>
    <w:multiLevelType w:val="singleLevel"/>
    <w:tmpl w:val="041B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4D562463"/>
    <w:multiLevelType w:val="hybridMultilevel"/>
    <w:tmpl w:val="99885E0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15362F"/>
    <w:multiLevelType w:val="hybridMultilevel"/>
    <w:tmpl w:val="DB585B6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4D0647C"/>
    <w:multiLevelType w:val="singleLevel"/>
    <w:tmpl w:val="4FC6C3E0"/>
    <w:lvl w:ilvl="0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623436A6"/>
    <w:multiLevelType w:val="hybridMultilevel"/>
    <w:tmpl w:val="684235F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3E34BA4"/>
    <w:multiLevelType w:val="hybridMultilevel"/>
    <w:tmpl w:val="FFA62A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8526874"/>
    <w:multiLevelType w:val="singleLevel"/>
    <w:tmpl w:val="F2E8388A"/>
    <w:lvl w:ilvl="0">
      <w:start w:val="1"/>
      <w:numFmt w:val="lowerLetter"/>
      <w:lvlText w:val="(%1)"/>
      <w:lvlJc w:val="left"/>
      <w:pPr>
        <w:tabs>
          <w:tab w:val="num" w:pos="1110"/>
        </w:tabs>
        <w:ind w:left="1110" w:hanging="405"/>
      </w:pPr>
      <w:rPr>
        <w:rFonts w:hint="default"/>
      </w:rPr>
    </w:lvl>
  </w:abstractNum>
  <w:abstractNum w:abstractNumId="19">
    <w:nsid w:val="6EA04B91"/>
    <w:multiLevelType w:val="singleLevel"/>
    <w:tmpl w:val="041B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2AE462C"/>
    <w:multiLevelType w:val="hybridMultilevel"/>
    <w:tmpl w:val="6A34B2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971419"/>
    <w:multiLevelType w:val="singleLevel"/>
    <w:tmpl w:val="5FBE8B0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22">
    <w:nsid w:val="7C81231D"/>
    <w:multiLevelType w:val="singleLevel"/>
    <w:tmpl w:val="C362332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8"/>
  </w:num>
  <w:num w:numId="5">
    <w:abstractNumId w:val="15"/>
  </w:num>
  <w:num w:numId="6">
    <w:abstractNumId w:val="4"/>
  </w:num>
  <w:num w:numId="7">
    <w:abstractNumId w:val="21"/>
  </w:num>
  <w:num w:numId="8">
    <w:abstractNumId w:val="3"/>
  </w:num>
  <w:num w:numId="9">
    <w:abstractNumId w:val="6"/>
  </w:num>
  <w:num w:numId="10">
    <w:abstractNumId w:val="12"/>
  </w:num>
  <w:num w:numId="11">
    <w:abstractNumId w:val="19"/>
  </w:num>
  <w:num w:numId="12">
    <w:abstractNumId w:val="9"/>
  </w:num>
  <w:num w:numId="13">
    <w:abstractNumId w:val="11"/>
  </w:num>
  <w:num w:numId="14">
    <w:abstractNumId w:val="0"/>
  </w:num>
  <w:num w:numId="15">
    <w:abstractNumId w:val="16"/>
  </w:num>
  <w:num w:numId="16">
    <w:abstractNumId w:val="7"/>
  </w:num>
  <w:num w:numId="17">
    <w:abstractNumId w:val="14"/>
  </w:num>
  <w:num w:numId="18">
    <w:abstractNumId w:val="17"/>
  </w:num>
  <w:num w:numId="19">
    <w:abstractNumId w:val="22"/>
  </w:num>
  <w:num w:numId="20">
    <w:abstractNumId w:val="1"/>
  </w:num>
  <w:num w:numId="21">
    <w:abstractNumId w:val="13"/>
  </w:num>
  <w:num w:numId="22">
    <w:abstractNumId w:val="2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70743"/>
    <w:rsid w:val="00000B06"/>
    <w:rsid w:val="00005607"/>
    <w:rsid w:val="000056D0"/>
    <w:rsid w:val="00015613"/>
    <w:rsid w:val="00057FAF"/>
    <w:rsid w:val="00065FA7"/>
    <w:rsid w:val="000B6C6A"/>
    <w:rsid w:val="000C53D9"/>
    <w:rsid w:val="000E0A2E"/>
    <w:rsid w:val="001003CB"/>
    <w:rsid w:val="0011625F"/>
    <w:rsid w:val="001204A4"/>
    <w:rsid w:val="001420DF"/>
    <w:rsid w:val="00153BA6"/>
    <w:rsid w:val="00187ADB"/>
    <w:rsid w:val="001A1853"/>
    <w:rsid w:val="001C550C"/>
    <w:rsid w:val="001C6DE6"/>
    <w:rsid w:val="001D501F"/>
    <w:rsid w:val="00207DD4"/>
    <w:rsid w:val="00215960"/>
    <w:rsid w:val="002211FA"/>
    <w:rsid w:val="00224777"/>
    <w:rsid w:val="002541DB"/>
    <w:rsid w:val="00260CC2"/>
    <w:rsid w:val="00265F1A"/>
    <w:rsid w:val="00291DF4"/>
    <w:rsid w:val="0029439D"/>
    <w:rsid w:val="002A6BAC"/>
    <w:rsid w:val="002A6F44"/>
    <w:rsid w:val="002B077B"/>
    <w:rsid w:val="002B3089"/>
    <w:rsid w:val="002C7FB3"/>
    <w:rsid w:val="002E4559"/>
    <w:rsid w:val="00303704"/>
    <w:rsid w:val="00321844"/>
    <w:rsid w:val="00342DE7"/>
    <w:rsid w:val="00365F4B"/>
    <w:rsid w:val="003965B9"/>
    <w:rsid w:val="003A626D"/>
    <w:rsid w:val="003C3D55"/>
    <w:rsid w:val="00424BE8"/>
    <w:rsid w:val="00425858"/>
    <w:rsid w:val="00432E0E"/>
    <w:rsid w:val="0048507F"/>
    <w:rsid w:val="00487D53"/>
    <w:rsid w:val="004A4834"/>
    <w:rsid w:val="004B0B24"/>
    <w:rsid w:val="004C25BA"/>
    <w:rsid w:val="004C7DBE"/>
    <w:rsid w:val="004E7E45"/>
    <w:rsid w:val="004F43D6"/>
    <w:rsid w:val="00506C96"/>
    <w:rsid w:val="00534207"/>
    <w:rsid w:val="00543BD7"/>
    <w:rsid w:val="00555301"/>
    <w:rsid w:val="005C2F3D"/>
    <w:rsid w:val="00643965"/>
    <w:rsid w:val="006B271D"/>
    <w:rsid w:val="006F5218"/>
    <w:rsid w:val="007127CF"/>
    <w:rsid w:val="00736669"/>
    <w:rsid w:val="00742D9F"/>
    <w:rsid w:val="00746F50"/>
    <w:rsid w:val="00754F86"/>
    <w:rsid w:val="00756450"/>
    <w:rsid w:val="007861CE"/>
    <w:rsid w:val="007B062E"/>
    <w:rsid w:val="007C2875"/>
    <w:rsid w:val="007C2F60"/>
    <w:rsid w:val="007C7CED"/>
    <w:rsid w:val="00803408"/>
    <w:rsid w:val="008070F0"/>
    <w:rsid w:val="00813A4B"/>
    <w:rsid w:val="0086622D"/>
    <w:rsid w:val="0089110A"/>
    <w:rsid w:val="008948F2"/>
    <w:rsid w:val="008B079E"/>
    <w:rsid w:val="008C0154"/>
    <w:rsid w:val="008D4E24"/>
    <w:rsid w:val="00901748"/>
    <w:rsid w:val="00916961"/>
    <w:rsid w:val="00924887"/>
    <w:rsid w:val="00930389"/>
    <w:rsid w:val="009324B5"/>
    <w:rsid w:val="0094709D"/>
    <w:rsid w:val="00976556"/>
    <w:rsid w:val="00993118"/>
    <w:rsid w:val="009B2E1D"/>
    <w:rsid w:val="009B2E27"/>
    <w:rsid w:val="009B77C9"/>
    <w:rsid w:val="009F5FB1"/>
    <w:rsid w:val="00A30BC3"/>
    <w:rsid w:val="00A73D2E"/>
    <w:rsid w:val="00A80ADC"/>
    <w:rsid w:val="00AA2CBD"/>
    <w:rsid w:val="00AA3913"/>
    <w:rsid w:val="00AD5AAB"/>
    <w:rsid w:val="00B472A7"/>
    <w:rsid w:val="00B54CA6"/>
    <w:rsid w:val="00B55AA0"/>
    <w:rsid w:val="00B62FDB"/>
    <w:rsid w:val="00B643E1"/>
    <w:rsid w:val="00B72534"/>
    <w:rsid w:val="00B86C84"/>
    <w:rsid w:val="00B91D3E"/>
    <w:rsid w:val="00B95CA5"/>
    <w:rsid w:val="00B96103"/>
    <w:rsid w:val="00BD4B74"/>
    <w:rsid w:val="00BF567A"/>
    <w:rsid w:val="00BF7305"/>
    <w:rsid w:val="00BF7D94"/>
    <w:rsid w:val="00C1164E"/>
    <w:rsid w:val="00C35185"/>
    <w:rsid w:val="00C3578C"/>
    <w:rsid w:val="00C70743"/>
    <w:rsid w:val="00CA6E6D"/>
    <w:rsid w:val="00CB7364"/>
    <w:rsid w:val="00CC2AE0"/>
    <w:rsid w:val="00CC6F69"/>
    <w:rsid w:val="00CE353B"/>
    <w:rsid w:val="00CF09E3"/>
    <w:rsid w:val="00CF6D55"/>
    <w:rsid w:val="00D101A5"/>
    <w:rsid w:val="00D417C9"/>
    <w:rsid w:val="00D92010"/>
    <w:rsid w:val="00D92A2E"/>
    <w:rsid w:val="00DE427E"/>
    <w:rsid w:val="00E25662"/>
    <w:rsid w:val="00E36DD5"/>
    <w:rsid w:val="00E41615"/>
    <w:rsid w:val="00E431EE"/>
    <w:rsid w:val="00E72C04"/>
    <w:rsid w:val="00E906B5"/>
    <w:rsid w:val="00EA2D2E"/>
    <w:rsid w:val="00EC039F"/>
    <w:rsid w:val="00ED5615"/>
    <w:rsid w:val="00EE0290"/>
    <w:rsid w:val="00F155D5"/>
    <w:rsid w:val="00F17AB8"/>
    <w:rsid w:val="00F30786"/>
    <w:rsid w:val="00FA08C1"/>
    <w:rsid w:val="00FA10E1"/>
    <w:rsid w:val="00FB73A7"/>
    <w:rsid w:val="00FD3DFD"/>
    <w:rsid w:val="00FF32E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Web"/>
    <w:uiPriority w:val="99"/>
    <w:rsid w:val="001D501F"/>
    <w:pPr>
      <w:widowControl/>
      <w:autoSpaceDE/>
      <w:autoSpaceDN/>
      <w:adjustRightInd/>
      <w:spacing w:after="120"/>
      <w:ind w:left="0" w:right="0"/>
      <w:jc w:val="both"/>
      <w:textAlignment w:val="auto"/>
    </w:pPr>
    <w:rPr>
      <w:sz w:val="24"/>
      <w:lang w:val="en-US" w:eastAsia="cs-CZ"/>
    </w:rPr>
  </w:style>
  <w:style w:type="paragraph" w:styleId="Heading1">
    <w:name w:val="heading 1"/>
    <w:basedOn w:val="Normal"/>
    <w:next w:val="Normal"/>
    <w:uiPriority w:val="99"/>
    <w:pPr>
      <w:keepNext/>
      <w:jc w:val="both"/>
      <w:outlineLvl w:val="0"/>
    </w:pPr>
    <w:rPr>
      <w:b/>
      <w:lang w:val="sk-SK"/>
    </w:rPr>
  </w:style>
  <w:style w:type="paragraph" w:styleId="Heading2">
    <w:name w:val="heading 2"/>
    <w:basedOn w:val="Normal"/>
    <w:next w:val="Normal"/>
    <w:uiPriority w:val="99"/>
    <w:pPr>
      <w:keepNext/>
      <w:jc w:val="center"/>
      <w:outlineLvl w:val="1"/>
    </w:pPr>
    <w:rPr>
      <w:b/>
      <w:lang w:val="sk-SK"/>
    </w:rPr>
  </w:style>
  <w:style w:type="paragraph" w:styleId="Heading3">
    <w:name w:val="heading 3"/>
    <w:basedOn w:val="Normal"/>
    <w:next w:val="Normal"/>
    <w:uiPriority w:val="99"/>
    <w:rsid w:val="00A80ADC"/>
    <w:pPr>
      <w:keepNext/>
      <w:spacing w:before="240" w:after="60"/>
      <w:jc w:val="both"/>
      <w:outlineLvl w:val="2"/>
    </w:pPr>
    <w:rPr>
      <w:rFonts w:ascii="Arial" w:hAnsi="Arial" w:cs="Arial"/>
      <w:b/>
      <w:sz w:val="26"/>
    </w:rPr>
  </w:style>
  <w:style w:type="character" w:default="1" w:styleId="DefaultParagraphFont">
    <w:name w:val="Default Paragraph Font"/>
    <w:link w:val="CharChar1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KA-nadpis">
    <w:name w:val="TABUĽKA-nadpis"/>
    <w:uiPriority w:val="99"/>
    <w:rsid w:val="00754F86"/>
    <w:pPr>
      <w:widowControl/>
      <w:autoSpaceDE/>
      <w:autoSpaceDN/>
      <w:adjustRightInd/>
      <w:ind w:left="0" w:right="0"/>
      <w:jc w:val="center"/>
      <w:textAlignment w:val="auto"/>
    </w:pPr>
    <w:rPr>
      <w:b/>
      <w:sz w:val="24"/>
      <w:lang w:val="sk-SK" w:eastAsia="cs-CZ"/>
    </w:rPr>
  </w:style>
  <w:style w:type="paragraph" w:styleId="NormalWeb">
    <w:name w:val="Normal (Web)"/>
    <w:basedOn w:val="Normal"/>
    <w:uiPriority w:val="99"/>
    <w:rsid w:val="00754F86"/>
    <w:pPr>
      <w:jc w:val="both"/>
    </w:pPr>
  </w:style>
  <w:style w:type="paragraph" w:customStyle="1" w:styleId="TABUKA-nadpismal">
    <w:name w:val="TABUĽKA-nadpis malý"/>
    <w:uiPriority w:val="99"/>
    <w:rsid w:val="0086622D"/>
    <w:pPr>
      <w:widowControl/>
      <w:autoSpaceDE/>
      <w:autoSpaceDN/>
      <w:adjustRightInd/>
      <w:ind w:left="0" w:right="0"/>
      <w:jc w:val="left"/>
      <w:textAlignment w:val="auto"/>
    </w:pPr>
    <w:rPr>
      <w:b/>
      <w:sz w:val="24"/>
      <w:lang w:val="sk-SK" w:eastAsia="cs-CZ"/>
    </w:rPr>
  </w:style>
  <w:style w:type="paragraph" w:styleId="Title">
    <w:name w:val="Title"/>
    <w:basedOn w:val="Normal"/>
    <w:uiPriority w:val="99"/>
    <w:rsid w:val="0086622D"/>
    <w:pPr>
      <w:spacing w:after="0"/>
      <w:jc w:val="center"/>
    </w:pPr>
    <w:rPr>
      <w:b/>
      <w:lang w:val="sk-SK" w:eastAsia="sk-SK"/>
    </w:rPr>
  </w:style>
  <w:style w:type="paragraph" w:styleId="Footer">
    <w:name w:val="footer"/>
    <w:basedOn w:val="Normal"/>
    <w:uiPriority w:val="99"/>
    <w:rsid w:val="00D92A2E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uiPriority w:val="99"/>
    <w:rsid w:val="00D92A2E"/>
  </w:style>
  <w:style w:type="paragraph" w:customStyle="1" w:styleId="TABUKA-nadpisstpcov">
    <w:name w:val="TABUĽKA-nadpis stĺpcov"/>
    <w:uiPriority w:val="99"/>
    <w:rsid w:val="00EC039F"/>
    <w:pPr>
      <w:widowControl/>
      <w:autoSpaceDE/>
      <w:autoSpaceDN/>
      <w:adjustRightInd/>
      <w:ind w:left="0" w:right="0"/>
      <w:jc w:val="left"/>
      <w:textAlignment w:val="auto"/>
    </w:pPr>
    <w:rPr>
      <w:b/>
      <w:sz w:val="24"/>
      <w:lang w:val="sk-SK" w:eastAsia="cs-CZ"/>
    </w:rPr>
  </w:style>
  <w:style w:type="paragraph" w:customStyle="1" w:styleId="TABUKA-textsmernice">
    <w:name w:val="TABUĽKA-text smernice"/>
    <w:uiPriority w:val="99"/>
    <w:rsid w:val="00EC039F"/>
    <w:pPr>
      <w:widowControl/>
      <w:autoSpaceDE/>
      <w:autoSpaceDN/>
      <w:adjustRightInd/>
      <w:ind w:left="0" w:right="0"/>
      <w:jc w:val="both"/>
      <w:textAlignment w:val="auto"/>
    </w:pPr>
    <w:rPr>
      <w:sz w:val="20"/>
      <w:lang w:val="sk-SK" w:eastAsia="cs-CZ"/>
    </w:rPr>
  </w:style>
  <w:style w:type="paragraph" w:customStyle="1" w:styleId="tlZkladntextVycentrovanDoleJednoduchAutomatick">
    <w:name w:val="Štýl Základní text + Vycentrované Dole: (Jednoduché Automatická..."/>
    <w:basedOn w:val="Normal"/>
    <w:uiPriority w:val="99"/>
    <w:rsid w:val="00207DD4"/>
    <w:pPr>
      <w:spacing w:after="0"/>
      <w:jc w:val="center"/>
    </w:pPr>
    <w:rPr>
      <w:color w:val="000000"/>
      <w:lang w:val="sk-SK" w:eastAsia="sk-SK"/>
    </w:rPr>
  </w:style>
  <w:style w:type="paragraph" w:styleId="BodyText">
    <w:name w:val="Body Text"/>
    <w:basedOn w:val="Normal"/>
    <w:uiPriority w:val="99"/>
    <w:rsid w:val="004E7E45"/>
    <w:pPr>
      <w:autoSpaceDE w:val="0"/>
      <w:autoSpaceDN w:val="0"/>
      <w:spacing w:after="0"/>
      <w:jc w:val="center"/>
    </w:pPr>
    <w:rPr>
      <w:rFonts w:ascii="Arial" w:hAnsi="Arial" w:cs="Arial"/>
      <w:b/>
      <w:sz w:val="22"/>
      <w:lang w:val="sk-SK" w:eastAsia="sk-SK"/>
    </w:rPr>
  </w:style>
  <w:style w:type="paragraph" w:styleId="BodyText2">
    <w:name w:val="Body Text 2"/>
    <w:basedOn w:val="Normal"/>
    <w:uiPriority w:val="99"/>
    <w:rsid w:val="004E7E45"/>
    <w:pPr>
      <w:ind w:left="283"/>
      <w:jc w:val="both"/>
    </w:pPr>
  </w:style>
  <w:style w:type="character" w:styleId="FootnoteReference">
    <w:name w:val="footnote reference"/>
    <w:basedOn w:val="DefaultParagraphFont"/>
    <w:uiPriority w:val="99"/>
    <w:semiHidden/>
    <w:rsid w:val="004E7E45"/>
    <w:rPr>
      <w:vertAlign w:val="superscript"/>
    </w:rPr>
  </w:style>
  <w:style w:type="paragraph" w:styleId="Header">
    <w:name w:val="header"/>
    <w:basedOn w:val="Normal"/>
    <w:uiPriority w:val="99"/>
    <w:rsid w:val="001C550C"/>
    <w:pPr>
      <w:tabs>
        <w:tab w:val="center" w:pos="4536"/>
        <w:tab w:val="right" w:pos="9072"/>
      </w:tabs>
      <w:autoSpaceDE w:val="0"/>
      <w:autoSpaceDN w:val="0"/>
      <w:spacing w:after="0"/>
      <w:jc w:val="left"/>
    </w:pPr>
    <w:rPr>
      <w:lang w:val="sk-SK" w:eastAsia="sk-SK"/>
    </w:rPr>
  </w:style>
  <w:style w:type="paragraph" w:customStyle="1" w:styleId="Normlnywebov8">
    <w:name w:val="Normálny (webový)8"/>
    <w:basedOn w:val="Normal"/>
    <w:uiPriority w:val="99"/>
    <w:rsid w:val="00E906B5"/>
    <w:pPr>
      <w:spacing w:before="75" w:after="75"/>
      <w:ind w:left="225" w:right="225"/>
      <w:jc w:val="left"/>
    </w:pPr>
    <w:rPr>
      <w:sz w:val="22"/>
      <w:lang w:val="sk-SK" w:eastAsia="sk-SK"/>
    </w:rPr>
  </w:style>
  <w:style w:type="paragraph" w:customStyle="1" w:styleId="Normlny">
    <w:name w:val="_Normálny"/>
    <w:basedOn w:val="Normal"/>
    <w:uiPriority w:val="99"/>
    <w:rsid w:val="00FA10E1"/>
    <w:pPr>
      <w:autoSpaceDE w:val="0"/>
      <w:autoSpaceDN w:val="0"/>
      <w:spacing w:after="0"/>
      <w:jc w:val="left"/>
    </w:pPr>
    <w:rPr>
      <w:sz w:val="20"/>
      <w:lang w:val="sk-SK" w:eastAsia="en-US"/>
    </w:rPr>
  </w:style>
  <w:style w:type="paragraph" w:customStyle="1" w:styleId="abc">
    <w:name w:val="abc"/>
    <w:basedOn w:val="Normal"/>
    <w:uiPriority w:val="99"/>
    <w:rsid w:val="00FA10E1"/>
    <w:pPr>
      <w:widowControl w:val="0"/>
      <w:tabs>
        <w:tab w:val="left" w:pos="360"/>
        <w:tab w:val="left" w:pos="680"/>
      </w:tabs>
      <w:autoSpaceDE w:val="0"/>
      <w:autoSpaceDN w:val="0"/>
      <w:spacing w:after="0"/>
      <w:jc w:val="both"/>
    </w:pPr>
    <w:rPr>
      <w:sz w:val="20"/>
      <w:lang w:val="sk-SK" w:eastAsia="en-US"/>
    </w:rPr>
  </w:style>
  <w:style w:type="paragraph" w:styleId="BodyText3">
    <w:name w:val="Body Text 3"/>
    <w:basedOn w:val="Normal"/>
    <w:uiPriority w:val="99"/>
    <w:rsid w:val="00E431EE"/>
    <w:pPr>
      <w:jc w:val="both"/>
    </w:pPr>
    <w:rPr>
      <w:sz w:val="16"/>
    </w:rPr>
  </w:style>
  <w:style w:type="paragraph" w:customStyle="1" w:styleId="CharChar1">
    <w:name w:val="Char Char1"/>
    <w:basedOn w:val="Normal"/>
    <w:link w:val="DefaultParagraphFont"/>
    <w:uiPriority w:val="99"/>
    <w:rsid w:val="00916961"/>
    <w:pPr>
      <w:spacing w:after="160" w:line="240" w:lineRule="exact"/>
      <w:jc w:val="left"/>
    </w:pPr>
    <w:rPr>
      <w:rFonts w:ascii="Tahoma" w:hAnsi="Tahoma" w:cs="Tahoma"/>
      <w:sz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1258</Words>
  <Characters>7177</Characters>
  <Application>Microsoft Office Word</Application>
  <DocSecurity>0</DocSecurity>
  <Lines>0</Lines>
  <Paragraphs>0</Paragraphs>
  <ScaleCrop>false</ScaleCrop>
  <Company>Ministry of Finance</Company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TABULKA ZHODY</dc:title>
  <dc:creator>Salkovicova Ingrid</dc:creator>
  <cp:lastModifiedBy>;</cp:lastModifiedBy>
  <cp:revision>2</cp:revision>
  <cp:lastPrinted>2007-11-08T09:34:00Z</cp:lastPrinted>
  <dcterms:created xsi:type="dcterms:W3CDTF">2008-10-02T16:17:00Z</dcterms:created>
  <dcterms:modified xsi:type="dcterms:W3CDTF">2008-10-02T16:17:00Z</dcterms:modified>
</cp:coreProperties>
</file>