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5AFF" w:rsidRPr="00B6117E" w:rsidP="00C55AFF">
      <w:pPr>
        <w:pStyle w:val="Title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DOLOŽKA ZLUČITEĽNOSTI</w:t>
      </w:r>
    </w:p>
    <w:p w:rsidR="00C55AFF" w:rsidRPr="00B6117E" w:rsidP="00C55AFF">
      <w:pPr>
        <w:pStyle w:val="Title"/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pBdr>
          <w:bottom w:val="single" w:sz="6" w:space="1" w:color="auto"/>
        </w:pBdr>
        <w:jc w:val="center"/>
        <w:rPr>
          <w:rFonts w:ascii="Arial Narrow" w:hAnsi="Arial Narrow" w:cs="Times New Roman"/>
          <w:bCs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návrhu zákona, ktorým sa mení a dopĺňa zákon č. 566/2001 Z. z. o cenných papieroch a investičných službách a o zmene a doplnení niektorých zákonov (zákon o cenných papieroch) v znení neskorších predpisov a o zmene a doplnení niektorý</w:t>
      </w:r>
      <w:r w:rsidRPr="00B6117E">
        <w:rPr>
          <w:rFonts w:ascii="Arial Narrow" w:hAnsi="Arial Narrow" w:cs="Times New Roman"/>
          <w:sz w:val="22"/>
          <w:szCs w:val="22"/>
        </w:rPr>
        <w:t xml:space="preserve">ch zákonov </w:t>
      </w:r>
      <w:r w:rsidRPr="00B6117E">
        <w:rPr>
          <w:rFonts w:ascii="Arial Narrow" w:hAnsi="Arial Narrow" w:cs="Times New Roman"/>
          <w:bCs/>
          <w:sz w:val="22"/>
          <w:szCs w:val="22"/>
        </w:rPr>
        <w:t>s právom Európskych spoločenstiev a právom Európskej únie</w:t>
      </w:r>
    </w:p>
    <w:p w:rsidR="00C55AFF" w:rsidRPr="00B6117E" w:rsidP="00C55AFF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C55AFF" w:rsidRPr="00B6117E" w:rsidP="00C55AFF">
      <w:pPr>
        <w:numPr>
          <w:ilvl w:val="0"/>
          <w:numId w:val="1"/>
        </w:numPr>
        <w:spacing w:after="120"/>
        <w:ind w:left="437" w:hanging="437"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b/>
          <w:sz w:val="22"/>
          <w:szCs w:val="22"/>
        </w:rPr>
        <w:t>Predkladateľ zákona:</w:t>
      </w:r>
    </w:p>
    <w:p w:rsidR="00C55AFF" w:rsidRPr="00B6117E" w:rsidP="00C55AFF">
      <w:pPr>
        <w:ind w:firstLine="425"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 xml:space="preserve">Vláda Slovenskej republiky. </w:t>
      </w:r>
    </w:p>
    <w:p w:rsidR="00C55AFF" w:rsidRPr="00B6117E" w:rsidP="00C55AFF">
      <w:pPr>
        <w:jc w:val="both"/>
        <w:rPr>
          <w:rFonts w:ascii="Arial Narrow" w:hAnsi="Arial Narrow" w:cs="Times New Roman"/>
          <w:b/>
          <w:sz w:val="22"/>
          <w:szCs w:val="22"/>
        </w:rPr>
      </w:pPr>
    </w:p>
    <w:p w:rsidR="00C55AFF" w:rsidRPr="00B6117E" w:rsidP="00C55AFF">
      <w:pPr>
        <w:numPr>
          <w:ilvl w:val="0"/>
          <w:numId w:val="1"/>
        </w:numPr>
        <w:spacing w:after="120"/>
        <w:ind w:left="437" w:hanging="437"/>
        <w:jc w:val="both"/>
        <w:rPr>
          <w:rFonts w:ascii="Arial Narrow" w:hAnsi="Arial Narrow" w:cs="Times New Roman"/>
          <w:b/>
          <w:sz w:val="22"/>
          <w:szCs w:val="22"/>
        </w:rPr>
      </w:pPr>
      <w:r w:rsidRPr="00B6117E">
        <w:rPr>
          <w:rFonts w:ascii="Arial Narrow" w:hAnsi="Arial Narrow" w:cs="Times New Roman"/>
          <w:b/>
          <w:sz w:val="22"/>
          <w:szCs w:val="22"/>
        </w:rPr>
        <w:t>Názov návrhu zákona:</w:t>
      </w:r>
    </w:p>
    <w:p w:rsidR="00C55AFF" w:rsidRPr="00B6117E" w:rsidP="00C55AFF">
      <w:pPr>
        <w:ind w:left="425"/>
        <w:jc w:val="both"/>
        <w:rPr>
          <w:rFonts w:ascii="Arial Narrow" w:hAnsi="Arial Narrow" w:cs="Times New Roman"/>
          <w:b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Návrh zákona, ktorým sa mení a dopĺňa zákon č. 566/2001 Z. z. o cenných papieroch a investičných službách a o zmen</w:t>
      </w:r>
      <w:r w:rsidRPr="00B6117E">
        <w:rPr>
          <w:rFonts w:ascii="Arial Narrow" w:hAnsi="Arial Narrow" w:cs="Times New Roman"/>
          <w:sz w:val="22"/>
          <w:szCs w:val="22"/>
        </w:rPr>
        <w:t>e a doplnení niektorých zákonov (zákon o cenných papieroch) v znení neskorších predpisov a o zmene a doplnení niektorých zákonov.</w:t>
      </w:r>
    </w:p>
    <w:p w:rsidR="00C55AFF" w:rsidRPr="00B6117E" w:rsidP="00C55AFF">
      <w:pPr>
        <w:jc w:val="both"/>
        <w:rPr>
          <w:rFonts w:ascii="Arial Narrow" w:hAnsi="Arial Narrow" w:cs="Times New Roman"/>
          <w:b/>
          <w:sz w:val="22"/>
          <w:szCs w:val="22"/>
        </w:rPr>
      </w:pPr>
    </w:p>
    <w:p w:rsidR="00C55AFF" w:rsidRPr="00B6117E" w:rsidP="00C55AFF">
      <w:pPr>
        <w:numPr>
          <w:ilvl w:val="0"/>
          <w:numId w:val="1"/>
        </w:numPr>
        <w:spacing w:after="120"/>
        <w:ind w:left="437" w:hanging="437"/>
        <w:jc w:val="both"/>
        <w:rPr>
          <w:rFonts w:ascii="Arial Narrow" w:hAnsi="Arial Narrow" w:cs="Times New Roman"/>
          <w:b/>
          <w:sz w:val="22"/>
          <w:szCs w:val="22"/>
        </w:rPr>
      </w:pPr>
      <w:r w:rsidRPr="00B6117E">
        <w:rPr>
          <w:rFonts w:ascii="Arial Narrow" w:hAnsi="Arial Narrow" w:cs="Times New Roman"/>
          <w:b/>
          <w:sz w:val="22"/>
          <w:szCs w:val="22"/>
        </w:rPr>
        <w:t xml:space="preserve">Problematika návrhu zákona: </w:t>
      </w:r>
    </w:p>
    <w:p w:rsidR="00C55AFF" w:rsidRPr="00B6117E" w:rsidP="00C55AFF">
      <w:pPr>
        <w:pStyle w:val="BodyText"/>
        <w:numPr>
          <w:ilvl w:val="1"/>
          <w:numId w:val="1"/>
        </w:numPr>
        <w:tabs>
          <w:tab w:val="left" w:pos="856"/>
        </w:tabs>
        <w:spacing w:after="120"/>
        <w:ind w:left="857" w:hanging="420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je upravená v práve Európskych spoločenstiev:</w:t>
      </w:r>
    </w:p>
    <w:p w:rsidR="00C55AFF" w:rsidRPr="00B6117E" w:rsidP="00C55AFF">
      <w:pPr>
        <w:pStyle w:val="BodyText"/>
        <w:ind w:left="900" w:hanging="437"/>
        <w:rPr>
          <w:rFonts w:ascii="Arial Narrow" w:hAnsi="Arial Narrow" w:cs="Times New Roman"/>
          <w:b/>
          <w:i/>
          <w:sz w:val="22"/>
          <w:szCs w:val="22"/>
        </w:rPr>
      </w:pPr>
      <w:r w:rsidRPr="00B6117E">
        <w:rPr>
          <w:rFonts w:ascii="Arial Narrow" w:hAnsi="Arial Narrow" w:cs="Times New Roman"/>
          <w:b/>
          <w:i/>
          <w:sz w:val="22"/>
          <w:szCs w:val="22"/>
        </w:rPr>
        <w:t xml:space="preserve">v primárnom práve: </w:t>
      </w:r>
    </w:p>
    <w:p w:rsidR="00C55AFF" w:rsidRPr="00B6117E" w:rsidP="00C55AFF">
      <w:pPr>
        <w:pStyle w:val="BodyText"/>
        <w:numPr>
          <w:ilvl w:val="0"/>
          <w:numId w:val="4"/>
        </w:numPr>
        <w:tabs>
          <w:tab w:val="left" w:pos="856"/>
          <w:tab w:val="clear" w:pos="1078"/>
        </w:tabs>
        <w:spacing w:after="120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 xml:space="preserve">Zmluva o založení Európskeho spoločenstva v </w:t>
      </w:r>
      <w:r w:rsidRPr="00B6117E">
        <w:rPr>
          <w:rFonts w:ascii="Arial Narrow" w:hAnsi="Arial Narrow" w:cs="Times New Roman"/>
          <w:bCs/>
          <w:sz w:val="22"/>
          <w:szCs w:val="22"/>
        </w:rPr>
        <w:t>čl. 14, čl. 56 až 60</w:t>
      </w:r>
      <w:r w:rsidRPr="00B6117E">
        <w:rPr>
          <w:rFonts w:ascii="Arial Narrow" w:hAnsi="Arial Narrow" w:cs="Times New Roman"/>
          <w:sz w:val="22"/>
          <w:szCs w:val="22"/>
        </w:rPr>
        <w:t xml:space="preserve">, </w:t>
      </w:r>
    </w:p>
    <w:p w:rsidR="00C55AFF" w:rsidRPr="00B6117E" w:rsidP="00C55AFF">
      <w:pPr>
        <w:pStyle w:val="BodyTextIndent"/>
        <w:ind w:left="874" w:hanging="437"/>
        <w:jc w:val="both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6117E">
        <w:rPr>
          <w:rFonts w:ascii="Arial Narrow" w:hAnsi="Arial Narrow" w:cs="Times New Roman"/>
          <w:b/>
          <w:bCs/>
          <w:i/>
          <w:sz w:val="22"/>
          <w:szCs w:val="22"/>
        </w:rPr>
        <w:t xml:space="preserve">v sekundárnom práve: </w:t>
      </w:r>
    </w:p>
    <w:p w:rsidR="00C55AFF" w:rsidRPr="00B6117E" w:rsidP="00C55AFF">
      <w:pPr>
        <w:pStyle w:val="BodyTextIndent"/>
        <w:numPr>
          <w:ilvl w:val="0"/>
          <w:numId w:val="5"/>
        </w:numPr>
        <w:tabs>
          <w:tab w:val="left" w:pos="856"/>
          <w:tab w:val="left" w:pos="1078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Rady 92/49/EHS z 18. júna 1992 o koordinácii zákonov, iných právnych predpisov a správnych opatrení týkajúcich sa priameho poistenia s výnimkou životného poistenia a o zmene a doplnení smerníc 73/239/EHS a 88/357/EHS (tretia smernica o neživotnom poistení) v platnom znení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6/zv.1)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5"/>
        </w:numPr>
        <w:tabs>
          <w:tab w:val="left" w:pos="856"/>
          <w:tab w:val="left" w:pos="1078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97/9/ES z 3. marca 1997 o systémoch náhrad pre investorov    (Mimoriadne vydanie Ú. v. EÚ,</w:t>
      </w:r>
      <w:r w:rsidRPr="00B6117E">
        <w:rPr>
          <w:rFonts w:ascii="Arial Narrow" w:hAnsi="Arial Narrow" w:cs="Times New Roman"/>
          <w:sz w:val="22"/>
          <w:szCs w:val="22"/>
        </w:rPr>
        <w:t xml:space="preserve">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2)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6"/>
        </w:numPr>
        <w:tabs>
          <w:tab w:val="left" w:pos="856"/>
          <w:tab w:val="left" w:pos="975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2001/34/ES z 28. mája 2001 o prijímaní cenných papierov  na kótovanie na burze cenných papierov a o informáciách, ktoré sa o týchto cenných papieroch musia zverejňovať v platnom znení (Mimoriadne vydanie</w:t>
      </w:r>
      <w:r w:rsidRPr="00B6117E">
        <w:rPr>
          <w:rFonts w:ascii="Arial Narrow" w:hAnsi="Arial Narrow" w:cs="Times New Roman"/>
          <w:sz w:val="22"/>
          <w:szCs w:val="22"/>
        </w:rPr>
        <w:t xml:space="preserve"> Ú. v. EÚ, kap. 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4)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7"/>
        </w:numPr>
        <w:tabs>
          <w:tab w:val="left" w:pos="856"/>
          <w:tab w:val="clear" w:pos="1021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2002/47/ES zo 6. júna 2002 o dohodách o finančných zárukách (Mimoriadne vydanie Ú. v. EÚ,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 xml:space="preserve"> kap.10/zv. 3)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7"/>
        </w:numPr>
        <w:tabs>
          <w:tab w:val="left" w:pos="856"/>
          <w:tab w:val="clear" w:pos="1021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 Rady 2002/83/ES z 5. novembra 2002 o životnom poistení</w:t>
      </w:r>
      <w:r w:rsidRPr="00B6117E">
        <w:rPr>
          <w:rFonts w:ascii="Arial Narrow" w:hAnsi="Arial Narrow" w:cs="Times New Roman"/>
          <w:sz w:val="22"/>
          <w:szCs w:val="22"/>
        </w:rPr>
        <w:t xml:space="preserve"> v platnom znení (Mimoriadne vydanie Ú. v. EÚ, kap. 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6)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8"/>
        </w:numPr>
        <w:tabs>
          <w:tab w:val="left" w:pos="856"/>
          <w:tab w:val="left" w:pos="1078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2002/87/ES zo 16. decembra 2002 o doplnkovom dohľade nad úverovými inštitúciami, poisťovňami a investičnými spoločnosťami vo finančnom konglomeráte, ktorou sa menia a dopĺňajú smernice Rady 73/239/EHS, 79/267/EHS, 92/49/EHS, 92/96/EHS, 93/6/EHS a 93/22/EHS a smernice Európskeho parlamentu a Rady 98/78/ES a 2000/12/ES v platnom znení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4)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9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2003/6/ES z 28. januára 2003 o obchodovaní s využitím dôverných informácií a o manipulácii s trhom (zneužívanie trhu)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4)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10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2003/71/ES zo 4. novembra 2003 o prospekte, ktorý sa zverejňuje pri verejnej ponuke cenných papierov alebo ich prijatí na obchodovanie, a o zmene a doplnení smernice 2001/34/ES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6)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11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Komisie 2003/124/ES z 22. decembra 2003, ktorou sa vykonáva smernica Európskeho parlamentu a Rady 2003/6/ES, pokiaľ ide o vymedzenie a zverejňovanie dôverných informácií a vymedzenie manipulácie s trhom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6)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12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Komisie 2003/125/ES z 22. decembra 2003, ktorou sa vykonáva smernica Európskeho parlamentu a Rady 2003/6/ES, pokiaľ ide o správne poskytovanie investičných odporúčaní a zverejňovanie konfliktu záujmov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6)</w:t>
      </w:r>
      <w:r w:rsidRPr="00B6117E">
        <w:rPr>
          <w:rFonts w:ascii="Arial Narrow" w:hAnsi="Arial Narrow" w:cs="Times New Roman"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13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 Rady 2004/25/ES z 21. apríla 2004 o ponukách na prevzat</w:t>
      </w:r>
      <w:r w:rsidRPr="00B6117E">
        <w:rPr>
          <w:rFonts w:ascii="Arial Narrow" w:hAnsi="Arial Narrow" w:cs="Times New Roman"/>
          <w:sz w:val="22"/>
          <w:szCs w:val="22"/>
        </w:rPr>
        <w:t>ie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17/zv. 2),</w:t>
      </w:r>
    </w:p>
    <w:p w:rsidR="00C55AFF" w:rsidRPr="00B6117E" w:rsidP="00C55AFF">
      <w:pPr>
        <w:pStyle w:val="BodyTextIndent"/>
        <w:numPr>
          <w:ilvl w:val="0"/>
          <w:numId w:val="14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 Rady 2004/39/ES z 21. apríla 2004 o trhoch s finančnými nástrojmi, o zmene a doplnení smerníc Rady 85/611/EHS a 93/6/EHS a smernice Európskeho parlamentu a Rady 2000/12/ES a o</w:t>
      </w:r>
      <w:r w:rsidRPr="00B6117E">
        <w:rPr>
          <w:rFonts w:ascii="Arial Narrow" w:hAnsi="Arial Narrow" w:cs="Times New Roman"/>
          <w:sz w:val="22"/>
          <w:szCs w:val="22"/>
        </w:rPr>
        <w:t> zrušení smernice Rady 93/22/EHS v platnom znení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7)</w:t>
      </w:r>
      <w:r w:rsidRPr="00B6117E">
        <w:rPr>
          <w:rFonts w:ascii="Arial Narrow" w:hAnsi="Arial Narrow" w:cs="Times New Roman"/>
          <w:iCs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15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iCs/>
          <w:sz w:val="22"/>
          <w:szCs w:val="22"/>
        </w:rPr>
        <w:t xml:space="preserve">smernica Komisie </w:t>
      </w:r>
      <w:r w:rsidRPr="00B6117E">
        <w:rPr>
          <w:rFonts w:ascii="Arial Narrow" w:hAnsi="Arial Narrow" w:cs="Times New Roman"/>
          <w:sz w:val="22"/>
          <w:szCs w:val="22"/>
        </w:rPr>
        <w:t>2004/72/ES z 29. apríla 2004, ktorou sa vykonáva smernica Európskeho parlamentu a Rady 2003/6/ES, pokiaľ ide o prijatú trhovú prax, vymedzenie dôvernej informácie vo vzťahu k derivátom komodít, vypracovanie zoznamov zasvätených osôb, oznamovanie operácií manažérov a ohlasovanie podozrivých operácií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7)</w:t>
      </w:r>
      <w:r w:rsidRPr="00B6117E">
        <w:rPr>
          <w:rFonts w:ascii="Arial Narrow" w:hAnsi="Arial Narrow" w:cs="Times New Roman"/>
          <w:iCs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16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2004/109/ES z 15. decembra 2004 o harmonizácii požiadaviek na transparentnosť v súvislosti s informáciami o emitentoch, ktorých cenné papiere sú prijaté na obchodovanie na regulovanom trhu, a ktorou sa mení a dopĺňa smernica 2001/34/ES v planom znení (Ú. v. EÚ L 390, 31.12.20</w:t>
      </w:r>
      <w:r w:rsidRPr="00B6117E">
        <w:rPr>
          <w:rFonts w:ascii="Arial Narrow" w:hAnsi="Arial Narrow" w:cs="Times New Roman"/>
          <w:sz w:val="22"/>
          <w:szCs w:val="22"/>
        </w:rPr>
        <w:t>04),</w:t>
      </w:r>
    </w:p>
    <w:p w:rsidR="00C55AFF" w:rsidRPr="00B6117E" w:rsidP="00C55AFF">
      <w:pPr>
        <w:pStyle w:val="BodyTextIndent"/>
        <w:numPr>
          <w:ilvl w:val="0"/>
          <w:numId w:val="16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i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2005/60/ES z 26. októbra 2005 o predchádzaní využívania finančného systému na účely prania špinavých peňazí a financovania terorizmu v platnom znení (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Ú. v. EÚ L 309, 25.11.2005),</w:t>
      </w:r>
    </w:p>
    <w:p w:rsidR="00C55AFF" w:rsidRPr="00B6117E" w:rsidP="00C55AFF">
      <w:pPr>
        <w:pStyle w:val="BodyTextIndent"/>
        <w:numPr>
          <w:ilvl w:val="0"/>
          <w:numId w:val="16"/>
        </w:numPr>
        <w:tabs>
          <w:tab w:val="left" w:pos="856"/>
        </w:tabs>
        <w:autoSpaceDE/>
        <w:autoSpaceDN/>
        <w:jc w:val="both"/>
        <w:rPr>
          <w:rStyle w:val="Emphasis"/>
          <w:rFonts w:ascii="Arial Narrow" w:hAnsi="Arial Narrow" w:cs="Times New Roman"/>
          <w:iCs w:val="0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2005/68/ES zo 16. novembra 2005 o zaistení, ktorou sa menia a dopĺňajú smernice Rady 73/239/EHS, 92/49/EHS, ako aj smernice 98/78/ES a 2002/83/ES v platnom znení (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Ú. v. EÚ L 323, 9.12.2005),</w:t>
      </w:r>
    </w:p>
    <w:p w:rsidR="00C55AFF" w:rsidRPr="00B6117E" w:rsidP="00C55AFF">
      <w:pPr>
        <w:pStyle w:val="BodyTextIndent"/>
        <w:numPr>
          <w:ilvl w:val="0"/>
          <w:numId w:val="16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i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 Rady 2006/48/ES zo 14. júna 2006 o začatí a vykonávaní činností úverových inštitúcií v platnom znení (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Ú. v. EÚ L 177, 30.6.2006),</w:t>
      </w:r>
    </w:p>
    <w:p w:rsidR="00C55AFF" w:rsidRPr="00B6117E" w:rsidP="00C55AFF">
      <w:pPr>
        <w:pStyle w:val="BodyTextIndent"/>
        <w:numPr>
          <w:ilvl w:val="0"/>
          <w:numId w:val="17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Európskeho parlamentu a Rady 2006/49/ES zo 14. júna 2006 o kapitálovej primeranosti investičných spoločností a úverových inštitúcií v platnom znení (Ú. v. EÚ L 177, 30.6.2006),</w:t>
      </w:r>
    </w:p>
    <w:p w:rsidR="00C55AFF" w:rsidRPr="00B6117E" w:rsidP="00C55AFF">
      <w:pPr>
        <w:pStyle w:val="BodyTextIndent"/>
        <w:numPr>
          <w:ilvl w:val="0"/>
          <w:numId w:val="18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smernica Komisie 2006/73/ES z 10. augusta 2006, ktorou sa vykonáva smernica Európskeho parlamentu a Rady 2004/39/ES, pokiaľ ide o organizačné požiadavky a podmienky výkonu činnosti investičných spoločností, ako aj o vymedzené pojmy na účely uvedenej smernice (Ú. v. EÚ L 241, 2.9.2006),</w:t>
      </w:r>
    </w:p>
    <w:p w:rsidR="00C55AFF" w:rsidRPr="00B6117E" w:rsidP="00C55AFF">
      <w:pPr>
        <w:pStyle w:val="BodyTextIndent"/>
        <w:numPr>
          <w:ilvl w:val="0"/>
          <w:numId w:val="18"/>
        </w:numPr>
        <w:tabs>
          <w:tab w:val="left" w:pos="856"/>
        </w:tabs>
        <w:autoSpaceDE/>
        <w:autoSpaceDN/>
        <w:jc w:val="both"/>
        <w:rPr>
          <w:rStyle w:val="Emphasis"/>
          <w:rFonts w:ascii="Arial Narrow" w:hAnsi="Arial Narrow" w:cs="Times New Roman"/>
          <w:iCs w:val="0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 xml:space="preserve">smernica Komisie 2007/14/ES z 8. marca 2007, ktorou sa stanovujú podrobné pravidlá implementácie určitých ustanovení smernice 2004/109/ES o harmonizácii požiadaviek na transparentnosť v súvislosti s informáciami o emitentoch, ktorých cenné papiere sú prijaté na obchodovanie na regulovanom trhu </w:t>
      </w:r>
      <w:r w:rsidRPr="00B6117E">
        <w:rPr>
          <w:rFonts w:ascii="Arial Narrow" w:hAnsi="Arial Narrow" w:cs="Times New Roman"/>
          <w:i/>
          <w:sz w:val="22"/>
          <w:szCs w:val="22"/>
        </w:rPr>
        <w:t>(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Ú. v. EÚ L 69, 9.3.2007),</w:t>
      </w:r>
    </w:p>
    <w:p w:rsidR="00C55AFF" w:rsidRPr="00B6117E" w:rsidP="00C55AFF">
      <w:pPr>
        <w:pStyle w:val="BodyTextIndent"/>
        <w:numPr>
          <w:ilvl w:val="0"/>
          <w:numId w:val="18"/>
        </w:numPr>
        <w:tabs>
          <w:tab w:val="left" w:pos="856"/>
        </w:tabs>
        <w:autoSpaceDE/>
        <w:autoSpaceDN/>
        <w:jc w:val="both"/>
        <w:rPr>
          <w:rStyle w:val="Emphasis"/>
          <w:rFonts w:ascii="Arial Narrow" w:hAnsi="Arial Narrow" w:cs="Times New Roman"/>
          <w:i w:val="0"/>
          <w:iCs w:val="0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 xml:space="preserve">nariadenie Komisie (ES) č. 2273/2003 z 22.decembra 2003 implementujúceho smernicu 2003/6/ES Európskeho parlamentu a Rady o výnimkách pre programy spätného výkupu a pre stabilizáciu finančných nástrojov (Mimoriadne vydanie Ú. v. EÚ, 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6)</w:t>
      </w:r>
      <w:r w:rsidRPr="00B6117E">
        <w:rPr>
          <w:rFonts w:ascii="Arial Narrow" w:hAnsi="Arial Narrow" w:cs="Times New Roman"/>
          <w:iCs/>
          <w:sz w:val="22"/>
          <w:szCs w:val="22"/>
        </w:rPr>
        <w:t>,</w:t>
      </w:r>
    </w:p>
    <w:p w:rsidR="00C55AFF" w:rsidRPr="00B6117E" w:rsidP="00C55AFF">
      <w:pPr>
        <w:pStyle w:val="BodyTextIndent"/>
        <w:numPr>
          <w:ilvl w:val="0"/>
          <w:numId w:val="18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i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nariadenie Komisie (ES) č. 809/2004 z 29. apríla 2004, ktorým sa vykonáva smernica 2003/71/ES Európskeho parlamentu a Rady, pokiaľ ide o informácie obsiahnuté v prospekte, ako aj ich formát, uvádzanie odkazov a uverejnenie týchto prospektov a šírenie reklamy (Mimoriadne vydanie Ú. v. EÚ, kap.</w:t>
      </w:r>
      <w:r w:rsidRPr="00B6117E">
        <w:rPr>
          <w:rStyle w:val="Emphasis"/>
          <w:rFonts w:ascii="Arial Narrow" w:hAnsi="Arial Narrow" w:cs="Times New Roman"/>
          <w:i w:val="0"/>
          <w:sz w:val="22"/>
          <w:szCs w:val="22"/>
        </w:rPr>
        <w:t>6/zv. 7),</w:t>
      </w:r>
    </w:p>
    <w:p w:rsidR="00C55AFF" w:rsidRPr="00B6117E" w:rsidP="00C55AFF">
      <w:pPr>
        <w:pStyle w:val="BodyTextIndent"/>
        <w:numPr>
          <w:ilvl w:val="0"/>
          <w:numId w:val="19"/>
        </w:numPr>
        <w:tabs>
          <w:tab w:val="left" w:pos="856"/>
        </w:tabs>
        <w:autoSpaceDE/>
        <w:autoSpaceDN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Style w:val="Strong"/>
          <w:rFonts w:ascii="Arial Narrow" w:hAnsi="Arial Narrow" w:cs="Times New Roman"/>
          <w:b w:val="0"/>
          <w:bCs w:val="0"/>
          <w:sz w:val="22"/>
          <w:szCs w:val="22"/>
        </w:rPr>
        <w:t>nariadenie Komisie (ES) č. 1287/2006 z 10. augusta 2006, ktorým sa vykonáva smernica Európskeho parlamentu a Rady 2004/39/ES, pokiaľ ide o povinnosti pri vedení záznamov pre investičné spoločnosti, oznamovanie transakcií, priehľadnosť trhu, prijatie finančných nástrojov na obchodovanie a vymedzené pojmy na účely tejto smernice (Ú. v. EÚ L 241,</w:t>
      </w:r>
      <w:r w:rsidRPr="00B6117E">
        <w:rPr>
          <w:rFonts w:ascii="Arial Narrow" w:hAnsi="Arial Narrow" w:cs="Times New Roman"/>
          <w:sz w:val="22"/>
          <w:szCs w:val="22"/>
        </w:rPr>
        <w:t xml:space="preserve"> 2.9.2006).</w:t>
      </w:r>
    </w:p>
    <w:p w:rsidR="00C55AFF" w:rsidRPr="00B6117E" w:rsidP="00C55AFF">
      <w:pPr>
        <w:pStyle w:val="BodyText"/>
        <w:numPr>
          <w:ilvl w:val="1"/>
          <w:numId w:val="1"/>
        </w:numPr>
        <w:spacing w:after="120"/>
        <w:ind w:left="857" w:hanging="420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nie je upravená v práve Európskej únie.</w:t>
      </w:r>
    </w:p>
    <w:p w:rsidR="00C55AFF" w:rsidRPr="00B6117E" w:rsidP="00C55AFF">
      <w:pPr>
        <w:pStyle w:val="BodyText"/>
        <w:numPr>
          <w:ilvl w:val="1"/>
          <w:numId w:val="1"/>
        </w:numPr>
        <w:spacing w:after="120"/>
        <w:ind w:left="857" w:hanging="420"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je obsiahnutá v judikatúre Súdneho dvora Európskych spoločenstiev alebo Súdu prvého stupňa Európskych spoločenstiev:</w:t>
      </w:r>
    </w:p>
    <w:p w:rsidR="00C55AFF" w:rsidRPr="00B6117E" w:rsidP="00C55AFF">
      <w:pPr>
        <w:pStyle w:val="BodyText"/>
        <w:numPr>
          <w:ilvl w:val="0"/>
          <w:numId w:val="20"/>
        </w:numPr>
        <w:tabs>
          <w:tab w:val="left" w:pos="856"/>
        </w:tabs>
        <w:spacing w:after="120"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 xml:space="preserve">v rozhodnutí Súdneho dvora Európskych spoločenstiev vo veci C - </w:t>
      </w:r>
      <w:r w:rsidRPr="00B6117E">
        <w:rPr>
          <w:rFonts w:ascii="Arial Narrow" w:hAnsi="Arial Narrow" w:cs="Times New Roman"/>
          <w:sz w:val="22"/>
          <w:szCs w:val="22"/>
          <w:lang w:val="et-EE"/>
        </w:rPr>
        <w:t>384/93</w:t>
      </w:r>
      <w:r w:rsidRPr="00B6117E">
        <w:rPr>
          <w:rFonts w:ascii="Arial Narrow" w:hAnsi="Arial Narrow" w:cs="Times New Roman"/>
          <w:sz w:val="22"/>
          <w:szCs w:val="22"/>
        </w:rPr>
        <w:t>, Alpine Investments v. Minister van Financiën, rok 1995, Zb. roz. ESD (I-1141),</w:t>
      </w:r>
    </w:p>
    <w:p w:rsidR="00C55AFF" w:rsidRPr="00B6117E" w:rsidP="00C55AFF">
      <w:pPr>
        <w:pStyle w:val="BodyText"/>
        <w:numPr>
          <w:ilvl w:val="0"/>
          <w:numId w:val="21"/>
        </w:numPr>
        <w:tabs>
          <w:tab w:val="left" w:pos="856"/>
        </w:tabs>
        <w:spacing w:after="120"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 xml:space="preserve">v rozhodnutí Súdneho dvora Európskych spoločenstiev vo veci C - </w:t>
      </w:r>
      <w:r w:rsidRPr="00B6117E">
        <w:rPr>
          <w:rFonts w:ascii="Arial Narrow" w:hAnsi="Arial Narrow" w:cs="Times New Roman"/>
          <w:sz w:val="22"/>
          <w:szCs w:val="22"/>
          <w:lang w:val="et-EE"/>
        </w:rPr>
        <w:t>356/00</w:t>
      </w:r>
      <w:r w:rsidRPr="00B6117E">
        <w:rPr>
          <w:rFonts w:ascii="Arial Narrow" w:hAnsi="Arial Narrow" w:cs="Times New Roman"/>
          <w:sz w:val="22"/>
          <w:szCs w:val="22"/>
        </w:rPr>
        <w:t xml:space="preserve">, </w:t>
      </w:r>
      <w:r w:rsidRPr="00B6117E">
        <w:rPr>
          <w:rFonts w:ascii="Arial Narrow" w:hAnsi="Arial Narrow" w:cs="Times New Roman"/>
          <w:bCs/>
          <w:sz w:val="22"/>
          <w:szCs w:val="22"/>
        </w:rPr>
        <w:t>Antonio Testa, Lido Lazzeri v. Commissione Nazionale per le Società e la Borsa (Consob)</w:t>
      </w:r>
      <w:r w:rsidR="00FE7029">
        <w:rPr>
          <w:rFonts w:ascii="Arial Narrow" w:hAnsi="Arial Narrow" w:cs="Times New Roman"/>
          <w:sz w:val="22"/>
          <w:szCs w:val="22"/>
        </w:rPr>
        <w:t>, rok 2002, Zb. roz.</w:t>
      </w:r>
      <w:r w:rsidRPr="00B6117E">
        <w:rPr>
          <w:rFonts w:ascii="Arial Narrow" w:hAnsi="Arial Narrow" w:cs="Times New Roman"/>
          <w:sz w:val="22"/>
          <w:szCs w:val="22"/>
        </w:rPr>
        <w:t xml:space="preserve"> ESD (I-10 797),</w:t>
      </w:r>
    </w:p>
    <w:p w:rsidR="00C55AFF" w:rsidRPr="00B6117E" w:rsidP="00C55AFF">
      <w:pPr>
        <w:pStyle w:val="BodyText"/>
        <w:numPr>
          <w:ilvl w:val="0"/>
          <w:numId w:val="22"/>
        </w:numPr>
        <w:tabs>
          <w:tab w:val="left" w:pos="856"/>
        </w:tabs>
        <w:spacing w:after="120"/>
        <w:jc w:val="both"/>
        <w:rPr>
          <w:rFonts w:ascii="Arial Narrow" w:hAnsi="Arial Narrow" w:cs="Times New Roman"/>
          <w:sz w:val="22"/>
          <w:szCs w:val="22"/>
        </w:rPr>
      </w:pPr>
      <w:r w:rsidRPr="00B6117E">
        <w:rPr>
          <w:rFonts w:ascii="Arial Narrow" w:hAnsi="Arial Narrow" w:cs="Times New Roman"/>
          <w:sz w:val="22"/>
          <w:szCs w:val="22"/>
        </w:rPr>
        <w:t>v rozhodnutí Súdneho dvora Európskych spoločenstiev vo veci C – 417/97, Európska komisia</w:t>
      </w:r>
      <w:r w:rsidRPr="00B6117E">
        <w:rPr>
          <w:rFonts w:ascii="Arial Narrow" w:hAnsi="Arial Narrow" w:cs="Times New Roman"/>
          <w:bCs/>
          <w:sz w:val="22"/>
          <w:szCs w:val="22"/>
        </w:rPr>
        <w:t xml:space="preserve"> v. Luxemburské veľkovojvodstvo </w:t>
      </w:r>
      <w:r w:rsidRPr="00B6117E">
        <w:rPr>
          <w:rFonts w:ascii="Arial Narrow" w:hAnsi="Arial Narrow" w:cs="Times New Roman"/>
          <w:sz w:val="22"/>
          <w:szCs w:val="22"/>
        </w:rPr>
        <w:t>, rok 1999, Zb. roz. ESD (I-3247).</w:t>
      </w:r>
    </w:p>
    <w:p w:rsidR="00C55AFF" w:rsidRPr="00B6117E" w:rsidP="00C55AFF">
      <w:pPr>
        <w:pStyle w:val="BodyText"/>
        <w:jc w:val="both"/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numPr>
          <w:ilvl w:val="0"/>
          <w:numId w:val="1"/>
        </w:numPr>
        <w:spacing w:after="120"/>
        <w:ind w:left="437" w:hanging="437"/>
        <w:jc w:val="both"/>
        <w:rPr>
          <w:rFonts w:ascii="Arial Narrow" w:hAnsi="Arial Narrow" w:cs="Times New Roman"/>
          <w:b/>
          <w:sz w:val="22"/>
          <w:szCs w:val="22"/>
        </w:rPr>
      </w:pPr>
      <w:r w:rsidRPr="00B6117E">
        <w:rPr>
          <w:rFonts w:ascii="Arial Narrow" w:hAnsi="Arial Narrow" w:cs="Times New Roman"/>
          <w:b/>
          <w:sz w:val="22"/>
          <w:szCs w:val="22"/>
        </w:rPr>
        <w:t>Záväzky Slovenskej republiky vo vzťahu k Európskym spoločenstvám a Európskej únii:</w:t>
      </w:r>
    </w:p>
    <w:p w:rsidR="00C55AFF" w:rsidRPr="00B6117E" w:rsidP="00C55AFF">
      <w:pPr>
        <w:pStyle w:val="BodyText"/>
        <w:numPr>
          <w:ilvl w:val="1"/>
          <w:numId w:val="2"/>
        </w:numPr>
        <w:tabs>
          <w:tab w:val="left" w:pos="360"/>
          <w:tab w:val="left" w:pos="417"/>
        </w:tabs>
        <w:spacing w:after="120"/>
        <w:ind w:left="437" w:firstLine="0"/>
        <w:jc w:val="both"/>
        <w:rPr>
          <w:rFonts w:ascii="Arial Narrow" w:hAnsi="Arial Narrow" w:cs="Times New Roman"/>
          <w:bCs/>
          <w:sz w:val="22"/>
          <w:szCs w:val="22"/>
        </w:rPr>
      </w:pPr>
      <w:r w:rsidRPr="00B6117E">
        <w:rPr>
          <w:rFonts w:ascii="Arial Narrow" w:hAnsi="Arial Narrow" w:cs="Times New Roman"/>
          <w:bCs/>
          <w:sz w:val="22"/>
          <w:szCs w:val="22"/>
        </w:rPr>
        <w:t xml:space="preserve">Lehota na prebratie smernice </w:t>
      </w:r>
      <w:r w:rsidRPr="00B6117E">
        <w:rPr>
          <w:rFonts w:ascii="Arial Narrow" w:hAnsi="Arial Narrow" w:cs="Times New Roman"/>
          <w:sz w:val="22"/>
          <w:szCs w:val="22"/>
        </w:rPr>
        <w:t xml:space="preserve">Európskeho parlamentu a Rady 2007/44/ES </w:t>
      </w:r>
      <w:r w:rsidRPr="00B6117E">
        <w:rPr>
          <w:rFonts w:ascii="Arial Narrow" w:hAnsi="Arial Narrow" w:cs="Times New Roman"/>
          <w:bCs/>
          <w:sz w:val="22"/>
          <w:szCs w:val="22"/>
        </w:rPr>
        <w:t>podľa určenia gestorských ústredných orgánov štátnej správy zodpovedných za prebratie smerníc a vypracovanie tabuliek zhody k návrhom všeobecne záväzných právnych predpisov je stanovená na 21.03.2009.</w:t>
      </w:r>
    </w:p>
    <w:p w:rsidR="00C55AFF" w:rsidRPr="00B6117E" w:rsidP="00C55AFF">
      <w:pPr>
        <w:pStyle w:val="BodyText"/>
        <w:numPr>
          <w:ilvl w:val="0"/>
          <w:numId w:val="3"/>
        </w:numPr>
        <w:tabs>
          <w:tab w:val="clear" w:pos="1317"/>
        </w:tabs>
        <w:spacing w:after="120"/>
        <w:ind w:left="437" w:firstLine="0"/>
        <w:jc w:val="both"/>
        <w:rPr>
          <w:rFonts w:ascii="Arial Narrow" w:hAnsi="Arial Narrow" w:cs="Times New Roman"/>
          <w:bCs/>
          <w:sz w:val="22"/>
          <w:szCs w:val="22"/>
        </w:rPr>
      </w:pPr>
      <w:r w:rsidRPr="00B6117E">
        <w:rPr>
          <w:rFonts w:ascii="Arial Narrow" w:hAnsi="Arial Narrow" w:cs="Times New Roman"/>
          <w:bCs/>
          <w:sz w:val="22"/>
          <w:szCs w:val="22"/>
        </w:rPr>
        <w:t>Proti SR nebolo začaté konanie o porušení Zmluvy o založení Európskych spoločenstiev podľa čl. 226 až 228 Zmluvy o založení Európskych spoločenstiev v platnom znení.</w:t>
      </w:r>
    </w:p>
    <w:p w:rsidR="00AB6BFA" w:rsidRPr="00FE7029" w:rsidP="00AB6BFA">
      <w:pPr>
        <w:pStyle w:val="BodyTextIndent"/>
        <w:numPr>
          <w:ilvl w:val="0"/>
          <w:numId w:val="3"/>
        </w:numPr>
        <w:tabs>
          <w:tab w:val="clear" w:pos="1317"/>
        </w:tabs>
        <w:autoSpaceDE/>
        <w:autoSpaceDN/>
        <w:ind w:left="437" w:firstLine="0"/>
        <w:jc w:val="both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 w:cs="Times New Roman"/>
          <w:sz w:val="22"/>
          <w:szCs w:val="22"/>
        </w:rPr>
        <w:t>Smernica 2007/44/ES bola prebratá do zákona č. 8/2008 Z. z. o poisťovníctve a o zmene a doplnení niektorých zákonov, do zákona č. 483/2001 Z. z. o bankách a o zmene a doplnení niektorých zákonov v znení neskorších predpisov a do zákona č. 566/2001 Z. z. o cenných papieroch a investičných službách a o zmene a doplnení niektorých zákonov (zákon o cenných papieroch) v znení neskorších predpisov.</w:t>
      </w:r>
    </w:p>
    <w:p w:rsidR="00FE7029" w:rsidP="00FE7029">
      <w:pPr>
        <w:pStyle w:val="BodyTextIndent"/>
        <w:autoSpaceDE/>
        <w:autoSpaceDN/>
        <w:ind w:left="437"/>
        <w:jc w:val="both"/>
        <w:rPr>
          <w:rFonts w:ascii="Arial Narrow" w:hAnsi="Arial Narrow" w:cs="Times New Roman"/>
          <w:sz w:val="22"/>
          <w:szCs w:val="20"/>
        </w:rPr>
      </w:pPr>
    </w:p>
    <w:p w:rsidR="00AB6BFA" w:rsidP="00AB6BFA">
      <w:pPr>
        <w:numPr>
          <w:ilvl w:val="0"/>
          <w:numId w:val="1"/>
        </w:numPr>
        <w:spacing w:after="120"/>
        <w:ind w:left="437" w:hanging="437"/>
        <w:jc w:val="both"/>
        <w:rPr>
          <w:rFonts w:ascii="Arial Narrow" w:hAnsi="Arial Narrow" w:cs="Times New Roman"/>
          <w:b/>
          <w:sz w:val="22"/>
        </w:rPr>
      </w:pPr>
      <w:r>
        <w:rPr>
          <w:rFonts w:ascii="Arial Narrow" w:hAnsi="Arial Narrow" w:cs="Times New Roman"/>
          <w:b/>
          <w:sz w:val="22"/>
        </w:rPr>
        <w:t>Stupeň zlučiteľnosti návrhu zákona s právom Európskych spoločenstiev a právom Európskej únie:</w:t>
      </w:r>
    </w:p>
    <w:p w:rsidR="00AB6BFA" w:rsidP="00AB6BFA">
      <w:pPr>
        <w:spacing w:after="120"/>
        <w:ind w:left="437"/>
        <w:jc w:val="both"/>
        <w:rPr>
          <w:rFonts w:ascii="Arial Narrow" w:hAnsi="Arial Narrow" w:cs="Times New Roman"/>
          <w:b/>
          <w:sz w:val="22"/>
        </w:rPr>
      </w:pPr>
      <w:r>
        <w:rPr>
          <w:rFonts w:ascii="Arial Narrow" w:hAnsi="Arial Narrow" w:cs="Times New Roman"/>
          <w:bCs/>
          <w:sz w:val="22"/>
        </w:rPr>
        <w:t xml:space="preserve"> Úplný.</w:t>
      </w:r>
    </w:p>
    <w:p w:rsidR="00AB6BFA" w:rsidP="00AB6BFA">
      <w:pPr>
        <w:jc w:val="both"/>
        <w:rPr>
          <w:rFonts w:ascii="Arial Narrow" w:hAnsi="Arial Narrow" w:cs="Times New Roman"/>
          <w:b/>
          <w:sz w:val="22"/>
        </w:rPr>
      </w:pPr>
    </w:p>
    <w:p w:rsidR="00AB6BFA" w:rsidP="00AB6BFA">
      <w:pPr>
        <w:numPr>
          <w:ilvl w:val="0"/>
          <w:numId w:val="1"/>
        </w:numPr>
        <w:spacing w:after="120"/>
        <w:ind w:left="437" w:hanging="437"/>
        <w:jc w:val="both"/>
        <w:rPr>
          <w:rFonts w:ascii="Arial Narrow" w:hAnsi="Arial Narrow" w:cs="Times New Roman"/>
          <w:b/>
          <w:sz w:val="22"/>
        </w:rPr>
      </w:pPr>
      <w:r>
        <w:rPr>
          <w:rFonts w:ascii="Arial Narrow" w:hAnsi="Arial Narrow" w:cs="Times New Roman"/>
          <w:b/>
          <w:sz w:val="22"/>
        </w:rPr>
        <w:t xml:space="preserve">Gestor a spolupracujúce rezorty: </w:t>
      </w:r>
    </w:p>
    <w:p w:rsidR="00AB6BFA" w:rsidP="00AB6BFA">
      <w:pPr>
        <w:spacing w:after="120"/>
        <w:ind w:left="437"/>
        <w:jc w:val="both"/>
        <w:rPr>
          <w:rFonts w:ascii="Arial Narrow" w:hAnsi="Arial Narrow" w:cs="Times New Roman"/>
          <w:bCs/>
          <w:sz w:val="22"/>
        </w:rPr>
      </w:pPr>
      <w:r w:rsidRPr="002D2D98">
        <w:rPr>
          <w:rFonts w:ascii="Arial Narrow" w:hAnsi="Arial Narrow" w:cs="Times New Roman"/>
          <w:bCs/>
          <w:sz w:val="22"/>
        </w:rPr>
        <w:t>Ministerstvo financií Slovenskej republiky</w:t>
      </w:r>
      <w:r>
        <w:rPr>
          <w:rFonts w:ascii="Arial Narrow" w:hAnsi="Arial Narrow" w:cs="Times New Roman"/>
          <w:bCs/>
          <w:sz w:val="22"/>
        </w:rPr>
        <w:t xml:space="preserve"> a Národná banka Slovenska.</w:t>
      </w: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C55AFF" w:rsidRPr="00B6117E" w:rsidP="00C55AFF">
      <w:pPr>
        <w:rPr>
          <w:rFonts w:ascii="Arial Narrow" w:hAnsi="Arial Narrow" w:cs="Times New Roman"/>
          <w:sz w:val="22"/>
          <w:szCs w:val="22"/>
        </w:rPr>
      </w:pPr>
    </w:p>
    <w:p w:rsidR="004E543D">
      <w:pPr>
        <w:rPr>
          <w:rFonts w:ascii="Times New Roman" w:hAnsi="Times New Roman" w:cs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D2" w:rsidP="00DF35D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F35D2" w:rsidP="00DF35D2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D2" w:rsidRPr="00DF35D2" w:rsidP="00DF35D2">
    <w:pPr>
      <w:pStyle w:val="Footer"/>
      <w:framePr w:vAnchor="text" w:hAnchor="margin" w:xAlign="right" w:y="1"/>
      <w:rPr>
        <w:rStyle w:val="PageNumber"/>
        <w:rFonts w:ascii="Arial Narrow" w:hAnsi="Arial Narrow" w:cs="Times New Roman"/>
        <w:sz w:val="18"/>
        <w:szCs w:val="18"/>
      </w:rPr>
    </w:pPr>
    <w:r w:rsidRPr="00DF35D2">
      <w:rPr>
        <w:rStyle w:val="PageNumber"/>
        <w:rFonts w:ascii="Arial Narrow" w:hAnsi="Arial Narrow" w:cs="Times New Roman"/>
        <w:sz w:val="18"/>
        <w:szCs w:val="18"/>
      </w:rPr>
      <w:fldChar w:fldCharType="begin"/>
    </w:r>
    <w:r w:rsidRPr="00DF35D2">
      <w:rPr>
        <w:rStyle w:val="PageNumber"/>
        <w:rFonts w:ascii="Arial Narrow" w:hAnsi="Arial Narrow" w:cs="Times New Roman"/>
        <w:sz w:val="18"/>
        <w:szCs w:val="18"/>
      </w:rPr>
      <w:instrText xml:space="preserve">PAGE  </w:instrText>
    </w:r>
    <w:r w:rsidRPr="00DF35D2">
      <w:rPr>
        <w:rStyle w:val="PageNumber"/>
        <w:rFonts w:ascii="Arial Narrow" w:hAnsi="Arial Narrow" w:cs="Times New Roman"/>
        <w:sz w:val="18"/>
        <w:szCs w:val="18"/>
      </w:rPr>
      <w:fldChar w:fldCharType="separate"/>
    </w:r>
    <w:r w:rsidR="008E26FE">
      <w:rPr>
        <w:rStyle w:val="PageNumber"/>
        <w:rFonts w:ascii="Arial Narrow" w:hAnsi="Arial Narrow" w:cs="Times New Roman"/>
        <w:noProof/>
        <w:sz w:val="18"/>
        <w:szCs w:val="18"/>
      </w:rPr>
      <w:t>3</w:t>
    </w:r>
    <w:r w:rsidRPr="00DF35D2">
      <w:rPr>
        <w:rStyle w:val="PageNumber"/>
        <w:rFonts w:ascii="Arial Narrow" w:hAnsi="Arial Narrow" w:cs="Times New Roman"/>
        <w:sz w:val="18"/>
        <w:szCs w:val="18"/>
      </w:rPr>
      <w:fldChar w:fldCharType="end"/>
    </w:r>
  </w:p>
  <w:p w:rsidR="00DF35D2" w:rsidP="00DF35D2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D2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D2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D2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D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D5"/>
    <w:multiLevelType w:val="hybridMultilevel"/>
    <w:tmpl w:val="EC808A76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1">
    <w:nsid w:val="0DA7739C"/>
    <w:multiLevelType w:val="hybridMultilevel"/>
    <w:tmpl w:val="D416E05A"/>
    <w:lvl w:ilvl="0">
      <w:start w:val="1"/>
      <w:numFmt w:val="bullet"/>
      <w:lvlText w:val=""/>
      <w:lvlJc w:val="left"/>
      <w:pPr>
        <w:tabs>
          <w:tab w:val="num" w:pos="975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2">
    <w:nsid w:val="158D7AFF"/>
    <w:multiLevelType w:val="hybridMultilevel"/>
    <w:tmpl w:val="9C224F70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3">
    <w:nsid w:val="23245065"/>
    <w:multiLevelType w:val="hybridMultilevel"/>
    <w:tmpl w:val="156AD6EE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4">
    <w:nsid w:val="2344296C"/>
    <w:multiLevelType w:val="hybridMultilevel"/>
    <w:tmpl w:val="90BABA94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5">
    <w:nsid w:val="2EC27BE8"/>
    <w:multiLevelType w:val="hybridMultilevel"/>
    <w:tmpl w:val="B1F808AC"/>
    <w:lvl w:ilvl="0">
      <w:start w:val="1"/>
      <w:numFmt w:val="bullet"/>
      <w:lvlText w:val=""/>
      <w:lvlJc w:val="left"/>
      <w:pPr>
        <w:tabs>
          <w:tab w:val="num" w:pos="1078"/>
        </w:tabs>
        <w:ind w:left="1078" w:hanging="641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32261410"/>
    <w:multiLevelType w:val="hybridMultilevel"/>
    <w:tmpl w:val="CDBADBAA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7">
    <w:nsid w:val="335A3C4B"/>
    <w:multiLevelType w:val="hybridMultilevel"/>
    <w:tmpl w:val="A10481E2"/>
    <w:lvl w:ilvl="0">
      <w:start w:val="1"/>
      <w:numFmt w:val="bullet"/>
      <w:lvlText w:val=""/>
      <w:lvlJc w:val="left"/>
      <w:pPr>
        <w:tabs>
          <w:tab w:val="num" w:pos="1021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8">
    <w:nsid w:val="33C07D76"/>
    <w:multiLevelType w:val="hybridMultilevel"/>
    <w:tmpl w:val="CB481A4C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9">
    <w:nsid w:val="371C7174"/>
    <w:multiLevelType w:val="hybridMultilevel"/>
    <w:tmpl w:val="6A1E74A6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10">
    <w:nsid w:val="39E53F62"/>
    <w:multiLevelType w:val="hybridMultilevel"/>
    <w:tmpl w:val="B01A65B8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11">
    <w:nsid w:val="3DCE3838"/>
    <w:multiLevelType w:val="hybridMultilevel"/>
    <w:tmpl w:val="E91A34D0"/>
    <w:lvl w:ilvl="0">
      <w:start w:val="1"/>
      <w:numFmt w:val="bullet"/>
      <w:lvlText w:val=""/>
      <w:lvlJc w:val="left"/>
      <w:pPr>
        <w:tabs>
          <w:tab w:val="num" w:pos="1078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915"/>
        </w:tabs>
        <w:ind w:left="1218" w:hanging="360"/>
      </w:pPr>
    </w:lvl>
    <w:lvl w:ilvl="2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/>
        <w:rtl w:val="0"/>
      </w:rPr>
    </w:lvl>
  </w:abstractNum>
  <w:abstractNum w:abstractNumId="12">
    <w:nsid w:val="40BB08A6"/>
    <w:multiLevelType w:val="hybridMultilevel"/>
    <w:tmpl w:val="9A7024F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13">
    <w:nsid w:val="444313CE"/>
    <w:multiLevelType w:val="hybridMultilevel"/>
    <w:tmpl w:val="E0F4B6C4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14">
    <w:nsid w:val="4B1C323B"/>
    <w:multiLevelType w:val="hybridMultilevel"/>
    <w:tmpl w:val="5B38C8BC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15">
    <w:nsid w:val="54297064"/>
    <w:multiLevelType w:val="hybridMultilevel"/>
    <w:tmpl w:val="E9505112"/>
    <w:lvl w:ilvl="0">
      <w:start w:val="1"/>
      <w:numFmt w:val="bullet"/>
      <w:lvlText w:val=""/>
      <w:lvlJc w:val="left"/>
      <w:pPr>
        <w:tabs>
          <w:tab w:val="num" w:pos="1078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16">
    <w:nsid w:val="57120632"/>
    <w:multiLevelType w:val="hybridMultilevel"/>
    <w:tmpl w:val="A8987E96"/>
    <w:lvl w:ilvl="0">
      <w:start w:val="2"/>
      <w:numFmt w:val="lowerLetter"/>
      <w:lvlText w:val="%1)"/>
      <w:lvlJc w:val="left"/>
      <w:pPr>
        <w:tabs>
          <w:tab w:val="num" w:pos="1317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E2C08"/>
    <w:multiLevelType w:val="hybridMultilevel"/>
    <w:tmpl w:val="C2B2A008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18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rtl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abstractNum w:abstractNumId="19">
    <w:nsid w:val="71482A11"/>
    <w:multiLevelType w:val="hybridMultilevel"/>
    <w:tmpl w:val="37807AFC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20">
    <w:nsid w:val="7A306750"/>
    <w:multiLevelType w:val="hybridMultilevel"/>
    <w:tmpl w:val="53D8D936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21">
    <w:nsid w:val="7EB83C56"/>
    <w:multiLevelType w:val="hybridMultilevel"/>
    <w:tmpl w:val="BED22D96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/>
        <w:rtl w:val="0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15"/>
  </w:num>
  <w:num w:numId="9">
    <w:abstractNumId w:val="17"/>
  </w:num>
  <w:num w:numId="10">
    <w:abstractNumId w:val="19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20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13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D2D98"/>
    <w:rsid w:val="004E543D"/>
    <w:rsid w:val="008E26FE"/>
    <w:rsid w:val="00AB6BFA"/>
    <w:rsid w:val="00B6117E"/>
    <w:rsid w:val="00C55AFF"/>
    <w:rsid w:val="00DF35D2"/>
    <w:rsid w:val="00FE702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F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link w:val="Char"/>
    <w:rsid w:val="00C55AFF"/>
    <w:pPr>
      <w:jc w:val="left"/>
    </w:pPr>
    <w:rPr>
      <w:color w:val="000000"/>
    </w:rPr>
  </w:style>
  <w:style w:type="character" w:customStyle="1" w:styleId="Char">
    <w:name w:val="Char"/>
    <w:basedOn w:val="DefaultParagraphFont"/>
    <w:link w:val="BodyText"/>
    <w:rsid w:val="00C55AFF"/>
    <w:rPr>
      <w:color w:val="000000"/>
      <w:sz w:val="24"/>
      <w:szCs w:val="24"/>
      <w:rtl w:val="0"/>
      <w:lang w:val="sk-SK" w:bidi="ar-SA"/>
    </w:rPr>
  </w:style>
  <w:style w:type="paragraph" w:customStyle="1" w:styleId="Zkladntext">
    <w:name w:val="Základní text"/>
    <w:rsid w:val="00C55AF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styleId="BodyTextIndent">
    <w:name w:val="Body Text Indent"/>
    <w:basedOn w:val="Normal"/>
    <w:rsid w:val="00C55AFF"/>
    <w:pPr>
      <w:spacing w:after="120"/>
      <w:ind w:left="283"/>
      <w:jc w:val="left"/>
    </w:pPr>
  </w:style>
  <w:style w:type="character" w:styleId="Strong">
    <w:name w:val="Strong"/>
    <w:basedOn w:val="DefaultParagraphFont"/>
    <w:uiPriority w:val="22"/>
    <w:qFormat/>
    <w:rsid w:val="00C55AFF"/>
    <w:rPr>
      <w:b/>
      <w:bCs/>
      <w:rtl w:val="0"/>
    </w:rPr>
  </w:style>
  <w:style w:type="paragraph" w:styleId="Title">
    <w:name w:val="Title"/>
    <w:basedOn w:val="Normal"/>
    <w:uiPriority w:val="10"/>
    <w:qFormat/>
    <w:rsid w:val="00C55AFF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C55AFF"/>
    <w:rPr>
      <w:i/>
      <w:iCs/>
      <w:rtl w:val="0"/>
    </w:rPr>
  </w:style>
  <w:style w:type="paragraph" w:styleId="BodyTextIndent2">
    <w:name w:val="Body Text Indent 2"/>
    <w:basedOn w:val="Normal"/>
    <w:rsid w:val="00AB6BFA"/>
    <w:pPr>
      <w:spacing w:after="120" w:line="480" w:lineRule="auto"/>
      <w:ind w:left="283"/>
      <w:jc w:val="left"/>
    </w:pPr>
  </w:style>
  <w:style w:type="paragraph" w:styleId="Footer">
    <w:name w:val="footer"/>
    <w:basedOn w:val="Normal"/>
    <w:rsid w:val="00DF35D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F35D2"/>
  </w:style>
  <w:style w:type="paragraph" w:styleId="Header">
    <w:name w:val="header"/>
    <w:basedOn w:val="Normal"/>
    <w:rsid w:val="00DF35D2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1264</Words>
  <Characters>7209</Characters>
  <Application>Microsoft Office Word</Application>
  <DocSecurity>0</DocSecurity>
  <Lines>0</Lines>
  <Paragraphs>0</Paragraphs>
  <ScaleCrop>false</ScaleCrop>
  <Company>MF_SR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jdubenova</dc:creator>
  <cp:lastModifiedBy>;</cp:lastModifiedBy>
  <cp:revision>2</cp:revision>
  <cp:lastPrinted>2008-08-22T06:27:00Z</cp:lastPrinted>
  <dcterms:created xsi:type="dcterms:W3CDTF">2008-09-30T05:55:00Z</dcterms:created>
  <dcterms:modified xsi:type="dcterms:W3CDTF">2008-09-30T05:55:00Z</dcterms:modified>
</cp:coreProperties>
</file>