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1400B" w:rsidP="0081400B">
      <w:pPr>
        <w:pStyle w:val="BodyText2"/>
        <w:bidi w:val="0"/>
        <w:snapToGrid/>
        <w:rPr>
          <w:rFonts w:cs="Arial"/>
          <w:caps/>
          <w:sz w:val="28"/>
          <w:szCs w:val="28"/>
        </w:rPr>
      </w:pPr>
      <w:r w:rsidR="008C5F2A">
        <w:rPr>
          <w:rFonts w:cs="Arial"/>
          <w:caps/>
          <w:sz w:val="28"/>
          <w:szCs w:val="28"/>
        </w:rPr>
        <w:t>Národná  rada  Slovenskej  republiky</w:t>
      </w:r>
    </w:p>
    <w:p w:rsidR="008C5F2A" w:rsidRPr="008C5F2A" w:rsidP="0081400B">
      <w:pPr>
        <w:pStyle w:val="BodyText2"/>
        <w:bidi w:val="0"/>
        <w:snapToGrid/>
        <w:rPr>
          <w:rFonts w:cs="Arial"/>
          <w:sz w:val="24"/>
          <w:szCs w:val="24"/>
        </w:rPr>
      </w:pPr>
      <w:r w:rsidRPr="008C5F2A">
        <w:rPr>
          <w:rFonts w:cs="Arial"/>
          <w:sz w:val="24"/>
          <w:szCs w:val="24"/>
        </w:rPr>
        <w:t>IV.</w:t>
      </w:r>
      <w:r>
        <w:rPr>
          <w:rFonts w:cs="Arial"/>
          <w:sz w:val="24"/>
          <w:szCs w:val="24"/>
        </w:rPr>
        <w:t xml:space="preserve"> </w:t>
      </w:r>
      <w:r w:rsidRPr="008C5F2A">
        <w:rPr>
          <w:rFonts w:cs="Arial"/>
          <w:sz w:val="24"/>
          <w:szCs w:val="24"/>
        </w:rPr>
        <w:t>volebné obdobie</w:t>
      </w:r>
    </w:p>
    <w:p w:rsidR="009E5046" w:rsidP="0081400B">
      <w:pPr>
        <w:pStyle w:val="BodyText2"/>
        <w:bidi w:val="0"/>
        <w:snapToGrid/>
        <w:rPr>
          <w:rFonts w:cs="Arial"/>
          <w:szCs w:val="22"/>
        </w:rPr>
      </w:pPr>
      <w:r w:rsidRPr="00BC4013" w:rsidR="0081400B">
        <w:rPr>
          <w:rFonts w:cs="Arial"/>
          <w:szCs w:val="22"/>
        </w:rPr>
        <w:t xml:space="preserve"> </w:t>
      </w:r>
    </w:p>
    <w:p w:rsidR="009E5046" w:rsidP="0081400B">
      <w:pPr>
        <w:pStyle w:val="BodyText2"/>
        <w:bidi w:val="0"/>
        <w:snapToGrid/>
        <w:rPr>
          <w:rFonts w:cs="Arial"/>
          <w:szCs w:val="22"/>
        </w:rPr>
      </w:pPr>
    </w:p>
    <w:p w:rsidR="009E5046" w:rsidRPr="00A429E5" w:rsidP="0081400B">
      <w:pPr>
        <w:pStyle w:val="BodyText2"/>
        <w:bidi w:val="0"/>
        <w:snapToGrid/>
        <w:rPr>
          <w:rFonts w:cs="Arial"/>
          <w:sz w:val="32"/>
          <w:szCs w:val="32"/>
        </w:rPr>
      </w:pPr>
      <w:r w:rsidRPr="00A429E5" w:rsidR="00A429E5">
        <w:rPr>
          <w:rFonts w:cs="Arial"/>
          <w:sz w:val="32"/>
          <w:szCs w:val="32"/>
        </w:rPr>
        <w:t>792</w:t>
      </w:r>
    </w:p>
    <w:p w:rsidR="009E5046" w:rsidP="0081400B">
      <w:pPr>
        <w:pStyle w:val="BodyText2"/>
        <w:bidi w:val="0"/>
        <w:snapToGrid/>
        <w:rPr>
          <w:rFonts w:cs="Arial"/>
          <w:sz w:val="28"/>
          <w:szCs w:val="28"/>
        </w:rPr>
      </w:pPr>
    </w:p>
    <w:p w:rsidR="009E5046" w:rsidP="0081400B">
      <w:pPr>
        <w:pStyle w:val="BodyText2"/>
        <w:bidi w:val="0"/>
        <w:snapToGrid/>
        <w:rPr>
          <w:rFonts w:cs="Arial"/>
          <w:sz w:val="24"/>
          <w:szCs w:val="24"/>
        </w:rPr>
      </w:pPr>
      <w:r>
        <w:rPr>
          <w:rFonts w:cs="Arial"/>
          <w:sz w:val="24"/>
          <w:szCs w:val="24"/>
        </w:rPr>
        <w:t>Vládny návrh</w:t>
      </w:r>
    </w:p>
    <w:p w:rsidR="0001291B" w:rsidP="0081400B">
      <w:pPr>
        <w:pStyle w:val="BodyText2"/>
        <w:bidi w:val="0"/>
        <w:snapToGrid/>
        <w:rPr>
          <w:rFonts w:cs="Arial"/>
          <w:szCs w:val="22"/>
        </w:rPr>
      </w:pPr>
    </w:p>
    <w:p w:rsidR="0001291B" w:rsidP="0001291B">
      <w:pPr>
        <w:pStyle w:val="BodyText2"/>
        <w:bidi w:val="0"/>
        <w:snapToGrid/>
        <w:rPr>
          <w:rFonts w:cs="Arial"/>
          <w:szCs w:val="22"/>
        </w:rPr>
      </w:pPr>
      <w:r>
        <w:rPr>
          <w:rFonts w:cs="Arial"/>
          <w:szCs w:val="22"/>
        </w:rPr>
        <w:t>Zákon</w:t>
      </w:r>
    </w:p>
    <w:p w:rsidR="0001291B" w:rsidP="0001291B">
      <w:pPr>
        <w:pStyle w:val="BodyText2"/>
        <w:bidi w:val="0"/>
        <w:snapToGrid/>
        <w:rPr>
          <w:rFonts w:cs="Arial"/>
          <w:szCs w:val="22"/>
        </w:rPr>
      </w:pPr>
      <w:r>
        <w:rPr>
          <w:rFonts w:cs="Arial"/>
          <w:szCs w:val="22"/>
        </w:rPr>
        <w:t>z ..................................................... 2008,</w:t>
      </w:r>
    </w:p>
    <w:p w:rsidR="0001291B" w:rsidP="0001291B">
      <w:pPr>
        <w:pStyle w:val="BodyText2"/>
        <w:bidi w:val="0"/>
        <w:snapToGrid/>
        <w:jc w:val="both"/>
        <w:rPr>
          <w:rFonts w:cs="Arial"/>
          <w:szCs w:val="22"/>
        </w:rPr>
      </w:pPr>
      <w:r>
        <w:rPr>
          <w:rFonts w:cs="Arial"/>
          <w:szCs w:val="22"/>
        </w:rPr>
        <w:t>ktorým sa dopĺňa zákon č. 43/2004 Z. z. o starobnom dôchodkovom sporení  a o zmene a doplnení niektorých zákonov v znení neskorších predpisov a ktorým sa dopĺňa zákon č. 461/2003 Z. z. o sociálnom poistení v znení neskorších predpisov</w:t>
      </w:r>
    </w:p>
    <w:p w:rsidR="0001291B" w:rsidP="0001291B">
      <w:pPr>
        <w:pStyle w:val="BodyText2"/>
        <w:bidi w:val="0"/>
        <w:snapToGrid/>
        <w:jc w:val="both"/>
        <w:rPr>
          <w:rFonts w:cs="Arial"/>
          <w:szCs w:val="22"/>
        </w:rPr>
      </w:pPr>
    </w:p>
    <w:p w:rsidR="0001291B" w:rsidP="0001291B">
      <w:pPr>
        <w:pStyle w:val="BodyText2"/>
        <w:bidi w:val="0"/>
        <w:snapToGrid/>
        <w:ind w:firstLine="708"/>
        <w:jc w:val="both"/>
        <w:rPr>
          <w:rFonts w:cs="Arial"/>
          <w:b w:val="0"/>
          <w:szCs w:val="22"/>
        </w:rPr>
      </w:pPr>
      <w:r>
        <w:rPr>
          <w:rFonts w:cs="Arial"/>
          <w:b w:val="0"/>
          <w:szCs w:val="22"/>
        </w:rPr>
        <w:t>Národná rada Slovenskej republiky sa uzniesla na tomto zákone:</w:t>
      </w:r>
    </w:p>
    <w:p w:rsidR="0001291B" w:rsidP="0001291B">
      <w:pPr>
        <w:bidi w:val="0"/>
        <w:spacing w:before="120" w:line="360" w:lineRule="auto"/>
        <w:jc w:val="center"/>
        <w:rPr>
          <w:rFonts w:ascii="Arial" w:hAnsi="Arial" w:cs="Arial"/>
          <w:b/>
          <w:sz w:val="22"/>
          <w:szCs w:val="22"/>
        </w:rPr>
      </w:pPr>
    </w:p>
    <w:p w:rsidR="0001291B" w:rsidP="0001291B">
      <w:pPr>
        <w:bidi w:val="0"/>
        <w:spacing w:before="120" w:line="360" w:lineRule="auto"/>
        <w:jc w:val="center"/>
        <w:rPr>
          <w:rFonts w:ascii="Arial" w:hAnsi="Arial" w:cs="Arial"/>
          <w:b/>
          <w:sz w:val="22"/>
          <w:szCs w:val="22"/>
        </w:rPr>
      </w:pPr>
      <w:r>
        <w:rPr>
          <w:rFonts w:ascii="Arial" w:hAnsi="Arial" w:cs="Arial"/>
          <w:b/>
          <w:sz w:val="22"/>
          <w:szCs w:val="22"/>
        </w:rPr>
        <w:t>Čl. I</w:t>
      </w:r>
    </w:p>
    <w:p w:rsidR="0001291B" w:rsidP="0001291B">
      <w:pPr>
        <w:bidi w:val="0"/>
        <w:spacing w:before="120" w:line="360" w:lineRule="auto"/>
        <w:jc w:val="both"/>
        <w:rPr>
          <w:rFonts w:ascii="Arial" w:hAnsi="Arial" w:cs="Arial"/>
          <w:sz w:val="22"/>
          <w:szCs w:val="22"/>
        </w:rPr>
      </w:pPr>
      <w:r>
        <w:rPr>
          <w:rFonts w:ascii="Arial" w:hAnsi="Arial" w:cs="Arial"/>
          <w:sz w:val="22"/>
          <w:szCs w:val="22"/>
        </w:rPr>
        <w:tab/>
        <w:t xml:space="preserve">Zákon č. 43/2004 Z. z. o starobnom dôchodkovom sporení a o zmene a doplnení niektorých zákonov v znení zákona č. 186/2004 Z. z., zákona č. 439/2004 Z. z., zákona         č. 721/2004 Z. z., zákona č. 747/2004 Z. z., zákona č. 310/2006 Z. z., zákona č. 644/2006    Z. z., zákona č. 677/2006 Z. z., zákona č. 209/2007 Z. z., zákona č. 519/2007 Z. z., zákona       č. 555/2007 Z. z., zákona č. 659/2007 Z. z. a  zákona č. 62/2008 Z. z. sa dopĺňa takto: </w:t>
      </w:r>
    </w:p>
    <w:p w:rsidR="0001291B" w:rsidP="0001291B">
      <w:pPr>
        <w:bidi w:val="0"/>
        <w:spacing w:before="120" w:line="360" w:lineRule="auto"/>
        <w:rPr>
          <w:rFonts w:ascii="Arial" w:hAnsi="Arial" w:cs="Arial"/>
          <w:color w:val="000000"/>
          <w:sz w:val="22"/>
          <w:szCs w:val="22"/>
        </w:rPr>
      </w:pPr>
    </w:p>
    <w:p w:rsidR="0001291B" w:rsidP="0001291B">
      <w:pPr>
        <w:bidi w:val="0"/>
        <w:spacing w:before="120" w:line="360" w:lineRule="auto"/>
        <w:ind w:firstLine="708"/>
        <w:jc w:val="both"/>
        <w:rPr>
          <w:rFonts w:ascii="Arial" w:hAnsi="Arial" w:cs="Arial"/>
          <w:color w:val="000000"/>
          <w:sz w:val="22"/>
          <w:szCs w:val="22"/>
        </w:rPr>
      </w:pPr>
      <w:r>
        <w:rPr>
          <w:rFonts w:ascii="Arial" w:hAnsi="Arial" w:cs="Arial"/>
          <w:color w:val="000000"/>
          <w:sz w:val="22"/>
          <w:szCs w:val="22"/>
        </w:rPr>
        <w:t>Za § 123k sa vkladajú § 123l a 123m, ktoré vrátane nadpisu znejú:</w:t>
      </w:r>
    </w:p>
    <w:p w:rsidR="0001291B" w:rsidP="0001291B">
      <w:pPr>
        <w:bidi w:val="0"/>
        <w:spacing w:before="120" w:line="360" w:lineRule="auto"/>
        <w:jc w:val="center"/>
        <w:rPr>
          <w:rFonts w:ascii="Arial" w:hAnsi="Arial" w:cs="Arial"/>
          <w:b/>
          <w:sz w:val="22"/>
          <w:szCs w:val="22"/>
        </w:rPr>
      </w:pPr>
      <w:r>
        <w:rPr>
          <w:rFonts w:ascii="Arial" w:hAnsi="Arial" w:cs="Arial"/>
          <w:b/>
          <w:color w:val="000000"/>
          <w:sz w:val="22"/>
          <w:szCs w:val="22"/>
        </w:rPr>
        <w:t>„Prechodné ustanovenia účinné od 15. novembra 2008</w:t>
      </w:r>
      <w:r>
        <w:rPr>
          <w:rFonts w:ascii="Arial" w:hAnsi="Arial" w:cs="Arial"/>
          <w:color w:val="000000"/>
          <w:sz w:val="22"/>
          <w:szCs w:val="22"/>
        </w:rPr>
        <w:br/>
      </w:r>
      <w:r>
        <w:rPr>
          <w:rFonts w:ascii="Arial" w:hAnsi="Arial" w:cs="Arial"/>
          <w:b/>
          <w:sz w:val="22"/>
          <w:szCs w:val="22"/>
        </w:rPr>
        <w:t>§ 123l</w:t>
      </w:r>
    </w:p>
    <w:p w:rsidR="0001291B" w:rsidP="0001291B">
      <w:pPr>
        <w:bidi w:val="0"/>
        <w:spacing w:before="120" w:line="360" w:lineRule="auto"/>
        <w:ind w:firstLine="708"/>
        <w:jc w:val="both"/>
        <w:rPr>
          <w:rFonts w:ascii="Arial" w:hAnsi="Arial" w:cs="Arial"/>
          <w:sz w:val="22"/>
          <w:szCs w:val="22"/>
        </w:rPr>
      </w:pPr>
      <w:r>
        <w:rPr>
          <w:rFonts w:ascii="Arial" w:hAnsi="Arial" w:cs="Arial"/>
          <w:sz w:val="22"/>
          <w:szCs w:val="22"/>
        </w:rPr>
        <w:t>Fyzická osoba, ktorá  k 15. novembru 2008 nie je sporiteľ, môže do 30. júna 2009 uzatvoriť zmluvu o starobnom dôchodkovom sporení.</w:t>
      </w:r>
    </w:p>
    <w:p w:rsidR="0001291B" w:rsidP="0001291B">
      <w:pPr>
        <w:bidi w:val="0"/>
        <w:spacing w:before="120" w:line="360" w:lineRule="auto"/>
        <w:jc w:val="center"/>
        <w:rPr>
          <w:rFonts w:ascii="Arial" w:hAnsi="Arial" w:cs="Arial"/>
          <w:b/>
          <w:sz w:val="22"/>
          <w:szCs w:val="22"/>
        </w:rPr>
      </w:pPr>
    </w:p>
    <w:p w:rsidR="0001291B" w:rsidP="0001291B">
      <w:pPr>
        <w:bidi w:val="0"/>
        <w:spacing w:before="120" w:line="360" w:lineRule="auto"/>
        <w:jc w:val="center"/>
        <w:rPr>
          <w:rFonts w:ascii="Arial" w:hAnsi="Arial" w:cs="Arial"/>
          <w:b/>
          <w:sz w:val="22"/>
          <w:szCs w:val="22"/>
        </w:rPr>
      </w:pPr>
      <w:r>
        <w:rPr>
          <w:rFonts w:ascii="Arial" w:hAnsi="Arial" w:cs="Arial"/>
          <w:b/>
          <w:sz w:val="22"/>
          <w:szCs w:val="22"/>
        </w:rPr>
        <w:t>§ 123m</w:t>
      </w:r>
    </w:p>
    <w:p w:rsidR="0001291B" w:rsidP="0001291B">
      <w:pPr>
        <w:tabs>
          <w:tab w:val="left" w:pos="720"/>
        </w:tabs>
        <w:bidi w:val="0"/>
        <w:spacing w:before="120" w:line="360" w:lineRule="auto"/>
        <w:jc w:val="both"/>
        <w:rPr>
          <w:rFonts w:ascii="Arial" w:hAnsi="Arial" w:cs="Arial"/>
          <w:color w:val="000000"/>
          <w:sz w:val="22"/>
          <w:szCs w:val="22"/>
        </w:rPr>
      </w:pPr>
      <w:r>
        <w:rPr>
          <w:rFonts w:ascii="Arial" w:hAnsi="Arial" w:cs="Arial"/>
          <w:color w:val="000000"/>
          <w:sz w:val="22"/>
          <w:szCs w:val="22"/>
        </w:rPr>
        <w:t xml:space="preserve">            (1) Sporiteľovi, ktorý pred 15. novembrom 2008 uzatvoril zmluvu o starobnom dôchodkovom sporení alebo ktorému Sociálna poisťovňa určila dôchodkovú správcovskú spoločnosť, zaniká účasť na starobnom dôchodkovom sporení od prvého vzniku tejto účasti, ak do 30. júna 2009 doručí Sociálnej poisťovni písomné oznámenie, ktorého obsahom je prejav vôle nebyť zúčastnený na starobnom dôchodkovom sporení.</w:t>
      </w:r>
    </w:p>
    <w:p w:rsidR="0001291B" w:rsidP="0001291B">
      <w:pPr>
        <w:tabs>
          <w:tab w:val="left" w:pos="720"/>
        </w:tabs>
        <w:bidi w:val="0"/>
        <w:spacing w:before="120" w:line="360" w:lineRule="auto"/>
        <w:jc w:val="both"/>
        <w:rPr>
          <w:rFonts w:ascii="Arial" w:hAnsi="Arial" w:cs="Arial"/>
          <w:color w:val="000000"/>
          <w:sz w:val="22"/>
          <w:szCs w:val="22"/>
        </w:rPr>
      </w:pPr>
      <w:r>
        <w:rPr>
          <w:rFonts w:ascii="Arial" w:hAnsi="Arial" w:cs="Arial"/>
          <w:color w:val="000000"/>
          <w:sz w:val="22"/>
          <w:szCs w:val="22"/>
        </w:rPr>
        <w:t xml:space="preserve">            (2) Doručením písomného oznámenia podľa odseku 1 zaniká zmluva o starobnom dôchodkovom sporení.</w:t>
      </w:r>
    </w:p>
    <w:p w:rsidR="0001291B" w:rsidP="0001291B">
      <w:pPr>
        <w:bidi w:val="0"/>
        <w:spacing w:before="120" w:line="360" w:lineRule="auto"/>
        <w:ind w:firstLine="708"/>
        <w:jc w:val="both"/>
        <w:rPr>
          <w:rFonts w:ascii="Arial" w:hAnsi="Arial" w:cs="Arial"/>
          <w:color w:val="000000"/>
          <w:sz w:val="22"/>
          <w:szCs w:val="22"/>
        </w:rPr>
      </w:pPr>
      <w:r>
        <w:rPr>
          <w:rFonts w:ascii="Arial" w:hAnsi="Arial" w:cs="Arial"/>
          <w:color w:val="000000"/>
          <w:sz w:val="22"/>
          <w:szCs w:val="22"/>
        </w:rPr>
        <w:t xml:space="preserve">(3) Sociálna poisťovňa je povinná bez zbytočného odkladu po doručení písomného oznámenia podľa odseku 1 oznámiť dôchodkovej správcovskej spoločnosti zánik zmluvy o starobnom dôchodkovom sporení, ak sporiteľ uzatvoril túto zmluvu,  alebo zánik účasti na starobnom dôchodkovom sporení, ak sporiteľovi Sociálna poisťovňa určila dôchodkovú správcovskú spoločnosť. Dôchodková správcovská spoločnosť je povinná bez zbytočného odkladu odo dňa oznámenia Sociálnej poisťovne podľa prvej vety previesť z bežného účtu dôchodkového fondu na účet Sociálnej poisťovne v Štátnej pokladnici sumu zodpovedajúcu aktuálnej hodnote osobného dôchodkového účtu ku dňu, ktorý predchádza dňu prevodu.“. </w:t>
      </w:r>
    </w:p>
    <w:p w:rsidR="0001291B" w:rsidP="0001291B">
      <w:pPr>
        <w:pStyle w:val="BodyText2"/>
        <w:bidi w:val="0"/>
        <w:snapToGrid/>
        <w:jc w:val="both"/>
        <w:rPr>
          <w:rFonts w:cs="Arial"/>
          <w:szCs w:val="22"/>
        </w:rPr>
      </w:pPr>
    </w:p>
    <w:p w:rsidR="0001291B" w:rsidP="0001291B">
      <w:pPr>
        <w:pStyle w:val="BodyText2"/>
        <w:bidi w:val="0"/>
        <w:snapToGrid/>
        <w:rPr>
          <w:rFonts w:cs="Arial"/>
          <w:szCs w:val="22"/>
        </w:rPr>
      </w:pPr>
      <w:r>
        <w:rPr>
          <w:rFonts w:cs="Arial"/>
          <w:szCs w:val="22"/>
        </w:rPr>
        <w:t>Čl. II</w:t>
      </w:r>
    </w:p>
    <w:p w:rsidR="0001291B" w:rsidP="0001291B">
      <w:pPr>
        <w:pStyle w:val="BodyText2"/>
        <w:bidi w:val="0"/>
        <w:snapToGrid/>
        <w:ind w:firstLine="708"/>
        <w:jc w:val="both"/>
        <w:rPr>
          <w:rFonts w:cs="Arial"/>
          <w:b w:val="0"/>
          <w:szCs w:val="22"/>
        </w:rPr>
      </w:pPr>
      <w:r>
        <w:rPr>
          <w:rFonts w:cs="Arial"/>
          <w:b w:val="0"/>
          <w:szCs w:val="22"/>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a  nálezu Ústavného súdu Slovenskej republiky č. 204/2008 Z. z.  sa dopĺňa takto:</w:t>
      </w:r>
    </w:p>
    <w:p w:rsidR="0001291B" w:rsidP="0001291B">
      <w:pPr>
        <w:pStyle w:val="BodyText2"/>
        <w:bidi w:val="0"/>
        <w:snapToGrid/>
        <w:ind w:firstLine="708"/>
        <w:jc w:val="both"/>
        <w:rPr>
          <w:rFonts w:cs="Arial"/>
          <w:b w:val="0"/>
          <w:szCs w:val="22"/>
        </w:rPr>
      </w:pPr>
    </w:p>
    <w:p w:rsidR="0001291B" w:rsidP="0001291B">
      <w:pPr>
        <w:pStyle w:val="BodyText2"/>
        <w:bidi w:val="0"/>
        <w:snapToGrid/>
        <w:ind w:firstLine="708"/>
        <w:jc w:val="both"/>
        <w:rPr>
          <w:rFonts w:cs="Arial"/>
          <w:b w:val="0"/>
          <w:szCs w:val="22"/>
        </w:rPr>
      </w:pPr>
      <w:r>
        <w:rPr>
          <w:rFonts w:cs="Arial"/>
          <w:b w:val="0"/>
          <w:szCs w:val="22"/>
        </w:rPr>
        <w:t>Za § 293ar sa vkladajú § 293as a 293at, ktoré vrátane nadpisu znejú:</w:t>
      </w:r>
    </w:p>
    <w:p w:rsidR="0001291B" w:rsidP="0001291B">
      <w:pPr>
        <w:bidi w:val="0"/>
        <w:spacing w:before="120" w:line="360" w:lineRule="auto"/>
        <w:jc w:val="center"/>
        <w:rPr>
          <w:rFonts w:ascii="Arial" w:hAnsi="Arial" w:cs="Arial"/>
          <w:b/>
          <w:sz w:val="22"/>
          <w:szCs w:val="22"/>
        </w:rPr>
      </w:pPr>
      <w:r>
        <w:rPr>
          <w:rFonts w:ascii="Arial" w:hAnsi="Arial" w:cs="Arial"/>
          <w:b/>
          <w:sz w:val="22"/>
          <w:szCs w:val="22"/>
        </w:rPr>
        <w:t>„Prechodné ustanovenia účinné od 15. novembra 2008</w:t>
      </w:r>
    </w:p>
    <w:p w:rsidR="0001291B" w:rsidP="0001291B">
      <w:pPr>
        <w:bidi w:val="0"/>
        <w:spacing w:before="120" w:line="360" w:lineRule="auto"/>
        <w:jc w:val="center"/>
        <w:rPr>
          <w:rFonts w:ascii="Arial" w:hAnsi="Arial" w:cs="Arial"/>
          <w:b/>
          <w:sz w:val="22"/>
          <w:szCs w:val="22"/>
        </w:rPr>
      </w:pPr>
      <w:r>
        <w:rPr>
          <w:rFonts w:ascii="Arial" w:hAnsi="Arial" w:cs="Arial"/>
          <w:b/>
          <w:sz w:val="22"/>
          <w:szCs w:val="22"/>
        </w:rPr>
        <w:t>§ 293as</w:t>
      </w:r>
    </w:p>
    <w:p w:rsidR="0001291B" w:rsidP="0001291B">
      <w:pPr>
        <w:bidi w:val="0"/>
        <w:spacing w:before="120" w:line="360" w:lineRule="auto"/>
        <w:ind w:firstLine="720"/>
        <w:jc w:val="both"/>
        <w:rPr>
          <w:rFonts w:ascii="Arial" w:hAnsi="Arial" w:cs="Arial"/>
          <w:color w:val="000000"/>
          <w:sz w:val="22"/>
          <w:szCs w:val="22"/>
        </w:rPr>
      </w:pPr>
      <w:r>
        <w:rPr>
          <w:rFonts w:ascii="Arial" w:hAnsi="Arial" w:cs="Arial"/>
          <w:color w:val="000000"/>
          <w:sz w:val="22"/>
          <w:szCs w:val="22"/>
        </w:rPr>
        <w:t>(1) Suma podľa osobitného predpisu</w:t>
      </w:r>
      <w:r>
        <w:rPr>
          <w:rFonts w:ascii="Arial" w:hAnsi="Arial" w:cs="Arial"/>
          <w:color w:val="000000"/>
          <w:sz w:val="22"/>
          <w:szCs w:val="22"/>
          <w:vertAlign w:val="superscript"/>
        </w:rPr>
        <w:t>118)</w:t>
      </w:r>
      <w:r>
        <w:rPr>
          <w:rFonts w:ascii="Arial" w:hAnsi="Arial" w:cs="Arial"/>
          <w:color w:val="000000"/>
          <w:sz w:val="22"/>
          <w:szCs w:val="22"/>
        </w:rPr>
        <w:t xml:space="preserve">  prevedená dôchodkovou správcovskou spoločnosťou na účet Sociálnej poisťovne v Štátnej pokladnici za poistenca, ktorému zanikla  účasť na starobnom dôchodkovom sporení podľa osobitného predpisu,</w:t>
      </w:r>
      <w:r>
        <w:rPr>
          <w:rFonts w:ascii="Arial" w:hAnsi="Arial" w:cs="Arial"/>
          <w:color w:val="000000"/>
          <w:sz w:val="22"/>
          <w:szCs w:val="22"/>
          <w:vertAlign w:val="superscript"/>
        </w:rPr>
        <w:t>118)</w:t>
      </w:r>
      <w:r>
        <w:rPr>
          <w:rFonts w:ascii="Arial" w:hAnsi="Arial" w:cs="Arial"/>
          <w:color w:val="000000"/>
          <w:sz w:val="22"/>
          <w:szCs w:val="22"/>
        </w:rPr>
        <w:t xml:space="preserve">  sa považuje za poistné zaplatené na starobné poistenie za obdobie jeho účasti na starobnom dôchodkovom sporení.</w:t>
      </w:r>
    </w:p>
    <w:p w:rsidR="0001291B" w:rsidP="0001291B">
      <w:pPr>
        <w:tabs>
          <w:tab w:val="left" w:pos="720"/>
        </w:tabs>
        <w:bidi w:val="0"/>
        <w:spacing w:before="120" w:line="360" w:lineRule="auto"/>
        <w:ind w:firstLine="192"/>
        <w:jc w:val="both"/>
        <w:rPr>
          <w:rFonts w:ascii="Arial" w:hAnsi="Arial" w:cs="Arial"/>
          <w:color w:val="000000"/>
          <w:sz w:val="22"/>
          <w:szCs w:val="22"/>
        </w:rPr>
      </w:pPr>
      <w:r>
        <w:rPr>
          <w:rFonts w:ascii="Arial" w:hAnsi="Arial" w:cs="Arial"/>
          <w:color w:val="000000"/>
          <w:sz w:val="22"/>
          <w:szCs w:val="22"/>
        </w:rPr>
        <w:t xml:space="preserve">            (2) Starobný dôchodok a predčasný starobný dôchodok poistenca, za ktorého bola prevedená suma podľa odseku 1, sa neznižuje za obdobie starobného dôchodkového sporenia.</w:t>
      </w:r>
    </w:p>
    <w:p w:rsidR="0001291B" w:rsidP="0001291B">
      <w:pPr>
        <w:bidi w:val="0"/>
        <w:spacing w:before="120" w:line="360" w:lineRule="auto"/>
        <w:jc w:val="center"/>
        <w:rPr>
          <w:rFonts w:ascii="Arial" w:hAnsi="Arial" w:cs="Arial"/>
          <w:b/>
          <w:sz w:val="22"/>
          <w:szCs w:val="22"/>
        </w:rPr>
      </w:pPr>
      <w:r>
        <w:rPr>
          <w:rFonts w:ascii="Arial" w:hAnsi="Arial" w:cs="Arial"/>
          <w:b/>
          <w:sz w:val="22"/>
          <w:szCs w:val="22"/>
        </w:rPr>
        <w:t>§ 293at</w:t>
      </w:r>
    </w:p>
    <w:p w:rsidR="0001291B" w:rsidP="0001291B">
      <w:pPr>
        <w:tabs>
          <w:tab w:val="left" w:pos="720"/>
        </w:tabs>
        <w:bidi w:val="0"/>
        <w:spacing w:before="120" w:line="360" w:lineRule="auto"/>
        <w:jc w:val="both"/>
        <w:rPr>
          <w:rFonts w:ascii="Arial" w:hAnsi="Arial" w:cs="Arial"/>
          <w:color w:val="000000"/>
          <w:sz w:val="22"/>
          <w:szCs w:val="22"/>
        </w:rPr>
      </w:pPr>
      <w:r>
        <w:rPr>
          <w:rFonts w:ascii="Arial" w:hAnsi="Arial" w:cs="Arial"/>
          <w:color w:val="000000"/>
          <w:sz w:val="22"/>
          <w:szCs w:val="22"/>
        </w:rPr>
        <w:tab/>
        <w:t xml:space="preserve">Správny fond sa tvorí najviac vo výške 3 % aj zo sumy, ktorá sa podľa § 293as ods. 1 považuje za poistné zaplatené na starobné poistenie.“.  </w:t>
      </w:r>
    </w:p>
    <w:p w:rsidR="0001291B" w:rsidP="0001291B">
      <w:pPr>
        <w:tabs>
          <w:tab w:val="left" w:pos="720"/>
        </w:tabs>
        <w:bidi w:val="0"/>
        <w:spacing w:before="120" w:line="360" w:lineRule="auto"/>
        <w:jc w:val="both"/>
        <w:rPr>
          <w:rFonts w:ascii="Arial" w:hAnsi="Arial" w:cs="Arial"/>
          <w:color w:val="000000"/>
          <w:sz w:val="22"/>
          <w:szCs w:val="22"/>
        </w:rPr>
      </w:pPr>
      <w:r>
        <w:rPr>
          <w:rFonts w:ascii="Arial" w:hAnsi="Arial" w:cs="Arial"/>
          <w:color w:val="000000"/>
          <w:sz w:val="22"/>
          <w:szCs w:val="22"/>
        </w:rPr>
        <w:t>Poznámka pod čiarou k odkazu 118 znie:</w:t>
      </w:r>
    </w:p>
    <w:p w:rsidR="0001291B" w:rsidP="0001291B">
      <w:pPr>
        <w:tabs>
          <w:tab w:val="left" w:pos="720"/>
        </w:tabs>
        <w:bidi w:val="0"/>
        <w:spacing w:before="120" w:line="360" w:lineRule="auto"/>
        <w:jc w:val="both"/>
        <w:rPr>
          <w:rFonts w:ascii="Arial" w:hAnsi="Arial" w:cs="Arial"/>
          <w:color w:val="000000"/>
          <w:sz w:val="22"/>
          <w:szCs w:val="22"/>
        </w:rPr>
      </w:pPr>
      <w:r>
        <w:rPr>
          <w:rFonts w:ascii="Arial" w:hAnsi="Arial" w:cs="Arial"/>
          <w:color w:val="000000"/>
          <w:sz w:val="22"/>
          <w:szCs w:val="22"/>
        </w:rPr>
        <w:t xml:space="preserve">„118) § 123m zákona č. 43/2004 Z. z. v znení zákona č. .../2008 Z. z.“.   </w:t>
      </w:r>
    </w:p>
    <w:p w:rsidR="0001291B" w:rsidP="0001291B">
      <w:pPr>
        <w:bidi w:val="0"/>
        <w:spacing w:before="120" w:line="360" w:lineRule="auto"/>
        <w:jc w:val="both"/>
        <w:rPr>
          <w:rFonts w:ascii="Arial" w:hAnsi="Arial" w:cs="Arial"/>
          <w:color w:val="000000"/>
          <w:sz w:val="22"/>
          <w:szCs w:val="22"/>
        </w:rPr>
      </w:pPr>
    </w:p>
    <w:p w:rsidR="0001291B" w:rsidP="0001291B">
      <w:pPr>
        <w:bidi w:val="0"/>
        <w:spacing w:before="120" w:line="360" w:lineRule="auto"/>
        <w:jc w:val="both"/>
        <w:rPr>
          <w:rFonts w:ascii="Arial" w:hAnsi="Arial" w:cs="Arial"/>
          <w:sz w:val="22"/>
          <w:szCs w:val="22"/>
        </w:rPr>
      </w:pPr>
    </w:p>
    <w:p w:rsidR="0001291B" w:rsidP="0001291B">
      <w:pPr>
        <w:bidi w:val="0"/>
        <w:spacing w:before="120" w:line="360" w:lineRule="auto"/>
        <w:jc w:val="center"/>
        <w:rPr>
          <w:rFonts w:ascii="Arial" w:hAnsi="Arial" w:cs="Arial"/>
          <w:b/>
          <w:sz w:val="22"/>
          <w:szCs w:val="22"/>
        </w:rPr>
      </w:pPr>
      <w:r>
        <w:rPr>
          <w:rFonts w:ascii="Arial" w:hAnsi="Arial" w:cs="Arial"/>
          <w:b/>
          <w:sz w:val="22"/>
          <w:szCs w:val="22"/>
        </w:rPr>
        <w:t>Čl. III</w:t>
      </w:r>
    </w:p>
    <w:p w:rsidR="0001291B" w:rsidP="0001291B">
      <w:pPr>
        <w:bidi w:val="0"/>
        <w:spacing w:before="120" w:line="360" w:lineRule="auto"/>
        <w:jc w:val="center"/>
        <w:rPr>
          <w:rFonts w:ascii="Arial" w:hAnsi="Arial" w:cs="Arial"/>
          <w:b/>
          <w:sz w:val="22"/>
          <w:szCs w:val="22"/>
        </w:rPr>
      </w:pPr>
      <w:r>
        <w:rPr>
          <w:rFonts w:ascii="Arial" w:hAnsi="Arial" w:cs="Arial"/>
          <w:b/>
          <w:sz w:val="22"/>
          <w:szCs w:val="22"/>
        </w:rPr>
        <w:t>Účinnosť</w:t>
      </w:r>
    </w:p>
    <w:p w:rsidR="0081400B" w:rsidRPr="0001291B" w:rsidP="0001291B">
      <w:pPr>
        <w:pStyle w:val="BodyText2"/>
        <w:bidi w:val="0"/>
        <w:snapToGrid/>
        <w:ind w:firstLine="708"/>
        <w:jc w:val="both"/>
        <w:rPr>
          <w:rFonts w:cs="Arial"/>
          <w:b w:val="0"/>
          <w:szCs w:val="22"/>
        </w:rPr>
      </w:pPr>
      <w:r w:rsidRPr="0001291B" w:rsidR="0001291B">
        <w:rPr>
          <w:rFonts w:cs="Arial"/>
          <w:b w:val="0"/>
          <w:szCs w:val="22"/>
        </w:rPr>
        <w:t xml:space="preserve">Tento zákon nadobúda účinnosť 15. novembra 2008.   </w:t>
      </w:r>
      <w:r w:rsidRPr="0001291B">
        <w:rPr>
          <w:rFonts w:cs="Arial"/>
          <w:b w:val="0"/>
          <w:szCs w:val="22"/>
        </w:rPr>
        <w:t xml:space="preserve">                        </w:t>
      </w:r>
    </w:p>
    <w:p w:rsidR="0001291B" w:rsidP="0081400B">
      <w:pPr>
        <w:pStyle w:val="BodyText2"/>
        <w:bidi w:val="0"/>
        <w:snapToGrid/>
        <w:rPr>
          <w:rFonts w:cs="Arial"/>
          <w:szCs w:val="22"/>
        </w:rPr>
      </w:pPr>
    </w:p>
    <w:p w:rsidR="0001291B" w:rsidP="0081400B">
      <w:pPr>
        <w:pStyle w:val="BodyText2"/>
        <w:bidi w:val="0"/>
        <w:snapToGrid/>
        <w:rPr>
          <w:rFonts w:cs="Arial"/>
          <w:szCs w:val="22"/>
        </w:rPr>
      </w:pPr>
    </w:p>
    <w:p w:rsidR="0001291B" w:rsidP="0081400B">
      <w:pPr>
        <w:pStyle w:val="BodyText2"/>
        <w:bidi w:val="0"/>
        <w:snapToGrid/>
        <w:rPr>
          <w:rFonts w:cs="Arial"/>
          <w:szCs w:val="22"/>
        </w:rPr>
      </w:pPr>
    </w:p>
    <w:p w:rsidR="0001291B" w:rsidP="0081400B">
      <w:pPr>
        <w:pStyle w:val="BodyText2"/>
        <w:bidi w:val="0"/>
        <w:snapToGrid/>
        <w:rPr>
          <w:rFonts w:cs="Arial"/>
          <w:szCs w:val="22"/>
        </w:rPr>
      </w:pPr>
    </w:p>
    <w:p w:rsidR="000E1477">
      <w:pPr>
        <w:bidi w:val="0"/>
        <w:rPr>
          <w:rFonts w:ascii="Times New Roman" w:hAnsi="Times New Roman"/>
        </w:rPr>
      </w:pPr>
    </w:p>
    <w:p w:rsidR="009E5046">
      <w:pPr>
        <w:bidi w:val="0"/>
        <w:rPr>
          <w:rFonts w:ascii="Times New Roman" w:hAnsi="Times New Roman"/>
        </w:rPr>
      </w:pPr>
    </w:p>
    <w:p w:rsidR="009E5046">
      <w:pPr>
        <w:bidi w:val="0"/>
        <w:rPr>
          <w:rFonts w:ascii="Times New Roman" w:hAnsi="Times New Roman"/>
        </w:rPr>
      </w:pPr>
    </w:p>
    <w:p w:rsidR="009E5046">
      <w:pPr>
        <w:bidi w:val="0"/>
        <w:rPr>
          <w:rFonts w:ascii="Times New Roman" w:hAnsi="Times New Roman"/>
        </w:rPr>
      </w:pPr>
    </w:p>
    <w:p w:rsidR="009E5046">
      <w:pPr>
        <w:bidi w:val="0"/>
        <w:rPr>
          <w:rFonts w:ascii="Times New Roman" w:hAnsi="Times New Roman"/>
        </w:rPr>
      </w:pPr>
    </w:p>
    <w:p w:rsidR="009E5046">
      <w:pPr>
        <w:bidi w:val="0"/>
        <w:rPr>
          <w:rFonts w:ascii="Times New Roman" w:hAnsi="Times New Roman"/>
        </w:rPr>
      </w:pPr>
    </w:p>
    <w:p w:rsidR="009E5046">
      <w:pPr>
        <w:bidi w:val="0"/>
        <w:rPr>
          <w:rFonts w:ascii="Times New Roman" w:hAnsi="Times New Roman"/>
        </w:rPr>
      </w:pPr>
    </w:p>
    <w:p w:rsidR="00213F71">
      <w:pPr>
        <w:bidi w:val="0"/>
        <w:rPr>
          <w:rFonts w:ascii="Times New Roman" w:hAnsi="Times New Roman"/>
        </w:rPr>
      </w:pPr>
    </w:p>
    <w:p w:rsidR="009E5046">
      <w:pPr>
        <w:bidi w:val="0"/>
        <w:rPr>
          <w:rFonts w:ascii="Times New Roman" w:hAnsi="Times New Roman"/>
        </w:rPr>
      </w:pPr>
    </w:p>
    <w:p w:rsidR="009E5046">
      <w:pPr>
        <w:bidi w:val="0"/>
        <w:rPr>
          <w:rFonts w:ascii="Times New Roman" w:hAnsi="Times New Roman"/>
        </w:rPr>
      </w:pPr>
    </w:p>
    <w:p w:rsidR="009E5046">
      <w:pPr>
        <w:bidi w:val="0"/>
        <w:rPr>
          <w:rFonts w:ascii="Times New Roman" w:hAnsi="Times New Roman"/>
        </w:rPr>
      </w:pPr>
    </w:p>
    <w:p w:rsidR="009E5046">
      <w:pPr>
        <w:bidi w:val="0"/>
        <w:rPr>
          <w:rFonts w:ascii="Times New Roman" w:hAnsi="Times New Roman"/>
        </w:rPr>
      </w:pPr>
    </w:p>
    <w:p w:rsidR="009E5046">
      <w:pPr>
        <w:bidi w:val="0"/>
        <w:rPr>
          <w:rFonts w:ascii="Times New Roman" w:hAnsi="Times New Roman"/>
        </w:rPr>
      </w:pPr>
    </w:p>
    <w:p w:rsidR="009E5046">
      <w:pPr>
        <w:bidi w:val="0"/>
        <w:rPr>
          <w:rFonts w:ascii="Times New Roman" w:hAnsi="Times New Roman"/>
        </w:rPr>
      </w:pPr>
    </w:p>
    <w:p w:rsidR="009E5046">
      <w:pPr>
        <w:bidi w:val="0"/>
        <w:rPr>
          <w:rFonts w:ascii="Times New Roman" w:hAnsi="Times New Roman"/>
        </w:rPr>
      </w:pPr>
    </w:p>
    <w:p w:rsidR="009E5046">
      <w:pPr>
        <w:bidi w:val="0"/>
        <w:rPr>
          <w:rFonts w:ascii="Times New Roman" w:hAnsi="Times New Roman"/>
        </w:rPr>
      </w:pPr>
    </w:p>
    <w:p w:rsidR="002B288B" w:rsidRPr="006B4681" w:rsidP="002B288B">
      <w:pPr>
        <w:bidi w:val="0"/>
        <w:spacing w:before="120" w:line="360" w:lineRule="auto"/>
        <w:jc w:val="center"/>
        <w:rPr>
          <w:rFonts w:ascii="Arial" w:hAnsi="Arial" w:cs="Arial"/>
          <w:b/>
          <w:spacing w:val="30"/>
          <w:sz w:val="22"/>
          <w:szCs w:val="22"/>
        </w:rPr>
      </w:pPr>
      <w:r w:rsidRPr="006B4681">
        <w:rPr>
          <w:rFonts w:ascii="Arial" w:hAnsi="Arial" w:cs="Arial"/>
          <w:b/>
          <w:caps/>
          <w:spacing w:val="30"/>
          <w:sz w:val="22"/>
          <w:szCs w:val="22"/>
        </w:rPr>
        <w:t>D</w:t>
      </w:r>
      <w:r>
        <w:rPr>
          <w:rFonts w:ascii="Arial" w:hAnsi="Arial" w:cs="Arial"/>
          <w:b/>
          <w:spacing w:val="30"/>
          <w:sz w:val="22"/>
          <w:szCs w:val="22"/>
        </w:rPr>
        <w:t>ôvodová správa</w:t>
      </w:r>
    </w:p>
    <w:p w:rsidR="002B288B" w:rsidRPr="006B4681" w:rsidP="002B288B">
      <w:pPr>
        <w:bidi w:val="0"/>
        <w:spacing w:before="120" w:line="360" w:lineRule="auto"/>
        <w:jc w:val="both"/>
        <w:rPr>
          <w:rFonts w:ascii="Arial" w:hAnsi="Arial" w:cs="Arial"/>
          <w:sz w:val="22"/>
          <w:szCs w:val="22"/>
        </w:rPr>
      </w:pPr>
    </w:p>
    <w:p w:rsidR="002B288B" w:rsidRPr="006B4681" w:rsidP="002B288B">
      <w:pPr>
        <w:bidi w:val="0"/>
        <w:spacing w:before="120" w:line="360" w:lineRule="auto"/>
        <w:jc w:val="both"/>
        <w:rPr>
          <w:rFonts w:ascii="Arial" w:hAnsi="Arial" w:cs="Arial"/>
          <w:b/>
          <w:sz w:val="22"/>
          <w:szCs w:val="22"/>
        </w:rPr>
      </w:pPr>
      <w:r w:rsidRPr="006B4681">
        <w:rPr>
          <w:rFonts w:ascii="Arial" w:hAnsi="Arial" w:cs="Arial"/>
          <w:b/>
          <w:sz w:val="22"/>
          <w:szCs w:val="22"/>
        </w:rPr>
        <w:t>A. Všeobecná časť</w:t>
      </w:r>
    </w:p>
    <w:p w:rsidR="002B288B" w:rsidRPr="002B288B" w:rsidP="002B288B">
      <w:pPr>
        <w:bidi w:val="0"/>
        <w:spacing w:before="120" w:line="360" w:lineRule="auto"/>
        <w:ind w:firstLine="708"/>
        <w:jc w:val="both"/>
        <w:rPr>
          <w:rStyle w:val="PlaceholderText"/>
          <w:rFonts w:ascii="Arial" w:hAnsi="Arial" w:cs="Arial"/>
          <w:color w:val="auto"/>
          <w:sz w:val="22"/>
          <w:szCs w:val="22"/>
        </w:rPr>
      </w:pPr>
      <w:r w:rsidRPr="002B288B">
        <w:rPr>
          <w:rStyle w:val="PlaceholderText"/>
          <w:rFonts w:ascii="Arial" w:hAnsi="Arial" w:cs="Arial"/>
          <w:color w:val="auto"/>
          <w:sz w:val="22"/>
          <w:szCs w:val="22"/>
        </w:rPr>
        <w:t>Návrh zákona, ktorým sa dopĺňa zákon č. 43/2004 Z. z. o starobnom dôchodkovom sporení a o zmene a doplnení niektorých zákonov v znení neskorších predpisov a ktorým sa dopĺňa zákon č. 461/2003 Z. z. o sociálnom poistení v znení neskorších predpisov sa predkladá  na základe uznesenia vlády Slovenskej republiky č.639/2008 zo dňa 20. septembra 2008 k Správe o dopadoch svetovej finančnej krízy na vybrané segmenty slovenského ekonomického systému. Účelom návrhu zákona je reagovať na vývoj situácie na svetových finančných trhoch a v tejto súvislosti umožniť sporiteľom zúčastneným v starobnom dôchodkovom sporení prehodnotiť svoje rozhodnutie a vystúpiť z tohto systému. Súčasne návrh zákona umožňuje prípadným záujemcom vstup do tzv. druhého piliera z dôvodu, že hmotné zabezpečenie dôchodkom aj z II. piliera je výlučne na slobodnom rozhodnutí poistenca.</w:t>
      </w:r>
    </w:p>
    <w:p w:rsidR="002B288B" w:rsidRPr="002B288B" w:rsidP="002B288B">
      <w:pPr>
        <w:bidi w:val="0"/>
        <w:spacing w:before="120" w:line="360" w:lineRule="auto"/>
        <w:ind w:firstLine="708"/>
        <w:jc w:val="both"/>
        <w:rPr>
          <w:rStyle w:val="PlaceholderText"/>
          <w:rFonts w:ascii="Arial" w:hAnsi="Arial" w:cs="Arial"/>
          <w:color w:val="auto"/>
          <w:sz w:val="22"/>
          <w:szCs w:val="22"/>
        </w:rPr>
      </w:pPr>
      <w:r w:rsidRPr="002B288B">
        <w:rPr>
          <w:rStyle w:val="PlaceholderText"/>
          <w:rFonts w:ascii="Arial" w:hAnsi="Arial" w:cs="Arial"/>
          <w:color w:val="auto"/>
          <w:sz w:val="22"/>
          <w:szCs w:val="22"/>
        </w:rPr>
        <w:t>Vplyv na verejné financie je vykvantifikovaný v Doložke finančných, ekonomických, environmentálnych vplyvov a vplyvov na zamestnanosť a podnikateľské prostredie. Návrh zákona nemá vplyv na obyvateľstvo, má pozitívny vplyv na podnikateľskú sféru a nemá vplyv na životné prostredie, zamestnanosť ani rozpočty obcí a vyšších územných celkov.</w:t>
      </w:r>
    </w:p>
    <w:p w:rsidR="002B288B" w:rsidRPr="002B288B" w:rsidP="002B288B">
      <w:pPr>
        <w:bidi w:val="0"/>
        <w:spacing w:before="120" w:line="360" w:lineRule="auto"/>
        <w:ind w:firstLine="708"/>
        <w:jc w:val="both"/>
        <w:rPr>
          <w:rStyle w:val="PlaceholderText"/>
          <w:rFonts w:ascii="Arial" w:hAnsi="Arial" w:cs="Arial"/>
          <w:color w:val="auto"/>
          <w:sz w:val="22"/>
          <w:szCs w:val="22"/>
        </w:rPr>
      </w:pPr>
      <w:r w:rsidRPr="002B288B">
        <w:rPr>
          <w:rStyle w:val="PlaceholderText"/>
          <w:rFonts w:ascii="Arial" w:hAnsi="Arial" w:cs="Arial"/>
          <w:color w:val="auto"/>
          <w:sz w:val="22"/>
          <w:szCs w:val="22"/>
        </w:rPr>
        <w:t>Návrh zákona je v súlade s Ústavou Slovenskej republiky.</w:t>
      </w:r>
    </w:p>
    <w:p w:rsidR="002B288B" w:rsidRPr="002B288B" w:rsidP="002B288B">
      <w:pPr>
        <w:bidi w:val="0"/>
        <w:spacing w:before="120" w:line="360" w:lineRule="auto"/>
        <w:ind w:firstLine="708"/>
        <w:jc w:val="both"/>
        <w:rPr>
          <w:rStyle w:val="PlaceholderText"/>
          <w:rFonts w:ascii="Arial" w:hAnsi="Arial" w:cs="Arial"/>
          <w:color w:val="auto"/>
          <w:sz w:val="22"/>
          <w:szCs w:val="22"/>
        </w:rPr>
      </w:pPr>
    </w:p>
    <w:p w:rsidR="002B288B" w:rsidRPr="002B288B" w:rsidP="002B288B">
      <w:pPr>
        <w:bidi w:val="0"/>
        <w:spacing w:before="120" w:line="360" w:lineRule="auto"/>
        <w:jc w:val="both"/>
        <w:rPr>
          <w:rStyle w:val="PlaceholderText"/>
          <w:rFonts w:ascii="Arial" w:hAnsi="Arial" w:cs="Arial"/>
          <w:color w:val="auto"/>
          <w:sz w:val="22"/>
          <w:szCs w:val="22"/>
        </w:rPr>
      </w:pPr>
      <w:r w:rsidRPr="002B288B">
        <w:rPr>
          <w:rStyle w:val="PlaceholderText"/>
          <w:rFonts w:ascii="Arial" w:hAnsi="Arial" w:cs="Arial"/>
          <w:color w:val="auto"/>
          <w:sz w:val="22"/>
          <w:szCs w:val="22"/>
        </w:rPr>
        <w:t xml:space="preserve"> </w:t>
      </w:r>
    </w:p>
    <w:p w:rsidR="002B288B" w:rsidRPr="002B288B" w:rsidP="002B288B">
      <w:pPr>
        <w:bidi w:val="0"/>
        <w:spacing w:before="120" w:line="360" w:lineRule="auto"/>
        <w:jc w:val="both"/>
        <w:rPr>
          <w:rStyle w:val="PlaceholderText"/>
          <w:rFonts w:ascii="Arial" w:hAnsi="Arial" w:cs="Arial"/>
          <w:color w:val="auto"/>
          <w:sz w:val="22"/>
          <w:szCs w:val="22"/>
        </w:rPr>
      </w:pPr>
    </w:p>
    <w:p w:rsidR="002B288B" w:rsidRPr="002B288B" w:rsidP="002B288B">
      <w:pPr>
        <w:bidi w:val="0"/>
        <w:spacing w:before="120" w:line="360" w:lineRule="auto"/>
        <w:jc w:val="both"/>
        <w:rPr>
          <w:rStyle w:val="PlaceholderText"/>
          <w:rFonts w:ascii="Arial" w:hAnsi="Arial" w:cs="Arial"/>
          <w:color w:val="auto"/>
          <w:sz w:val="22"/>
          <w:szCs w:val="22"/>
        </w:rPr>
      </w:pPr>
    </w:p>
    <w:p w:rsidR="002B288B" w:rsidRPr="002B288B" w:rsidP="002B288B">
      <w:pPr>
        <w:bidi w:val="0"/>
        <w:spacing w:before="120" w:line="360" w:lineRule="auto"/>
        <w:jc w:val="both"/>
        <w:rPr>
          <w:rStyle w:val="PlaceholderText"/>
          <w:rFonts w:ascii="Arial" w:hAnsi="Arial" w:cs="Arial"/>
          <w:color w:val="auto"/>
          <w:sz w:val="22"/>
          <w:szCs w:val="22"/>
        </w:rPr>
      </w:pPr>
    </w:p>
    <w:p w:rsidR="002B288B" w:rsidRPr="002B288B" w:rsidP="002B288B">
      <w:pPr>
        <w:bidi w:val="0"/>
        <w:spacing w:before="120" w:line="360" w:lineRule="auto"/>
        <w:jc w:val="both"/>
        <w:rPr>
          <w:rStyle w:val="PlaceholderText"/>
          <w:rFonts w:ascii="Arial" w:hAnsi="Arial" w:cs="Arial"/>
          <w:color w:val="auto"/>
          <w:sz w:val="22"/>
          <w:szCs w:val="22"/>
        </w:rPr>
      </w:pPr>
    </w:p>
    <w:p w:rsidR="002B288B" w:rsidRPr="002B288B" w:rsidP="002B288B">
      <w:pPr>
        <w:bidi w:val="0"/>
        <w:spacing w:before="120" w:line="360" w:lineRule="auto"/>
        <w:jc w:val="both"/>
        <w:rPr>
          <w:rStyle w:val="PlaceholderText"/>
          <w:rFonts w:ascii="Arial" w:hAnsi="Arial" w:cs="Arial"/>
          <w:color w:val="auto"/>
          <w:sz w:val="22"/>
          <w:szCs w:val="22"/>
        </w:rPr>
      </w:pPr>
    </w:p>
    <w:p w:rsidR="002B288B" w:rsidRPr="002B288B" w:rsidP="002B288B">
      <w:pPr>
        <w:bidi w:val="0"/>
        <w:spacing w:before="120" w:line="360" w:lineRule="auto"/>
        <w:jc w:val="both"/>
        <w:rPr>
          <w:rStyle w:val="PlaceholderText"/>
          <w:rFonts w:ascii="Arial" w:hAnsi="Arial" w:cs="Arial"/>
          <w:color w:val="auto"/>
          <w:sz w:val="22"/>
          <w:szCs w:val="22"/>
        </w:rPr>
      </w:pPr>
    </w:p>
    <w:p w:rsidR="002B288B" w:rsidRPr="002B288B" w:rsidP="002B288B">
      <w:pPr>
        <w:bidi w:val="0"/>
        <w:spacing w:before="120" w:line="360" w:lineRule="auto"/>
        <w:jc w:val="both"/>
        <w:rPr>
          <w:rStyle w:val="PlaceholderText"/>
          <w:rFonts w:ascii="Arial" w:hAnsi="Arial" w:cs="Arial"/>
          <w:color w:val="auto"/>
          <w:sz w:val="22"/>
          <w:szCs w:val="22"/>
        </w:rPr>
      </w:pPr>
    </w:p>
    <w:p w:rsidR="002B288B" w:rsidRPr="002B288B" w:rsidP="002B288B">
      <w:pPr>
        <w:bidi w:val="0"/>
        <w:spacing w:before="120" w:line="360" w:lineRule="auto"/>
        <w:jc w:val="both"/>
        <w:rPr>
          <w:rStyle w:val="PlaceholderText"/>
          <w:rFonts w:ascii="Arial" w:hAnsi="Arial" w:cs="Arial"/>
          <w:color w:val="auto"/>
          <w:sz w:val="22"/>
          <w:szCs w:val="22"/>
        </w:rPr>
      </w:pPr>
    </w:p>
    <w:p w:rsidR="002B288B" w:rsidRPr="002B288B" w:rsidP="002B288B">
      <w:pPr>
        <w:bidi w:val="0"/>
        <w:spacing w:before="120" w:line="360" w:lineRule="auto"/>
        <w:jc w:val="both"/>
        <w:rPr>
          <w:rStyle w:val="PlaceholderText"/>
          <w:rFonts w:ascii="Arial" w:hAnsi="Arial" w:cs="Arial"/>
          <w:color w:val="auto"/>
          <w:sz w:val="22"/>
          <w:szCs w:val="22"/>
        </w:rPr>
      </w:pPr>
    </w:p>
    <w:p w:rsidR="002B288B" w:rsidRPr="002B288B" w:rsidP="002B288B">
      <w:pPr>
        <w:bidi w:val="0"/>
        <w:spacing w:before="120" w:line="360" w:lineRule="auto"/>
        <w:jc w:val="both"/>
        <w:rPr>
          <w:rStyle w:val="PlaceholderText"/>
          <w:rFonts w:ascii="Arial" w:hAnsi="Arial" w:cs="Arial"/>
          <w:color w:val="auto"/>
          <w:sz w:val="22"/>
          <w:szCs w:val="22"/>
        </w:rPr>
      </w:pPr>
    </w:p>
    <w:p w:rsidR="002B288B" w:rsidRPr="00023B79" w:rsidP="002B288B">
      <w:pPr>
        <w:bidi w:val="0"/>
        <w:jc w:val="center"/>
        <w:outlineLvl w:val="0"/>
        <w:rPr>
          <w:rFonts w:ascii="Arial" w:hAnsi="Arial" w:cs="Arial"/>
          <w:b/>
          <w:bCs/>
          <w:sz w:val="22"/>
          <w:szCs w:val="22"/>
        </w:rPr>
      </w:pPr>
      <w:r w:rsidRPr="00023B79">
        <w:rPr>
          <w:rFonts w:ascii="Arial" w:hAnsi="Arial" w:cs="Arial"/>
          <w:b/>
          <w:bCs/>
          <w:sz w:val="22"/>
          <w:szCs w:val="22"/>
        </w:rPr>
        <w:t>Doložka finančných, ekonomických, environmentálnych vplyvov a vplyvov</w:t>
      </w:r>
    </w:p>
    <w:p w:rsidR="002B288B" w:rsidRPr="00023B79" w:rsidP="002B288B">
      <w:pPr>
        <w:bidi w:val="0"/>
        <w:jc w:val="center"/>
        <w:outlineLvl w:val="0"/>
        <w:rPr>
          <w:rFonts w:ascii="Arial" w:hAnsi="Arial" w:cs="Arial"/>
          <w:b/>
          <w:bCs/>
          <w:sz w:val="22"/>
          <w:szCs w:val="22"/>
        </w:rPr>
      </w:pPr>
      <w:r w:rsidRPr="00023B79">
        <w:rPr>
          <w:rFonts w:ascii="Arial" w:hAnsi="Arial" w:cs="Arial"/>
          <w:b/>
          <w:bCs/>
          <w:sz w:val="22"/>
          <w:szCs w:val="22"/>
        </w:rPr>
        <w:t>na zamestnanosť a podnikateľské prostredie</w:t>
      </w:r>
    </w:p>
    <w:p w:rsidR="002B288B" w:rsidRPr="00023B79" w:rsidP="002B288B">
      <w:pPr>
        <w:bidi w:val="0"/>
        <w:jc w:val="center"/>
        <w:rPr>
          <w:rFonts w:ascii="Arial" w:hAnsi="Arial" w:cs="Arial"/>
          <w:b/>
          <w:bCs/>
          <w:sz w:val="22"/>
          <w:szCs w:val="22"/>
        </w:rPr>
      </w:pPr>
    </w:p>
    <w:p w:rsidR="002B288B" w:rsidRPr="00023B79" w:rsidP="002B288B">
      <w:pPr>
        <w:bidi w:val="0"/>
        <w:jc w:val="center"/>
        <w:rPr>
          <w:rFonts w:ascii="Arial" w:hAnsi="Arial" w:cs="Arial"/>
          <w:b/>
          <w:bCs/>
          <w:sz w:val="22"/>
          <w:szCs w:val="22"/>
        </w:rPr>
      </w:pPr>
    </w:p>
    <w:p w:rsidR="002B288B" w:rsidRPr="00023B79" w:rsidP="002B288B">
      <w:pPr>
        <w:bidi w:val="0"/>
        <w:jc w:val="center"/>
        <w:rPr>
          <w:rFonts w:ascii="Arial" w:hAnsi="Arial" w:cs="Arial"/>
          <w:b/>
          <w:bCs/>
          <w:sz w:val="22"/>
          <w:szCs w:val="22"/>
        </w:rPr>
      </w:pPr>
    </w:p>
    <w:p w:rsidR="002B288B" w:rsidRPr="00023B79" w:rsidP="002B288B">
      <w:pPr>
        <w:numPr>
          <w:numId w:val="1"/>
        </w:numPr>
        <w:tabs>
          <w:tab w:val="num" w:pos="0"/>
          <w:tab w:val="clear" w:pos="1080"/>
        </w:tabs>
        <w:bidi w:val="0"/>
        <w:ind w:left="0" w:firstLine="360"/>
        <w:jc w:val="both"/>
        <w:rPr>
          <w:rFonts w:ascii="Arial" w:hAnsi="Arial" w:cs="Arial"/>
          <w:b/>
          <w:bCs/>
          <w:sz w:val="22"/>
          <w:szCs w:val="22"/>
        </w:rPr>
      </w:pPr>
      <w:r w:rsidRPr="00023B79">
        <w:rPr>
          <w:rFonts w:ascii="Arial" w:hAnsi="Arial" w:cs="Arial"/>
          <w:b/>
          <w:bCs/>
          <w:sz w:val="22"/>
          <w:szCs w:val="22"/>
        </w:rPr>
        <w:t>Odhad vplyvov na verejné financie</w:t>
      </w:r>
    </w:p>
    <w:p w:rsidR="002B288B" w:rsidRPr="00023B79" w:rsidP="002B288B">
      <w:pPr>
        <w:bidi w:val="0"/>
        <w:jc w:val="both"/>
        <w:rPr>
          <w:rFonts w:ascii="Arial" w:hAnsi="Arial" w:cs="Arial"/>
          <w:b/>
          <w:bCs/>
          <w:sz w:val="22"/>
          <w:szCs w:val="22"/>
        </w:rPr>
      </w:pPr>
    </w:p>
    <w:p w:rsidR="002B288B" w:rsidRPr="00023B79" w:rsidP="002B288B">
      <w:pPr>
        <w:bidi w:val="0"/>
        <w:ind w:firstLine="360"/>
        <w:jc w:val="both"/>
        <w:rPr>
          <w:rFonts w:ascii="Arial" w:hAnsi="Arial" w:cs="Arial"/>
          <w:sz w:val="22"/>
          <w:szCs w:val="22"/>
        </w:rPr>
      </w:pPr>
      <w:r w:rsidRPr="00023B79">
        <w:rPr>
          <w:rFonts w:ascii="Arial" w:hAnsi="Arial" w:cs="Arial"/>
          <w:sz w:val="22"/>
          <w:szCs w:val="22"/>
        </w:rPr>
        <w:t xml:space="preserve">V doložke je posudzovaný dopad týkajúci  sa dočasného otvorenia tzv. II. kapitalizačného piliera, t. z. umožnenie návratu do jednopilierového dôchodkového systému pre všetkých sporiteľov v systéme starobného dôchodkového sporenia a zároveň dočasné umožnenie vstupu do systému starobného dôchodkového sporenia. </w:t>
      </w:r>
    </w:p>
    <w:p w:rsidR="002B288B" w:rsidRPr="00023B79" w:rsidP="002B288B">
      <w:pPr>
        <w:bidi w:val="0"/>
        <w:ind w:firstLine="360"/>
        <w:jc w:val="both"/>
        <w:rPr>
          <w:rFonts w:ascii="Arial" w:hAnsi="Arial" w:cs="Arial"/>
          <w:sz w:val="22"/>
          <w:szCs w:val="22"/>
        </w:rPr>
      </w:pPr>
    </w:p>
    <w:p w:rsidR="002B288B" w:rsidRPr="00023B79" w:rsidP="002B288B">
      <w:pPr>
        <w:bidi w:val="0"/>
        <w:ind w:firstLine="360"/>
        <w:jc w:val="both"/>
        <w:rPr>
          <w:rFonts w:ascii="Arial" w:hAnsi="Arial" w:cs="Arial"/>
          <w:sz w:val="22"/>
          <w:szCs w:val="22"/>
        </w:rPr>
      </w:pPr>
      <w:r w:rsidRPr="00023B79">
        <w:rPr>
          <w:rFonts w:ascii="Arial" w:hAnsi="Arial" w:cs="Arial"/>
          <w:sz w:val="22"/>
          <w:szCs w:val="22"/>
        </w:rPr>
        <w:t>Kvantifikácie sú uvedené aj v mene euro (viď tabuľky označené rímskym číslom). Pri prepočte finančných dopadov na rozpočet verejnej správy zo slovenskej koruny na menu euro bol použitý konverzný kurz 1 € = 30,1260 Sk.</w:t>
      </w:r>
    </w:p>
    <w:p w:rsidR="002B288B" w:rsidRPr="00023B79" w:rsidP="002B288B">
      <w:pPr>
        <w:bidi w:val="0"/>
        <w:jc w:val="both"/>
        <w:rPr>
          <w:rFonts w:ascii="Arial" w:hAnsi="Arial" w:cs="Arial"/>
          <w:b/>
          <w:bCs/>
          <w:sz w:val="22"/>
          <w:szCs w:val="22"/>
        </w:rPr>
      </w:pPr>
    </w:p>
    <w:p w:rsidR="002B288B" w:rsidRPr="00023B79" w:rsidP="002B288B">
      <w:pPr>
        <w:bidi w:val="0"/>
        <w:ind w:firstLine="360"/>
        <w:jc w:val="both"/>
        <w:outlineLvl w:val="0"/>
        <w:rPr>
          <w:rFonts w:ascii="Arial" w:hAnsi="Arial" w:cs="Arial"/>
          <w:b/>
          <w:bCs/>
          <w:sz w:val="22"/>
          <w:szCs w:val="22"/>
        </w:rPr>
      </w:pPr>
      <w:r w:rsidRPr="00023B79">
        <w:rPr>
          <w:rFonts w:ascii="Arial" w:hAnsi="Arial" w:cs="Arial"/>
          <w:b/>
          <w:bCs/>
          <w:sz w:val="22"/>
          <w:szCs w:val="22"/>
        </w:rPr>
        <w:t>I.I. Odhad vplyvov na štátny rozpočet</w:t>
      </w:r>
    </w:p>
    <w:p w:rsidR="002B288B" w:rsidRPr="00023B79" w:rsidP="002B288B">
      <w:pPr>
        <w:bidi w:val="0"/>
        <w:jc w:val="both"/>
        <w:rPr>
          <w:rFonts w:ascii="Arial" w:hAnsi="Arial" w:cs="Arial"/>
          <w:sz w:val="22"/>
          <w:szCs w:val="22"/>
        </w:rPr>
      </w:pPr>
    </w:p>
    <w:p w:rsidR="002B288B" w:rsidRPr="00023B79" w:rsidP="002B288B">
      <w:pPr>
        <w:bidi w:val="0"/>
        <w:ind w:left="360"/>
        <w:jc w:val="both"/>
        <w:rPr>
          <w:rFonts w:ascii="Arial" w:hAnsi="Arial" w:cs="Arial"/>
          <w:sz w:val="22"/>
          <w:szCs w:val="22"/>
        </w:rPr>
      </w:pPr>
      <w:r w:rsidRPr="00023B79">
        <w:rPr>
          <w:rFonts w:ascii="Arial" w:hAnsi="Arial" w:cs="Arial"/>
          <w:sz w:val="22"/>
          <w:szCs w:val="22"/>
        </w:rPr>
        <w:t>Predložená novela zákona nemá priamy vplyv na štátny rozpočet.</w:t>
      </w:r>
    </w:p>
    <w:p w:rsidR="002B288B" w:rsidRPr="00023B79" w:rsidP="002B288B">
      <w:pPr>
        <w:bidi w:val="0"/>
        <w:rPr>
          <w:rFonts w:ascii="Arial" w:hAnsi="Arial" w:cs="Arial"/>
          <w:b/>
          <w:bCs/>
          <w:sz w:val="22"/>
          <w:szCs w:val="22"/>
        </w:rPr>
      </w:pPr>
    </w:p>
    <w:p w:rsidR="002B288B" w:rsidRPr="00023B79" w:rsidP="002B288B">
      <w:pPr>
        <w:bidi w:val="0"/>
        <w:ind w:firstLine="360"/>
        <w:jc w:val="both"/>
        <w:outlineLvl w:val="0"/>
        <w:rPr>
          <w:rFonts w:ascii="Arial" w:hAnsi="Arial" w:cs="Arial"/>
          <w:b/>
          <w:bCs/>
          <w:sz w:val="22"/>
          <w:szCs w:val="22"/>
        </w:rPr>
      </w:pPr>
      <w:r w:rsidRPr="00023B79">
        <w:rPr>
          <w:rFonts w:ascii="Arial" w:hAnsi="Arial" w:cs="Arial"/>
          <w:b/>
          <w:bCs/>
          <w:sz w:val="22"/>
          <w:szCs w:val="22"/>
        </w:rPr>
        <w:t>I.II. Odhad vplyvov na rozpočet Sociálnej poisťovne</w:t>
      </w:r>
    </w:p>
    <w:p w:rsidR="002B288B" w:rsidRPr="00023B79" w:rsidP="002B288B">
      <w:pPr>
        <w:bidi w:val="0"/>
        <w:jc w:val="both"/>
        <w:rPr>
          <w:rFonts w:ascii="Arial" w:hAnsi="Arial" w:cs="Arial"/>
          <w:sz w:val="22"/>
          <w:szCs w:val="22"/>
        </w:rPr>
      </w:pPr>
    </w:p>
    <w:p w:rsidR="002B288B" w:rsidRPr="00023B79" w:rsidP="002B288B">
      <w:pPr>
        <w:bidi w:val="0"/>
        <w:jc w:val="both"/>
        <w:rPr>
          <w:rFonts w:ascii="Arial" w:hAnsi="Arial" w:cs="Arial"/>
          <w:sz w:val="22"/>
          <w:szCs w:val="22"/>
        </w:rPr>
      </w:pPr>
      <w:r w:rsidRPr="00023B79">
        <w:rPr>
          <w:rFonts w:ascii="Arial" w:hAnsi="Arial" w:cs="Arial"/>
          <w:sz w:val="22"/>
          <w:szCs w:val="22"/>
        </w:rPr>
        <w:tab/>
        <w:t>Kvantifikácie vychádzajú zo štatistických údajov Sociálnej poisťovne o vstupe, resp. výstupe zo systému starobného dôchodkového sporenia v o</w:t>
      </w:r>
      <w:r>
        <w:rPr>
          <w:rFonts w:ascii="Arial" w:hAnsi="Arial" w:cs="Arial"/>
          <w:sz w:val="22"/>
          <w:szCs w:val="22"/>
        </w:rPr>
        <w:t xml:space="preserve">bdobí od 1. januára 2008 do 30. júna 2008, z aktuálneho počtu sporiteľov v tzv. II. kapitalizačnom pilieri v počte približne 1 481 tisíc  (stav k 31. augustu 2008) a z predpokladaného objemu vybratých príspevkov na starobné dôchodkové sporenie z návrhu rozpočtu Sociálnej poisťovne na rok 2009 a rozpočtového výhľadu na roky 2010 až 2012 (25 097 mil. Sk v roku 2009, 27 850 mil. Sk v roku 2010, 30 417 mil. Sk v roku 2011 a 33 212 mil. Sk v roku 2012). Zároveň sa pri vplyve jednotlivých opatrení na rozpočet Sociálnej poisťovne uvažuje s tvorbou správneho fondu podľa súčasne platného zákona č. 461/2003 Z. z. o sociálnom poistení v znení neskorších predpisov, a to vo výške 3,5 % z poistného v rokoch 2008 a 2009, 2,9 % v rokoch 2010 až 2012. Podotýkame, že v prípade príspevkov na starobné dôchodkové sporenie, ktoré budú postúpené Sociálnej poisťovni za sporiteľov, ktorí sa rozhodli vrátiť do jednopilierového dôchodkového systému, bude správny fond tvorený vo výške 3,0 % v roku </w:t>
      </w:r>
      <w:smartTag w:uri="urn:schemas-microsoft-com:office:smarttags" w:element="metricconverter">
        <w:smartTagPr>
          <w:attr w:name="ProductID" w:val="2008 a"/>
        </w:smartTagPr>
        <w:r>
          <w:rPr>
            <w:rFonts w:ascii="Arial" w:hAnsi="Arial" w:cs="Arial"/>
            <w:sz w:val="22"/>
            <w:szCs w:val="22"/>
          </w:rPr>
          <w:t>2008 a</w:t>
        </w:r>
      </w:smartTag>
      <w:r>
        <w:rPr>
          <w:rFonts w:ascii="Arial" w:hAnsi="Arial" w:cs="Arial"/>
          <w:sz w:val="22"/>
          <w:szCs w:val="22"/>
        </w:rPr>
        <w:t xml:space="preserve"> aj v roku 2009. </w:t>
      </w:r>
    </w:p>
    <w:p w:rsidR="002B288B" w:rsidRPr="00023B79" w:rsidP="002B288B">
      <w:pPr>
        <w:bidi w:val="0"/>
        <w:jc w:val="both"/>
        <w:rPr>
          <w:rFonts w:ascii="Arial" w:hAnsi="Arial" w:cs="Arial"/>
          <w:sz w:val="22"/>
          <w:szCs w:val="22"/>
        </w:rPr>
      </w:pPr>
    </w:p>
    <w:p w:rsidR="002B288B" w:rsidRPr="00023B79" w:rsidP="002B288B">
      <w:pPr>
        <w:bidi w:val="0"/>
        <w:jc w:val="both"/>
        <w:rPr>
          <w:rFonts w:ascii="Arial" w:hAnsi="Arial" w:cs="Arial"/>
          <w:b/>
          <w:sz w:val="22"/>
          <w:szCs w:val="22"/>
        </w:rPr>
      </w:pPr>
      <w:r w:rsidRPr="00023B79">
        <w:rPr>
          <w:rFonts w:ascii="Arial" w:hAnsi="Arial" w:cs="Arial"/>
          <w:sz w:val="22"/>
          <w:szCs w:val="22"/>
        </w:rPr>
        <w:tab/>
      </w:r>
      <w:r w:rsidRPr="00023B79">
        <w:rPr>
          <w:rFonts w:ascii="Arial" w:hAnsi="Arial" w:cs="Arial"/>
          <w:b/>
          <w:sz w:val="22"/>
          <w:szCs w:val="22"/>
        </w:rPr>
        <w:t>1 -  Umožnenie vstupu do systému starobného dôchodkového sporenia</w:t>
      </w:r>
    </w:p>
    <w:p w:rsidR="002B288B" w:rsidRPr="00023B79" w:rsidP="002B288B">
      <w:pPr>
        <w:bidi w:val="0"/>
        <w:jc w:val="both"/>
        <w:rPr>
          <w:rFonts w:ascii="Arial" w:hAnsi="Arial" w:cs="Arial"/>
          <w:sz w:val="22"/>
          <w:szCs w:val="22"/>
        </w:rPr>
      </w:pPr>
    </w:p>
    <w:p w:rsidR="002B288B" w:rsidRPr="00023B79" w:rsidP="002B288B">
      <w:pPr>
        <w:bidi w:val="0"/>
        <w:ind w:firstLine="360"/>
        <w:jc w:val="both"/>
        <w:rPr>
          <w:rFonts w:ascii="Arial" w:hAnsi="Arial" w:cs="Arial"/>
          <w:sz w:val="22"/>
          <w:szCs w:val="22"/>
        </w:rPr>
      </w:pPr>
      <w:r w:rsidRPr="00023B79">
        <w:rPr>
          <w:rFonts w:ascii="Arial" w:hAnsi="Arial" w:cs="Arial"/>
          <w:sz w:val="22"/>
          <w:szCs w:val="22"/>
        </w:rPr>
        <w:t>Nasledovná kvantifikácia obsahuje alternatívy, že do systému starobného dôchodkového sporenia vstúpi približne od 5 000 až 20 000 poistencov Sociálnej poisťovne, čím dôjde k nižšie uvedenému zníženiu príjmov Sociálnej poisťovne  (v mil. Sk, v mil. Eur):</w:t>
      </w:r>
    </w:p>
    <w:p w:rsidR="002B288B" w:rsidP="002B288B">
      <w:pPr>
        <w:bidi w:val="0"/>
        <w:ind w:firstLine="360"/>
        <w:jc w:val="both"/>
        <w:rPr>
          <w:rFonts w:ascii="Times New Roman" w:hAnsi="Times New Roman"/>
        </w:rPr>
      </w:pPr>
      <w:r>
        <w:rPr>
          <w:rFonts w:ascii="Times New Roman" w:hAnsi="Times New Roman"/>
        </w:rPr>
        <w:t xml:space="preserve">     </w:t>
      </w:r>
    </w:p>
    <w:p w:rsidR="002B288B" w:rsidP="002B288B">
      <w:pPr>
        <w:bidi w:val="0"/>
        <w:ind w:firstLine="360"/>
        <w:jc w:val="both"/>
        <w:rPr>
          <w:rFonts w:ascii="Times New Roman" w:hAnsi="Times New Roman"/>
        </w:rPr>
      </w:pPr>
      <w:r>
        <w:rPr>
          <w:rFonts w:ascii="Times New Roman" w:hAnsi="Times New Roman"/>
        </w:rPr>
        <w:t xml:space="preserve">                                                                                                                        Tabuľka 1a</w:t>
      </w:r>
    </w:p>
    <w:tbl>
      <w:tblPr>
        <w:tblStyle w:val="TableGrid"/>
        <w:tblW w:w="0" w:type="auto"/>
        <w:jc w:val="center"/>
        <w:tblInd w:w="954" w:type="dxa"/>
        <w:tblLook w:val="01E0"/>
      </w:tblPr>
      <w:tblGrid>
        <w:gridCol w:w="2115"/>
        <w:gridCol w:w="1304"/>
        <w:gridCol w:w="1304"/>
        <w:gridCol w:w="1237"/>
        <w:gridCol w:w="1222"/>
        <w:gridCol w:w="1152"/>
      </w:tblGrid>
      <w:tr>
        <w:tblPrEx>
          <w:tblW w:w="0" w:type="auto"/>
          <w:jc w:val="center"/>
          <w:tblInd w:w="954" w:type="dxa"/>
          <w:tblLook w:val="01E0"/>
        </w:tblPrEx>
        <w:trPr>
          <w:jc w:val="center"/>
        </w:trPr>
        <w:tc>
          <w:tcPr>
            <w:tcW w:w="21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Počet vstupujúcich</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2008</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2009</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2010</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2011</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2012</w:t>
            </w:r>
          </w:p>
        </w:tc>
      </w:tr>
      <w:tr>
        <w:tblPrEx>
          <w:tblW w:w="0" w:type="auto"/>
          <w:jc w:val="center"/>
          <w:tblInd w:w="954" w:type="dxa"/>
          <w:tblLook w:val="01E0"/>
        </w:tblPrEx>
        <w:trPr>
          <w:jc w:val="center"/>
        </w:trPr>
        <w:tc>
          <w:tcPr>
            <w:tcW w:w="21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5 000</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8</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76</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94</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P="00450CA0">
            <w:pPr>
              <w:bidi w:val="0"/>
              <w:jc w:val="center"/>
              <w:rPr>
                <w:rFonts w:ascii="Times New Roman" w:hAnsi="Times New Roman"/>
                <w:sz w:val="22"/>
                <w:szCs w:val="22"/>
              </w:rPr>
            </w:pPr>
            <w:r>
              <w:rPr>
                <w:rFonts w:ascii="Times New Roman" w:hAnsi="Times New Roman"/>
                <w:sz w:val="22"/>
                <w:szCs w:val="22"/>
              </w:rPr>
              <w:t>112</w:t>
            </w:r>
          </w:p>
        </w:tc>
      </w:tr>
      <w:tr>
        <w:tblPrEx>
          <w:tblW w:w="0" w:type="auto"/>
          <w:jc w:val="center"/>
          <w:tblInd w:w="954" w:type="dxa"/>
          <w:tblLook w:val="01E0"/>
        </w:tblPrEx>
        <w:trPr>
          <w:jc w:val="center"/>
        </w:trPr>
        <w:tc>
          <w:tcPr>
            <w:tcW w:w="21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10 000</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17</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152</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188</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205</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P="00450CA0">
            <w:pPr>
              <w:bidi w:val="0"/>
              <w:jc w:val="center"/>
              <w:rPr>
                <w:rFonts w:ascii="Times New Roman" w:hAnsi="Times New Roman"/>
                <w:sz w:val="22"/>
                <w:szCs w:val="22"/>
              </w:rPr>
            </w:pPr>
            <w:r>
              <w:rPr>
                <w:rFonts w:ascii="Times New Roman" w:hAnsi="Times New Roman"/>
                <w:sz w:val="22"/>
                <w:szCs w:val="22"/>
              </w:rPr>
              <w:t>224</w:t>
            </w:r>
          </w:p>
        </w:tc>
      </w:tr>
      <w:tr>
        <w:tblPrEx>
          <w:tblW w:w="0" w:type="auto"/>
          <w:jc w:val="center"/>
          <w:tblInd w:w="954" w:type="dxa"/>
          <w:tblLook w:val="01E0"/>
        </w:tblPrEx>
        <w:trPr>
          <w:jc w:val="center"/>
        </w:trPr>
        <w:tc>
          <w:tcPr>
            <w:tcW w:w="21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15 000</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25</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229</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282</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308</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P="00450CA0">
            <w:pPr>
              <w:bidi w:val="0"/>
              <w:jc w:val="center"/>
              <w:rPr>
                <w:rFonts w:ascii="Times New Roman" w:hAnsi="Times New Roman"/>
                <w:sz w:val="22"/>
                <w:szCs w:val="22"/>
              </w:rPr>
            </w:pPr>
            <w:r>
              <w:rPr>
                <w:rFonts w:ascii="Times New Roman" w:hAnsi="Times New Roman"/>
                <w:sz w:val="22"/>
                <w:szCs w:val="22"/>
              </w:rPr>
              <w:t>336</w:t>
            </w:r>
          </w:p>
        </w:tc>
      </w:tr>
      <w:tr>
        <w:tblPrEx>
          <w:tblW w:w="0" w:type="auto"/>
          <w:jc w:val="center"/>
          <w:tblInd w:w="954" w:type="dxa"/>
          <w:tblLook w:val="01E0"/>
        </w:tblPrEx>
        <w:trPr>
          <w:jc w:val="center"/>
        </w:trPr>
        <w:tc>
          <w:tcPr>
            <w:tcW w:w="21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20 000</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34</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305</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376</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411</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P="00450CA0">
            <w:pPr>
              <w:bidi w:val="0"/>
              <w:jc w:val="center"/>
              <w:rPr>
                <w:rFonts w:ascii="Times New Roman" w:hAnsi="Times New Roman"/>
                <w:sz w:val="22"/>
                <w:szCs w:val="22"/>
              </w:rPr>
            </w:pPr>
            <w:r>
              <w:rPr>
                <w:rFonts w:ascii="Times New Roman" w:hAnsi="Times New Roman"/>
                <w:sz w:val="22"/>
                <w:szCs w:val="22"/>
              </w:rPr>
              <w:t>448</w:t>
            </w:r>
          </w:p>
        </w:tc>
      </w:tr>
    </w:tbl>
    <w:p w:rsidR="002B288B" w:rsidP="002B288B">
      <w:pPr>
        <w:bidi w:val="0"/>
        <w:ind w:firstLine="360"/>
        <w:jc w:val="both"/>
        <w:rPr>
          <w:rFonts w:ascii="Times New Roman" w:hAnsi="Times New Roman"/>
        </w:rPr>
      </w:pPr>
    </w:p>
    <w:p w:rsidR="00427DAF" w:rsidP="002B288B">
      <w:pPr>
        <w:bidi w:val="0"/>
        <w:ind w:firstLine="360"/>
        <w:jc w:val="both"/>
        <w:rPr>
          <w:rFonts w:ascii="Times New Roman" w:hAnsi="Times New Roman"/>
        </w:rPr>
      </w:pPr>
    </w:p>
    <w:p w:rsidR="00427DAF" w:rsidP="002B288B">
      <w:pPr>
        <w:bidi w:val="0"/>
        <w:ind w:firstLine="360"/>
        <w:jc w:val="both"/>
        <w:rPr>
          <w:rFonts w:ascii="Times New Roman" w:hAnsi="Times New Roman"/>
        </w:rPr>
      </w:pPr>
    </w:p>
    <w:p w:rsidR="00427DAF" w:rsidP="002B288B">
      <w:pPr>
        <w:bidi w:val="0"/>
        <w:ind w:firstLine="360"/>
        <w:jc w:val="both"/>
        <w:rPr>
          <w:rFonts w:ascii="Times New Roman" w:hAnsi="Times New Roman"/>
        </w:rPr>
      </w:pPr>
    </w:p>
    <w:p w:rsidR="00427DAF" w:rsidRPr="006A1E48" w:rsidP="002B288B">
      <w:pPr>
        <w:bidi w:val="0"/>
        <w:ind w:firstLine="360"/>
        <w:jc w:val="both"/>
        <w:rPr>
          <w:rFonts w:ascii="Times New Roman" w:hAnsi="Times New Roman"/>
        </w:rPr>
      </w:pPr>
    </w:p>
    <w:p w:rsidR="002B288B" w:rsidP="002B288B">
      <w:pPr>
        <w:bidi w:val="0"/>
        <w:ind w:firstLine="360"/>
        <w:jc w:val="both"/>
        <w:rPr>
          <w:rFonts w:ascii="Times New Roman" w:hAnsi="Times New Roman"/>
        </w:rPr>
      </w:pPr>
      <w:r>
        <w:rPr>
          <w:rFonts w:ascii="Times New Roman" w:hAnsi="Times New Roman"/>
        </w:rPr>
        <w:t xml:space="preserve">                                                                                                                        Tabuľka Ia</w:t>
      </w:r>
    </w:p>
    <w:tbl>
      <w:tblPr>
        <w:tblStyle w:val="TableGrid"/>
        <w:tblW w:w="0" w:type="auto"/>
        <w:jc w:val="center"/>
        <w:tblInd w:w="1035" w:type="dxa"/>
        <w:tblLook w:val="01E0"/>
      </w:tblPr>
      <w:tblGrid>
        <w:gridCol w:w="2034"/>
        <w:gridCol w:w="1304"/>
        <w:gridCol w:w="1304"/>
        <w:gridCol w:w="1237"/>
        <w:gridCol w:w="1222"/>
        <w:gridCol w:w="1152"/>
      </w:tblGrid>
      <w:tr>
        <w:tblPrEx>
          <w:tblW w:w="0" w:type="auto"/>
          <w:jc w:val="center"/>
          <w:tblInd w:w="1035" w:type="dxa"/>
          <w:tblLook w:val="01E0"/>
        </w:tblPrEx>
        <w:trPr>
          <w:jc w:val="center"/>
        </w:trPr>
        <w:tc>
          <w:tcPr>
            <w:tcW w:w="203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rPr>
                <w:rFonts w:ascii="Times New Roman" w:hAnsi="Times New Roman"/>
                <w:sz w:val="22"/>
                <w:szCs w:val="22"/>
              </w:rPr>
            </w:pPr>
            <w:r>
              <w:rPr>
                <w:rFonts w:ascii="Times New Roman" w:hAnsi="Times New Roman"/>
                <w:sz w:val="22"/>
                <w:szCs w:val="22"/>
              </w:rPr>
              <w:t>Počet vstupujúcich</w:t>
            </w:r>
            <w:r w:rsidRPr="00F37A8A">
              <w:rPr>
                <w:rFonts w:ascii="Times New Roman" w:hAnsi="Times New Roman"/>
                <w:sz w:val="22"/>
                <w:szCs w:val="22"/>
              </w:rPr>
              <w:t xml:space="preserve"> </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2008</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2009</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2010</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2011</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2012</w:t>
            </w:r>
          </w:p>
        </w:tc>
      </w:tr>
      <w:tr>
        <w:tblPrEx>
          <w:tblW w:w="0" w:type="auto"/>
          <w:jc w:val="center"/>
          <w:tblInd w:w="1035" w:type="dxa"/>
          <w:tblLook w:val="01E0"/>
        </w:tblPrEx>
        <w:trPr>
          <w:jc w:val="center"/>
        </w:trPr>
        <w:tc>
          <w:tcPr>
            <w:tcW w:w="203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5 000</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0,3</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2,5</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3,1</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3,4</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P="00450CA0">
            <w:pPr>
              <w:bidi w:val="0"/>
              <w:jc w:val="center"/>
              <w:rPr>
                <w:rFonts w:ascii="Times New Roman" w:hAnsi="Times New Roman"/>
                <w:sz w:val="22"/>
                <w:szCs w:val="22"/>
              </w:rPr>
            </w:pPr>
            <w:r>
              <w:rPr>
                <w:rFonts w:ascii="Times New Roman" w:hAnsi="Times New Roman"/>
                <w:sz w:val="22"/>
                <w:szCs w:val="22"/>
              </w:rPr>
              <w:t>3,7</w:t>
            </w:r>
          </w:p>
        </w:tc>
      </w:tr>
      <w:tr>
        <w:tblPrEx>
          <w:tblW w:w="0" w:type="auto"/>
          <w:jc w:val="center"/>
          <w:tblInd w:w="1035" w:type="dxa"/>
          <w:tblLook w:val="01E0"/>
        </w:tblPrEx>
        <w:trPr>
          <w:jc w:val="center"/>
        </w:trPr>
        <w:tc>
          <w:tcPr>
            <w:tcW w:w="203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10 000</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0,6</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5,1</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6,2</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6,8</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7,4</w:t>
            </w:r>
          </w:p>
        </w:tc>
      </w:tr>
      <w:tr>
        <w:tblPrEx>
          <w:tblW w:w="0" w:type="auto"/>
          <w:jc w:val="center"/>
          <w:tblInd w:w="1035" w:type="dxa"/>
          <w:tblLook w:val="01E0"/>
        </w:tblPrEx>
        <w:trPr>
          <w:jc w:val="center"/>
        </w:trPr>
        <w:tc>
          <w:tcPr>
            <w:tcW w:w="203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15 000</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0,8</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7,6</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9,4</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10,2</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11,2</w:t>
            </w:r>
          </w:p>
        </w:tc>
      </w:tr>
      <w:tr>
        <w:tblPrEx>
          <w:tblW w:w="0" w:type="auto"/>
          <w:jc w:val="center"/>
          <w:tblInd w:w="1035" w:type="dxa"/>
          <w:tblLook w:val="01E0"/>
        </w:tblPrEx>
        <w:trPr>
          <w:jc w:val="center"/>
        </w:trPr>
        <w:tc>
          <w:tcPr>
            <w:tcW w:w="203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20 000</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1,1</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10,1</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12,5</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13,6</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14,9</w:t>
            </w:r>
          </w:p>
        </w:tc>
      </w:tr>
    </w:tbl>
    <w:p w:rsidR="002B288B" w:rsidP="002B288B">
      <w:pPr>
        <w:bidi w:val="0"/>
        <w:jc w:val="both"/>
        <w:rPr>
          <w:rFonts w:ascii="Times New Roman" w:hAnsi="Times New Roman"/>
          <w:b/>
        </w:rPr>
      </w:pPr>
    </w:p>
    <w:p w:rsidR="002B288B" w:rsidRPr="00023B79" w:rsidP="002B288B">
      <w:pPr>
        <w:bidi w:val="0"/>
        <w:ind w:firstLine="360"/>
        <w:jc w:val="both"/>
        <w:rPr>
          <w:rFonts w:ascii="Arial" w:hAnsi="Arial" w:cs="Arial"/>
          <w:sz w:val="22"/>
          <w:szCs w:val="22"/>
        </w:rPr>
      </w:pPr>
      <w:r w:rsidRPr="00023B79">
        <w:rPr>
          <w:rFonts w:ascii="Arial" w:hAnsi="Arial" w:cs="Arial"/>
          <w:sz w:val="22"/>
          <w:szCs w:val="22"/>
        </w:rPr>
        <w:t>Vstupom poistencov do systému starobného dôchodkového sporenia sa znížia nielen príjmy Sociálnej poisťovne, ale aj tvorba správneho fondu, nakoľko Sociálna poisťovňa si z uvedených príjmov bude tvoriť správny fond v nižšom objeme (namiesto 3,5 % v roku 2009 to bule len 0,5 %). Nasledujúca tabuľka zobrazuje tvorbu správneho fondu (v mil. Sk, v mil. Eur):</w:t>
      </w:r>
    </w:p>
    <w:p w:rsidR="002B288B" w:rsidP="002B288B">
      <w:pPr>
        <w:bidi w:val="0"/>
        <w:ind w:firstLine="360"/>
        <w:jc w:val="both"/>
        <w:rPr>
          <w:rFonts w:ascii="Times New Roman" w:hAnsi="Times New Roman"/>
        </w:rPr>
      </w:pPr>
      <w:r>
        <w:rPr>
          <w:rFonts w:ascii="Times New Roman" w:hAnsi="Times New Roman"/>
        </w:rPr>
        <w:t xml:space="preserve">                                                                                                                      </w:t>
      </w:r>
    </w:p>
    <w:p w:rsidR="002B288B" w:rsidP="002B288B">
      <w:pPr>
        <w:bidi w:val="0"/>
        <w:ind w:firstLine="360"/>
        <w:jc w:val="both"/>
        <w:rPr>
          <w:rFonts w:ascii="Times New Roman" w:hAnsi="Times New Roman"/>
        </w:rPr>
      </w:pPr>
      <w:r>
        <w:rPr>
          <w:rFonts w:ascii="Times New Roman" w:hAnsi="Times New Roman"/>
        </w:rPr>
        <w:t xml:space="preserve">                                                                                                                       Tabuľka 1b</w:t>
      </w:r>
    </w:p>
    <w:tbl>
      <w:tblPr>
        <w:tblStyle w:val="TableGrid"/>
        <w:tblW w:w="0" w:type="auto"/>
        <w:jc w:val="center"/>
        <w:tblInd w:w="1134" w:type="dxa"/>
        <w:tblLook w:val="01E0"/>
      </w:tblPr>
      <w:tblGrid>
        <w:gridCol w:w="1916"/>
        <w:gridCol w:w="1308"/>
        <w:gridCol w:w="1308"/>
        <w:gridCol w:w="1241"/>
        <w:gridCol w:w="1226"/>
        <w:gridCol w:w="1155"/>
      </w:tblGrid>
      <w:tr>
        <w:tblPrEx>
          <w:tblW w:w="0" w:type="auto"/>
          <w:jc w:val="center"/>
          <w:tblInd w:w="1134" w:type="dxa"/>
          <w:tblLook w:val="01E0"/>
        </w:tblPrEx>
        <w:trPr>
          <w:jc w:val="center"/>
        </w:trPr>
        <w:tc>
          <w:tcPr>
            <w:tcW w:w="191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Počet vstupujúcich</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2008</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2009</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2010</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2011</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2012</w:t>
            </w:r>
          </w:p>
        </w:tc>
      </w:tr>
      <w:tr>
        <w:tblPrEx>
          <w:tblW w:w="0" w:type="auto"/>
          <w:jc w:val="center"/>
          <w:tblInd w:w="1134" w:type="dxa"/>
          <w:tblLook w:val="01E0"/>
        </w:tblPrEx>
        <w:trPr>
          <w:jc w:val="center"/>
        </w:trPr>
        <w:tc>
          <w:tcPr>
            <w:tcW w:w="191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5 000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w:t>
            </w:r>
          </w:p>
        </w:tc>
      </w:tr>
      <w:tr>
        <w:tblPrEx>
          <w:tblW w:w="0" w:type="auto"/>
          <w:jc w:val="center"/>
          <w:tblInd w:w="1134" w:type="dxa"/>
          <w:tblLook w:val="01E0"/>
        </w:tblPrEx>
        <w:trPr>
          <w:jc w:val="center"/>
        </w:trPr>
        <w:tc>
          <w:tcPr>
            <w:tcW w:w="191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10 000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w:t>
            </w:r>
          </w:p>
        </w:tc>
      </w:tr>
      <w:tr>
        <w:tblPrEx>
          <w:tblW w:w="0" w:type="auto"/>
          <w:jc w:val="center"/>
          <w:tblInd w:w="1134" w:type="dxa"/>
          <w:tblLook w:val="01E0"/>
        </w:tblPrEx>
        <w:trPr>
          <w:jc w:val="center"/>
        </w:trPr>
        <w:tc>
          <w:tcPr>
            <w:tcW w:w="191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15 000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8</w:t>
            </w:r>
          </w:p>
        </w:tc>
      </w:tr>
      <w:tr>
        <w:tblPrEx>
          <w:tblW w:w="0" w:type="auto"/>
          <w:jc w:val="center"/>
          <w:tblInd w:w="1134" w:type="dxa"/>
          <w:tblLook w:val="01E0"/>
        </w:tblPrEx>
        <w:trPr>
          <w:jc w:val="center"/>
        </w:trPr>
        <w:tc>
          <w:tcPr>
            <w:tcW w:w="191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20 000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9</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9</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11</w:t>
            </w:r>
          </w:p>
        </w:tc>
      </w:tr>
    </w:tbl>
    <w:p w:rsidR="002B288B" w:rsidRPr="006A1E48" w:rsidP="002B288B">
      <w:pPr>
        <w:bidi w:val="0"/>
        <w:ind w:firstLine="360"/>
        <w:jc w:val="both"/>
        <w:rPr>
          <w:rFonts w:ascii="Times New Roman" w:hAnsi="Times New Roman"/>
        </w:rPr>
      </w:pPr>
    </w:p>
    <w:p w:rsidR="002B288B" w:rsidP="002B288B">
      <w:pPr>
        <w:bidi w:val="0"/>
        <w:ind w:firstLine="360"/>
        <w:jc w:val="both"/>
        <w:rPr>
          <w:rFonts w:ascii="Times New Roman" w:hAnsi="Times New Roman"/>
        </w:rPr>
      </w:pPr>
      <w:r>
        <w:rPr>
          <w:rFonts w:ascii="Times New Roman" w:hAnsi="Times New Roman"/>
        </w:rPr>
        <w:t xml:space="preserve">                                                                                                                        Tabuľka Ib</w:t>
      </w:r>
    </w:p>
    <w:tbl>
      <w:tblPr>
        <w:tblStyle w:val="TableGrid"/>
        <w:tblW w:w="0" w:type="auto"/>
        <w:jc w:val="center"/>
        <w:tblInd w:w="1080" w:type="dxa"/>
        <w:tblLook w:val="01E0"/>
      </w:tblPr>
      <w:tblGrid>
        <w:gridCol w:w="1970"/>
        <w:gridCol w:w="1308"/>
        <w:gridCol w:w="1308"/>
        <w:gridCol w:w="1241"/>
        <w:gridCol w:w="1226"/>
        <w:gridCol w:w="1155"/>
      </w:tblGrid>
      <w:tr>
        <w:tblPrEx>
          <w:tblW w:w="0" w:type="auto"/>
          <w:jc w:val="center"/>
          <w:tblInd w:w="1080" w:type="dxa"/>
          <w:tblLook w:val="01E0"/>
        </w:tblPrEx>
        <w:trPr>
          <w:jc w:val="center"/>
        </w:trPr>
        <w:tc>
          <w:tcPr>
            <w:tcW w:w="197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Počet vstupujúcich</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2008</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2009</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2010</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2011</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2012</w:t>
            </w:r>
          </w:p>
        </w:tc>
      </w:tr>
      <w:tr>
        <w:tblPrEx>
          <w:tblW w:w="0" w:type="auto"/>
          <w:jc w:val="center"/>
          <w:tblInd w:w="1080" w:type="dxa"/>
          <w:tblLook w:val="01E0"/>
        </w:tblPrEx>
        <w:trPr>
          <w:jc w:val="center"/>
        </w:trPr>
        <w:tc>
          <w:tcPr>
            <w:tcW w:w="197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5 000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0,1</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0,1</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0,1</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0,1</w:t>
            </w:r>
          </w:p>
        </w:tc>
      </w:tr>
      <w:tr>
        <w:tblPrEx>
          <w:tblW w:w="0" w:type="auto"/>
          <w:jc w:val="center"/>
          <w:tblInd w:w="1080" w:type="dxa"/>
          <w:tblLook w:val="01E0"/>
        </w:tblPrEx>
        <w:trPr>
          <w:jc w:val="center"/>
        </w:trPr>
        <w:tc>
          <w:tcPr>
            <w:tcW w:w="197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10 000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0,2</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0,1</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0,2</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0,2</w:t>
            </w:r>
          </w:p>
        </w:tc>
      </w:tr>
      <w:tr>
        <w:tblPrEx>
          <w:tblW w:w="0" w:type="auto"/>
          <w:jc w:val="center"/>
          <w:tblInd w:w="1080" w:type="dxa"/>
          <w:tblLook w:val="01E0"/>
        </w:tblPrEx>
        <w:trPr>
          <w:jc w:val="center"/>
        </w:trPr>
        <w:tc>
          <w:tcPr>
            <w:tcW w:w="197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15 000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0,2</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0,2</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0,2</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0,3</w:t>
            </w:r>
          </w:p>
        </w:tc>
      </w:tr>
      <w:tr>
        <w:tblPrEx>
          <w:tblW w:w="0" w:type="auto"/>
          <w:jc w:val="center"/>
          <w:tblInd w:w="1080" w:type="dxa"/>
          <w:tblLook w:val="01E0"/>
        </w:tblPrEx>
        <w:trPr>
          <w:jc w:val="center"/>
        </w:trPr>
        <w:tc>
          <w:tcPr>
            <w:tcW w:w="197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20 000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0,3</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0,3</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0,3</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0,4</w:t>
            </w:r>
          </w:p>
        </w:tc>
      </w:tr>
    </w:tbl>
    <w:p w:rsidR="002B288B" w:rsidP="002B288B">
      <w:pPr>
        <w:bidi w:val="0"/>
        <w:jc w:val="both"/>
        <w:rPr>
          <w:rFonts w:ascii="Times New Roman" w:hAnsi="Times New Roman"/>
        </w:rPr>
      </w:pPr>
    </w:p>
    <w:p w:rsidR="002B288B" w:rsidRPr="000C4279" w:rsidP="002B288B">
      <w:pPr>
        <w:bidi w:val="0"/>
        <w:ind w:firstLine="360"/>
        <w:jc w:val="both"/>
        <w:rPr>
          <w:rFonts w:ascii="Arial" w:hAnsi="Arial" w:cs="Arial"/>
          <w:sz w:val="22"/>
          <w:szCs w:val="22"/>
        </w:rPr>
      </w:pPr>
      <w:r w:rsidRPr="000C4279">
        <w:rPr>
          <w:rFonts w:ascii="Arial" w:hAnsi="Arial" w:cs="Arial"/>
          <w:sz w:val="22"/>
          <w:szCs w:val="22"/>
        </w:rPr>
        <w:t>Nižšie uvedená tabuľka sumarizuje negatívny vplyv na rozpočet Sociálnej poisťovne vyplývajúci z tabuliek 1a a 1b, resp. Ia a Ib (v mil. Sk, v mil. Eur):</w:t>
      </w:r>
    </w:p>
    <w:p w:rsidR="002B288B" w:rsidRPr="000C4279" w:rsidP="002B288B">
      <w:pPr>
        <w:bidi w:val="0"/>
        <w:jc w:val="both"/>
        <w:rPr>
          <w:rFonts w:ascii="Arial" w:hAnsi="Arial" w:cs="Arial"/>
          <w:sz w:val="22"/>
          <w:szCs w:val="22"/>
        </w:rPr>
      </w:pPr>
    </w:p>
    <w:p w:rsidR="002B288B" w:rsidP="002B288B">
      <w:pPr>
        <w:bidi w:val="0"/>
        <w:ind w:firstLine="360"/>
        <w:jc w:val="both"/>
        <w:rPr>
          <w:rFonts w:ascii="Times New Roman" w:hAnsi="Times New Roman"/>
        </w:rPr>
      </w:pPr>
      <w:r>
        <w:rPr>
          <w:rFonts w:ascii="Times New Roman" w:hAnsi="Times New Roman"/>
        </w:rPr>
        <w:t xml:space="preserve">                                                                                                                          Tabuľka 1</w:t>
      </w:r>
    </w:p>
    <w:tbl>
      <w:tblPr>
        <w:tblStyle w:val="TableGrid"/>
        <w:tblW w:w="0" w:type="auto"/>
        <w:jc w:val="center"/>
        <w:tblInd w:w="1134" w:type="dxa"/>
        <w:tblLook w:val="01E0"/>
      </w:tblPr>
      <w:tblGrid>
        <w:gridCol w:w="1916"/>
        <w:gridCol w:w="1308"/>
        <w:gridCol w:w="1308"/>
        <w:gridCol w:w="1241"/>
        <w:gridCol w:w="1226"/>
        <w:gridCol w:w="1155"/>
      </w:tblGrid>
      <w:tr>
        <w:tblPrEx>
          <w:tblW w:w="0" w:type="auto"/>
          <w:jc w:val="center"/>
          <w:tblInd w:w="1134" w:type="dxa"/>
          <w:tblLook w:val="01E0"/>
        </w:tblPrEx>
        <w:trPr>
          <w:jc w:val="center"/>
        </w:trPr>
        <w:tc>
          <w:tcPr>
            <w:tcW w:w="191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Počet vstupujúcich</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2008</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2009</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2010</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2011</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2012</w:t>
            </w:r>
          </w:p>
        </w:tc>
      </w:tr>
      <w:tr>
        <w:tblPrEx>
          <w:tblW w:w="0" w:type="auto"/>
          <w:jc w:val="center"/>
          <w:tblInd w:w="1134" w:type="dxa"/>
          <w:tblLook w:val="01E0"/>
        </w:tblPrEx>
        <w:trPr>
          <w:jc w:val="center"/>
        </w:trPr>
        <w:tc>
          <w:tcPr>
            <w:tcW w:w="191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5 000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8</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74</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92</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100</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109</w:t>
            </w:r>
          </w:p>
        </w:tc>
      </w:tr>
      <w:tr>
        <w:tblPrEx>
          <w:tblW w:w="0" w:type="auto"/>
          <w:jc w:val="center"/>
          <w:tblInd w:w="1134" w:type="dxa"/>
          <w:tblLook w:val="01E0"/>
        </w:tblPrEx>
        <w:trPr>
          <w:jc w:val="center"/>
        </w:trPr>
        <w:tc>
          <w:tcPr>
            <w:tcW w:w="191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10 000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16</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148</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183</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200</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219</w:t>
            </w:r>
          </w:p>
        </w:tc>
      </w:tr>
      <w:tr>
        <w:tblPrEx>
          <w:tblW w:w="0" w:type="auto"/>
          <w:jc w:val="center"/>
          <w:tblInd w:w="1134" w:type="dxa"/>
          <w:tblLook w:val="01E0"/>
        </w:tblPrEx>
        <w:trPr>
          <w:jc w:val="center"/>
        </w:trPr>
        <w:tc>
          <w:tcPr>
            <w:tcW w:w="191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15 000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25</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222</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275</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301</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328</w:t>
            </w:r>
          </w:p>
        </w:tc>
      </w:tr>
      <w:tr>
        <w:tblPrEx>
          <w:tblW w:w="0" w:type="auto"/>
          <w:jc w:val="center"/>
          <w:tblInd w:w="1134" w:type="dxa"/>
          <w:tblLook w:val="01E0"/>
        </w:tblPrEx>
        <w:trPr>
          <w:jc w:val="center"/>
        </w:trPr>
        <w:tc>
          <w:tcPr>
            <w:tcW w:w="191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20 000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33</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296</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367</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401</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438</w:t>
            </w:r>
          </w:p>
        </w:tc>
      </w:tr>
    </w:tbl>
    <w:p w:rsidR="002B288B" w:rsidRPr="006A1E48" w:rsidP="002B288B">
      <w:pPr>
        <w:bidi w:val="0"/>
        <w:ind w:firstLine="360"/>
        <w:jc w:val="both"/>
        <w:rPr>
          <w:rFonts w:ascii="Times New Roman" w:hAnsi="Times New Roman"/>
        </w:rPr>
      </w:pPr>
    </w:p>
    <w:p w:rsidR="002B288B" w:rsidP="002B288B">
      <w:pPr>
        <w:bidi w:val="0"/>
        <w:ind w:firstLine="360"/>
        <w:jc w:val="both"/>
        <w:rPr>
          <w:rFonts w:ascii="Times New Roman" w:hAnsi="Times New Roman"/>
        </w:rPr>
      </w:pPr>
      <w:r>
        <w:rPr>
          <w:rFonts w:ascii="Times New Roman" w:hAnsi="Times New Roman"/>
        </w:rPr>
        <w:t xml:space="preserve">                                                                                                                         Tabuľka I</w:t>
      </w:r>
    </w:p>
    <w:tbl>
      <w:tblPr>
        <w:tblStyle w:val="TableGrid"/>
        <w:tblW w:w="0" w:type="auto"/>
        <w:jc w:val="center"/>
        <w:tblInd w:w="1134" w:type="dxa"/>
        <w:tblLook w:val="01E0"/>
      </w:tblPr>
      <w:tblGrid>
        <w:gridCol w:w="1935"/>
        <w:gridCol w:w="1304"/>
        <w:gridCol w:w="1304"/>
        <w:gridCol w:w="1237"/>
        <w:gridCol w:w="1222"/>
        <w:gridCol w:w="1152"/>
      </w:tblGrid>
      <w:tr>
        <w:tblPrEx>
          <w:tblW w:w="0" w:type="auto"/>
          <w:jc w:val="center"/>
          <w:tblInd w:w="1134" w:type="dxa"/>
          <w:tblLook w:val="01E0"/>
        </w:tblPrEx>
        <w:trPr>
          <w:jc w:val="center"/>
        </w:trPr>
        <w:tc>
          <w:tcPr>
            <w:tcW w:w="193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Počet vstupujúcich</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2008</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2009</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2010</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2011</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2012</w:t>
            </w:r>
          </w:p>
        </w:tc>
      </w:tr>
      <w:tr>
        <w:tblPrEx>
          <w:tblW w:w="0" w:type="auto"/>
          <w:jc w:val="center"/>
          <w:tblInd w:w="1134" w:type="dxa"/>
          <w:tblLook w:val="01E0"/>
        </w:tblPrEx>
        <w:trPr>
          <w:jc w:val="center"/>
        </w:trPr>
        <w:tc>
          <w:tcPr>
            <w:tcW w:w="193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5 000</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0,3</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2,5</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3,0</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3,6</w:t>
            </w:r>
          </w:p>
        </w:tc>
      </w:tr>
      <w:tr>
        <w:tblPrEx>
          <w:tblW w:w="0" w:type="auto"/>
          <w:jc w:val="center"/>
          <w:tblInd w:w="1134" w:type="dxa"/>
          <w:tblLook w:val="01E0"/>
        </w:tblPrEx>
        <w:trPr>
          <w:jc w:val="center"/>
        </w:trPr>
        <w:tc>
          <w:tcPr>
            <w:tcW w:w="193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10 000</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0,5</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4,9</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6,1</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6,7</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7,3</w:t>
            </w:r>
          </w:p>
        </w:tc>
      </w:tr>
      <w:tr>
        <w:tblPrEx>
          <w:tblW w:w="0" w:type="auto"/>
          <w:jc w:val="center"/>
          <w:tblInd w:w="1134" w:type="dxa"/>
          <w:tblLook w:val="01E0"/>
        </w:tblPrEx>
        <w:trPr>
          <w:jc w:val="center"/>
        </w:trPr>
        <w:tc>
          <w:tcPr>
            <w:tcW w:w="193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15 000</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0,8</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7,4</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9,1</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10,9</w:t>
            </w:r>
          </w:p>
        </w:tc>
      </w:tr>
      <w:tr>
        <w:tblPrEx>
          <w:tblW w:w="0" w:type="auto"/>
          <w:jc w:val="center"/>
          <w:tblInd w:w="1134" w:type="dxa"/>
          <w:tblLook w:val="01E0"/>
        </w:tblPrEx>
        <w:trPr>
          <w:jc w:val="center"/>
        </w:trPr>
        <w:tc>
          <w:tcPr>
            <w:tcW w:w="193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20 000</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1,1</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9,8</w:t>
            </w:r>
          </w:p>
        </w:tc>
        <w:tc>
          <w:tcPr>
            <w:tcW w:w="1237"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12,2</w:t>
            </w:r>
          </w:p>
        </w:tc>
        <w:tc>
          <w:tcPr>
            <w:tcW w:w="122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13,3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14,5</w:t>
            </w:r>
          </w:p>
        </w:tc>
      </w:tr>
    </w:tbl>
    <w:p w:rsidR="002B288B" w:rsidP="002B288B">
      <w:pPr>
        <w:bidi w:val="0"/>
        <w:jc w:val="both"/>
        <w:rPr>
          <w:rFonts w:ascii="Times New Roman" w:hAnsi="Times New Roman"/>
        </w:rPr>
      </w:pPr>
    </w:p>
    <w:p w:rsidR="002B288B" w:rsidRPr="006A1E48" w:rsidP="002B288B">
      <w:pPr>
        <w:bidi w:val="0"/>
        <w:jc w:val="both"/>
        <w:rPr>
          <w:rFonts w:ascii="Times New Roman" w:hAnsi="Times New Roman"/>
        </w:rPr>
      </w:pPr>
    </w:p>
    <w:p w:rsidR="002B288B" w:rsidRPr="000C4279" w:rsidP="002B288B">
      <w:pPr>
        <w:bidi w:val="0"/>
        <w:ind w:left="720"/>
        <w:jc w:val="both"/>
        <w:rPr>
          <w:rFonts w:ascii="Arial" w:hAnsi="Arial" w:cs="Arial"/>
          <w:b/>
          <w:sz w:val="22"/>
          <w:szCs w:val="22"/>
        </w:rPr>
      </w:pPr>
      <w:r w:rsidRPr="000C4279">
        <w:rPr>
          <w:rFonts w:ascii="Arial" w:hAnsi="Arial" w:cs="Arial"/>
          <w:b/>
          <w:sz w:val="22"/>
          <w:szCs w:val="22"/>
        </w:rPr>
        <w:t>2 – Umožnenie výstupu zo systému starobného dôchodkového sporenia</w:t>
      </w:r>
    </w:p>
    <w:p w:rsidR="002B288B" w:rsidRPr="000C4279" w:rsidP="002B288B">
      <w:pPr>
        <w:bidi w:val="0"/>
        <w:ind w:firstLine="360"/>
        <w:jc w:val="both"/>
        <w:rPr>
          <w:rFonts w:ascii="Arial" w:hAnsi="Arial" w:cs="Arial"/>
          <w:sz w:val="22"/>
          <w:szCs w:val="22"/>
        </w:rPr>
      </w:pPr>
    </w:p>
    <w:p w:rsidR="002B288B" w:rsidP="002B288B">
      <w:pPr>
        <w:bidi w:val="0"/>
        <w:ind w:firstLine="360"/>
        <w:jc w:val="both"/>
        <w:rPr>
          <w:rFonts w:ascii="Arial" w:hAnsi="Arial" w:cs="Arial"/>
          <w:sz w:val="22"/>
          <w:szCs w:val="22"/>
        </w:rPr>
      </w:pPr>
      <w:r w:rsidRPr="000C4279">
        <w:rPr>
          <w:rFonts w:ascii="Arial" w:hAnsi="Arial" w:cs="Arial"/>
          <w:sz w:val="22"/>
          <w:szCs w:val="22"/>
        </w:rPr>
        <w:t>Nasledovná kvantifikácia obsahuje alternatívy, že umožnenie návratu do jednopilierového dôchodkového systému využije približne 30 000 až 150 000 sporiteľov. Vplyvom uvedeného návratu sa zvýšia príjmy Sociálnej poisťovne (v mil. Sk, v mil. Eur):</w:t>
      </w:r>
    </w:p>
    <w:p w:rsidR="00427DAF" w:rsidRPr="000C4279" w:rsidP="002B288B">
      <w:pPr>
        <w:bidi w:val="0"/>
        <w:ind w:firstLine="360"/>
        <w:jc w:val="both"/>
        <w:rPr>
          <w:rFonts w:ascii="Arial" w:hAnsi="Arial" w:cs="Arial"/>
          <w:sz w:val="22"/>
          <w:szCs w:val="22"/>
        </w:rPr>
      </w:pPr>
    </w:p>
    <w:p w:rsidR="002B288B" w:rsidP="002B288B">
      <w:pPr>
        <w:bidi w:val="0"/>
        <w:ind w:firstLine="360"/>
        <w:jc w:val="both"/>
        <w:rPr>
          <w:rFonts w:ascii="Times New Roman" w:hAnsi="Times New Roman"/>
        </w:rPr>
      </w:pPr>
    </w:p>
    <w:p w:rsidR="002B288B" w:rsidP="002B288B">
      <w:pPr>
        <w:bidi w:val="0"/>
        <w:ind w:firstLine="360"/>
        <w:jc w:val="both"/>
        <w:rPr>
          <w:rFonts w:ascii="Times New Roman" w:hAnsi="Times New Roman"/>
        </w:rPr>
      </w:pPr>
      <w:r>
        <w:rPr>
          <w:rFonts w:ascii="Times New Roman" w:hAnsi="Times New Roman"/>
        </w:rPr>
        <w:t xml:space="preserve">                                                                                                                       Tabuľka 2a</w:t>
      </w:r>
    </w:p>
    <w:tbl>
      <w:tblPr>
        <w:tblStyle w:val="TableGrid"/>
        <w:tblW w:w="0" w:type="auto"/>
        <w:jc w:val="center"/>
        <w:tblInd w:w="1134" w:type="dxa"/>
        <w:tblLook w:val="01E0"/>
      </w:tblPr>
      <w:tblGrid>
        <w:gridCol w:w="2061"/>
        <w:gridCol w:w="1163"/>
        <w:gridCol w:w="1308"/>
        <w:gridCol w:w="1241"/>
        <w:gridCol w:w="1226"/>
        <w:gridCol w:w="1155"/>
      </w:tblGrid>
      <w:tr>
        <w:tblPrEx>
          <w:tblW w:w="0" w:type="auto"/>
          <w:jc w:val="center"/>
          <w:tblInd w:w="1134" w:type="dxa"/>
          <w:tblLook w:val="01E0"/>
        </w:tblPrEx>
        <w:trPr>
          <w:jc w:val="center"/>
        </w:trPr>
        <w:tc>
          <w:tcPr>
            <w:tcW w:w="206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Počet vystupujúcich</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2008</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2009</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2010</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2011</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2012</w:t>
            </w:r>
          </w:p>
        </w:tc>
      </w:tr>
      <w:tr>
        <w:tblPrEx>
          <w:tblW w:w="0" w:type="auto"/>
          <w:jc w:val="center"/>
          <w:tblInd w:w="1134" w:type="dxa"/>
          <w:tblLook w:val="01E0"/>
        </w:tblPrEx>
        <w:trPr>
          <w:jc w:val="center"/>
        </w:trPr>
        <w:tc>
          <w:tcPr>
            <w:tcW w:w="206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30 000</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190</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1 713</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564</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616</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673</w:t>
            </w:r>
          </w:p>
        </w:tc>
      </w:tr>
      <w:tr>
        <w:tblPrEx>
          <w:tblW w:w="0" w:type="auto"/>
          <w:jc w:val="center"/>
          <w:tblInd w:w="1134" w:type="dxa"/>
          <w:tblLook w:val="01E0"/>
        </w:tblPrEx>
        <w:trPr>
          <w:jc w:val="center"/>
        </w:trPr>
        <w:tc>
          <w:tcPr>
            <w:tcW w:w="206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70 000</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444</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3 996</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1 316</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1 437</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1 569</w:t>
            </w:r>
          </w:p>
        </w:tc>
      </w:tr>
      <w:tr>
        <w:tblPrEx>
          <w:tblW w:w="0" w:type="auto"/>
          <w:jc w:val="center"/>
          <w:tblInd w:w="1134" w:type="dxa"/>
          <w:tblLook w:val="01E0"/>
        </w:tblPrEx>
        <w:trPr>
          <w:jc w:val="center"/>
        </w:trPr>
        <w:tc>
          <w:tcPr>
            <w:tcW w:w="206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110 000</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698</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6 280</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2 068</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2 259</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2 466</w:t>
            </w:r>
          </w:p>
        </w:tc>
      </w:tr>
      <w:tr>
        <w:tblPrEx>
          <w:tblW w:w="0" w:type="auto"/>
          <w:jc w:val="center"/>
          <w:tblInd w:w="1134" w:type="dxa"/>
          <w:tblLook w:val="01E0"/>
        </w:tblPrEx>
        <w:trPr>
          <w:jc w:val="center"/>
        </w:trPr>
        <w:tc>
          <w:tcPr>
            <w:tcW w:w="206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150 000</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951</w:t>
            </w:r>
          </w:p>
        </w:tc>
        <w:tc>
          <w:tcPr>
            <w:tcW w:w="130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8 563</w:t>
            </w:r>
          </w:p>
        </w:tc>
        <w:tc>
          <w:tcPr>
            <w:tcW w:w="1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2 820</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3 080</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3 363</w:t>
            </w:r>
          </w:p>
        </w:tc>
      </w:tr>
    </w:tbl>
    <w:p w:rsidR="002B288B" w:rsidP="002B288B">
      <w:pPr>
        <w:bidi w:val="0"/>
        <w:jc w:val="both"/>
        <w:rPr>
          <w:rFonts w:ascii="Times New Roman" w:hAnsi="Times New Roman"/>
        </w:rPr>
      </w:pPr>
      <w:r>
        <w:rPr>
          <w:rFonts w:ascii="Times New Roman" w:hAnsi="Times New Roman"/>
        </w:rPr>
        <w:t xml:space="preserve">        </w:t>
      </w:r>
    </w:p>
    <w:p w:rsidR="002B288B" w:rsidRPr="00E85EAB" w:rsidP="002B288B">
      <w:pPr>
        <w:bidi w:val="0"/>
        <w:jc w:val="both"/>
        <w:rPr>
          <w:rFonts w:ascii="Arial" w:hAnsi="Arial" w:cs="Arial"/>
          <w:sz w:val="22"/>
          <w:szCs w:val="22"/>
        </w:rPr>
      </w:pPr>
      <w:r>
        <w:rPr>
          <w:rFonts w:ascii="Times New Roman" w:hAnsi="Times New Roman"/>
        </w:rPr>
        <w:tab/>
      </w:r>
      <w:r w:rsidRPr="00E85EAB">
        <w:rPr>
          <w:rFonts w:ascii="Arial" w:hAnsi="Arial" w:cs="Arial"/>
          <w:sz w:val="22"/>
          <w:szCs w:val="22"/>
        </w:rPr>
        <w:t xml:space="preserve">Z celkového objemu finančných vplyvov uvedených v tabuľke 2a v roku 2009 sa predpokladá, že jednorazový vplyv (jednorázovo postúpené príspevky na starobné dôchodkové sporenie z dôchodkových správcovských spoločností) bude vo výške 1 395 mil. Sk pri 30 000 vystupujúcich, 3 254 mil. Sk pri 70 000 vystupujúcich, 5 114 mil. Sk pri 110 000 vystupujúcich a 6 974 mil. Sk pri 150 000 vystupujúcich. Z uvedenej </w:t>
      </w:r>
      <w:r>
        <w:rPr>
          <w:rFonts w:ascii="Arial" w:hAnsi="Arial" w:cs="Arial"/>
          <w:sz w:val="22"/>
          <w:szCs w:val="22"/>
        </w:rPr>
        <w:t>sumy odhadujeme, že</w:t>
      </w:r>
      <w:r w:rsidRPr="00E85EAB">
        <w:rPr>
          <w:rFonts w:ascii="Arial" w:hAnsi="Arial" w:cs="Arial"/>
          <w:sz w:val="22"/>
          <w:szCs w:val="22"/>
        </w:rPr>
        <w:t xml:space="preserve"> desatina bude prevedená už koncom roku 2008.</w:t>
      </w:r>
    </w:p>
    <w:p w:rsidR="002B288B" w:rsidRPr="006A1E48" w:rsidP="002B288B">
      <w:pPr>
        <w:bidi w:val="0"/>
        <w:jc w:val="both"/>
        <w:rPr>
          <w:rFonts w:ascii="Times New Roman" w:hAnsi="Times New Roman"/>
        </w:rPr>
      </w:pPr>
    </w:p>
    <w:p w:rsidR="002B288B" w:rsidP="002B288B">
      <w:pPr>
        <w:bidi w:val="0"/>
        <w:ind w:firstLine="360"/>
        <w:jc w:val="both"/>
        <w:rPr>
          <w:rFonts w:ascii="Times New Roman" w:hAnsi="Times New Roman"/>
        </w:rPr>
      </w:pPr>
      <w:r>
        <w:rPr>
          <w:rFonts w:ascii="Times New Roman" w:hAnsi="Times New Roman"/>
        </w:rPr>
        <w:t xml:space="preserve">                                                                                                                      Tabuľka IIa</w:t>
      </w:r>
    </w:p>
    <w:tbl>
      <w:tblPr>
        <w:tblStyle w:val="TableGrid"/>
        <w:tblW w:w="0" w:type="auto"/>
        <w:jc w:val="center"/>
        <w:tblInd w:w="1134" w:type="dxa"/>
        <w:tblLook w:val="01E0"/>
      </w:tblPr>
      <w:tblGrid>
        <w:gridCol w:w="2046"/>
        <w:gridCol w:w="1278"/>
        <w:gridCol w:w="1280"/>
        <w:gridCol w:w="1214"/>
        <w:gridCol w:w="1202"/>
        <w:gridCol w:w="1134"/>
      </w:tblGrid>
      <w:tr>
        <w:tblPrEx>
          <w:tblW w:w="0" w:type="auto"/>
          <w:jc w:val="center"/>
          <w:tblInd w:w="1134" w:type="dxa"/>
          <w:tblLook w:val="01E0"/>
        </w:tblPrEx>
        <w:trPr>
          <w:jc w:val="center"/>
        </w:trPr>
        <w:tc>
          <w:tcPr>
            <w:tcW w:w="204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Počet vystupujúcich</w:t>
            </w:r>
          </w:p>
        </w:tc>
        <w:tc>
          <w:tcPr>
            <w:tcW w:w="127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2008</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2009</w:t>
            </w:r>
          </w:p>
        </w:tc>
        <w:tc>
          <w:tcPr>
            <w:tcW w:w="121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2010</w:t>
            </w:r>
          </w:p>
        </w:tc>
        <w:tc>
          <w:tcPr>
            <w:tcW w:w="120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2011</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2012</w:t>
            </w:r>
          </w:p>
        </w:tc>
      </w:tr>
      <w:tr>
        <w:tblPrEx>
          <w:tblW w:w="0" w:type="auto"/>
          <w:jc w:val="center"/>
          <w:tblInd w:w="1134" w:type="dxa"/>
          <w:tblLook w:val="01E0"/>
        </w:tblPrEx>
        <w:trPr>
          <w:jc w:val="center"/>
        </w:trPr>
        <w:tc>
          <w:tcPr>
            <w:tcW w:w="204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30 000</w:t>
            </w:r>
          </w:p>
        </w:tc>
        <w:tc>
          <w:tcPr>
            <w:tcW w:w="127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6,3</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56,8</w:t>
            </w:r>
          </w:p>
        </w:tc>
        <w:tc>
          <w:tcPr>
            <w:tcW w:w="121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18,7</w:t>
            </w:r>
          </w:p>
        </w:tc>
        <w:tc>
          <w:tcPr>
            <w:tcW w:w="120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22,3</w:t>
            </w:r>
          </w:p>
        </w:tc>
      </w:tr>
      <w:tr>
        <w:tblPrEx>
          <w:tblW w:w="0" w:type="auto"/>
          <w:jc w:val="center"/>
          <w:tblInd w:w="1134" w:type="dxa"/>
          <w:tblLook w:val="01E0"/>
        </w:tblPrEx>
        <w:trPr>
          <w:jc w:val="center"/>
        </w:trPr>
        <w:tc>
          <w:tcPr>
            <w:tcW w:w="204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70 000</w:t>
            </w:r>
          </w:p>
        </w:tc>
        <w:tc>
          <w:tcPr>
            <w:tcW w:w="127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14,7</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132,6</w:t>
            </w:r>
          </w:p>
        </w:tc>
        <w:tc>
          <w:tcPr>
            <w:tcW w:w="121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43,7</w:t>
            </w:r>
          </w:p>
        </w:tc>
        <w:tc>
          <w:tcPr>
            <w:tcW w:w="120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47,7</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52,1</w:t>
            </w:r>
          </w:p>
        </w:tc>
      </w:tr>
      <w:tr>
        <w:tblPrEx>
          <w:tblW w:w="0" w:type="auto"/>
          <w:jc w:val="center"/>
          <w:tblInd w:w="1134" w:type="dxa"/>
          <w:tblLook w:val="01E0"/>
        </w:tblPrEx>
        <w:trPr>
          <w:jc w:val="center"/>
        </w:trPr>
        <w:tc>
          <w:tcPr>
            <w:tcW w:w="204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110 000</w:t>
            </w:r>
          </w:p>
        </w:tc>
        <w:tc>
          <w:tcPr>
            <w:tcW w:w="127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23,2</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208,4</w:t>
            </w:r>
          </w:p>
        </w:tc>
        <w:tc>
          <w:tcPr>
            <w:tcW w:w="121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68,6</w:t>
            </w:r>
          </w:p>
        </w:tc>
        <w:tc>
          <w:tcPr>
            <w:tcW w:w="120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81,9</w:t>
            </w:r>
          </w:p>
        </w:tc>
      </w:tr>
      <w:tr>
        <w:tblPrEx>
          <w:tblW w:w="0" w:type="auto"/>
          <w:jc w:val="center"/>
          <w:tblInd w:w="1134" w:type="dxa"/>
          <w:tblLook w:val="01E0"/>
        </w:tblPrEx>
        <w:trPr>
          <w:jc w:val="center"/>
        </w:trPr>
        <w:tc>
          <w:tcPr>
            <w:tcW w:w="2046"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150 000</w:t>
            </w:r>
          </w:p>
        </w:tc>
        <w:tc>
          <w:tcPr>
            <w:tcW w:w="1278"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31,6</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284,2</w:t>
            </w:r>
          </w:p>
        </w:tc>
        <w:tc>
          <w:tcPr>
            <w:tcW w:w="121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93,6</w:t>
            </w:r>
          </w:p>
        </w:tc>
        <w:tc>
          <w:tcPr>
            <w:tcW w:w="120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102,2</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111,6</w:t>
            </w:r>
          </w:p>
        </w:tc>
      </w:tr>
    </w:tbl>
    <w:p w:rsidR="002B288B" w:rsidP="002B288B">
      <w:pPr>
        <w:bidi w:val="0"/>
        <w:jc w:val="both"/>
        <w:rPr>
          <w:rFonts w:ascii="Arial" w:hAnsi="Arial" w:cs="Arial"/>
          <w:bCs/>
          <w:sz w:val="22"/>
          <w:szCs w:val="22"/>
        </w:rPr>
      </w:pPr>
    </w:p>
    <w:p w:rsidR="002B288B" w:rsidRPr="000C4279" w:rsidP="002B288B">
      <w:pPr>
        <w:bidi w:val="0"/>
        <w:ind w:firstLine="360"/>
        <w:jc w:val="both"/>
        <w:rPr>
          <w:rFonts w:ascii="Arial" w:hAnsi="Arial" w:cs="Arial"/>
          <w:bCs/>
          <w:sz w:val="22"/>
          <w:szCs w:val="22"/>
        </w:rPr>
      </w:pPr>
      <w:r w:rsidRPr="000C4279">
        <w:rPr>
          <w:rFonts w:ascii="Arial" w:hAnsi="Arial" w:cs="Arial"/>
          <w:bCs/>
          <w:sz w:val="22"/>
          <w:szCs w:val="22"/>
        </w:rPr>
        <w:t>Z príspevkov vrátených do Sociálnej poisťovne a z príjmov z bežného poistného si Sociálna poisťovňa vytvorí správny fond v nižšie uvedenej výške (v mil. Sk, v mil. EUR):</w:t>
      </w:r>
    </w:p>
    <w:p w:rsidR="002B288B" w:rsidP="002B288B">
      <w:pPr>
        <w:bidi w:val="0"/>
        <w:ind w:firstLine="360"/>
        <w:jc w:val="both"/>
        <w:rPr>
          <w:rFonts w:ascii="Times New Roman" w:hAnsi="Times New Roman"/>
        </w:rPr>
      </w:pPr>
      <w:r>
        <w:rPr>
          <w:rFonts w:ascii="Times New Roman" w:hAnsi="Times New Roman"/>
        </w:rPr>
        <w:t xml:space="preserve">                                                                       </w:t>
      </w:r>
    </w:p>
    <w:p w:rsidR="002B288B" w:rsidP="002B288B">
      <w:pPr>
        <w:bidi w:val="0"/>
        <w:ind w:firstLine="360"/>
        <w:jc w:val="both"/>
        <w:rPr>
          <w:rFonts w:ascii="Times New Roman" w:hAnsi="Times New Roman"/>
        </w:rPr>
      </w:pPr>
      <w:r>
        <w:rPr>
          <w:rFonts w:ascii="Times New Roman" w:hAnsi="Times New Roman"/>
        </w:rPr>
        <w:t xml:space="preserve">                                                                                                                       Tabuľka 2b</w:t>
      </w:r>
    </w:p>
    <w:tbl>
      <w:tblPr>
        <w:tblStyle w:val="TableGrid"/>
        <w:tblW w:w="0" w:type="auto"/>
        <w:jc w:val="center"/>
        <w:tblInd w:w="1134" w:type="dxa"/>
        <w:tblLook w:val="01E0"/>
      </w:tblPr>
      <w:tblGrid>
        <w:gridCol w:w="2160"/>
        <w:gridCol w:w="1165"/>
        <w:gridCol w:w="1280"/>
        <w:gridCol w:w="1215"/>
        <w:gridCol w:w="1201"/>
        <w:gridCol w:w="1133"/>
      </w:tblGrid>
      <w:tr>
        <w:tblPrEx>
          <w:tblW w:w="0" w:type="auto"/>
          <w:jc w:val="center"/>
          <w:tblInd w:w="1134" w:type="dxa"/>
          <w:tblLook w:val="01E0"/>
        </w:tblPrEx>
        <w:trPr>
          <w:jc w:val="center"/>
        </w:trPr>
        <w:tc>
          <w:tcPr>
            <w:tcW w:w="216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Počet vystupujúcich</w:t>
            </w:r>
          </w:p>
        </w:tc>
        <w:tc>
          <w:tcPr>
            <w:tcW w:w="116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2008</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2009</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2010</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2011</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2012</w:t>
            </w:r>
          </w:p>
        </w:tc>
      </w:tr>
      <w:tr>
        <w:tblPrEx>
          <w:tblW w:w="0" w:type="auto"/>
          <w:jc w:val="center"/>
          <w:tblInd w:w="1134" w:type="dxa"/>
          <w:tblLook w:val="01E0"/>
        </w:tblPrEx>
        <w:trPr>
          <w:jc w:val="center"/>
        </w:trPr>
        <w:tc>
          <w:tcPr>
            <w:tcW w:w="216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30 000</w:t>
            </w:r>
          </w:p>
        </w:tc>
        <w:tc>
          <w:tcPr>
            <w:tcW w:w="116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51</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14</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16</w:t>
            </w:r>
          </w:p>
        </w:tc>
      </w:tr>
      <w:tr>
        <w:tblPrEx>
          <w:tblW w:w="0" w:type="auto"/>
          <w:jc w:val="center"/>
          <w:tblInd w:w="1134" w:type="dxa"/>
          <w:tblLook w:val="01E0"/>
        </w:tblPrEx>
        <w:trPr>
          <w:jc w:val="center"/>
        </w:trPr>
        <w:tc>
          <w:tcPr>
            <w:tcW w:w="216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70 000</w:t>
            </w:r>
          </w:p>
        </w:tc>
        <w:tc>
          <w:tcPr>
            <w:tcW w:w="116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13</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120</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32</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34</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38</w:t>
            </w:r>
          </w:p>
        </w:tc>
      </w:tr>
      <w:tr>
        <w:tblPrEx>
          <w:tblW w:w="0" w:type="auto"/>
          <w:jc w:val="center"/>
          <w:tblInd w:w="1134" w:type="dxa"/>
          <w:tblLook w:val="01E0"/>
        </w:tblPrEx>
        <w:trPr>
          <w:jc w:val="center"/>
        </w:trPr>
        <w:tc>
          <w:tcPr>
            <w:tcW w:w="216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110 000</w:t>
            </w:r>
          </w:p>
        </w:tc>
        <w:tc>
          <w:tcPr>
            <w:tcW w:w="116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21</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188</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50</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54</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59</w:t>
            </w:r>
          </w:p>
        </w:tc>
      </w:tr>
      <w:tr>
        <w:tblPrEx>
          <w:tblW w:w="0" w:type="auto"/>
          <w:jc w:val="center"/>
          <w:tblInd w:w="1134" w:type="dxa"/>
          <w:tblLook w:val="01E0"/>
        </w:tblPrEx>
        <w:trPr>
          <w:jc w:val="center"/>
        </w:trPr>
        <w:tc>
          <w:tcPr>
            <w:tcW w:w="216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150 000</w:t>
            </w:r>
          </w:p>
        </w:tc>
        <w:tc>
          <w:tcPr>
            <w:tcW w:w="116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29</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257</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68</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74</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81</w:t>
            </w:r>
          </w:p>
        </w:tc>
      </w:tr>
    </w:tbl>
    <w:p w:rsidR="002B288B" w:rsidRPr="006A1E48" w:rsidP="002B288B">
      <w:pPr>
        <w:bidi w:val="0"/>
        <w:jc w:val="both"/>
        <w:rPr>
          <w:rFonts w:ascii="Times New Roman" w:hAnsi="Times New Roman"/>
        </w:rPr>
      </w:pPr>
    </w:p>
    <w:p w:rsidR="002B288B" w:rsidP="002B288B">
      <w:pPr>
        <w:bidi w:val="0"/>
        <w:ind w:firstLine="360"/>
        <w:jc w:val="both"/>
        <w:rPr>
          <w:rFonts w:ascii="Times New Roman" w:hAnsi="Times New Roman"/>
        </w:rPr>
      </w:pPr>
      <w:r>
        <w:rPr>
          <w:rFonts w:ascii="Times New Roman" w:hAnsi="Times New Roman"/>
        </w:rPr>
        <w:t xml:space="preserve">                                                                                                                      Tabuľka IIb</w:t>
      </w:r>
    </w:p>
    <w:tbl>
      <w:tblPr>
        <w:tblStyle w:val="TableGrid"/>
        <w:tblW w:w="0" w:type="auto"/>
        <w:jc w:val="center"/>
        <w:tblInd w:w="1134" w:type="dxa"/>
        <w:tblLook w:val="01E0"/>
      </w:tblPr>
      <w:tblGrid>
        <w:gridCol w:w="2241"/>
        <w:gridCol w:w="1084"/>
        <w:gridCol w:w="1280"/>
        <w:gridCol w:w="1215"/>
        <w:gridCol w:w="1201"/>
        <w:gridCol w:w="1133"/>
      </w:tblGrid>
      <w:tr>
        <w:tblPrEx>
          <w:tblW w:w="0" w:type="auto"/>
          <w:jc w:val="center"/>
          <w:tblInd w:w="1134" w:type="dxa"/>
          <w:tblLook w:val="01E0"/>
        </w:tblPrEx>
        <w:trPr>
          <w:jc w:val="center"/>
        </w:trPr>
        <w:tc>
          <w:tcPr>
            <w:tcW w:w="2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Počet vystupujúcich</w:t>
            </w:r>
          </w:p>
        </w:tc>
        <w:tc>
          <w:tcPr>
            <w:tcW w:w="108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2008</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2009</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2010</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2011</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2012</w:t>
            </w:r>
          </w:p>
        </w:tc>
      </w:tr>
      <w:tr>
        <w:tblPrEx>
          <w:tblW w:w="0" w:type="auto"/>
          <w:jc w:val="center"/>
          <w:tblInd w:w="1134" w:type="dxa"/>
          <w:tblLook w:val="01E0"/>
        </w:tblPrEx>
        <w:trPr>
          <w:jc w:val="center"/>
        </w:trPr>
        <w:tc>
          <w:tcPr>
            <w:tcW w:w="2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30 000</w:t>
            </w:r>
          </w:p>
        </w:tc>
        <w:tc>
          <w:tcPr>
            <w:tcW w:w="108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0,2</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1,7</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0,4</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0,5</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0,5</w:t>
            </w:r>
          </w:p>
        </w:tc>
      </w:tr>
      <w:tr>
        <w:tblPrEx>
          <w:tblW w:w="0" w:type="auto"/>
          <w:jc w:val="center"/>
          <w:tblInd w:w="1134" w:type="dxa"/>
          <w:tblLook w:val="01E0"/>
        </w:tblPrEx>
        <w:trPr>
          <w:jc w:val="center"/>
        </w:trPr>
        <w:tc>
          <w:tcPr>
            <w:tcW w:w="2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70 000</w:t>
            </w:r>
          </w:p>
        </w:tc>
        <w:tc>
          <w:tcPr>
            <w:tcW w:w="108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0,4</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4,0</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1,1</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1,3</w:t>
            </w:r>
          </w:p>
        </w:tc>
      </w:tr>
      <w:tr>
        <w:tblPrEx>
          <w:tblW w:w="0" w:type="auto"/>
          <w:jc w:val="center"/>
          <w:tblInd w:w="1134" w:type="dxa"/>
          <w:tblLook w:val="01E0"/>
        </w:tblPrEx>
        <w:trPr>
          <w:jc w:val="center"/>
        </w:trPr>
        <w:tc>
          <w:tcPr>
            <w:tcW w:w="2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110 000</w:t>
            </w:r>
          </w:p>
        </w:tc>
        <w:tc>
          <w:tcPr>
            <w:tcW w:w="108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0,7</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6,3</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1,6</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1,8</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w:t>
            </w:r>
          </w:p>
        </w:tc>
      </w:tr>
      <w:tr>
        <w:tblPrEx>
          <w:tblW w:w="0" w:type="auto"/>
          <w:jc w:val="center"/>
          <w:tblInd w:w="1134" w:type="dxa"/>
          <w:tblLook w:val="01E0"/>
        </w:tblPrEx>
        <w:trPr>
          <w:jc w:val="center"/>
        </w:trPr>
        <w:tc>
          <w:tcPr>
            <w:tcW w:w="224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150 000</w:t>
            </w:r>
          </w:p>
        </w:tc>
        <w:tc>
          <w:tcPr>
            <w:tcW w:w="1084"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0,9</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8,5</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2,2</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2,5</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2,7</w:t>
            </w:r>
          </w:p>
        </w:tc>
      </w:tr>
    </w:tbl>
    <w:p w:rsidR="002B288B" w:rsidP="002B288B">
      <w:pPr>
        <w:bidi w:val="0"/>
        <w:jc w:val="both"/>
        <w:rPr>
          <w:rFonts w:ascii="Times New Roman" w:hAnsi="Times New Roman"/>
          <w:bCs/>
        </w:rPr>
      </w:pPr>
    </w:p>
    <w:p w:rsidR="002B288B" w:rsidRPr="000C4279" w:rsidP="002B288B">
      <w:pPr>
        <w:bidi w:val="0"/>
        <w:ind w:firstLine="390"/>
        <w:jc w:val="both"/>
        <w:rPr>
          <w:rFonts w:ascii="Arial" w:hAnsi="Arial" w:cs="Arial"/>
          <w:bCs/>
          <w:sz w:val="22"/>
          <w:szCs w:val="22"/>
        </w:rPr>
      </w:pPr>
      <w:r w:rsidRPr="000C4279">
        <w:rPr>
          <w:rFonts w:ascii="Arial" w:hAnsi="Arial" w:cs="Arial"/>
          <w:bCs/>
          <w:sz w:val="22"/>
          <w:szCs w:val="22"/>
        </w:rPr>
        <w:t>Zlepšenie bilancie Sociálnej poisťovne vplyvom navrhnutej zmeny je uvedené v tabuľke 2  resp. tabuľke II., ktorá sumarizuje tabuľky 2a a 2b (tabuľky II.a a II.b):</w:t>
      </w:r>
    </w:p>
    <w:p w:rsidR="002B288B" w:rsidRPr="000C4279" w:rsidP="002B288B">
      <w:pPr>
        <w:bidi w:val="0"/>
        <w:jc w:val="both"/>
        <w:rPr>
          <w:rFonts w:ascii="Arial" w:hAnsi="Arial" w:cs="Arial"/>
          <w:bCs/>
          <w:sz w:val="22"/>
          <w:szCs w:val="22"/>
        </w:rPr>
      </w:pPr>
      <w:r w:rsidRPr="000C4279">
        <w:rPr>
          <w:rFonts w:ascii="Arial" w:hAnsi="Arial" w:cs="Arial"/>
          <w:bCs/>
          <w:sz w:val="22"/>
          <w:szCs w:val="22"/>
        </w:rPr>
        <w:t xml:space="preserve">    </w:t>
      </w:r>
    </w:p>
    <w:p w:rsidR="002B288B" w:rsidP="002B288B">
      <w:pPr>
        <w:bidi w:val="0"/>
        <w:ind w:firstLine="360"/>
        <w:jc w:val="both"/>
        <w:rPr>
          <w:rFonts w:ascii="Times New Roman" w:hAnsi="Times New Roman"/>
        </w:rPr>
      </w:pPr>
      <w:r>
        <w:rPr>
          <w:rFonts w:ascii="Times New Roman" w:hAnsi="Times New Roman"/>
        </w:rPr>
        <w:t xml:space="preserve">                                                                                                                        Tabuľka 2</w:t>
      </w:r>
    </w:p>
    <w:tbl>
      <w:tblPr>
        <w:tblStyle w:val="TableGrid"/>
        <w:tblW w:w="0" w:type="auto"/>
        <w:jc w:val="center"/>
        <w:tblInd w:w="1332" w:type="dxa"/>
        <w:tblLook w:val="01E0"/>
      </w:tblPr>
      <w:tblGrid>
        <w:gridCol w:w="2142"/>
        <w:gridCol w:w="985"/>
        <w:gridCol w:w="1280"/>
        <w:gridCol w:w="1215"/>
        <w:gridCol w:w="1201"/>
        <w:gridCol w:w="1133"/>
      </w:tblGrid>
      <w:tr>
        <w:tblPrEx>
          <w:tblW w:w="0" w:type="auto"/>
          <w:jc w:val="center"/>
          <w:tblInd w:w="1332" w:type="dxa"/>
          <w:tblLook w:val="01E0"/>
        </w:tblPrEx>
        <w:trPr>
          <w:jc w:val="center"/>
        </w:trPr>
        <w:tc>
          <w:tcPr>
            <w:tcW w:w="214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Počet vystupujúcich</w:t>
            </w:r>
          </w:p>
        </w:tc>
        <w:tc>
          <w:tcPr>
            <w:tcW w:w="98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2008</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2009</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2010</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2011</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2012</w:t>
            </w:r>
          </w:p>
        </w:tc>
      </w:tr>
      <w:tr>
        <w:tblPrEx>
          <w:tblW w:w="0" w:type="auto"/>
          <w:jc w:val="center"/>
          <w:tblInd w:w="1332" w:type="dxa"/>
          <w:tblLook w:val="01E0"/>
        </w:tblPrEx>
        <w:trPr>
          <w:jc w:val="center"/>
        </w:trPr>
        <w:tc>
          <w:tcPr>
            <w:tcW w:w="214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30 000</w:t>
            </w:r>
          </w:p>
        </w:tc>
        <w:tc>
          <w:tcPr>
            <w:tcW w:w="98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185</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1 661</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550</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601</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656</w:t>
            </w:r>
          </w:p>
        </w:tc>
      </w:tr>
      <w:tr>
        <w:tblPrEx>
          <w:tblW w:w="0" w:type="auto"/>
          <w:jc w:val="center"/>
          <w:tblInd w:w="1332" w:type="dxa"/>
          <w:tblLook w:val="01E0"/>
        </w:tblPrEx>
        <w:trPr>
          <w:jc w:val="center"/>
        </w:trPr>
        <w:tc>
          <w:tcPr>
            <w:tcW w:w="214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70 000</w:t>
            </w:r>
          </w:p>
        </w:tc>
        <w:tc>
          <w:tcPr>
            <w:tcW w:w="98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431</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3 876</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1 284</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1 403</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1 532</w:t>
            </w:r>
          </w:p>
        </w:tc>
      </w:tr>
      <w:tr>
        <w:tblPrEx>
          <w:tblW w:w="0" w:type="auto"/>
          <w:jc w:val="center"/>
          <w:tblInd w:w="1332" w:type="dxa"/>
          <w:tblLook w:val="01E0"/>
        </w:tblPrEx>
        <w:trPr>
          <w:jc w:val="center"/>
        </w:trPr>
        <w:tc>
          <w:tcPr>
            <w:tcW w:w="214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110 000</w:t>
            </w:r>
          </w:p>
        </w:tc>
        <w:tc>
          <w:tcPr>
            <w:tcW w:w="98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677</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6 091</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2 018</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2 204</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2 407</w:t>
            </w:r>
          </w:p>
        </w:tc>
      </w:tr>
      <w:tr>
        <w:tblPrEx>
          <w:tblW w:w="0" w:type="auto"/>
          <w:jc w:val="center"/>
          <w:tblInd w:w="1332" w:type="dxa"/>
          <w:tblLook w:val="01E0"/>
        </w:tblPrEx>
        <w:trPr>
          <w:jc w:val="center"/>
        </w:trPr>
        <w:tc>
          <w:tcPr>
            <w:tcW w:w="214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150 000</w:t>
            </w:r>
          </w:p>
        </w:tc>
        <w:tc>
          <w:tcPr>
            <w:tcW w:w="98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923</w:t>
            </w:r>
          </w:p>
        </w:tc>
        <w:tc>
          <w:tcPr>
            <w:tcW w:w="128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8 306</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2 752</w:t>
            </w:r>
          </w:p>
        </w:tc>
        <w:tc>
          <w:tcPr>
            <w:tcW w:w="120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3 006</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3 282</w:t>
            </w:r>
          </w:p>
        </w:tc>
      </w:tr>
    </w:tbl>
    <w:p w:rsidR="002B288B" w:rsidP="002B288B">
      <w:pPr>
        <w:bidi w:val="0"/>
        <w:jc w:val="both"/>
        <w:rPr>
          <w:rFonts w:ascii="Times New Roman" w:hAnsi="Times New Roman"/>
        </w:rPr>
      </w:pPr>
    </w:p>
    <w:p w:rsidR="00427DAF" w:rsidP="002B288B">
      <w:pPr>
        <w:bidi w:val="0"/>
        <w:jc w:val="both"/>
        <w:rPr>
          <w:rFonts w:ascii="Times New Roman" w:hAnsi="Times New Roman"/>
        </w:rPr>
      </w:pPr>
    </w:p>
    <w:p w:rsidR="00427DAF" w:rsidP="002B288B">
      <w:pPr>
        <w:bidi w:val="0"/>
        <w:jc w:val="both"/>
        <w:rPr>
          <w:rFonts w:ascii="Times New Roman" w:hAnsi="Times New Roman"/>
        </w:rPr>
      </w:pPr>
    </w:p>
    <w:p w:rsidR="00427DAF" w:rsidP="002B288B">
      <w:pPr>
        <w:bidi w:val="0"/>
        <w:jc w:val="both"/>
        <w:rPr>
          <w:rFonts w:ascii="Times New Roman" w:hAnsi="Times New Roman"/>
        </w:rPr>
      </w:pPr>
    </w:p>
    <w:p w:rsidR="00427DAF" w:rsidRPr="006A1E48" w:rsidP="002B288B">
      <w:pPr>
        <w:bidi w:val="0"/>
        <w:jc w:val="both"/>
        <w:rPr>
          <w:rFonts w:ascii="Times New Roman" w:hAnsi="Times New Roman"/>
        </w:rPr>
      </w:pPr>
    </w:p>
    <w:p w:rsidR="002B288B" w:rsidP="002B288B">
      <w:pPr>
        <w:bidi w:val="0"/>
        <w:ind w:firstLine="360"/>
        <w:jc w:val="both"/>
        <w:rPr>
          <w:rFonts w:ascii="Times New Roman" w:hAnsi="Times New Roman"/>
        </w:rPr>
      </w:pPr>
      <w:r>
        <w:rPr>
          <w:rFonts w:ascii="Times New Roman" w:hAnsi="Times New Roman"/>
        </w:rPr>
        <w:t xml:space="preserve">                                                                                                                      Tabuľka II</w:t>
      </w:r>
    </w:p>
    <w:tbl>
      <w:tblPr>
        <w:tblStyle w:val="TableGrid"/>
        <w:tblW w:w="0" w:type="auto"/>
        <w:jc w:val="center"/>
        <w:tblInd w:w="1332" w:type="dxa"/>
        <w:tblLook w:val="01E0"/>
      </w:tblPr>
      <w:tblGrid>
        <w:gridCol w:w="2142"/>
        <w:gridCol w:w="983"/>
        <w:gridCol w:w="1281"/>
        <w:gridCol w:w="1215"/>
        <w:gridCol w:w="1200"/>
        <w:gridCol w:w="1135"/>
      </w:tblGrid>
      <w:tr>
        <w:tblPrEx>
          <w:tblW w:w="0" w:type="auto"/>
          <w:jc w:val="center"/>
          <w:tblInd w:w="1332" w:type="dxa"/>
          <w:tblLook w:val="01E0"/>
        </w:tblPrEx>
        <w:trPr>
          <w:jc w:val="center"/>
        </w:trPr>
        <w:tc>
          <w:tcPr>
            <w:tcW w:w="214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Počet vystupujúcich</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2008</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2009</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2010</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sidRPr="00F37A8A">
              <w:rPr>
                <w:rFonts w:ascii="Times New Roman" w:hAnsi="Times New Roman"/>
                <w:sz w:val="22"/>
                <w:szCs w:val="22"/>
              </w:rPr>
              <w:t>2011</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2012</w:t>
            </w:r>
          </w:p>
        </w:tc>
      </w:tr>
      <w:tr>
        <w:tblPrEx>
          <w:tblW w:w="0" w:type="auto"/>
          <w:jc w:val="center"/>
          <w:tblInd w:w="1332" w:type="dxa"/>
          <w:tblLook w:val="01E0"/>
        </w:tblPrEx>
        <w:trPr>
          <w:jc w:val="center"/>
        </w:trPr>
        <w:tc>
          <w:tcPr>
            <w:tcW w:w="214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30 000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6,1</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55,1</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18,3</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20,0</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21,8</w:t>
            </w:r>
          </w:p>
        </w:tc>
      </w:tr>
      <w:tr>
        <w:tblPrEx>
          <w:tblW w:w="0" w:type="auto"/>
          <w:jc w:val="center"/>
          <w:tblInd w:w="1332" w:type="dxa"/>
          <w:tblLook w:val="01E0"/>
        </w:tblPrEx>
        <w:trPr>
          <w:jc w:val="center"/>
        </w:trPr>
        <w:tc>
          <w:tcPr>
            <w:tcW w:w="214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70 000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14,3</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128,7</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42,6</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46,6</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50,8</w:t>
            </w:r>
          </w:p>
        </w:tc>
      </w:tr>
      <w:tr>
        <w:tblPrEx>
          <w:tblW w:w="0" w:type="auto"/>
          <w:jc w:val="center"/>
          <w:tblInd w:w="1332" w:type="dxa"/>
          <w:tblLook w:val="01E0"/>
        </w:tblPrEx>
        <w:trPr>
          <w:jc w:val="center"/>
        </w:trPr>
        <w:tc>
          <w:tcPr>
            <w:tcW w:w="214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110 000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22,5</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202,2</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67,0</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73,2</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79,9</w:t>
            </w:r>
          </w:p>
        </w:tc>
      </w:tr>
      <w:tr>
        <w:tblPrEx>
          <w:tblW w:w="0" w:type="auto"/>
          <w:jc w:val="center"/>
          <w:tblInd w:w="1332" w:type="dxa"/>
          <w:tblLook w:val="01E0"/>
        </w:tblPrEx>
        <w:trPr>
          <w:jc w:val="center"/>
        </w:trPr>
        <w:tc>
          <w:tcPr>
            <w:tcW w:w="2142"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150 000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30,6</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275,7</w:t>
            </w:r>
          </w:p>
        </w:tc>
        <w:tc>
          <w:tcPr>
            <w:tcW w:w="121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91,4</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99,8</w:t>
            </w:r>
          </w:p>
        </w:tc>
        <w:tc>
          <w:tcPr>
            <w:tcW w:w="1135" w:type="dxa"/>
            <w:tcBorders>
              <w:top w:val="single" w:sz="4" w:space="0" w:color="auto"/>
              <w:left w:val="single" w:sz="4" w:space="0" w:color="auto"/>
              <w:bottom w:val="single" w:sz="4" w:space="0" w:color="auto"/>
              <w:right w:val="single" w:sz="4" w:space="0" w:color="auto"/>
            </w:tcBorders>
            <w:textDirection w:val="lrTb"/>
            <w:vAlign w:val="top"/>
          </w:tcPr>
          <w:p w:rsidR="002B288B" w:rsidRPr="00F37A8A" w:rsidP="00450CA0">
            <w:pPr>
              <w:bidi w:val="0"/>
              <w:jc w:val="center"/>
              <w:rPr>
                <w:rFonts w:ascii="Times New Roman" w:hAnsi="Times New Roman"/>
                <w:sz w:val="22"/>
                <w:szCs w:val="22"/>
              </w:rPr>
            </w:pPr>
            <w:r>
              <w:rPr>
                <w:rFonts w:ascii="Times New Roman" w:hAnsi="Times New Roman"/>
                <w:sz w:val="22"/>
                <w:szCs w:val="22"/>
              </w:rPr>
              <w:t>108,9</w:t>
            </w:r>
          </w:p>
        </w:tc>
      </w:tr>
    </w:tbl>
    <w:p w:rsidR="002B288B" w:rsidP="002B288B">
      <w:pPr>
        <w:bidi w:val="0"/>
        <w:jc w:val="both"/>
        <w:rPr>
          <w:rFonts w:ascii="Times New Roman" w:hAnsi="Times New Roman"/>
          <w:bCs/>
        </w:rPr>
      </w:pPr>
    </w:p>
    <w:p w:rsidR="002B288B" w:rsidRPr="0052236F" w:rsidP="002B288B">
      <w:pPr>
        <w:bidi w:val="0"/>
        <w:jc w:val="both"/>
        <w:rPr>
          <w:rFonts w:ascii="Times New Roman" w:hAnsi="Times New Roman"/>
          <w:bCs/>
        </w:rPr>
      </w:pPr>
    </w:p>
    <w:p w:rsidR="002B288B" w:rsidRPr="000C4279" w:rsidP="002B288B">
      <w:pPr>
        <w:numPr>
          <w:numId w:val="2"/>
        </w:numPr>
        <w:bidi w:val="0"/>
        <w:jc w:val="both"/>
        <w:outlineLvl w:val="0"/>
        <w:rPr>
          <w:rFonts w:ascii="Arial" w:hAnsi="Arial" w:cs="Arial"/>
          <w:b/>
          <w:bCs/>
          <w:sz w:val="22"/>
          <w:szCs w:val="22"/>
        </w:rPr>
      </w:pPr>
      <w:r w:rsidRPr="000C4279">
        <w:rPr>
          <w:rFonts w:ascii="Arial" w:hAnsi="Arial" w:cs="Arial"/>
          <w:b/>
          <w:bCs/>
          <w:sz w:val="22"/>
          <w:szCs w:val="22"/>
        </w:rPr>
        <w:t>Odhad vplyvov na obyvateľstvo, hospodárenie podnikateľskej sféry a iných právnických osôb</w:t>
      </w:r>
    </w:p>
    <w:p w:rsidR="002B288B" w:rsidRPr="000C4279" w:rsidP="002B288B">
      <w:pPr>
        <w:bidi w:val="0"/>
        <w:ind w:firstLine="360"/>
        <w:jc w:val="both"/>
        <w:outlineLvl w:val="0"/>
        <w:rPr>
          <w:rFonts w:ascii="Arial" w:hAnsi="Arial" w:cs="Arial"/>
          <w:b/>
          <w:bCs/>
          <w:sz w:val="22"/>
          <w:szCs w:val="22"/>
        </w:rPr>
      </w:pPr>
    </w:p>
    <w:p w:rsidR="002B288B" w:rsidRPr="000C4279" w:rsidP="002B288B">
      <w:pPr>
        <w:bidi w:val="0"/>
        <w:ind w:firstLine="360"/>
        <w:jc w:val="both"/>
        <w:outlineLvl w:val="0"/>
        <w:rPr>
          <w:rFonts w:ascii="Arial" w:hAnsi="Arial" w:cs="Arial"/>
          <w:b/>
          <w:bCs/>
          <w:sz w:val="22"/>
          <w:szCs w:val="22"/>
        </w:rPr>
      </w:pPr>
      <w:r w:rsidRPr="000C4279">
        <w:rPr>
          <w:rFonts w:ascii="Arial" w:hAnsi="Arial" w:cs="Arial"/>
          <w:b/>
          <w:bCs/>
          <w:sz w:val="22"/>
          <w:szCs w:val="22"/>
        </w:rPr>
        <w:t>II.I. Odhad vplyvov na obyvateľstvo</w:t>
      </w:r>
    </w:p>
    <w:p w:rsidR="002B288B" w:rsidRPr="000C4279" w:rsidP="002B288B">
      <w:pPr>
        <w:bidi w:val="0"/>
        <w:ind w:firstLine="360"/>
        <w:jc w:val="both"/>
        <w:outlineLvl w:val="0"/>
        <w:rPr>
          <w:rFonts w:ascii="Arial" w:hAnsi="Arial" w:cs="Arial"/>
          <w:b/>
          <w:bCs/>
          <w:sz w:val="22"/>
          <w:szCs w:val="22"/>
        </w:rPr>
      </w:pPr>
    </w:p>
    <w:p w:rsidR="002B288B" w:rsidRPr="000C4279" w:rsidP="002B288B">
      <w:pPr>
        <w:bidi w:val="0"/>
        <w:ind w:firstLine="360"/>
        <w:jc w:val="both"/>
        <w:outlineLvl w:val="0"/>
        <w:rPr>
          <w:rFonts w:ascii="Arial" w:hAnsi="Arial" w:cs="Arial"/>
          <w:bCs/>
          <w:sz w:val="22"/>
          <w:szCs w:val="22"/>
        </w:rPr>
      </w:pPr>
      <w:r w:rsidRPr="000C4279">
        <w:rPr>
          <w:rFonts w:ascii="Arial" w:hAnsi="Arial" w:cs="Arial"/>
          <w:bCs/>
          <w:sz w:val="22"/>
          <w:szCs w:val="22"/>
        </w:rPr>
        <w:t>Novela zákona nemá vplyv na obyvateľstvo.</w:t>
      </w:r>
    </w:p>
    <w:p w:rsidR="002B288B" w:rsidRPr="000C4279" w:rsidP="002B288B">
      <w:pPr>
        <w:bidi w:val="0"/>
        <w:jc w:val="both"/>
        <w:outlineLvl w:val="0"/>
        <w:rPr>
          <w:rFonts w:ascii="Arial" w:hAnsi="Arial" w:cs="Arial"/>
          <w:b/>
          <w:bCs/>
          <w:sz w:val="22"/>
          <w:szCs w:val="22"/>
        </w:rPr>
      </w:pPr>
    </w:p>
    <w:p w:rsidR="002B288B" w:rsidRPr="000C4279" w:rsidP="002B288B">
      <w:pPr>
        <w:bidi w:val="0"/>
        <w:ind w:firstLine="360"/>
        <w:jc w:val="both"/>
        <w:outlineLvl w:val="0"/>
        <w:rPr>
          <w:rFonts w:ascii="Arial" w:hAnsi="Arial" w:cs="Arial"/>
          <w:b/>
          <w:bCs/>
          <w:sz w:val="22"/>
          <w:szCs w:val="22"/>
        </w:rPr>
      </w:pPr>
      <w:r w:rsidRPr="000C4279">
        <w:rPr>
          <w:rFonts w:ascii="Arial" w:hAnsi="Arial" w:cs="Arial"/>
          <w:b/>
          <w:bCs/>
          <w:sz w:val="22"/>
          <w:szCs w:val="22"/>
        </w:rPr>
        <w:t>II.II. Odhad vplyvov na podnikateľskú sféru</w:t>
      </w:r>
    </w:p>
    <w:p w:rsidR="002B288B" w:rsidRPr="000C4279" w:rsidP="002B288B">
      <w:pPr>
        <w:bidi w:val="0"/>
        <w:jc w:val="both"/>
        <w:rPr>
          <w:rFonts w:ascii="Arial" w:hAnsi="Arial" w:cs="Arial"/>
          <w:sz w:val="22"/>
          <w:szCs w:val="22"/>
        </w:rPr>
      </w:pPr>
    </w:p>
    <w:p w:rsidR="002B288B" w:rsidRPr="00E85EAB" w:rsidP="002B288B">
      <w:pPr>
        <w:bidi w:val="0"/>
        <w:ind w:firstLine="360"/>
        <w:jc w:val="both"/>
        <w:rPr>
          <w:rFonts w:ascii="Arial" w:hAnsi="Arial" w:cs="Arial"/>
          <w:sz w:val="22"/>
          <w:szCs w:val="22"/>
        </w:rPr>
      </w:pPr>
      <w:r w:rsidRPr="000C4279">
        <w:rPr>
          <w:rFonts w:ascii="Arial" w:hAnsi="Arial" w:cs="Arial"/>
          <w:sz w:val="22"/>
          <w:szCs w:val="22"/>
        </w:rPr>
        <w:t xml:space="preserve">Novela môže mať negatívny vplyv na hospodárenie dôchodkových správcovských spoločnosti z umožnenia návratu sporiteľov do jednopilierového dôchodkového systému, resp. pozitívny vplyv z dôvodu umožnenia dodatočného vstupu poistencov do systému starobného dôchodkového sporenia. </w:t>
      </w:r>
    </w:p>
    <w:p w:rsidR="002B288B" w:rsidRPr="005B38E0" w:rsidP="002B288B">
      <w:pPr>
        <w:bidi w:val="0"/>
        <w:jc w:val="both"/>
        <w:rPr>
          <w:rFonts w:ascii="Times New Roman" w:hAnsi="Times New Roman"/>
        </w:rPr>
      </w:pPr>
    </w:p>
    <w:p w:rsidR="002B288B" w:rsidRPr="000C4279" w:rsidP="002B288B">
      <w:pPr>
        <w:numPr>
          <w:numId w:val="2"/>
        </w:numPr>
        <w:bidi w:val="0"/>
        <w:jc w:val="both"/>
        <w:outlineLvl w:val="0"/>
        <w:rPr>
          <w:rFonts w:ascii="Arial" w:hAnsi="Arial" w:cs="Arial"/>
          <w:b/>
          <w:bCs/>
          <w:sz w:val="22"/>
          <w:szCs w:val="22"/>
        </w:rPr>
      </w:pPr>
      <w:r w:rsidRPr="000C4279">
        <w:rPr>
          <w:rFonts w:ascii="Arial" w:hAnsi="Arial" w:cs="Arial"/>
          <w:b/>
          <w:bCs/>
          <w:sz w:val="22"/>
          <w:szCs w:val="22"/>
        </w:rPr>
        <w:t>Odhad vplyvov na životné prostredie</w:t>
      </w:r>
    </w:p>
    <w:p w:rsidR="002B288B" w:rsidRPr="000C4279" w:rsidP="002B288B">
      <w:pPr>
        <w:bidi w:val="0"/>
        <w:ind w:left="360"/>
        <w:jc w:val="both"/>
        <w:outlineLvl w:val="0"/>
        <w:rPr>
          <w:rFonts w:ascii="Arial" w:hAnsi="Arial" w:cs="Arial"/>
          <w:b/>
          <w:bCs/>
          <w:sz w:val="22"/>
          <w:szCs w:val="22"/>
        </w:rPr>
      </w:pPr>
    </w:p>
    <w:p w:rsidR="002B288B" w:rsidRPr="000C4279" w:rsidP="002B288B">
      <w:pPr>
        <w:bidi w:val="0"/>
        <w:ind w:firstLine="360"/>
        <w:jc w:val="both"/>
        <w:outlineLvl w:val="0"/>
        <w:rPr>
          <w:rFonts w:ascii="Arial" w:hAnsi="Arial" w:cs="Arial"/>
          <w:sz w:val="22"/>
          <w:szCs w:val="22"/>
        </w:rPr>
      </w:pPr>
      <w:r w:rsidRPr="000C4279">
        <w:rPr>
          <w:rFonts w:ascii="Arial" w:hAnsi="Arial" w:cs="Arial"/>
          <w:sz w:val="22"/>
          <w:szCs w:val="22"/>
        </w:rPr>
        <w:t>Novela nemá vplyv na životné prostredie.</w:t>
      </w:r>
    </w:p>
    <w:p w:rsidR="002B288B" w:rsidRPr="000C4279" w:rsidP="002B288B">
      <w:pPr>
        <w:bidi w:val="0"/>
        <w:jc w:val="both"/>
        <w:outlineLvl w:val="0"/>
        <w:rPr>
          <w:rFonts w:ascii="Arial" w:hAnsi="Arial" w:cs="Arial"/>
          <w:b/>
          <w:bCs/>
          <w:sz w:val="22"/>
          <w:szCs w:val="22"/>
        </w:rPr>
      </w:pPr>
    </w:p>
    <w:p w:rsidR="002B288B" w:rsidRPr="000C4279" w:rsidP="002B288B">
      <w:pPr>
        <w:numPr>
          <w:numId w:val="2"/>
        </w:numPr>
        <w:bidi w:val="0"/>
        <w:jc w:val="both"/>
        <w:outlineLvl w:val="0"/>
        <w:rPr>
          <w:rFonts w:ascii="Arial" w:hAnsi="Arial" w:cs="Arial"/>
          <w:b/>
          <w:bCs/>
          <w:sz w:val="22"/>
          <w:szCs w:val="22"/>
        </w:rPr>
      </w:pPr>
      <w:r w:rsidRPr="000C4279">
        <w:rPr>
          <w:rFonts w:ascii="Arial" w:hAnsi="Arial" w:cs="Arial"/>
          <w:b/>
          <w:bCs/>
          <w:sz w:val="22"/>
          <w:szCs w:val="22"/>
        </w:rPr>
        <w:t>Odhad vplyvov na zamestnanosť</w:t>
      </w:r>
    </w:p>
    <w:p w:rsidR="002B288B" w:rsidRPr="000C4279" w:rsidP="002B288B">
      <w:pPr>
        <w:bidi w:val="0"/>
        <w:ind w:left="360"/>
        <w:jc w:val="both"/>
        <w:rPr>
          <w:rFonts w:ascii="Arial" w:hAnsi="Arial" w:cs="Arial"/>
          <w:sz w:val="22"/>
          <w:szCs w:val="22"/>
        </w:rPr>
      </w:pPr>
    </w:p>
    <w:p w:rsidR="002B288B" w:rsidRPr="000C4279" w:rsidP="002B288B">
      <w:pPr>
        <w:bidi w:val="0"/>
        <w:ind w:firstLine="360"/>
        <w:jc w:val="both"/>
        <w:rPr>
          <w:rFonts w:ascii="Arial" w:hAnsi="Arial" w:cs="Arial"/>
          <w:sz w:val="22"/>
          <w:szCs w:val="22"/>
        </w:rPr>
      </w:pPr>
      <w:r w:rsidRPr="000C4279">
        <w:rPr>
          <w:rFonts w:ascii="Arial" w:hAnsi="Arial" w:cs="Arial"/>
          <w:sz w:val="22"/>
          <w:szCs w:val="22"/>
        </w:rPr>
        <w:t>Novela nemá vplyv na zamestnanosť.</w:t>
      </w:r>
    </w:p>
    <w:p w:rsidR="002B288B" w:rsidRPr="000C4279" w:rsidP="002B288B">
      <w:pPr>
        <w:bidi w:val="0"/>
        <w:rPr>
          <w:rFonts w:ascii="Arial" w:hAnsi="Arial" w:cs="Arial"/>
          <w:sz w:val="22"/>
          <w:szCs w:val="22"/>
        </w:rPr>
      </w:pPr>
    </w:p>
    <w:p w:rsidR="002B288B" w:rsidP="002B288B">
      <w:pPr>
        <w:bidi w:val="0"/>
        <w:spacing w:before="120" w:line="360" w:lineRule="auto"/>
        <w:jc w:val="both"/>
        <w:rPr>
          <w:rFonts w:ascii="Arial" w:hAnsi="Arial" w:cs="Arial"/>
          <w:b/>
          <w:sz w:val="22"/>
          <w:szCs w:val="22"/>
        </w:rPr>
      </w:pPr>
    </w:p>
    <w:p w:rsidR="002B288B" w:rsidP="002B288B">
      <w:pPr>
        <w:bidi w:val="0"/>
        <w:spacing w:before="120" w:line="360" w:lineRule="auto"/>
        <w:jc w:val="both"/>
        <w:rPr>
          <w:rFonts w:ascii="Arial" w:hAnsi="Arial" w:cs="Arial"/>
          <w:b/>
          <w:sz w:val="22"/>
          <w:szCs w:val="22"/>
        </w:rPr>
      </w:pPr>
    </w:p>
    <w:p w:rsidR="002B288B" w:rsidP="002B288B">
      <w:pPr>
        <w:bidi w:val="0"/>
        <w:spacing w:before="120" w:line="360" w:lineRule="auto"/>
        <w:jc w:val="both"/>
        <w:rPr>
          <w:rFonts w:ascii="Arial" w:hAnsi="Arial" w:cs="Arial"/>
          <w:b/>
          <w:sz w:val="22"/>
          <w:szCs w:val="22"/>
        </w:rPr>
      </w:pPr>
    </w:p>
    <w:p w:rsidR="002B288B" w:rsidP="002B288B">
      <w:pPr>
        <w:bidi w:val="0"/>
        <w:spacing w:before="120" w:line="360" w:lineRule="auto"/>
        <w:jc w:val="both"/>
        <w:rPr>
          <w:rFonts w:ascii="Arial" w:hAnsi="Arial" w:cs="Arial"/>
          <w:b/>
          <w:sz w:val="22"/>
          <w:szCs w:val="22"/>
        </w:rPr>
      </w:pPr>
    </w:p>
    <w:p w:rsidR="002B288B" w:rsidP="002B288B">
      <w:pPr>
        <w:bidi w:val="0"/>
        <w:spacing w:before="120" w:line="360" w:lineRule="auto"/>
        <w:jc w:val="both"/>
        <w:rPr>
          <w:rFonts w:ascii="Arial" w:hAnsi="Arial" w:cs="Arial"/>
          <w:b/>
          <w:sz w:val="22"/>
          <w:szCs w:val="22"/>
        </w:rPr>
      </w:pPr>
    </w:p>
    <w:p w:rsidR="002B288B" w:rsidP="002B288B">
      <w:pPr>
        <w:bidi w:val="0"/>
        <w:spacing w:before="120" w:line="360" w:lineRule="auto"/>
        <w:jc w:val="both"/>
        <w:rPr>
          <w:rFonts w:ascii="Arial" w:hAnsi="Arial" w:cs="Arial"/>
          <w:b/>
          <w:sz w:val="22"/>
          <w:szCs w:val="22"/>
        </w:rPr>
      </w:pPr>
    </w:p>
    <w:p w:rsidR="002B288B" w:rsidP="002B288B">
      <w:pPr>
        <w:bidi w:val="0"/>
        <w:spacing w:before="120" w:line="360" w:lineRule="auto"/>
        <w:jc w:val="both"/>
        <w:rPr>
          <w:rFonts w:ascii="Arial" w:hAnsi="Arial" w:cs="Arial"/>
          <w:b/>
          <w:sz w:val="22"/>
          <w:szCs w:val="22"/>
        </w:rPr>
      </w:pPr>
    </w:p>
    <w:p w:rsidR="002B288B" w:rsidP="002B288B">
      <w:pPr>
        <w:bidi w:val="0"/>
        <w:spacing w:before="120" w:line="360" w:lineRule="auto"/>
        <w:jc w:val="both"/>
        <w:rPr>
          <w:rFonts w:ascii="Arial" w:hAnsi="Arial" w:cs="Arial"/>
          <w:b/>
          <w:sz w:val="22"/>
          <w:szCs w:val="22"/>
        </w:rPr>
      </w:pPr>
    </w:p>
    <w:p w:rsidR="002B288B" w:rsidP="002B288B">
      <w:pPr>
        <w:bidi w:val="0"/>
        <w:spacing w:before="120" w:line="360" w:lineRule="auto"/>
        <w:jc w:val="both"/>
        <w:rPr>
          <w:rFonts w:ascii="Arial" w:hAnsi="Arial" w:cs="Arial"/>
          <w:b/>
          <w:sz w:val="22"/>
          <w:szCs w:val="22"/>
        </w:rPr>
      </w:pPr>
    </w:p>
    <w:p w:rsidR="00427DAF" w:rsidP="002B288B">
      <w:pPr>
        <w:bidi w:val="0"/>
        <w:spacing w:before="120" w:line="360" w:lineRule="auto"/>
        <w:jc w:val="both"/>
        <w:rPr>
          <w:rFonts w:ascii="Arial" w:hAnsi="Arial" w:cs="Arial"/>
          <w:b/>
          <w:sz w:val="22"/>
          <w:szCs w:val="22"/>
        </w:rPr>
      </w:pPr>
    </w:p>
    <w:p w:rsidR="00427DAF" w:rsidP="002B288B">
      <w:pPr>
        <w:bidi w:val="0"/>
        <w:spacing w:before="120" w:line="360" w:lineRule="auto"/>
        <w:jc w:val="both"/>
        <w:rPr>
          <w:rFonts w:ascii="Arial" w:hAnsi="Arial" w:cs="Arial"/>
          <w:b/>
          <w:sz w:val="22"/>
          <w:szCs w:val="22"/>
        </w:rPr>
      </w:pPr>
    </w:p>
    <w:p w:rsidR="00427DAF" w:rsidP="002B288B">
      <w:pPr>
        <w:bidi w:val="0"/>
        <w:spacing w:before="120" w:line="360" w:lineRule="auto"/>
        <w:jc w:val="both"/>
        <w:rPr>
          <w:rFonts w:ascii="Arial" w:hAnsi="Arial" w:cs="Arial"/>
          <w:b/>
          <w:sz w:val="22"/>
          <w:szCs w:val="22"/>
        </w:rPr>
      </w:pPr>
    </w:p>
    <w:p w:rsidR="00427DAF" w:rsidP="00427DAF">
      <w:pPr>
        <w:bidi w:val="0"/>
        <w:jc w:val="center"/>
        <w:rPr>
          <w:rFonts w:ascii="Arial" w:hAnsi="Arial" w:cs="Arial"/>
          <w:b/>
          <w:caps/>
          <w:spacing w:val="30"/>
          <w:sz w:val="22"/>
          <w:szCs w:val="22"/>
        </w:rPr>
      </w:pPr>
    </w:p>
    <w:p w:rsidR="00427DAF" w:rsidRPr="000A09E4" w:rsidP="00427DAF">
      <w:pPr>
        <w:bidi w:val="0"/>
        <w:jc w:val="center"/>
        <w:rPr>
          <w:rFonts w:ascii="Arial" w:hAnsi="Arial" w:cs="Arial"/>
          <w:b/>
          <w:caps/>
          <w:spacing w:val="30"/>
          <w:sz w:val="22"/>
          <w:szCs w:val="22"/>
        </w:rPr>
      </w:pPr>
      <w:r w:rsidRPr="000A09E4">
        <w:rPr>
          <w:rFonts w:ascii="Arial" w:hAnsi="Arial" w:cs="Arial"/>
          <w:b/>
          <w:caps/>
          <w:spacing w:val="30"/>
          <w:sz w:val="22"/>
          <w:szCs w:val="22"/>
        </w:rPr>
        <w:t>Doložka zlučiteľnosti</w:t>
      </w:r>
    </w:p>
    <w:p w:rsidR="00427DAF" w:rsidRPr="000A09E4" w:rsidP="00427DAF">
      <w:pPr>
        <w:bidi w:val="0"/>
        <w:jc w:val="center"/>
        <w:rPr>
          <w:rFonts w:ascii="Arial" w:hAnsi="Arial" w:cs="Arial"/>
          <w:b/>
          <w:sz w:val="22"/>
          <w:szCs w:val="22"/>
        </w:rPr>
      </w:pPr>
    </w:p>
    <w:p w:rsidR="00427DAF" w:rsidRPr="000A09E4" w:rsidP="00427DAF">
      <w:pPr>
        <w:bidi w:val="0"/>
        <w:jc w:val="center"/>
        <w:rPr>
          <w:rFonts w:ascii="Arial" w:hAnsi="Arial" w:cs="Arial"/>
          <w:b/>
          <w:sz w:val="22"/>
          <w:szCs w:val="22"/>
        </w:rPr>
      </w:pPr>
      <w:r w:rsidRPr="000A09E4">
        <w:rPr>
          <w:rFonts w:ascii="Arial" w:hAnsi="Arial" w:cs="Arial"/>
          <w:b/>
          <w:sz w:val="22"/>
          <w:szCs w:val="22"/>
        </w:rPr>
        <w:t xml:space="preserve">právneho predpisu </w:t>
      </w:r>
    </w:p>
    <w:p w:rsidR="00427DAF" w:rsidRPr="000A09E4" w:rsidP="00427DAF">
      <w:pPr>
        <w:bidi w:val="0"/>
        <w:jc w:val="center"/>
        <w:rPr>
          <w:rFonts w:ascii="Arial" w:hAnsi="Arial" w:cs="Arial"/>
          <w:b/>
          <w:sz w:val="22"/>
          <w:szCs w:val="22"/>
        </w:rPr>
      </w:pPr>
      <w:r w:rsidRPr="000A09E4">
        <w:rPr>
          <w:rFonts w:ascii="Arial" w:hAnsi="Arial" w:cs="Arial"/>
          <w:b/>
          <w:sz w:val="22"/>
          <w:szCs w:val="22"/>
        </w:rPr>
        <w:t>s právom Európskych spoločenstiev a právom Európskej únie </w:t>
      </w:r>
    </w:p>
    <w:p w:rsidR="00427DAF" w:rsidRPr="000A09E4" w:rsidP="00427DAF">
      <w:pPr>
        <w:bidi w:val="0"/>
        <w:rPr>
          <w:rFonts w:ascii="Arial" w:hAnsi="Arial" w:cs="Arial"/>
          <w:sz w:val="22"/>
          <w:szCs w:val="22"/>
        </w:rPr>
      </w:pPr>
    </w:p>
    <w:p w:rsidR="00427DAF" w:rsidRPr="000A09E4" w:rsidP="00427DAF">
      <w:pPr>
        <w:bidi w:val="0"/>
        <w:rPr>
          <w:rFonts w:ascii="Arial" w:hAnsi="Arial" w:cs="Arial"/>
          <w:sz w:val="22"/>
          <w:szCs w:val="22"/>
        </w:rPr>
      </w:pPr>
    </w:p>
    <w:p w:rsidR="00427DAF" w:rsidRPr="000A09E4" w:rsidP="00427DAF">
      <w:pPr>
        <w:bidi w:val="0"/>
        <w:ind w:left="360" w:hanging="360"/>
        <w:jc w:val="both"/>
        <w:rPr>
          <w:rFonts w:ascii="Arial" w:hAnsi="Arial" w:cs="Arial"/>
          <w:b/>
          <w:sz w:val="22"/>
          <w:szCs w:val="22"/>
        </w:rPr>
      </w:pPr>
      <w:r w:rsidRPr="000A09E4">
        <w:rPr>
          <w:rFonts w:ascii="Arial" w:hAnsi="Arial" w:cs="Arial"/>
          <w:b/>
          <w:sz w:val="22"/>
          <w:szCs w:val="22"/>
        </w:rPr>
        <w:t>1.</w:t>
        <w:tab/>
        <w:t>Predkladateľ právneho predpisu:</w:t>
      </w:r>
      <w:r w:rsidRPr="000A09E4">
        <w:rPr>
          <w:rFonts w:ascii="Arial" w:hAnsi="Arial" w:cs="Arial"/>
          <w:sz w:val="22"/>
          <w:szCs w:val="22"/>
        </w:rPr>
        <w:t xml:space="preserve"> vláda Slovenskej republiky</w:t>
      </w:r>
    </w:p>
    <w:p w:rsidR="00427DAF" w:rsidRPr="000A09E4" w:rsidP="00427DAF">
      <w:pPr>
        <w:tabs>
          <w:tab w:val="num" w:pos="360"/>
        </w:tabs>
        <w:bidi w:val="0"/>
        <w:ind w:left="360"/>
        <w:jc w:val="both"/>
        <w:rPr>
          <w:rFonts w:ascii="Arial" w:hAnsi="Arial" w:cs="Arial"/>
          <w:sz w:val="22"/>
          <w:szCs w:val="22"/>
        </w:rPr>
      </w:pPr>
      <w:r w:rsidRPr="000A09E4">
        <w:rPr>
          <w:rFonts w:ascii="Arial" w:hAnsi="Arial" w:cs="Arial"/>
          <w:sz w:val="22"/>
          <w:szCs w:val="22"/>
        </w:rPr>
        <w:t xml:space="preserve"> </w:t>
      </w:r>
    </w:p>
    <w:p w:rsidR="00427DAF" w:rsidRPr="000A09E4" w:rsidP="00427DAF">
      <w:pPr>
        <w:bidi w:val="0"/>
        <w:ind w:left="360" w:hanging="360"/>
        <w:jc w:val="both"/>
        <w:rPr>
          <w:rFonts w:ascii="Arial" w:hAnsi="Arial" w:cs="Arial"/>
          <w:b/>
          <w:sz w:val="22"/>
          <w:szCs w:val="22"/>
        </w:rPr>
      </w:pPr>
      <w:r w:rsidRPr="000A09E4">
        <w:rPr>
          <w:rFonts w:ascii="Arial" w:hAnsi="Arial" w:cs="Arial"/>
          <w:b/>
          <w:sz w:val="22"/>
          <w:szCs w:val="22"/>
        </w:rPr>
        <w:t>2.</w:t>
        <w:tab/>
        <w:t>Názov návrhu právneho predpisu:</w:t>
      </w:r>
      <w:r w:rsidRPr="000A09E4">
        <w:rPr>
          <w:rFonts w:ascii="Arial" w:hAnsi="Arial" w:cs="Arial"/>
          <w:sz w:val="22"/>
          <w:szCs w:val="22"/>
        </w:rPr>
        <w:t xml:space="preserve"> Návrh zákona, ktorým sa dopĺňa </w:t>
      </w:r>
      <w:r>
        <w:rPr>
          <w:rFonts w:ascii="Arial" w:hAnsi="Arial" w:cs="Arial"/>
          <w:sz w:val="22"/>
          <w:szCs w:val="22"/>
        </w:rPr>
        <w:t xml:space="preserve">zákon č. 43/2004 Z. z. o starobnom dôchodkovom sporení a o zmene a doplnení niektorých zákonov v znení neskorších predpisov a ktorým sa dopĺňa </w:t>
      </w:r>
      <w:r w:rsidRPr="000A09E4">
        <w:rPr>
          <w:rFonts w:ascii="Arial" w:hAnsi="Arial" w:cs="Arial"/>
          <w:sz w:val="22"/>
          <w:szCs w:val="22"/>
        </w:rPr>
        <w:t xml:space="preserve">zákon č. 461/2003 Z. z. o sociálnom poistení v znení neskorších predpisov </w:t>
      </w:r>
    </w:p>
    <w:p w:rsidR="00427DAF" w:rsidRPr="000A09E4" w:rsidP="00427DAF">
      <w:pPr>
        <w:bidi w:val="0"/>
        <w:jc w:val="both"/>
        <w:rPr>
          <w:rFonts w:ascii="Arial" w:hAnsi="Arial" w:cs="Arial"/>
          <w:sz w:val="22"/>
          <w:szCs w:val="22"/>
        </w:rPr>
      </w:pPr>
    </w:p>
    <w:p w:rsidR="00427DAF" w:rsidRPr="000A09E4" w:rsidP="00427DAF">
      <w:pPr>
        <w:bidi w:val="0"/>
        <w:ind w:left="360" w:hanging="360"/>
        <w:jc w:val="both"/>
        <w:rPr>
          <w:rFonts w:ascii="Arial" w:hAnsi="Arial" w:cs="Arial"/>
          <w:b/>
          <w:sz w:val="22"/>
          <w:szCs w:val="22"/>
        </w:rPr>
      </w:pPr>
      <w:r w:rsidRPr="000A09E4">
        <w:rPr>
          <w:rFonts w:ascii="Arial" w:hAnsi="Arial" w:cs="Arial"/>
          <w:b/>
          <w:sz w:val="22"/>
          <w:szCs w:val="22"/>
        </w:rPr>
        <w:t>3.</w:t>
        <w:tab/>
        <w:t>Problematika návrhu právneho predpisu:</w:t>
      </w:r>
    </w:p>
    <w:p w:rsidR="00427DAF" w:rsidRPr="000A09E4" w:rsidP="00427DAF">
      <w:pPr>
        <w:bidi w:val="0"/>
        <w:ind w:firstLine="360"/>
        <w:jc w:val="both"/>
        <w:rPr>
          <w:rFonts w:ascii="Arial" w:hAnsi="Arial" w:cs="Arial"/>
          <w:sz w:val="22"/>
          <w:szCs w:val="22"/>
        </w:rPr>
      </w:pPr>
    </w:p>
    <w:p w:rsidR="00427DAF" w:rsidRPr="000A09E4" w:rsidP="00427DAF">
      <w:pPr>
        <w:bidi w:val="0"/>
        <w:ind w:left="709" w:hanging="349"/>
        <w:jc w:val="both"/>
        <w:rPr>
          <w:rFonts w:ascii="Arial" w:hAnsi="Arial" w:cs="Arial"/>
          <w:sz w:val="22"/>
          <w:szCs w:val="22"/>
        </w:rPr>
      </w:pPr>
      <w:r w:rsidRPr="000A09E4">
        <w:rPr>
          <w:rFonts w:ascii="Arial" w:hAnsi="Arial" w:cs="Arial"/>
          <w:sz w:val="22"/>
          <w:szCs w:val="22"/>
        </w:rPr>
        <w:t>a)</w:t>
        <w:tab/>
        <w:t>je upravená v práve Európskych spoločenstiev</w:t>
      </w:r>
    </w:p>
    <w:p w:rsidR="00427DAF" w:rsidRPr="000A09E4" w:rsidP="00427DAF">
      <w:pPr>
        <w:bidi w:val="0"/>
        <w:ind w:left="360"/>
        <w:jc w:val="both"/>
        <w:rPr>
          <w:rFonts w:ascii="Arial" w:hAnsi="Arial" w:cs="Arial"/>
          <w:sz w:val="22"/>
          <w:szCs w:val="22"/>
        </w:rPr>
      </w:pPr>
    </w:p>
    <w:p w:rsidR="00427DAF" w:rsidRPr="000A09E4" w:rsidP="00427DAF">
      <w:pPr>
        <w:numPr>
          <w:numId w:val="3"/>
        </w:numPr>
        <w:bidi w:val="0"/>
        <w:jc w:val="both"/>
        <w:rPr>
          <w:rFonts w:ascii="Arial" w:hAnsi="Arial" w:cs="Arial"/>
          <w:i/>
          <w:sz w:val="22"/>
          <w:szCs w:val="22"/>
        </w:rPr>
      </w:pPr>
      <w:r w:rsidRPr="000A09E4">
        <w:rPr>
          <w:rFonts w:ascii="Arial" w:hAnsi="Arial" w:cs="Arial"/>
          <w:i/>
          <w:sz w:val="22"/>
          <w:szCs w:val="22"/>
        </w:rPr>
        <w:t>primárnom</w:t>
      </w:r>
    </w:p>
    <w:p w:rsidR="00427DAF" w:rsidRPr="00DA0852" w:rsidP="00427DAF">
      <w:pPr>
        <w:bidi w:val="0"/>
        <w:ind w:left="851"/>
        <w:jc w:val="both"/>
        <w:rPr>
          <w:rFonts w:ascii="Arial" w:hAnsi="Arial" w:cs="Arial"/>
          <w:sz w:val="22"/>
          <w:szCs w:val="22"/>
        </w:rPr>
      </w:pPr>
      <w:r w:rsidRPr="00DA0852">
        <w:rPr>
          <w:rFonts w:ascii="Arial" w:hAnsi="Arial" w:cs="Arial"/>
          <w:sz w:val="22"/>
          <w:szCs w:val="22"/>
        </w:rPr>
        <w:t xml:space="preserve">je upravená v primárnom práve Európskych spoločenstiev, a to vo viacerých článkoch  zmluvy o založení Európskeho spoločenstva v platnom znení; v rámci Spoločenstva sa v oblasti upravenej návrhom zákona uplatňuje tzv. globálny prístup, ktorého cieľom nie je zosúladenie systémov sociálneho zabezpečenia členských štátov, ale  dosiahnutie efektívnej koordinácie týchto systémov. </w:t>
      </w:r>
    </w:p>
    <w:p w:rsidR="00427DAF" w:rsidRPr="00A429E5" w:rsidP="00427DAF">
      <w:pPr>
        <w:bidi w:val="0"/>
        <w:ind w:left="851"/>
        <w:jc w:val="both"/>
        <w:rPr>
          <w:rFonts w:ascii="Arial" w:hAnsi="Arial" w:cs="Arial"/>
          <w:sz w:val="22"/>
          <w:szCs w:val="22"/>
        </w:rPr>
      </w:pPr>
      <w:r w:rsidRPr="00DA0852">
        <w:rPr>
          <w:rFonts w:ascii="Arial" w:hAnsi="Arial" w:cs="Arial"/>
          <w:sz w:val="22"/>
          <w:szCs w:val="22"/>
        </w:rPr>
        <w:t xml:space="preserve">         </w:t>
      </w:r>
      <w:r w:rsidRPr="00A429E5">
        <w:rPr>
          <w:rFonts w:ascii="Arial" w:hAnsi="Arial" w:cs="Arial"/>
          <w:sz w:val="22"/>
          <w:szCs w:val="22"/>
        </w:rPr>
        <w:t xml:space="preserve">Návrh zákona plne rešpektuje štyri všeobecné právne zásady, ktorými sú aplikácia jedného zákonodarstva, rovnosť zaobchádzania, zachovanie získaných práv a  spočítanie období poistenia. </w:t>
      </w:r>
    </w:p>
    <w:p w:rsidR="00427DAF" w:rsidRPr="00A429E5" w:rsidP="00427DAF">
      <w:pPr>
        <w:bidi w:val="0"/>
        <w:ind w:left="851"/>
        <w:jc w:val="both"/>
        <w:rPr>
          <w:rFonts w:ascii="Arial" w:hAnsi="Arial" w:cs="Arial"/>
          <w:sz w:val="22"/>
          <w:szCs w:val="22"/>
        </w:rPr>
      </w:pPr>
    </w:p>
    <w:p w:rsidR="00427DAF" w:rsidRPr="000A09E4" w:rsidP="00427DAF">
      <w:pPr>
        <w:bidi w:val="0"/>
        <w:ind w:firstLine="360"/>
        <w:jc w:val="both"/>
        <w:rPr>
          <w:rFonts w:ascii="Arial" w:hAnsi="Arial" w:cs="Arial"/>
          <w:sz w:val="22"/>
          <w:szCs w:val="22"/>
        </w:rPr>
      </w:pPr>
    </w:p>
    <w:p w:rsidR="00427DAF" w:rsidRPr="000A09E4" w:rsidP="00427DAF">
      <w:pPr>
        <w:numPr>
          <w:numId w:val="3"/>
        </w:numPr>
        <w:bidi w:val="0"/>
        <w:jc w:val="both"/>
        <w:rPr>
          <w:rFonts w:ascii="Arial" w:hAnsi="Arial" w:cs="Arial"/>
          <w:i/>
          <w:sz w:val="22"/>
          <w:szCs w:val="22"/>
        </w:rPr>
      </w:pPr>
      <w:r w:rsidRPr="000A09E4">
        <w:rPr>
          <w:rFonts w:ascii="Arial" w:hAnsi="Arial" w:cs="Arial"/>
          <w:i/>
          <w:sz w:val="22"/>
          <w:szCs w:val="22"/>
        </w:rPr>
        <w:t>sekundárnom</w:t>
      </w:r>
    </w:p>
    <w:p w:rsidR="00427DAF" w:rsidRPr="000A09E4" w:rsidP="00427DAF">
      <w:pPr>
        <w:bidi w:val="0"/>
        <w:ind w:left="1260" w:hanging="409"/>
        <w:jc w:val="both"/>
        <w:rPr>
          <w:rFonts w:ascii="Arial" w:hAnsi="Arial" w:cs="Arial"/>
          <w:sz w:val="22"/>
          <w:szCs w:val="22"/>
        </w:rPr>
      </w:pPr>
      <w:r>
        <w:rPr>
          <w:rFonts w:ascii="Arial" w:hAnsi="Arial" w:cs="Arial"/>
          <w:sz w:val="22"/>
          <w:szCs w:val="22"/>
        </w:rPr>
        <w:t>a1)</w:t>
      </w:r>
      <w:r w:rsidRPr="000A09E4">
        <w:rPr>
          <w:rFonts w:ascii="Arial" w:hAnsi="Arial" w:cs="Arial"/>
          <w:sz w:val="22"/>
          <w:szCs w:val="22"/>
        </w:rPr>
        <w:t xml:space="preserve"> problematika návrhu zákona v čl. I je upravená v sekundárnom práve Európskych spoločenstiev v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76/207/EHS z 9. februára 1976 o vykonávaní zásady rovnakého zaobchádzania s mužmi a ženami, pokiaľ ide o prístup k zamestnaniu, odbornej príprave a postupu v zamestnaní a o pracovné podmienky (Ú. v. ES L 39, 14. 2. 1976),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Európskeho parlamentu a Rady 2002/73/ES z 23. septembra 2002, ktorou sa mení a dopĺňa smernica Rady 76/207/EHS o vykonávaní zásady rovnakého zaobchádzania s mužmi a ženami pokiaľ ide o prístup k zamestnaniu, odbornej príprave a postupu v zamestnaní a o pracovné podmienky (Ú. v. ES        L 269, 5. 10. 2002),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79/7/EHS z 19. decembra 1978 o postupnom vykonávaní zásady rovnakého zaobchádzania s mužmi a ženami vo veciach súvisiacich so sociálnym zabezpečením (Ú. v. ES L 6, 10. 1. 1979),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 materstva (Ú. v. ES L 359, 19. 12. 1986),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97/80/ES z 15. decembra 1997 o dôkaznom bremene v prípadoch diskriminácie na základe pohlavia (Ú. v. ES L 14, 20. 1. 1998),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98/52/ES z 13. júla 1998 o rozšírení smernice 97/80/ES o dôkaznom bremene v prípadoch diskriminácie na základe pohlavia na Spojené kráľovstvo Veľkej Británie a Severného Írska (Ú. v. ES L 205, 22. 7. 1998),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2000/43/ES z 29. júna 2000, ktorou sa zavádza zásada rovnakého zaobchádzania s osobami bez ohľadu na rasový alebo etnický pôvod (Ú. v. ES L 180, 19. 7. 1000),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Európskeho parlamentu a Rady 2002/83/ES z 5. novembra 2002 o životnom poistení (Ú. v. ES L 345, 19. 12. 2002 v platnom znení, </w:t>
      </w:r>
    </w:p>
    <w:p w:rsidR="00427DAF" w:rsidRPr="000A09E4" w:rsidP="00427DAF">
      <w:pPr>
        <w:bidi w:val="0"/>
        <w:ind w:firstLine="360"/>
        <w:jc w:val="both"/>
        <w:rPr>
          <w:rFonts w:ascii="Arial" w:hAnsi="Arial" w:cs="Arial"/>
          <w:sz w:val="22"/>
          <w:szCs w:val="22"/>
        </w:rPr>
      </w:pPr>
    </w:p>
    <w:p w:rsidR="00427DAF" w:rsidRPr="000A09E4" w:rsidP="00427DAF">
      <w:pPr>
        <w:bidi w:val="0"/>
        <w:ind w:left="1260" w:hanging="409"/>
        <w:jc w:val="both"/>
        <w:rPr>
          <w:rFonts w:ascii="Arial" w:hAnsi="Arial" w:cs="Arial"/>
          <w:sz w:val="22"/>
          <w:szCs w:val="22"/>
        </w:rPr>
      </w:pPr>
      <w:r>
        <w:rPr>
          <w:rFonts w:ascii="Arial" w:hAnsi="Arial" w:cs="Arial"/>
          <w:sz w:val="22"/>
          <w:szCs w:val="22"/>
        </w:rPr>
        <w:t xml:space="preserve">a2) </w:t>
      </w:r>
      <w:r w:rsidRPr="000A09E4">
        <w:rPr>
          <w:rFonts w:ascii="Arial" w:hAnsi="Arial" w:cs="Arial"/>
          <w:sz w:val="22"/>
          <w:szCs w:val="22"/>
        </w:rPr>
        <w:t xml:space="preserve">problematika návrhu zákona v čl. </w:t>
      </w:r>
      <w:r>
        <w:rPr>
          <w:rFonts w:ascii="Arial" w:hAnsi="Arial" w:cs="Arial"/>
          <w:sz w:val="22"/>
          <w:szCs w:val="22"/>
        </w:rPr>
        <w:t>II</w:t>
      </w:r>
      <w:r w:rsidRPr="000A09E4">
        <w:rPr>
          <w:rFonts w:ascii="Arial" w:hAnsi="Arial" w:cs="Arial"/>
          <w:sz w:val="22"/>
          <w:szCs w:val="22"/>
        </w:rPr>
        <w:t xml:space="preserve"> je upravená v sekundárnom práve Európskych spoločenstiev v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Nariadení Rady (EHS) č. 1408/71 o uplatňovaní systémov sociálneho zabezpečenia na zamestnancov, samostatne zárobkovo činné osoby a ich rodinných príslušníkov, ktorí sa pohybujú  v rámci Spoločenstva, v platnom znení,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Nariadení Rady (EHS) č. 574/72, ktorým sa stanovuje postup pri vykonávaní nariadenia (EHS) č. 1408/71 o uplatňovaní systémov sociálneho zabezpečenia na zamestnancov, samostatne zárobkovo činné osoby a ich rodinných príslušníkov, ktorí sa pohybujú v rámci Spoločenstva, v platnom znení,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Nariadení Európskeho parlamentu a Rady 883/2004 z 29. apríla 2004 o koordinácii systémov sociálneho zabezpečenia,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76/207/EHS z 9. februára 1976 o vykonávaní zásady rovnakého zaobchádzania s mužmi a ženami, pokiaľ ide o prístup k zamestnaniu, odbornej príprave a postupu v zamestnaní a o pracovné podmienky (Ú. v. ES L 39, 14. 2. 1976),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Európskeho parlamentu a Rady 2002/73/ES z 23. septembra 2002, ktorou sa mení a dopĺňa smernica Rady 76/207/EHS o vykonávaní zásady rovnakého zaobchádzania s mužmi a ženami, pokiaľ ide o prístup k zamestnaniu, odbornej príprave a postupu v zamestnaní a o pracovné podmienky (Ú. v. ES      L 269, 5. 10. 2002),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79/7/EHS  z 19. decembra 1978 o postupnom vykonávaní zásady rovnakého zaobchádzania s mužmi a ženami vo veciach súvisiacich so sociálnym zabezpečením (Ú. v. ES L 6, 10. 1. 1979),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80/987/EHS z 20. októbra 1980 o aproximácii právnych predpisov členských štátov, vzťahujúcich sa na ochranu zamestnancov v prípade platobnej neschopnosti ich zamestnávateľa (Ú. v. ES L 283, 28. 10. 1980),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87/164/EHS z 2. marca 1987, ktorou sa mení a dopĺňa v súvislosti s pristúpením Španielska smernica 80/987/EHS o aproximácii právnych predpisov členských štátov, vzťahujúcich sa na ochranu zamestnancov v prípade platobnej neschopnosti ich zamestnávateľa (Ú. v. ES L 66, 11. 3. 1987),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Európskeho parlamentu a Rady 2002/74/ES z 23. septembra 2002,  ktorou sa mení a dopĺňa smernica Rady 80/987/EHS o aproximácii právnych predpisov členských štátov vzťahujúcich sa na ochranu zamestnancov v prípade platobnej neschopnosti ich zamestnávateľa (Ú. v. ES L 270, 8. 10. 2002),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 materstva (Ú. v. ES L 359, 19. 12. 1980),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(Ú. v. ES L 348, 28. 11. 1992),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96/34/ES z 3. júna 1996 o rámcovej dohode o rodičovskej dovolenke uzavretej medzi UNICE, CEEP a ETUC (Ú. v. ES L 145, 19. 6. 1996), </w:t>
      </w:r>
    </w:p>
    <w:p w:rsidR="00427DAF" w:rsidRPr="000A09E4" w:rsidP="00427DAF">
      <w:pPr>
        <w:bidi w:val="0"/>
        <w:ind w:left="1080" w:hanging="229"/>
        <w:jc w:val="both"/>
        <w:rPr>
          <w:rFonts w:ascii="Arial" w:hAnsi="Arial" w:cs="Arial"/>
          <w:sz w:val="22"/>
          <w:szCs w:val="22"/>
        </w:rPr>
      </w:pPr>
      <w:r w:rsidRPr="000A09E4">
        <w:rPr>
          <w:rFonts w:ascii="Arial" w:hAnsi="Arial" w:cs="Arial"/>
          <w:sz w:val="22"/>
          <w:szCs w:val="22"/>
        </w:rPr>
        <w:t xml:space="preserve">- Smernici Rady 97/75/ES z 15. decembra 1997, ktorou sa mení, dopĺňa a rozširuje smernica 96/34/ES o rámcovej dohode o rodičovskej dovolenke, uzavretej medzi UNICE, CEEP a ETUC, na Spojené kráľovstvo Veľkej Británie a Severného Írska (Ú. v. ES  L 10, 16. 1. 1998), </w:t>
      </w:r>
    </w:p>
    <w:p w:rsidR="00427DAF" w:rsidRPr="000A09E4" w:rsidP="00427DAF">
      <w:pPr>
        <w:bidi w:val="0"/>
        <w:ind w:left="1080" w:hanging="180"/>
        <w:jc w:val="both"/>
        <w:rPr>
          <w:rFonts w:ascii="Arial" w:hAnsi="Arial" w:cs="Arial"/>
          <w:sz w:val="22"/>
          <w:szCs w:val="22"/>
        </w:rPr>
      </w:pPr>
      <w:r w:rsidRPr="000A09E4">
        <w:rPr>
          <w:rFonts w:ascii="Arial" w:hAnsi="Arial" w:cs="Arial"/>
          <w:sz w:val="22"/>
          <w:szCs w:val="22"/>
        </w:rPr>
        <w:t xml:space="preserve">- Smernici Rady 97/80/ES z 15. decembra 1997 o dôkaznom bremene v prípadoch diskriminácie na základe pohlavia (Ú. v. ES L 14, 20. 1. 1998), </w:t>
      </w:r>
    </w:p>
    <w:p w:rsidR="00427DAF" w:rsidRPr="000A09E4" w:rsidP="00427DAF">
      <w:pPr>
        <w:bidi w:val="0"/>
        <w:ind w:left="1080" w:hanging="180"/>
        <w:jc w:val="both"/>
        <w:rPr>
          <w:rFonts w:ascii="Arial" w:hAnsi="Arial" w:cs="Arial"/>
          <w:sz w:val="22"/>
          <w:szCs w:val="22"/>
        </w:rPr>
      </w:pPr>
      <w:r w:rsidRPr="000A09E4">
        <w:rPr>
          <w:rFonts w:ascii="Arial" w:hAnsi="Arial" w:cs="Arial"/>
          <w:sz w:val="22"/>
          <w:szCs w:val="22"/>
        </w:rPr>
        <w:t xml:space="preserve">- Smernici Rady 98/52/ES z 13. júla 1998 o rozšírení smernice 97/80/ES o dôkaznom bremene v prípadoch diskriminácie na základe pohlavia na Spojené kráľovstvo Veľkej Británie a Severného Írska (Ú. v. ES L 205, 22. 7. 1998), </w:t>
      </w:r>
    </w:p>
    <w:p w:rsidR="00427DAF" w:rsidRPr="000A09E4" w:rsidP="00427DAF">
      <w:pPr>
        <w:bidi w:val="0"/>
        <w:ind w:left="1080" w:hanging="180"/>
        <w:jc w:val="both"/>
        <w:rPr>
          <w:rFonts w:ascii="Arial" w:hAnsi="Arial" w:cs="Arial"/>
          <w:sz w:val="22"/>
          <w:szCs w:val="22"/>
        </w:rPr>
      </w:pPr>
      <w:r w:rsidRPr="000A09E4">
        <w:rPr>
          <w:rFonts w:ascii="Arial" w:hAnsi="Arial" w:cs="Arial"/>
          <w:sz w:val="22"/>
          <w:szCs w:val="22"/>
        </w:rPr>
        <w:t xml:space="preserve">- Smernici Rady 2000/43/ES z 29. júna 2000, ktorou sa zavádza zásada rovnakého zaobchádzania s osobami bez ohľadu na rasový alebo etnický pôvod (Ú. v ES </w:t>
      </w:r>
      <w:r>
        <w:rPr>
          <w:rFonts w:ascii="Arial" w:hAnsi="Arial" w:cs="Arial"/>
          <w:sz w:val="22"/>
          <w:szCs w:val="22"/>
        </w:rPr>
        <w:t xml:space="preserve">     </w:t>
      </w:r>
      <w:r w:rsidRPr="000A09E4">
        <w:rPr>
          <w:rFonts w:ascii="Arial" w:hAnsi="Arial" w:cs="Arial"/>
          <w:sz w:val="22"/>
          <w:szCs w:val="22"/>
        </w:rPr>
        <w:t xml:space="preserve">L 180,   19. 7. 2000), </w:t>
      </w:r>
    </w:p>
    <w:p w:rsidR="00427DAF" w:rsidRPr="000A09E4" w:rsidP="00427DAF">
      <w:pPr>
        <w:bidi w:val="0"/>
        <w:ind w:left="1080" w:hanging="180"/>
        <w:jc w:val="both"/>
        <w:rPr>
          <w:rFonts w:ascii="Arial" w:hAnsi="Arial" w:cs="Arial"/>
          <w:sz w:val="22"/>
          <w:szCs w:val="22"/>
        </w:rPr>
      </w:pPr>
      <w:r w:rsidRPr="000A09E4">
        <w:rPr>
          <w:rFonts w:ascii="Arial" w:hAnsi="Arial" w:cs="Arial"/>
          <w:sz w:val="22"/>
          <w:szCs w:val="22"/>
        </w:rPr>
        <w:t xml:space="preserve">- Smernici Rady 2001/23/ES z 12. marca 2001 o aproximácii zákonov členských štátov týkajúcich sa zachovania práv zamestnancov pri prevodoch podnikov, závodov alebo častí podnikov alebo závodov (Ú. v. ES L 82, 22. 3. 2001), </w:t>
      </w:r>
    </w:p>
    <w:p w:rsidR="00427DAF" w:rsidRPr="000A09E4" w:rsidP="00427DAF">
      <w:pPr>
        <w:bidi w:val="0"/>
        <w:ind w:left="851"/>
        <w:jc w:val="both"/>
        <w:rPr>
          <w:rFonts w:ascii="Arial" w:hAnsi="Arial" w:cs="Arial"/>
          <w:sz w:val="22"/>
          <w:szCs w:val="22"/>
        </w:rPr>
      </w:pPr>
      <w:r w:rsidRPr="000A09E4">
        <w:rPr>
          <w:rFonts w:ascii="Arial" w:hAnsi="Arial" w:cs="Arial"/>
          <w:sz w:val="22"/>
          <w:szCs w:val="22"/>
        </w:rPr>
        <w:t xml:space="preserve"> </w:t>
      </w:r>
    </w:p>
    <w:p w:rsidR="00427DAF" w:rsidRPr="000A09E4" w:rsidP="00427DAF">
      <w:pPr>
        <w:bidi w:val="0"/>
        <w:ind w:left="709" w:hanging="349"/>
        <w:jc w:val="both"/>
        <w:rPr>
          <w:rFonts w:ascii="Arial" w:hAnsi="Arial" w:cs="Arial"/>
          <w:sz w:val="22"/>
          <w:szCs w:val="22"/>
        </w:rPr>
      </w:pPr>
      <w:r w:rsidRPr="000A09E4">
        <w:rPr>
          <w:rFonts w:ascii="Arial" w:hAnsi="Arial" w:cs="Arial"/>
          <w:sz w:val="22"/>
          <w:szCs w:val="22"/>
        </w:rPr>
        <w:t>b)</w:t>
        <w:tab/>
        <w:t>nie je upravená v práve Európskej únie</w:t>
      </w:r>
    </w:p>
    <w:p w:rsidR="00427DAF" w:rsidRPr="000A09E4" w:rsidP="00427DAF">
      <w:pPr>
        <w:bidi w:val="0"/>
        <w:jc w:val="both"/>
        <w:rPr>
          <w:rFonts w:ascii="Arial" w:hAnsi="Arial" w:cs="Arial"/>
          <w:sz w:val="22"/>
          <w:szCs w:val="22"/>
        </w:rPr>
      </w:pPr>
    </w:p>
    <w:p w:rsidR="00427DAF" w:rsidRPr="000A09E4" w:rsidP="00427DAF">
      <w:pPr>
        <w:bidi w:val="0"/>
        <w:ind w:left="709" w:hanging="349"/>
        <w:jc w:val="both"/>
        <w:rPr>
          <w:rFonts w:ascii="Arial" w:hAnsi="Arial" w:cs="Arial"/>
          <w:sz w:val="22"/>
          <w:szCs w:val="22"/>
        </w:rPr>
      </w:pPr>
      <w:r w:rsidRPr="000A09E4">
        <w:rPr>
          <w:rFonts w:ascii="Arial" w:hAnsi="Arial" w:cs="Arial"/>
          <w:sz w:val="22"/>
          <w:szCs w:val="22"/>
        </w:rPr>
        <w:t>c)</w:t>
        <w:tab/>
        <w:t>je obsiahnutá v judikatúre Súdneho dvora Európskych spoločenstiev alebo Súdu prvého stupňa Európskych spoločenstiev.</w:t>
      </w:r>
    </w:p>
    <w:p w:rsidR="00427DAF" w:rsidRPr="000A09E4" w:rsidP="00427DAF">
      <w:pPr>
        <w:bidi w:val="0"/>
        <w:ind w:left="720"/>
        <w:jc w:val="both"/>
        <w:rPr>
          <w:rFonts w:ascii="Arial" w:hAnsi="Arial" w:cs="Arial"/>
          <w:sz w:val="22"/>
          <w:szCs w:val="22"/>
        </w:rPr>
      </w:pPr>
    </w:p>
    <w:p w:rsidR="00427DAF" w:rsidRPr="000A09E4" w:rsidP="00427DAF">
      <w:pPr>
        <w:bidi w:val="0"/>
        <w:ind w:left="720"/>
        <w:jc w:val="both"/>
        <w:rPr>
          <w:rFonts w:ascii="Arial" w:hAnsi="Arial" w:cs="Arial"/>
          <w:sz w:val="22"/>
          <w:szCs w:val="22"/>
          <w:lang w:val="sv-SE"/>
        </w:rPr>
      </w:pPr>
      <w:r w:rsidRPr="000A09E4">
        <w:rPr>
          <w:rFonts w:ascii="Arial" w:hAnsi="Arial" w:cs="Arial"/>
          <w:sz w:val="22"/>
          <w:szCs w:val="22"/>
          <w:lang w:val="sv-SE"/>
        </w:rPr>
        <w:t xml:space="preserve">-  rozsudku ESD C-34/02 Sante Pasguini gegen Istituto Nazionale della Previdenza Sociale (INP), </w:t>
      </w:r>
    </w:p>
    <w:p w:rsidR="00427DAF" w:rsidRPr="000A09E4" w:rsidP="00427DAF">
      <w:pPr>
        <w:bidi w:val="0"/>
        <w:ind w:left="720"/>
        <w:jc w:val="both"/>
        <w:rPr>
          <w:rFonts w:ascii="Arial" w:hAnsi="Arial" w:cs="Arial"/>
          <w:sz w:val="22"/>
          <w:szCs w:val="22"/>
          <w:lang w:val="sv-SE"/>
        </w:rPr>
      </w:pPr>
      <w:r w:rsidRPr="000A09E4">
        <w:rPr>
          <w:rFonts w:ascii="Arial" w:hAnsi="Arial" w:cs="Arial"/>
          <w:sz w:val="22"/>
          <w:szCs w:val="22"/>
          <w:lang w:val="sv-SE"/>
        </w:rPr>
        <w:t xml:space="preserve">- rozsudku ESD C-92/02 Nina Kristiansen gegen Rijksdienst voor Arbeidsvoorziening, </w:t>
      </w:r>
    </w:p>
    <w:p w:rsidR="00427DAF" w:rsidRPr="000A09E4" w:rsidP="00427DAF">
      <w:pPr>
        <w:bidi w:val="0"/>
        <w:ind w:left="720"/>
        <w:jc w:val="both"/>
        <w:rPr>
          <w:rFonts w:ascii="Arial" w:hAnsi="Arial" w:cs="Arial"/>
          <w:sz w:val="22"/>
          <w:szCs w:val="22"/>
          <w:lang w:val="sv-SE"/>
        </w:rPr>
      </w:pPr>
      <w:r w:rsidRPr="000A09E4">
        <w:rPr>
          <w:rFonts w:ascii="Arial" w:hAnsi="Arial" w:cs="Arial"/>
          <w:sz w:val="22"/>
          <w:szCs w:val="22"/>
          <w:lang w:val="sv-SE"/>
        </w:rPr>
        <w:t xml:space="preserve">- rozsudku ESD C-160/01 Karin Mau, </w:t>
      </w:r>
    </w:p>
    <w:p w:rsidR="00427DAF" w:rsidRPr="000A09E4" w:rsidP="00427DAF">
      <w:pPr>
        <w:bidi w:val="0"/>
        <w:jc w:val="both"/>
        <w:rPr>
          <w:rFonts w:ascii="Arial" w:hAnsi="Arial" w:cs="Arial"/>
          <w:sz w:val="22"/>
          <w:szCs w:val="22"/>
        </w:rPr>
      </w:pPr>
    </w:p>
    <w:p w:rsidR="00427DAF" w:rsidRPr="000A09E4" w:rsidP="00427DAF">
      <w:pPr>
        <w:bidi w:val="0"/>
        <w:ind w:left="360" w:hanging="360"/>
        <w:jc w:val="both"/>
        <w:rPr>
          <w:rFonts w:ascii="Arial" w:hAnsi="Arial" w:cs="Arial"/>
          <w:b/>
          <w:sz w:val="22"/>
          <w:szCs w:val="22"/>
        </w:rPr>
      </w:pPr>
      <w:r w:rsidRPr="000A09E4">
        <w:rPr>
          <w:rFonts w:ascii="Arial" w:hAnsi="Arial" w:cs="Arial"/>
          <w:b/>
          <w:sz w:val="22"/>
          <w:szCs w:val="22"/>
        </w:rPr>
        <w:t>4.</w:t>
        <w:tab/>
        <w:t xml:space="preserve">Záväzky Slovenskej republiky vo vzťahu k Európskym spoločenstvám a Európskej únii: </w:t>
      </w:r>
    </w:p>
    <w:p w:rsidR="00427DAF" w:rsidRPr="000A09E4" w:rsidP="00427DAF">
      <w:pPr>
        <w:bidi w:val="0"/>
        <w:jc w:val="both"/>
        <w:rPr>
          <w:rFonts w:ascii="Arial" w:hAnsi="Arial" w:cs="Arial"/>
          <w:sz w:val="22"/>
          <w:szCs w:val="22"/>
        </w:rPr>
      </w:pPr>
    </w:p>
    <w:p w:rsidR="00427DAF" w:rsidRPr="000A09E4" w:rsidP="00427DAF">
      <w:pPr>
        <w:bidi w:val="0"/>
        <w:ind w:left="709" w:hanging="349"/>
        <w:jc w:val="both"/>
        <w:rPr>
          <w:rFonts w:ascii="Arial" w:hAnsi="Arial" w:cs="Arial"/>
          <w:sz w:val="22"/>
          <w:szCs w:val="22"/>
        </w:rPr>
      </w:pPr>
      <w:r w:rsidRPr="000A09E4">
        <w:rPr>
          <w:rFonts w:ascii="Arial" w:hAnsi="Arial" w:cs="Arial"/>
          <w:sz w:val="22"/>
          <w:szCs w:val="22"/>
        </w:rPr>
        <w:t>a)</w:t>
        <w:tab/>
        <w:t>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nich vyplývajúca</w:t>
      </w:r>
    </w:p>
    <w:p w:rsidR="00427DAF" w:rsidRPr="000A09E4" w:rsidP="00427DAF">
      <w:pPr>
        <w:bidi w:val="0"/>
        <w:ind w:left="720"/>
        <w:jc w:val="both"/>
        <w:rPr>
          <w:rFonts w:ascii="Arial" w:hAnsi="Arial" w:cs="Arial"/>
          <w:sz w:val="22"/>
          <w:szCs w:val="22"/>
        </w:rPr>
      </w:pPr>
    </w:p>
    <w:p w:rsidR="00427DAF" w:rsidRPr="000A09E4" w:rsidP="00427DAF">
      <w:pPr>
        <w:bidi w:val="0"/>
        <w:ind w:left="720"/>
        <w:jc w:val="both"/>
        <w:rPr>
          <w:rFonts w:ascii="Arial" w:hAnsi="Arial" w:cs="Arial"/>
          <w:sz w:val="22"/>
          <w:szCs w:val="22"/>
        </w:rPr>
      </w:pPr>
      <w:r w:rsidRPr="000A09E4">
        <w:rPr>
          <w:rFonts w:ascii="Arial" w:hAnsi="Arial" w:cs="Arial"/>
          <w:sz w:val="22"/>
          <w:szCs w:val="22"/>
        </w:rPr>
        <w:t>- návrhom zákona sa nepreberá smernica ani rámcové rozhodnutie,</w:t>
      </w:r>
    </w:p>
    <w:p w:rsidR="00427DAF" w:rsidRPr="000A09E4" w:rsidP="00427DAF">
      <w:pPr>
        <w:bidi w:val="0"/>
        <w:jc w:val="both"/>
        <w:rPr>
          <w:rFonts w:ascii="Arial" w:hAnsi="Arial" w:cs="Arial"/>
          <w:sz w:val="22"/>
          <w:szCs w:val="22"/>
        </w:rPr>
      </w:pPr>
    </w:p>
    <w:p w:rsidR="00427DAF" w:rsidRPr="000A09E4" w:rsidP="00427DAF">
      <w:pPr>
        <w:bidi w:val="0"/>
        <w:ind w:left="709" w:hanging="349"/>
        <w:jc w:val="both"/>
        <w:rPr>
          <w:rFonts w:ascii="Arial" w:hAnsi="Arial" w:cs="Arial"/>
          <w:sz w:val="22"/>
          <w:szCs w:val="22"/>
        </w:rPr>
      </w:pPr>
      <w:r w:rsidRPr="000A09E4">
        <w:rPr>
          <w:rFonts w:ascii="Arial" w:hAnsi="Arial" w:cs="Arial"/>
          <w:sz w:val="22"/>
          <w:szCs w:val="22"/>
        </w:rPr>
        <w:t>b)</w:t>
        <w:tab/>
        <w:t>informácia o konaní začatom proti Slovenskej republike o porušení Zmluvy o založení Európskych spoločenstiev podľa čl. 226 až 228 Zmluvy o založení Európskych spoločenstiev v platnom znení</w:t>
      </w:r>
    </w:p>
    <w:p w:rsidR="00427DAF" w:rsidRPr="000A09E4" w:rsidP="00427DAF">
      <w:pPr>
        <w:bidi w:val="0"/>
        <w:ind w:left="720"/>
        <w:jc w:val="both"/>
        <w:rPr>
          <w:rFonts w:ascii="Arial" w:hAnsi="Arial" w:cs="Arial"/>
          <w:sz w:val="22"/>
          <w:szCs w:val="22"/>
        </w:rPr>
      </w:pPr>
    </w:p>
    <w:p w:rsidR="00427DAF" w:rsidRPr="000A09E4" w:rsidP="00427DAF">
      <w:pPr>
        <w:bidi w:val="0"/>
        <w:ind w:firstLine="708"/>
        <w:jc w:val="both"/>
        <w:rPr>
          <w:rFonts w:ascii="Arial" w:hAnsi="Arial" w:cs="Arial"/>
          <w:sz w:val="22"/>
          <w:szCs w:val="22"/>
        </w:rPr>
      </w:pPr>
      <w:r w:rsidRPr="000A09E4">
        <w:rPr>
          <w:rFonts w:ascii="Arial" w:hAnsi="Arial" w:cs="Arial"/>
          <w:sz w:val="22"/>
          <w:szCs w:val="22"/>
        </w:rPr>
        <w:t xml:space="preserve">- Európska komisia zaslala Slovenskej republike odôvodnené stanovisko – porušenie zmluvy č. 2007/2263 – porušenie čl. 56 Zmluvy o ES s ustanoveniami § 82 ods. </w:t>
      </w:r>
      <w:smartTag w:uri="urn:schemas-microsoft-com:office:smarttags" w:element="metricconverter">
        <w:smartTagPr>
          <w:attr w:name="ProductID" w:val="5 a"/>
        </w:smartTagPr>
        <w:r w:rsidRPr="000A09E4">
          <w:rPr>
            <w:rFonts w:ascii="Arial" w:hAnsi="Arial" w:cs="Arial"/>
            <w:sz w:val="22"/>
            <w:szCs w:val="22"/>
          </w:rPr>
          <w:t>5 a</w:t>
        </w:r>
      </w:smartTag>
      <w:r w:rsidRPr="000A09E4">
        <w:rPr>
          <w:rFonts w:ascii="Arial" w:hAnsi="Arial" w:cs="Arial"/>
          <w:sz w:val="22"/>
          <w:szCs w:val="22"/>
        </w:rPr>
        <w:t xml:space="preserve"> § 82 ods. 4 a 4 zákona č. 43/2004 Z. z. o starobnom dôchodkovom sporení a o zmene a doplnení niektorých zákonov v znení neskorších predpisov</w:t>
      </w:r>
    </w:p>
    <w:p w:rsidR="00427DAF" w:rsidRPr="000A09E4" w:rsidP="00427DAF">
      <w:pPr>
        <w:bidi w:val="0"/>
        <w:ind w:firstLine="708"/>
        <w:jc w:val="both"/>
        <w:rPr>
          <w:rFonts w:ascii="Arial" w:hAnsi="Arial" w:cs="Arial"/>
          <w:sz w:val="22"/>
          <w:szCs w:val="22"/>
        </w:rPr>
      </w:pPr>
    </w:p>
    <w:p w:rsidR="00427DAF" w:rsidRPr="000A09E4" w:rsidP="00427DAF">
      <w:pPr>
        <w:bidi w:val="0"/>
        <w:ind w:left="709" w:hanging="349"/>
        <w:jc w:val="both"/>
        <w:rPr>
          <w:rFonts w:ascii="Arial" w:hAnsi="Arial" w:cs="Arial"/>
          <w:sz w:val="22"/>
          <w:szCs w:val="22"/>
        </w:rPr>
      </w:pPr>
      <w:r w:rsidRPr="000A09E4">
        <w:rPr>
          <w:rFonts w:ascii="Arial" w:hAnsi="Arial" w:cs="Arial"/>
          <w:sz w:val="22"/>
          <w:szCs w:val="22"/>
        </w:rPr>
        <w:t>c)</w:t>
        <w:tab/>
        <w:t>informácia o právnych predpisoch, v ktorých sú preberané smernice alebo rámcové rozhodnutia už prebraté spolu s uvedením rozsahu tohto prebratia</w:t>
      </w:r>
    </w:p>
    <w:p w:rsidR="00427DAF" w:rsidRPr="000A09E4" w:rsidP="00427DAF">
      <w:pPr>
        <w:bidi w:val="0"/>
        <w:ind w:left="720"/>
        <w:jc w:val="both"/>
        <w:rPr>
          <w:rFonts w:ascii="Arial" w:hAnsi="Arial" w:cs="Arial"/>
          <w:sz w:val="22"/>
          <w:szCs w:val="22"/>
        </w:rPr>
      </w:pPr>
    </w:p>
    <w:p w:rsidR="00427DAF" w:rsidRPr="000A09E4" w:rsidP="00427DAF">
      <w:pPr>
        <w:bidi w:val="0"/>
        <w:ind w:firstLine="708"/>
        <w:jc w:val="both"/>
        <w:rPr>
          <w:rFonts w:ascii="Arial" w:hAnsi="Arial" w:cs="Arial"/>
          <w:sz w:val="22"/>
          <w:szCs w:val="22"/>
        </w:rPr>
      </w:pPr>
      <w:r w:rsidRPr="000A09E4">
        <w:rPr>
          <w:rFonts w:ascii="Arial" w:hAnsi="Arial" w:cs="Arial"/>
          <w:sz w:val="22"/>
          <w:szCs w:val="22"/>
        </w:rPr>
        <w:t>- návrhom zákona sa nepreberá smernica ani rámcové rozhodnutie,</w:t>
      </w:r>
    </w:p>
    <w:p w:rsidR="00427DAF" w:rsidRPr="000A09E4" w:rsidP="00427DAF">
      <w:pPr>
        <w:bidi w:val="0"/>
        <w:ind w:firstLine="708"/>
        <w:jc w:val="both"/>
        <w:rPr>
          <w:rFonts w:ascii="Arial" w:hAnsi="Arial" w:cs="Arial"/>
          <w:sz w:val="22"/>
          <w:szCs w:val="22"/>
        </w:rPr>
      </w:pPr>
    </w:p>
    <w:p w:rsidR="00427DAF" w:rsidRPr="000A09E4" w:rsidP="00427DAF">
      <w:pPr>
        <w:bidi w:val="0"/>
        <w:ind w:left="360" w:hanging="360"/>
        <w:jc w:val="both"/>
        <w:rPr>
          <w:rFonts w:ascii="Arial" w:hAnsi="Arial" w:cs="Arial"/>
          <w:b/>
          <w:sz w:val="22"/>
          <w:szCs w:val="22"/>
        </w:rPr>
      </w:pPr>
      <w:r w:rsidRPr="000A09E4">
        <w:rPr>
          <w:rFonts w:ascii="Arial" w:hAnsi="Arial" w:cs="Arial"/>
          <w:b/>
          <w:sz w:val="22"/>
          <w:szCs w:val="22"/>
        </w:rPr>
        <w:t>5.</w:t>
        <w:tab/>
        <w:t>Stupeň zlučiteľnosti návrhu právneho predpisu s právom Európskych spoločenstiev alebo právom Európskej únie:</w:t>
      </w:r>
    </w:p>
    <w:p w:rsidR="00427DAF" w:rsidRPr="000A09E4" w:rsidP="00427DAF">
      <w:pPr>
        <w:bidi w:val="0"/>
        <w:jc w:val="both"/>
        <w:rPr>
          <w:rFonts w:ascii="Arial" w:hAnsi="Arial" w:cs="Arial"/>
          <w:sz w:val="22"/>
          <w:szCs w:val="22"/>
        </w:rPr>
      </w:pPr>
    </w:p>
    <w:p w:rsidR="00427DAF" w:rsidRPr="000A09E4" w:rsidP="00427DAF">
      <w:pPr>
        <w:bidi w:val="0"/>
        <w:ind w:firstLine="360"/>
        <w:jc w:val="both"/>
        <w:rPr>
          <w:rFonts w:ascii="Arial" w:hAnsi="Arial" w:cs="Arial"/>
          <w:sz w:val="22"/>
          <w:szCs w:val="22"/>
        </w:rPr>
      </w:pPr>
      <w:r w:rsidRPr="000A09E4">
        <w:rPr>
          <w:rFonts w:ascii="Arial" w:hAnsi="Arial" w:cs="Arial"/>
          <w:sz w:val="22"/>
          <w:szCs w:val="22"/>
        </w:rPr>
        <w:t>Stupeň zlučiteľnosti - úplný</w:t>
      </w:r>
    </w:p>
    <w:p w:rsidR="00427DAF" w:rsidRPr="000A09E4" w:rsidP="00427DAF">
      <w:pPr>
        <w:bidi w:val="0"/>
        <w:jc w:val="both"/>
        <w:rPr>
          <w:rFonts w:ascii="Arial" w:hAnsi="Arial" w:cs="Arial"/>
          <w:sz w:val="22"/>
          <w:szCs w:val="22"/>
        </w:rPr>
      </w:pPr>
    </w:p>
    <w:p w:rsidR="00427DAF" w:rsidRPr="000A09E4" w:rsidP="00427DAF">
      <w:pPr>
        <w:bidi w:val="0"/>
        <w:ind w:left="360" w:hanging="360"/>
        <w:jc w:val="both"/>
        <w:rPr>
          <w:rFonts w:ascii="Arial" w:hAnsi="Arial" w:cs="Arial"/>
          <w:b/>
          <w:sz w:val="22"/>
          <w:szCs w:val="22"/>
        </w:rPr>
      </w:pPr>
      <w:r w:rsidRPr="000A09E4">
        <w:rPr>
          <w:rFonts w:ascii="Arial" w:hAnsi="Arial" w:cs="Arial"/>
          <w:b/>
          <w:sz w:val="22"/>
          <w:szCs w:val="22"/>
        </w:rPr>
        <w:t>6.</w:t>
        <w:tab/>
        <w:t xml:space="preserve">Gestor a spolupracujúce rezorty: </w:t>
      </w:r>
    </w:p>
    <w:p w:rsidR="00427DAF" w:rsidRPr="000A09E4" w:rsidP="00427DAF">
      <w:pPr>
        <w:tabs>
          <w:tab w:val="num" w:pos="360"/>
        </w:tabs>
        <w:bidi w:val="0"/>
        <w:ind w:left="360"/>
        <w:jc w:val="both"/>
        <w:rPr>
          <w:rFonts w:ascii="Arial" w:hAnsi="Arial" w:cs="Arial"/>
          <w:sz w:val="22"/>
          <w:szCs w:val="22"/>
        </w:rPr>
      </w:pPr>
      <w:r w:rsidRPr="000A09E4">
        <w:rPr>
          <w:rFonts w:ascii="Arial" w:hAnsi="Arial" w:cs="Arial"/>
          <w:sz w:val="22"/>
          <w:szCs w:val="22"/>
        </w:rPr>
        <w:t xml:space="preserve">Ministerstvo práce, sociálnych vecí a rodiny Slovenskej republiky </w:t>
      </w:r>
    </w:p>
    <w:p w:rsidR="00794D43" w:rsidRPr="006B4681" w:rsidP="00794D43">
      <w:pPr>
        <w:bidi w:val="0"/>
        <w:spacing w:before="120" w:line="360" w:lineRule="auto"/>
        <w:jc w:val="both"/>
        <w:rPr>
          <w:rFonts w:ascii="Arial" w:hAnsi="Arial" w:cs="Arial"/>
          <w:b/>
          <w:sz w:val="22"/>
          <w:szCs w:val="22"/>
        </w:rPr>
      </w:pPr>
      <w:r w:rsidRPr="006B4681">
        <w:rPr>
          <w:rFonts w:ascii="Arial" w:hAnsi="Arial" w:cs="Arial"/>
          <w:b/>
          <w:sz w:val="22"/>
          <w:szCs w:val="22"/>
        </w:rPr>
        <w:t>B. Osobitná časť</w:t>
      </w:r>
    </w:p>
    <w:p w:rsidR="00794D43" w:rsidRPr="006B4681" w:rsidP="00794D43">
      <w:pPr>
        <w:bidi w:val="0"/>
        <w:spacing w:before="120" w:line="360" w:lineRule="auto"/>
        <w:jc w:val="both"/>
        <w:rPr>
          <w:rFonts w:ascii="Arial" w:hAnsi="Arial" w:cs="Arial"/>
          <w:b/>
          <w:sz w:val="22"/>
          <w:szCs w:val="22"/>
        </w:rPr>
      </w:pPr>
    </w:p>
    <w:p w:rsidR="00794D43" w:rsidRPr="006B4681" w:rsidP="00794D43">
      <w:pPr>
        <w:bidi w:val="0"/>
        <w:spacing w:before="120" w:line="360" w:lineRule="auto"/>
        <w:jc w:val="both"/>
        <w:rPr>
          <w:rFonts w:ascii="Arial" w:hAnsi="Arial" w:cs="Arial"/>
          <w:b/>
          <w:sz w:val="22"/>
          <w:szCs w:val="22"/>
        </w:rPr>
      </w:pPr>
      <w:r>
        <w:rPr>
          <w:rFonts w:ascii="Arial" w:hAnsi="Arial" w:cs="Arial"/>
          <w:b/>
          <w:sz w:val="22"/>
          <w:szCs w:val="22"/>
        </w:rPr>
        <w:t xml:space="preserve">K </w:t>
      </w:r>
      <w:r w:rsidRPr="006B4681">
        <w:rPr>
          <w:rFonts w:ascii="Arial" w:hAnsi="Arial" w:cs="Arial"/>
          <w:b/>
          <w:sz w:val="22"/>
          <w:szCs w:val="22"/>
        </w:rPr>
        <w:t>Čl. I</w:t>
      </w:r>
    </w:p>
    <w:p w:rsidR="00794D43" w:rsidRPr="006B4681" w:rsidP="00794D43">
      <w:pPr>
        <w:bidi w:val="0"/>
        <w:spacing w:before="120" w:line="360" w:lineRule="auto"/>
        <w:ind w:firstLine="708"/>
        <w:jc w:val="both"/>
        <w:rPr>
          <w:rFonts w:ascii="Arial" w:hAnsi="Arial" w:cs="Arial"/>
          <w:sz w:val="22"/>
          <w:szCs w:val="22"/>
        </w:rPr>
      </w:pPr>
      <w:r w:rsidRPr="006B4681">
        <w:rPr>
          <w:rFonts w:ascii="Arial" w:hAnsi="Arial" w:cs="Arial"/>
          <w:sz w:val="22"/>
          <w:szCs w:val="22"/>
        </w:rPr>
        <w:t xml:space="preserve">Navrhuje sa umožniť </w:t>
      </w:r>
      <w:r>
        <w:rPr>
          <w:rFonts w:ascii="Arial" w:hAnsi="Arial" w:cs="Arial"/>
          <w:sz w:val="22"/>
          <w:szCs w:val="22"/>
        </w:rPr>
        <w:t>sporiteľom</w:t>
      </w:r>
      <w:r w:rsidRPr="006B4681">
        <w:rPr>
          <w:rFonts w:ascii="Arial" w:hAnsi="Arial" w:cs="Arial"/>
          <w:sz w:val="22"/>
          <w:szCs w:val="22"/>
        </w:rPr>
        <w:t xml:space="preserve"> výstup zo systému starobného dôchodkového sporenia</w:t>
      </w:r>
      <w:r>
        <w:rPr>
          <w:rFonts w:ascii="Arial" w:hAnsi="Arial" w:cs="Arial"/>
          <w:sz w:val="22"/>
          <w:szCs w:val="22"/>
        </w:rPr>
        <w:t>,</w:t>
      </w:r>
      <w:r w:rsidRPr="006B4681">
        <w:rPr>
          <w:rFonts w:ascii="Arial" w:hAnsi="Arial" w:cs="Arial"/>
          <w:sz w:val="22"/>
          <w:szCs w:val="22"/>
        </w:rPr>
        <w:t xml:space="preserve"> a</w:t>
      </w:r>
      <w:r>
        <w:rPr>
          <w:rFonts w:ascii="Arial" w:hAnsi="Arial" w:cs="Arial"/>
          <w:sz w:val="22"/>
          <w:szCs w:val="22"/>
        </w:rPr>
        <w:t> to najmä z dôvodu negatívneho vývoja na svetových finančných trhoch, v dôsledku ktorého môže dôjsť k znehodnoteniu úspor sporiteľov v II. pilieri. Súčasne sa navrhuje umožniť aj vstup do II. piliera pre poistencov, ktorí túto možnosť v predchádzajúcom období nevyužili.</w:t>
      </w:r>
      <w:r w:rsidRPr="006B4681">
        <w:rPr>
          <w:rFonts w:ascii="Arial" w:hAnsi="Arial" w:cs="Arial"/>
          <w:sz w:val="22"/>
          <w:szCs w:val="22"/>
        </w:rPr>
        <w:t xml:space="preserve"> </w:t>
      </w:r>
    </w:p>
    <w:p w:rsidR="00794D43" w:rsidRPr="006B4681" w:rsidP="00794D43">
      <w:pPr>
        <w:bidi w:val="0"/>
        <w:spacing w:before="120" w:line="360" w:lineRule="auto"/>
        <w:ind w:firstLine="708"/>
        <w:jc w:val="both"/>
        <w:rPr>
          <w:rFonts w:ascii="Arial" w:hAnsi="Arial" w:cs="Arial"/>
          <w:sz w:val="22"/>
          <w:szCs w:val="22"/>
        </w:rPr>
      </w:pPr>
    </w:p>
    <w:p w:rsidR="00794D43" w:rsidRPr="006B4681" w:rsidP="00794D43">
      <w:pPr>
        <w:bidi w:val="0"/>
        <w:spacing w:before="120" w:line="360" w:lineRule="auto"/>
        <w:jc w:val="both"/>
        <w:rPr>
          <w:rFonts w:ascii="Arial" w:hAnsi="Arial" w:cs="Arial"/>
          <w:b/>
          <w:sz w:val="22"/>
          <w:szCs w:val="22"/>
        </w:rPr>
      </w:pPr>
      <w:r>
        <w:rPr>
          <w:rFonts w:ascii="Arial" w:hAnsi="Arial" w:cs="Arial"/>
          <w:b/>
          <w:sz w:val="22"/>
          <w:szCs w:val="22"/>
        </w:rPr>
        <w:t xml:space="preserve">K </w:t>
      </w:r>
      <w:r w:rsidRPr="006B4681">
        <w:rPr>
          <w:rFonts w:ascii="Arial" w:hAnsi="Arial" w:cs="Arial"/>
          <w:b/>
          <w:sz w:val="22"/>
          <w:szCs w:val="22"/>
        </w:rPr>
        <w:t>Čl. II</w:t>
      </w:r>
    </w:p>
    <w:p w:rsidR="00794D43" w:rsidRPr="006B4681" w:rsidP="00794D43">
      <w:pPr>
        <w:bidi w:val="0"/>
        <w:spacing w:before="120" w:line="360" w:lineRule="auto"/>
        <w:ind w:firstLine="708"/>
        <w:jc w:val="both"/>
        <w:rPr>
          <w:rFonts w:ascii="Arial" w:hAnsi="Arial" w:cs="Arial"/>
          <w:sz w:val="22"/>
          <w:szCs w:val="22"/>
        </w:rPr>
      </w:pPr>
      <w:r w:rsidRPr="006B4681">
        <w:rPr>
          <w:rFonts w:ascii="Arial" w:hAnsi="Arial" w:cs="Arial"/>
          <w:sz w:val="22"/>
          <w:szCs w:val="22"/>
        </w:rPr>
        <w:t xml:space="preserve">Navrhujú sa nevyhnutné legislatívne úpravy spočívajúce v plnohodnotnom započítaní </w:t>
      </w:r>
      <w:r>
        <w:rPr>
          <w:rFonts w:ascii="Arial" w:hAnsi="Arial" w:cs="Arial"/>
          <w:sz w:val="22"/>
          <w:szCs w:val="22"/>
        </w:rPr>
        <w:t>obdobia</w:t>
      </w:r>
      <w:r w:rsidRPr="006B4681">
        <w:rPr>
          <w:rFonts w:ascii="Arial" w:hAnsi="Arial" w:cs="Arial"/>
          <w:sz w:val="22"/>
          <w:szCs w:val="22"/>
        </w:rPr>
        <w:t xml:space="preserve"> starobného dôchodkového sporenia do </w:t>
      </w:r>
      <w:r>
        <w:rPr>
          <w:rFonts w:ascii="Arial" w:hAnsi="Arial" w:cs="Arial"/>
          <w:sz w:val="22"/>
          <w:szCs w:val="22"/>
        </w:rPr>
        <w:t>obdobia</w:t>
      </w:r>
      <w:r w:rsidRPr="006B4681">
        <w:rPr>
          <w:rFonts w:ascii="Arial" w:hAnsi="Arial" w:cs="Arial"/>
          <w:sz w:val="22"/>
          <w:szCs w:val="22"/>
        </w:rPr>
        <w:t xml:space="preserve"> dôchodkového poistenia v priebežnom systéme a v úprave </w:t>
      </w:r>
      <w:r>
        <w:rPr>
          <w:rFonts w:ascii="Arial" w:hAnsi="Arial" w:cs="Arial"/>
          <w:sz w:val="22"/>
          <w:szCs w:val="22"/>
        </w:rPr>
        <w:t>tvorby</w:t>
      </w:r>
      <w:r w:rsidRPr="006B4681">
        <w:rPr>
          <w:rFonts w:ascii="Arial" w:hAnsi="Arial" w:cs="Arial"/>
          <w:sz w:val="22"/>
          <w:szCs w:val="22"/>
        </w:rPr>
        <w:t xml:space="preserve"> správn</w:t>
      </w:r>
      <w:r>
        <w:rPr>
          <w:rFonts w:ascii="Arial" w:hAnsi="Arial" w:cs="Arial"/>
          <w:sz w:val="22"/>
          <w:szCs w:val="22"/>
        </w:rPr>
        <w:t>eho</w:t>
      </w:r>
      <w:r w:rsidRPr="006B4681">
        <w:rPr>
          <w:rFonts w:ascii="Arial" w:hAnsi="Arial" w:cs="Arial"/>
          <w:sz w:val="22"/>
          <w:szCs w:val="22"/>
        </w:rPr>
        <w:t xml:space="preserve"> fond</w:t>
      </w:r>
      <w:r>
        <w:rPr>
          <w:rFonts w:ascii="Arial" w:hAnsi="Arial" w:cs="Arial"/>
          <w:sz w:val="22"/>
          <w:szCs w:val="22"/>
        </w:rPr>
        <w:t>u</w:t>
      </w:r>
      <w:r w:rsidRPr="006B4681">
        <w:rPr>
          <w:rFonts w:ascii="Arial" w:hAnsi="Arial" w:cs="Arial"/>
          <w:sz w:val="22"/>
          <w:szCs w:val="22"/>
        </w:rPr>
        <w:t xml:space="preserve"> Sociálnej poisťovne</w:t>
      </w:r>
      <w:r>
        <w:rPr>
          <w:rFonts w:ascii="Arial" w:hAnsi="Arial" w:cs="Arial"/>
          <w:sz w:val="22"/>
          <w:szCs w:val="22"/>
        </w:rPr>
        <w:t xml:space="preserve"> z prostriedkov, ktoré prevádzajú dôchodkové správcovské spoločnosti do Sociálnej poisťovne z osobných dôchodkových účtov vystupujúcich sporiteľov.</w:t>
      </w:r>
    </w:p>
    <w:p w:rsidR="00794D43" w:rsidRPr="006B4681" w:rsidP="00794D43">
      <w:pPr>
        <w:bidi w:val="0"/>
        <w:spacing w:before="120" w:line="360" w:lineRule="auto"/>
        <w:ind w:firstLine="708"/>
        <w:jc w:val="both"/>
        <w:rPr>
          <w:rFonts w:ascii="Arial" w:hAnsi="Arial" w:cs="Arial"/>
          <w:sz w:val="22"/>
          <w:szCs w:val="22"/>
        </w:rPr>
      </w:pPr>
    </w:p>
    <w:p w:rsidR="00794D43" w:rsidRPr="006B4681" w:rsidP="00794D43">
      <w:pPr>
        <w:bidi w:val="0"/>
        <w:spacing w:before="120" w:line="360" w:lineRule="auto"/>
        <w:jc w:val="both"/>
        <w:rPr>
          <w:rFonts w:ascii="Arial" w:hAnsi="Arial" w:cs="Arial"/>
          <w:b/>
          <w:sz w:val="22"/>
          <w:szCs w:val="22"/>
        </w:rPr>
      </w:pPr>
      <w:r>
        <w:rPr>
          <w:rFonts w:ascii="Arial" w:hAnsi="Arial" w:cs="Arial"/>
          <w:b/>
          <w:sz w:val="22"/>
          <w:szCs w:val="22"/>
        </w:rPr>
        <w:t xml:space="preserve">K </w:t>
      </w:r>
      <w:r w:rsidRPr="006B4681">
        <w:rPr>
          <w:rFonts w:ascii="Arial" w:hAnsi="Arial" w:cs="Arial"/>
          <w:b/>
          <w:sz w:val="22"/>
          <w:szCs w:val="22"/>
        </w:rPr>
        <w:t>Čl. I</w:t>
      </w:r>
      <w:r>
        <w:rPr>
          <w:rFonts w:ascii="Arial" w:hAnsi="Arial" w:cs="Arial"/>
          <w:b/>
          <w:sz w:val="22"/>
          <w:szCs w:val="22"/>
        </w:rPr>
        <w:t>II</w:t>
      </w:r>
    </w:p>
    <w:p w:rsidR="00794D43" w:rsidRPr="006B4681" w:rsidP="00794D43">
      <w:pPr>
        <w:bidi w:val="0"/>
        <w:spacing w:before="120" w:line="360" w:lineRule="auto"/>
        <w:jc w:val="both"/>
        <w:rPr>
          <w:rFonts w:ascii="Arial" w:hAnsi="Arial" w:cs="Arial"/>
          <w:sz w:val="22"/>
          <w:szCs w:val="22"/>
        </w:rPr>
      </w:pPr>
      <w:r w:rsidRPr="006B4681">
        <w:rPr>
          <w:rFonts w:ascii="Arial" w:hAnsi="Arial" w:cs="Arial"/>
          <w:b/>
          <w:sz w:val="22"/>
          <w:szCs w:val="22"/>
        </w:rPr>
        <w:t xml:space="preserve">     </w:t>
      </w:r>
      <w:r>
        <w:rPr>
          <w:rFonts w:ascii="Arial" w:hAnsi="Arial" w:cs="Arial"/>
          <w:b/>
          <w:sz w:val="22"/>
          <w:szCs w:val="22"/>
        </w:rPr>
        <w:tab/>
      </w:r>
      <w:r w:rsidRPr="006B4681">
        <w:rPr>
          <w:rFonts w:ascii="Arial" w:hAnsi="Arial" w:cs="Arial"/>
          <w:sz w:val="22"/>
          <w:szCs w:val="22"/>
        </w:rPr>
        <w:t>Účinnosť zákona  sa navrhuje od</w:t>
      </w:r>
      <w:r>
        <w:rPr>
          <w:rFonts w:ascii="Arial" w:hAnsi="Arial" w:cs="Arial"/>
          <w:sz w:val="22"/>
          <w:szCs w:val="22"/>
        </w:rPr>
        <w:t xml:space="preserve"> 15. novembra 2008.</w:t>
      </w:r>
    </w:p>
    <w:p w:rsidR="00794D43" w:rsidRPr="006B4681" w:rsidP="00794D43">
      <w:pPr>
        <w:bidi w:val="0"/>
        <w:spacing w:before="120" w:line="360" w:lineRule="auto"/>
        <w:ind w:firstLine="708"/>
        <w:jc w:val="both"/>
        <w:rPr>
          <w:rFonts w:ascii="Arial" w:hAnsi="Arial" w:cs="Arial"/>
          <w:sz w:val="22"/>
          <w:szCs w:val="22"/>
        </w:rPr>
      </w:pPr>
    </w:p>
    <w:p w:rsidR="002B288B" w:rsidP="00DA0852">
      <w:pPr>
        <w:bidi w:val="0"/>
        <w:spacing w:before="120" w:line="360" w:lineRule="auto"/>
        <w:jc w:val="both"/>
        <w:rPr>
          <w:rFonts w:ascii="Arial" w:hAnsi="Arial" w:cs="Arial"/>
          <w:sz w:val="22"/>
          <w:szCs w:val="22"/>
        </w:rPr>
      </w:pPr>
      <w:r w:rsidR="00DA0852">
        <w:rPr>
          <w:rFonts w:ascii="Arial" w:hAnsi="Arial" w:cs="Arial"/>
          <w:sz w:val="22"/>
          <w:szCs w:val="22"/>
        </w:rPr>
        <w:t>Bratislava 1. októbra 2008</w:t>
      </w:r>
    </w:p>
    <w:p w:rsidR="00DA0852" w:rsidP="00DA0852">
      <w:pPr>
        <w:bidi w:val="0"/>
        <w:spacing w:before="120" w:line="360" w:lineRule="auto"/>
        <w:jc w:val="both"/>
        <w:rPr>
          <w:rFonts w:ascii="Arial" w:hAnsi="Arial" w:cs="Arial"/>
          <w:sz w:val="22"/>
          <w:szCs w:val="22"/>
        </w:rPr>
      </w:pPr>
    </w:p>
    <w:p w:rsidR="00DA0852" w:rsidP="00DA0852">
      <w:pPr>
        <w:bidi w:val="0"/>
        <w:spacing w:before="120" w:line="360" w:lineRule="auto"/>
        <w:jc w:val="both"/>
        <w:rPr>
          <w:rFonts w:ascii="Arial" w:hAnsi="Arial" w:cs="Arial"/>
          <w:sz w:val="22"/>
          <w:szCs w:val="22"/>
        </w:rPr>
      </w:pPr>
    </w:p>
    <w:p w:rsidR="00DA0852" w:rsidRPr="00DA0852" w:rsidP="00DA0852">
      <w:pPr>
        <w:bidi w:val="0"/>
        <w:jc w:val="center"/>
        <w:rPr>
          <w:rFonts w:ascii="Arial" w:hAnsi="Arial" w:cs="Arial"/>
          <w:b/>
          <w:sz w:val="22"/>
          <w:szCs w:val="22"/>
        </w:rPr>
      </w:pPr>
      <w:r w:rsidRPr="00DA0852">
        <w:rPr>
          <w:rFonts w:ascii="Arial" w:hAnsi="Arial" w:cs="Arial"/>
          <w:b/>
          <w:sz w:val="22"/>
          <w:szCs w:val="22"/>
        </w:rPr>
        <w:t>Robert Fico</w:t>
      </w:r>
      <w:r w:rsidR="003A643F">
        <w:rPr>
          <w:rFonts w:ascii="Arial" w:hAnsi="Arial" w:cs="Arial"/>
          <w:b/>
          <w:sz w:val="22"/>
          <w:szCs w:val="22"/>
        </w:rPr>
        <w:t>, v. r.</w:t>
      </w:r>
    </w:p>
    <w:p w:rsidR="00DA0852" w:rsidP="00DA0852">
      <w:pPr>
        <w:bidi w:val="0"/>
        <w:jc w:val="center"/>
        <w:rPr>
          <w:rFonts w:ascii="Arial" w:hAnsi="Arial" w:cs="Arial"/>
          <w:sz w:val="22"/>
          <w:szCs w:val="22"/>
        </w:rPr>
      </w:pPr>
    </w:p>
    <w:p w:rsidR="00DA0852" w:rsidP="00DA0852">
      <w:pPr>
        <w:bidi w:val="0"/>
        <w:jc w:val="center"/>
        <w:rPr>
          <w:rFonts w:ascii="Arial" w:hAnsi="Arial" w:cs="Arial"/>
          <w:sz w:val="22"/>
          <w:szCs w:val="22"/>
        </w:rPr>
      </w:pPr>
      <w:r>
        <w:rPr>
          <w:rFonts w:ascii="Arial" w:hAnsi="Arial" w:cs="Arial"/>
          <w:sz w:val="22"/>
          <w:szCs w:val="22"/>
        </w:rPr>
        <w:t>predseda vlády</w:t>
      </w:r>
    </w:p>
    <w:p w:rsidR="00DA0852" w:rsidP="00DA0852">
      <w:pPr>
        <w:bidi w:val="0"/>
        <w:jc w:val="center"/>
        <w:rPr>
          <w:rFonts w:ascii="Arial" w:hAnsi="Arial" w:cs="Arial"/>
          <w:sz w:val="22"/>
          <w:szCs w:val="22"/>
        </w:rPr>
      </w:pPr>
      <w:r>
        <w:rPr>
          <w:rFonts w:ascii="Arial" w:hAnsi="Arial" w:cs="Arial"/>
          <w:sz w:val="22"/>
          <w:szCs w:val="22"/>
        </w:rPr>
        <w:t>Slovenskej republiky</w:t>
      </w:r>
    </w:p>
    <w:p w:rsidR="00DA0852" w:rsidP="00DA0852">
      <w:pPr>
        <w:bidi w:val="0"/>
        <w:jc w:val="center"/>
        <w:rPr>
          <w:rFonts w:ascii="Arial" w:hAnsi="Arial" w:cs="Arial"/>
          <w:sz w:val="22"/>
          <w:szCs w:val="22"/>
        </w:rPr>
      </w:pPr>
    </w:p>
    <w:p w:rsidR="00DA0852" w:rsidP="00DA0852">
      <w:pPr>
        <w:bidi w:val="0"/>
        <w:jc w:val="center"/>
        <w:rPr>
          <w:rFonts w:ascii="Arial" w:hAnsi="Arial" w:cs="Arial"/>
          <w:sz w:val="22"/>
          <w:szCs w:val="22"/>
        </w:rPr>
      </w:pPr>
    </w:p>
    <w:p w:rsidR="00DA0852" w:rsidP="00DA0852">
      <w:pPr>
        <w:bidi w:val="0"/>
        <w:jc w:val="center"/>
        <w:rPr>
          <w:rFonts w:ascii="Arial" w:hAnsi="Arial" w:cs="Arial"/>
          <w:sz w:val="22"/>
          <w:szCs w:val="22"/>
        </w:rPr>
      </w:pPr>
    </w:p>
    <w:p w:rsidR="00DA0852" w:rsidP="00DA0852">
      <w:pPr>
        <w:bidi w:val="0"/>
        <w:jc w:val="center"/>
        <w:rPr>
          <w:rFonts w:ascii="Arial" w:hAnsi="Arial" w:cs="Arial"/>
          <w:sz w:val="22"/>
          <w:szCs w:val="22"/>
        </w:rPr>
      </w:pPr>
    </w:p>
    <w:p w:rsidR="00DA0852" w:rsidP="00DA0852">
      <w:pPr>
        <w:bidi w:val="0"/>
        <w:jc w:val="center"/>
        <w:rPr>
          <w:rFonts w:ascii="Arial" w:hAnsi="Arial" w:cs="Arial"/>
          <w:sz w:val="22"/>
          <w:szCs w:val="22"/>
        </w:rPr>
      </w:pPr>
    </w:p>
    <w:p w:rsidR="00DA0852" w:rsidRPr="00DA0852" w:rsidP="00DA0852">
      <w:pPr>
        <w:bidi w:val="0"/>
        <w:jc w:val="center"/>
        <w:rPr>
          <w:rFonts w:ascii="Arial" w:hAnsi="Arial" w:cs="Arial"/>
          <w:b/>
          <w:sz w:val="22"/>
          <w:szCs w:val="22"/>
        </w:rPr>
      </w:pPr>
      <w:r w:rsidRPr="00DA0852">
        <w:rPr>
          <w:rFonts w:ascii="Arial" w:hAnsi="Arial" w:cs="Arial"/>
          <w:b/>
          <w:sz w:val="22"/>
          <w:szCs w:val="22"/>
        </w:rPr>
        <w:t>Viera Tomanová</w:t>
      </w:r>
      <w:r w:rsidR="003A643F">
        <w:rPr>
          <w:rFonts w:ascii="Arial" w:hAnsi="Arial" w:cs="Arial"/>
          <w:b/>
          <w:sz w:val="22"/>
          <w:szCs w:val="22"/>
        </w:rPr>
        <w:t>, v. r.</w:t>
      </w:r>
    </w:p>
    <w:p w:rsidR="00DA0852" w:rsidP="00DA0852">
      <w:pPr>
        <w:bidi w:val="0"/>
        <w:jc w:val="center"/>
        <w:rPr>
          <w:rFonts w:ascii="Arial" w:hAnsi="Arial" w:cs="Arial"/>
          <w:sz w:val="22"/>
          <w:szCs w:val="22"/>
        </w:rPr>
      </w:pPr>
    </w:p>
    <w:p w:rsidR="00DA0852" w:rsidP="00DA0852">
      <w:pPr>
        <w:bidi w:val="0"/>
        <w:jc w:val="center"/>
        <w:rPr>
          <w:rFonts w:ascii="Arial" w:hAnsi="Arial" w:cs="Arial"/>
          <w:sz w:val="22"/>
          <w:szCs w:val="22"/>
        </w:rPr>
      </w:pPr>
      <w:r>
        <w:rPr>
          <w:rFonts w:ascii="Arial" w:hAnsi="Arial" w:cs="Arial"/>
          <w:sz w:val="22"/>
          <w:szCs w:val="22"/>
        </w:rPr>
        <w:t>ministerka práce,  sociálnych vecí a rodiny</w:t>
      </w:r>
    </w:p>
    <w:p w:rsidR="00DA0852" w:rsidP="00DA0852">
      <w:pPr>
        <w:bidi w:val="0"/>
        <w:jc w:val="center"/>
        <w:rPr>
          <w:rFonts w:ascii="Arial" w:hAnsi="Arial" w:cs="Arial"/>
          <w:sz w:val="22"/>
          <w:szCs w:val="22"/>
        </w:rPr>
      </w:pPr>
      <w:r>
        <w:rPr>
          <w:rFonts w:ascii="Arial" w:hAnsi="Arial" w:cs="Arial"/>
          <w:sz w:val="22"/>
          <w:szCs w:val="22"/>
        </w:rPr>
        <w:t>Slovenskej republiky</w:t>
      </w:r>
    </w:p>
    <w:p w:rsidR="00DA0852" w:rsidRPr="006B4681" w:rsidP="00DA0852">
      <w:pPr>
        <w:bidi w:val="0"/>
        <w:spacing w:before="120" w:line="360" w:lineRule="auto"/>
        <w:jc w:val="both"/>
        <w:rPr>
          <w:rFonts w:ascii="Arial" w:hAnsi="Arial" w:cs="Arial"/>
          <w:sz w:val="22"/>
          <w:szCs w:val="22"/>
        </w:rPr>
      </w:pPr>
    </w:p>
    <w:p w:rsidR="002B288B" w:rsidRPr="006B4681" w:rsidP="002B288B">
      <w:pPr>
        <w:bidi w:val="0"/>
        <w:spacing w:before="120" w:line="360" w:lineRule="auto"/>
        <w:rPr>
          <w:rFonts w:ascii="Arial" w:hAnsi="Arial" w:cs="Arial"/>
          <w:sz w:val="22"/>
          <w:szCs w:val="22"/>
        </w:rPr>
      </w:pPr>
    </w:p>
    <w:p w:rsidR="009E5046">
      <w:pPr>
        <w:bidi w:val="0"/>
        <w:rPr>
          <w:rFonts w:ascii="Times New Roman" w:hAnsi="Times New Roman"/>
        </w:rPr>
      </w:pPr>
    </w:p>
    <w:sectPr w:rsidSect="006E3CFA">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CFA" w:rsidP="00A41FCE">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E3CFA">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CFA" w:rsidP="00A41FCE">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93D85">
      <w:rPr>
        <w:rStyle w:val="PageNumber"/>
        <w:rFonts w:ascii="Times New Roman" w:hAnsi="Times New Roman"/>
        <w:noProof/>
      </w:rPr>
      <w:t>13</w:t>
    </w:r>
    <w:r>
      <w:rPr>
        <w:rStyle w:val="PageNumber"/>
        <w:rFonts w:ascii="Times New Roman" w:hAnsi="Times New Roman"/>
      </w:rPr>
      <w:fldChar w:fldCharType="end"/>
    </w:r>
  </w:p>
  <w:p w:rsidR="006E3CF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27293"/>
    <w:multiLevelType w:val="hybridMultilevel"/>
    <w:tmpl w:val="A560F8D2"/>
    <w:lvl w:ilvl="0">
      <w:start w:val="2"/>
      <w:numFmt w:val="upperRoman"/>
      <w:lvlText w:val="%1."/>
      <w:lvlJc w:val="left"/>
      <w:pPr>
        <w:tabs>
          <w:tab w:val="num" w:pos="1110"/>
        </w:tabs>
        <w:ind w:left="111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572A40AB"/>
    <w:multiLevelType w:val="hybridMultilevel"/>
    <w:tmpl w:val="C2189000"/>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74983FF9"/>
    <w:multiLevelType w:val="hybridMultilevel"/>
    <w:tmpl w:val="1940307E"/>
    <w:lvl w:ilvl="0">
      <w:start w:val="1"/>
      <w:numFmt w:val="bullet"/>
      <w:lvlText w:val="-"/>
      <w:lvlJc w:val="left"/>
      <w:pPr>
        <w:tabs>
          <w:tab w:val="num" w:pos="1068"/>
        </w:tabs>
        <w:ind w:left="879" w:hanging="171"/>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81400B"/>
    <w:rsid w:val="0001291B"/>
    <w:rsid w:val="00023B79"/>
    <w:rsid w:val="000A09E4"/>
    <w:rsid w:val="000C4279"/>
    <w:rsid w:val="000E1477"/>
    <w:rsid w:val="002100D8"/>
    <w:rsid w:val="00213F71"/>
    <w:rsid w:val="00226563"/>
    <w:rsid w:val="002527FC"/>
    <w:rsid w:val="002B288B"/>
    <w:rsid w:val="00310C24"/>
    <w:rsid w:val="003A643F"/>
    <w:rsid w:val="003D4F09"/>
    <w:rsid w:val="00427DAF"/>
    <w:rsid w:val="00450CA0"/>
    <w:rsid w:val="004943CF"/>
    <w:rsid w:val="004F4944"/>
    <w:rsid w:val="004F4C1F"/>
    <w:rsid w:val="0052236F"/>
    <w:rsid w:val="005B38E0"/>
    <w:rsid w:val="00693D85"/>
    <w:rsid w:val="006A1E48"/>
    <w:rsid w:val="006B4681"/>
    <w:rsid w:val="006E3CFA"/>
    <w:rsid w:val="00794D43"/>
    <w:rsid w:val="0081400B"/>
    <w:rsid w:val="00844FCD"/>
    <w:rsid w:val="008B7EE0"/>
    <w:rsid w:val="008C5F2A"/>
    <w:rsid w:val="009363E4"/>
    <w:rsid w:val="00943F0E"/>
    <w:rsid w:val="009C242B"/>
    <w:rsid w:val="009D717A"/>
    <w:rsid w:val="009E5046"/>
    <w:rsid w:val="00A41FCE"/>
    <w:rsid w:val="00A429E5"/>
    <w:rsid w:val="00A862DA"/>
    <w:rsid w:val="00A9798E"/>
    <w:rsid w:val="00BC4013"/>
    <w:rsid w:val="00D2141C"/>
    <w:rsid w:val="00DA0852"/>
    <w:rsid w:val="00DB1D01"/>
    <w:rsid w:val="00E85EAB"/>
    <w:rsid w:val="00F37A8A"/>
    <w:rsid w:val="00FE140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1400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2">
    <w:name w:val="Body Text 2"/>
    <w:basedOn w:val="Normal"/>
    <w:uiPriority w:val="99"/>
    <w:rsid w:val="0081400B"/>
    <w:pPr>
      <w:snapToGrid w:val="0"/>
      <w:spacing w:before="120" w:line="360" w:lineRule="auto"/>
      <w:jc w:val="center"/>
    </w:pPr>
    <w:rPr>
      <w:rFonts w:ascii="Arial" w:hAnsi="Arial"/>
      <w:b/>
      <w:sz w:val="22"/>
      <w:szCs w:val="20"/>
    </w:rPr>
  </w:style>
  <w:style w:type="paragraph" w:styleId="Footer">
    <w:name w:val="footer"/>
    <w:basedOn w:val="Normal"/>
    <w:uiPriority w:val="99"/>
    <w:rsid w:val="0081400B"/>
    <w:pPr>
      <w:tabs>
        <w:tab w:val="center" w:pos="4536"/>
        <w:tab w:val="right" w:pos="9072"/>
      </w:tabs>
      <w:jc w:val="left"/>
    </w:pPr>
  </w:style>
  <w:style w:type="character" w:styleId="PageNumber">
    <w:name w:val="page number"/>
    <w:basedOn w:val="DefaultParagraphFont"/>
    <w:uiPriority w:val="99"/>
    <w:rsid w:val="0081400B"/>
    <w:rPr>
      <w:rFonts w:cs="Times New Roman"/>
      <w:rtl w:val="0"/>
      <w:cs w:val="0"/>
    </w:rPr>
  </w:style>
  <w:style w:type="character" w:styleId="PlaceholderText">
    <w:name w:val="Placeholder Text"/>
    <w:basedOn w:val="DefaultParagraphFont"/>
    <w:uiPriority w:val="99"/>
    <w:semiHidden/>
    <w:rsid w:val="002B288B"/>
    <w:rPr>
      <w:rFonts w:cs="Times New Roman"/>
      <w:color w:val="808080"/>
      <w:rtl w:val="0"/>
      <w:cs w:val="0"/>
    </w:rPr>
  </w:style>
  <w:style w:type="table" w:styleId="TableGrid">
    <w:name w:val="Table Grid"/>
    <w:basedOn w:val="TableNormal"/>
    <w:uiPriority w:val="99"/>
    <w:rsid w:val="002B288B"/>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3554</Words>
  <Characters>20261</Characters>
  <Application>Microsoft Office Word</Application>
  <DocSecurity>0</DocSecurity>
  <Lines>0</Lines>
  <Paragraphs>0</Paragraphs>
  <ScaleCrop>false</ScaleCrop>
  <Company>MPSVR SR</Company>
  <LinksUpToDate>false</LinksUpToDate>
  <CharactersWithSpaces>23768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cebulakova</dc:creator>
  <cp:lastModifiedBy>cebulakova</cp:lastModifiedBy>
  <cp:revision>2</cp:revision>
  <cp:lastPrinted>2008-10-01T14:02:00Z</cp:lastPrinted>
  <dcterms:created xsi:type="dcterms:W3CDTF">2008-10-01T15:21:00Z</dcterms:created>
  <dcterms:modified xsi:type="dcterms:W3CDTF">2008-10-01T15:21:00Z</dcterms:modified>
</cp:coreProperties>
</file>