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59EC" w:rsidP="007A59EC">
      <w:pPr>
        <w:outlineLvl w:val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Dôvodová správa</w:t>
      </w:r>
    </w:p>
    <w:p w:rsidR="007A59EC" w:rsidP="007A59EC">
      <w:pPr>
        <w:rPr>
          <w:rFonts w:ascii="Times New Roman" w:hAnsi="Times New Roman" w:cs="Times New Roman"/>
          <w:b/>
          <w:sz w:val="32"/>
        </w:rPr>
      </w:pPr>
    </w:p>
    <w:p w:rsidR="007A59EC" w:rsidP="007A59EC">
      <w:pPr>
        <w:rPr>
          <w:rFonts w:ascii="Times New Roman" w:hAnsi="Times New Roman" w:cs="Times New Roman"/>
          <w:b/>
          <w:sz w:val="32"/>
        </w:rPr>
      </w:pPr>
    </w:p>
    <w:p w:rsidR="007A59EC" w:rsidP="007A59EC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</w:rPr>
        <w:t xml:space="preserve">   </w:t>
      </w:r>
      <w:r>
        <w:rPr>
          <w:rFonts w:ascii="Times New Roman" w:hAnsi="Times New Roman" w:cs="Times New Roman"/>
          <w:b/>
        </w:rPr>
        <w:t>Všeobecná časť</w:t>
      </w: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>Zákon Národnej rady Slovenskej republiky č. 300/1993 Z. z. o mene a priezvisku v znení neskorších predpisov upravuje problematiku určenia a používania mena a priezviska  ako aj problematiku zmeny mena a priezviska. Štátny občan Slovenskej republiky má právo a povinnosť užívať meno resp. mená  a priezvisko či priezviská, ktoré má uvedené v úradnom výpise z matriky. Meno a priezvisko človeka sú jeho dva základné individualizačné znaky, majú význam nielen pre osobný život občana, ale aj z celospoločenského hľadiska, najmä ako predpoklad všestrannej a presnej evidencie  obyvateľov. Z tohto dôvodu je preto dôležité poskytnúť občanovi možnosť úpravy, opravy alebo zmeny mena alebo priezviska, ale súčasne ustanoviť súhrn pravidiel,  zmyslom ktorých je potreba určitej regulácie a usmernenia v oblasti predmetnej problematiky. Právo na meno patrí k osobným právam občana, ako aj právo na ochranu mena, ktoré každému zaručuje Ústava Slovenske</w:t>
      </w:r>
      <w:r>
        <w:rPr>
          <w:rFonts w:ascii="Times New Roman" w:hAnsi="Times New Roman" w:cs="Times New Roman"/>
        </w:rPr>
        <w:t>j republiky.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Navrhovanou úpravou pravidiel používania mena a priezviska, ako aj povoľovania zmeny mena a priezviska sa reaguje na požiadavky občanov, ktoré vyplývajú aj z nášho členstva v EÚ. Častejšie ako predtým sa uzatvárajú zmiešané manželstva, rodia sa deti rodičom rôznych štátnych príslušnosti a z týchto udalostí vychádzajú žiadosti občanov Slovenskej republiky v oblasti úpravy a užívania mena a priezviska ako aj časté dožiadania na povolenie zmeny mena alebo priezviska.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Podkladom k príprave novely vyššie citovaného zákona boli predovšetkým poznatky a skúsenosti z praxe obvodných úradov, ktoré rozhodujú o povolení zmeny mena a priezviska a matričných úradov, ktoré prijímajú oznámenia o zmene mena a priezviska, na ktoré nie je v súla</w:t>
      </w:r>
      <w:r>
        <w:rPr>
          <w:rFonts w:ascii="Times New Roman" w:hAnsi="Times New Roman" w:cs="Times New Roman"/>
        </w:rPr>
        <w:t>de s platnou právnou úpravou potrebné povolenie.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Navrhovanou novelou sa spresňujú a rozširujú niektoré ustanovenia, týkajúce sa zmeny priezviska najmä manželov a cieľom je dosiahnuť jednotné uplatňovanie predmetných ustanovení zo strany obvodných </w:t>
      </w:r>
      <w:r>
        <w:rPr>
          <w:rFonts w:ascii="Times New Roman" w:hAnsi="Times New Roman" w:cs="Times New Roman"/>
        </w:rPr>
        <w:t>úradov.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Návrh predkladanej novely zákona obsahuje aj ďalšie zmeny, ktoré súvisia s potrebou upraviť text niektorých ustanovení napr. príslušnosť na zmenu mena a zmenu priezviska, náležitosti pri podaní žiadosti, oznamovacia povinnosť obvodných a matričných úradov tak, aby sa zabezpečila  ich jednotná aplikácia obvodnými a matričnými úradmi.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Návrh zákona je v súlade s Ústavou Slovenskej republiky, s ústavnými a inými zákonmi, ako aj s medzinárodnými zmluvami a inými medzinárodnými dokumentm</w:t>
      </w:r>
      <w:r>
        <w:rPr>
          <w:rFonts w:ascii="Times New Roman" w:hAnsi="Times New Roman" w:cs="Times New Roman"/>
        </w:rPr>
        <w:t>i, ktorými je Slovenská republika viazaná.</w:t>
      </w:r>
    </w:p>
    <w:p w:rsidR="007A59EC" w:rsidP="007A59EC">
      <w:pPr>
        <w:jc w:val="both"/>
        <w:rPr>
          <w:rFonts w:ascii="Times New Roman" w:hAnsi="Times New Roman" w:cs="Times New Roman"/>
          <w:b/>
        </w:rPr>
      </w:pPr>
    </w:p>
    <w:p w:rsidR="007A59EC" w:rsidRPr="00D24437" w:rsidP="007A5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24437">
        <w:rPr>
          <w:rFonts w:ascii="Times New Roman" w:hAnsi="Times New Roman" w:cs="Times New Roman"/>
        </w:rPr>
        <w:t xml:space="preserve">Prijatím zákona sa </w:t>
      </w:r>
      <w:r>
        <w:rPr>
          <w:rFonts w:ascii="Times New Roman" w:hAnsi="Times New Roman" w:cs="Times New Roman"/>
        </w:rPr>
        <w:t xml:space="preserve">nepredpokladajú negatívne dopady na verejné financie, ani obyvateľstvo, hospodárenie podnikateľskej sféry, životné prostredie či zamestnanosť. Ministerstvo financií Slovenskej republiky k uvádzaným dopadom neuplatnilo námietky – list č. MF/19032/2008-81 zo 17. júna 2008. </w:t>
      </w:r>
    </w:p>
    <w:p w:rsidR="007A59EC" w:rsidP="007A59EC">
      <w:pPr>
        <w:jc w:val="both"/>
        <w:rPr>
          <w:rFonts w:ascii="Times New Roman" w:hAnsi="Times New Roman" w:cs="Times New Roman"/>
          <w:b/>
        </w:rPr>
      </w:pPr>
    </w:p>
    <w:p w:rsidR="007A59EC" w:rsidP="007A59EC">
      <w:pPr>
        <w:jc w:val="both"/>
        <w:rPr>
          <w:rFonts w:ascii="Times New Roman" w:hAnsi="Times New Roman" w:cs="Times New Roman"/>
          <w:b/>
        </w:rPr>
      </w:pPr>
    </w:p>
    <w:p w:rsidR="007A59EC" w:rsidP="007A59EC">
      <w:pPr>
        <w:jc w:val="both"/>
        <w:rPr>
          <w:rFonts w:ascii="Times New Roman" w:hAnsi="Times New Roman" w:cs="Times New Roman"/>
          <w:b/>
        </w:rPr>
      </w:pPr>
    </w:p>
    <w:p w:rsidR="007A59EC" w:rsidP="007A59EC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Doložka</w:t>
      </w:r>
    </w:p>
    <w:p w:rsidR="007A59EC" w:rsidP="007A59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finančných, ekonomických, environmentálnych vplyvov, vplyvov na zamestnanosť a podnikateľské prostredie</w:t>
      </w:r>
    </w:p>
    <w:p w:rsidR="007A59EC" w:rsidP="007A59EC">
      <w:pPr>
        <w:jc w:val="center"/>
        <w:rPr>
          <w:rFonts w:ascii="Times New Roman" w:hAnsi="Times New Roman" w:cs="Times New Roman"/>
          <w:b/>
          <w:sz w:val="28"/>
        </w:rPr>
      </w:pPr>
    </w:p>
    <w:p w:rsidR="007A59EC" w:rsidP="007A59EC">
      <w:pPr>
        <w:jc w:val="center"/>
        <w:rPr>
          <w:rFonts w:ascii="Times New Roman" w:hAnsi="Times New Roman" w:cs="Times New Roman"/>
          <w:b/>
          <w:sz w:val="28"/>
        </w:rPr>
      </w:pPr>
    </w:p>
    <w:p w:rsidR="007A59EC" w:rsidP="007A59EC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Prvá časť: Odhad dopadov na verejné financie</w:t>
      </w:r>
    </w:p>
    <w:p w:rsidR="007A59EC" w:rsidP="007A59EC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</w:rPr>
        <w:t xml:space="preserve"> Bez dopadov</w:t>
      </w:r>
    </w:p>
    <w:p w:rsidR="007A59EC" w:rsidP="007A59EC">
      <w:pPr>
        <w:jc w:val="both"/>
        <w:rPr>
          <w:rFonts w:ascii="Times New Roman" w:hAnsi="Times New Roman" w:cs="Times New Roman"/>
          <w:b/>
        </w:rPr>
      </w:pPr>
    </w:p>
    <w:p w:rsidR="007A59EC" w:rsidP="007A59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Druhá časť: Odhad dopadov na obyvateľstvo, hospodárenie podnikateľskej sféry  iných právnických osôb </w:t>
      </w:r>
    </w:p>
    <w:p w:rsidR="007A59EC" w:rsidP="007A5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Bez dopadov </w:t>
      </w:r>
    </w:p>
    <w:p w:rsidR="007A59EC" w:rsidP="007A59EC">
      <w:pPr>
        <w:jc w:val="both"/>
        <w:rPr>
          <w:rFonts w:ascii="Times New Roman" w:hAnsi="Times New Roman" w:cs="Times New Roman"/>
          <w:b/>
        </w:rPr>
      </w:pPr>
    </w:p>
    <w:p w:rsidR="007A59EC" w:rsidP="007A59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Tretia časť: Odhad dopadov na životné prostredie </w:t>
      </w:r>
    </w:p>
    <w:p w:rsidR="007A59EC" w:rsidP="007A5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Bez dopadov 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Štvrtá časť: Odhad dopadov na zamestnanosť </w:t>
      </w:r>
    </w:p>
    <w:p w:rsidR="007A59EC" w:rsidP="007A59EC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Bez dopadov</w:t>
      </w: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rPr>
          <w:rFonts w:ascii="Times New Roman" w:hAnsi="Times New Roman" w:cs="Times New Roman"/>
        </w:rPr>
      </w:pPr>
    </w:p>
    <w:p w:rsidR="007A59EC" w:rsidP="007A59EC">
      <w:pPr>
        <w:tabs>
          <w:tab w:val="left" w:pos="540"/>
        </w:tabs>
        <w:spacing w:after="120"/>
        <w:ind w:left="540" w:hanging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DOLOŽKA  ZLUČITEĽNOSTI</w:t>
      </w:r>
    </w:p>
    <w:p w:rsidR="007A59EC" w:rsidP="007A59EC">
      <w:pPr>
        <w:tabs>
          <w:tab w:val="left" w:pos="540"/>
        </w:tabs>
        <w:ind w:left="540" w:hanging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návrhu právneho predpisu</w:t>
      </w:r>
    </w:p>
    <w:p w:rsidR="007A59EC" w:rsidP="007A59EC">
      <w:pPr>
        <w:tabs>
          <w:tab w:val="left" w:pos="540"/>
        </w:tabs>
        <w:ind w:left="540" w:hanging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 právom Európskych spoločenstiev a právom Európskej únie</w:t>
      </w:r>
    </w:p>
    <w:p w:rsidR="007A59EC" w:rsidP="007A59EC">
      <w:pPr>
        <w:jc w:val="both"/>
        <w:rPr>
          <w:rFonts w:ascii="Times New Roman" w:hAnsi="Times New Roman" w:cs="Times New Roman"/>
          <w:b/>
        </w:rPr>
      </w:pPr>
    </w:p>
    <w:p w:rsidR="007A59EC" w:rsidP="007A59EC">
      <w:pPr>
        <w:jc w:val="both"/>
        <w:rPr>
          <w:rFonts w:ascii="Times New Roman" w:hAnsi="Times New Roman" w:cs="Times New Roman"/>
          <w:b/>
        </w:rPr>
      </w:pPr>
    </w:p>
    <w:p w:rsidR="007A59EC" w:rsidP="007A59EC">
      <w:pPr>
        <w:jc w:val="both"/>
        <w:rPr>
          <w:rFonts w:ascii="Times New Roman" w:hAnsi="Times New Roman" w:cs="Times New Roman"/>
          <w:b/>
        </w:rPr>
      </w:pPr>
    </w:p>
    <w:p w:rsidR="007A59EC" w:rsidP="007A59EC">
      <w:pPr>
        <w:pStyle w:val="BodyText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Predkladateľ právneho predpisu:</w:t>
      </w:r>
      <w:r>
        <w:rPr>
          <w:rFonts w:ascii="Times New Roman" w:hAnsi="Times New Roman"/>
          <w:sz w:val="24"/>
        </w:rPr>
        <w:tab/>
      </w:r>
    </w:p>
    <w:p w:rsidR="007A59EC" w:rsidP="007A59EC">
      <w:pPr>
        <w:pStyle w:val="BodyText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Vláda Slovenskej republiky</w:t>
      </w:r>
    </w:p>
    <w:p w:rsidR="007A59EC" w:rsidP="007A59EC">
      <w:pPr>
        <w:jc w:val="both"/>
        <w:rPr>
          <w:rFonts w:ascii="Times New Roman" w:hAnsi="Times New Roman" w:cs="Times New Roman"/>
          <w:b/>
        </w:rPr>
      </w:pPr>
    </w:p>
    <w:p w:rsidR="007A59EC" w:rsidP="007A59EC">
      <w:pPr>
        <w:jc w:val="both"/>
        <w:rPr>
          <w:rFonts w:ascii="Times New Roman" w:hAnsi="Times New Roman" w:cs="Times New Roman"/>
          <w:b/>
        </w:rPr>
      </w:pPr>
    </w:p>
    <w:p w:rsidR="007A59EC" w:rsidP="007A59EC">
      <w:pPr>
        <w:pStyle w:val="BodyText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Názov návrhu právneho predpisu:</w:t>
      </w:r>
      <w:r>
        <w:rPr>
          <w:b/>
          <w:sz w:val="24"/>
        </w:rPr>
        <w:tab/>
        <w:t xml:space="preserve"> </w:t>
      </w:r>
    </w:p>
    <w:p w:rsidR="007A59EC" w:rsidP="007A59EC">
      <w:pPr>
        <w:pStyle w:val="BodyText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Zákon, ktorým sa mení a dopĺňa zák</w:t>
      </w:r>
      <w:r>
        <w:rPr>
          <w:rFonts w:ascii="Times New Roman" w:hAnsi="Times New Roman"/>
          <w:sz w:val="24"/>
        </w:rPr>
        <w:t>on č. 300/1993 Z. z. o mene a priezvisku v znení neskorších predpisov</w:t>
      </w:r>
    </w:p>
    <w:p w:rsidR="007A59EC" w:rsidP="007A59EC">
      <w:pPr>
        <w:jc w:val="both"/>
        <w:rPr>
          <w:rFonts w:ascii="Times New Roman" w:hAnsi="Times New Roman" w:cs="Times New Roman"/>
          <w:b/>
          <w:i/>
        </w:rPr>
      </w:pPr>
    </w:p>
    <w:p w:rsidR="007A59EC" w:rsidP="007A59EC">
      <w:pPr>
        <w:jc w:val="both"/>
        <w:rPr>
          <w:rFonts w:ascii="Times New Roman" w:hAnsi="Times New Roman" w:cs="Times New Roman"/>
          <w:b/>
          <w:i/>
        </w:rPr>
      </w:pPr>
    </w:p>
    <w:p w:rsidR="007A59EC" w:rsidP="007A59EC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Problematika návrhu právneho predpisu:</w:t>
      </w:r>
    </w:p>
    <w:p w:rsidR="007A59EC" w:rsidP="007A59EC">
      <w:pPr>
        <w:ind w:left="360"/>
        <w:jc w:val="both"/>
        <w:rPr>
          <w:rFonts w:ascii="Times New Roman" w:hAnsi="Times New Roman" w:cs="Times New Roman"/>
        </w:rPr>
      </w:pPr>
    </w:p>
    <w:p w:rsidR="007A59EC" w:rsidP="007A59EC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 je upravená v práve Európskych spoločenstiev,</w:t>
      </w:r>
    </w:p>
    <w:p w:rsidR="007A59EC" w:rsidP="007A59EC">
      <w:pPr>
        <w:ind w:left="1080"/>
        <w:jc w:val="both"/>
        <w:rPr>
          <w:rFonts w:ascii="Times New Roman" w:hAnsi="Times New Roman" w:cs="Times New Roman"/>
          <w:b/>
        </w:rPr>
      </w:pPr>
    </w:p>
    <w:p w:rsidR="007A59EC" w:rsidP="007A59EC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 je upravená v práve Európskej únie,</w:t>
      </w:r>
    </w:p>
    <w:p w:rsidR="007A59EC" w:rsidP="007A59EC">
      <w:pPr>
        <w:ind w:left="1080"/>
        <w:jc w:val="both"/>
        <w:rPr>
          <w:rFonts w:ascii="Times New Roman" w:hAnsi="Times New Roman" w:cs="Times New Roman"/>
          <w:b/>
        </w:rPr>
      </w:pPr>
    </w:p>
    <w:p w:rsidR="007A59EC" w:rsidP="007A59EC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 je obsiahnutá v judikatúre Súdneho dvora Európskych  spoločenstiev alebo Súdu prvého stupňa Európskych  spoločenstiev.</w:t>
      </w:r>
    </w:p>
    <w:p w:rsidR="007A59EC" w:rsidP="007A59EC">
      <w:pPr>
        <w:ind w:left="1080"/>
        <w:jc w:val="both"/>
        <w:rPr>
          <w:rFonts w:ascii="Times New Roman" w:hAnsi="Times New Roman" w:cs="Times New Roman"/>
          <w:b/>
        </w:rPr>
      </w:pPr>
    </w:p>
    <w:p w:rsidR="007A59EC" w:rsidP="007A59EC">
      <w:pPr>
        <w:ind w:left="1080"/>
        <w:jc w:val="both"/>
        <w:rPr>
          <w:rFonts w:ascii="Times New Roman" w:hAnsi="Times New Roman" w:cs="Times New Roman"/>
          <w:b/>
        </w:rPr>
      </w:pPr>
    </w:p>
    <w:p w:rsidR="007A59EC" w:rsidP="007A59EC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Keďže problematika návrhu právneho predpisu nie je upravená právom Európskych spoločenstiev a Európskej únie, je bezpredmetné vyjadrovať sa k bodom 4 až 6. </w:t>
      </w: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Osobitná časť</w:t>
      </w:r>
    </w:p>
    <w:p w:rsidR="007A59EC" w:rsidP="007A59EC">
      <w:pPr>
        <w:rPr>
          <w:rFonts w:ascii="Times New Roman" w:hAnsi="Times New Roman" w:cs="Times New Roman"/>
          <w:b/>
        </w:rPr>
      </w:pPr>
    </w:p>
    <w:p w:rsidR="007A59EC" w:rsidP="007A59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Článok I</w:t>
      </w:r>
    </w:p>
    <w:p w:rsidR="007A59EC" w:rsidP="007A59EC">
      <w:pPr>
        <w:jc w:val="both"/>
        <w:rPr>
          <w:rFonts w:ascii="Times New Roman" w:hAnsi="Times New Roman" w:cs="Times New Roman"/>
          <w:b/>
        </w:rPr>
      </w:pPr>
    </w:p>
    <w:p w:rsidR="007A59EC" w:rsidP="007A5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K bodu  1</w:t>
      </w:r>
      <w:r>
        <w:rPr>
          <w:rFonts w:ascii="Times New Roman" w:hAnsi="Times New Roman" w:cs="Times New Roman"/>
        </w:rPr>
        <w:t xml:space="preserve"> 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 úprava  zabezpečuje právo rodiča určiť meno dieťaťa aj pre prípad, že druhý z rodičov  do doby narodenia dieťaťa už nežije. Takáto situácia doteraz v zákone riešená nebola.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K bodu 2</w:t>
      </w:r>
      <w:r>
        <w:rPr>
          <w:rFonts w:ascii="Times New Roman" w:hAnsi="Times New Roman" w:cs="Times New Roman"/>
        </w:rPr>
        <w:t xml:space="preserve"> 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sa opiera o požiadavky z praxe matričných úradov pri zápisoch cudzojazyčných a neobvyklých  mien, a preto je potrebné predložiť potvrdenie príslušného orgánu cudzieho štátu, ktorým rodičia dieťaťa matričnému úradu preukážu, že nimi zvolené meno je v cudzom štáte obvykle používa</w:t>
      </w:r>
      <w:r>
        <w:rPr>
          <w:rFonts w:ascii="Times New Roman" w:hAnsi="Times New Roman" w:cs="Times New Roman"/>
        </w:rPr>
        <w:t xml:space="preserve">né.  Na základe pripomienok matričných a obvodných úradov sa tiež ustanovuje, že nemožno určiť popri hanlivom a neosobnom mene ani domácku podobu mena tak, ako to bolo pred ostatnou novelou tohto zákona. 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K bodu 3 až 5</w:t>
      </w:r>
      <w:r>
        <w:rPr>
          <w:rFonts w:ascii="Times New Roman" w:hAnsi="Times New Roman" w:cs="Times New Roman"/>
        </w:rPr>
        <w:t xml:space="preserve"> 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Navrhovanou úpravou je zakotvenie možnosti na určenie, zrušenie druhého alebo tretieho mena a zmeny poradia mena  len  jeden krát,  ktorá vyplýva z potreby zamedzenia špekulácií zo strany občanov, nakoľko sa jedná o bezplatnú úpravu mena. V prípade opodstatnenej požiadavky na určenie, zrušenie druhého alebo tretieho mena,  alebo na zmenu poradia mien po využití bezplatnej úpravy má občan možnosť využiť § 6 a požiadať o zmenu mena rozhodnutím za správny poplatok.  Účelom nového § 2c – zmena poradia mien - </w:t>
      </w:r>
      <w:r>
        <w:rPr>
          <w:rFonts w:ascii="Times New Roman" w:hAnsi="Times New Roman" w:cs="Times New Roman"/>
        </w:rPr>
        <w:t>sú požiadavky zo strany občanov a najmä rodičov maloletých detí, ktorí pri zápise do matriky určili dieťaťu viac mien a neskôr nemohli požiadať o zmenu poradia mien, lebo platné znenie zákona to neumožňuje.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K bodu 6</w:t>
      </w:r>
      <w:r>
        <w:rPr>
          <w:rFonts w:ascii="Times New Roman" w:hAnsi="Times New Roman" w:cs="Times New Roman"/>
        </w:rPr>
        <w:t xml:space="preserve"> 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Novým odsekom § 4  je potrebné upraviť  zmenu priezviska dieťaťa ku ktorému bolo úspešne zapreté otcovstvo, a týmto novým právnym stavom  nie je v záujme maloletého, aby nieslo priezvisko muža, ktorého otcovstvo bolo súdom právoplatne zapreté.  Dosiahne sa súlad aj s ustanoveniami zákona o rodine.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bodu 7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 legislatívno-technickú úpravu vykonanú vzhľadom na predchádzajúci bod návrhu.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bodu 8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Zosúladenie a umožnenie práva občana k zmene mena tak, aby mal možnosť si požiadať nielen o zmenu priezviska ale aj o zmenu mena, ak ide aj o občana iného štátu. Zmenou sa má docieliť zjednotenie tvaru mena občana a tiež zápis rovnakého mena občana na území SR s menom, ktoré je zapísané v matrike cudzieho štátu, ktorého je občanom. 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bodu 9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 36/2005 Z. z. o rodine a o zmene a doplnení niektorých zákonov v § 6 ustanovuje možnosti prijatia a používania priezviska manželov po uzavretí manželstva. Prax ukázala, že manželia alebo jeden z nich po určitom čase zistia, že z určitého dôvodu (osobného, spoločenského, praktického) by bolo vhodnejšie a účelnejšie používať iný tvar priezviska v súlade s vyššie citovaným ustanovením.  Platná úprava zákona o mene a priezvisku takúto zmenu manželom, resp. jednému z nich neumožňuje. Je možné povoliť spoločnú zmenu priezviska manželov (§ 6  ods. 2) alebo zmenu priezviska jedného z manželov na spoločné priezvisko, ak pri uzavretí manželstva vyhlásil, že si ponechá svoje doterajšie priezvisko (§ 7 ods. 2 písm. a)). Navrhovanou zmenou sa umožní manželom, resp. jednému z nich požiadať  o zmenu priezviska na taký tvar, ktorý ustanovuje zákon o rodine, ale z určitého dôvodu pri akte uzavretia manželstva danú možnosť nevyužili. </w:t>
      </w:r>
    </w:p>
    <w:p w:rsidR="007A59EC" w:rsidP="007A59EC">
      <w:pPr>
        <w:jc w:val="both"/>
        <w:rPr>
          <w:rFonts w:ascii="Times New Roman" w:hAnsi="Times New Roman" w:cs="Times New Roman"/>
          <w:b/>
          <w:u w:val="single"/>
        </w:rPr>
      </w:pPr>
    </w:p>
    <w:p w:rsidR="007A59EC" w:rsidP="007A59E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bodu 10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Dôvodom doplnenia ustanovenia je zakotvenie zákonného práva osoby, u ktorej prebieha zmena pohlavia, využiť v dobe liečby možnosť požiadať o zmenu a dočasné  používanie neutrálneho mena alebo priezviska, čo sa v praxi využíva, avšak je túto možnosť potrebné upraviť to i do zákonnej podoby. 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bodu 11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k tomu, že ide o možnosť úpravy priezviska počas trvania manželstva, je žiaduce, aby rozhodnutia o povolení zmeny priezviska manželov alebo jedného z nich boli   zakotvené v spoločnom ustanovení. Predmet úpravy je presunutý z doterajšieho § 7 ods. 2 písm. a) do navrhovaného § 6 ods. 3, písm. b) . Zároveň sa pre prípad uvedený v doterajšom § 7 ods. 2 zavádza tzv. povoľovací mechanizmus obdobne ako pre všetky ďalšie prípady zmeny priezviska jedného z manželov.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bodu 12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§ znenia vyplynulo z požiadaviek matričných úradov, nakoľko pri aplikácii § znenia v praxi, dochádza k duplicite pri vydávaní matričného dokladu a súčasne potvrdenia, ktoré potvrdzujú rovnaké skutočnosti.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bodu 13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 úprava vyplýva z potreby upresnenia  znenia  ustanovenia súvisiaceho  so zmenou mena alebo priezviska.</w:t>
      </w:r>
    </w:p>
    <w:p w:rsidR="007A59EC" w:rsidP="007A5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A59EC" w:rsidP="007A59E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bodu 14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Upresnenie miestnej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príslušnosti, ak občan, ktorý žiadosť podáva  nemá na území SR trvalý pobyt, ale takýto pobyt v Slovenskej republike  mal.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bodu 15 a  17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Navrhovanou zmenou zákon rozšíri možnosť predkladania dokladov potrebných k zmene mena alebo priezviska o originál požadovaných dokladov. Z praxe je známe, že žiadosť o zmenu si občan podáva osobne, a možnosť predložiť len zákonom ustanovené osvedčené kópie predstavuje pre občana zvýšené finančné nároky.  Navrhovanou úpravou je daná možnosť zamestnancovi, ktorý preberá žiadosť  nahliadnuť do originálov a overiť si skutočnosti potrebné k rozhodnutiu priamo z originálov a súčasne si overiť ich zhodu s kópiou. 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bodu 16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 o zmenu mena alebo zmenu priezviska, ktorý nie je držiteľom občianskeho preukazu, môže preukázať svoju totožnosť iným dokladom, a pokiaľ to nebude doklad, ktorým zároveň preukáže aj štátnu príslušnosť SR,  predloží  i doklad, ktorým osvedčí štátne občianstvo SR .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Štátny občan SR, ktorý je aj štátnym občanom iného štátu a požiada o zmenu mena v súlade s právom alebo tradíciou tohto iného štátu, bude musieť požiadať  o zmenu mena aj na území SR. Príslušný obvodný úrad si musí v tomto prípade zistiť, či žiadateľ má aj iné štátne občianstvo. 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bodu 18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Ustanovenie § 11 ods. 6 sa dopĺňa o nutnosť predloženia písomného splnomocnenia zástupcu na základe dohody o plnomocenstve, pričom sa zároveň vyžaduje, aby toto plnomocenstvo bolo opatrené osvedčeným podpisom osoby, ktorej meno alebo priezvisko sa má v konaní meniť.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bodu 19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Dôvodom zakotvenia oznamovacej povinnosti úradov, ktoré sú oprávnené zo zákona konať vo veci povolenia zmeny mena alebo priezviska sledujeme  ustanoviť v zákone oznamovaciu povinnosť voči štátnym orgánom (napr. GP, REGOB)  a obciam. 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bodu 20</w:t>
      </w:r>
    </w:p>
    <w:p w:rsidR="007A59EC" w:rsidP="007A59EC">
      <w:pPr>
        <w:tabs>
          <w:tab w:val="left" w:pos="576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prechodné ustanovenie k úpravám účinným od 1. januára 2009.</w:t>
      </w:r>
    </w:p>
    <w:p w:rsidR="007A59EC" w:rsidP="007A59EC">
      <w:pPr>
        <w:jc w:val="both"/>
        <w:rPr>
          <w:rFonts w:ascii="Times New Roman" w:hAnsi="Times New Roman" w:cs="Times New Roman"/>
          <w:b/>
        </w:rPr>
      </w:pPr>
    </w:p>
    <w:p w:rsidR="007A59EC" w:rsidP="007A5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Článok II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Upravuje sa dátum nadobudnutia účinnosti zákona. </w:t>
      </w: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</w:p>
    <w:p w:rsidR="007A59EC" w:rsidP="007A59EC">
      <w:pPr>
        <w:ind w:firstLine="708"/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27. augusta 2008</w:t>
      </w: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P="007A59EC">
      <w:pPr>
        <w:jc w:val="both"/>
        <w:rPr>
          <w:rFonts w:ascii="Times New Roman" w:hAnsi="Times New Roman" w:cs="Times New Roman"/>
        </w:rPr>
      </w:pPr>
    </w:p>
    <w:p w:rsidR="007A59EC" w:rsidRPr="00701F59" w:rsidP="007A59EC">
      <w:pPr>
        <w:jc w:val="both"/>
        <w:rPr>
          <w:rFonts w:ascii="Times New Roman" w:hAnsi="Times New Roman" w:cs="Times New Roman"/>
          <w:b/>
        </w:rPr>
      </w:pPr>
    </w:p>
    <w:p w:rsidR="007A59EC" w:rsidRPr="00701F59" w:rsidP="007A59EC">
      <w:pPr>
        <w:jc w:val="both"/>
        <w:rPr>
          <w:rFonts w:ascii="Times New Roman" w:hAnsi="Times New Roman" w:cs="Times New Roman"/>
          <w:b/>
        </w:rPr>
      </w:pPr>
      <w:r w:rsidRPr="00701F59">
        <w:rPr>
          <w:rFonts w:ascii="Times New Roman" w:hAnsi="Times New Roman" w:cs="Times New Roman"/>
          <w:b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  <w:b/>
        </w:rPr>
        <w:t xml:space="preserve">   Robert Fico</w:t>
      </w:r>
    </w:p>
    <w:p w:rsidR="007A59EC" w:rsidP="007A59EC">
      <w:pPr>
        <w:jc w:val="both"/>
        <w:rPr>
          <w:rFonts w:ascii="Times New Roman" w:hAnsi="Times New Roman" w:cs="Times New Roman"/>
          <w:b/>
        </w:rPr>
      </w:pPr>
      <w:r w:rsidRPr="00701F59">
        <w:rPr>
          <w:rFonts w:ascii="Times New Roman" w:hAnsi="Times New Roman" w:cs="Times New Roman"/>
          <w:b/>
        </w:rPr>
        <w:tab/>
        <w:tab/>
        <w:tab/>
        <w:tab/>
        <w:tab/>
        <w:tab/>
        <w:tab/>
        <w:tab/>
        <w:t xml:space="preserve"> predseda vlády </w:t>
      </w:r>
    </w:p>
    <w:p w:rsidR="007A59EC" w:rsidRPr="00701F59" w:rsidP="007A59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Slovenskej republiky </w:t>
      </w:r>
    </w:p>
    <w:p w:rsidR="007A59EC" w:rsidRPr="00701F59" w:rsidP="007A59EC">
      <w:pPr>
        <w:jc w:val="both"/>
        <w:rPr>
          <w:rFonts w:ascii="Times New Roman" w:hAnsi="Times New Roman" w:cs="Times New Roman"/>
          <w:b/>
        </w:rPr>
      </w:pPr>
    </w:p>
    <w:p w:rsidR="007A59EC" w:rsidRPr="00701F59" w:rsidP="007A59EC">
      <w:pPr>
        <w:jc w:val="both"/>
        <w:rPr>
          <w:rFonts w:ascii="Times New Roman" w:hAnsi="Times New Roman" w:cs="Times New Roman"/>
          <w:b/>
        </w:rPr>
      </w:pPr>
    </w:p>
    <w:p w:rsidR="007A59EC" w:rsidRPr="00701F59" w:rsidP="007A59EC">
      <w:pPr>
        <w:jc w:val="both"/>
        <w:rPr>
          <w:rFonts w:ascii="Times New Roman" w:hAnsi="Times New Roman" w:cs="Times New Roman"/>
          <w:b/>
        </w:rPr>
      </w:pPr>
    </w:p>
    <w:p w:rsidR="007A59EC" w:rsidRPr="00701F59" w:rsidP="007A59EC">
      <w:pPr>
        <w:jc w:val="both"/>
        <w:rPr>
          <w:rFonts w:ascii="Times New Roman" w:hAnsi="Times New Roman" w:cs="Times New Roman"/>
          <w:b/>
        </w:rPr>
      </w:pPr>
      <w:r w:rsidRPr="00701F59">
        <w:rPr>
          <w:rFonts w:ascii="Times New Roman" w:hAnsi="Times New Roman" w:cs="Times New Roman"/>
          <w:b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  <w:b/>
        </w:rPr>
        <w:t xml:space="preserve">   </w:t>
      </w:r>
      <w:r w:rsidRPr="00701F59">
        <w:rPr>
          <w:rFonts w:ascii="Times New Roman" w:hAnsi="Times New Roman" w:cs="Times New Roman"/>
          <w:b/>
        </w:rPr>
        <w:t xml:space="preserve">Robert Kaliňák </w:t>
      </w:r>
    </w:p>
    <w:p w:rsidR="007A59EC" w:rsidP="007A59EC">
      <w:pPr>
        <w:jc w:val="both"/>
        <w:rPr>
          <w:rFonts w:ascii="Times New Roman" w:hAnsi="Times New Roman" w:cs="Times New Roman"/>
          <w:b/>
        </w:rPr>
      </w:pPr>
      <w:r w:rsidRPr="00701F59">
        <w:rPr>
          <w:rFonts w:ascii="Times New Roman" w:hAnsi="Times New Roman" w:cs="Times New Roman"/>
          <w:b/>
        </w:rPr>
        <w:tab/>
        <w:tab/>
        <w:tab/>
        <w:tab/>
        <w:tab/>
        <w:tab/>
        <w:tab/>
        <w:t>podpredseda vlády a minister vnútra</w:t>
      </w:r>
    </w:p>
    <w:p w:rsidR="007A59EC" w:rsidRPr="00701F59" w:rsidP="007A59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Slovenskej republiky </w:t>
      </w:r>
      <w:r w:rsidRPr="00701F59">
        <w:rPr>
          <w:rFonts w:ascii="Times New Roman" w:hAnsi="Times New Roman" w:cs="Times New Roman"/>
          <w:b/>
        </w:rPr>
        <w:tab/>
        <w:tab/>
        <w:tab/>
        <w:tab/>
        <w:tab/>
        <w:tab/>
        <w:tab/>
      </w:r>
    </w:p>
    <w:p w:rsidR="0043032D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EC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A59EC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EC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7A59EC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32F8"/>
    <w:multiLevelType w:val="hybridMultilevel"/>
    <w:tmpl w:val="3F98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3032D"/>
    <w:rsid w:val="00701F59"/>
    <w:rsid w:val="007A59EC"/>
    <w:rsid w:val="00D2443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9E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A59EC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7A59EC"/>
    <w:pPr>
      <w:jc w:val="center"/>
    </w:pPr>
    <w:rPr>
      <w:rFonts w:ascii="Garamond" w:hAnsi="Garamond" w:cs="Garamond"/>
      <w:sz w:val="28"/>
      <w:szCs w:val="28"/>
    </w:rPr>
  </w:style>
  <w:style w:type="paragraph" w:styleId="Footer">
    <w:name w:val="footer"/>
    <w:basedOn w:val="Normal"/>
    <w:rsid w:val="007A59E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A59EC"/>
  </w:style>
  <w:style w:type="paragraph" w:styleId="Title">
    <w:name w:val="Title"/>
    <w:basedOn w:val="Normal"/>
    <w:qFormat/>
    <w:rsid w:val="007A59EC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1595</Words>
  <Characters>9094</Characters>
  <Application>Microsoft Office Word</Application>
  <DocSecurity>0</DocSecurity>
  <Lines>0</Lines>
  <Paragraphs>0</Paragraphs>
  <ScaleCrop>false</ScaleCrop>
  <Company>SVS MV SR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b</dc:creator>
  <cp:lastModifiedBy>b</cp:lastModifiedBy>
  <cp:revision>1</cp:revision>
  <dcterms:created xsi:type="dcterms:W3CDTF">2008-09-30T08:47:00Z</dcterms:created>
  <dcterms:modified xsi:type="dcterms:W3CDTF">2008-09-30T08:47:00Z</dcterms:modified>
</cp:coreProperties>
</file>