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0E79">
      <w:pPr>
        <w:pStyle w:val="Title"/>
      </w:pPr>
      <w:r>
        <w:t>DOLOŽKA ZLUČITEĽNOSTI</w:t>
      </w:r>
    </w:p>
    <w:p w:rsidR="00900E79">
      <w:pPr>
        <w:pStyle w:val="Title"/>
      </w:pPr>
    </w:p>
    <w:p w:rsidR="00900E79">
      <w:pPr>
        <w:jc w:val="center"/>
        <w:rPr>
          <w:b/>
          <w:bCs/>
        </w:rPr>
      </w:pPr>
      <w:r w:rsidR="001E3794">
        <w:rPr>
          <w:b/>
          <w:bCs/>
        </w:rPr>
        <w:t>právneho predpisu</w:t>
      </w:r>
      <w:r>
        <w:rPr>
          <w:b/>
          <w:bCs/>
        </w:rPr>
        <w:t xml:space="preserve"> s právom Európskych spoločenstiev a právom Európskej únie </w:t>
      </w:r>
    </w:p>
    <w:p w:rsidR="00900E79">
      <w:pPr>
        <w:jc w:val="both"/>
        <w:rPr>
          <w:b/>
          <w:bCs/>
        </w:rPr>
      </w:pPr>
    </w:p>
    <w:p w:rsidR="00900E79">
      <w:pPr>
        <w:jc w:val="both"/>
        <w:rPr>
          <w:b/>
          <w:bCs/>
        </w:rPr>
      </w:pPr>
    </w:p>
    <w:p w:rsidR="00900E79">
      <w:pPr>
        <w:numPr>
          <w:ilvl w:val="0"/>
          <w:numId w:val="3"/>
        </w:numPr>
        <w:tabs>
          <w:tab w:val="num" w:pos="374"/>
          <w:tab w:val="clear" w:pos="720"/>
        </w:tabs>
        <w:ind w:left="374" w:hanging="374"/>
        <w:jc w:val="both"/>
        <w:rPr>
          <w:b/>
          <w:bCs/>
        </w:rPr>
      </w:pPr>
      <w:r>
        <w:rPr>
          <w:b/>
          <w:bCs/>
        </w:rPr>
        <w:t xml:space="preserve">Predkladateľ </w:t>
      </w:r>
      <w:r w:rsidR="001E3794">
        <w:rPr>
          <w:b/>
          <w:bCs/>
        </w:rPr>
        <w:t>právneho predpisu</w:t>
      </w:r>
      <w:r>
        <w:rPr>
          <w:b/>
          <w:bCs/>
        </w:rPr>
        <w:t xml:space="preserve">: </w:t>
      </w:r>
      <w:r w:rsidR="007F1DF3">
        <w:t>Ministerstvo práce, sociálnych vecí a rodiny Slovenskej republiky</w:t>
      </w:r>
    </w:p>
    <w:p w:rsidR="00900E79">
      <w:pPr>
        <w:tabs>
          <w:tab w:val="num" w:pos="374"/>
        </w:tabs>
        <w:ind w:left="374" w:hanging="374"/>
        <w:jc w:val="both"/>
        <w:rPr>
          <w:b/>
          <w:bCs/>
        </w:rPr>
      </w:pPr>
    </w:p>
    <w:p w:rsidR="00900E79">
      <w:pPr>
        <w:numPr>
          <w:ilvl w:val="0"/>
          <w:numId w:val="3"/>
        </w:numPr>
        <w:tabs>
          <w:tab w:val="num" w:pos="374"/>
          <w:tab w:val="clear" w:pos="720"/>
        </w:tabs>
        <w:ind w:left="374" w:hanging="374"/>
        <w:jc w:val="both"/>
        <w:outlineLvl w:val="0"/>
      </w:pPr>
      <w:r>
        <w:rPr>
          <w:b/>
          <w:bCs/>
        </w:rPr>
        <w:t xml:space="preserve">Názov návrhu </w:t>
      </w:r>
      <w:r w:rsidR="001E3794">
        <w:rPr>
          <w:b/>
          <w:bCs/>
        </w:rPr>
        <w:t>právneho predpisu</w:t>
      </w:r>
      <w:r>
        <w:rPr>
          <w:b/>
          <w:bCs/>
        </w:rPr>
        <w:t xml:space="preserve">: </w:t>
      </w:r>
      <w:r>
        <w:t>Zákon</w:t>
      </w:r>
      <w:r w:rsidR="006E7D6F">
        <w:t>, ktorým sa mení a dopĺňa zákon č. 663/2007 Z. z.</w:t>
      </w:r>
      <w:r>
        <w:t xml:space="preserve"> o minimálnej  mzde</w:t>
      </w:r>
    </w:p>
    <w:p w:rsidR="00900E79">
      <w:pPr>
        <w:tabs>
          <w:tab w:val="num" w:pos="374"/>
        </w:tabs>
        <w:ind w:left="374" w:hanging="374"/>
        <w:jc w:val="both"/>
        <w:outlineLvl w:val="0"/>
      </w:pPr>
    </w:p>
    <w:p w:rsidR="00900E79">
      <w:pPr>
        <w:numPr>
          <w:ilvl w:val="0"/>
          <w:numId w:val="3"/>
        </w:numPr>
        <w:tabs>
          <w:tab w:val="num" w:pos="374"/>
          <w:tab w:val="clear" w:pos="720"/>
        </w:tabs>
        <w:ind w:left="374" w:hanging="374"/>
        <w:jc w:val="both"/>
        <w:rPr>
          <w:b/>
          <w:bCs/>
        </w:rPr>
      </w:pPr>
      <w:r>
        <w:rPr>
          <w:b/>
          <w:bCs/>
        </w:rPr>
        <w:t xml:space="preserve">Problematika návrhu </w:t>
      </w:r>
      <w:r w:rsidR="001E3794">
        <w:rPr>
          <w:b/>
          <w:bCs/>
        </w:rPr>
        <w:t>právneho predpisu</w:t>
      </w:r>
      <w:r>
        <w:rPr>
          <w:b/>
          <w:bCs/>
        </w:rPr>
        <w:t>:</w:t>
      </w:r>
    </w:p>
    <w:p w:rsidR="00900E79">
      <w:pPr>
        <w:ind w:left="360"/>
        <w:jc w:val="both"/>
        <w:rPr>
          <w:b/>
          <w:bCs/>
        </w:rPr>
      </w:pPr>
    </w:p>
    <w:p w:rsidR="00900E79">
      <w:pPr>
        <w:tabs>
          <w:tab w:val="left" w:pos="748"/>
        </w:tabs>
        <w:ind w:left="748" w:hanging="374"/>
        <w:jc w:val="both"/>
      </w:pPr>
      <w:r>
        <w:t>a)</w:t>
        <w:tab/>
        <w:t>je upravená v práve Európskych spoločenstiev:</w:t>
      </w:r>
    </w:p>
    <w:p w:rsidR="001008D6">
      <w:pPr>
        <w:tabs>
          <w:tab w:val="left" w:pos="748"/>
        </w:tabs>
        <w:ind w:left="748" w:hanging="374"/>
        <w:jc w:val="both"/>
      </w:pPr>
    </w:p>
    <w:p w:rsidR="001E3794" w:rsidRPr="001E3794">
      <w:pPr>
        <w:pStyle w:val="BodyText"/>
        <w:tabs>
          <w:tab w:val="left" w:pos="1122"/>
        </w:tabs>
        <w:spacing w:after="0"/>
        <w:ind w:left="1122" w:hanging="374"/>
        <w:rPr>
          <w:u w:val="single"/>
        </w:rPr>
      </w:pPr>
      <w:r w:rsidRPr="001E3794" w:rsidR="00900E79">
        <w:rPr>
          <w:u w:val="single"/>
        </w:rPr>
        <w:t>-</w:t>
        <w:tab/>
      </w:r>
      <w:r w:rsidRPr="001E3794">
        <w:rPr>
          <w:u w:val="single"/>
        </w:rPr>
        <w:t xml:space="preserve">v </w:t>
      </w:r>
      <w:r w:rsidRPr="001E3794" w:rsidR="00900E79">
        <w:rPr>
          <w:u w:val="single"/>
        </w:rPr>
        <w:t>primárn</w:t>
      </w:r>
      <w:r w:rsidRPr="001E3794">
        <w:rPr>
          <w:u w:val="single"/>
        </w:rPr>
        <w:t>om</w:t>
      </w:r>
      <w:r w:rsidRPr="001E3794" w:rsidR="00900E79">
        <w:rPr>
          <w:u w:val="single"/>
        </w:rPr>
        <w:t xml:space="preserve"> práv</w:t>
      </w:r>
      <w:r w:rsidRPr="001E3794">
        <w:rPr>
          <w:u w:val="single"/>
        </w:rPr>
        <w:t>e</w:t>
      </w:r>
      <w:r w:rsidRPr="001E3794" w:rsidR="00900E79">
        <w:rPr>
          <w:u w:val="single"/>
        </w:rPr>
        <w:t xml:space="preserve"> </w:t>
      </w:r>
    </w:p>
    <w:p w:rsidR="001E3794" w:rsidP="001E3794">
      <w:pPr>
        <w:tabs>
          <w:tab w:val="num" w:pos="1276"/>
        </w:tabs>
        <w:autoSpaceDE w:val="0"/>
        <w:autoSpaceDN w:val="0"/>
        <w:ind w:left="684"/>
      </w:pPr>
      <w:r w:rsidR="00900E79">
        <w:t>čl. 141 Zmluvy o založení Európskeho spoločenstva v </w:t>
      </w:r>
      <w:r>
        <w:t xml:space="preserve">platnom </w:t>
      </w:r>
      <w:r w:rsidR="00900E79">
        <w:t xml:space="preserve">znení </w:t>
      </w:r>
      <w:r>
        <w:t>(Ú. v. EÚ  C 321 E, 29.12.2</w:t>
      </w:r>
      <w:r>
        <w:t>006)</w:t>
      </w:r>
      <w:r w:rsidR="00900E79">
        <w:t xml:space="preserve"> </w:t>
      </w:r>
    </w:p>
    <w:p w:rsidR="001008D6" w:rsidP="001E3794">
      <w:pPr>
        <w:tabs>
          <w:tab w:val="num" w:pos="1276"/>
        </w:tabs>
        <w:autoSpaceDE w:val="0"/>
        <w:autoSpaceDN w:val="0"/>
        <w:ind w:left="684"/>
      </w:pPr>
    </w:p>
    <w:p w:rsidR="00213ABD" w:rsidRPr="001E3794" w:rsidP="00213ABD">
      <w:pPr>
        <w:pStyle w:val="BodyText"/>
        <w:tabs>
          <w:tab w:val="left" w:pos="1122"/>
        </w:tabs>
        <w:spacing w:after="0"/>
        <w:ind w:left="1122" w:hanging="374"/>
        <w:rPr>
          <w:u w:val="single"/>
        </w:rPr>
      </w:pPr>
      <w:r w:rsidRPr="001E3794">
        <w:rPr>
          <w:u w:val="single"/>
        </w:rPr>
        <w:t>-</w:t>
        <w:tab/>
        <w:t xml:space="preserve">v </w:t>
      </w:r>
      <w:r>
        <w:rPr>
          <w:u w:val="single"/>
        </w:rPr>
        <w:t>sekundárnom</w:t>
      </w:r>
      <w:r w:rsidRPr="001E3794">
        <w:rPr>
          <w:u w:val="single"/>
        </w:rPr>
        <w:t xml:space="preserve"> práve </w:t>
      </w:r>
    </w:p>
    <w:p w:rsidR="000C7780" w:rsidP="000C7780">
      <w:pPr>
        <w:numPr>
          <w:ilvl w:val="0"/>
          <w:numId w:val="10"/>
        </w:numPr>
        <w:autoSpaceDE w:val="0"/>
        <w:autoSpaceDN w:val="0"/>
        <w:jc w:val="both"/>
      </w:pPr>
      <w:r w:rsidRPr="008650E1">
        <w:t>Smernica Rady 75/117/EHS z 10. februára 1975 o aproximácii zákonov členských štátov týkajúcich sa uplatňovania zásady rovnakej odmeny pre mužov a</w:t>
      </w:r>
      <w:r>
        <w:t> </w:t>
      </w:r>
      <w:r w:rsidRPr="008650E1">
        <w:t>ženy</w:t>
      </w:r>
      <w:r>
        <w:t xml:space="preserve"> v platnom znení (Ú. v. ES L 45, 19.2.1975; Mimoriadne vydanie Ú. v. EÚ, 10/</w:t>
      </w:r>
      <w:r>
        <w:t>zv. 01),</w:t>
      </w:r>
    </w:p>
    <w:p w:rsidR="000C7780" w:rsidP="000C7780">
      <w:pPr>
        <w:numPr>
          <w:ilvl w:val="0"/>
          <w:numId w:val="10"/>
        </w:numPr>
        <w:autoSpaceDE w:val="0"/>
        <w:autoSpaceDN w:val="0"/>
        <w:jc w:val="both"/>
      </w:pPr>
      <w:r>
        <w:t>Smernica Európskeho parlamentu a Rady 2006/54/ES z  5.júla  2006 o vykonávaní zásady rovnosti  príležitostí  a rovnakého zaobchádzania  s mužmi a ženami vo veciach zamestnanosti a povolania (prepracované znenie) (Ú. v. EÚ  L  204, 26.7.2006).</w:t>
      </w:r>
    </w:p>
    <w:p w:rsidR="00900E79">
      <w:pPr>
        <w:ind w:firstLine="374"/>
        <w:jc w:val="both"/>
      </w:pPr>
    </w:p>
    <w:p w:rsidR="00900E79">
      <w:pPr>
        <w:tabs>
          <w:tab w:val="left" w:pos="748"/>
        </w:tabs>
        <w:ind w:left="748" w:hanging="374"/>
        <w:jc w:val="both"/>
      </w:pPr>
      <w:r>
        <w:t>b)</w:t>
        <w:tab/>
      </w:r>
      <w:r>
        <w:t>je upravená v</w:t>
      </w:r>
      <w:r w:rsidR="001E3794">
        <w:t> </w:t>
      </w:r>
      <w:r>
        <w:t>primárnom</w:t>
      </w:r>
      <w:r w:rsidR="001E3794">
        <w:t xml:space="preserve"> </w:t>
      </w:r>
      <w:r>
        <w:t>práve Európskej únie</w:t>
      </w:r>
      <w:r w:rsidR="007F1DF3">
        <w:t>:</w:t>
      </w:r>
      <w:r>
        <w:t xml:space="preserve"> </w:t>
      </w:r>
    </w:p>
    <w:p w:rsidR="001E3794">
      <w:pPr>
        <w:tabs>
          <w:tab w:val="left" w:pos="748"/>
        </w:tabs>
        <w:ind w:left="748" w:hanging="374"/>
        <w:jc w:val="both"/>
      </w:pPr>
      <w:r w:rsidR="000646D0">
        <w:tab/>
      </w:r>
      <w:r w:rsidRPr="00056232">
        <w:t>čl. 6 ods. 2 Zmluvy o založení Európskej únii  v platnom znení (Ú. v. EÚ  C 321 E,  29.12.2006),</w:t>
      </w:r>
    </w:p>
    <w:p w:rsidR="00900E79">
      <w:pPr>
        <w:ind w:firstLine="374"/>
        <w:jc w:val="both"/>
      </w:pPr>
    </w:p>
    <w:p w:rsidR="00900E79">
      <w:pPr>
        <w:tabs>
          <w:tab w:val="left" w:pos="748"/>
        </w:tabs>
        <w:ind w:left="748" w:hanging="374"/>
        <w:jc w:val="both"/>
      </w:pPr>
      <w:r>
        <w:t>c)</w:t>
        <w:tab/>
        <w:t>nie je obsiahnutá v judikatúre Súdneho dvora Európskych spoločenstiev alebo Súdu   prvého stupňa Európskych spoločenstiev.</w:t>
      </w:r>
    </w:p>
    <w:p w:rsidR="00900E79">
      <w:pPr>
        <w:jc w:val="both"/>
        <w:rPr>
          <w:b/>
          <w:bCs/>
        </w:rPr>
      </w:pPr>
    </w:p>
    <w:p w:rsidR="00900E79">
      <w:pPr>
        <w:pStyle w:val="BodyTextIndent2"/>
        <w:tabs>
          <w:tab w:val="left" w:pos="450"/>
        </w:tabs>
        <w:spacing w:after="0" w:line="240" w:lineRule="auto"/>
        <w:ind w:left="450" w:hanging="450"/>
        <w:jc w:val="both"/>
        <w:rPr>
          <w:rStyle w:val="Strong"/>
        </w:rPr>
      </w:pPr>
      <w:r>
        <w:rPr>
          <w:rStyle w:val="Strong"/>
        </w:rPr>
        <w:t xml:space="preserve">4. </w:t>
        <w:tab/>
        <w:t xml:space="preserve">Záväzky Slovenskej republiky vo vzťahu k Európskym spoločenstvám a Európskej únii: </w:t>
      </w:r>
    </w:p>
    <w:p w:rsidR="00900E79">
      <w:pPr>
        <w:jc w:val="both"/>
        <w:rPr>
          <w:b/>
          <w:bCs/>
        </w:rPr>
      </w:pPr>
    </w:p>
    <w:p w:rsidR="00900E79">
      <w:pPr>
        <w:tabs>
          <w:tab w:val="left" w:pos="748"/>
        </w:tabs>
        <w:ind w:left="748" w:hanging="374"/>
        <w:jc w:val="both"/>
      </w:pPr>
      <w:r w:rsidR="00F014B2">
        <w:t xml:space="preserve">a)  </w:t>
      </w:r>
      <w:r>
        <w:t>lehota na prebratie smernice alebo rámcového rozhodnutia podľa určenia gestorských ústredných orgánov štátnej správy zodpovedných za prebratie sme</w:t>
      </w:r>
      <w:r>
        <w:t>rníc a vypracovanie tabuliek zhody k návrhom všeobecne záväzných právnych predpisov alebo lehota na implementáciu nariadenia alebo rozhodnutia z nich vyplývajúca.</w:t>
      </w:r>
    </w:p>
    <w:p w:rsidR="00900E79">
      <w:pPr>
        <w:ind w:left="748"/>
        <w:jc w:val="both"/>
        <w:rPr>
          <w:rFonts w:ascii="EUAlbertina+01" w:hAnsi="EUAlbertina+01" w:cs="EUAlbertina+01"/>
          <w:lang w:eastAsia="sk-SK"/>
        </w:rPr>
      </w:pPr>
    </w:p>
    <w:p w:rsidR="009B10A2" w:rsidRPr="008650E1" w:rsidP="00413EA8">
      <w:pPr>
        <w:ind w:left="708"/>
        <w:jc w:val="both"/>
      </w:pPr>
      <w:r w:rsidRPr="008650E1">
        <w:t>Podľa čl. 54 Aktu o podmienkach pristúpenia pripojenom k Zmluve o pristúpení Slovenskej repu</w:t>
      </w:r>
      <w:r w:rsidRPr="008650E1">
        <w:t xml:space="preserve">bliky k Európskej únii lehotou na prebratie smernice </w:t>
      </w:r>
      <w:r>
        <w:t>Rady 75/117/EHS bol 1. máj 2004. Lehota na prebratie smernice Európskeho parlamentu a Rady  2006/54/ES je 15. august 2008.</w:t>
      </w:r>
    </w:p>
    <w:p w:rsidR="00900E79">
      <w:pPr>
        <w:pStyle w:val="Zakladnystyl"/>
        <w:jc w:val="both"/>
        <w:rPr>
          <w:lang w:val="sk-SK"/>
        </w:rPr>
      </w:pPr>
    </w:p>
    <w:p w:rsidR="00900E79">
      <w:pPr>
        <w:tabs>
          <w:tab w:val="left" w:pos="748"/>
        </w:tabs>
        <w:ind w:left="748" w:hanging="374"/>
        <w:jc w:val="both"/>
      </w:pPr>
      <w:r w:rsidR="007146A4">
        <w:t>b</w:t>
      </w:r>
      <w:r>
        <w:t>)</w:t>
        <w:tab/>
        <w:t>informácia o konaní začatom proti Slovenskej republike o porušení Zmluvy o založení Európskych spoločenstiev podľa čl. 226 až 228 Zmluvy o založení Európskych spoločenstiev v platnom znení</w:t>
      </w:r>
      <w:r w:rsidR="007146A4">
        <w:t>:</w:t>
      </w:r>
    </w:p>
    <w:p w:rsidR="007146A4" w:rsidRPr="008650E1" w:rsidP="00413EA8">
      <w:pPr>
        <w:spacing w:before="120"/>
        <w:ind w:left="748"/>
        <w:jc w:val="both"/>
      </w:pPr>
      <w:r w:rsidRPr="008650E1">
        <w:t xml:space="preserve">Proti Slovenskej republike nebolo začaté vo veci nesplnenia povinnosti prebrať </w:t>
      </w:r>
      <w:r>
        <w:t>S</w:t>
      </w:r>
      <w:r w:rsidRPr="008650E1">
        <w:t>mernicu Rady 75/117/EHS</w:t>
      </w:r>
      <w:r>
        <w:t xml:space="preserve"> a Smernicu Európskeho parlamentu a Rad</w:t>
      </w:r>
      <w:r>
        <w:t>y 2006/54/ES</w:t>
      </w:r>
      <w:r w:rsidRPr="008650E1">
        <w:t xml:space="preserve"> žiadne konanie o porušení Zmluvy o založení Európskych spoločenstiev podľa čl. 226 až 228 Zmluvy o založení Európskych spoločenstiev v platnom znení.</w:t>
      </w:r>
    </w:p>
    <w:p w:rsidR="00900E79">
      <w:pPr>
        <w:tabs>
          <w:tab w:val="left" w:pos="748"/>
        </w:tabs>
        <w:ind w:left="748" w:hanging="374"/>
        <w:jc w:val="both"/>
      </w:pPr>
    </w:p>
    <w:p w:rsidR="00900E79">
      <w:pPr>
        <w:tabs>
          <w:tab w:val="left" w:pos="748"/>
        </w:tabs>
        <w:ind w:left="748" w:hanging="374"/>
        <w:jc w:val="both"/>
      </w:pPr>
      <w:r w:rsidR="007146A4">
        <w:t>c</w:t>
      </w:r>
      <w:r>
        <w:t>) informácia o právnych predpisoch, v ktorých sú preberané smernice alebo rámcové rozhodnutia už prebraté spolu s uvedením rozsahu tohto prebratia.</w:t>
      </w:r>
    </w:p>
    <w:p w:rsidR="00900E79">
      <w:pPr>
        <w:pStyle w:val="BodyTextIndent3"/>
        <w:spacing w:after="0"/>
        <w:rPr>
          <w:lang w:val="sk-SK"/>
        </w:rPr>
      </w:pPr>
    </w:p>
    <w:p w:rsidR="00C15381" w:rsidRPr="00827091" w:rsidP="00C15381">
      <w:pPr>
        <w:ind w:left="708"/>
        <w:jc w:val="both"/>
      </w:pPr>
      <w:r w:rsidRPr="00827091">
        <w:t>Smernica Rady 75/117/EHS a Smernica  Európskeho parlamentu a Rady 2006/54/ES je plne prebratá v nasledovných právnych predpisoch v gescii MPSVR SR: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 xml:space="preserve">Ústava Slovenskej republiky v znení neskorších ústavných zákonov, 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>zákon č. 99/1963 Zb. Občiansky súdny poriadok v znení neskorších predpisov,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>zákon č. 2/1991 Zb. o kolektívnom vyjednávaní v znení neskorších predpisov,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>zákon č. 308/1993 Z. z. o zriadení Slovenského národného strediska pre ľudské práva,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 xml:space="preserve">zákon č. 311/2001 Z. z. Zákonník práce v znení neskorších predpisov, 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>zákon č. 312/2001 Z. z. o štátnej službe a o zmene a doplnení niektorých zákonov v znení neskorších predpisov,</w:t>
      </w:r>
    </w:p>
    <w:p w:rsidR="00C15381" w:rsidRPr="00EF2145" w:rsidP="00C15381">
      <w:pPr>
        <w:numPr>
          <w:ilvl w:val="0"/>
          <w:numId w:val="11"/>
        </w:numPr>
        <w:spacing w:before="120"/>
        <w:jc w:val="both"/>
      </w:pPr>
      <w:r w:rsidRPr="00F07B10">
        <w:t xml:space="preserve">zákon č. 575/2001 Z. z. o organizácii činnosti vlády  a o organizácii ústrednej štátnej správy v znení neskorších predpisov.                                                               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>zákon č. 461/2003 Z. z. o sociálnom poistení v znení neskorších predpisov,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 xml:space="preserve">zákon č. 552/2003 Z. z. o výkone práce vo verejnom záujme v znení neskorších predpisov, 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>zákon č. 553/2003 Z. z. o odmeňovaní niektorých zamestnancov pri výkone práce vo verejnom záujme a o zmene a doplnení niektorých zákonov v znení neskorších predpisov,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>zákon č.365/2004 Z. z. o rovnakom zaobchádzaní v niektorých oblastiach a o ochrane pred diskrimináciou a o zmene a doplnení niektorých zákonov (antidiskriminačný zákon),</w:t>
      </w:r>
    </w:p>
    <w:p w:rsidR="00C15381" w:rsidRPr="00F07B10" w:rsidP="00C15381">
      <w:pPr>
        <w:numPr>
          <w:ilvl w:val="0"/>
          <w:numId w:val="11"/>
        </w:numPr>
        <w:spacing w:before="120"/>
        <w:jc w:val="both"/>
      </w:pPr>
      <w:r w:rsidRPr="00F07B10">
        <w:t>zákon č. 125/2006 Z. z. o inšpekcii práce a o zmene a doplnení zákona č. 82/2005 Z. z. o nelegálnej práci a nelegálnom zamestnávaní a o zmene a doplnení niektorých zákon</w:t>
      </w:r>
      <w:r>
        <w:t>ov v znení neskorších predpisov.</w:t>
      </w:r>
    </w:p>
    <w:p w:rsidR="00900E79">
      <w:pPr>
        <w:pStyle w:val="BodyText"/>
        <w:spacing w:after="0"/>
        <w:ind w:left="748"/>
      </w:pPr>
    </w:p>
    <w:p w:rsidR="00900E79">
      <w:pPr>
        <w:pStyle w:val="BodyText"/>
        <w:tabs>
          <w:tab w:val="left" w:pos="1122"/>
        </w:tabs>
        <w:spacing w:after="0"/>
        <w:ind w:left="1122" w:hanging="374"/>
      </w:pPr>
    </w:p>
    <w:p w:rsidR="00900E79">
      <w:pPr>
        <w:pStyle w:val="bodytextindent3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Stupeň zlučiteľnosti návrhu zákona s právom Európskych spoločenstiev alebo právom Európskej únie: </w:t>
      </w:r>
    </w:p>
    <w:p w:rsidR="00900E79" w:rsidP="00413EA8">
      <w:pPr>
        <w:tabs>
          <w:tab w:val="left" w:pos="748"/>
        </w:tabs>
        <w:spacing w:before="120"/>
        <w:ind w:left="748" w:hanging="374"/>
        <w:jc w:val="both"/>
      </w:pPr>
      <w:r>
        <w:t>a)</w:t>
        <w:tab/>
        <w:t xml:space="preserve">Úplný.   </w:t>
      </w:r>
    </w:p>
    <w:p w:rsidR="00900E79">
      <w:pPr>
        <w:pStyle w:val="bodytextindent31"/>
        <w:tabs>
          <w:tab w:val="left" w:pos="426"/>
        </w:tabs>
        <w:spacing w:before="0" w:beforeAutospacing="0" w:after="0" w:afterAutospacing="0"/>
        <w:ind w:left="360"/>
        <w:jc w:val="both"/>
        <w:rPr>
          <w:lang w:val="sk-SK"/>
        </w:rPr>
      </w:pPr>
    </w:p>
    <w:p w:rsidR="00900E79">
      <w:pPr>
        <w:tabs>
          <w:tab w:val="left" w:pos="360"/>
        </w:tabs>
        <w:ind w:left="360" w:hanging="360"/>
        <w:jc w:val="both"/>
      </w:pPr>
      <w:r>
        <w:rPr>
          <w:b/>
          <w:bCs/>
        </w:rPr>
        <w:t xml:space="preserve">6. </w:t>
        <w:tab/>
        <w:t>Gestor a spolupracujúce rezorty:</w:t>
      </w:r>
      <w:r>
        <w:t xml:space="preserve"> Ministerstvo práce, sociálnych vecí a rodiny     Slovenskej republiky </w:t>
      </w:r>
    </w:p>
    <w:p w:rsidR="00900E79">
      <w:pPr>
        <w:jc w:val="both"/>
      </w:pPr>
    </w:p>
    <w:sectPr>
      <w:footerReference w:type="default" r:id="rId4"/>
      <w:pgSz w:w="12240" w:h="15840" w:code="1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3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A8">
    <w:pPr>
      <w:pStyle w:val="Footer"/>
      <w:framePr w:vAnchor="text" w:hAnchor="page" w:x="10582" w:y="60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198">
      <w:rPr>
        <w:rStyle w:val="PageNumber"/>
        <w:noProof/>
      </w:rPr>
      <w:t>1</w:t>
    </w:r>
    <w:r>
      <w:rPr>
        <w:rStyle w:val="PageNumber"/>
      </w:rPr>
      <w:fldChar w:fldCharType="end"/>
    </w:r>
  </w:p>
  <w:p w:rsidR="00413EA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D40"/>
    <w:multiLevelType w:val="hybridMultilevel"/>
    <w:tmpl w:val="4790B62C"/>
    <w:lvl w:ilvl="0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">
    <w:nsid w:val="1FAF2822"/>
    <w:multiLevelType w:val="hybridMultilevel"/>
    <w:tmpl w:val="C71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D67A9"/>
    <w:multiLevelType w:val="hybridMultilevel"/>
    <w:tmpl w:val="6FA68C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51A1E90"/>
    <w:multiLevelType w:val="hybridMultilevel"/>
    <w:tmpl w:val="34A2AD2E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28D82C87"/>
    <w:multiLevelType w:val="hybridMultilevel"/>
    <w:tmpl w:val="29B42420"/>
    <w:lvl w:ilvl="0">
      <w:start w:val="0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344040E3"/>
    <w:multiLevelType w:val="hybridMultilevel"/>
    <w:tmpl w:val="139E0EA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36B45CC7"/>
    <w:multiLevelType w:val="hybridMultilevel"/>
    <w:tmpl w:val="11E25514"/>
    <w:lvl w:ilvl="0">
      <w:start w:val="1"/>
      <w:numFmt w:val="bullet"/>
      <w:lvlText w:val="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62AC1E24"/>
    <w:multiLevelType w:val="multilevel"/>
    <w:tmpl w:val="B336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6C430E26"/>
    <w:multiLevelType w:val="hybridMultilevel"/>
    <w:tmpl w:val="DEFC0676"/>
    <w:lvl w:ilvl="0">
      <w:start w:val="1"/>
      <w:numFmt w:val="lowerLetter"/>
      <w:lvlText w:val="%1)"/>
      <w:lvlJc w:val="left"/>
      <w:pPr>
        <w:tabs>
          <w:tab w:val="num" w:pos="1518"/>
        </w:tabs>
        <w:ind w:left="1156" w:firstLine="2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>
    <w:nsid w:val="6D5F32DD"/>
    <w:multiLevelType w:val="hybridMultilevel"/>
    <w:tmpl w:val="E7DA3974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6E5C0369"/>
    <w:multiLevelType w:val="hybridMultilevel"/>
    <w:tmpl w:val="0E4A780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E79"/>
    <w:rsid w:val="00056232"/>
    <w:rsid w:val="000646D0"/>
    <w:rsid w:val="000C7780"/>
    <w:rsid w:val="001008D6"/>
    <w:rsid w:val="001E3794"/>
    <w:rsid w:val="00201198"/>
    <w:rsid w:val="00206F95"/>
    <w:rsid w:val="00207C50"/>
    <w:rsid w:val="00213ABD"/>
    <w:rsid w:val="00345A09"/>
    <w:rsid w:val="00413EA8"/>
    <w:rsid w:val="005C3028"/>
    <w:rsid w:val="006E7D6F"/>
    <w:rsid w:val="007146A4"/>
    <w:rsid w:val="007F1DF3"/>
    <w:rsid w:val="00827091"/>
    <w:rsid w:val="008650E1"/>
    <w:rsid w:val="00900E79"/>
    <w:rsid w:val="009B10A2"/>
    <w:rsid w:val="009B2DB8"/>
    <w:rsid w:val="00BC4D78"/>
    <w:rsid w:val="00C15381"/>
    <w:rsid w:val="00D86F3B"/>
    <w:rsid w:val="00EF2145"/>
    <w:rsid w:val="00F014B2"/>
    <w:rsid w:val="00F07B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en-US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"/>
    <w:pPr>
      <w:numPr>
        <w:ilvl w:val="0"/>
        <w:numId w:val="1"/>
      </w:numPr>
      <w:tabs>
        <w:tab w:val="clear" w:pos="360"/>
        <w:tab w:val="num" w:pos="720"/>
      </w:tabs>
      <w:ind w:left="720" w:hanging="360"/>
    </w:pPr>
  </w:style>
  <w:style w:type="paragraph" w:customStyle="1" w:styleId="Styl2">
    <w:name w:val="Styl2"/>
    <w:basedOn w:val="Normal"/>
    <w:pPr>
      <w:numPr>
        <w:ilvl w:val="0"/>
        <w:numId w:val="2"/>
      </w:numPr>
      <w:tabs>
        <w:tab w:val="clear" w:pos="360"/>
        <w:tab w:val="num" w:pos="720"/>
      </w:tabs>
      <w:ind w:left="720" w:hanging="360"/>
    </w:pPr>
  </w:style>
  <w:style w:type="paragraph" w:styleId="Title">
    <w:name w:val="Title"/>
    <w:basedOn w:val="Normal"/>
    <w:qFormat/>
    <w:pPr>
      <w:jc w:val="center"/>
    </w:pPr>
    <w:rPr>
      <w:b/>
      <w:bCs/>
      <w:lang w:eastAsia="cs-CZ"/>
    </w:rPr>
  </w:style>
  <w:style w:type="paragraph" w:styleId="BodyText">
    <w:name w:val="Body Text"/>
    <w:basedOn w:val="Normal"/>
    <w:pPr>
      <w:spacing w:after="120"/>
      <w:jc w:val="both"/>
    </w:pPr>
    <w:rPr>
      <w:lang w:eastAsia="cs-CZ"/>
    </w:rPr>
  </w:style>
  <w:style w:type="paragraph" w:customStyle="1" w:styleId="BodyText22">
    <w:name w:val="Body Text 22"/>
    <w:basedOn w:val="Normal"/>
    <w:pPr>
      <w:widowControl w:val="0"/>
      <w:autoSpaceDE w:val="0"/>
      <w:autoSpaceDN w:val="0"/>
      <w:ind w:firstLine="709"/>
      <w:jc w:val="both"/>
    </w:pPr>
    <w:rPr>
      <w:rFonts w:ascii="Arial" w:hAnsi="Arial" w:cs="Arial"/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bodytextindent31">
    <w:name w:val="bodytextindent31"/>
    <w:basedOn w:val="Normal"/>
    <w:pPr>
      <w:spacing w:before="100" w:beforeAutospacing="1" w:after="100" w:afterAutospacing="1"/>
    </w:pPr>
    <w:rPr>
      <w:lang w:val="cs-CZ" w:eastAsia="cs-CZ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  <w:lang w:val="cs-CZ" w:eastAsia="cs-CZ"/>
    </w:rPr>
  </w:style>
  <w:style w:type="paragraph" w:customStyle="1" w:styleId="Zakladnystyl">
    <w:name w:val="Zakladny styl"/>
    <w:rPr>
      <w:sz w:val="24"/>
      <w:szCs w:val="24"/>
      <w:lang w:val="cs-CZ" w:eastAsia="cs-CZ" w:bidi="ar-SA"/>
    </w:rPr>
  </w:style>
  <w:style w:type="character" w:styleId="Strong">
    <w:name w:val="Strong"/>
    <w:basedOn w:val="DefaultParagraphFont"/>
    <w:qFormat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spacing w:before="120"/>
      <w:ind w:left="74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MPSVR SR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MPSVR SR</dc:creator>
  <cp:lastModifiedBy>MPSVR SR</cp:lastModifiedBy>
  <cp:revision>2</cp:revision>
  <cp:lastPrinted>2007-07-25T12:36:00Z</cp:lastPrinted>
  <dcterms:created xsi:type="dcterms:W3CDTF">2008-09-02T10:52:00Z</dcterms:created>
  <dcterms:modified xsi:type="dcterms:W3CDTF">2008-09-02T10:52:00Z</dcterms:modified>
</cp:coreProperties>
</file>