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E6A7E" w:rsidRPr="00494473" w:rsidP="008C64A0">
      <w:pPr>
        <w:jc w:val="center"/>
        <w:rPr>
          <w:b/>
          <w:bCs/>
        </w:rPr>
      </w:pPr>
      <w:r w:rsidR="00254CD2">
        <w:rPr>
          <w:b/>
          <w:bCs/>
        </w:rPr>
        <w:t xml:space="preserve">Doložka  prednosti </w:t>
      </w:r>
      <w:r w:rsidRPr="00494473">
        <w:rPr>
          <w:b/>
          <w:bCs/>
        </w:rPr>
        <w:t>medzinárodnej zmluvy pred zákonmi Slovenskej republiky</w:t>
      </w:r>
    </w:p>
    <w:p w:rsidR="005E6A7E" w:rsidRPr="00494473" w:rsidP="008C64A0">
      <w:pPr>
        <w:jc w:val="center"/>
        <w:rPr>
          <w:b/>
          <w:bCs/>
        </w:rPr>
      </w:pPr>
      <w:r w:rsidR="00D9724B">
        <w:rPr>
          <w:b/>
          <w:bCs/>
        </w:rPr>
        <w:t>č</w:t>
      </w:r>
      <w:r w:rsidRPr="00494473">
        <w:rPr>
          <w:b/>
          <w:bCs/>
        </w:rPr>
        <w:t>lánok 7 ods. 5 Ústavy SR</w:t>
      </w:r>
    </w:p>
    <w:p w:rsidR="005E6A7E" w:rsidRPr="00494473">
      <w:pPr>
        <w:jc w:val="both"/>
      </w:pPr>
    </w:p>
    <w:p w:rsidR="005E6A7E" w:rsidRPr="00494473" w:rsidP="001F1529">
      <w:pPr>
        <w:jc w:val="both"/>
      </w:pPr>
      <w:r w:rsidR="001F1529">
        <w:rPr>
          <w:b/>
          <w:bCs/>
        </w:rPr>
        <w:t xml:space="preserve">1.   </w:t>
      </w:r>
      <w:r w:rsidRPr="00494473">
        <w:rPr>
          <w:b/>
          <w:bCs/>
        </w:rPr>
        <w:t>Gestor zmluvy:</w:t>
      </w:r>
      <w:r w:rsidR="001F1529">
        <w:tab/>
        <w:t>Ministerstvo vnútra</w:t>
      </w:r>
      <w:r w:rsidRPr="00494473">
        <w:t xml:space="preserve"> Slovenskej republiky</w:t>
      </w:r>
    </w:p>
    <w:p w:rsidR="005E6A7E" w:rsidRPr="00494473">
      <w:pPr>
        <w:jc w:val="both"/>
      </w:pPr>
    </w:p>
    <w:p w:rsidR="005E6A7E" w:rsidRPr="00494473" w:rsidP="008C64A0">
      <w:pPr>
        <w:ind w:left="2160" w:hanging="2160"/>
        <w:jc w:val="both"/>
      </w:pPr>
      <w:r w:rsidRPr="00494473">
        <w:rPr>
          <w:b/>
          <w:bCs/>
        </w:rPr>
        <w:t>2.   Názov zmluvy:</w:t>
      </w:r>
      <w:r w:rsidRPr="00494473">
        <w:tab/>
      </w:r>
      <w:r w:rsidR="001F1529">
        <w:rPr>
          <w:b/>
          <w:bCs/>
        </w:rPr>
        <w:t>Zmluva o európskom informačnom systéme vozidiel a vodičských preukazov (EU</w:t>
      </w:r>
      <w:r w:rsidR="001F1529">
        <w:rPr>
          <w:b/>
          <w:bCs/>
        </w:rPr>
        <w:t>CARIS)</w:t>
      </w:r>
      <w:r w:rsidRPr="00494473" w:rsidR="008C64A0">
        <w:t xml:space="preserve"> </w:t>
      </w:r>
    </w:p>
    <w:p w:rsidR="008C64A0" w:rsidRPr="00494473" w:rsidP="008C64A0">
      <w:pPr>
        <w:ind w:left="2160" w:hanging="2160"/>
        <w:jc w:val="both"/>
      </w:pPr>
    </w:p>
    <w:p w:rsidR="005E6A7E" w:rsidRPr="00494473">
      <w:pPr>
        <w:tabs>
          <w:tab w:val="left" w:pos="360"/>
        </w:tabs>
        <w:jc w:val="both"/>
        <w:rPr>
          <w:b/>
          <w:bCs/>
        </w:rPr>
      </w:pPr>
      <w:r w:rsidRPr="00494473">
        <w:rPr>
          <w:b/>
          <w:bCs/>
        </w:rPr>
        <w:t>3.   Účel a predmet zmluvy a jeho úprava v</w:t>
      </w:r>
      <w:r w:rsidRPr="00494473" w:rsidR="006B7CF6">
        <w:rPr>
          <w:b/>
          <w:bCs/>
        </w:rPr>
        <w:t> právnom poriadku</w:t>
      </w:r>
      <w:r w:rsidRPr="00494473">
        <w:rPr>
          <w:b/>
          <w:bCs/>
        </w:rPr>
        <w:t xml:space="preserve"> SR:</w:t>
      </w:r>
    </w:p>
    <w:p w:rsidR="001F1529" w:rsidP="001F1529">
      <w:pPr>
        <w:autoSpaceDE w:val="0"/>
        <w:autoSpaceDN w:val="0"/>
        <w:adjustRightInd w:val="0"/>
        <w:ind w:left="360"/>
        <w:jc w:val="both"/>
      </w:pPr>
      <w:r>
        <w:t>Zmluva je základom vytvorenia systému, prostredníctvom ktorého si</w:t>
      </w:r>
      <w:r w:rsidRPr="00CE30E9">
        <w:t xml:space="preserve"> môžu </w:t>
      </w:r>
      <w:r>
        <w:t xml:space="preserve">zmluvné strany navzájom </w:t>
      </w:r>
      <w:r w:rsidRPr="00CE30E9">
        <w:t xml:space="preserve">prehliadať databázy obsahujúce informácie o vozidlách a/alebo </w:t>
      </w:r>
      <w:r>
        <w:t xml:space="preserve">vodičských preukazoch. </w:t>
      </w:r>
    </w:p>
    <w:p w:rsidR="001F1529" w:rsidRPr="00CE30E9" w:rsidP="001F1529">
      <w:pPr>
        <w:autoSpaceDE w:val="0"/>
        <w:autoSpaceDN w:val="0"/>
        <w:adjustRightInd w:val="0"/>
        <w:ind w:firstLine="567"/>
        <w:jc w:val="both"/>
      </w:pPr>
    </w:p>
    <w:p w:rsidR="001F1529" w:rsidP="001F1529">
      <w:pPr>
        <w:ind w:left="360"/>
        <w:jc w:val="both"/>
      </w:pPr>
      <w:r>
        <w:t>Účelom</w:t>
      </w:r>
      <w:r w:rsidRPr="00F6772C">
        <w:t xml:space="preserve"> Európskeho </w:t>
      </w:r>
      <w:r>
        <w:t xml:space="preserve">informačného systému vozidiel a vodičských preukazov je </w:t>
      </w:r>
      <w:r w:rsidRPr="00F6772C">
        <w:t xml:space="preserve">zabezpečiť presnosť a spoľahlivosť </w:t>
      </w:r>
      <w:r>
        <w:t xml:space="preserve">centrálnych evidencií vozidiel a </w:t>
      </w:r>
      <w:r w:rsidRPr="00F6772C">
        <w:t xml:space="preserve">vodičských </w:t>
      </w:r>
      <w:r>
        <w:t xml:space="preserve">preukazov zmluvných strán, </w:t>
      </w:r>
      <w:r w:rsidRPr="00F6772C">
        <w:t>napo</w:t>
      </w:r>
      <w:r>
        <w:t xml:space="preserve">máhať </w:t>
      </w:r>
      <w:r w:rsidR="00D9724B">
        <w:t>pri predchádzaní, vyšetrovaní</w:t>
      </w:r>
      <w:r>
        <w:t xml:space="preserve"> a </w:t>
      </w:r>
      <w:r w:rsidR="00D9724B">
        <w:t>stíhaní</w:t>
      </w:r>
      <w:r w:rsidRPr="00F6772C">
        <w:t xml:space="preserve"> </w:t>
      </w:r>
      <w:r>
        <w:t>trestných činov</w:t>
      </w:r>
      <w:r w:rsidRPr="00F6772C">
        <w:t xml:space="preserve"> </w:t>
      </w:r>
      <w:r>
        <w:t xml:space="preserve">týkajúcich </w:t>
      </w:r>
      <w:r>
        <w:t>sa</w:t>
      </w:r>
      <w:r w:rsidRPr="00F6772C">
        <w:t xml:space="preserve"> </w:t>
      </w:r>
      <w:r>
        <w:t>evidencie vozidiel,</w:t>
      </w:r>
      <w:r w:rsidRPr="00F6772C">
        <w:t xml:space="preserve"> vodičských </w:t>
      </w:r>
      <w:r>
        <w:t>preukazov a iných podvodov a</w:t>
      </w:r>
      <w:r w:rsidR="0009559D">
        <w:t> </w:t>
      </w:r>
      <w:r w:rsidRPr="00F6772C">
        <w:t>trestn</w:t>
      </w:r>
      <w:r>
        <w:t>ých</w:t>
      </w:r>
      <w:r w:rsidRPr="00F6772C">
        <w:t xml:space="preserve"> čin</w:t>
      </w:r>
      <w:r>
        <w:t xml:space="preserve">ov týkajúcich sa vozidiel </w:t>
      </w:r>
      <w:r w:rsidRPr="00F6772C">
        <w:t xml:space="preserve">a rýchla výmena informácií </w:t>
      </w:r>
      <w:r>
        <w:t>o údajoch o vozidlách a vodičských preukazoch medzi zmluvnými stranami</w:t>
      </w:r>
      <w:r w:rsidRPr="00F6772C">
        <w:t>.</w:t>
      </w:r>
    </w:p>
    <w:p w:rsidR="005E6A7E" w:rsidRPr="00494473">
      <w:pPr>
        <w:jc w:val="both"/>
      </w:pPr>
    </w:p>
    <w:p w:rsidR="005E6A7E" w:rsidRPr="00494473" w:rsidP="001F1529">
      <w:pPr>
        <w:pStyle w:val="BodyTextIndent3"/>
        <w:ind w:left="360" w:hanging="360"/>
        <w:jc w:val="both"/>
        <w:rPr>
          <w:rFonts w:ascii="Times New Roman" w:hAnsi="Times New Roman"/>
          <w:sz w:val="24"/>
          <w:szCs w:val="24"/>
        </w:rPr>
      </w:pPr>
      <w:r w:rsidR="001F1529">
        <w:rPr>
          <w:rFonts w:ascii="Times New Roman" w:hAnsi="Times New Roman"/>
          <w:sz w:val="24"/>
          <w:szCs w:val="24"/>
        </w:rPr>
        <w:t>4.</w:t>
        <w:tab/>
      </w:r>
      <w:r w:rsidRPr="00494473">
        <w:rPr>
          <w:rFonts w:ascii="Times New Roman" w:hAnsi="Times New Roman"/>
          <w:sz w:val="24"/>
          <w:szCs w:val="24"/>
        </w:rPr>
        <w:t xml:space="preserve">Priama úprava práv alebo povinností fyzických osôb </w:t>
      </w:r>
      <w:r w:rsidRPr="00494473">
        <w:rPr>
          <w:rFonts w:ascii="Times New Roman" w:hAnsi="Times New Roman"/>
          <w:sz w:val="24"/>
          <w:szCs w:val="24"/>
        </w:rPr>
        <w:t>alebo právnických osôb</w:t>
      </w:r>
      <w:r w:rsidR="00D9724B">
        <w:rPr>
          <w:rFonts w:ascii="Times New Roman" w:hAnsi="Times New Roman"/>
          <w:sz w:val="24"/>
          <w:szCs w:val="24"/>
        </w:rPr>
        <w:br/>
      </w:r>
      <w:r w:rsidRPr="00494473" w:rsidR="008C64A0">
        <w:rPr>
          <w:rFonts w:ascii="Times New Roman" w:hAnsi="Times New Roman"/>
          <w:sz w:val="24"/>
          <w:szCs w:val="24"/>
        </w:rPr>
        <w:t>v</w:t>
      </w:r>
      <w:r w:rsidRPr="00494473">
        <w:rPr>
          <w:rFonts w:ascii="Times New Roman" w:hAnsi="Times New Roman"/>
          <w:sz w:val="24"/>
          <w:szCs w:val="24"/>
        </w:rPr>
        <w:t>o vzťahu k príslušným zákonom SR:</w:t>
      </w:r>
    </w:p>
    <w:p w:rsidR="005E6A7E" w:rsidRPr="00494473">
      <w:pPr>
        <w:ind w:left="360"/>
        <w:jc w:val="both"/>
      </w:pPr>
      <w:r w:rsidRPr="00494473" w:rsidR="00381608">
        <w:t>Zmluva</w:t>
      </w:r>
      <w:r w:rsidRPr="00494473">
        <w:t xml:space="preserve"> priamo zakladá práva alebo povinnosti fyzických osôb alebo právnických osôb.</w:t>
      </w:r>
      <w:r w:rsidRPr="00494473" w:rsidR="008C64A0">
        <w:t xml:space="preserve"> </w:t>
      </w:r>
      <w:r w:rsidR="00B03075">
        <w:t>Konkrétne ide o články 14, 21.</w:t>
      </w:r>
    </w:p>
    <w:p w:rsidR="00BC24B6" w:rsidRPr="00494473">
      <w:pPr>
        <w:ind w:left="360"/>
        <w:jc w:val="both"/>
      </w:pPr>
    </w:p>
    <w:p w:rsidR="00BC24B6" w:rsidRPr="00494473" w:rsidP="00BC24B6">
      <w:pPr>
        <w:jc w:val="both"/>
        <w:rPr>
          <w:b/>
        </w:rPr>
      </w:pPr>
      <w:r w:rsidRPr="00494473">
        <w:rPr>
          <w:b/>
        </w:rPr>
        <w:t>5.   Úprava predmetu medzinárodnej zmluvy v práve ES/EÚ:</w:t>
      </w:r>
    </w:p>
    <w:p w:rsidR="005E6A7E" w:rsidRPr="003A5BF5" w:rsidP="00BC24B6">
      <w:pPr>
        <w:ind w:left="360"/>
        <w:jc w:val="both"/>
      </w:pPr>
      <w:r w:rsidR="001F1529">
        <w:t>Po</w:t>
      </w:r>
      <w:r w:rsidR="00B03075">
        <w:t>dnetom na pristúpenie S</w:t>
      </w:r>
      <w:r w:rsidR="00B03075">
        <w:t>R</w:t>
      </w:r>
      <w:r w:rsidR="00D9724B">
        <w:t xml:space="preserve"> k zmluve sa stalo aj  R</w:t>
      </w:r>
      <w:r w:rsidR="00B03075">
        <w:t>ozhodnutie</w:t>
      </w:r>
      <w:r w:rsidR="001F1529">
        <w:t xml:space="preserve"> Rady zo dňa 22. decembra 2004 o potláčaní trestnej činnosti súvisiacej s vozidlami, ktorá má cezhraničné dôsledky (2004/919/ES)</w:t>
      </w:r>
      <w:r w:rsidR="00B03075">
        <w:t>, ktoré členské štáty nepriamo vyzýva k pristúpeniu k zmluve</w:t>
      </w:r>
      <w:r w:rsidR="001F1529">
        <w:t xml:space="preserve">. Ustanovenia o ochrane osobných </w:t>
      </w:r>
      <w:r w:rsidR="001F1529">
        <w:t xml:space="preserve">údajov SR uplatňuje prebratím </w:t>
      </w:r>
      <w:r w:rsidR="00B03075">
        <w:t>s</w:t>
      </w:r>
      <w:r w:rsidRPr="003A5BF5" w:rsidR="003A5BF5">
        <w:t>mernice</w:t>
      </w:r>
      <w:r w:rsidRPr="003A5BF5" w:rsidR="001F1529">
        <w:t xml:space="preserve"> Európskeho parlamentu a Rady 95/46/ES z 24. októbra 1995 o ochrane jednotlivcov pri spracúvaní osobných údajov a voľnom pohybe týchto údajov (Ú.</w:t>
      </w:r>
      <w:r w:rsidR="00F544F9">
        <w:t xml:space="preserve"> </w:t>
      </w:r>
      <w:r w:rsidRPr="003A5BF5" w:rsidR="001F1529">
        <w:t>v. ES, L 281, 23.11.1995) v znení nariadenia Európskeho parlamentu a Rad</w:t>
      </w:r>
      <w:r w:rsidRPr="003A5BF5" w:rsidR="001F1529">
        <w:t>y (ES) č. 1882/2003 z. 29. septembra 2003 (Ú.</w:t>
      </w:r>
      <w:r w:rsidR="00F544F9">
        <w:t xml:space="preserve"> </w:t>
      </w:r>
      <w:r w:rsidRPr="003A5BF5" w:rsidR="001F1529">
        <w:t>v. EÚ L 284, 31.10.2003</w:t>
      </w:r>
      <w:r w:rsidRPr="003A5BF5" w:rsidR="003A5BF5">
        <w:t xml:space="preserve"> </w:t>
      </w:r>
      <w:r w:rsidRPr="003A5BF5" w:rsidR="00BC24B6">
        <w:t>Zhoda zmluvy s právom ES/EÚ: úplná</w:t>
      </w:r>
    </w:p>
    <w:p w:rsidR="00BC24B6" w:rsidRPr="00494473" w:rsidP="00BC24B6">
      <w:pPr>
        <w:ind w:left="360"/>
        <w:jc w:val="both"/>
      </w:pPr>
    </w:p>
    <w:p w:rsidR="005E6A7E" w:rsidRPr="00494473">
      <w:pPr>
        <w:ind w:left="360" w:hanging="360"/>
        <w:jc w:val="both"/>
        <w:rPr>
          <w:b/>
          <w:bCs/>
        </w:rPr>
      </w:pPr>
      <w:r w:rsidRPr="00494473" w:rsidR="00BC24B6">
        <w:rPr>
          <w:b/>
          <w:bCs/>
        </w:rPr>
        <w:t>6</w:t>
      </w:r>
      <w:r w:rsidRPr="00494473">
        <w:rPr>
          <w:b/>
          <w:bCs/>
        </w:rPr>
        <w:t>.  Kategória zmluvy podľa čl.</w:t>
      </w:r>
      <w:r w:rsidRPr="00494473" w:rsidR="00FC3182">
        <w:rPr>
          <w:b/>
          <w:bCs/>
        </w:rPr>
        <w:t xml:space="preserve"> </w:t>
      </w:r>
      <w:r w:rsidRPr="00494473">
        <w:rPr>
          <w:b/>
          <w:bCs/>
        </w:rPr>
        <w:t>7 ods.</w:t>
      </w:r>
      <w:r w:rsidRPr="00494473" w:rsidR="00FC3182">
        <w:rPr>
          <w:b/>
          <w:bCs/>
        </w:rPr>
        <w:t xml:space="preserve"> </w:t>
      </w:r>
      <w:r w:rsidRPr="00494473">
        <w:rPr>
          <w:b/>
          <w:bCs/>
        </w:rPr>
        <w:t>4 Ústavy SR (vyžaduje pred ratifikáciou súhlas NR SR):</w:t>
      </w:r>
    </w:p>
    <w:p w:rsidR="005E6A7E" w:rsidRPr="00494473">
      <w:pPr>
        <w:ind w:left="360"/>
        <w:jc w:val="both"/>
      </w:pPr>
      <w:r w:rsidRPr="00494473">
        <w:t>Z kategórií vymedzených čl.</w:t>
      </w:r>
      <w:r w:rsidRPr="00494473" w:rsidR="00FC3182">
        <w:t xml:space="preserve"> </w:t>
      </w:r>
      <w:r w:rsidRPr="00494473">
        <w:t>7</w:t>
      </w:r>
      <w:r w:rsidRPr="00494473" w:rsidR="001811DC">
        <w:t xml:space="preserve"> </w:t>
      </w:r>
      <w:r w:rsidRPr="00494473">
        <w:t>ods.</w:t>
      </w:r>
      <w:r w:rsidRPr="00494473" w:rsidR="00FC3182">
        <w:t xml:space="preserve"> </w:t>
      </w:r>
      <w:r w:rsidRPr="00494473">
        <w:t>4 Ústavy Slovenskej re</w:t>
      </w:r>
      <w:r w:rsidRPr="00494473">
        <w:t xml:space="preserve">publiky je táto </w:t>
      </w:r>
      <w:r w:rsidRPr="00494473" w:rsidR="00381608">
        <w:t>zmluva</w:t>
      </w:r>
      <w:r w:rsidR="001F1529">
        <w:t xml:space="preserve"> </w:t>
      </w:r>
      <w:r w:rsidRPr="00494473">
        <w:t>medzinárodnou zmluvou, ktorá priamo zakladá práva alebo povinností fyzických osôb alebo právnických osôb</w:t>
      </w:r>
      <w:r w:rsidR="001F1529">
        <w:t>, preto sa na jej platnosť pred ratifikáciou vyžaduje súhlas Národnej rady Slovenskej republiky</w:t>
      </w:r>
      <w:r w:rsidRPr="00494473">
        <w:t>.</w:t>
      </w:r>
    </w:p>
    <w:p w:rsidR="005E6A7E" w:rsidRPr="00494473">
      <w:pPr>
        <w:jc w:val="both"/>
      </w:pPr>
    </w:p>
    <w:p w:rsidR="008A06C5" w:rsidRPr="00494473" w:rsidP="008A06C5">
      <w:pPr>
        <w:ind w:left="360" w:hanging="360"/>
        <w:jc w:val="both"/>
        <w:rPr>
          <w:b/>
          <w:bCs/>
        </w:rPr>
      </w:pPr>
      <w:r w:rsidRPr="00494473" w:rsidR="00BC24B6">
        <w:rPr>
          <w:b/>
          <w:bCs/>
        </w:rPr>
        <w:t>7</w:t>
      </w:r>
      <w:r w:rsidRPr="00494473">
        <w:rPr>
          <w:b/>
          <w:bCs/>
        </w:rPr>
        <w:t>.  Kategória zmluvy podľa čl. 7 ods. 5 Ústavy SR (má prednosť pred zákonmi a</w:t>
      </w:r>
      <w:r w:rsidR="00D9724B">
        <w:rPr>
          <w:b/>
          <w:bCs/>
        </w:rPr>
        <w:br/>
      </w:r>
      <w:r w:rsidRPr="00494473">
        <w:rPr>
          <w:b/>
          <w:bCs/>
        </w:rPr>
        <w:t>na ktorú nie je potrebný zákon):</w:t>
      </w:r>
    </w:p>
    <w:p w:rsidR="008A06C5" w:rsidRPr="00494473" w:rsidP="008A06C5">
      <w:pPr>
        <w:ind w:left="360"/>
        <w:jc w:val="both"/>
      </w:pPr>
      <w:r w:rsidRPr="00494473">
        <w:t>Ide o medzinárodnú zmluvu, ktorá priamo zakladá pr</w:t>
      </w:r>
      <w:r w:rsidR="001F1529">
        <w:t xml:space="preserve">áva alebo povinnosti fyzických </w:t>
      </w:r>
      <w:r w:rsidRPr="00494473">
        <w:t xml:space="preserve">osôb alebo právnických osôb a zároveň o medzinárodnú zmluvu, na </w:t>
      </w:r>
      <w:r w:rsidRPr="00494473" w:rsidR="007268E9">
        <w:t xml:space="preserve">ktorej </w:t>
      </w:r>
      <w:r w:rsidRPr="00494473">
        <w:t xml:space="preserve">vykonanie nie je potrebný zákon. </w:t>
      </w:r>
    </w:p>
    <w:p w:rsidR="00235A4A" w:rsidRPr="00494473" w:rsidP="00235A4A">
      <w:pPr>
        <w:jc w:val="both"/>
      </w:pPr>
    </w:p>
    <w:p w:rsidR="005E6A7E" w:rsidRPr="00494473" w:rsidP="00235A4A">
      <w:pPr>
        <w:ind w:left="360" w:hanging="360"/>
        <w:jc w:val="both"/>
        <w:rPr>
          <w:b/>
          <w:bCs/>
        </w:rPr>
      </w:pPr>
      <w:r w:rsidRPr="00494473" w:rsidR="00BC24B6">
        <w:rPr>
          <w:b/>
          <w:bCs/>
        </w:rPr>
        <w:t>8</w:t>
      </w:r>
      <w:r w:rsidRPr="00494473">
        <w:rPr>
          <w:b/>
          <w:bCs/>
        </w:rPr>
        <w:t xml:space="preserve">. Dopady prijatia medzinárodnej zmluvy, </w:t>
      </w:r>
      <w:r w:rsidR="00D9724B">
        <w:rPr>
          <w:b/>
          <w:bCs/>
        </w:rPr>
        <w:t>ktorá má prednosť pred zákonmi,</w:t>
        <w:br/>
      </w:r>
      <w:r w:rsidRPr="00494473">
        <w:rPr>
          <w:b/>
          <w:bCs/>
        </w:rPr>
        <w:t>na slovenský právny poriadok</w:t>
      </w:r>
      <w:r w:rsidRPr="00494473">
        <w:t xml:space="preserve"> </w:t>
      </w:r>
      <w:r w:rsidRPr="00494473">
        <w:rPr>
          <w:b/>
          <w:bCs/>
        </w:rPr>
        <w:t xml:space="preserve">(uvedú sa právne predpisy alebo ich jednotlivé ustanovenia, ktorých sa medzinárodná zmluva týka; potreba ich zrušenia alebo </w:t>
      </w:r>
      <w:r w:rsidRPr="00494473" w:rsidR="006B7CF6">
        <w:rPr>
          <w:b/>
          <w:bCs/>
        </w:rPr>
        <w:t>zmeny</w:t>
      </w:r>
      <w:r w:rsidRPr="00494473">
        <w:rPr>
          <w:b/>
          <w:bCs/>
        </w:rPr>
        <w:t xml:space="preserve"> z dôvodu duplicity)</w:t>
      </w:r>
    </w:p>
    <w:p w:rsidR="001F1529">
      <w:pPr>
        <w:ind w:left="360"/>
        <w:jc w:val="both"/>
        <w:rPr>
          <w:color w:val="000000"/>
        </w:rPr>
      </w:pPr>
      <w:r w:rsidRPr="00494473" w:rsidR="008C64A0">
        <w:rPr>
          <w:color w:val="000000"/>
        </w:rPr>
        <w:t>Zmluva</w:t>
      </w:r>
      <w:r w:rsidRPr="00494473" w:rsidR="005E6A7E">
        <w:rPr>
          <w:color w:val="000000"/>
        </w:rPr>
        <w:t>, vzhľadom na svoju špeci</w:t>
      </w:r>
      <w:r w:rsidR="003A5BF5">
        <w:rPr>
          <w:color w:val="000000"/>
        </w:rPr>
        <w:t xml:space="preserve">fickú povahu, bude ovplyvňovať </w:t>
      </w:r>
      <w:r w:rsidRPr="00494473" w:rsidR="005E6A7E">
        <w:rPr>
          <w:color w:val="000000"/>
        </w:rPr>
        <w:t>najmä právne predpisy upravujúce</w:t>
      </w:r>
      <w:r w:rsidR="00254CD2">
        <w:rPr>
          <w:color w:val="000000"/>
        </w:rPr>
        <w:t xml:space="preserve"> </w:t>
      </w:r>
      <w:r w:rsidR="003A5BF5">
        <w:rPr>
          <w:color w:val="000000"/>
        </w:rPr>
        <w:t>evidenciu vodičov, vodičských oprávnení a vozidiel</w:t>
      </w:r>
      <w:r w:rsidRPr="00494473" w:rsidR="005E6A7E">
        <w:rPr>
          <w:color w:val="000000"/>
        </w:rPr>
        <w:t>.</w:t>
      </w:r>
    </w:p>
    <w:p w:rsidR="001F1529">
      <w:pPr>
        <w:ind w:left="360"/>
        <w:jc w:val="both"/>
        <w:rPr>
          <w:color w:val="000000"/>
        </w:rPr>
      </w:pPr>
    </w:p>
    <w:p w:rsidR="005E6A7E">
      <w:pPr>
        <w:ind w:left="360"/>
        <w:jc w:val="both"/>
        <w:rPr>
          <w:color w:val="000000"/>
        </w:rPr>
      </w:pPr>
      <w:r w:rsidR="00922689">
        <w:rPr>
          <w:color w:val="000000"/>
        </w:rPr>
        <w:t>Pôjde najmä o:</w:t>
      </w:r>
    </w:p>
    <w:p w:rsidR="003A5BF5">
      <w:pPr>
        <w:ind w:left="360"/>
        <w:jc w:val="both"/>
        <w:rPr>
          <w:color w:val="000000"/>
        </w:rPr>
      </w:pPr>
    </w:p>
    <w:p w:rsidR="003A5BF5" w:rsidRPr="003A5BF5" w:rsidP="003A5BF5">
      <w:pPr>
        <w:numPr>
          <w:ilvl w:val="0"/>
          <w:numId w:val="1"/>
        </w:numPr>
        <w:jc w:val="both"/>
      </w:pPr>
      <w:r w:rsidR="001C0132">
        <w:t>z</w:t>
      </w:r>
      <w:r w:rsidRPr="003A5BF5">
        <w:t>ákon 171/1993 Z.</w:t>
      </w:r>
      <w:r w:rsidR="00F544F9">
        <w:t xml:space="preserve"> </w:t>
      </w:r>
      <w:r w:rsidRPr="003A5BF5">
        <w:t xml:space="preserve">z. o Policajnom zbore v znení neskorších </w:t>
      </w:r>
      <w:r w:rsidR="00F544F9">
        <w:t>predpisov</w:t>
      </w:r>
      <w:r w:rsidR="00D9724B">
        <w:rPr>
          <w:lang w:val="en-US"/>
        </w:rPr>
        <w:t>;</w:t>
      </w:r>
    </w:p>
    <w:p w:rsidR="003A5BF5" w:rsidRPr="003A5BF5" w:rsidP="003A5BF5">
      <w:pPr>
        <w:numPr>
          <w:ilvl w:val="0"/>
          <w:numId w:val="1"/>
        </w:numPr>
        <w:jc w:val="both"/>
      </w:pPr>
      <w:r w:rsidR="001C0132">
        <w:t>z</w:t>
      </w:r>
      <w:r w:rsidRPr="003A5BF5">
        <w:t xml:space="preserve">ákon č. 315/1996 </w:t>
      </w:r>
      <w:r w:rsidR="00E15C06">
        <w:t xml:space="preserve">Z. z. </w:t>
      </w:r>
      <w:r w:rsidRPr="003A5BF5">
        <w:t>o premávke na pozemných komunikáciách</w:t>
      </w:r>
      <w:r w:rsidR="00F544F9">
        <w:t xml:space="preserve"> v znení neskorších predpisov</w:t>
      </w:r>
      <w:r w:rsidR="00D9724B">
        <w:t>;</w:t>
      </w:r>
    </w:p>
    <w:p w:rsidR="003A5BF5" w:rsidRPr="003A5BF5" w:rsidP="003A5BF5">
      <w:pPr>
        <w:numPr>
          <w:ilvl w:val="0"/>
          <w:numId w:val="1"/>
        </w:numPr>
        <w:jc w:val="both"/>
        <w:rPr>
          <w:color w:val="000000"/>
        </w:rPr>
      </w:pPr>
      <w:r w:rsidR="001C0132">
        <w:t>v</w:t>
      </w:r>
      <w:r w:rsidRPr="003A5BF5">
        <w:t>yhláška Ministerstva vnútra SR č.</w:t>
      </w:r>
      <w:r w:rsidR="0099233E">
        <w:t xml:space="preserve"> </w:t>
      </w:r>
      <w:r w:rsidRPr="003A5BF5">
        <w:t>225/2004 Z.</w:t>
      </w:r>
      <w:r w:rsidR="00F544F9">
        <w:t xml:space="preserve"> </w:t>
      </w:r>
      <w:r w:rsidRPr="003A5BF5">
        <w:t>z., ktorou sa vykonávajú niektoré ustanovenia zákona NR SR o premávke na pozemných komunikáciách v znení neskorších predpisov</w:t>
      </w:r>
      <w:r w:rsidR="00D9724B">
        <w:t>;</w:t>
      </w:r>
    </w:p>
    <w:p w:rsidR="003A5BF5" w:rsidRPr="003A5BF5" w:rsidP="003A5BF5">
      <w:pPr>
        <w:numPr>
          <w:ilvl w:val="0"/>
          <w:numId w:val="1"/>
        </w:numPr>
        <w:jc w:val="both"/>
        <w:rPr>
          <w:color w:val="000000"/>
        </w:rPr>
      </w:pPr>
      <w:r w:rsidR="001C0132">
        <w:t>z</w:t>
      </w:r>
      <w:r w:rsidRPr="003A5BF5">
        <w:t>ákon 428/2002 Z.</w:t>
      </w:r>
      <w:r w:rsidR="00F544F9">
        <w:t xml:space="preserve"> </w:t>
      </w:r>
      <w:r w:rsidRPr="003A5BF5">
        <w:t>z.</w:t>
      </w:r>
      <w:r w:rsidRPr="003A5BF5">
        <w:rPr>
          <w:color w:val="000000"/>
        </w:rPr>
        <w:t xml:space="preserve"> </w:t>
      </w:r>
      <w:r w:rsidRPr="003A5BF5">
        <w:t>o ochrane osobných údajov</w:t>
      </w:r>
      <w:r w:rsidR="00F544F9">
        <w:t xml:space="preserve"> v znení neskorších predpisov</w:t>
      </w:r>
      <w:r w:rsidR="00D9724B">
        <w:t>.</w:t>
      </w:r>
    </w:p>
    <w:p w:rsidR="001F1529" w:rsidRPr="003A5BF5">
      <w:pPr>
        <w:ind w:left="360"/>
        <w:jc w:val="both"/>
        <w:rPr>
          <w:color w:val="000000"/>
        </w:rPr>
      </w:pPr>
    </w:p>
    <w:p w:rsidR="005E6A7E" w:rsidP="00C161A0">
      <w:pPr>
        <w:ind w:left="360"/>
        <w:jc w:val="both"/>
      </w:pPr>
      <w:r w:rsidRPr="00494473" w:rsidR="008C64A0">
        <w:t xml:space="preserve">Zmluva </w:t>
      </w:r>
      <w:r w:rsidRPr="00494473">
        <w:t xml:space="preserve">nevyžaduje zmeny v právnom poriadku Slovenskej republiky a nedotýka sa záväzkov z iných medzinárodných zmlúv, ktorými je Slovenská republika viazaná. </w:t>
      </w:r>
    </w:p>
    <w:p w:rsidR="00E15C06" w:rsidP="00C161A0">
      <w:pPr>
        <w:ind w:left="360"/>
        <w:jc w:val="both"/>
      </w:pPr>
    </w:p>
    <w:p w:rsidR="00E15C06" w:rsidRPr="00E15C06" w:rsidP="00E15C06">
      <w:pPr>
        <w:ind w:left="360"/>
        <w:jc w:val="both"/>
      </w:pPr>
      <w:r>
        <w:t>Po pristúpení Slovenskej republiky k Zmluve o európskom informačnom systéme vozidiel a vodičských preukazov (EUCARIS) sa táto stane základom pre výmenu informácií v súlade s </w:t>
      </w:r>
      <w:r w:rsidRPr="00E15C06">
        <w:rPr>
          <w:bCs/>
          <w:iCs/>
        </w:rPr>
        <w:t>Dohovorom medzi Belgickým kráľovstvom, Spolkovou republikou Nemecko, Španielskym kráľovstvom, Francúzskou republikou, Luxemburským veľkovojvodstvom, Holandským kráľovstvom a Rakúskou republikou o zintenzívnení cezhraničnej spolupráce najmä v boji proti terorizmu, cezhraničnej trestnej činnosti a nelegálnej migrácii (Prüm, 27. máj 2005)</w:t>
      </w:r>
      <w:r>
        <w:rPr>
          <w:bCs/>
          <w:iCs/>
        </w:rPr>
        <w:t>.</w:t>
      </w:r>
    </w:p>
    <w:p w:rsidR="00E15C06" w:rsidRPr="00E15C06" w:rsidP="00E15C06">
      <w:pPr>
        <w:ind w:left="360"/>
        <w:jc w:val="both"/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7A87" w:usb1="80000000" w:usb2="00000008" w:usb3="00000000" w:csb0="000001FF" w:csb1="00000000"/>
  </w:font>
  <w:font w:name="Arial Narrow">
    <w:panose1 w:val="020B050602020203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61007A87" w:usb1="80000000" w:usb2="00000008" w:usb3="00000000" w:csb0="000101FF" w:csb1="00000000"/>
  </w:font>
  <w:font w:name="Courier New">
    <w:panose1 w:val="02070309020205020404"/>
    <w:charset w:val="EE"/>
    <w:family w:val="modern"/>
    <w:pitch w:val="fixed"/>
    <w:sig w:usb0="20007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5BF5" w:rsidP="00195A8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A5BF5" w:rsidP="00195A8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5BF5" w:rsidP="00195A8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9724B">
      <w:rPr>
        <w:rStyle w:val="PageNumber"/>
        <w:noProof/>
      </w:rPr>
      <w:t>2</w:t>
    </w:r>
    <w:r>
      <w:rPr>
        <w:rStyle w:val="PageNumber"/>
      </w:rPr>
      <w:fldChar w:fldCharType="end"/>
    </w:r>
  </w:p>
  <w:p w:rsidR="003A5BF5" w:rsidP="00195A8F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12001"/>
    <w:multiLevelType w:val="hybridMultilevel"/>
    <w:tmpl w:val="A732BB54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(%2)"/>
      <w:lvlJc w:val="left"/>
      <w:pPr>
        <w:tabs>
          <w:tab w:val="num" w:pos="737"/>
        </w:tabs>
        <w:ind w:left="0" w:firstLine="397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964"/>
        </w:tabs>
        <w:ind w:left="964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665C53"/>
    <w:multiLevelType w:val="hybridMultilevel"/>
    <w:tmpl w:val="55982F34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oNotHyphenateCaps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C64A0"/>
    <w:rsid w:val="00007562"/>
    <w:rsid w:val="000316A9"/>
    <w:rsid w:val="00083E8A"/>
    <w:rsid w:val="0009559D"/>
    <w:rsid w:val="001244DE"/>
    <w:rsid w:val="001811DC"/>
    <w:rsid w:val="00195A8F"/>
    <w:rsid w:val="001C0132"/>
    <w:rsid w:val="001F1529"/>
    <w:rsid w:val="002307AA"/>
    <w:rsid w:val="00235A4A"/>
    <w:rsid w:val="00254CD2"/>
    <w:rsid w:val="00256AC6"/>
    <w:rsid w:val="00320A99"/>
    <w:rsid w:val="00347230"/>
    <w:rsid w:val="00381608"/>
    <w:rsid w:val="003A5BF5"/>
    <w:rsid w:val="003C0876"/>
    <w:rsid w:val="0041261C"/>
    <w:rsid w:val="004142CF"/>
    <w:rsid w:val="004229ED"/>
    <w:rsid w:val="00494473"/>
    <w:rsid w:val="004C700F"/>
    <w:rsid w:val="00594301"/>
    <w:rsid w:val="005E6A7E"/>
    <w:rsid w:val="006911BD"/>
    <w:rsid w:val="006B7CF6"/>
    <w:rsid w:val="007268E9"/>
    <w:rsid w:val="00786847"/>
    <w:rsid w:val="007A0442"/>
    <w:rsid w:val="007A1E57"/>
    <w:rsid w:val="0081045F"/>
    <w:rsid w:val="00855181"/>
    <w:rsid w:val="008A06C5"/>
    <w:rsid w:val="008C64A0"/>
    <w:rsid w:val="00922689"/>
    <w:rsid w:val="0099233E"/>
    <w:rsid w:val="009B42F8"/>
    <w:rsid w:val="009F1391"/>
    <w:rsid w:val="00AE24A7"/>
    <w:rsid w:val="00B03075"/>
    <w:rsid w:val="00B23E8C"/>
    <w:rsid w:val="00B33E7C"/>
    <w:rsid w:val="00BC24B6"/>
    <w:rsid w:val="00BE319F"/>
    <w:rsid w:val="00C161A0"/>
    <w:rsid w:val="00CE30E9"/>
    <w:rsid w:val="00D738E7"/>
    <w:rsid w:val="00D9724B"/>
    <w:rsid w:val="00DE1386"/>
    <w:rsid w:val="00DF7AD9"/>
    <w:rsid w:val="00E15C06"/>
    <w:rsid w:val="00F544F9"/>
    <w:rsid w:val="00F6772C"/>
    <w:rsid w:val="00FC3182"/>
    <w:rsid w:val="00FC3771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  <w:jc w:val="both"/>
    </w:pPr>
    <w:rPr>
      <w:color w:val="000000"/>
    </w:rPr>
  </w:style>
  <w:style w:type="paragraph" w:styleId="BodyTextIndent2">
    <w:name w:val="Body Text Indent 2"/>
    <w:basedOn w:val="Normal"/>
    <w:pPr>
      <w:ind w:left="360"/>
      <w:jc w:val="both"/>
    </w:pPr>
    <w:rPr>
      <w:rFonts w:ascii="Arial Narrow" w:hAnsi="Arial Narrow"/>
      <w:sz w:val="22"/>
      <w:szCs w:val="22"/>
    </w:rPr>
  </w:style>
  <w:style w:type="paragraph" w:styleId="BodyTextIndent3">
    <w:name w:val="Body Text Indent 3"/>
    <w:basedOn w:val="Normal"/>
    <w:pPr>
      <w:ind w:left="180" w:hanging="180"/>
    </w:pPr>
    <w:rPr>
      <w:rFonts w:ascii="Arial Narrow" w:hAnsi="Arial Narrow"/>
      <w:b/>
      <w:bCs/>
      <w:sz w:val="22"/>
      <w:szCs w:val="22"/>
    </w:rPr>
  </w:style>
  <w:style w:type="paragraph" w:styleId="Footer">
    <w:name w:val="footer"/>
    <w:basedOn w:val="Normal"/>
    <w:rsid w:val="00195A8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195A8F"/>
  </w:style>
  <w:style w:type="paragraph" w:styleId="BalloonText">
    <w:name w:val="Balloon Text"/>
    <w:basedOn w:val="Normal"/>
    <w:semiHidden/>
    <w:rsid w:val="000955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6</TotalTime>
  <Pages>1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Doložka o prednosti  medzinárodnej zmluvy pred zákonmi Slovenskej republiky</vt:lpstr>
    </vt:vector>
  </TitlesOfParts>
  <Company>MFSR</Company>
  <LinksUpToDate>false</LinksUpToDate>
  <CharactersWithSpaces>4066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o prednosti  medzinárodnej zmluvy pred zákonmi Slovenskej republiky</dc:title>
  <dc:creator>jmaxianova</dc:creator>
  <cp:lastModifiedBy>kardosp</cp:lastModifiedBy>
  <cp:revision>3</cp:revision>
  <cp:lastPrinted>2008-06-20T06:37:00Z</cp:lastPrinted>
  <dcterms:created xsi:type="dcterms:W3CDTF">2008-07-07T07:59:00Z</dcterms:created>
  <dcterms:modified xsi:type="dcterms:W3CDTF">2008-07-08T12:47:00Z</dcterms:modified>
</cp:coreProperties>
</file>